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10E181CA">
      <w:r w:rsidR="634223D5">
        <w:rPr/>
        <w:t xml:space="preserve">Student Name: Laila Saddique </w:t>
      </w:r>
    </w:p>
    <w:p w:rsidR="1C0AB2D5" w:rsidRDefault="1C0AB2D5" w14:paraId="7527CD81" w14:textId="7D10D196">
      <w:r w:rsidR="1C0AB2D5">
        <w:rPr/>
        <w:t>Student number: 2031083</w:t>
      </w:r>
    </w:p>
    <w:p w:rsidR="1C0AB2D5" w:rsidRDefault="1C0AB2D5" w14:paraId="70AF7953" w14:textId="77BC92EF">
      <w:r w:rsidR="1C0AB2D5">
        <w:rPr/>
        <w:t xml:space="preserve">Module code: </w:t>
      </w:r>
      <w:r w:rsidR="1921637C">
        <w:rPr/>
        <w:t xml:space="preserve"> Independent </w:t>
      </w:r>
      <w:r w:rsidR="3E05DD46">
        <w:rPr/>
        <w:t>project (</w:t>
      </w:r>
      <w:r w:rsidR="1C0AB2D5">
        <w:rPr/>
        <w:t>BMHP6020_BIRM</w:t>
      </w:r>
      <w:r w:rsidR="640FD99F">
        <w:rPr/>
        <w:t>)</w:t>
      </w:r>
    </w:p>
    <w:p w:rsidR="76959566" w:rsidRDefault="76959566" w14:paraId="72A1C2CD" w14:textId="009CE01D">
      <w:r w:rsidR="633721D0">
        <w:rPr/>
        <w:t>Lecturers name: Chloe Harri</w:t>
      </w:r>
      <w:r w:rsidR="3A7C364A">
        <w:rPr/>
        <w:t>es</w:t>
      </w:r>
    </w:p>
    <w:p w:rsidR="26E84261" w:rsidRDefault="26E84261" w14:paraId="2FFAAE6E" w14:textId="0766CA12"/>
    <w:p w:rsidR="76959566" w:rsidP="26E84261" w:rsidRDefault="76959566" w14:paraId="4F5B229B" w14:textId="1CC8B941">
      <w:pPr>
        <w:spacing w:line="360" w:lineRule="auto"/>
        <w:jc w:val="center"/>
        <w:rPr>
          <w:rFonts w:ascii="Aptos" w:hAnsi="Aptos" w:eastAsia="Aptos" w:cs="Aptos"/>
          <w:noProof w:val="0"/>
          <w:sz w:val="24"/>
          <w:szCs w:val="24"/>
          <w:lang w:val="en-GB"/>
        </w:rPr>
      </w:pPr>
      <w:r w:rsidRPr="26E84261" w:rsidR="76959566">
        <w:rPr>
          <w:rFonts w:ascii="Aptos" w:hAnsi="Aptos" w:eastAsia="Aptos" w:cs="Aptos"/>
          <w:b w:val="1"/>
          <w:bCs w:val="1"/>
          <w:i w:val="0"/>
          <w:iCs w:val="0"/>
          <w:caps w:val="0"/>
          <w:smallCaps w:val="0"/>
          <w:noProof w:val="0"/>
          <w:color w:val="000000" w:themeColor="text1" w:themeTint="FF" w:themeShade="FF"/>
          <w:sz w:val="28"/>
          <w:szCs w:val="28"/>
          <w:lang w:val="en-GB"/>
        </w:rPr>
        <w:t>Course: BSc (Hons) Health and Social Care</w:t>
      </w:r>
    </w:p>
    <w:p w:rsidR="4C35BF9D" w:rsidP="489789AE" w:rsidRDefault="4C35BF9D" w14:paraId="54464601" w14:textId="5F006301">
      <w:pPr>
        <w:spacing w:line="360" w:lineRule="auto"/>
        <w:jc w:val="center"/>
        <w:rPr>
          <w:rFonts w:ascii="Arial" w:hAnsi="Arial" w:eastAsia="Arial" w:cs="Arial"/>
          <w:b w:val="1"/>
          <w:bCs w:val="1"/>
          <w:i w:val="0"/>
          <w:iCs w:val="0"/>
          <w:caps w:val="0"/>
          <w:smallCaps w:val="0"/>
          <w:noProof w:val="0"/>
          <w:color w:val="000000" w:themeColor="text1" w:themeTint="FF" w:themeShade="FF"/>
          <w:sz w:val="36"/>
          <w:szCs w:val="36"/>
          <w:lang w:val="en-GB"/>
        </w:rPr>
      </w:pPr>
      <w:r w:rsidRPr="489789AE" w:rsidR="5D227520">
        <w:rPr>
          <w:rFonts w:ascii="Arial" w:hAnsi="Arial" w:eastAsia="Arial" w:cs="Arial"/>
          <w:b w:val="1"/>
          <w:bCs w:val="1"/>
          <w:i w:val="0"/>
          <w:iCs w:val="0"/>
          <w:caps w:val="0"/>
          <w:smallCaps w:val="0"/>
          <w:noProof w:val="0"/>
          <w:color w:val="000000" w:themeColor="text1" w:themeTint="FF" w:themeShade="FF"/>
          <w:sz w:val="36"/>
          <w:szCs w:val="36"/>
          <w:lang w:val="en-GB"/>
        </w:rPr>
        <w:t xml:space="preserve">Assessing the role of social services in safeguarding young people in the United </w:t>
      </w:r>
      <w:r w:rsidRPr="489789AE" w:rsidR="1BF34BB9">
        <w:rPr>
          <w:rFonts w:ascii="Arial" w:hAnsi="Arial" w:eastAsia="Arial" w:cs="Arial"/>
          <w:b w:val="1"/>
          <w:bCs w:val="1"/>
          <w:i w:val="0"/>
          <w:iCs w:val="0"/>
          <w:caps w:val="0"/>
          <w:smallCaps w:val="0"/>
          <w:noProof w:val="0"/>
          <w:color w:val="000000" w:themeColor="text1" w:themeTint="FF" w:themeShade="FF"/>
          <w:sz w:val="36"/>
          <w:szCs w:val="36"/>
          <w:lang w:val="en-GB"/>
        </w:rPr>
        <w:t>Kingdom</w:t>
      </w:r>
    </w:p>
    <w:p w:rsidR="26E84261" w:rsidP="26E84261" w:rsidRDefault="26E84261" w14:paraId="60050D2C" w14:textId="03A7664F">
      <w:pPr>
        <w:pStyle w:val="Normal"/>
        <w:keepNext w:val="1"/>
        <w:keepLines w:val="1"/>
        <w:rPr>
          <w:noProof w:val="0"/>
          <w:lang w:val="en-GB"/>
        </w:rPr>
      </w:pPr>
    </w:p>
    <w:p w:rsidR="26E84261" w:rsidP="26E84261" w:rsidRDefault="26E84261" w14:paraId="70448A29" w14:textId="479E16A3">
      <w:pPr>
        <w:pStyle w:val="Normal"/>
        <w:keepNext w:val="1"/>
        <w:keepLines w:val="1"/>
        <w:rPr>
          <w:noProof w:val="0"/>
          <w:lang w:val="en-GB"/>
        </w:rPr>
      </w:pPr>
    </w:p>
    <w:p w:rsidR="3EB4F2BD" w:rsidP="26E84261" w:rsidRDefault="3EB4F2BD" w14:paraId="45BADBD9" w14:textId="7FE57C7B">
      <w:pPr>
        <w:pStyle w:val="Normal"/>
        <w:keepNext w:val="1"/>
        <w:keepLines w:val="1"/>
        <w:rPr>
          <w:b w:val="1"/>
          <w:bCs w:val="1"/>
          <w:noProof w:val="0"/>
          <w:lang w:val="en-GB"/>
        </w:rPr>
      </w:pPr>
      <w:r w:rsidRPr="26E84261" w:rsidR="3EB4F2BD">
        <w:rPr>
          <w:b w:val="1"/>
          <w:bCs w:val="1"/>
          <w:noProof w:val="0"/>
          <w:lang w:val="en-GB"/>
        </w:rPr>
        <w:t>Acknowledgements</w:t>
      </w:r>
    </w:p>
    <w:p w:rsidR="3EB4F2BD" w:rsidP="26E84261" w:rsidRDefault="3EB4F2BD" w14:paraId="4B8A0638" w14:textId="173C62AF">
      <w:pPr>
        <w:pStyle w:val="Normal"/>
        <w:keepNext w:val="1"/>
        <w:keepLines w:val="1"/>
        <w:rPr>
          <w:b w:val="0"/>
          <w:bCs w:val="0"/>
          <w:noProof w:val="0"/>
          <w:lang w:val="en-GB"/>
        </w:rPr>
      </w:pPr>
      <w:r w:rsidRPr="2AA95F6F" w:rsidR="3EB4F2BD">
        <w:rPr>
          <w:b w:val="0"/>
          <w:bCs w:val="0"/>
          <w:noProof w:val="0"/>
          <w:lang w:val="en-GB"/>
        </w:rPr>
        <w:t>As someone with a care experienced background opportunities like studying or even dream</w:t>
      </w:r>
      <w:r w:rsidRPr="2AA95F6F" w:rsidR="72802605">
        <w:rPr>
          <w:b w:val="0"/>
          <w:bCs w:val="0"/>
          <w:noProof w:val="0"/>
          <w:lang w:val="en-GB"/>
        </w:rPr>
        <w:t>ing</w:t>
      </w:r>
      <w:r w:rsidRPr="2AA95F6F" w:rsidR="3EB4F2BD">
        <w:rPr>
          <w:b w:val="0"/>
          <w:bCs w:val="0"/>
          <w:noProof w:val="0"/>
          <w:lang w:val="en-GB"/>
        </w:rPr>
        <w:t xml:space="preserve"> of any forms of success are limited due t</w:t>
      </w:r>
      <w:r w:rsidRPr="2AA95F6F" w:rsidR="42BD872C">
        <w:rPr>
          <w:b w:val="0"/>
          <w:bCs w:val="0"/>
          <w:noProof w:val="0"/>
          <w:lang w:val="en-GB"/>
        </w:rPr>
        <w:t xml:space="preserve">o </w:t>
      </w:r>
      <w:r w:rsidRPr="2AA95F6F" w:rsidR="7BFBA538">
        <w:rPr>
          <w:b w:val="0"/>
          <w:bCs w:val="0"/>
          <w:noProof w:val="0"/>
          <w:lang w:val="en-GB"/>
        </w:rPr>
        <w:t xml:space="preserve">an ongoing battle of surviving through a system which comes across tough for most of us. Mental health was </w:t>
      </w:r>
      <w:r w:rsidRPr="2AA95F6F" w:rsidR="6B0ACCC3">
        <w:rPr>
          <w:b w:val="0"/>
          <w:bCs w:val="0"/>
          <w:noProof w:val="0"/>
          <w:lang w:val="en-GB"/>
        </w:rPr>
        <w:t>always</w:t>
      </w:r>
      <w:r w:rsidRPr="2AA95F6F" w:rsidR="7BFBA538">
        <w:rPr>
          <w:b w:val="0"/>
          <w:bCs w:val="0"/>
          <w:noProof w:val="0"/>
          <w:lang w:val="en-GB"/>
        </w:rPr>
        <w:t xml:space="preserve"> a big battle for </w:t>
      </w:r>
      <w:r w:rsidRPr="2AA95F6F" w:rsidR="25FB85CD">
        <w:rPr>
          <w:b w:val="0"/>
          <w:bCs w:val="0"/>
          <w:noProof w:val="0"/>
          <w:lang w:val="en-GB"/>
        </w:rPr>
        <w:t>me</w:t>
      </w:r>
      <w:r w:rsidRPr="2AA95F6F" w:rsidR="7BFBA538">
        <w:rPr>
          <w:b w:val="0"/>
          <w:bCs w:val="0"/>
          <w:noProof w:val="0"/>
          <w:lang w:val="en-GB"/>
        </w:rPr>
        <w:t xml:space="preserve"> not k</w:t>
      </w:r>
      <w:r w:rsidRPr="2AA95F6F" w:rsidR="02BA8F7A">
        <w:rPr>
          <w:b w:val="0"/>
          <w:bCs w:val="0"/>
          <w:noProof w:val="0"/>
          <w:lang w:val="en-GB"/>
        </w:rPr>
        <w:t xml:space="preserve">nowing where </w:t>
      </w:r>
      <w:r w:rsidRPr="2AA95F6F" w:rsidR="12156715">
        <w:rPr>
          <w:b w:val="0"/>
          <w:bCs w:val="0"/>
          <w:noProof w:val="0"/>
          <w:lang w:val="en-GB"/>
        </w:rPr>
        <w:t xml:space="preserve">life would take me </w:t>
      </w:r>
      <w:r w:rsidRPr="2AA95F6F" w:rsidR="29B91292">
        <w:rPr>
          <w:b w:val="0"/>
          <w:bCs w:val="0"/>
          <w:noProof w:val="0"/>
          <w:lang w:val="en-GB"/>
        </w:rPr>
        <w:t xml:space="preserve">what steps I would take whether </w:t>
      </w:r>
      <w:r w:rsidRPr="2AA95F6F" w:rsidR="4A20BA00">
        <w:rPr>
          <w:b w:val="0"/>
          <w:bCs w:val="0"/>
          <w:noProof w:val="0"/>
          <w:lang w:val="en-GB"/>
        </w:rPr>
        <w:t>I</w:t>
      </w:r>
      <w:r w:rsidRPr="2AA95F6F" w:rsidR="29B91292">
        <w:rPr>
          <w:b w:val="0"/>
          <w:bCs w:val="0"/>
          <w:noProof w:val="0"/>
          <w:lang w:val="en-GB"/>
        </w:rPr>
        <w:t xml:space="preserve"> could even achieve anything or even be good enough. This course has taught me many things about myself for example </w:t>
      </w:r>
      <w:r w:rsidRPr="2AA95F6F" w:rsidR="3660DA65">
        <w:rPr>
          <w:b w:val="0"/>
          <w:bCs w:val="0"/>
          <w:noProof w:val="0"/>
          <w:lang w:val="en-GB"/>
        </w:rPr>
        <w:t>feeling a form of recognition for being me and pushing m</w:t>
      </w:r>
      <w:r w:rsidRPr="2AA95F6F" w:rsidR="70A70743">
        <w:rPr>
          <w:b w:val="0"/>
          <w:bCs w:val="0"/>
          <w:noProof w:val="0"/>
          <w:lang w:val="en-GB"/>
        </w:rPr>
        <w:t>yself</w:t>
      </w:r>
      <w:r w:rsidRPr="2AA95F6F" w:rsidR="3660DA65">
        <w:rPr>
          <w:b w:val="0"/>
          <w:bCs w:val="0"/>
          <w:noProof w:val="0"/>
          <w:lang w:val="en-GB"/>
        </w:rPr>
        <w:t xml:space="preserve"> to thrive and finally knowing </w:t>
      </w:r>
      <w:r w:rsidRPr="2AA95F6F" w:rsidR="61C17DD3">
        <w:rPr>
          <w:b w:val="0"/>
          <w:bCs w:val="0"/>
          <w:noProof w:val="0"/>
          <w:lang w:val="en-GB"/>
        </w:rPr>
        <w:t>I'm</w:t>
      </w:r>
      <w:r w:rsidRPr="2AA95F6F" w:rsidR="6BAC6F83">
        <w:rPr>
          <w:b w:val="0"/>
          <w:bCs w:val="0"/>
          <w:noProof w:val="0"/>
          <w:lang w:val="en-GB"/>
        </w:rPr>
        <w:t xml:space="preserve"> brilliant</w:t>
      </w:r>
      <w:r w:rsidRPr="2AA95F6F" w:rsidR="3660DA65">
        <w:rPr>
          <w:b w:val="0"/>
          <w:bCs w:val="0"/>
          <w:noProof w:val="0"/>
          <w:lang w:val="en-GB"/>
        </w:rPr>
        <w:t xml:space="preserve"> enough to achieve</w:t>
      </w:r>
      <w:r w:rsidRPr="2AA95F6F" w:rsidR="409A966B">
        <w:rPr>
          <w:b w:val="0"/>
          <w:bCs w:val="0"/>
          <w:noProof w:val="0"/>
          <w:lang w:val="en-GB"/>
        </w:rPr>
        <w:t xml:space="preserve"> and exceed</w:t>
      </w:r>
      <w:r w:rsidRPr="2AA95F6F" w:rsidR="3660DA65">
        <w:rPr>
          <w:b w:val="0"/>
          <w:bCs w:val="0"/>
          <w:noProof w:val="0"/>
          <w:lang w:val="en-GB"/>
        </w:rPr>
        <w:t xml:space="preserve"> beyond </w:t>
      </w:r>
      <w:r w:rsidRPr="2AA95F6F" w:rsidR="07E16345">
        <w:rPr>
          <w:b w:val="0"/>
          <w:bCs w:val="0"/>
          <w:noProof w:val="0"/>
          <w:lang w:val="en-GB"/>
        </w:rPr>
        <w:t>expectations.</w:t>
      </w:r>
      <w:r w:rsidRPr="2AA95F6F" w:rsidR="13977CEB">
        <w:rPr>
          <w:b w:val="0"/>
          <w:bCs w:val="0"/>
          <w:noProof w:val="0"/>
          <w:lang w:val="en-GB"/>
        </w:rPr>
        <w:t xml:space="preserve"> </w:t>
      </w:r>
      <w:r w:rsidRPr="2AA95F6F" w:rsidR="0D1B582F">
        <w:rPr>
          <w:b w:val="0"/>
          <w:bCs w:val="0"/>
          <w:noProof w:val="0"/>
          <w:lang w:val="en-GB"/>
        </w:rPr>
        <w:t>I'm</w:t>
      </w:r>
      <w:r w:rsidRPr="2AA95F6F" w:rsidR="13977CEB">
        <w:rPr>
          <w:b w:val="0"/>
          <w:bCs w:val="0"/>
          <w:noProof w:val="0"/>
          <w:lang w:val="en-GB"/>
        </w:rPr>
        <w:t xml:space="preserve"> so excited for the future and my next successes to come beyond this degree</w:t>
      </w:r>
      <w:r w:rsidRPr="2AA95F6F" w:rsidR="5C260C86">
        <w:rPr>
          <w:b w:val="0"/>
          <w:bCs w:val="0"/>
          <w:noProof w:val="0"/>
          <w:lang w:val="en-GB"/>
        </w:rPr>
        <w:t xml:space="preserve">. </w:t>
      </w:r>
      <w:r w:rsidRPr="2AA95F6F" w:rsidR="11FCE753">
        <w:rPr>
          <w:b w:val="0"/>
          <w:bCs w:val="0"/>
          <w:noProof w:val="0"/>
          <w:lang w:val="en-GB"/>
        </w:rPr>
        <w:t>I'm</w:t>
      </w:r>
      <w:r w:rsidRPr="2AA95F6F" w:rsidR="5C260C86">
        <w:rPr>
          <w:b w:val="0"/>
          <w:bCs w:val="0"/>
          <w:noProof w:val="0"/>
          <w:lang w:val="en-GB"/>
        </w:rPr>
        <w:t xml:space="preserve"> </w:t>
      </w:r>
      <w:r w:rsidRPr="2AA95F6F" w:rsidR="5C260C86">
        <w:rPr>
          <w:b w:val="0"/>
          <w:bCs w:val="0"/>
          <w:noProof w:val="0"/>
          <w:lang w:val="en-GB"/>
        </w:rPr>
        <w:t>very grateful</w:t>
      </w:r>
      <w:r w:rsidRPr="2AA95F6F" w:rsidR="5C260C86">
        <w:rPr>
          <w:b w:val="0"/>
          <w:bCs w:val="0"/>
          <w:noProof w:val="0"/>
          <w:lang w:val="en-GB"/>
        </w:rPr>
        <w:t xml:space="preserve"> for the </w:t>
      </w:r>
      <w:r w:rsidRPr="2AA95F6F" w:rsidR="3533008B">
        <w:rPr>
          <w:b w:val="0"/>
          <w:bCs w:val="0"/>
          <w:noProof w:val="0"/>
          <w:lang w:val="en-GB"/>
        </w:rPr>
        <w:t>amazing</w:t>
      </w:r>
      <w:r w:rsidRPr="2AA95F6F" w:rsidR="5C260C86">
        <w:rPr>
          <w:b w:val="0"/>
          <w:bCs w:val="0"/>
          <w:noProof w:val="0"/>
          <w:lang w:val="en-GB"/>
        </w:rPr>
        <w:t xml:space="preserve"> lecturers that have supported me to excel and the utmost support I have </w:t>
      </w:r>
      <w:r w:rsidRPr="2AA95F6F" w:rsidR="2B833C21">
        <w:rPr>
          <w:b w:val="0"/>
          <w:bCs w:val="0"/>
          <w:noProof w:val="0"/>
          <w:lang w:val="en-GB"/>
        </w:rPr>
        <w:t>received</w:t>
      </w:r>
      <w:r w:rsidRPr="2AA95F6F" w:rsidR="5C260C86">
        <w:rPr>
          <w:b w:val="0"/>
          <w:bCs w:val="0"/>
          <w:noProof w:val="0"/>
          <w:lang w:val="en-GB"/>
        </w:rPr>
        <w:t xml:space="preserve"> from the </w:t>
      </w:r>
      <w:r w:rsidRPr="2AA95F6F" w:rsidR="46FA23E3">
        <w:rPr>
          <w:b w:val="0"/>
          <w:bCs w:val="0"/>
          <w:noProof w:val="0"/>
          <w:lang w:val="en-GB"/>
        </w:rPr>
        <w:t>University of Wales Saint Trinity David to</w:t>
      </w:r>
      <w:r w:rsidRPr="2AA95F6F" w:rsidR="5C260C86">
        <w:rPr>
          <w:b w:val="0"/>
          <w:bCs w:val="0"/>
          <w:noProof w:val="0"/>
          <w:lang w:val="en-GB"/>
        </w:rPr>
        <w:t xml:space="preserve"> help me achieve </w:t>
      </w:r>
      <w:r w:rsidRPr="2AA95F6F" w:rsidR="34647FCE">
        <w:rPr>
          <w:b w:val="0"/>
          <w:bCs w:val="0"/>
          <w:noProof w:val="0"/>
          <w:lang w:val="en-GB"/>
        </w:rPr>
        <w:t xml:space="preserve">something </w:t>
      </w:r>
      <w:r w:rsidRPr="2AA95F6F" w:rsidR="77D1328D">
        <w:rPr>
          <w:b w:val="0"/>
          <w:bCs w:val="0"/>
          <w:noProof w:val="0"/>
          <w:lang w:val="en-GB"/>
        </w:rPr>
        <w:t>I use think</w:t>
      </w:r>
      <w:r w:rsidRPr="2AA95F6F" w:rsidR="34647FCE">
        <w:rPr>
          <w:b w:val="0"/>
          <w:bCs w:val="0"/>
          <w:noProof w:val="0"/>
          <w:lang w:val="en-GB"/>
        </w:rPr>
        <w:t xml:space="preserve"> could be impossible.</w:t>
      </w:r>
      <w:r w:rsidRPr="2AA95F6F" w:rsidR="4B596B10">
        <w:rPr>
          <w:b w:val="0"/>
          <w:bCs w:val="0"/>
          <w:noProof w:val="0"/>
          <w:lang w:val="en-GB"/>
        </w:rPr>
        <w:t xml:space="preserve"> </w:t>
      </w:r>
      <w:r w:rsidRPr="2AA95F6F" w:rsidR="76E2515C">
        <w:rPr>
          <w:b w:val="0"/>
          <w:bCs w:val="0"/>
          <w:noProof w:val="0"/>
          <w:lang w:val="en-GB"/>
        </w:rPr>
        <w:t xml:space="preserve">On a bigger </w:t>
      </w:r>
      <w:r w:rsidRPr="2AA95F6F" w:rsidR="1C0C0090">
        <w:rPr>
          <w:b w:val="0"/>
          <w:bCs w:val="0"/>
          <w:noProof w:val="0"/>
          <w:lang w:val="en-GB"/>
        </w:rPr>
        <w:t>note,</w:t>
      </w:r>
      <w:r w:rsidRPr="2AA95F6F" w:rsidR="76E2515C">
        <w:rPr>
          <w:b w:val="0"/>
          <w:bCs w:val="0"/>
          <w:noProof w:val="0"/>
          <w:lang w:val="en-GB"/>
        </w:rPr>
        <w:t xml:space="preserve"> </w:t>
      </w:r>
      <w:r w:rsidRPr="2AA95F6F" w:rsidR="7FC692CD">
        <w:rPr>
          <w:b w:val="0"/>
          <w:bCs w:val="0"/>
          <w:noProof w:val="0"/>
          <w:lang w:val="en-GB"/>
        </w:rPr>
        <w:t xml:space="preserve">it </w:t>
      </w:r>
      <w:r w:rsidRPr="2AA95F6F" w:rsidR="7FC692CD">
        <w:rPr>
          <w:b w:val="0"/>
          <w:bCs w:val="0"/>
          <w:noProof w:val="0"/>
          <w:lang w:val="en-GB"/>
        </w:rPr>
        <w:t>wouldn't</w:t>
      </w:r>
      <w:r w:rsidRPr="2AA95F6F" w:rsidR="4B596B10">
        <w:rPr>
          <w:b w:val="0"/>
          <w:bCs w:val="0"/>
          <w:noProof w:val="0"/>
          <w:lang w:val="en-GB"/>
        </w:rPr>
        <w:t xml:space="preserve"> be possible without the support of my amazing daughter Amelia and her li</w:t>
      </w:r>
      <w:r w:rsidRPr="2AA95F6F" w:rsidR="7BEE57A3">
        <w:rPr>
          <w:b w:val="0"/>
          <w:bCs w:val="0"/>
          <w:noProof w:val="0"/>
          <w:lang w:val="en-GB"/>
        </w:rPr>
        <w:t xml:space="preserve">ttle courageous </w:t>
      </w:r>
      <w:r w:rsidRPr="2AA95F6F" w:rsidR="0735278D">
        <w:rPr>
          <w:b w:val="0"/>
          <w:bCs w:val="0"/>
          <w:noProof w:val="0"/>
          <w:lang w:val="en-GB"/>
        </w:rPr>
        <w:t>speeches</w:t>
      </w:r>
      <w:r w:rsidRPr="2AA95F6F" w:rsidR="7BEE57A3">
        <w:rPr>
          <w:b w:val="0"/>
          <w:bCs w:val="0"/>
          <w:noProof w:val="0"/>
          <w:lang w:val="en-GB"/>
        </w:rPr>
        <w:t xml:space="preserve"> to keep me going and brighten my </w:t>
      </w:r>
      <w:r w:rsidRPr="2AA95F6F" w:rsidR="7BEE57A3">
        <w:rPr>
          <w:b w:val="0"/>
          <w:bCs w:val="0"/>
          <w:noProof w:val="0"/>
          <w:lang w:val="en-GB"/>
        </w:rPr>
        <w:t>day</w:t>
      </w:r>
      <w:r w:rsidRPr="2AA95F6F" w:rsidR="66338428">
        <w:rPr>
          <w:b w:val="0"/>
          <w:bCs w:val="0"/>
          <w:noProof w:val="0"/>
          <w:lang w:val="en-GB"/>
        </w:rPr>
        <w:t>.</w:t>
      </w:r>
      <w:r w:rsidRPr="2AA95F6F" w:rsidR="4B596B10">
        <w:rPr>
          <w:b w:val="0"/>
          <w:bCs w:val="0"/>
          <w:noProof w:val="0"/>
          <w:lang w:val="en-GB"/>
        </w:rPr>
        <w:t xml:space="preserve"> </w:t>
      </w:r>
      <w:r w:rsidRPr="2AA95F6F" w:rsidR="4B596B10">
        <w:rPr>
          <w:b w:val="0"/>
          <w:bCs w:val="0"/>
          <w:noProof w:val="0"/>
          <w:lang w:val="en-GB"/>
        </w:rPr>
        <w:t>I</w:t>
      </w:r>
      <w:r w:rsidRPr="2AA95F6F" w:rsidR="31F8463A">
        <w:rPr>
          <w:b w:val="0"/>
          <w:bCs w:val="0"/>
          <w:noProof w:val="0"/>
          <w:lang w:val="en-GB"/>
        </w:rPr>
        <w:t xml:space="preserve"> would like to show some appreciation to my amazing lecturer Chloe Harris for supporting and teaching brilliantly dur</w:t>
      </w:r>
      <w:r w:rsidRPr="2AA95F6F" w:rsidR="50597EA4">
        <w:rPr>
          <w:b w:val="0"/>
          <w:bCs w:val="0"/>
          <w:noProof w:val="0"/>
          <w:lang w:val="en-GB"/>
        </w:rPr>
        <w:t>ing this dissertation.</w:t>
      </w:r>
    </w:p>
    <w:p w:rsidR="26E84261" w:rsidP="26E84261" w:rsidRDefault="26E84261" w14:paraId="0533B7ED" w14:textId="1942D5F7">
      <w:pPr>
        <w:pStyle w:val="Normal"/>
        <w:keepNext w:val="1"/>
        <w:keepLines w:val="1"/>
        <w:rPr>
          <w:b w:val="0"/>
          <w:bCs w:val="0"/>
          <w:noProof w:val="0"/>
          <w:lang w:val="en-GB"/>
        </w:rPr>
      </w:pPr>
    </w:p>
    <w:p w:rsidR="6387F054" w:rsidP="6387F054" w:rsidRDefault="6387F054" w14:paraId="4E5B2D7A" w14:textId="237DAD84">
      <w:pPr>
        <w:pStyle w:val="Normal"/>
        <w:keepNext w:val="1"/>
        <w:keepLines w:val="1"/>
        <w:rPr>
          <w:b w:val="1"/>
          <w:bCs w:val="1"/>
          <w:noProof w:val="0"/>
          <w:lang w:val="en-GB"/>
        </w:rPr>
      </w:pPr>
    </w:p>
    <w:p w:rsidR="6387F054" w:rsidP="6387F054" w:rsidRDefault="6387F054" w14:paraId="0373F05B" w14:textId="32D58140">
      <w:pPr>
        <w:pStyle w:val="Normal"/>
        <w:keepNext w:val="1"/>
        <w:keepLines w:val="1"/>
        <w:rPr>
          <w:b w:val="1"/>
          <w:bCs w:val="1"/>
          <w:noProof w:val="0"/>
          <w:lang w:val="en-GB"/>
        </w:rPr>
      </w:pPr>
    </w:p>
    <w:p w:rsidR="6387F054" w:rsidP="6387F054" w:rsidRDefault="6387F054" w14:paraId="4E4C66E0" w14:textId="2F74C724">
      <w:pPr>
        <w:pStyle w:val="Normal"/>
        <w:keepNext w:val="1"/>
        <w:keepLines w:val="1"/>
        <w:rPr>
          <w:b w:val="1"/>
          <w:bCs w:val="1"/>
          <w:noProof w:val="0"/>
          <w:lang w:val="en-GB"/>
        </w:rPr>
      </w:pPr>
    </w:p>
    <w:p w:rsidR="6387F054" w:rsidP="6387F054" w:rsidRDefault="6387F054" w14:paraId="11F5E279" w14:textId="5814BFBA">
      <w:pPr>
        <w:pStyle w:val="Normal"/>
        <w:keepNext w:val="1"/>
        <w:keepLines w:val="1"/>
        <w:rPr>
          <w:b w:val="1"/>
          <w:bCs w:val="1"/>
          <w:noProof w:val="0"/>
          <w:lang w:val="en-GB"/>
        </w:rPr>
      </w:pPr>
    </w:p>
    <w:p w:rsidR="6387F054" w:rsidP="6387F054" w:rsidRDefault="6387F054" w14:paraId="69FDA0C9" w14:textId="75DD298B">
      <w:pPr>
        <w:pStyle w:val="Normal"/>
        <w:keepNext w:val="1"/>
        <w:keepLines w:val="1"/>
        <w:rPr>
          <w:b w:val="1"/>
          <w:bCs w:val="1"/>
          <w:noProof w:val="0"/>
          <w:lang w:val="en-GB"/>
        </w:rPr>
      </w:pPr>
    </w:p>
    <w:p w:rsidR="6387F054" w:rsidP="6387F054" w:rsidRDefault="6387F054" w14:paraId="55B8ABFC" w14:textId="19CF6EBE">
      <w:pPr>
        <w:pStyle w:val="Normal"/>
        <w:keepNext w:val="1"/>
        <w:keepLines w:val="1"/>
        <w:rPr>
          <w:b w:val="1"/>
          <w:bCs w:val="1"/>
          <w:noProof w:val="0"/>
          <w:lang w:val="en-GB"/>
        </w:rPr>
      </w:pPr>
    </w:p>
    <w:p w:rsidR="6387F054" w:rsidP="6387F054" w:rsidRDefault="6387F054" w14:paraId="0B25CA1F" w14:textId="54F9E184">
      <w:pPr>
        <w:pStyle w:val="Normal"/>
        <w:keepNext w:val="1"/>
        <w:keepLines w:val="1"/>
        <w:rPr>
          <w:b w:val="1"/>
          <w:bCs w:val="1"/>
          <w:noProof w:val="0"/>
          <w:lang w:val="en-GB"/>
        </w:rPr>
      </w:pPr>
    </w:p>
    <w:p w:rsidR="6387F054" w:rsidP="6387F054" w:rsidRDefault="6387F054" w14:paraId="487A3F08" w14:textId="5F734833">
      <w:pPr>
        <w:pStyle w:val="Normal"/>
        <w:keepNext w:val="1"/>
        <w:keepLines w:val="1"/>
        <w:rPr>
          <w:b w:val="1"/>
          <w:bCs w:val="1"/>
          <w:noProof w:val="0"/>
          <w:lang w:val="en-GB"/>
        </w:rPr>
      </w:pPr>
    </w:p>
    <w:p w:rsidR="6387F054" w:rsidP="6387F054" w:rsidRDefault="6387F054" w14:paraId="75939799" w14:textId="461B2E29">
      <w:pPr>
        <w:pStyle w:val="Normal"/>
        <w:keepNext w:val="1"/>
        <w:keepLines w:val="1"/>
        <w:rPr>
          <w:b w:val="1"/>
          <w:bCs w:val="1"/>
          <w:noProof w:val="0"/>
          <w:lang w:val="en-GB"/>
        </w:rPr>
      </w:pPr>
    </w:p>
    <w:p w:rsidR="6387F054" w:rsidP="6387F054" w:rsidRDefault="6387F054" w14:paraId="0E5A0C80" w14:textId="0572980A">
      <w:pPr>
        <w:pStyle w:val="Normal"/>
        <w:keepNext w:val="1"/>
        <w:keepLines w:val="1"/>
        <w:rPr>
          <w:b w:val="1"/>
          <w:bCs w:val="1"/>
          <w:noProof w:val="0"/>
          <w:lang w:val="en-GB"/>
        </w:rPr>
      </w:pPr>
    </w:p>
    <w:p w:rsidR="6387F054" w:rsidP="6387F054" w:rsidRDefault="6387F054" w14:paraId="452BC751" w14:textId="08577DD4">
      <w:pPr>
        <w:pStyle w:val="Normal"/>
        <w:keepNext w:val="1"/>
        <w:keepLines w:val="1"/>
        <w:rPr>
          <w:b w:val="1"/>
          <w:bCs w:val="1"/>
          <w:noProof w:val="0"/>
          <w:lang w:val="en-GB"/>
        </w:rPr>
      </w:pPr>
    </w:p>
    <w:p w:rsidR="6387F054" w:rsidP="6387F054" w:rsidRDefault="6387F054" w14:paraId="38BDA04F" w14:textId="31DBD0F7">
      <w:pPr>
        <w:pStyle w:val="Normal"/>
        <w:keepNext w:val="1"/>
        <w:keepLines w:val="1"/>
        <w:rPr>
          <w:b w:val="1"/>
          <w:bCs w:val="1"/>
          <w:noProof w:val="0"/>
          <w:lang w:val="en-GB"/>
        </w:rPr>
      </w:pPr>
    </w:p>
    <w:p w:rsidR="6387F054" w:rsidP="6387F054" w:rsidRDefault="6387F054" w14:paraId="2AD8E5B0" w14:textId="26B87C4B">
      <w:pPr>
        <w:pStyle w:val="Normal"/>
        <w:keepNext w:val="1"/>
        <w:keepLines w:val="1"/>
        <w:rPr>
          <w:b w:val="1"/>
          <w:bCs w:val="1"/>
          <w:noProof w:val="0"/>
          <w:lang w:val="en-GB"/>
        </w:rPr>
      </w:pPr>
    </w:p>
    <w:p w:rsidR="6387F054" w:rsidP="6387F054" w:rsidRDefault="6387F054" w14:paraId="4F3AB861" w14:textId="6E70761B">
      <w:pPr>
        <w:pStyle w:val="Normal"/>
        <w:keepNext w:val="1"/>
        <w:keepLines w:val="1"/>
        <w:rPr>
          <w:b w:val="1"/>
          <w:bCs w:val="1"/>
          <w:noProof w:val="0"/>
          <w:lang w:val="en-GB"/>
        </w:rPr>
      </w:pPr>
    </w:p>
    <w:p w:rsidR="6387F054" w:rsidP="6387F054" w:rsidRDefault="6387F054" w14:paraId="4B30E9F6" w14:textId="39AE4731">
      <w:pPr>
        <w:pStyle w:val="Normal"/>
        <w:keepNext w:val="1"/>
        <w:keepLines w:val="1"/>
        <w:rPr>
          <w:b w:val="1"/>
          <w:bCs w:val="1"/>
          <w:noProof w:val="0"/>
          <w:lang w:val="en-GB"/>
        </w:rPr>
      </w:pPr>
    </w:p>
    <w:p w:rsidR="5CD3305E" w:rsidP="26E84261" w:rsidRDefault="5CD3305E" w14:paraId="40C010B6" w14:textId="26A13E54">
      <w:pPr>
        <w:pStyle w:val="Normal"/>
        <w:keepNext w:val="1"/>
        <w:keepLines w:val="1"/>
        <w:rPr>
          <w:b w:val="1"/>
          <w:bCs w:val="1"/>
          <w:noProof w:val="0"/>
          <w:lang w:val="en-GB"/>
        </w:rPr>
      </w:pPr>
      <w:r w:rsidRPr="26E84261" w:rsidR="5CD3305E">
        <w:rPr>
          <w:b w:val="1"/>
          <w:bCs w:val="1"/>
          <w:noProof w:val="0"/>
          <w:lang w:val="en-GB"/>
        </w:rPr>
        <w:t>Abstract</w:t>
      </w:r>
    </w:p>
    <w:p w:rsidR="64BAE650" w:rsidP="489789AE" w:rsidRDefault="64BAE650" w14:paraId="18D50E33" w14:textId="63639EDB">
      <w:pPr>
        <w:pStyle w:val="Normal"/>
        <w:keepNext w:val="1"/>
        <w:keepLines w:val="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6AC7E7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Social services are public or private </w:t>
      </w:r>
      <w:r w:rsidRPr="489789AE" w:rsidR="7B982B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organisation</w:t>
      </w:r>
      <w:r w:rsidRPr="489789AE" w:rsidR="6AC7E7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designed to support the well-being of individuals, families, and communities. Their main goal is to improve people’s quality of life, especially for those facing difficulties such as poverty, unemployment, disability, abuse, or social exclusion. Social services </w:t>
      </w:r>
      <w:r w:rsidRPr="489789AE" w:rsidR="7D5A2F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can </w:t>
      </w:r>
      <w:r w:rsidRPr="489789AE" w:rsidR="7F7545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help</w:t>
      </w:r>
      <w:r w:rsidRPr="489789AE" w:rsidR="6AC7E7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7E4D53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offer </w:t>
      </w:r>
      <w:r w:rsidRPr="489789AE" w:rsidR="6AC7E7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protection, and opportunities to help people live safely and independently</w:t>
      </w:r>
      <w:r w:rsidRPr="489789AE" w:rsidR="68F9D9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(Care Act, 2014).</w:t>
      </w:r>
    </w:p>
    <w:p w:rsidR="64BAE650" w:rsidP="26E84261" w:rsidRDefault="64BAE650" w14:paraId="648EF684" w14:textId="12AD41EF">
      <w:pPr>
        <w:shd w:val="clear" w:color="auto" w:fill="FFFFFF" w:themeFill="background1"/>
        <w:spacing w:before="195" w:beforeAutospacing="off" w:after="195" w:afterAutospacing="off"/>
      </w:pPr>
      <w:r w:rsidRPr="26E84261" w:rsidR="64BAE6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They include a wide range of services such as child protection, elderly care, housing support, mental health </w:t>
      </w:r>
      <w:r w:rsidRPr="26E84261" w:rsidR="64BAE6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counselling</w:t>
      </w:r>
      <w:r w:rsidRPr="26E84261" w:rsidR="64BAE6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financial aid. Social workers and other professionals in this field assess people’s needs, offer guidance, and connect them with available resources. Governments often fund these programs, but many non-governmental organizations and charities also play </w:t>
      </w:r>
      <w:r w:rsidRPr="26E84261" w:rsidR="64BAE6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major role</w:t>
      </w:r>
      <w:r w:rsidRPr="26E84261" w:rsidR="64BAE6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64BAE650" w:rsidP="26E84261" w:rsidRDefault="64BAE650" w14:paraId="2FF0737C" w14:textId="745A426D">
      <w:pPr>
        <w:shd w:val="clear" w:color="auto" w:fill="FFFFFF" w:themeFill="background1"/>
        <w:spacing w:before="195" w:beforeAutospacing="off" w:after="195" w:afterAutospacing="off"/>
      </w:pPr>
      <w:r w:rsidRPr="489789AE" w:rsidR="64BAE6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Social services </w:t>
      </w:r>
      <w:r w:rsidRPr="489789AE" w:rsidR="6BBF00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 </w:t>
      </w:r>
      <w:r w:rsidRPr="489789AE" w:rsidR="6BBF00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highly</w:t>
      </w:r>
      <w:r w:rsidRPr="489789AE" w:rsidR="6BBF00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64BAE6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important</w:t>
      </w:r>
      <w:r w:rsidRPr="489789AE" w:rsidR="64BAE6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because they promote fairness and equality within society. By supporting vulnerable individuals and families, these services help prevent social problems from worsening and encourage social inclusion. They also strengthen communities by promoting cooperation and understanding among people from </w:t>
      </w:r>
      <w:r w:rsidRPr="489789AE" w:rsidR="64BAE6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different backgrounds</w:t>
      </w:r>
      <w:r w:rsidRPr="489789AE" w:rsidR="64BAE6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Overall, social services are </w:t>
      </w:r>
      <w:r w:rsidRPr="489789AE" w:rsidR="08365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h</w:t>
      </w:r>
      <w:r w:rsidRPr="489789AE" w:rsidR="08365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ighly </w:t>
      </w:r>
      <w:r w:rsidRPr="489789AE" w:rsidR="64BAE6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vital part of any society, ensuring that everyone has access to the support and opportunities they need to live a dignified and productive life</w:t>
      </w:r>
      <w:r w:rsidRPr="489789AE" w:rsidR="1811EF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(Working Together to safeguard children, 2023).</w:t>
      </w:r>
    </w:p>
    <w:tbl>
      <w:tblPr>
        <w:tblStyle w:val="TableNormal"/>
        <w:bidiVisual w:val="0"/>
        <w:tblW w:w="0" w:type="auto"/>
        <w:tblLayout w:type="fixed"/>
        <w:tblLook w:val="06A0" w:firstRow="1" w:lastRow="0" w:firstColumn="1" w:lastColumn="0" w:noHBand="1" w:noVBand="1"/>
      </w:tblPr>
      <w:tblGrid>
        <w:gridCol w:w="339"/>
        <w:gridCol w:w="8676"/>
      </w:tblGrid>
      <w:tr w:rsidR="26E84261" w:rsidTr="26E84261" w14:paraId="46E8487B">
        <w:trPr>
          <w:trHeight w:val="300"/>
        </w:trPr>
        <w:tc>
          <w:tcPr>
            <w:tcW w:w="339" w:type="dxa"/>
            <w:tcMar>
              <w:left w:w="240" w:type="dxa"/>
              <w:right w:w="240" w:type="dxa"/>
            </w:tcMar>
            <w:vAlign w:val="top"/>
          </w:tcPr>
          <w:p w:rsidR="26E84261" w:rsidP="26E84261" w:rsidRDefault="26E84261" w14:paraId="10039773" w14:textId="0280E49C">
            <w:pPr>
              <w:shd w:val="clear" w:color="auto" w:fill="FFFFFF" w:themeFill="background1"/>
              <w:spacing w:before="0" w:beforeAutospacing="off" w:after="0" w:afterAutospacing="off"/>
            </w:pPr>
          </w:p>
        </w:tc>
        <w:tc>
          <w:tcPr>
            <w:tcW w:w="8676" w:type="dxa"/>
            <w:tcMar/>
            <w:vAlign w:val="center"/>
          </w:tcPr>
          <w:p w:rsidR="26E84261" w:rsidRDefault="26E84261" w14:paraId="641AF69C" w14:textId="1BA4187E"/>
        </w:tc>
      </w:tr>
    </w:tbl>
    <w:p w:rsidR="06149BF0" w:rsidP="26E84261" w:rsidRDefault="06149BF0" w14:paraId="143627C7" w14:textId="5E656FB6">
      <w:pPr>
        <w:pStyle w:val="Normal"/>
        <w:keepNext w:val="1"/>
        <w:keepLines w:val="1"/>
        <w:rPr>
          <w:b w:val="1"/>
          <w:bCs w:val="1"/>
          <w:noProof w:val="0"/>
          <w:sz w:val="32"/>
          <w:szCs w:val="32"/>
          <w:lang w:val="en-GB"/>
        </w:rPr>
      </w:pPr>
      <w:r w:rsidRPr="6387F054" w:rsidR="45C2F9E2">
        <w:rPr>
          <w:b w:val="1"/>
          <w:bCs w:val="1"/>
          <w:noProof w:val="0"/>
          <w:sz w:val="32"/>
          <w:szCs w:val="32"/>
          <w:lang w:val="en-GB"/>
        </w:rPr>
        <w:t>Chapter 1 Introduction and Background</w:t>
      </w:r>
    </w:p>
    <w:p w:rsidR="38662F4D" w:rsidP="26E84261" w:rsidRDefault="38662F4D" w14:paraId="75E140F2" w14:textId="5E052438">
      <w:pPr>
        <w:pStyle w:val="Normal"/>
        <w:keepNext w:val="1"/>
        <w:keepLines w:val="1"/>
        <w:rPr>
          <w:rFonts w:ascii="Arial" w:hAnsi="Arial" w:eastAsia="Arial" w:cs="Arial"/>
          <w:b w:val="0"/>
          <w:bCs w:val="0"/>
          <w:noProof w:val="0"/>
          <w:sz w:val="24"/>
          <w:szCs w:val="24"/>
          <w:lang w:val="en-GB"/>
        </w:rPr>
      </w:pPr>
      <w:r w:rsidRPr="489789AE" w:rsidR="560A6A14">
        <w:rPr>
          <w:rFonts w:ascii="Arial" w:hAnsi="Arial" w:eastAsia="Arial" w:cs="Arial"/>
          <w:b w:val="0"/>
          <w:bCs w:val="0"/>
          <w:noProof w:val="0"/>
          <w:sz w:val="24"/>
          <w:szCs w:val="24"/>
          <w:lang w:val="en-GB"/>
        </w:rPr>
        <w:t>The main aim of this dissertation is to do an overview of social services and w</w:t>
      </w:r>
      <w:r w:rsidRPr="489789AE" w:rsidR="161F47D9">
        <w:rPr>
          <w:rFonts w:ascii="Arial" w:hAnsi="Arial" w:eastAsia="Arial" w:cs="Arial"/>
          <w:b w:val="0"/>
          <w:bCs w:val="0"/>
          <w:noProof w:val="0"/>
          <w:sz w:val="24"/>
          <w:szCs w:val="24"/>
          <w:lang w:val="en-GB"/>
        </w:rPr>
        <w:t xml:space="preserve">hat changes can be made to better future practice. </w:t>
      </w:r>
      <w:r w:rsidRPr="489789AE" w:rsidR="79FF51C1">
        <w:rPr>
          <w:rFonts w:ascii="Arial" w:hAnsi="Arial" w:eastAsia="Arial" w:cs="Arial"/>
          <w:b w:val="0"/>
          <w:bCs w:val="0"/>
          <w:noProof w:val="0"/>
          <w:sz w:val="24"/>
          <w:szCs w:val="24"/>
          <w:lang w:val="en-GB"/>
        </w:rPr>
        <w:t xml:space="preserve">This research is about safeguarding young people in the United Kingdom and how this is highly valued </w:t>
      </w:r>
      <w:r w:rsidRPr="489789AE" w:rsidR="79FF51C1">
        <w:rPr>
          <w:rFonts w:ascii="Arial" w:hAnsi="Arial" w:eastAsia="Arial" w:cs="Arial"/>
          <w:b w:val="0"/>
          <w:bCs w:val="0"/>
          <w:noProof w:val="0"/>
          <w:sz w:val="24"/>
          <w:szCs w:val="24"/>
          <w:lang w:val="en-GB"/>
        </w:rPr>
        <w:t>and needed.</w:t>
      </w:r>
      <w:r w:rsidRPr="489789AE" w:rsidR="51FAC945">
        <w:rPr>
          <w:rFonts w:ascii="Arial" w:hAnsi="Arial" w:eastAsia="Arial" w:cs="Arial"/>
          <w:b w:val="0"/>
          <w:bCs w:val="0"/>
          <w:noProof w:val="0"/>
          <w:sz w:val="24"/>
          <w:szCs w:val="24"/>
          <w:lang w:val="en-GB"/>
        </w:rPr>
        <w:t xml:space="preserve"> This research is important in the sense of ongoing change for social services and the young people and </w:t>
      </w:r>
      <w:r w:rsidRPr="489789AE" w:rsidR="393A3C5F">
        <w:rPr>
          <w:rFonts w:ascii="Arial" w:hAnsi="Arial" w:eastAsia="Arial" w:cs="Arial"/>
          <w:b w:val="0"/>
          <w:bCs w:val="0"/>
          <w:noProof w:val="0"/>
          <w:sz w:val="24"/>
          <w:szCs w:val="24"/>
          <w:lang w:val="en-GB"/>
        </w:rPr>
        <w:t>families</w:t>
      </w:r>
      <w:r w:rsidRPr="489789AE" w:rsidR="51FAC945">
        <w:rPr>
          <w:rFonts w:ascii="Arial" w:hAnsi="Arial" w:eastAsia="Arial" w:cs="Arial"/>
          <w:b w:val="0"/>
          <w:bCs w:val="0"/>
          <w:noProof w:val="0"/>
          <w:sz w:val="24"/>
          <w:szCs w:val="24"/>
          <w:lang w:val="en-GB"/>
        </w:rPr>
        <w:t xml:space="preserve"> who need </w:t>
      </w:r>
      <w:r w:rsidRPr="489789AE" w:rsidR="2F16CC48">
        <w:rPr>
          <w:rFonts w:ascii="Arial" w:hAnsi="Arial" w:eastAsia="Arial" w:cs="Arial"/>
          <w:b w:val="0"/>
          <w:bCs w:val="0"/>
          <w:noProof w:val="0"/>
          <w:sz w:val="24"/>
          <w:szCs w:val="24"/>
          <w:lang w:val="en-GB"/>
        </w:rPr>
        <w:t xml:space="preserve">these services. This study will be approached </w:t>
      </w:r>
      <w:r w:rsidRPr="489789AE" w:rsidR="3B135E3C">
        <w:rPr>
          <w:rFonts w:ascii="Arial" w:hAnsi="Arial" w:eastAsia="Arial" w:cs="Arial"/>
          <w:b w:val="0"/>
          <w:bCs w:val="0"/>
          <w:noProof w:val="0"/>
          <w:sz w:val="24"/>
          <w:szCs w:val="24"/>
          <w:lang w:val="en-GB"/>
        </w:rPr>
        <w:t xml:space="preserve">using a strategic plan to analyse all the current information of </w:t>
      </w:r>
      <w:r w:rsidRPr="489789AE" w:rsidR="4D0DAC38">
        <w:rPr>
          <w:rFonts w:ascii="Arial" w:hAnsi="Arial" w:eastAsia="Arial" w:cs="Arial"/>
          <w:b w:val="0"/>
          <w:bCs w:val="0"/>
          <w:noProof w:val="0"/>
          <w:sz w:val="24"/>
          <w:szCs w:val="24"/>
          <w:lang w:val="en-GB"/>
        </w:rPr>
        <w:t>their</w:t>
      </w:r>
      <w:r w:rsidRPr="489789AE" w:rsidR="3B135E3C">
        <w:rPr>
          <w:rFonts w:ascii="Arial" w:hAnsi="Arial" w:eastAsia="Arial" w:cs="Arial"/>
          <w:b w:val="0"/>
          <w:bCs w:val="0"/>
          <w:noProof w:val="0"/>
          <w:sz w:val="24"/>
          <w:szCs w:val="24"/>
          <w:lang w:val="en-GB"/>
        </w:rPr>
        <w:t xml:space="preserve"> using secon</w:t>
      </w:r>
      <w:r w:rsidRPr="489789AE" w:rsidR="2C4C8F8C">
        <w:rPr>
          <w:rFonts w:ascii="Arial" w:hAnsi="Arial" w:eastAsia="Arial" w:cs="Arial"/>
          <w:b w:val="0"/>
          <w:bCs w:val="0"/>
          <w:noProof w:val="0"/>
          <w:sz w:val="24"/>
          <w:szCs w:val="24"/>
          <w:lang w:val="en-GB"/>
        </w:rPr>
        <w:t xml:space="preserve">dary </w:t>
      </w:r>
      <w:r w:rsidRPr="489789AE" w:rsidR="7DC8AE1E">
        <w:rPr>
          <w:rFonts w:ascii="Arial" w:hAnsi="Arial" w:eastAsia="Arial" w:cs="Arial"/>
          <w:b w:val="0"/>
          <w:bCs w:val="0"/>
          <w:noProof w:val="0"/>
          <w:sz w:val="24"/>
          <w:szCs w:val="24"/>
          <w:lang w:val="en-GB"/>
        </w:rPr>
        <w:t>research</w:t>
      </w:r>
      <w:r w:rsidRPr="489789AE" w:rsidR="2C4C8F8C">
        <w:rPr>
          <w:rFonts w:ascii="Arial" w:hAnsi="Arial" w:eastAsia="Arial" w:cs="Arial"/>
          <w:b w:val="0"/>
          <w:bCs w:val="0"/>
          <w:noProof w:val="0"/>
          <w:sz w:val="24"/>
          <w:szCs w:val="24"/>
          <w:lang w:val="en-GB"/>
        </w:rPr>
        <w:t xml:space="preserve"> to be able to obtain the best </w:t>
      </w:r>
      <w:r w:rsidRPr="489789AE" w:rsidR="2C4C8F8C">
        <w:rPr>
          <w:rFonts w:ascii="Arial" w:hAnsi="Arial" w:eastAsia="Arial" w:cs="Arial"/>
          <w:b w:val="0"/>
          <w:bCs w:val="0"/>
          <w:noProof w:val="0"/>
          <w:sz w:val="24"/>
          <w:szCs w:val="24"/>
          <w:lang w:val="en-GB"/>
        </w:rPr>
        <w:t>possible solutions</w:t>
      </w:r>
      <w:r w:rsidRPr="489789AE" w:rsidR="2C4C8F8C">
        <w:rPr>
          <w:rFonts w:ascii="Arial" w:hAnsi="Arial" w:eastAsia="Arial" w:cs="Arial"/>
          <w:b w:val="0"/>
          <w:bCs w:val="0"/>
          <w:noProof w:val="0"/>
          <w:sz w:val="24"/>
          <w:szCs w:val="24"/>
          <w:lang w:val="en-GB"/>
        </w:rPr>
        <w:t xml:space="preserve"> for </w:t>
      </w:r>
      <w:r w:rsidRPr="489789AE" w:rsidR="0280661C">
        <w:rPr>
          <w:rFonts w:ascii="Arial" w:hAnsi="Arial" w:eastAsia="Arial" w:cs="Arial"/>
          <w:b w:val="0"/>
          <w:bCs w:val="0"/>
          <w:noProof w:val="0"/>
          <w:sz w:val="24"/>
          <w:szCs w:val="24"/>
          <w:lang w:val="en-GB"/>
        </w:rPr>
        <w:t>change</w:t>
      </w:r>
      <w:r w:rsidRPr="489789AE" w:rsidR="2C4C8F8C">
        <w:rPr>
          <w:rFonts w:ascii="Arial" w:hAnsi="Arial" w:eastAsia="Arial" w:cs="Arial"/>
          <w:b w:val="0"/>
          <w:bCs w:val="0"/>
          <w:noProof w:val="0"/>
          <w:sz w:val="24"/>
          <w:szCs w:val="24"/>
          <w:lang w:val="en-GB"/>
        </w:rPr>
        <w:t xml:space="preserve"> to provide better</w:t>
      </w:r>
      <w:r w:rsidRPr="489789AE" w:rsidR="3DF18887">
        <w:rPr>
          <w:rFonts w:ascii="Arial" w:hAnsi="Arial" w:eastAsia="Arial" w:cs="Arial"/>
          <w:b w:val="0"/>
          <w:bCs w:val="0"/>
          <w:noProof w:val="0"/>
          <w:sz w:val="24"/>
          <w:szCs w:val="24"/>
          <w:lang w:val="en-GB"/>
        </w:rPr>
        <w:t xml:space="preserve"> social care</w:t>
      </w:r>
      <w:r w:rsidRPr="489789AE" w:rsidR="2C4C8F8C">
        <w:rPr>
          <w:rFonts w:ascii="Arial" w:hAnsi="Arial" w:eastAsia="Arial" w:cs="Arial"/>
          <w:b w:val="0"/>
          <w:bCs w:val="0"/>
          <w:noProof w:val="0"/>
          <w:sz w:val="24"/>
          <w:szCs w:val="24"/>
          <w:lang w:val="en-GB"/>
        </w:rPr>
        <w:t xml:space="preserve"> practice</w:t>
      </w:r>
      <w:r w:rsidRPr="489789AE" w:rsidR="4941A937">
        <w:rPr>
          <w:rFonts w:ascii="Arial" w:hAnsi="Arial" w:eastAsia="Arial" w:cs="Arial"/>
          <w:b w:val="0"/>
          <w:bCs w:val="0"/>
          <w:noProof w:val="0"/>
          <w:sz w:val="24"/>
          <w:szCs w:val="24"/>
          <w:lang w:val="en-GB"/>
        </w:rPr>
        <w:t>.</w:t>
      </w:r>
      <w:r w:rsidRPr="489789AE" w:rsidR="0A962512">
        <w:rPr>
          <w:rFonts w:ascii="Arial" w:hAnsi="Arial" w:eastAsia="Arial" w:cs="Arial"/>
          <w:b w:val="0"/>
          <w:bCs w:val="0"/>
          <w:noProof w:val="0"/>
          <w:sz w:val="24"/>
          <w:szCs w:val="24"/>
          <w:lang w:val="en-GB"/>
        </w:rPr>
        <w:t xml:space="preserve"> In this dissertation they will al</w:t>
      </w:r>
      <w:r w:rsidRPr="489789AE" w:rsidR="35E1EA87">
        <w:rPr>
          <w:rFonts w:ascii="Arial" w:hAnsi="Arial" w:eastAsia="Arial" w:cs="Arial"/>
          <w:b w:val="0"/>
          <w:bCs w:val="0"/>
          <w:noProof w:val="0"/>
          <w:sz w:val="24"/>
          <w:szCs w:val="24"/>
          <w:lang w:val="en-GB"/>
        </w:rPr>
        <w:t>so</w:t>
      </w:r>
      <w:r w:rsidRPr="489789AE" w:rsidR="1DAF582A">
        <w:rPr>
          <w:rFonts w:ascii="Arial" w:hAnsi="Arial" w:eastAsia="Arial" w:cs="Arial"/>
          <w:b w:val="0"/>
          <w:bCs w:val="0"/>
          <w:noProof w:val="0"/>
          <w:sz w:val="24"/>
          <w:szCs w:val="24"/>
          <w:lang w:val="en-GB"/>
        </w:rPr>
        <w:t xml:space="preserve"> be</w:t>
      </w:r>
      <w:r w:rsidRPr="489789AE" w:rsidR="35E1EA87">
        <w:rPr>
          <w:rFonts w:ascii="Arial" w:hAnsi="Arial" w:eastAsia="Arial" w:cs="Arial"/>
          <w:b w:val="0"/>
          <w:bCs w:val="0"/>
          <w:noProof w:val="0"/>
          <w:sz w:val="24"/>
          <w:szCs w:val="24"/>
          <w:lang w:val="en-GB"/>
        </w:rPr>
        <w:t xml:space="preserve"> </w:t>
      </w:r>
      <w:r w:rsidRPr="489789AE" w:rsidR="35E1EA87">
        <w:rPr>
          <w:rFonts w:ascii="Arial" w:hAnsi="Arial" w:eastAsia="Arial" w:cs="Arial"/>
          <w:b w:val="0"/>
          <w:bCs w:val="0"/>
          <w:noProof w:val="0"/>
          <w:sz w:val="24"/>
          <w:szCs w:val="24"/>
          <w:lang w:val="en-GB"/>
        </w:rPr>
        <w:t>applied</w:t>
      </w:r>
      <w:r w:rsidRPr="489789AE" w:rsidR="35E1EA87">
        <w:rPr>
          <w:rFonts w:ascii="Arial" w:hAnsi="Arial" w:eastAsia="Arial" w:cs="Arial"/>
          <w:b w:val="0"/>
          <w:bCs w:val="0"/>
          <w:noProof w:val="0"/>
          <w:sz w:val="24"/>
          <w:szCs w:val="24"/>
          <w:lang w:val="en-GB"/>
        </w:rPr>
        <w:t xml:space="preserve"> thematic analysis </w:t>
      </w:r>
      <w:r w:rsidRPr="489789AE" w:rsidR="75E49BCD">
        <w:rPr>
          <w:rFonts w:ascii="Arial" w:hAnsi="Arial" w:eastAsia="Arial" w:cs="Arial"/>
          <w:b w:val="0"/>
          <w:bCs w:val="0"/>
          <w:noProof w:val="0"/>
          <w:sz w:val="24"/>
          <w:szCs w:val="24"/>
          <w:lang w:val="en-GB"/>
        </w:rPr>
        <w:t>evaluating current literature.</w:t>
      </w:r>
    </w:p>
    <w:p w:rsidR="23AE1ED5" w:rsidP="26E84261" w:rsidRDefault="23AE1ED5" w14:paraId="7B98EE03" w14:textId="4E3BD91F">
      <w:pPr>
        <w:pStyle w:val="Normal"/>
        <w:keepNext w:val="1"/>
        <w:keepLines w:val="1"/>
        <w:rPr>
          <w:rFonts w:ascii="Arial" w:hAnsi="Arial" w:eastAsia="Arial" w:cs="Arial"/>
          <w:b w:val="0"/>
          <w:bCs w:val="0"/>
          <w:i w:val="0"/>
          <w:iCs w:val="0"/>
          <w:caps w:val="0"/>
          <w:smallCaps w:val="0"/>
          <w:noProof w:val="0"/>
          <w:color w:val="000000" w:themeColor="text1" w:themeTint="FF" w:themeShade="FF"/>
          <w:sz w:val="24"/>
          <w:szCs w:val="24"/>
          <w:lang w:val="en-GB"/>
        </w:rPr>
      </w:pPr>
      <w:r w:rsidRPr="26E84261" w:rsidR="23AE1ED5">
        <w:rPr>
          <w:rFonts w:ascii="Arial" w:hAnsi="Arial" w:eastAsia="Arial" w:cs="Arial"/>
          <w:b w:val="0"/>
          <w:bCs w:val="0"/>
          <w:i w:val="0"/>
          <w:iCs w:val="0"/>
          <w:caps w:val="0"/>
          <w:smallCaps w:val="0"/>
          <w:noProof w:val="0"/>
          <w:color w:val="000000" w:themeColor="text1" w:themeTint="FF" w:themeShade="FF"/>
          <w:sz w:val="24"/>
          <w:szCs w:val="24"/>
          <w:lang w:val="en-GB"/>
        </w:rPr>
        <w:t>Safeguarding young people in the United Kingdom is a highly fundamental responsibility shared by various agencies, with social services playing a central and coordinating role. Social services are tasked with protecting children and young people from abuse, neglect, and exploitation while promoting their welfare and development. Working within the framework of legislation such as the Children Act 1989 and 2004, and guided by the principle that the welfare of the child is paramount, social workers collaborate closely with schools, healthcare providers, the police, and community organi</w:t>
      </w:r>
      <w:r w:rsidRPr="26E84261" w:rsidR="4113B458">
        <w:rPr>
          <w:rFonts w:ascii="Arial" w:hAnsi="Arial" w:eastAsia="Arial" w:cs="Arial"/>
          <w:b w:val="0"/>
          <w:bCs w:val="0"/>
          <w:i w:val="0"/>
          <w:iCs w:val="0"/>
          <w:caps w:val="0"/>
          <w:smallCaps w:val="0"/>
          <w:noProof w:val="0"/>
          <w:color w:val="000000" w:themeColor="text1" w:themeTint="FF" w:themeShade="FF"/>
          <w:sz w:val="24"/>
          <w:szCs w:val="24"/>
          <w:lang w:val="en-GB"/>
        </w:rPr>
        <w:t>s</w:t>
      </w:r>
      <w:r w:rsidRPr="26E84261" w:rsidR="23AE1ED5">
        <w:rPr>
          <w:rFonts w:ascii="Arial" w:hAnsi="Arial" w:eastAsia="Arial" w:cs="Arial"/>
          <w:b w:val="0"/>
          <w:bCs w:val="0"/>
          <w:i w:val="0"/>
          <w:iCs w:val="0"/>
          <w:caps w:val="0"/>
          <w:smallCaps w:val="0"/>
          <w:noProof w:val="0"/>
          <w:color w:val="000000" w:themeColor="text1" w:themeTint="FF" w:themeShade="FF"/>
          <w:sz w:val="24"/>
          <w:szCs w:val="24"/>
          <w:lang w:val="en-GB"/>
        </w:rPr>
        <w:t xml:space="preserve">ations to identify and respond to concerns about a young person’s safety or wellbeing. </w:t>
      </w:r>
    </w:p>
    <w:p w:rsidR="23AE1ED5" w:rsidP="489789AE" w:rsidRDefault="23AE1ED5" w14:paraId="39B6468C" w14:textId="5CD4F34C">
      <w:pPr>
        <w:pStyle w:val="Normal"/>
        <w:keepNext w:val="1"/>
        <w:keepLines w:val="1"/>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251D5D4E">
        <w:rPr>
          <w:rFonts w:ascii="Arial" w:hAnsi="Arial" w:eastAsia="Arial" w:cs="Arial"/>
          <w:b w:val="0"/>
          <w:bCs w:val="0"/>
          <w:i w:val="0"/>
          <w:iCs w:val="0"/>
          <w:caps w:val="0"/>
          <w:smallCaps w:val="0"/>
          <w:noProof w:val="0"/>
          <w:color w:val="000000" w:themeColor="text1" w:themeTint="FF" w:themeShade="FF"/>
          <w:sz w:val="24"/>
          <w:szCs w:val="24"/>
          <w:lang w:val="en-GB"/>
        </w:rPr>
        <w:t xml:space="preserve">Their work includes conducting assessments, implementing child protection plans, and supporting families to create safer environments. In recent years, issues such as domestic abuse, online exploitation, and mental health challenges have expanded the scope of safeguarding, requiring social services to adopt more holistic and </w:t>
      </w:r>
      <w:r w:rsidRPr="489789AE" w:rsidR="40A6F9A3">
        <w:rPr>
          <w:rFonts w:ascii="Arial" w:hAnsi="Arial" w:eastAsia="Arial" w:cs="Arial"/>
          <w:b w:val="0"/>
          <w:bCs w:val="0"/>
          <w:i w:val="0"/>
          <w:iCs w:val="0"/>
          <w:caps w:val="0"/>
          <w:smallCaps w:val="0"/>
          <w:noProof w:val="0"/>
          <w:color w:val="000000" w:themeColor="text1" w:themeTint="FF" w:themeShade="FF"/>
          <w:sz w:val="24"/>
          <w:szCs w:val="24"/>
          <w:lang w:val="en-GB"/>
        </w:rPr>
        <w:t>multi-agency</w:t>
      </w:r>
      <w:r w:rsidRPr="489789AE" w:rsidR="251D5D4E">
        <w:rPr>
          <w:rFonts w:ascii="Arial" w:hAnsi="Arial" w:eastAsia="Arial" w:cs="Arial"/>
          <w:b w:val="0"/>
          <w:bCs w:val="0"/>
          <w:i w:val="0"/>
          <w:iCs w:val="0"/>
          <w:caps w:val="0"/>
          <w:smallCaps w:val="0"/>
          <w:noProof w:val="0"/>
          <w:color w:val="000000" w:themeColor="text1" w:themeTint="FF" w:themeShade="FF"/>
          <w:sz w:val="24"/>
          <w:szCs w:val="24"/>
          <w:lang w:val="en-GB"/>
        </w:rPr>
        <w:t xml:space="preserve"> approaches. Despite resource pressures and increasing caseloads, social services </w:t>
      </w:r>
      <w:r w:rsidRPr="489789AE" w:rsidR="251D5D4E">
        <w:rPr>
          <w:rFonts w:ascii="Arial" w:hAnsi="Arial" w:eastAsia="Arial" w:cs="Arial"/>
          <w:b w:val="0"/>
          <w:bCs w:val="0"/>
          <w:i w:val="0"/>
          <w:iCs w:val="0"/>
          <w:caps w:val="0"/>
          <w:smallCaps w:val="0"/>
          <w:noProof w:val="0"/>
          <w:color w:val="000000" w:themeColor="text1" w:themeTint="FF" w:themeShade="FF"/>
          <w:sz w:val="24"/>
          <w:szCs w:val="24"/>
          <w:lang w:val="en-GB"/>
        </w:rPr>
        <w:t>remain</w:t>
      </w:r>
      <w:r w:rsidRPr="489789AE" w:rsidR="251D5D4E">
        <w:rPr>
          <w:rFonts w:ascii="Arial" w:hAnsi="Arial" w:eastAsia="Arial" w:cs="Arial"/>
          <w:b w:val="0"/>
          <w:bCs w:val="0"/>
          <w:i w:val="0"/>
          <w:iCs w:val="0"/>
          <w:caps w:val="0"/>
          <w:smallCaps w:val="0"/>
          <w:noProof w:val="0"/>
          <w:color w:val="000000" w:themeColor="text1" w:themeTint="FF" w:themeShade="FF"/>
          <w:sz w:val="24"/>
          <w:szCs w:val="24"/>
          <w:lang w:val="en-GB"/>
        </w:rPr>
        <w:t xml:space="preserve"> a vital safeguard for vulnerable young people, ensuring that risks are managed effectively and that every child </w:t>
      </w:r>
      <w:r w:rsidRPr="489789AE" w:rsidR="4418BE35">
        <w:rPr>
          <w:rFonts w:ascii="Arial" w:hAnsi="Arial" w:eastAsia="Arial" w:cs="Arial"/>
          <w:b w:val="0"/>
          <w:bCs w:val="0"/>
          <w:i w:val="0"/>
          <w:iCs w:val="0"/>
          <w:caps w:val="0"/>
          <w:smallCaps w:val="0"/>
          <w:noProof w:val="0"/>
          <w:color w:val="000000" w:themeColor="text1" w:themeTint="FF" w:themeShade="FF"/>
          <w:sz w:val="24"/>
          <w:szCs w:val="24"/>
          <w:lang w:val="en-GB"/>
        </w:rPr>
        <w:t>can</w:t>
      </w:r>
      <w:r w:rsidRPr="489789AE" w:rsidR="251D5D4E">
        <w:rPr>
          <w:rFonts w:ascii="Arial" w:hAnsi="Arial" w:eastAsia="Arial" w:cs="Arial"/>
          <w:b w:val="0"/>
          <w:bCs w:val="0"/>
          <w:i w:val="0"/>
          <w:iCs w:val="0"/>
          <w:caps w:val="0"/>
          <w:smallCaps w:val="0"/>
          <w:noProof w:val="0"/>
          <w:color w:val="000000" w:themeColor="text1" w:themeTint="FF" w:themeShade="FF"/>
          <w:sz w:val="24"/>
          <w:szCs w:val="24"/>
          <w:lang w:val="en-GB"/>
        </w:rPr>
        <w:t xml:space="preserve"> grow up free from harm. This introduction highlights their pivotal role in promoting both protection and empowerment within the U</w:t>
      </w:r>
      <w:r w:rsidRPr="489789AE" w:rsidR="4C02BF9D">
        <w:rPr>
          <w:rFonts w:ascii="Arial" w:hAnsi="Arial" w:eastAsia="Arial" w:cs="Arial"/>
          <w:b w:val="0"/>
          <w:bCs w:val="0"/>
          <w:i w:val="0"/>
          <w:iCs w:val="0"/>
          <w:caps w:val="0"/>
          <w:smallCaps w:val="0"/>
          <w:noProof w:val="0"/>
          <w:color w:val="000000" w:themeColor="text1" w:themeTint="FF" w:themeShade="FF"/>
          <w:sz w:val="24"/>
          <w:szCs w:val="24"/>
          <w:lang w:val="en-GB"/>
        </w:rPr>
        <w:t>nited Kingdom’s</w:t>
      </w:r>
      <w:r w:rsidRPr="489789AE" w:rsidR="251D5D4E">
        <w:rPr>
          <w:rFonts w:ascii="Arial" w:hAnsi="Arial" w:eastAsia="Arial" w:cs="Arial"/>
          <w:b w:val="0"/>
          <w:bCs w:val="0"/>
          <w:i w:val="0"/>
          <w:iCs w:val="0"/>
          <w:caps w:val="0"/>
          <w:smallCaps w:val="0"/>
          <w:noProof w:val="0"/>
          <w:color w:val="000000" w:themeColor="text1" w:themeTint="FF" w:themeShade="FF"/>
          <w:sz w:val="24"/>
          <w:szCs w:val="24"/>
          <w:lang w:val="en-GB"/>
        </w:rPr>
        <w:t xml:space="preserve"> safeguarding system.</w:t>
      </w:r>
    </w:p>
    <w:p w:rsidR="26E84261" w:rsidP="26E84261" w:rsidRDefault="26E84261" w14:paraId="151510CA" w14:textId="36744495">
      <w:pPr>
        <w:pStyle w:val="Normal"/>
        <w:keepNext w:val="1"/>
        <w:keepLines w:val="1"/>
        <w:rPr>
          <w:b w:val="1"/>
          <w:bCs w:val="1"/>
          <w:noProof w:val="0"/>
          <w:sz w:val="24"/>
          <w:szCs w:val="24"/>
          <w:lang w:val="en-GB"/>
        </w:rPr>
      </w:pPr>
    </w:p>
    <w:p w:rsidR="26E84261" w:rsidP="26E84261" w:rsidRDefault="26E84261" w14:paraId="46C1B17D" w14:textId="7D898A56">
      <w:pPr>
        <w:pStyle w:val="Normal"/>
        <w:keepNext w:val="1"/>
        <w:keepLines w:val="1"/>
        <w:rPr>
          <w:b w:val="1"/>
          <w:bCs w:val="1"/>
          <w:noProof w:val="0"/>
          <w:sz w:val="32"/>
          <w:szCs w:val="32"/>
          <w:lang w:val="en-GB"/>
        </w:rPr>
      </w:pPr>
    </w:p>
    <w:p w:rsidR="26E84261" w:rsidP="26E84261" w:rsidRDefault="26E84261" w14:paraId="74B085A5" w14:textId="314BE822">
      <w:pPr>
        <w:pStyle w:val="Normal"/>
        <w:keepNext w:val="1"/>
        <w:keepLines w:val="1"/>
        <w:rPr>
          <w:b w:val="1"/>
          <w:bCs w:val="1"/>
          <w:noProof w:val="0"/>
          <w:sz w:val="32"/>
          <w:szCs w:val="32"/>
          <w:lang w:val="en-GB"/>
        </w:rPr>
      </w:pPr>
    </w:p>
    <w:p w:rsidR="3F3C6271" w:rsidP="26E84261" w:rsidRDefault="3F3C6271" w14:paraId="74BF5AF4" w14:textId="5D5289E2">
      <w:pPr>
        <w:pStyle w:val="Normal"/>
        <w:keepNext w:val="1"/>
        <w:keepLines w:val="1"/>
        <w:rPr>
          <w:b w:val="1"/>
          <w:bCs w:val="1"/>
          <w:noProof w:val="0"/>
          <w:sz w:val="32"/>
          <w:szCs w:val="32"/>
          <w:lang w:val="en-GB"/>
        </w:rPr>
      </w:pPr>
      <w:r w:rsidRPr="26E84261" w:rsidR="3F3C6271">
        <w:rPr>
          <w:b w:val="1"/>
          <w:bCs w:val="1"/>
          <w:noProof w:val="0"/>
          <w:sz w:val="32"/>
          <w:szCs w:val="32"/>
          <w:lang w:val="en-GB"/>
        </w:rPr>
        <w:t>Definitions</w:t>
      </w:r>
    </w:p>
    <w:p w:rsidR="1DCBF39B" w:rsidP="2756A9D9" w:rsidRDefault="1DCBF39B" w14:paraId="06BE7424" w14:textId="2AFACDFE">
      <w:pPr>
        <w:pStyle w:val="Normal"/>
        <w:keepNext w:val="1"/>
        <w:keepLines w:val="1"/>
        <w:rPr>
          <w:rFonts w:ascii="Aptos" w:hAnsi="Aptos" w:eastAsia="Aptos" w:cs="Aptos"/>
          <w:noProof w:val="0"/>
          <w:sz w:val="24"/>
          <w:szCs w:val="24"/>
          <w:lang w:val="en-GB"/>
        </w:rPr>
      </w:pPr>
      <w:r w:rsidRPr="2AA95F6F" w:rsidR="3F268470">
        <w:rPr>
          <w:b w:val="1"/>
          <w:bCs w:val="1"/>
          <w:noProof w:val="0"/>
          <w:lang w:val="en-GB"/>
        </w:rPr>
        <w:t xml:space="preserve">Assessing: </w:t>
      </w:r>
      <w:r w:rsidRPr="2AA95F6F" w:rsidR="14B1CE41">
        <w:rPr>
          <w:b w:val="0"/>
          <w:bCs w:val="0"/>
          <w:noProof w:val="0"/>
          <w:lang w:val="en-GB"/>
        </w:rPr>
        <w:t>Assessing means evaluating a piece of work through a systematic pro</w:t>
      </w:r>
      <w:r w:rsidRPr="2AA95F6F" w:rsidR="7DFBAB9C">
        <w:rPr>
          <w:b w:val="0"/>
          <w:bCs w:val="0"/>
          <w:noProof w:val="0"/>
          <w:lang w:val="en-GB"/>
        </w:rPr>
        <w:t>cess gathering information to review and analyse it to provide t</w:t>
      </w:r>
      <w:r w:rsidRPr="2AA95F6F" w:rsidR="3F0F68CB">
        <w:rPr>
          <w:b w:val="0"/>
          <w:bCs w:val="0"/>
          <w:noProof w:val="0"/>
          <w:lang w:val="en-GB"/>
        </w:rPr>
        <w:t>he best possible outcome</w:t>
      </w:r>
      <w:r w:rsidRPr="2AA95F6F" w:rsidR="24B03C1B">
        <w:rPr>
          <w:b w:val="0"/>
          <w:bCs w:val="0"/>
          <w:noProof w:val="0"/>
          <w:lang w:val="en-GB"/>
        </w:rPr>
        <w:t xml:space="preserve"> </w:t>
      </w:r>
      <w:r w:rsidRPr="2AA95F6F" w:rsidR="7640ACDF">
        <w:rPr>
          <w:b w:val="0"/>
          <w:bCs w:val="0"/>
          <w:noProof w:val="0"/>
          <w:lang w:val="en-GB"/>
        </w:rPr>
        <w:t>(</w:t>
      </w:r>
      <w:r w:rsidRPr="2AA95F6F" w:rsidR="24B03C1B">
        <w:rPr>
          <w:rFonts w:ascii="Arial" w:hAnsi="Arial" w:eastAsia="Arial" w:cs="Arial"/>
          <w:b w:val="0"/>
          <w:bCs w:val="0"/>
          <w:i w:val="0"/>
          <w:iCs w:val="0"/>
          <w:caps w:val="0"/>
          <w:smallCaps w:val="0"/>
          <w:noProof w:val="0"/>
          <w:color w:val="000000" w:themeColor="text1" w:themeTint="FF" w:themeShade="FF"/>
          <w:sz w:val="24"/>
          <w:szCs w:val="24"/>
          <w:lang w:val="en-GB"/>
        </w:rPr>
        <w:t>Cottrell, S</w:t>
      </w:r>
      <w:r w:rsidRPr="2AA95F6F" w:rsidR="27BC1B9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A95F6F" w:rsidR="24B03C1B">
        <w:rPr>
          <w:rFonts w:ascii="Arial" w:hAnsi="Arial" w:eastAsia="Arial" w:cs="Arial"/>
          <w:b w:val="0"/>
          <w:bCs w:val="0"/>
          <w:i w:val="0"/>
          <w:iCs w:val="0"/>
          <w:caps w:val="0"/>
          <w:smallCaps w:val="0"/>
          <w:noProof w:val="0"/>
          <w:color w:val="000000" w:themeColor="text1" w:themeTint="FF" w:themeShade="FF"/>
          <w:sz w:val="24"/>
          <w:szCs w:val="24"/>
          <w:lang w:val="en-GB"/>
        </w:rPr>
        <w:t>2017).</w:t>
      </w:r>
    </w:p>
    <w:p w:rsidR="76946EB4" w:rsidP="2756A9D9" w:rsidRDefault="76946EB4" w14:paraId="5E27FFFC" w14:textId="106225CD">
      <w:pPr>
        <w:pStyle w:val="Normal"/>
        <w:keepNext w:val="1"/>
        <w:keepLines w:val="1"/>
        <w:rPr>
          <w:rFonts w:ascii="Arial" w:hAnsi="Arial" w:eastAsia="Arial" w:cs="Arial"/>
          <w:noProof w:val="0"/>
          <w:sz w:val="24"/>
          <w:szCs w:val="24"/>
          <w:lang w:val="en-GB"/>
        </w:rPr>
      </w:pPr>
      <w:r w:rsidRPr="2AA95F6F" w:rsidR="1EBE08F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Social </w:t>
      </w:r>
      <w:r w:rsidRPr="2AA95F6F" w:rsidR="7E97F9D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services</w:t>
      </w:r>
      <w:r w:rsidRPr="2AA95F6F" w:rsidR="7E97F9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AA95F6F" w:rsidR="1EBE08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Social services </w:t>
      </w:r>
      <w:r w:rsidRPr="2AA95F6F" w:rsidR="516A81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are a</w:t>
      </w:r>
      <w:r w:rsidRPr="2AA95F6F" w:rsidR="1EBE08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public local authority program designed to support the </w:t>
      </w:r>
      <w:r w:rsidRPr="2AA95F6F" w:rsidR="47C19D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wellbeing</w:t>
      </w:r>
      <w:r w:rsidRPr="2AA95F6F" w:rsidR="1EBE08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individuals, families, and communities</w:t>
      </w:r>
      <w:r w:rsidRPr="2AA95F6F" w:rsidR="790587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A95F6F" w:rsidR="03367C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AA95F6F" w:rsidR="790587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Alcock, P</w:t>
      </w:r>
      <w:r w:rsidRPr="2AA95F6F" w:rsidR="6B825D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AA95F6F" w:rsidR="790587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2016).</w:t>
      </w:r>
    </w:p>
    <w:p w:rsidR="1C8AC359" w:rsidP="2756A9D9" w:rsidRDefault="1C8AC359" w14:paraId="2310F227" w14:textId="5CD0D3C5">
      <w:pPr>
        <w:pStyle w:val="Normal"/>
        <w:keepNext w:val="1"/>
        <w:keepLines w:val="1"/>
        <w:rPr>
          <w:rFonts w:ascii="Arial" w:hAnsi="Arial" w:eastAsia="Arial" w:cs="Arial"/>
          <w:noProof w:val="0"/>
          <w:sz w:val="24"/>
          <w:szCs w:val="24"/>
          <w:lang w:val="en-GB"/>
        </w:rPr>
      </w:pPr>
      <w:r w:rsidRPr="489789AE" w:rsidR="08E43D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Safeguarding:</w:t>
      </w:r>
      <w:r w:rsidRPr="489789AE" w:rsidR="08E43D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Safeguarding is a measure that is put into place to protect health pre</w:t>
      </w:r>
      <w:r w:rsidRPr="489789AE" w:rsidR="5BB57C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vent abuse and ensuring human rights </w:t>
      </w:r>
      <w:r w:rsidRPr="489789AE" w:rsidR="0310A8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 respected so every </w:t>
      </w:r>
      <w:r w:rsidRPr="489789AE" w:rsidR="4C0492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individual</w:t>
      </w:r>
      <w:r w:rsidRPr="489789AE" w:rsidR="0310A8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has a right to freedom</w:t>
      </w:r>
      <w:r w:rsidRPr="489789AE" w:rsidR="7AD925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6BBF12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89789AE" w:rsidR="7AD925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Care Act, 2014).</w:t>
      </w:r>
    </w:p>
    <w:p w:rsidR="4ADBC6BF" w:rsidP="2756A9D9" w:rsidRDefault="4ADBC6BF" w14:paraId="34BE2F72" w14:textId="1FB27D86">
      <w:pPr>
        <w:pStyle w:val="Normal"/>
        <w:keepNext w:val="1"/>
        <w:keepLines w:val="1"/>
        <w:rPr>
          <w:rFonts w:ascii="Arial" w:hAnsi="Arial" w:eastAsia="Arial" w:cs="Arial"/>
          <w:noProof w:val="0"/>
          <w:sz w:val="24"/>
          <w:szCs w:val="24"/>
          <w:lang w:val="en-GB"/>
        </w:rPr>
      </w:pPr>
      <w:r w:rsidRPr="489789AE" w:rsidR="673D3FE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Role: </w:t>
      </w:r>
      <w:r w:rsidRPr="489789AE" w:rsidR="673D3F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Role refers to a specific position in the workforce </w:t>
      </w:r>
      <w:r w:rsidRPr="489789AE" w:rsidR="3ACBE1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which makes you aware of everyone in your organisation's functions and </w:t>
      </w:r>
      <w:r w:rsidRPr="489789AE" w:rsidR="3ACBE1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responsibility</w:t>
      </w:r>
      <w:r w:rsidRPr="489789AE" w:rsidR="668374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42140C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89789AE" w:rsidR="668374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Biddle, B.J. 1986).</w:t>
      </w:r>
    </w:p>
    <w:p w:rsidR="328D2CFB" w:rsidP="2756A9D9" w:rsidRDefault="328D2CFB" w14:paraId="45C825A1" w14:textId="5BC3E7D8">
      <w:pPr>
        <w:pStyle w:val="Normal"/>
        <w:keepNext w:val="1"/>
        <w:keepLines w:val="1"/>
        <w:rPr>
          <w:rFonts w:ascii="Arial" w:hAnsi="Arial" w:eastAsia="Arial" w:cs="Arial"/>
          <w:noProof w:val="0"/>
          <w:sz w:val="24"/>
          <w:szCs w:val="24"/>
          <w:lang w:val="en-GB"/>
        </w:rPr>
      </w:pPr>
      <w:r w:rsidRPr="489789AE" w:rsidR="73EDC76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Young people:</w:t>
      </w:r>
      <w:r w:rsidRPr="489789AE" w:rsidR="73EDC7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Young people is a term described adol</w:t>
      </w:r>
      <w:r w:rsidRPr="489789AE" w:rsidR="50E628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escen</w:t>
      </w:r>
      <w:r w:rsidRPr="489789AE" w:rsidR="73EDC7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ts around the age of </w:t>
      </w:r>
      <w:r w:rsidRPr="489789AE" w:rsidR="09B4F3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12 to 25</w:t>
      </w:r>
      <w:r w:rsidRPr="489789AE" w:rsidR="7A451B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4A70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89789AE" w:rsidR="7A451B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United Nations</w:t>
      </w:r>
      <w:r w:rsidRPr="489789AE" w:rsidR="501015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89789AE" w:rsidR="7A451B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2013).</w:t>
      </w:r>
    </w:p>
    <w:p w:rsidR="6026C6D9" w:rsidP="2756A9D9" w:rsidRDefault="6026C6D9" w14:paraId="3219E827" w14:textId="48D2EE31">
      <w:pPr>
        <w:pStyle w:val="Normal"/>
        <w:keepNext w:val="1"/>
        <w:keepLines w:val="1"/>
        <w:rPr>
          <w:rFonts w:ascii="Arial" w:hAnsi="Arial" w:eastAsia="Arial" w:cs="Arial"/>
          <w:noProof w:val="0"/>
          <w:sz w:val="24"/>
          <w:szCs w:val="24"/>
          <w:lang w:val="en-GB"/>
        </w:rPr>
      </w:pPr>
      <w:r w:rsidRPr="489789AE" w:rsidR="00E2229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United Kingdom:</w:t>
      </w:r>
      <w:r w:rsidRPr="489789AE" w:rsidR="55B7312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489789AE" w:rsidR="55B731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United K</w:t>
      </w:r>
      <w:r w:rsidRPr="489789AE" w:rsidR="07FC8E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w:t>
      </w:r>
      <w:r w:rsidRPr="489789AE" w:rsidR="55B731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gdom is </w:t>
      </w:r>
      <w:r w:rsidRPr="489789AE" w:rsidR="27185D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 independent country </w:t>
      </w:r>
      <w:r w:rsidRPr="489789AE" w:rsidR="00702D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which is made up of England, Scotland, Wales, </w:t>
      </w:r>
      <w:r w:rsidRPr="489789AE" w:rsidR="00702D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Northern</w:t>
      </w:r>
      <w:r w:rsidRPr="489789AE" w:rsidR="00702D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Ireland</w:t>
      </w:r>
      <w:r w:rsidRPr="489789AE" w:rsidR="653AE5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52A2DE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489789AE" w:rsidR="653AE5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75A78C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89789AE" w:rsidR="653AE5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UK Government, 2023).</w:t>
      </w:r>
    </w:p>
    <w:p w:rsidR="26E84261" w:rsidP="753B77DA" w:rsidRDefault="26E84261" w14:paraId="08ABAF2E" w14:textId="1E217C25">
      <w:pPr>
        <w:pStyle w:val="Normal"/>
        <w:keepNext w:val="1"/>
        <w:keepLines w:val="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53B77DA" w:rsidP="753B77DA" w:rsidRDefault="753B77DA" w14:paraId="2E95276D" w14:textId="6738CA93">
      <w:pPr>
        <w:pStyle w:val="Normal"/>
        <w:keepNext w:val="1"/>
        <w:keepLines w:val="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6E84261" w:rsidP="753B77DA" w:rsidRDefault="26E84261" w14:paraId="3A463A30" w14:textId="63CB7D97">
      <w:pPr>
        <w:pStyle w:val="Normal"/>
        <w:keepNext w:val="1"/>
        <w:keepLines w:val="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53B77DA" w:rsidR="43201C7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Rationale for research</w:t>
      </w:r>
    </w:p>
    <w:p w:rsidR="753B77DA" w:rsidP="753B77DA" w:rsidRDefault="753B77DA" w14:paraId="67409B35" w14:textId="7961BCD6">
      <w:pPr>
        <w:pStyle w:val="Normal"/>
        <w:keepNext w:val="1"/>
        <w:keepLines w:val="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6E84261" w:rsidP="753B77DA" w:rsidRDefault="26E84261" w14:paraId="0996B79F" w14:textId="1D594EEF">
      <w:pPr>
        <w:pStyle w:val="Normal"/>
        <w:keepNext w:val="1"/>
        <w:keepLines w:val="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53B77DA"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assessing role of social services in safeguarding young people in the United Kingdom is </w:t>
      </w:r>
      <w:r w:rsidRPr="753B77DA"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highly important</w:t>
      </w:r>
      <w:r w:rsidRPr="753B77DA"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me because of my lived experience of being </w:t>
      </w:r>
      <w:r w:rsidRPr="753B77DA" w:rsidR="0D1E6C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care experienced</w:t>
      </w:r>
      <w:r w:rsidRPr="753B77DA"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Social work assessments are often the first formal opportunity for a young person’s circumstances, risks and needs to be recognised, understood and responded to. When conducted effectively, assessments can be life</w:t>
      </w:r>
      <w:r w:rsidRPr="753B77DA" w:rsidR="2DCA2D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53B77DA"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changing, particularly for children who are experiencing neglect, </w:t>
      </w:r>
      <w:r w:rsidRPr="753B77DA"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abuse</w:t>
      </w:r>
      <w:r w:rsidRPr="753B77DA"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or instability within their families.</w:t>
      </w:r>
    </w:p>
    <w:p w:rsidR="26E84261" w:rsidP="753B77DA" w:rsidRDefault="26E84261" w14:paraId="2FBE8F21" w14:textId="601B2FA3">
      <w:pPr>
        <w:keepNext w:val="1"/>
        <w:keepLines w:val="1"/>
        <w:shd w:val="clear" w:color="auto" w:fill="FFFFFF" w:themeFill="background1"/>
        <w:spacing w:before="240" w:beforeAutospacing="off" w:after="240" w:afterAutospacing="off"/>
      </w:pP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Safeguarding assessments allow social workers to </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risks to a child’s welfare and to </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determine</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what support or intervention is </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required</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promote safety and wellbeing (Children Act</w:t>
      </w:r>
      <w:r w:rsidRPr="489789AE" w:rsidR="10F77D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1989). As someone who has been care-experienced, I understand how crucial it is for professionals to look beyond surface behaviours and fully consider the child’s voice, emotional needs and lived reality. Poor or rushed assessments can result in children being left in harmful environments or placed into care without adequate support, while thorough assessments can lead to protection, </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stability</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positive </w:t>
      </w:r>
      <w:r w:rsidRPr="489789AE" w:rsidR="1C5598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long-time</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outcomes.</w:t>
      </w:r>
    </w:p>
    <w:p w:rsidR="26E84261" w:rsidP="753B77DA" w:rsidRDefault="26E84261" w14:paraId="18B46712" w14:textId="33FBB57C">
      <w:pPr>
        <w:keepNext w:val="1"/>
        <w:keepLines w:val="1"/>
        <w:shd w:val="clear" w:color="auto" w:fill="FFFFFF" w:themeFill="background1"/>
        <w:spacing w:before="240" w:beforeAutospacing="off" w:after="240" w:afterAutospacing="off"/>
      </w:pP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Social services also play a vital role in multi-agency working, sharing information with schools, health </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professionals</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 police to build a holistic understanding of a young person’s situation (HM Government, 2018). From my perspective, this joined</w:t>
      </w:r>
      <w:r w:rsidRPr="489789AE" w:rsidR="50A4D7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 approach is essential because no single service holds the full picture of a child’s life. Effective assessment ensures that decisions are evidence</w:t>
      </w:r>
      <w:r w:rsidRPr="489789AE" w:rsidR="41DB6C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based and centred on the child’s best interests, rather than assumptions or resource pressures.</w:t>
      </w:r>
    </w:p>
    <w:p w:rsidR="26E84261" w:rsidP="489789AE" w:rsidRDefault="26E84261" w14:paraId="181DD80B" w14:textId="6B9FA723">
      <w:pPr>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Furthermore, the </w:t>
      </w:r>
      <w:r w:rsidRPr="489789AE" w:rsidR="659934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Munro </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Review </w:t>
      </w:r>
      <w:r w:rsidRPr="489789AE" w:rsidR="1C7219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which was created in </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2011 emphasises </w:t>
      </w:r>
      <w:r w:rsidRPr="489789AE" w:rsidR="1A68E9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 </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importance of professional judgement and </w:t>
      </w:r>
      <w:r w:rsidRPr="489789AE" w:rsidR="692216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relationship-based</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practice in safeguarding</w:t>
      </w:r>
      <w:r w:rsidRPr="489789AE" w:rsidR="17B8AE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(Munro Review, 2011).</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resonates strongly with my experience, as feeling listened to and believed can significantly </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impact</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young person’s trust in services. Overall, the assessing role of social services is critically important because it directly influences safety, </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support</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life chances for </w:t>
      </w:r>
      <w:r w:rsidRPr="489789AE" w:rsidR="32587C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many </w:t>
      </w:r>
      <w:r w:rsidRPr="489789AE" w:rsidR="3A74C1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vulnerable young people </w:t>
      </w:r>
      <w:r w:rsidRPr="489789AE" w:rsidR="73B195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out there.</w:t>
      </w:r>
    </w:p>
    <w:p w:rsidR="26E84261" w:rsidP="753B77DA" w:rsidRDefault="26E84261" w14:paraId="63EDF63E" w14:textId="0B3691F2">
      <w:pPr>
        <w:keepNext w:val="1"/>
        <w:keepLines w:val="1"/>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53B77DA" w:rsidR="001FEF8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Identified</w:t>
      </w:r>
      <w:r w:rsidRPr="753B77DA" w:rsidR="001FEF8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problems and Research Gaps</w:t>
      </w:r>
    </w:p>
    <w:p w:rsidR="26E84261" w:rsidP="489789AE" w:rsidRDefault="26E84261" w14:paraId="585C2688" w14:textId="2CD66CF7">
      <w:pPr>
        <w:pStyle w:val="Normal"/>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role of social services in safeguarding young people in the United Kingdom is widely recognised as </w:t>
      </w:r>
      <w:r w:rsidRPr="489789AE" w:rsidR="6D1904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critically valued service</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10A903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significant problems and research gaps continue to affect its effectiveness. Ongoing debates focus on resource limitations, assessment quality, consistency of practice, and the balance between child protection and family support.</w:t>
      </w:r>
    </w:p>
    <w:p w:rsidR="26E84261" w:rsidP="753B77DA" w:rsidRDefault="26E84261" w14:paraId="13B1F774" w14:textId="0A4D6B7A">
      <w:pPr>
        <w:keepNext w:val="1"/>
        <w:keepLines w:val="1"/>
        <w:shd w:val="clear" w:color="auto" w:fill="FFFFFF" w:themeFill="background1"/>
        <w:spacing w:before="240" w:beforeAutospacing="off" w:after="240" w:afterAutospacing="off"/>
      </w:pPr>
      <w:r w:rsidRPr="753B77DA"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One major identified problem is the impact of austerity and chronic underfunding on social services. Local authorities have faced sustained budget reductions over the past decade, resulting in high caseloads, workforce shortages and reduced early-intervention services (Bywaters et al., 2018). This has raised concerns that safeguarding practice has become increasingly reactive, focusing on crisis intervention rather than prevention. Research suggests that high workloads can compromise the depth and quality of assessments, increasing the risk that harm is overlooked (Featherstone et al., 2019).</w:t>
      </w:r>
    </w:p>
    <w:p w:rsidR="26E84261" w:rsidP="753B77DA" w:rsidRDefault="26E84261" w14:paraId="2793181C" w14:textId="3F9B2A58">
      <w:pPr>
        <w:keepNext w:val="1"/>
        <w:keepLines w:val="1"/>
        <w:shd w:val="clear" w:color="auto" w:fill="FFFFFF" w:themeFill="background1"/>
        <w:spacing w:before="240" w:beforeAutospacing="off" w:after="240" w:afterAutospacing="off"/>
      </w:pPr>
      <w:r w:rsidRPr="753B77DA"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Another ongoing issue is inconsistency in safeguarding assessments and decision-making across local authorities. Despite national guidance such as </w:t>
      </w:r>
      <w:r w:rsidRPr="753B77DA" w:rsidR="5653C63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Working Together to Safeguard Children</w:t>
      </w:r>
      <w:r w:rsidRPr="753B77DA"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thresholds for intervention and interpretations of risk vary considerably (Bilson and Martin, 2017). This “postcode lottery” means that young people with similar experiences may receive very different levels of support depending on where they live. Research gaps remain in understanding how organisational cultures, management practices and local resources shape safeguarding outcomes.</w:t>
      </w:r>
    </w:p>
    <w:p w:rsidR="26E84261" w:rsidP="753B77DA" w:rsidRDefault="26E84261" w14:paraId="2561C632" w14:textId="35C1614F">
      <w:pPr>
        <w:keepNext w:val="1"/>
        <w:keepLines w:val="1"/>
        <w:shd w:val="clear" w:color="auto" w:fill="FFFFFF" w:themeFill="background1"/>
        <w:spacing w:before="240" w:beforeAutospacing="off" w:after="240" w:afterAutospacing="off"/>
      </w:pP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role of professional judgement in assessment is also debated. The Munro Review (2011) called for a move away from overly bureaucratic, compliance</w:t>
      </w:r>
      <w:r w:rsidRPr="489789AE" w:rsidR="5E2B2B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driven systems towards relationship</w:t>
      </w:r>
      <w:r w:rsidRPr="489789AE" w:rsidR="18E430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practice </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based. However, </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subsequent</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research </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indicates</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social workers continue to experience pressure from performance targets, risk</w:t>
      </w:r>
      <w:r w:rsidRPr="489789AE" w:rsidR="6D8E4C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averse organisational </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cultures</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extensive documentation requirements (Broadhurst et al., 2020). There is limited empirical research exploring how social workers balance accountability with meaningful engagement with young people, particularly those who </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have cared</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experienced.</w:t>
      </w:r>
    </w:p>
    <w:p w:rsidR="26E84261" w:rsidP="753B77DA" w:rsidRDefault="26E84261" w14:paraId="3892F878" w14:textId="43FA09C6">
      <w:pPr>
        <w:keepNext w:val="1"/>
        <w:keepLines w:val="1"/>
        <w:shd w:val="clear" w:color="auto" w:fill="FFFFFF" w:themeFill="background1"/>
        <w:spacing w:before="240" w:beforeAutospacing="off" w:after="240" w:afterAutospacing="off"/>
      </w:pP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further concern relates to the voice and participation of young people in safeguarding processes. Although polic</w:t>
      </w:r>
      <w:r w:rsidRPr="489789AE" w:rsidR="4BE5CA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ies </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emphasise child</w:t>
      </w:r>
      <w:r w:rsidRPr="489789AE" w:rsidR="4D4614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centred practice, studies show that young people often feel unheard or excluded from decisions that affect their lives (Thomas, 2018). There is a notable lack of research led by care</w:t>
      </w:r>
      <w:r w:rsidRPr="489789AE" w:rsidR="36B13F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experienced young people themselves, creating a gap in understanding how safeguarding systems are experienced from the child’s perspective.</w:t>
      </w:r>
    </w:p>
    <w:p w:rsidR="26E84261" w:rsidP="753B77DA" w:rsidRDefault="26E84261" w14:paraId="56FBEDE5" w14:textId="6A7C83F7">
      <w:pPr>
        <w:keepNext w:val="1"/>
        <w:keepLines w:val="1"/>
        <w:shd w:val="clear" w:color="auto" w:fill="FFFFFF" w:themeFill="background1"/>
        <w:spacing w:before="240" w:beforeAutospacing="off" w:after="240" w:afterAutospacing="off"/>
      </w:pPr>
      <w:r w:rsidRPr="489789AE" w:rsidR="5CBB1A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Due to</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structural inequaliti</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es </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repres</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ent</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significant and under</w:t>
      </w:r>
      <w:r w:rsidRPr="489789AE" w:rsidR="08E963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researched challenge. Evidence shows that children from disadvantaged backgrounds and minority ethnic communities are disproportionately represented in child protection systems (Bywaters et al., 2018). Ongoing debates question whether safeguarding practice sufficiently addresses the social determinants of harm, such as poverty and housing insecurity, or whether it unfairly individualises risk within families.</w:t>
      </w:r>
    </w:p>
    <w:p w:rsidR="26E84261" w:rsidP="753B77DA" w:rsidRDefault="26E84261" w14:paraId="2EABAF96" w14:textId="788B2EB9">
      <w:pPr>
        <w:keepNext w:val="1"/>
        <w:keepLines w:val="1"/>
        <w:shd w:val="clear" w:color="auto" w:fill="FFFFFF" w:themeFill="background1"/>
        <w:spacing w:before="240" w:beforeAutospacing="off" w:after="240" w:afterAutospacing="off"/>
      </w:pPr>
      <w:r w:rsidRPr="753B77DA"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53B77DA" w:rsidR="0E4150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w:t>
      </w:r>
      <w:r w:rsidRPr="753B77DA"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hile social services play a critical role in safeguarding young people, persistent problems and research gaps </w:t>
      </w:r>
      <w:r w:rsidRPr="753B77DA"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remain</w:t>
      </w:r>
      <w:r w:rsidRPr="753B77DA" w:rsidR="5653C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Addressing funding pressures, inconsistencies in practice, limited participation of young people, and structural inequalities is essential to improving safeguarding outcomes.</w:t>
      </w:r>
    </w:p>
    <w:p w:rsidR="26E84261" w:rsidP="753B77DA" w:rsidRDefault="26E84261" w14:paraId="1F751DE4" w14:textId="58990D01">
      <w:pPr>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6E84261" w:rsidP="753B77DA" w:rsidRDefault="26E84261" w14:paraId="2409B682" w14:textId="5EAFBC3F">
      <w:pPr>
        <w:keepNext w:val="1"/>
        <w:keepLines w:val="1"/>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53B77DA" w:rsidR="73BDD85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Aims and Objectives</w:t>
      </w:r>
    </w:p>
    <w:p w:rsidR="26E84261" w:rsidP="753B77DA" w:rsidRDefault="26E84261" w14:paraId="5EAE3824" w14:textId="24E1EBC1">
      <w:pPr>
        <w:keepNext w:val="1"/>
        <w:keepLines w:val="1"/>
        <w:spacing w:line="360" w:lineRule="auto"/>
        <w:rPr>
          <w:rFonts w:ascii="Arial" w:hAnsi="Arial" w:eastAsia="Arial" w:cs="Arial"/>
          <w:noProof w:val="0"/>
          <w:sz w:val="24"/>
          <w:szCs w:val="24"/>
          <w:lang w:val="en-GB"/>
        </w:rPr>
      </w:pPr>
      <w:r w:rsidRPr="489789AE" w:rsidR="7F7B6D8E">
        <w:rPr>
          <w:rFonts w:ascii="Arial" w:hAnsi="Arial" w:eastAsia="Arial" w:cs="Arial"/>
          <w:b w:val="0"/>
          <w:bCs w:val="0"/>
          <w:i w:val="0"/>
          <w:iCs w:val="0"/>
          <w:caps w:val="0"/>
          <w:smallCaps w:val="0"/>
          <w:noProof w:val="0"/>
          <w:color w:val="000000" w:themeColor="text1" w:themeTint="FF" w:themeShade="FF"/>
          <w:sz w:val="24"/>
          <w:szCs w:val="24"/>
          <w:lang w:val="en-GB"/>
        </w:rPr>
        <w:t xml:space="preserve">This research aims to assess the role of social services in safeguarding young people in the United Kingdom, examining how effectively they </w:t>
      </w:r>
      <w:r w:rsidRPr="489789AE" w:rsidR="7F7B6D8E">
        <w:rPr>
          <w:rFonts w:ascii="Arial" w:hAnsi="Arial" w:eastAsia="Arial" w:cs="Arial"/>
          <w:b w:val="0"/>
          <w:bCs w:val="0"/>
          <w:i w:val="0"/>
          <w:iCs w:val="0"/>
          <w:caps w:val="0"/>
          <w:smallCaps w:val="0"/>
          <w:noProof w:val="0"/>
          <w:color w:val="000000" w:themeColor="text1" w:themeTint="FF" w:themeShade="FF"/>
          <w:sz w:val="24"/>
          <w:szCs w:val="24"/>
          <w:lang w:val="en-GB"/>
        </w:rPr>
        <w:t>identify</w:t>
      </w:r>
      <w:r w:rsidRPr="489789AE" w:rsidR="7F7B6D8E">
        <w:rPr>
          <w:rFonts w:ascii="Arial" w:hAnsi="Arial" w:eastAsia="Arial" w:cs="Arial"/>
          <w:b w:val="0"/>
          <w:bCs w:val="0"/>
          <w:i w:val="0"/>
          <w:iCs w:val="0"/>
          <w:caps w:val="0"/>
          <w:smallCaps w:val="0"/>
          <w:noProof w:val="0"/>
          <w:color w:val="000000" w:themeColor="text1" w:themeTint="FF" w:themeShade="FF"/>
          <w:sz w:val="24"/>
          <w:szCs w:val="24"/>
          <w:lang w:val="en-GB"/>
        </w:rPr>
        <w:t>, prevent, and respond to risks such as abuse, neglect, and exploitation. The research study conducted will explore inter agency collaboration, policy implementation, and the impact on young people's wellbeing and safety.</w:t>
      </w:r>
    </w:p>
    <w:p w:rsidR="26E84261" w:rsidP="489789AE" w:rsidRDefault="26E84261" w14:paraId="06C7FC2B" w14:textId="17E78186">
      <w:pPr>
        <w:keepNext w:val="1"/>
        <w:keepLines w:val="1"/>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6E84261" w:rsidP="489789AE" w:rsidRDefault="26E84261" w14:paraId="642CA30A" w14:textId="759215B9">
      <w:pPr>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6E84261" w:rsidP="753B77DA" w:rsidRDefault="26E84261" w14:paraId="10CB6D9D" w14:textId="238183CA">
      <w:pPr>
        <w:pStyle w:val="Heading2"/>
        <w:keepNext w:val="1"/>
        <w:keepLines w:val="1"/>
        <w:spacing w:before="40" w:after="0" w:line="360" w:lineRule="auto"/>
        <w:jc w:val="both"/>
        <w:rPr>
          <w:rFonts w:ascii="Arial" w:hAnsi="Arial" w:eastAsia="Arial" w:cs="Arial"/>
          <w:b w:val="1"/>
          <w:bCs w:val="1"/>
          <w:i w:val="1"/>
          <w:iCs w:val="1"/>
          <w:caps w:val="0"/>
          <w:smallCaps w:val="0"/>
          <w:noProof w:val="0"/>
          <w:color w:val="000000" w:themeColor="text1" w:themeTint="FF" w:themeShade="FF"/>
          <w:sz w:val="28"/>
          <w:szCs w:val="28"/>
          <w:lang w:val="en-GB"/>
        </w:rPr>
      </w:pPr>
      <w:r w:rsidRPr="753B77DA" w:rsidR="7E3F84D7">
        <w:rPr>
          <w:rFonts w:ascii="Arial" w:hAnsi="Arial" w:eastAsia="Arial" w:cs="Arial"/>
          <w:b w:val="1"/>
          <w:bCs w:val="1"/>
          <w:i w:val="1"/>
          <w:iCs w:val="1"/>
          <w:caps w:val="0"/>
          <w:smallCaps w:val="0"/>
          <w:noProof w:val="0"/>
          <w:color w:val="000000" w:themeColor="text1" w:themeTint="FF" w:themeShade="FF"/>
          <w:sz w:val="28"/>
          <w:szCs w:val="28"/>
          <w:lang w:val="en-GB"/>
        </w:rPr>
        <w:t>Objectives:</w:t>
      </w:r>
    </w:p>
    <w:p w:rsidR="26E84261" w:rsidP="753B77DA" w:rsidRDefault="26E84261" w14:paraId="5F464E4E" w14:textId="44286E97">
      <w:pPr>
        <w:keepNext w:val="1"/>
        <w:keepLines w:val="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6E84261" w:rsidP="6387F054" w:rsidRDefault="26E84261" w14:paraId="6F48E1D0" w14:textId="15E073A2">
      <w:pPr>
        <w:pStyle w:val="ListParagraph"/>
        <w:keepNext w:val="1"/>
        <w:keepLines w:val="1"/>
        <w:numPr>
          <w:ilvl w:val="0"/>
          <w:numId w:val="28"/>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87F054" w:rsidR="5F155333">
        <w:rPr>
          <w:rStyle w:val="Strong"/>
          <w:rFonts w:ascii="Arial" w:hAnsi="Arial" w:eastAsia="Arial" w:cs="Arial"/>
          <w:b w:val="1"/>
          <w:bCs w:val="1"/>
          <w:i w:val="0"/>
          <w:iCs w:val="0"/>
          <w:caps w:val="0"/>
          <w:smallCaps w:val="0"/>
          <w:noProof w:val="0"/>
          <w:color w:val="000000" w:themeColor="text1" w:themeTint="FF" w:themeShade="FF"/>
          <w:sz w:val="24"/>
          <w:szCs w:val="24"/>
          <w:lang w:val="en-GB"/>
        </w:rPr>
        <w:t>Exploring</w:t>
      </w:r>
      <w:r w:rsidRPr="6387F054" w:rsidR="5F155333">
        <w:rPr>
          <w:rFonts w:ascii="Arial" w:hAnsi="Arial" w:eastAsia="Arial" w:cs="Arial"/>
          <w:b w:val="0"/>
          <w:bCs w:val="0"/>
          <w:i w:val="0"/>
          <w:iCs w:val="0"/>
          <w:caps w:val="0"/>
          <w:smallCaps w:val="0"/>
          <w:noProof w:val="0"/>
          <w:color w:val="000000" w:themeColor="text1" w:themeTint="FF" w:themeShade="FF"/>
          <w:sz w:val="24"/>
          <w:szCs w:val="24"/>
          <w:lang w:val="en-GB"/>
        </w:rPr>
        <w:t xml:space="preserve"> the current policies and legal frameworks guiding social services in safeguarding young people. Understanding the legal and policy context for example Children Act 1989, Working Together to Safeguard Children 2018 is essential to assess how social services are expected to </w:t>
      </w:r>
      <w:r w:rsidRPr="6387F054" w:rsidR="5F155333">
        <w:rPr>
          <w:rFonts w:ascii="Arial" w:hAnsi="Arial" w:eastAsia="Arial" w:cs="Arial"/>
          <w:b w:val="0"/>
          <w:bCs w:val="0"/>
          <w:i w:val="0"/>
          <w:iCs w:val="0"/>
          <w:caps w:val="0"/>
          <w:smallCaps w:val="0"/>
          <w:noProof w:val="0"/>
          <w:color w:val="000000" w:themeColor="text1" w:themeTint="FF" w:themeShade="FF"/>
          <w:sz w:val="24"/>
          <w:szCs w:val="24"/>
          <w:lang w:val="en-GB"/>
        </w:rPr>
        <w:t>operate</w:t>
      </w:r>
      <w:r w:rsidRPr="6387F054" w:rsidR="5F155333">
        <w:rPr>
          <w:rFonts w:ascii="Arial" w:hAnsi="Arial" w:eastAsia="Arial" w:cs="Arial"/>
          <w:b w:val="0"/>
          <w:bCs w:val="0"/>
          <w:i w:val="0"/>
          <w:iCs w:val="0"/>
          <w:caps w:val="0"/>
          <w:smallCaps w:val="0"/>
          <w:noProof w:val="0"/>
          <w:color w:val="000000" w:themeColor="text1" w:themeTint="FF" w:themeShade="FF"/>
          <w:sz w:val="24"/>
          <w:szCs w:val="24"/>
          <w:lang w:val="en-GB"/>
        </w:rPr>
        <w:t xml:space="preserve"> and where responsibilities lie.</w:t>
      </w:r>
    </w:p>
    <w:p w:rsidR="26E84261" w:rsidP="6387F054" w:rsidRDefault="26E84261" w14:paraId="2A674728" w14:textId="7FD1E068">
      <w:pPr>
        <w:pStyle w:val="ListParagraph"/>
        <w:keepNext w:val="1"/>
        <w:keepLines w:val="1"/>
        <w:numPr>
          <w:ilvl w:val="0"/>
          <w:numId w:val="28"/>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87F054" w:rsidR="5F155333">
        <w:rPr>
          <w:rStyle w:val="Strong"/>
          <w:rFonts w:ascii="Arial" w:hAnsi="Arial" w:eastAsia="Arial" w:cs="Arial"/>
          <w:b w:val="1"/>
          <w:bCs w:val="1"/>
          <w:i w:val="0"/>
          <w:iCs w:val="0"/>
          <w:caps w:val="0"/>
          <w:smallCaps w:val="0"/>
          <w:noProof w:val="0"/>
          <w:color w:val="000000" w:themeColor="text1" w:themeTint="FF" w:themeShade="FF"/>
          <w:sz w:val="24"/>
          <w:szCs w:val="24"/>
          <w:lang w:val="en-GB"/>
        </w:rPr>
        <w:t xml:space="preserve">Evaluating </w:t>
      </w:r>
      <w:r w:rsidRPr="6387F054" w:rsidR="5F155333">
        <w:rPr>
          <w:rStyle w:val="Strong"/>
          <w:rFonts w:ascii="Arial" w:hAnsi="Arial" w:eastAsia="Arial" w:cs="Arial"/>
          <w:b w:val="0"/>
          <w:bCs w:val="0"/>
          <w:i w:val="0"/>
          <w:iCs w:val="0"/>
          <w:caps w:val="0"/>
          <w:smallCaps w:val="0"/>
          <w:noProof w:val="0"/>
          <w:color w:val="000000" w:themeColor="text1" w:themeTint="FF" w:themeShade="FF"/>
          <w:sz w:val="24"/>
          <w:szCs w:val="24"/>
          <w:lang w:val="en-GB"/>
        </w:rPr>
        <w:t xml:space="preserve">how social services </w:t>
      </w:r>
      <w:r w:rsidRPr="6387F054" w:rsidR="5F155333">
        <w:rPr>
          <w:rStyle w:val="Strong"/>
          <w:rFonts w:ascii="Arial" w:hAnsi="Arial" w:eastAsia="Arial" w:cs="Arial"/>
          <w:b w:val="0"/>
          <w:bCs w:val="0"/>
          <w:i w:val="0"/>
          <w:iCs w:val="0"/>
          <w:caps w:val="0"/>
          <w:smallCaps w:val="0"/>
          <w:noProof w:val="0"/>
          <w:color w:val="000000" w:themeColor="text1" w:themeTint="FF" w:themeShade="FF"/>
          <w:sz w:val="24"/>
          <w:szCs w:val="24"/>
          <w:lang w:val="en-GB"/>
        </w:rPr>
        <w:t>identify</w:t>
      </w:r>
      <w:r w:rsidRPr="6387F054" w:rsidR="5F155333">
        <w:rPr>
          <w:rStyle w:val="Strong"/>
          <w:rFonts w:ascii="Arial" w:hAnsi="Arial" w:eastAsia="Arial" w:cs="Arial"/>
          <w:b w:val="0"/>
          <w:bCs w:val="0"/>
          <w:i w:val="0"/>
          <w:iCs w:val="0"/>
          <w:caps w:val="0"/>
          <w:smallCaps w:val="0"/>
          <w:noProof w:val="0"/>
          <w:color w:val="000000" w:themeColor="text1" w:themeTint="FF" w:themeShade="FF"/>
          <w:sz w:val="24"/>
          <w:szCs w:val="24"/>
          <w:lang w:val="en-GB"/>
        </w:rPr>
        <w:t xml:space="preserve"> and respond to risks of abuse, neglect, and exploitation. This will explore the practical mechanisms used for early intervention and protection, highlighting strengths and potential gaps in safeguarding practice.</w:t>
      </w:r>
    </w:p>
    <w:p w:rsidR="26E84261" w:rsidP="6387F054" w:rsidRDefault="26E84261" w14:paraId="1348749E" w14:textId="4E084CFD">
      <w:pPr>
        <w:pStyle w:val="ListParagraph"/>
        <w:keepNext w:val="1"/>
        <w:keepLines w:val="1"/>
        <w:numPr>
          <w:ilvl w:val="0"/>
          <w:numId w:val="28"/>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87F054" w:rsidR="5F155333">
        <w:rPr>
          <w:rStyle w:val="Strong"/>
          <w:rFonts w:ascii="Arial" w:hAnsi="Arial" w:eastAsia="Arial" w:cs="Arial"/>
          <w:b w:val="1"/>
          <w:bCs w:val="1"/>
          <w:i w:val="0"/>
          <w:iCs w:val="0"/>
          <w:caps w:val="0"/>
          <w:smallCaps w:val="0"/>
          <w:noProof w:val="0"/>
          <w:color w:val="000000" w:themeColor="text1" w:themeTint="FF" w:themeShade="FF"/>
          <w:sz w:val="24"/>
          <w:szCs w:val="24"/>
          <w:lang w:val="en-GB"/>
        </w:rPr>
        <w:t>Examining</w:t>
      </w:r>
      <w:r w:rsidRPr="6387F054" w:rsidR="5F155333">
        <w:rPr>
          <w:rFonts w:ascii="Arial" w:hAnsi="Arial" w:eastAsia="Arial" w:cs="Arial"/>
          <w:b w:val="0"/>
          <w:bCs w:val="0"/>
          <w:i w:val="0"/>
          <w:iCs w:val="0"/>
          <w:caps w:val="0"/>
          <w:smallCaps w:val="0"/>
          <w:noProof w:val="0"/>
          <w:color w:val="000000" w:themeColor="text1" w:themeTint="FF" w:themeShade="FF"/>
          <w:sz w:val="24"/>
          <w:szCs w:val="24"/>
          <w:lang w:val="en-GB"/>
        </w:rPr>
        <w:t xml:space="preserve"> the effectiveness of multi-agency collaboration in safeguarding children and young people. Safeguarding is a shared responsibility involving health, education, and law enforcement.</w:t>
      </w:r>
    </w:p>
    <w:p w:rsidR="26E84261" w:rsidP="6387F054" w:rsidRDefault="26E84261" w14:paraId="3855859C" w14:textId="4C4B1D76">
      <w:pPr>
        <w:pStyle w:val="ListParagraph"/>
        <w:keepNext w:val="1"/>
        <w:keepLines w:val="1"/>
        <w:numPr>
          <w:ilvl w:val="0"/>
          <w:numId w:val="28"/>
        </w:numPr>
        <w:shd w:val="clear" w:color="auto" w:fill="FFFFFF" w:themeFill="background1"/>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87F054" w:rsidR="5F155333">
        <w:rPr>
          <w:rFonts w:ascii="Arial" w:hAnsi="Arial" w:eastAsia="Arial" w:cs="Arial"/>
          <w:b w:val="1"/>
          <w:bCs w:val="1"/>
          <w:i w:val="0"/>
          <w:iCs w:val="0"/>
          <w:caps w:val="0"/>
          <w:smallCaps w:val="0"/>
          <w:noProof w:val="0"/>
          <w:color w:val="000000" w:themeColor="text1" w:themeTint="FF" w:themeShade="FF"/>
          <w:sz w:val="24"/>
          <w:szCs w:val="24"/>
          <w:lang w:val="en-GB"/>
        </w:rPr>
        <w:t>Assessing</w:t>
      </w:r>
      <w:r w:rsidRPr="6387F054" w:rsidR="5F155333">
        <w:rPr>
          <w:rFonts w:ascii="Arial" w:hAnsi="Arial" w:eastAsia="Arial" w:cs="Arial"/>
          <w:b w:val="0"/>
          <w:bCs w:val="0"/>
          <w:i w:val="0"/>
          <w:iCs w:val="0"/>
          <w:caps w:val="0"/>
          <w:smallCaps w:val="0"/>
          <w:noProof w:val="0"/>
          <w:color w:val="000000" w:themeColor="text1" w:themeTint="FF" w:themeShade="FF"/>
          <w:sz w:val="24"/>
          <w:szCs w:val="24"/>
          <w:lang w:val="en-GB"/>
        </w:rPr>
        <w:t xml:space="preserve"> the impact of social service interventions on the wellbeing and outcomes of young people through the form of a thematic analysis. Looking at other forms of outcomes of interventions helps </w:t>
      </w:r>
      <w:r w:rsidRPr="6387F054" w:rsidR="5F155333">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6387F054" w:rsidR="5F155333">
        <w:rPr>
          <w:rFonts w:ascii="Arial" w:hAnsi="Arial" w:eastAsia="Arial" w:cs="Arial"/>
          <w:b w:val="0"/>
          <w:bCs w:val="0"/>
          <w:i w:val="0"/>
          <w:iCs w:val="0"/>
          <w:caps w:val="0"/>
          <w:smallCaps w:val="0"/>
          <w:noProof w:val="0"/>
          <w:color w:val="000000" w:themeColor="text1" w:themeTint="FF" w:themeShade="FF"/>
          <w:sz w:val="24"/>
          <w:szCs w:val="24"/>
          <w:lang w:val="en-GB"/>
        </w:rPr>
        <w:t xml:space="preserve"> whether social services are making a meaningful difference in young people's lives.</w:t>
      </w:r>
    </w:p>
    <w:p w:rsidR="26E84261" w:rsidP="6387F054" w:rsidRDefault="26E84261" w14:paraId="79BB0467" w14:textId="4A5BDF5E">
      <w:pPr>
        <w:pStyle w:val="ListParagraph"/>
        <w:keepNext w:val="1"/>
        <w:keepLines w:val="1"/>
        <w:numPr>
          <w:ilvl w:val="0"/>
          <w:numId w:val="28"/>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87F054" w:rsidR="5F155333">
        <w:rPr>
          <w:rStyle w:val="Strong"/>
          <w:rFonts w:ascii="Arial" w:hAnsi="Arial" w:eastAsia="Arial" w:cs="Arial"/>
          <w:b w:val="1"/>
          <w:bCs w:val="1"/>
          <w:i w:val="0"/>
          <w:iCs w:val="0"/>
          <w:caps w:val="0"/>
          <w:smallCaps w:val="0"/>
          <w:noProof w:val="0"/>
          <w:color w:val="000000" w:themeColor="text1" w:themeTint="FF" w:themeShade="FF"/>
          <w:sz w:val="24"/>
          <w:szCs w:val="24"/>
          <w:lang w:val="en-GB"/>
        </w:rPr>
        <w:t>Identify</w:t>
      </w:r>
      <w:r w:rsidRPr="6387F054" w:rsidR="5F155333">
        <w:rPr>
          <w:rFonts w:ascii="Arial" w:hAnsi="Arial" w:eastAsia="Arial" w:cs="Arial"/>
          <w:b w:val="0"/>
          <w:bCs w:val="0"/>
          <w:i w:val="0"/>
          <w:iCs w:val="0"/>
          <w:caps w:val="0"/>
          <w:smallCaps w:val="0"/>
          <w:noProof w:val="0"/>
          <w:color w:val="000000" w:themeColor="text1" w:themeTint="FF" w:themeShade="FF"/>
          <w:sz w:val="24"/>
          <w:szCs w:val="24"/>
          <w:lang w:val="en-GB"/>
        </w:rPr>
        <w:t xml:space="preserve"> challenges and barriers faced by social workers in safeguarding roles</w:t>
      </w:r>
      <w:r w:rsidRPr="6387F054" w:rsidR="5F15533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87F054" w:rsidR="5F155333">
        <w:rPr>
          <w:rFonts w:ascii="Arial" w:hAnsi="Arial" w:eastAsia="Arial" w:cs="Arial"/>
          <w:b w:val="0"/>
          <w:bCs w:val="0"/>
          <w:i w:val="0"/>
          <w:iCs w:val="0"/>
          <w:caps w:val="0"/>
          <w:smallCaps w:val="0"/>
          <w:noProof w:val="0"/>
          <w:color w:val="000000" w:themeColor="text1" w:themeTint="FF" w:themeShade="FF"/>
          <w:sz w:val="24"/>
          <w:szCs w:val="24"/>
          <w:lang w:val="en-GB"/>
        </w:rPr>
        <w:t xml:space="preserve">Social care professionals often </w:t>
      </w:r>
      <w:r w:rsidRPr="6387F054" w:rsidR="5F155333">
        <w:rPr>
          <w:rFonts w:ascii="Arial" w:hAnsi="Arial" w:eastAsia="Arial" w:cs="Arial"/>
          <w:b w:val="0"/>
          <w:bCs w:val="0"/>
          <w:i w:val="0"/>
          <w:iCs w:val="0"/>
          <w:caps w:val="0"/>
          <w:smallCaps w:val="0"/>
          <w:noProof w:val="0"/>
          <w:color w:val="000000" w:themeColor="text1" w:themeTint="FF" w:themeShade="FF"/>
          <w:sz w:val="24"/>
          <w:szCs w:val="24"/>
          <w:lang w:val="en-GB"/>
        </w:rPr>
        <w:t>encounter</w:t>
      </w:r>
      <w:r w:rsidRPr="6387F054" w:rsidR="5F155333">
        <w:rPr>
          <w:rFonts w:ascii="Arial" w:hAnsi="Arial" w:eastAsia="Arial" w:cs="Arial"/>
          <w:b w:val="0"/>
          <w:bCs w:val="0"/>
          <w:i w:val="0"/>
          <w:iCs w:val="0"/>
          <w:caps w:val="0"/>
          <w:smallCaps w:val="0"/>
          <w:noProof w:val="0"/>
          <w:color w:val="000000" w:themeColor="text1" w:themeTint="FF" w:themeShade="FF"/>
          <w:sz w:val="24"/>
          <w:szCs w:val="24"/>
          <w:lang w:val="en-GB"/>
        </w:rPr>
        <w:t xml:space="preserve"> systemic issues such as high caseloads, underfunding, and lack of training. Being able to have a real understanding of these challenges can inform recommendations for improvement.</w:t>
      </w:r>
    </w:p>
    <w:p w:rsidR="26E84261" w:rsidP="6387F054" w:rsidRDefault="26E84261" w14:paraId="445691A8" w14:textId="05300B1F">
      <w:pPr>
        <w:pStyle w:val="ListParagraph"/>
        <w:keepNext w:val="1"/>
        <w:keepLines w:val="1"/>
        <w:numPr>
          <w:ilvl w:val="0"/>
          <w:numId w:val="28"/>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87F054" w:rsidR="3EF8A79A">
        <w:rPr>
          <w:rFonts w:ascii="Arial" w:hAnsi="Arial" w:eastAsia="Arial" w:cs="Arial"/>
          <w:b w:val="1"/>
          <w:bCs w:val="1"/>
          <w:i w:val="0"/>
          <w:iCs w:val="0"/>
          <w:caps w:val="0"/>
          <w:smallCaps w:val="0"/>
          <w:noProof w:val="0"/>
          <w:color w:val="000000" w:themeColor="text1" w:themeTint="FF" w:themeShade="FF"/>
          <w:sz w:val="24"/>
          <w:szCs w:val="24"/>
          <w:lang w:val="en-GB"/>
        </w:rPr>
        <w:t xml:space="preserve">Providing recommendation </w:t>
      </w:r>
      <w:r w:rsidRPr="6387F054" w:rsidR="3EF8A79A">
        <w:rPr>
          <w:rFonts w:ascii="Arial" w:hAnsi="Arial" w:eastAsia="Arial" w:cs="Arial"/>
          <w:b w:val="0"/>
          <w:bCs w:val="0"/>
          <w:i w:val="0"/>
          <w:iCs w:val="0"/>
          <w:caps w:val="0"/>
          <w:smallCaps w:val="0"/>
          <w:noProof w:val="0"/>
          <w:color w:val="000000" w:themeColor="text1" w:themeTint="FF" w:themeShade="FF"/>
          <w:sz w:val="24"/>
          <w:szCs w:val="24"/>
          <w:lang w:val="en-GB"/>
        </w:rPr>
        <w:t>are crucial to be able to undertake real change in the social care system.</w:t>
      </w:r>
    </w:p>
    <w:p w:rsidR="6F38B264" w:rsidP="6F38B264" w:rsidRDefault="6F38B264" w14:paraId="2EC00FE9" w14:textId="60C703D1">
      <w:pPr>
        <w:keepNext w:val="1"/>
        <w:keepLines w:val="1"/>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6E84261" w:rsidP="753B77DA" w:rsidRDefault="26E84261" w14:paraId="1CC02542" w14:textId="724A15AF">
      <w:pPr>
        <w:keepNext w:val="1"/>
        <w:keepLines w:val="1"/>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53B77DA" w:rsidR="0576DB4C">
        <w:rPr>
          <w:rFonts w:ascii="Arial" w:hAnsi="Arial" w:eastAsia="Arial" w:cs="Arial"/>
          <w:b w:val="1"/>
          <w:bCs w:val="1"/>
          <w:i w:val="0"/>
          <w:iCs w:val="0"/>
          <w:caps w:val="0"/>
          <w:smallCaps w:val="0"/>
          <w:noProof w:val="0"/>
          <w:color w:val="000000" w:themeColor="text1" w:themeTint="FF" w:themeShade="FF"/>
          <w:sz w:val="24"/>
          <w:szCs w:val="24"/>
          <w:lang w:val="en-GB"/>
        </w:rPr>
        <w:t>Conclusion on chapter 1</w:t>
      </w:r>
    </w:p>
    <w:p w:rsidR="26E84261" w:rsidP="753B77DA" w:rsidRDefault="26E84261" w14:paraId="658AD82A" w14:textId="0316E29F">
      <w:pPr>
        <w:pStyle w:val="Normal"/>
        <w:keepNext w:val="1"/>
        <w:keepLines w:val="1"/>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53B77DA" w:rsidR="1E1D68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753B77DA" w:rsidR="0576DB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 conclusion, assessing the role of social services in safeguarding young people in the United Kingdom highlights both their critical importance and the complex challenges they face. Social services play </w:t>
      </w:r>
      <w:r w:rsidRPr="753B77DA" w:rsidR="0576DB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central role</w:t>
      </w:r>
      <w:r w:rsidRPr="753B77DA" w:rsidR="0576DB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w:t>
      </w:r>
      <w:r w:rsidRPr="753B77DA" w:rsidR="0576DB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identifying</w:t>
      </w:r>
      <w:r w:rsidRPr="753B77DA" w:rsidR="0576DB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risk, assessing </w:t>
      </w:r>
      <w:r w:rsidRPr="753B77DA" w:rsidR="0576DB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need</w:t>
      </w:r>
      <w:r w:rsidRPr="753B77DA" w:rsidR="0576DB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coordinating interventions to protect children and young people from harm. Effective assessments are essential in ensuring that safeguarding decisions are informed, proportionate and focused on promoting the welfare and best interests of the child.</w:t>
      </w:r>
      <w:r w:rsidRPr="753B77DA" w:rsidR="52E28D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next chapter will be moving onto more details on the depth and background analysis to social work</w:t>
      </w:r>
      <w:r w:rsidRPr="753B77DA" w:rsidR="2B0BC7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6E84261" w:rsidP="753B77DA" w:rsidRDefault="26E84261" w14:paraId="469B94D4" w14:textId="18E7533F">
      <w:pPr>
        <w:pStyle w:val="Normal"/>
        <w:keepNext w:val="1"/>
        <w:keepLines w:val="1"/>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6E84261" w:rsidP="753B77DA" w:rsidRDefault="26E84261" w14:paraId="531890E6" w14:textId="06CA65D5">
      <w:pPr>
        <w:pStyle w:val="Normal"/>
        <w:keepNext w:val="1"/>
        <w:keepLines w:val="1"/>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6E84261" w:rsidP="753B77DA" w:rsidRDefault="26E84261" w14:paraId="4D9FC09D" w14:textId="42D9B351">
      <w:pPr>
        <w:pStyle w:val="Normal"/>
        <w:keepNext w:val="1"/>
        <w:keepLines w:val="1"/>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6E84261" w:rsidP="753B77DA" w:rsidRDefault="26E84261" w14:paraId="77E5EB18" w14:textId="1089A7C3">
      <w:pPr>
        <w:pStyle w:val="Normal"/>
        <w:keepNext w:val="1"/>
        <w:keepLines w:val="1"/>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6E84261" w:rsidP="753B77DA" w:rsidRDefault="26E84261" w14:paraId="2F15E5A8" w14:textId="7A68531B">
      <w:pPr>
        <w:pStyle w:val="Normal"/>
        <w:keepNext w:val="1"/>
        <w:keepLines w:val="1"/>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6E84261" w:rsidP="753B77DA" w:rsidRDefault="26E84261" w14:paraId="7594C0E8" w14:textId="6D5A6518">
      <w:pPr>
        <w:pStyle w:val="Normal"/>
        <w:keepNext w:val="1"/>
        <w:keepLines w:val="1"/>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6E84261" w:rsidP="753B77DA" w:rsidRDefault="26E84261" w14:paraId="4BEBF2F5" w14:textId="3D69571C">
      <w:pPr>
        <w:pStyle w:val="Normal"/>
        <w:keepNext w:val="1"/>
        <w:keepLines w:val="1"/>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6E84261" w:rsidP="753B77DA" w:rsidRDefault="26E84261" w14:paraId="0E8564CC" w14:textId="780986CB">
      <w:pPr>
        <w:pStyle w:val="Normal"/>
        <w:keepNext w:val="1"/>
        <w:keepLines w:val="1"/>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6E84261" w:rsidP="6387F054" w:rsidRDefault="26E84261" w14:paraId="1EE2B961" w14:textId="56C302EF">
      <w:pPr>
        <w:pStyle w:val="Normal"/>
        <w:keepNext w:val="1"/>
        <w:keepLines w:val="1"/>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387F054" w:rsidP="6387F054" w:rsidRDefault="6387F054" w14:paraId="4E5898C8" w14:textId="045234A6">
      <w:pPr>
        <w:pStyle w:val="Normal"/>
        <w:keepNext w:val="1"/>
        <w:keepLines w:val="1"/>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6E84261" w:rsidP="2756A9D9" w:rsidRDefault="26E84261" w14:paraId="6594F58A" w14:textId="0CFEF8A6">
      <w:pPr>
        <w:pStyle w:val="Normal"/>
        <w:keepNext w:val="1"/>
        <w:keepLines w:val="1"/>
        <w:spacing w:before="240" w:beforeAutospacing="off" w:after="240" w:afterAutospacing="off"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756A9D9" w:rsidR="1FD95A8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Chapter 2 Background Information and Analy</w:t>
      </w:r>
      <w:r w:rsidRPr="2756A9D9" w:rsidR="216C50B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sis</w:t>
      </w:r>
      <w:r w:rsidRPr="2756A9D9" w:rsidR="216C50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6E84261" w:rsidP="2756A9D9" w:rsidRDefault="26E84261" w14:paraId="07AA46BA" w14:textId="71C4FB06">
      <w:pPr>
        <w:pStyle w:val="Heading3"/>
        <w:keepNext w:val="1"/>
        <w:keepLines w:val="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387F054" w:rsidR="092F61C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1. Introduction</w:t>
      </w:r>
    </w:p>
    <w:p w:rsidR="6387F054" w:rsidP="6387F054" w:rsidRDefault="6387F054" w14:paraId="6D2C63E9" w14:textId="1F19A88C">
      <w:pPr>
        <w:pStyle w:val="Normal"/>
        <w:keepNext w:val="1"/>
        <w:keepLines w:val="1"/>
        <w:rPr>
          <w:noProof w:val="0"/>
          <w:lang w:val="en-GB"/>
        </w:rPr>
      </w:pPr>
    </w:p>
    <w:p w:rsidR="26E84261" w:rsidP="2756A9D9" w:rsidRDefault="26E84261" w14:paraId="2617D85E" w14:textId="56800C80">
      <w:pPr>
        <w:pStyle w:val="Normal"/>
        <w:keepNext w:val="1"/>
        <w:keepLines w:val="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756A9D9" w:rsidR="5E2D57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this chapter will be looking closely on the social care history on how it began and where we are currently now. </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development of social services in the United Kingdom reflects profound shifts in society, politics, economics, and the role of the state. What began as informal mutual support and religious charity evolved over centuries into a modern welfare state with statutory services designed to protect and support vulnerable populations. This essay traces that history, analysing key legislative, structural, and ideological developments from early poor relief to today’s complex system of social care and support.</w:t>
      </w:r>
    </w:p>
    <w:p w:rsidR="26E84261" w:rsidP="2756A9D9" w:rsidRDefault="26E84261" w14:paraId="551A2879" w14:textId="3E4842A7">
      <w:pPr>
        <w:keepNext w:val="1"/>
        <w:keepLines w:val="1"/>
      </w:pPr>
    </w:p>
    <w:p w:rsidR="26E84261" w:rsidP="2756A9D9" w:rsidRDefault="26E84261" w14:paraId="1AE8E741" w14:textId="1AE1D7DE">
      <w:pPr>
        <w:pStyle w:val="Heading2"/>
        <w:keepNext w:val="1"/>
        <w:keepLines w:val="1"/>
        <w:shd w:val="clear" w:color="auto" w:fill="FFFFFF" w:themeFill="background1"/>
        <w:spacing w:before="199" w:beforeAutospacing="off" w:after="199"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 Early Roots: Charity, Community, and the Poor Laws</w:t>
      </w:r>
    </w:p>
    <w:p w:rsidR="26E84261" w:rsidP="2756A9D9" w:rsidRDefault="26E84261" w14:paraId="7D7101A2" w14:textId="74445CD7">
      <w:pPr>
        <w:pStyle w:val="Heading3"/>
        <w:keepNext w:val="1"/>
        <w:keepLines w:val="1"/>
        <w:shd w:val="clear" w:color="auto" w:fill="FFFFFF" w:themeFill="background1"/>
        <w:spacing w:before="240" w:beforeAutospacing="off" w:after="240"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2.1 Charitable and Religious Provision</w:t>
      </w:r>
    </w:p>
    <w:p w:rsidR="26E84261" w:rsidP="489789AE" w:rsidRDefault="26E84261" w14:paraId="45C992AA" w14:textId="354A9FF5">
      <w:pPr>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Before statutory social services existed, care for the vulnerable was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largely informal</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Families, neighbourhoods, and religious institutions provided help through almsgiving, parish relief, and charitable activities. Monastic communities in medieval England, for example, offered care, food, and shelter to the poor and sick</w:t>
      </w:r>
      <w:r w:rsidRPr="489789AE" w:rsidR="6EC85D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489789AE" w:rsidR="6614B7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 a</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form of </w:t>
      </w:r>
      <w:r w:rsidRPr="489789AE" w:rsidR="0658AC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social welfare long before state involvement</w:t>
      </w:r>
      <w:r w:rsidRPr="489789AE" w:rsidR="33EDB2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6E84261" w:rsidP="2756A9D9" w:rsidRDefault="26E84261" w14:paraId="768F7AF3" w14:textId="3934A476">
      <w:pPr>
        <w:keepNext w:val="1"/>
        <w:keepLines w:val="1"/>
        <w:shd w:val="clear" w:color="auto" w:fill="FFFFFF" w:themeFill="background1"/>
        <w:spacing w:before="240" w:beforeAutospacing="off" w:after="240" w:afterAutospacing="off"/>
      </w:pP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 the dissolution of the monasteries under Henry VIII in the 1530s removed a significant source of social support, creating a welfare vacuum that civil authorities were forced to address.</w:t>
      </w:r>
    </w:p>
    <w:p w:rsidR="26E84261" w:rsidP="2756A9D9" w:rsidRDefault="26E84261" w14:paraId="717D4059" w14:textId="40DE5B84">
      <w:pPr>
        <w:pStyle w:val="Heading3"/>
        <w:keepNext w:val="1"/>
        <w:keepLines w:val="1"/>
        <w:shd w:val="clear" w:color="auto" w:fill="FFFFFF" w:themeFill="background1"/>
        <w:spacing w:before="240" w:beforeAutospacing="off" w:after="240"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2.2 The Elizabethan Poor Law of 1601</w:t>
      </w:r>
    </w:p>
    <w:p w:rsidR="26E84261" w:rsidP="489789AE" w:rsidRDefault="26E84261" w14:paraId="1DE0055E" w14:textId="35BECA15">
      <w:pPr>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most important early statutory framework for welfare in England and Wales was the Elizabethan Poor Law of 1601. This legislation marked the first comprehensive attempt by the state to organise poor relief. It divided the poor into categories and placed responsibility on local parishes to provide relief through payments, food, apprenticeships, or workhouses. The system introduced the principle of local responsibility and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established</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rudimentary entitlement to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assistance</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those unable to work </w:t>
      </w:r>
      <w:r w:rsidRPr="489789AE" w:rsidR="7DA310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89789AE" w:rsidR="33D7D8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social</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care</w:t>
      </w:r>
      <w:r w:rsidRPr="489789AE" w:rsidR="0AADF5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2014).</w:t>
      </w:r>
    </w:p>
    <w:p w:rsidR="26E84261" w:rsidP="2756A9D9" w:rsidRDefault="26E84261" w14:paraId="20C5DD53" w14:textId="38BAD992">
      <w:pPr>
        <w:keepNext w:val="1"/>
        <w:keepLines w:val="1"/>
        <w:shd w:val="clear" w:color="auto" w:fill="FFFFFF" w:themeFill="background1"/>
        <w:spacing w:before="240" w:beforeAutospacing="off" w:after="240" w:afterAutospacing="off"/>
      </w:pPr>
      <w:r w:rsidRPr="6387F054" w:rsidR="092F61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Poor </w:t>
      </w:r>
      <w:r w:rsidRPr="6387F054" w:rsidR="67A24E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w:t>
      </w:r>
      <w:r w:rsidRPr="6387F054" w:rsidR="092F61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aw system remained in place for over 250 years. It was widely criticised for its punitive approach </w:t>
      </w:r>
      <w:r w:rsidRPr="6387F054" w:rsidR="367E34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terms of</w:t>
      </w:r>
      <w:r w:rsidRPr="6387F054" w:rsidR="092F61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w:t>
      </w:r>
      <w:r w:rsidRPr="6387F054" w:rsidR="5F56A7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workhouse arrangement</w:t>
      </w:r>
      <w:r w:rsidRPr="6387F054" w:rsidR="092F61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categorising the poor, and for </w:t>
      </w:r>
      <w:r w:rsidRPr="6387F054" w:rsidR="092F61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failing to meet</w:t>
      </w:r>
      <w:r w:rsidRPr="6387F054" w:rsidR="092F61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needs of a rapidly industrialising society.</w:t>
      </w:r>
    </w:p>
    <w:p w:rsidR="6387F054" w:rsidP="6387F054" w:rsidRDefault="6387F054" w14:paraId="6D0B0320" w14:textId="12F716E1">
      <w:pPr>
        <w:pStyle w:val="Heading3"/>
        <w:keepNext w:val="1"/>
        <w:keepLines w:val="1"/>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26E84261" w:rsidP="2756A9D9" w:rsidRDefault="26E84261" w14:paraId="1CEC9B0E" w14:textId="13586849">
      <w:pPr>
        <w:pStyle w:val="Heading3"/>
        <w:keepNext w:val="1"/>
        <w:keepLines w:val="1"/>
        <w:shd w:val="clear" w:color="auto" w:fill="FFFFFF" w:themeFill="background1"/>
        <w:spacing w:before="240" w:beforeAutospacing="off" w:after="240" w:afterAutospacing="off"/>
      </w:pPr>
      <w:r w:rsidRPr="6387F054" w:rsidR="092F61C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2.3 The New Poor Law (1834)</w:t>
      </w:r>
    </w:p>
    <w:p w:rsidR="26E84261" w:rsidP="6387F054" w:rsidRDefault="26E84261" w14:paraId="6BB65B82" w14:textId="5CF2F597">
      <w:pPr>
        <w:pStyle w:val="Normal"/>
        <w:keepNext w:val="1"/>
        <w:keepLines w:val="1"/>
        <w:rPr>
          <w:noProof w:val="0"/>
          <w:lang w:val="en-GB"/>
        </w:rPr>
      </w:pPr>
      <w:r w:rsidRPr="3A130187" w:rsidR="76A968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By the early 19th century, rapid industrialisation, urbanisation, and unemployment made the old poor relief system unsustainable. The Poor Law Amendment Act of 1834 </w:t>
      </w:r>
      <w:r w:rsidRPr="3A130187" w:rsidR="50DC67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which was also</w:t>
      </w:r>
      <w:r w:rsidRPr="3A130187" w:rsidR="76A968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called the New Poor Law reorganised poor relief by concentrating support in workhouses and discouraging outdoor relief. This “less eligibility” policy aimed to make welfare less attractive so that only the truly desperate would seek help. While dominating UK welfare for decades, it entrenched stigma and inequality in service provision </w:t>
      </w:r>
      <w:r w:rsidRPr="3A130187" w:rsidR="00C58C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A130187" w:rsidR="043BD8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Goldman, 2025)</w:t>
      </w:r>
      <w:r w:rsidRPr="3A130187" w:rsidR="76A968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6E84261" w:rsidP="2756A9D9" w:rsidRDefault="26E84261" w14:paraId="53C992CF" w14:textId="307AF38A">
      <w:pPr>
        <w:keepNext w:val="1"/>
        <w:keepLines w:val="1"/>
      </w:pPr>
    </w:p>
    <w:p w:rsidR="26E84261" w:rsidP="2756A9D9" w:rsidRDefault="26E84261" w14:paraId="2F1DD371" w14:textId="1A55B7D8">
      <w:pPr>
        <w:pStyle w:val="Heading2"/>
        <w:keepNext w:val="1"/>
        <w:keepLines w:val="1"/>
        <w:shd w:val="clear" w:color="auto" w:fill="FFFFFF" w:themeFill="background1"/>
        <w:spacing w:before="199" w:beforeAutospacing="off" w:after="199"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3. The Birth of the Modern Welfare State</w:t>
      </w:r>
    </w:p>
    <w:p w:rsidR="26E84261" w:rsidP="2756A9D9" w:rsidRDefault="26E84261" w14:paraId="5411A9B2" w14:textId="2E680390">
      <w:pPr>
        <w:pStyle w:val="Heading3"/>
        <w:keepNext w:val="1"/>
        <w:keepLines w:val="1"/>
        <w:shd w:val="clear" w:color="auto" w:fill="FFFFFF" w:themeFill="background1"/>
        <w:spacing w:before="240" w:beforeAutospacing="off" w:after="240" w:afterAutospacing="off"/>
      </w:pPr>
      <w:r w:rsidRPr="489789AE"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3.1 Early 20</w:t>
      </w:r>
      <w:r w:rsidRPr="489789AE"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vertAlign w:val="superscript"/>
          <w:lang w:val="en-GB"/>
        </w:rPr>
        <w:t>th</w:t>
      </w:r>
      <w:r w:rsidRPr="489789AE" w:rsidR="2919A5D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489789AE"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Century Reforms</w:t>
      </w:r>
    </w:p>
    <w:p w:rsidR="26E84261" w:rsidP="2756A9D9" w:rsidRDefault="26E84261" w14:paraId="769435EA" w14:textId="617E6B96">
      <w:pPr>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late 19th and early 20th centuries witnessed growing public consensus that state intervention was required to address poverty, ill health, unemployment, and social exclusion. Liberal governments began introducing welfare reforms, such as unemployment and sickness benefits, pensions, and health insurance </w:t>
      </w:r>
      <w:r w:rsidRPr="2756A9D9" w:rsidR="37458A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ocial </w:t>
      </w:r>
      <w:r w:rsidRPr="2756A9D9" w:rsidR="0BA37D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olicy literature suggests these developments laid groundwork for later comprehensive welfare programmes</w:t>
      </w:r>
      <w:r w:rsidRPr="2756A9D9" w:rsidR="4DB731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6E84261" w:rsidP="2756A9D9" w:rsidRDefault="26E84261" w14:paraId="7D39579C" w14:textId="39D7ECEE">
      <w:pPr>
        <w:pStyle w:val="Heading3"/>
        <w:keepNext w:val="1"/>
        <w:keepLines w:val="1"/>
        <w:shd w:val="clear" w:color="auto" w:fill="FFFFFF" w:themeFill="background1"/>
        <w:spacing w:before="240" w:beforeAutospacing="off" w:after="240"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3.2 The Beveridge Report and World War II</w:t>
      </w:r>
    </w:p>
    <w:p w:rsidR="26E84261" w:rsidP="2756A9D9" w:rsidRDefault="26E84261" w14:paraId="4B4E244A" w14:textId="0A91B1FF">
      <w:pPr>
        <w:keepNext w:val="1"/>
        <w:keepLines w:val="1"/>
        <w:shd w:val="clear" w:color="auto" w:fill="FFFFFF" w:themeFill="background1"/>
        <w:spacing w:before="240" w:beforeAutospacing="off" w:after="240" w:afterAutospacing="off"/>
      </w:pP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transformational moment in UK social services history was the publication of the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Beveridge Report</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1942. William Beveridge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identified</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“five </w:t>
      </w:r>
      <w:r w:rsidRPr="489789AE" w:rsidR="019A4B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giants” want</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disease, ignorance, squalor, and </w:t>
      </w:r>
      <w:r w:rsidRPr="489789AE" w:rsidR="26C677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idleness and</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argued for a comprehensive welfare state to eradicate these conditions. His recommendations influenced post</w:t>
      </w:r>
      <w:r w:rsidRPr="489789AE" w:rsidR="3C768B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war policymakers in Labour’s 1945 government.</w:t>
      </w:r>
    </w:p>
    <w:p w:rsidR="26E84261" w:rsidP="2756A9D9" w:rsidRDefault="26E84261" w14:paraId="7F809B36" w14:textId="0D27EF67">
      <w:pPr>
        <w:pStyle w:val="Heading3"/>
        <w:keepNext w:val="1"/>
        <w:keepLines w:val="1"/>
        <w:shd w:val="clear" w:color="auto" w:fill="FFFFFF" w:themeFill="background1"/>
        <w:spacing w:before="240" w:beforeAutospacing="off" w:after="240"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3.3 National Assistance and Abolition of the Poor Law</w:t>
      </w:r>
    </w:p>
    <w:p w:rsidR="26E84261" w:rsidP="2756A9D9" w:rsidRDefault="26E84261" w14:paraId="7E14E39B" w14:textId="0F227D82">
      <w:pPr>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1948, th</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 </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National Assistance Act</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formally abolished the Poor Law system, replacing it with a system of welfare services for those “in need” and providing local authorities with duties to care for the elderly, disabled, and vulnerable. It created the basis for modern social care, </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obligating</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local authorities to provide accommodation and subsidies to support independent living for those who could not support themselves</w:t>
      </w:r>
      <w:r w:rsidRPr="2756A9D9" w:rsidR="04FFE1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6E84261" w:rsidP="2756A9D9" w:rsidRDefault="26E84261" w14:paraId="5160EC1D" w14:textId="088F8828">
      <w:pPr>
        <w:keepNext w:val="1"/>
        <w:keepLines w:val="1"/>
        <w:shd w:val="clear" w:color="auto" w:fill="FFFFFF" w:themeFill="background1"/>
        <w:spacing w:before="240" w:beforeAutospacing="off" w:after="240" w:afterAutospacing="off"/>
      </w:pP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Act, alongside the creation of the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National Health Service</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the same year, marked the true institutional birth of Britain’s welfare state. Hereafter, social services became part of a national agenda of health, wellbeing, and social protection.</w:t>
      </w:r>
    </w:p>
    <w:p w:rsidR="26E84261" w:rsidP="2756A9D9" w:rsidRDefault="26E84261" w14:paraId="426834C3" w14:textId="7F0FB588">
      <w:pPr>
        <w:keepNext w:val="1"/>
        <w:keepLines w:val="1"/>
      </w:pPr>
    </w:p>
    <w:p w:rsidR="26E84261" w:rsidP="2756A9D9" w:rsidRDefault="26E84261" w14:paraId="7F850087" w14:textId="0B6A1BD9">
      <w:pPr>
        <w:pStyle w:val="Heading2"/>
        <w:keepNext w:val="1"/>
        <w:keepLines w:val="1"/>
        <w:shd w:val="clear" w:color="auto" w:fill="FFFFFF" w:themeFill="background1"/>
        <w:spacing w:before="199" w:beforeAutospacing="off" w:after="199"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 Institutionalisation and Reform from the 1960s to the 1980s</w:t>
      </w:r>
    </w:p>
    <w:p w:rsidR="26E84261" w:rsidP="2756A9D9" w:rsidRDefault="26E84261" w14:paraId="3651F488" w14:textId="04AD334B">
      <w:pPr>
        <w:pStyle w:val="Heading3"/>
        <w:keepNext w:val="1"/>
        <w:keepLines w:val="1"/>
        <w:shd w:val="clear" w:color="auto" w:fill="FFFFFF" w:themeFill="background1"/>
        <w:spacing w:before="240" w:beforeAutospacing="off" w:after="240"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4.1 The Seebohm Report and the Social Services Act 1970</w:t>
      </w:r>
    </w:p>
    <w:p w:rsidR="26E84261" w:rsidP="3A130187" w:rsidRDefault="26E84261" w14:paraId="22C34E65" w14:textId="578FA58A">
      <w:pPr>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A130187" w:rsidR="609A2E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By the 1960s, social services were fragmented. Health, children’s welfare, elderly care, and mental health services were organised under separate departments. The Seebohm Report </w:t>
      </w:r>
      <w:r w:rsidRPr="3A130187" w:rsidR="6B7AE2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created in </w:t>
      </w:r>
      <w:r w:rsidRPr="3A130187" w:rsidR="609A2E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1968 recommended the integration of these services under unified local authority social service departments. The goal was to deliver more coherent services, reduce duplication, and provide a “one door” access point for service users (Seebohm Report, </w:t>
      </w:r>
      <w:r w:rsidRPr="3A130187" w:rsidR="032297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w:t>
      </w:r>
      <w:r w:rsidRPr="3A130187" w:rsidR="609A2E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968</w:t>
      </w:r>
      <w:r w:rsidRPr="3A130187" w:rsidR="0F9F4E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6E84261" w:rsidP="2756A9D9" w:rsidRDefault="26E84261" w14:paraId="12564B6D" w14:textId="6AE71EFE">
      <w:pPr>
        <w:keepNext w:val="1"/>
        <w:keepLines w:val="1"/>
        <w:shd w:val="clear" w:color="auto" w:fill="FFFFFF" w:themeFill="background1"/>
        <w:spacing w:before="240" w:beforeAutospacing="off" w:after="240" w:afterAutospacing="off"/>
      </w:pP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led to the </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Local Authority Social Services Act 1970</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created comprehensive social services departments across England and Wales. These departments </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represented</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 institutional milestone, shifting service delivery from piecemeal charity or welfare units toward a coordinated, statutory system rooted in professional social work and public accountability.</w:t>
      </w:r>
    </w:p>
    <w:p w:rsidR="26E84261" w:rsidP="2756A9D9" w:rsidRDefault="26E84261" w14:paraId="5D676050" w14:textId="5CE2D8C5">
      <w:pPr>
        <w:pStyle w:val="Heading3"/>
        <w:keepNext w:val="1"/>
        <w:keepLines w:val="1"/>
        <w:shd w:val="clear" w:color="auto" w:fill="FFFFFF" w:themeFill="background1"/>
        <w:spacing w:before="240" w:beforeAutospacing="off" w:after="240"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4.2 Expansion of Rights and Professionalisation</w:t>
      </w:r>
    </w:p>
    <w:p w:rsidR="26E84261" w:rsidP="2756A9D9" w:rsidRDefault="26E84261" w14:paraId="186324D7" w14:textId="0CC5C9A8">
      <w:pPr>
        <w:keepNext w:val="1"/>
        <w:keepLines w:val="1"/>
        <w:shd w:val="clear" w:color="auto" w:fill="FFFFFF" w:themeFill="background1"/>
        <w:spacing w:before="240" w:beforeAutospacing="off" w:after="240" w:afterAutospacing="off"/>
      </w:pP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1970 also saw the enactment of the </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Chronically Sick and Disabled Persons Act</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championed by disability campaigners, which for the first time gave disabled peo</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ple legal rights to services. It reflected a broader shift towards recognising service user rights rather than welfare as charity.</w:t>
      </w:r>
    </w:p>
    <w:p w:rsidR="26E84261" w:rsidP="2756A9D9" w:rsidRDefault="26E84261" w14:paraId="520656BA" w14:textId="0CA6795E">
      <w:pPr>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1970s and 1980s also saw efforts to professionalise social work. The </w:t>
      </w:r>
      <w:r w:rsidRPr="2756A9D9" w:rsidR="41E08C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British</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756A9D9" w:rsidR="07CDD9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ssociation of </w:t>
      </w:r>
      <w:r w:rsidRPr="2756A9D9" w:rsidR="40317B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ocial </w:t>
      </w:r>
      <w:r w:rsidRPr="2756A9D9" w:rsidR="04C02A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orkers was founded to unite practitioners and advance professional standards. Professional ethics and training became integral to service quality and accountability</w:t>
      </w:r>
      <w:r w:rsidRPr="2756A9D9" w:rsidR="527814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6E84261" w:rsidP="2756A9D9" w:rsidRDefault="26E84261" w14:paraId="41FCDFA3" w14:textId="55EEE85E">
      <w:pPr>
        <w:pStyle w:val="Heading3"/>
        <w:keepNext w:val="1"/>
        <w:keepLines w:val="1"/>
        <w:shd w:val="clear" w:color="auto" w:fill="FFFFFF" w:themeFill="background1"/>
        <w:spacing w:before="240" w:beforeAutospacing="off" w:after="240"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4.3 Marketisation and the Shift from Institutional Care</w:t>
      </w:r>
    </w:p>
    <w:p w:rsidR="26E84261" w:rsidP="2756A9D9" w:rsidRDefault="26E84261" w14:paraId="577197B6" w14:textId="0C2D3D8E">
      <w:pPr>
        <w:keepNext w:val="1"/>
        <w:keepLines w:val="1"/>
        <w:shd w:val="clear" w:color="auto" w:fill="FFFFFF" w:themeFill="background1"/>
        <w:spacing w:before="240" w:beforeAutospacing="off" w:after="240" w:afterAutospacing="off"/>
      </w:pP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Under Conservative governments from 1979 onwards, significant shifts occurred. The Griffiths Report 1988 promoted care management and increased involvement of voluntary and private sectors in delivering services. The National Health Service and Community Care Act 1990 accelerated this trend by encouraging local authorities to </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purchase</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care services rather than provide them directly. This created a </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quas</w:t>
      </w:r>
      <w:r w:rsidRPr="2756A9D9" w:rsidR="32F6B5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2756A9D9" w:rsidR="3405F7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756A9D9" w:rsidR="32F6B5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market</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model in social care, designed to increase choice and competition but also bringing challenges around equity, quality control, and fragmentation of services.</w:t>
      </w:r>
    </w:p>
    <w:p w:rsidR="26E84261" w:rsidP="2756A9D9" w:rsidRDefault="26E84261" w14:paraId="7C8860AA" w14:textId="3FE0D5A2">
      <w:pPr>
        <w:keepNext w:val="1"/>
        <w:keepLines w:val="1"/>
      </w:pPr>
    </w:p>
    <w:p w:rsidR="26E84261" w:rsidP="2756A9D9" w:rsidRDefault="26E84261" w14:paraId="38953BFD" w14:textId="78E03005">
      <w:pPr>
        <w:pStyle w:val="Heading2"/>
        <w:keepNext w:val="1"/>
        <w:keepLines w:val="1"/>
        <w:shd w:val="clear" w:color="auto" w:fill="FFFFFF" w:themeFill="background1"/>
        <w:spacing w:before="199" w:beforeAutospacing="off" w:after="199"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 Modern Developments: 1990s to Present</w:t>
      </w:r>
    </w:p>
    <w:p w:rsidR="26E84261" w:rsidP="2756A9D9" w:rsidRDefault="26E84261" w14:paraId="2610DD35" w14:textId="73FBBC40">
      <w:pPr>
        <w:pStyle w:val="Heading3"/>
        <w:keepNext w:val="1"/>
        <w:keepLines w:val="1"/>
        <w:shd w:val="clear" w:color="auto" w:fill="FFFFFF" w:themeFill="background1"/>
        <w:spacing w:before="240" w:beforeAutospacing="off" w:after="240"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5.1 Integration and New Legal Frameworks</w:t>
      </w:r>
    </w:p>
    <w:p w:rsidR="26E84261" w:rsidP="2756A9D9" w:rsidRDefault="26E84261" w14:paraId="5E98A4A1" w14:textId="075E93F9">
      <w:pPr>
        <w:keepNext w:val="1"/>
        <w:keepLines w:val="1"/>
        <w:shd w:val="clear" w:color="auto" w:fill="FFFFFF" w:themeFill="background1"/>
        <w:spacing w:before="240" w:beforeAutospacing="off" w:after="240" w:afterAutospacing="off"/>
      </w:pP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late 1990s and early 2000s saw further reform. The Health and Social Care Act 2001 sought integration of health and social care services, encouraging partnerships between NHS entities and local authorities in delivering care services and aligning service planning across sectors Health and Social Care Act</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756A9D9" w:rsidR="61E5BE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200</w:t>
      </w:r>
      <w:r w:rsidRPr="2756A9D9" w:rsidR="33FE34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These reforms were part of broader efforts to modernise public services and improve efficiency.</w:t>
      </w:r>
    </w:p>
    <w:p w:rsidR="26E84261" w:rsidP="2756A9D9" w:rsidRDefault="26E84261" w14:paraId="2F31D578" w14:textId="6920A590">
      <w:pPr>
        <w:keepNext w:val="1"/>
        <w:keepLines w:val="1"/>
        <w:shd w:val="clear" w:color="auto" w:fill="FFFFFF" w:themeFill="background1"/>
        <w:spacing w:before="240" w:beforeAutospacing="off" w:after="240" w:afterAutospacing="off"/>
      </w:pP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Additionally, increased regulatory frameworks emerged to standardise quality and accountability, such as statutory registration for social workers in the 2000s.</w:t>
      </w:r>
    </w:p>
    <w:p w:rsidR="26E84261" w:rsidP="2756A9D9" w:rsidRDefault="26E84261" w14:paraId="248AAD52" w14:textId="79810219">
      <w:pPr>
        <w:pStyle w:val="Heading3"/>
        <w:keepNext w:val="1"/>
        <w:keepLines w:val="1"/>
        <w:shd w:val="clear" w:color="auto" w:fill="FFFFFF" w:themeFill="background1"/>
        <w:spacing w:before="240" w:beforeAutospacing="off" w:after="240"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5.2 Funding Challenges and Market Expansion</w:t>
      </w:r>
    </w:p>
    <w:p w:rsidR="26E84261" w:rsidP="489789AE" w:rsidRDefault="26E84261" w14:paraId="6704E911" w14:textId="73BDD4BA">
      <w:pPr>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Social care funding in the UK has continued to be a major policy issue. Unlike healthcare, social care is not free at the point of use and has become highly means</w:t>
      </w:r>
      <w:r w:rsidRPr="489789AE" w:rsidR="747364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tested. Over recent decades, policy debates have focused on how to ensure sustainability, fairness, and dignity in care. The proportion of publicly funded care recipients has fallen in England due to budget pressures and eligibility tightening, highlighting ongoing challenges in access and equity (The King’s Fun</w:t>
      </w:r>
      <w:r w:rsidRPr="489789AE" w:rsidR="1B6D39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ds</w:t>
      </w:r>
      <w:r w:rsidRPr="489789AE" w:rsidR="5C0645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2018</w:t>
      </w:r>
      <w:r w:rsidRPr="489789AE" w:rsidR="6C195F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6E84261" w:rsidP="2756A9D9" w:rsidRDefault="26E84261" w14:paraId="12F0606F" w14:textId="405A182D">
      <w:pPr>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Furthermore, the private and not</w:t>
      </w:r>
      <w:r w:rsidRPr="2756A9D9" w:rsidR="65DA1A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w:t>
      </w:r>
      <w:r w:rsidRPr="2756A9D9" w:rsidR="4BE220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profit sectors have expanded significantly: today, </w:t>
      </w:r>
      <w:r w:rsidRPr="2756A9D9" w:rsidR="219CCE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most of the</w:t>
      </w: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social care delivery is outsourced to external providers, creating complexity around quality control, workforce conditions, and funding In Practise analysis</w:t>
      </w:r>
      <w:r w:rsidRPr="2756A9D9" w:rsidR="67E38A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6E84261" w:rsidP="2756A9D9" w:rsidRDefault="26E84261" w14:paraId="67361928" w14:textId="06C20BB1">
      <w:pPr>
        <w:pStyle w:val="Heading3"/>
        <w:keepNext w:val="1"/>
        <w:keepLines w:val="1"/>
        <w:shd w:val="clear" w:color="auto" w:fill="FFFFFF" w:themeFill="background1"/>
        <w:spacing w:before="240" w:beforeAutospacing="off" w:after="240"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5.3 Towards a National Care Service</w:t>
      </w:r>
    </w:p>
    <w:p w:rsidR="26E84261" w:rsidP="489789AE" w:rsidRDefault="26E84261" w14:paraId="51733C50" w14:textId="49C31CF5">
      <w:pPr>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recent years there have been renewed calls to reform social care fundamentally. Proposals for a </w:t>
      </w:r>
      <w:r w:rsidRPr="489789AE" w:rsidR="060B60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ational </w:t>
      </w:r>
      <w:r w:rsidRPr="489789AE" w:rsidR="2FF72F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 </w:t>
      </w:r>
      <w:r w:rsidRPr="489789AE" w:rsidR="4807A7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ervice have gained traction, aiming to create a more unified, publicly delivered system of care for all adults. Plans vary by </w:t>
      </w:r>
      <w:r w:rsidRPr="489789AE" w:rsidR="62E6E2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United Kingdom</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nation, reflecting growing divergence in social services structures across England, Scotland, Wales, and Northern Ireland, but the ambition signals efforts to address longstanding fragmentation, funding gaps, and inequalities </w:t>
      </w:r>
      <w:r w:rsidRPr="489789AE" w:rsidR="6B26EF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the</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w:t>
      </w:r>
      <w:r w:rsidRPr="489789AE" w:rsidR="1F39DF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E117B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w:t>
      </w:r>
      <w:r w:rsidRPr="489789AE" w:rsidR="1F39DF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7DB62F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 </w:t>
      </w:r>
      <w:r w:rsidRPr="489789AE" w:rsidR="5D8801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ervice proposals</w:t>
      </w:r>
      <w:r w:rsidRPr="489789AE" w:rsidR="0D161B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6E84261" w:rsidP="2756A9D9" w:rsidRDefault="26E84261" w14:paraId="192F73D8" w14:textId="6689598C">
      <w:pPr>
        <w:keepNext w:val="1"/>
        <w:keepLines w:val="1"/>
      </w:pPr>
    </w:p>
    <w:p w:rsidR="26E84261" w:rsidP="2756A9D9" w:rsidRDefault="26E84261" w14:paraId="38A44B82" w14:textId="3044D9DB">
      <w:pPr>
        <w:pStyle w:val="Heading2"/>
        <w:keepNext w:val="1"/>
        <w:keepLines w:val="1"/>
        <w:shd w:val="clear" w:color="auto" w:fill="FFFFFF" w:themeFill="background1"/>
        <w:spacing w:before="199" w:beforeAutospacing="off" w:after="199"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6. Themes and Trends in UK Social Services Development</w:t>
      </w:r>
    </w:p>
    <w:p w:rsidR="26E84261" w:rsidP="2756A9D9" w:rsidRDefault="26E84261" w14:paraId="79EDEBB4" w14:textId="7DCACD3A">
      <w:pPr>
        <w:pStyle w:val="Heading3"/>
        <w:keepNext w:val="1"/>
        <w:keepLines w:val="1"/>
        <w:shd w:val="clear" w:color="auto" w:fill="FFFFFF" w:themeFill="background1"/>
        <w:spacing w:before="240" w:beforeAutospacing="off" w:after="240"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6.1 From Poor Law to Welfare Rights</w:t>
      </w:r>
    </w:p>
    <w:p w:rsidR="26E84261" w:rsidP="2756A9D9" w:rsidRDefault="26E84261" w14:paraId="13D9FE3A" w14:textId="2819ECF0">
      <w:pPr>
        <w:keepNext w:val="1"/>
        <w:keepLines w:val="1"/>
        <w:shd w:val="clear" w:color="auto" w:fill="FFFFFF" w:themeFill="background1"/>
        <w:spacing w:before="240" w:beforeAutospacing="off" w:after="240" w:afterAutospacing="off"/>
      </w:pP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trajectory of UK social services shows a clear shift from punitive, stigmatizing poor relief towards rights</w:t>
      </w:r>
      <w:r w:rsidRPr="489789AE" w:rsidR="6CD1A3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based welfare. Early systems focused on deterrence and control,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whereas</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post</w:t>
      </w:r>
      <w:r w:rsidRPr="489789AE" w:rsidR="5128BC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war reforms emphasised universal support, dignity, and comprehensive safety nets.</w:t>
      </w:r>
    </w:p>
    <w:p w:rsidR="26E84261" w:rsidP="2756A9D9" w:rsidRDefault="26E84261" w14:paraId="20270581" w14:textId="48B42B76">
      <w:pPr>
        <w:pStyle w:val="Heading3"/>
        <w:keepNext w:val="1"/>
        <w:keepLines w:val="1"/>
        <w:shd w:val="clear" w:color="auto" w:fill="FFFFFF" w:themeFill="background1"/>
        <w:spacing w:before="240" w:beforeAutospacing="off" w:after="240"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6.2 Professionalisation and User Rights</w:t>
      </w:r>
    </w:p>
    <w:p w:rsidR="26E84261" w:rsidP="2756A9D9" w:rsidRDefault="26E84261" w14:paraId="34B2E38C" w14:textId="7D5FFF2C">
      <w:pPr>
        <w:keepNext w:val="1"/>
        <w:keepLines w:val="1"/>
        <w:shd w:val="clear" w:color="auto" w:fill="FFFFFF" w:themeFill="background1"/>
        <w:spacing w:before="240" w:beforeAutospacing="off" w:after="240" w:afterAutospacing="off"/>
      </w:pP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Professionalisation of social work, regulatory standards, and legal rights for service users reflect an evolving ethical stance that prioritises wellbeing, participation, and empowerment.</w:t>
      </w:r>
    </w:p>
    <w:p w:rsidR="26E84261" w:rsidP="2756A9D9" w:rsidRDefault="26E84261" w14:paraId="12786DC4" w14:textId="2597BA79">
      <w:pPr>
        <w:pStyle w:val="Heading3"/>
        <w:keepNext w:val="1"/>
        <w:keepLines w:val="1"/>
        <w:shd w:val="clear" w:color="auto" w:fill="FFFFFF" w:themeFill="background1"/>
        <w:spacing w:before="240" w:beforeAutospacing="off" w:after="240" w:afterAutospacing="off"/>
      </w:pPr>
      <w:r w:rsidRPr="2756A9D9"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6.3 Marketisation and Policy Tensions</w:t>
      </w:r>
    </w:p>
    <w:p w:rsidR="26E84261" w:rsidP="2756A9D9" w:rsidRDefault="26E84261" w14:paraId="6B7E9281" w14:textId="08A97EE2">
      <w:pPr>
        <w:keepNext w:val="1"/>
        <w:keepLines w:val="1"/>
        <w:shd w:val="clear" w:color="auto" w:fill="FFFFFF" w:themeFill="background1"/>
        <w:spacing w:before="240" w:beforeAutospacing="off" w:after="240" w:afterAutospacing="off"/>
      </w:pPr>
      <w:r w:rsidRPr="2756A9D9"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shift towards market solutions, neoliberal reforms, and outsourcing has brought efficiency debates, but also raised concerns about equity, workforce stability, and quality control. Balancing public provision with choice and sustainability remains central to policy debates.</w:t>
      </w:r>
    </w:p>
    <w:p w:rsidR="26E84261" w:rsidP="2756A9D9" w:rsidRDefault="26E84261" w14:paraId="7C47D4A5" w14:textId="6657DDED">
      <w:pPr>
        <w:keepNext w:val="1"/>
        <w:keepLines w:val="1"/>
      </w:pPr>
    </w:p>
    <w:p w:rsidR="26E84261" w:rsidP="2756A9D9" w:rsidRDefault="26E84261" w14:paraId="46787E6B" w14:textId="105395D5">
      <w:pPr>
        <w:pStyle w:val="Heading2"/>
        <w:keepNext w:val="1"/>
        <w:keepLines w:val="1"/>
        <w:shd w:val="clear" w:color="auto" w:fill="FFFFFF" w:themeFill="background1"/>
        <w:spacing w:before="199" w:beforeAutospacing="off" w:after="199" w:afterAutospacing="off"/>
      </w:pPr>
      <w:r w:rsidRPr="489789AE" w:rsidR="3A2BF6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7.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history of social services in the United Kingdom has more than 400 years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w:t>
      </w:r>
      <w:r w:rsidRPr="489789AE" w:rsidR="365F89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evolving</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social policy and public responsibility. From the Elizabethan Poor Law’s rudimentary relief system to today’s complex, means</w:t>
      </w:r>
      <w:r w:rsidRPr="489789AE" w:rsidR="7AA2AB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tested, multi</w:t>
      </w:r>
      <w:r w:rsidRPr="489789AE" w:rsidR="706D8F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provider social care sector, key transformations reflect changing understandings of citizenship, welfare, rights, and state responsibility. Post</w:t>
      </w:r>
      <w:r w:rsidRPr="489789AE" w:rsidR="6CB638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war welfare reforms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established</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statutory social services as part of </w:t>
      </w:r>
      <w:r w:rsidRPr="489789AE" w:rsidR="11492C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04233A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rights-based</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welfare state. </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Subsequent</w:t>
      </w:r>
      <w:r w:rsidRPr="489789AE" w:rsidR="3A2BF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decades brought professionalisation, marketisation, and ongoing debates about funding, integration, and reform.</w:t>
      </w:r>
    </w:p>
    <w:p w:rsidR="26E84261" w:rsidP="2756A9D9" w:rsidRDefault="26E84261" w14:paraId="48E280A3" w14:textId="4124CFAA">
      <w:pPr>
        <w:keepNext w:val="1"/>
        <w:keepLines w:val="1"/>
        <w:shd w:val="clear" w:color="auto" w:fill="FFFFFF" w:themeFill="background1"/>
        <w:spacing w:before="240" w:beforeAutospacing="off" w:after="240" w:afterAutospacing="off"/>
      </w:pPr>
      <w:r w:rsidRPr="6387F054" w:rsidR="59DD05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Today’s </w:t>
      </w:r>
      <w:r w:rsidRPr="6387F054" w:rsidR="247EA6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social care </w:t>
      </w:r>
      <w:r w:rsidRPr="6387F054" w:rsidR="59DD05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services </w:t>
      </w:r>
      <w:r w:rsidRPr="6387F054" w:rsidR="46BD0F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face high </w:t>
      </w:r>
      <w:r w:rsidRPr="6387F054" w:rsidR="59DD05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significant pressures from </w:t>
      </w:r>
      <w:r w:rsidRPr="6387F054" w:rsidR="59CE5F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demographic change </w:t>
      </w:r>
      <w:r w:rsidRPr="6387F054" w:rsidR="59DD05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shifts </w:t>
      </w:r>
      <w:r w:rsidRPr="6387F054" w:rsidR="308CF9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due </w:t>
      </w:r>
      <w:r w:rsidRPr="6387F054" w:rsidR="59DD05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funding </w:t>
      </w:r>
      <w:r w:rsidRPr="6387F054" w:rsidR="59DD05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constraints but their foundations in public accountability, dignity, and support for vulnerable populations persist as central aims.</w:t>
      </w:r>
    </w:p>
    <w:p w:rsidR="47A6E27F" w:rsidP="6387F054" w:rsidRDefault="47A6E27F" w14:paraId="6F235317" w14:textId="108FD2B8">
      <w:pPr>
        <w:keepNext w:val="1"/>
        <w:keepLines w:val="1"/>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6387F054" w:rsidR="47A6E27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Social work international context</w:t>
      </w:r>
    </w:p>
    <w:p w:rsidR="70889989" w:rsidP="6387F054" w:rsidRDefault="70889989" w14:paraId="42C0B903" w14:textId="3CE9D103">
      <w:pPr>
        <w:keepNext w:val="1"/>
        <w:keepLines w:val="1"/>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6387F054" w:rsidR="7088998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Social work </w:t>
      </w:r>
      <w:r w:rsidRPr="6387F054" w:rsidR="48AB43E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international</w:t>
      </w:r>
      <w:r w:rsidRPr="6387F054" w:rsidR="7088998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history</w:t>
      </w:r>
    </w:p>
    <w:p w:rsidR="43C9FD98" w:rsidP="489789AE" w:rsidRDefault="43C9FD98" w14:paraId="26F33ED7" w14:textId="50E6DE25">
      <w:pPr>
        <w:pStyle w:val="Normal"/>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43C9FD98">
        <w:rPr>
          <w:rFonts w:ascii="Arial" w:hAnsi="Arial" w:eastAsia="Arial" w:cs="Arial"/>
          <w:b w:val="0"/>
          <w:bCs w:val="0"/>
          <w:i w:val="0"/>
          <w:iCs w:val="0"/>
          <w:caps w:val="0"/>
          <w:smallCaps w:val="0"/>
          <w:noProof w:val="0"/>
          <w:color w:val="000000" w:themeColor="text1" w:themeTint="FF" w:themeShade="FF"/>
          <w:sz w:val="24"/>
          <w:szCs w:val="24"/>
          <w:lang w:val="en-GB"/>
        </w:rPr>
        <w:t xml:space="preserve">Social work is a profession that exists all over the world and aims to support vulnerable people, improve wellbeing, and promote social justice. Although social workers in different countries share similar values, their roles and responsibilities can vary depending on each country’s laws, culture, and welfare systems. This report compares social work practice in the United </w:t>
      </w:r>
      <w:r w:rsidRPr="489789AE" w:rsidR="43C9FD98">
        <w:rPr>
          <w:rFonts w:ascii="Arial" w:hAnsi="Arial" w:eastAsia="Arial" w:cs="Arial"/>
          <w:b w:val="0"/>
          <w:bCs w:val="0"/>
          <w:i w:val="0"/>
          <w:iCs w:val="0"/>
          <w:caps w:val="0"/>
          <w:smallCaps w:val="0"/>
          <w:noProof w:val="0"/>
          <w:color w:val="000000" w:themeColor="text1" w:themeTint="FF" w:themeShade="FF"/>
          <w:sz w:val="24"/>
          <w:szCs w:val="24"/>
          <w:lang w:val="en-GB"/>
        </w:rPr>
        <w:t>Kingdom with</w:t>
      </w:r>
      <w:r w:rsidRPr="489789AE" w:rsidR="43C9FD98">
        <w:rPr>
          <w:rFonts w:ascii="Arial" w:hAnsi="Arial" w:eastAsia="Arial" w:cs="Arial"/>
          <w:b w:val="0"/>
          <w:bCs w:val="0"/>
          <w:i w:val="0"/>
          <w:iCs w:val="0"/>
          <w:caps w:val="0"/>
          <w:smallCaps w:val="0"/>
          <w:noProof w:val="0"/>
          <w:color w:val="000000" w:themeColor="text1" w:themeTint="FF" w:themeShade="FF"/>
          <w:sz w:val="24"/>
          <w:szCs w:val="24"/>
          <w:lang w:val="en-GB"/>
        </w:rPr>
        <w:t xml:space="preserve"> other countries, including the United States, Sweden, and China</w:t>
      </w:r>
      <w:r w:rsidRPr="489789AE" w:rsidR="50175969">
        <w:rPr>
          <w:rFonts w:ascii="Arial" w:hAnsi="Arial" w:eastAsia="Arial" w:cs="Arial"/>
          <w:b w:val="0"/>
          <w:bCs w:val="0"/>
          <w:i w:val="0"/>
          <w:iCs w:val="0"/>
          <w:caps w:val="0"/>
          <w:smallCaps w:val="0"/>
          <w:noProof w:val="0"/>
          <w:color w:val="000000" w:themeColor="text1" w:themeTint="FF" w:themeShade="FF"/>
          <w:sz w:val="24"/>
          <w:szCs w:val="24"/>
          <w:lang w:val="en-GB"/>
        </w:rPr>
        <w:t xml:space="preserve"> (British Association of social </w:t>
      </w:r>
      <w:r w:rsidRPr="489789AE" w:rsidR="77B13E1C">
        <w:rPr>
          <w:rFonts w:ascii="Arial" w:hAnsi="Arial" w:eastAsia="Arial" w:cs="Arial"/>
          <w:b w:val="0"/>
          <w:bCs w:val="0"/>
          <w:i w:val="0"/>
          <w:iCs w:val="0"/>
          <w:caps w:val="0"/>
          <w:smallCaps w:val="0"/>
          <w:noProof w:val="0"/>
          <w:color w:val="000000" w:themeColor="text1" w:themeTint="FF" w:themeShade="FF"/>
          <w:sz w:val="24"/>
          <w:szCs w:val="24"/>
          <w:lang w:val="en-GB"/>
        </w:rPr>
        <w:t>workers, 2024).</w:t>
      </w:r>
    </w:p>
    <w:p w:rsidR="43C9FD98" w:rsidP="6387F054" w:rsidRDefault="43C9FD98" w14:paraId="5C04F0D6" w14:textId="5BD8D02A">
      <w:pPr>
        <w:pStyle w:val="Heading2"/>
        <w:shd w:val="clear" w:color="auto" w:fill="FFFFFF" w:themeFill="background1"/>
        <w:spacing w:before="199" w:beforeAutospacing="off" w:after="199" w:afterAutospacing="off"/>
      </w:pPr>
      <w:r w:rsidRPr="6387F054" w:rsidR="43C9FD9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Social Work in the United States</w:t>
      </w:r>
    </w:p>
    <w:p w:rsidR="43C9FD98" w:rsidP="489789AE" w:rsidRDefault="43C9FD98" w14:paraId="34EC235D" w14:textId="492AF77F">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the United States, social work has a stronger focus on therapy and mental health services compared to the </w:t>
      </w:r>
      <w:r w:rsidRPr="489789AE" w:rsidR="3C496B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United Kingdom</w:t>
      </w: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Many social workers are trained to provide counselling and psychological treatment, and some become licensed clinical social workers. Unlike the UK, regulation is not centralised and varies between states. This means the role can differ depending on where a social worker is based. Overall, social work in the U</w:t>
      </w:r>
      <w:r w:rsidRPr="489789AE" w:rsidR="40B9A3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nited States of America</w:t>
      </w: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focuses more on helping individuals through therapy rather than </w:t>
      </w: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mainly dealing</w:t>
      </w: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legal safeguarding responsibilities</w:t>
      </w:r>
      <w:r w:rsidRPr="489789AE" w:rsidR="4ADFD4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(Weiss</w:t>
      </w:r>
      <w:r w:rsidRPr="489789AE" w:rsidR="5EA87D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89789AE" w:rsidR="4ADFD4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Gal</w:t>
      </w:r>
      <w:r w:rsidRPr="489789AE" w:rsidR="4ADFD4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89789AE" w:rsidR="6844CA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508964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Welbourne, P</w:t>
      </w:r>
      <w:r w:rsidRPr="489789AE" w:rsidR="68057F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2008</w:t>
      </w:r>
      <w:r w:rsidRPr="489789AE" w:rsidR="7DB436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6387F054" w:rsidP="6387F054" w:rsidRDefault="6387F054" w14:paraId="6E2D04B4" w14:textId="1E807DF8">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3C9FD98" w:rsidP="6387F054" w:rsidRDefault="43C9FD98" w14:paraId="1BEC60F3" w14:textId="4FC8DF9D">
      <w:pPr>
        <w:pStyle w:val="Heading2"/>
        <w:shd w:val="clear" w:color="auto" w:fill="FFFFFF" w:themeFill="background1"/>
        <w:spacing w:before="199" w:beforeAutospacing="off" w:after="199" w:afterAutospacing="off"/>
      </w:pPr>
      <w:r w:rsidRPr="6387F054" w:rsidR="43C9FD9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Social Work in Sweden</w:t>
      </w:r>
    </w:p>
    <w:p w:rsidR="43C9FD98" w:rsidP="489789AE" w:rsidRDefault="43C9FD98" w14:paraId="1B4035A8" w14:textId="4FEAD599">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Sweden has a strong welfare system, which shapes the role of social workers. The government </w:t>
      </w: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provides</w:t>
      </w: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wide range of support services, including financial </w:t>
      </w: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assistance</w:t>
      </w: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housing, and family support. Social workers in Sweden often focus on helping people access these services and preventing problems before they become serious. Compared to the </w:t>
      </w:r>
      <w:r w:rsidRPr="489789AE" w:rsidR="7A3F24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United Kingdom</w:t>
      </w: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there is less emphasis on crisis intervention and more focus on early support and wellbeing. This reflects Sweden’s approach to social care, which is based on prevention and equality</w:t>
      </w:r>
      <w:r w:rsidRPr="489789AE" w:rsidR="168876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(Gustafsson, B, and </w:t>
      </w:r>
      <w:r w:rsidRPr="489789AE" w:rsidR="168876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Shuge</w:t>
      </w:r>
      <w:r w:rsidRPr="489789AE" w:rsidR="168876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G, 2013</w:t>
      </w:r>
      <w:r w:rsidRPr="489789AE" w:rsidR="142591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43C9FD98" w:rsidP="489789AE" w:rsidRDefault="43C9FD98" w14:paraId="50F49F64" w14:textId="4E45A728">
      <w:pPr>
        <w:spacing w:before="199" w:beforeAutospacing="off" w:after="199" w:afterAutospacing="off"/>
      </w:pPr>
    </w:p>
    <w:p w:rsidR="43C9FD98" w:rsidP="489789AE" w:rsidRDefault="43C9FD98" w14:paraId="4AA2AA4B" w14:textId="422BDC1C">
      <w:pPr>
        <w:pStyle w:val="Heading2"/>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43C9FD9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Social Work in China</w:t>
      </w:r>
    </w:p>
    <w:p w:rsidR="43C9FD98" w:rsidP="6387F054" w:rsidRDefault="43C9FD98" w14:paraId="21DDE39B" w14:textId="3D93B77B">
      <w:pPr>
        <w:shd w:val="clear" w:color="auto" w:fill="FFFFFF" w:themeFill="background1"/>
        <w:spacing w:before="240" w:beforeAutospacing="off" w:after="240" w:afterAutospacing="off"/>
      </w:pP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China, social work is still developing as a profession. It has grown in recent years but is not as </w:t>
      </w: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established</w:t>
      </w: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in the UK or USA. Social work practice is influenced by cultural values such as family responsibility and respect for authority. Social workers often focus on community development, poverty reduction, and supporting families. The government plays a strong role in organising and guiding social work services. Compared to the UK, there is less focus on individual legal responsibility and more emphasis on collective and community support</w:t>
      </w:r>
      <w:r w:rsidRPr="489789AE" w:rsidR="5AA793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5AA793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(Gustafsson, B, and Shuge, G, 2013).</w:t>
      </w:r>
    </w:p>
    <w:p w:rsidR="43C9FD98" w:rsidP="489789AE" w:rsidRDefault="43C9FD98" w14:paraId="6DCAF80C" w14:textId="4E45A728">
      <w:pPr>
        <w:spacing w:before="240" w:beforeAutospacing="off" w:after="240" w:afterAutospacing="off"/>
      </w:pPr>
    </w:p>
    <w:p w:rsidR="43C9FD98" w:rsidP="489789AE" w:rsidRDefault="43C9FD98" w14:paraId="6B345CEB" w14:textId="1EF7B5FA">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387F054" w:rsidRDefault="6387F054" w14:paraId="692C4721" w14:textId="2CD91CAF"/>
    <w:p w:rsidR="43C9FD98" w:rsidP="6387F054" w:rsidRDefault="43C9FD98" w14:paraId="70CFEB8E" w14:textId="6AECD583">
      <w:pPr>
        <w:pStyle w:val="Heading2"/>
        <w:shd w:val="clear" w:color="auto" w:fill="FFFFFF" w:themeFill="background1"/>
        <w:spacing w:before="199" w:beforeAutospacing="off" w:after="199" w:afterAutospacing="off"/>
      </w:pPr>
      <w:r w:rsidRPr="6387F054" w:rsidR="43C9FD9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Comparison of Key Differences</w:t>
      </w:r>
    </w:p>
    <w:p w:rsidR="43C9FD98" w:rsidP="489789AE" w:rsidRDefault="43C9FD98" w14:paraId="48F11509" w14:textId="798E5FA4">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are clear differences between countries in how social work is carried out. In the UK, the focus is on safeguarding and legal responsibilities, while in the USA there is more emphasis on therapy and mental health treatment. Sweden focuses on welfare support and prevention, and China emphasises community work and social development. These differences are </w:t>
      </w: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mainly influenced</w:t>
      </w: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each country’s welfare system, cultural values, and level of professional development</w:t>
      </w:r>
      <w:r w:rsidRPr="489789AE" w:rsidR="4EECEB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6387F054" w:rsidRDefault="6387F054" w14:paraId="235A9DC4" w14:textId="4E45A728"/>
    <w:p w:rsidR="43C9FD98" w:rsidP="6387F054" w:rsidRDefault="43C9FD98" w14:paraId="362CCC26" w14:textId="6828476D">
      <w:pPr>
        <w:pStyle w:val="Heading2"/>
        <w:shd w:val="clear" w:color="auto" w:fill="FFFFFF" w:themeFill="background1"/>
        <w:spacing w:before="199" w:beforeAutospacing="off" w:after="199" w:afterAutospacing="off"/>
      </w:pPr>
      <w:r w:rsidRPr="6387F054" w:rsidR="43C9FD9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Similarities in International Social Work</w:t>
      </w:r>
    </w:p>
    <w:p w:rsidR="43C9FD98" w:rsidP="489789AE" w:rsidRDefault="43C9FD98" w14:paraId="7A5AEF2D" w14:textId="6FD61A15">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43C9F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Despite these differences, social work across the world shares common goals. Social workers aim to support vulnerable individuals, improve quality of life, and promote fairness in society. Organisations such as the International Federation of Social Workers help promote shared values and ethical standards globally. Social workers in many countries also face similar challenges, such as high workloads, limited resources, and emotional stress</w:t>
      </w:r>
      <w:r w:rsidRPr="489789AE" w:rsidR="4B85C2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(International Federation of Social</w:t>
      </w:r>
      <w:r w:rsidRPr="489789AE" w:rsidR="1B8678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Workers, 2024).</w:t>
      </w:r>
    </w:p>
    <w:p w:rsidR="2D291913" w:rsidP="6387F054" w:rsidRDefault="2D291913" w14:paraId="382916DD" w14:textId="26A6A021">
      <w:pPr>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6387F054" w:rsidR="2D2919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Social work safeguarding Framework</w:t>
      </w:r>
    </w:p>
    <w:p w:rsidR="2D291913" w:rsidP="489789AE" w:rsidRDefault="2D291913" w14:paraId="3FDB1400" w14:textId="2757E7C1">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Safeguarding is a central part of social work practice and involves protecting children and adults from abuse, neglect, and harm. Social workers use different frameworks to guide how they assess situations, make decisions, and </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take action to keep</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people safe. These frameworks </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structured way of working and help ensure that practice is consistent, fair, and focused on the wellbeing of individuals</w:t>
      </w:r>
      <w:r w:rsidRPr="489789AE" w:rsidR="009A5A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 Act, 1989).</w:t>
      </w:r>
    </w:p>
    <w:p w:rsidR="6387F054" w:rsidRDefault="6387F054" w14:paraId="13C7CF73" w14:textId="1D22CBF8"/>
    <w:p w:rsidR="2D291913" w:rsidP="6387F054" w:rsidRDefault="2D291913" w14:paraId="52E0EB1E" w14:textId="00B004C9">
      <w:pPr>
        <w:pStyle w:val="Heading2"/>
        <w:shd w:val="clear" w:color="auto" w:fill="FFFFFF" w:themeFill="background1"/>
        <w:spacing w:before="199" w:beforeAutospacing="off" w:after="199" w:afterAutospacing="off"/>
      </w:pPr>
      <w:r w:rsidRPr="6387F054" w:rsidR="2D2919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Understanding Safeguarding</w:t>
      </w:r>
    </w:p>
    <w:p w:rsidR="2D291913" w:rsidP="6387F054" w:rsidRDefault="2D291913" w14:paraId="52423BEB" w14:textId="3ADC8DFE">
      <w:pPr>
        <w:shd w:val="clear" w:color="auto" w:fill="FFFFFF" w:themeFill="background1"/>
        <w:spacing w:before="240" w:beforeAutospacing="off" w:after="240" w:afterAutospacing="off"/>
      </w:pPr>
      <w:r w:rsidRPr="6387F054"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Safeguarding refers to protecting people’s health, wellbeing, and human rights so they can live safely and free from harm. In the UK, safeguarding practice is supported by laws such as the Children Act 1989 and the Care Act 2014. These laws outline the duties of social workers and organisations to protect vulnerable individuals. They ensure that both children and adults at risk are given appropriate support and protection when concerns arise.</w:t>
      </w:r>
    </w:p>
    <w:p w:rsidR="6387F054" w:rsidRDefault="6387F054" w14:paraId="10FFF016" w14:textId="4E39A610"/>
    <w:p w:rsidR="2D291913" w:rsidP="6387F054" w:rsidRDefault="2D291913" w14:paraId="46859747" w14:textId="031BBBCB">
      <w:pPr>
        <w:pStyle w:val="Heading2"/>
        <w:shd w:val="clear" w:color="auto" w:fill="FFFFFF" w:themeFill="background1"/>
        <w:spacing w:before="199" w:beforeAutospacing="off" w:after="199" w:afterAutospacing="off"/>
      </w:pPr>
      <w:r w:rsidRPr="6387F054" w:rsidR="2D2919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Risk Assessment Framework</w:t>
      </w:r>
    </w:p>
    <w:p w:rsidR="2D291913" w:rsidP="489789AE" w:rsidRDefault="2D291913" w14:paraId="3F33AC87" w14:textId="4CFF84B1">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One of the most important frameworks used in safeguarding is risk assessment. This involves </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identifying</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potential harm, analysing how serious the risk is, and deciding what action should be taken. Social workers gather information from </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different sources</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including families, professionals, and records, to build a full picture of the situation. Risk assessment is not a</w:t>
      </w:r>
      <w:r w:rsidRPr="489789AE" w:rsidR="75F80C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activity</w:t>
      </w:r>
      <w:r w:rsidRPr="489789AE" w:rsidR="20EA92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happens once</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but an ongoing process, as circumstances can change over time. This framework helps social workers make informed decisions that prioritise safety while also considering the rights of the individual</w:t>
      </w:r>
      <w:r w:rsidRPr="489789AE" w:rsidR="3D181C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(Care Act, 2014).</w:t>
      </w:r>
    </w:p>
    <w:p w:rsidR="6387F054" w:rsidRDefault="6387F054" w14:paraId="56FB556C" w14:textId="33BC154E"/>
    <w:p w:rsidR="2D291913" w:rsidP="6387F054" w:rsidRDefault="2D291913" w14:paraId="0626D60B" w14:textId="4EC8D067">
      <w:pPr>
        <w:pStyle w:val="Heading2"/>
        <w:shd w:val="clear" w:color="auto" w:fill="FFFFFF" w:themeFill="background1"/>
        <w:spacing w:before="199" w:beforeAutospacing="off" w:after="199" w:afterAutospacing="off"/>
      </w:pPr>
      <w:r w:rsidRPr="6387F054" w:rsidR="2D2919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Child Protection Framework</w:t>
      </w:r>
    </w:p>
    <w:p w:rsidR="2D291913" w:rsidP="489789AE" w:rsidRDefault="2D291913" w14:paraId="04397C82" w14:textId="3937D2B3">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child protection framework focuses specifically on keeping children safe from abuse and neglect. It is guided by Working Together to Safeguard Children, which sets out how different organisations must work together. Social workers </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are responsible for</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identifying</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signs of abuse, such as physical harm, emotional abuse, sexual abuse, or neglect, and taking </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appropriate action</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This may involve creating child protection plans or working with other agencies to ensure the child’s safety. The framework emphasises that the child’s welfare is the most important consideration in all decisions</w:t>
      </w:r>
      <w:r w:rsidRPr="489789AE" w:rsidR="77B6EA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 Act, 2004).</w:t>
      </w:r>
    </w:p>
    <w:p w:rsidR="6387F054" w:rsidRDefault="6387F054" w14:paraId="7116AD00" w14:textId="3DE30E50"/>
    <w:p w:rsidR="2D291913" w:rsidP="6387F054" w:rsidRDefault="2D291913" w14:paraId="23680CBF" w14:textId="7452F431">
      <w:pPr>
        <w:pStyle w:val="Heading2"/>
        <w:shd w:val="clear" w:color="auto" w:fill="FFFFFF" w:themeFill="background1"/>
        <w:spacing w:before="199" w:beforeAutospacing="off" w:after="199" w:afterAutospacing="off"/>
      </w:pPr>
      <w:r w:rsidRPr="6387F054" w:rsidR="2D2919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Adult Safeguarding Framework</w:t>
      </w:r>
    </w:p>
    <w:p w:rsidR="2D291913" w:rsidP="6387F054" w:rsidRDefault="2D291913" w14:paraId="637C02DE" w14:textId="72E897C4">
      <w:pPr>
        <w:shd w:val="clear" w:color="auto" w:fill="FFFFFF" w:themeFill="background1"/>
        <w:spacing w:before="240" w:beforeAutospacing="off" w:after="240" w:afterAutospacing="off"/>
      </w:pPr>
      <w:r w:rsidRPr="6387F054"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adult safeguarding framework applies to adults who may be at risk due to age, illness, or disability. It is supported by the Care and Support Statutory Guidance, which is linked to the Care Act 2014. This framework focuses on protecting individuals while also respecting their independence and rights. It promotes principles such as empowerment, prevention, and partnership working. Social workers must balance keeping people safe with allowing them to make their own choices, even if those choices involve some level of risk.</w:t>
      </w:r>
    </w:p>
    <w:p w:rsidR="6387F054" w:rsidRDefault="6387F054" w14:paraId="4B62C55F" w14:textId="6A961FE4"/>
    <w:p w:rsidR="2D291913" w:rsidP="6387F054" w:rsidRDefault="2D291913" w14:paraId="50D6577C" w14:textId="7E510EE0">
      <w:pPr>
        <w:pStyle w:val="Heading2"/>
        <w:shd w:val="clear" w:color="auto" w:fill="FFFFFF" w:themeFill="background1"/>
        <w:spacing w:before="199" w:beforeAutospacing="off" w:after="199" w:afterAutospacing="off"/>
      </w:pPr>
      <w:r w:rsidRPr="489789AE" w:rsidR="2D2919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Strengths</w:t>
      </w:r>
      <w:r w:rsidRPr="489789AE" w:rsidR="788764F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489789AE" w:rsidR="2D2919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Based Framework</w:t>
      </w:r>
    </w:p>
    <w:p w:rsidR="2D291913" w:rsidP="6387F054" w:rsidRDefault="2D291913" w14:paraId="1AFF9D20" w14:textId="1712B33C">
      <w:pPr>
        <w:shd w:val="clear" w:color="auto" w:fill="FFFFFF" w:themeFill="background1"/>
        <w:spacing w:before="240" w:beforeAutospacing="off" w:after="240" w:afterAutospacing="off"/>
      </w:pP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489789AE" w:rsidR="1FAE93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strengths-based</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framework is an approach that focuses on an individual’s abilities, resources, and support networks rather than only their problems or risks. In safeguarding, this approach helps social workers involve individuals in decisions about their care and protection. It supports independence and encourages people to use their own strengths to improve their situation. This framework is important because it prevents individuals from feeling powerless and promotes a more positive and respectful approach to care</w:t>
      </w:r>
      <w:r w:rsidRPr="489789AE" w:rsidR="0866A6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(Care Act, 2014).</w:t>
      </w:r>
    </w:p>
    <w:p w:rsidR="6387F054" w:rsidRDefault="6387F054" w14:paraId="2CF8F1B4" w14:textId="028D0DD4"/>
    <w:p w:rsidR="2D291913" w:rsidP="6387F054" w:rsidRDefault="2D291913" w14:paraId="32D3E47D" w14:textId="78693E0B">
      <w:pPr>
        <w:pStyle w:val="Heading2"/>
        <w:shd w:val="clear" w:color="auto" w:fill="FFFFFF" w:themeFill="background1"/>
        <w:spacing w:before="199" w:beforeAutospacing="off" w:after="199" w:afterAutospacing="off"/>
      </w:pPr>
      <w:r w:rsidRPr="489789AE" w:rsidR="2D2919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Multi</w:t>
      </w:r>
      <w:r w:rsidRPr="489789AE" w:rsidR="5BB1A3B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489789AE" w:rsidR="2D2919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Agency Working Framework</w:t>
      </w:r>
    </w:p>
    <w:p w:rsidR="2D291913" w:rsidP="489789AE" w:rsidRDefault="2D291913" w14:paraId="5412F571" w14:textId="38EA29A7">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Safeguarding often requires different professionals to work together, which is known as multi</w:t>
      </w:r>
      <w:r w:rsidRPr="489789AE" w:rsidR="5BC05F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agency working. This framework involves cooperation between services such as social care, health, education, and the police. By sharing information and working collaboratively, professionals can make better decisions and provide more effective protection. Multi</w:t>
      </w:r>
      <w:r w:rsidRPr="489789AE" w:rsidR="145FA4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2D291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agency working is essential in complex cases where no single service has all the information needed to keep someone safe</w:t>
      </w:r>
      <w:r w:rsidRPr="489789AE" w:rsidR="3D2DD7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152A55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w:t>
      </w:r>
      <w:r w:rsidRPr="489789AE" w:rsidR="3D2DD7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orking Together</w:t>
      </w:r>
      <w:r w:rsidRPr="489789AE" w:rsidR="05EA66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w:t>
      </w:r>
      <w:r w:rsidRPr="489789AE" w:rsidR="3D2DD7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55E8BE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489789AE" w:rsidR="5C0BDF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afeguard </w:t>
      </w:r>
      <w:r w:rsidRPr="489789AE" w:rsidR="230656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2023).</w:t>
      </w:r>
    </w:p>
    <w:p w:rsidR="6387F054" w:rsidP="6387F054" w:rsidRDefault="6387F054" w14:paraId="308BE87F" w14:textId="6D62FFD7">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387F054" w:rsidP="6387F054" w:rsidRDefault="6387F054" w14:paraId="6958B21E" w14:textId="6C7BD2C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387F054" w:rsidP="6387F054" w:rsidRDefault="6387F054" w14:paraId="5645A4E9" w14:textId="355BF63C">
      <w:pPr>
        <w:pStyle w:val="Normal"/>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6387F054" w:rsidP="6387F054" w:rsidRDefault="6387F054" w14:paraId="1C80CCB0" w14:textId="3DC75955">
      <w:pPr>
        <w:pStyle w:val="Normal"/>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6387F054" w:rsidP="6387F054" w:rsidRDefault="6387F054" w14:paraId="1F22FD39" w14:textId="12436570">
      <w:pPr>
        <w:keepNext w:val="1"/>
        <w:keepLines w:val="1"/>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CBC7431" w:rsidP="3CBC7431" w:rsidRDefault="3CBC7431" w14:paraId="62E7AF4D" w14:textId="66E93FF7">
      <w:pPr>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3CBC7431" w:rsidP="6387F054" w:rsidRDefault="3CBC7431" w14:paraId="1DA3F36E" w14:textId="1370C6D9">
      <w:pPr>
        <w:pStyle w:val="Normal"/>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3CBC7431" w:rsidP="6387F054" w:rsidRDefault="3CBC7431" w14:paraId="55DB97EF" w14:textId="3DB456FA">
      <w:pPr>
        <w:pStyle w:val="Normal"/>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387F054" w:rsidP="6387F054" w:rsidRDefault="6387F054" w14:paraId="19CBAB43" w14:textId="7FE39D49">
      <w:pPr>
        <w:pStyle w:val="Normal"/>
        <w:keepNext w:val="1"/>
        <w:keepLines w:val="1"/>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A6E5ABC" w:rsidP="3CBC7431" w:rsidRDefault="0A6E5ABC" w14:paraId="7B2964D8" w14:textId="2F4F9959">
      <w:pPr>
        <w:pStyle w:val="Heading1"/>
        <w:shd w:val="clear" w:color="auto" w:fill="FFFFFF" w:themeFill="background1"/>
        <w:spacing w:before="161" w:beforeAutospacing="off" w:after="161" w:afterAutospacing="off"/>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Methods and Search Strategy</w:t>
      </w:r>
    </w:p>
    <w:p w:rsidR="0A6E5ABC" w:rsidP="3CBC7431" w:rsidRDefault="0A6E5ABC" w14:paraId="27699D0C" w14:textId="4FF858D1">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1. Introduction</w:t>
      </w:r>
    </w:p>
    <w:p w:rsidR="0A6E5ABC" w:rsidP="3CBC7431" w:rsidRDefault="0A6E5ABC" w14:paraId="6FC89FA7" w14:textId="5CAA4B5A">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report outlines the methods and search strategy used to conduct secondary research on the topic: </w:t>
      </w: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Assessing the Role of Social Services in Safeguarding Young People in the United Kingdom</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purpose of this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methodology</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to explain how data and evidence were systematically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identified</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selected, and analysed to ensure reliability, relevance, and academic integrity.</w:t>
      </w:r>
    </w:p>
    <w:p w:rsidR="0A6E5ABC" w:rsidP="3CBC7431" w:rsidRDefault="0A6E5ABC" w14:paraId="7379421D" w14:textId="3A4988DB">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Given the policy-driven and statutory nature of safeguarding in the UK, the research primarily focused on government legislation, policy frameworks, academic literature, and reports from recognised child protection organisations.</w:t>
      </w:r>
    </w:p>
    <w:p w:rsidR="3CBC7431" w:rsidP="3CBC7431" w:rsidRDefault="3CBC7431" w14:paraId="4CA75189" w14:textId="76FB1138">
      <w:pPr>
        <w:rPr>
          <w:sz w:val="24"/>
          <w:szCs w:val="24"/>
        </w:rPr>
      </w:pPr>
    </w:p>
    <w:p w:rsidR="0A6E5ABC" w:rsidP="3CBC7431" w:rsidRDefault="0A6E5ABC" w14:paraId="711277C2" w14:textId="3D49A163">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 Research</w:t>
      </w:r>
      <w:r w:rsidRPr="3CBC7431" w:rsidR="44D3AC0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Layout</w:t>
      </w:r>
    </w:p>
    <w:p w:rsidR="0A6E5ABC" w:rsidP="3CBC7431" w:rsidRDefault="0A6E5ABC" w14:paraId="25ACA69A" w14:textId="5D05B627">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2.1 Secondary Research Approach</w:t>
      </w:r>
    </w:p>
    <w:p w:rsidR="0A6E5ABC" w:rsidP="3CBC7431" w:rsidRDefault="0A6E5ABC" w14:paraId="0110565D" w14:textId="2019B5C3">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study adopted a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secondary research </w:t>
      </w:r>
      <w:r w:rsidRPr="3CBC7431" w:rsidR="137E21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layout</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relying exclusively on data</w:t>
      </w:r>
      <w:r w:rsidRPr="3CBC7431" w:rsidR="6C6E47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currently existing and reviewed</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rather than collecting primary data through interviews or surveys. Secondary research was chosen because safeguarding is a heavily documented field within UK law and policy, with extensive academic and governmental literature available.</w:t>
      </w:r>
    </w:p>
    <w:p w:rsidR="0A6E5ABC" w:rsidP="3CBC7431" w:rsidRDefault="0A6E5ABC" w14:paraId="5815CC56" w14:textId="04F3D64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Secondary sources allowed for:</w:t>
      </w:r>
    </w:p>
    <w:p w:rsidR="0A6E5ABC" w:rsidP="3CBC7431" w:rsidRDefault="0A6E5ABC" w14:paraId="2B003F46" w14:textId="611393E4">
      <w:pPr>
        <w:pStyle w:val="ListParagraph"/>
        <w:numPr>
          <w:ilvl w:val="0"/>
          <w:numId w:val="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 to national statistics and policy evaluations</w:t>
      </w:r>
    </w:p>
    <w:p w:rsidR="0A6E5ABC" w:rsidP="3CBC7431" w:rsidRDefault="0A6E5ABC" w14:paraId="59ADBD1D" w14:textId="50B7DA63">
      <w:pPr>
        <w:pStyle w:val="ListParagraph"/>
        <w:numPr>
          <w:ilvl w:val="0"/>
          <w:numId w:val="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Examination of legislative frameworks</w:t>
      </w:r>
    </w:p>
    <w:p w:rsidR="0A6E5ABC" w:rsidP="3CBC7431" w:rsidRDefault="0A6E5ABC" w14:paraId="3144C573" w14:textId="1AB8F31D">
      <w:pPr>
        <w:pStyle w:val="ListParagraph"/>
        <w:numPr>
          <w:ilvl w:val="0"/>
          <w:numId w:val="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Review of inspection findings</w:t>
      </w:r>
    </w:p>
    <w:p w:rsidR="0A6E5ABC" w:rsidP="3CBC7431" w:rsidRDefault="0A6E5ABC" w14:paraId="0296AB84" w14:textId="27E2625E">
      <w:pPr>
        <w:pStyle w:val="ListParagraph"/>
        <w:numPr>
          <w:ilvl w:val="0"/>
          <w:numId w:val="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Comparative analysis of safeguarding outcomes</w:t>
      </w:r>
    </w:p>
    <w:p w:rsidR="0A6E5ABC" w:rsidP="3CBC7431" w:rsidRDefault="0A6E5ABC" w14:paraId="64356FE4" w14:textId="4516D6AD">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research was qualitative in nature, focusing on interpreting policies, statutory guidance, and scholarly discussions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effectiveness and challenges of social services.</w:t>
      </w:r>
    </w:p>
    <w:p w:rsidR="3CBC7431" w:rsidP="3CBC7431" w:rsidRDefault="3CBC7431" w14:paraId="05A94DE7" w14:textId="6F9E469E">
      <w:pPr>
        <w:rPr>
          <w:sz w:val="24"/>
          <w:szCs w:val="24"/>
        </w:rPr>
      </w:pPr>
    </w:p>
    <w:p w:rsidR="0A6E5ABC" w:rsidP="3CBC7431" w:rsidRDefault="0A6E5ABC" w14:paraId="202C0C37" w14:textId="2100815C">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3. Search Strategy</w:t>
      </w:r>
    </w:p>
    <w:p w:rsidR="0A6E5ABC" w:rsidP="3CBC7431" w:rsidRDefault="0A6E5ABC" w14:paraId="201C239D" w14:textId="572E955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structured search strategy was developed to ensure comprehensive coverage of relevant materials.</w:t>
      </w:r>
    </w:p>
    <w:p w:rsidR="0A6E5ABC" w:rsidP="3CBC7431" w:rsidRDefault="0A6E5ABC" w14:paraId="0AF82298" w14:textId="53F10D6E">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3.1 Databases and Sources Used</w:t>
      </w:r>
    </w:p>
    <w:p w:rsidR="0A6E5ABC" w:rsidP="3CBC7431" w:rsidRDefault="0A6E5ABC" w14:paraId="3C3BC13E" w14:textId="09F7A37B">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following academic databases and credible sources were consulted:</w:t>
      </w:r>
    </w:p>
    <w:p w:rsidR="0A6E5ABC" w:rsidP="3CBC7431" w:rsidRDefault="0A6E5ABC" w14:paraId="43BFDA95" w14:textId="5AA8720B">
      <w:pPr>
        <w:pStyle w:val="ListParagraph"/>
        <w:numPr>
          <w:ilvl w:val="0"/>
          <w:numId w:val="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Google Scholar</w:t>
      </w:r>
    </w:p>
    <w:p w:rsidR="0A6E5ABC" w:rsidP="3CBC7431" w:rsidRDefault="0A6E5ABC" w14:paraId="5B3DF936" w14:textId="7A8B4CB5">
      <w:pPr>
        <w:pStyle w:val="ListParagraph"/>
        <w:numPr>
          <w:ilvl w:val="0"/>
          <w:numId w:val="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ScienceDirect</w:t>
      </w:r>
    </w:p>
    <w:p w:rsidR="0A6E5ABC" w:rsidP="3CBC7431" w:rsidRDefault="0A6E5ABC" w14:paraId="4F4FDF04" w14:textId="07B16931">
      <w:pPr>
        <w:pStyle w:val="ListParagraph"/>
        <w:numPr>
          <w:ilvl w:val="0"/>
          <w:numId w:val="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PubMed (for safeguarding-related mental health literature)</w:t>
      </w:r>
    </w:p>
    <w:p w:rsidR="0A6E5ABC" w:rsidP="3CBC7431" w:rsidRDefault="0A6E5ABC" w14:paraId="347526B3" w14:textId="0AD42B47">
      <w:pPr>
        <w:pStyle w:val="ListParagraph"/>
        <w:numPr>
          <w:ilvl w:val="0"/>
          <w:numId w:val="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UK Government websites (</w:t>
      </w:r>
      <w:hyperlink r:id="Ra283ea26f9ca4f7e">
        <w:r w:rsidRPr="3CBC7431" w:rsidR="0A6E5ABC">
          <w:rPr>
            <w:rStyle w:val="Hyperlink"/>
            <w:rFonts w:ascii="Arial" w:hAnsi="Arial" w:eastAsia="Arial" w:cs="Arial"/>
            <w:b w:val="0"/>
            <w:bCs w:val="0"/>
            <w:i w:val="0"/>
            <w:iCs w:val="0"/>
            <w:caps w:val="0"/>
            <w:smallCaps w:val="0"/>
            <w:strike w:val="0"/>
            <w:dstrike w:val="0"/>
            <w:noProof w:val="0"/>
            <w:color w:val="1155CC"/>
            <w:sz w:val="24"/>
            <w:szCs w:val="24"/>
            <w:u w:val="none"/>
            <w:lang w:val="en-GB"/>
          </w:rPr>
          <w:t>GOV.UK</w:t>
        </w:r>
      </w:hyperlink>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0A6E5ABC" w:rsidP="3CBC7431" w:rsidRDefault="0A6E5ABC" w14:paraId="289F5EA2" w14:textId="3D1C732C">
      <w:pPr>
        <w:pStyle w:val="ListParagraph"/>
        <w:numPr>
          <w:ilvl w:val="0"/>
          <w:numId w:val="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Reports from statutory and regulatory bodies</w:t>
      </w:r>
    </w:p>
    <w:p w:rsidR="0A6E5ABC" w:rsidP="3CBC7431" w:rsidRDefault="0A6E5ABC" w14:paraId="43162260" w14:textId="143B1903">
      <w:pPr>
        <w:pStyle w:val="ListParagraph"/>
        <w:numPr>
          <w:ilvl w:val="0"/>
          <w:numId w:val="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Publications from recognised charities and safeguarding organisations</w:t>
      </w:r>
    </w:p>
    <w:p w:rsidR="0A6E5ABC" w:rsidP="3CBC7431" w:rsidRDefault="0A6E5ABC" w14:paraId="51A3EDD6" w14:textId="4EAF5A43">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Key policy documents were accessed directly from official UK government sources, including:</w:t>
      </w:r>
    </w:p>
    <w:p w:rsidR="0A6E5ABC" w:rsidP="3CBC7431" w:rsidRDefault="0A6E5ABC" w14:paraId="08E47843" w14:textId="50A60C3F">
      <w:pPr>
        <w:pStyle w:val="ListParagraph"/>
        <w:numPr>
          <w:ilvl w:val="0"/>
          <w:numId w:val="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1989</w:t>
      </w:r>
    </w:p>
    <w:p w:rsidR="0A6E5ABC" w:rsidP="3CBC7431" w:rsidRDefault="0A6E5ABC" w14:paraId="622AFB55" w14:textId="264DA3D0">
      <w:pPr>
        <w:pStyle w:val="ListParagraph"/>
        <w:numPr>
          <w:ilvl w:val="0"/>
          <w:numId w:val="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2004</w:t>
      </w:r>
    </w:p>
    <w:p w:rsidR="0A6E5ABC" w:rsidP="3CBC7431" w:rsidRDefault="0A6E5ABC" w14:paraId="691DE124" w14:textId="5118404D">
      <w:pPr>
        <w:pStyle w:val="ListParagraph"/>
        <w:numPr>
          <w:ilvl w:val="0"/>
          <w:numId w:val="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Working Together to Safeguard Children</w:t>
      </w:r>
    </w:p>
    <w:p w:rsidR="0A6E5ABC" w:rsidP="3CBC7431" w:rsidRDefault="0A6E5ABC" w14:paraId="788EF696" w14:textId="718EBADA">
      <w:pPr>
        <w:pStyle w:val="ListParagraph"/>
        <w:numPr>
          <w:ilvl w:val="0"/>
          <w:numId w:val="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Department for Education</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publications</w:t>
      </w:r>
    </w:p>
    <w:p w:rsidR="0A6E5ABC" w:rsidP="3CBC7431" w:rsidRDefault="0A6E5ABC" w14:paraId="1AE6FA0A" w14:textId="38D6D38F">
      <w:pPr>
        <w:pStyle w:val="ListParagraph"/>
        <w:numPr>
          <w:ilvl w:val="0"/>
          <w:numId w:val="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Ofsted</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inspection reports</w:t>
      </w:r>
    </w:p>
    <w:p w:rsidR="0A6E5ABC" w:rsidP="3CBC7431" w:rsidRDefault="0A6E5ABC" w14:paraId="19E4AE8E" w14:textId="6ABEE908">
      <w:pPr>
        <w:pStyle w:val="ListParagraph"/>
        <w:numPr>
          <w:ilvl w:val="0"/>
          <w:numId w:val="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NSPCC</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safeguardi</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ng briefings</w:t>
      </w:r>
    </w:p>
    <w:p w:rsidR="0A6E5ABC" w:rsidP="3CBC7431" w:rsidRDefault="0A6E5ABC" w14:paraId="5DA7D572" w14:textId="07AB7489">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These sources were selected because they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represent</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authoritative and legally binding or</w:t>
      </w:r>
      <w:r w:rsidRPr="3CBC7431" w:rsidR="0C4444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strong</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3A6067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evidence-based</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guidance concerning safeguarding responsibilities in the UK.</w:t>
      </w:r>
    </w:p>
    <w:p w:rsidR="3CBC7431" w:rsidP="3CBC7431" w:rsidRDefault="3CBC7431" w14:paraId="56EAE63D" w14:textId="45B72C7A">
      <w:pPr>
        <w:rPr>
          <w:sz w:val="24"/>
          <w:szCs w:val="24"/>
        </w:rPr>
      </w:pPr>
    </w:p>
    <w:p w:rsidR="0A6E5ABC" w:rsidP="3CBC7431" w:rsidRDefault="0A6E5ABC" w14:paraId="36ED6D5C" w14:textId="2CD19068">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3.2 Keywords and Search Terms</w:t>
      </w:r>
    </w:p>
    <w:p w:rsidR="0A6E5ABC" w:rsidP="3CBC7431" w:rsidRDefault="0A6E5ABC" w14:paraId="2AFF4395" w14:textId="2345D15A">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combination of keywords and Boolean operators was used to narrow and refine searches. Examples of search terms included:</w:t>
      </w:r>
    </w:p>
    <w:p w:rsidR="0A6E5ABC" w:rsidP="3CBC7431" w:rsidRDefault="0A6E5ABC" w14:paraId="3A7DAAF2" w14:textId="5D167AAE">
      <w:pPr>
        <w:pStyle w:val="ListParagraph"/>
        <w:numPr>
          <w:ilvl w:val="0"/>
          <w:numId w:val="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CBC7431" w:rsidR="585EDB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Role</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social services in safeguarding UK”</w:t>
      </w:r>
    </w:p>
    <w:p w:rsidR="0A6E5ABC" w:rsidP="3CBC7431" w:rsidRDefault="0A6E5ABC" w14:paraId="639F21E5" w14:textId="276CD4AC">
      <w:pPr>
        <w:pStyle w:val="ListParagraph"/>
        <w:numPr>
          <w:ilvl w:val="0"/>
          <w:numId w:val="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CBC7431" w:rsidR="15D6E8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protection social work effectiveness”</w:t>
      </w:r>
    </w:p>
    <w:p w:rsidR="0A6E5ABC" w:rsidP="3CBC7431" w:rsidRDefault="0A6E5ABC" w14:paraId="5063FC4B" w14:textId="40671D81">
      <w:pPr>
        <w:pStyle w:val="ListParagraph"/>
        <w:numPr>
          <w:ilvl w:val="0"/>
          <w:numId w:val="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CBC7431" w:rsidR="6FC21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Local</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authority safeguarding responsibilities”</w:t>
      </w:r>
    </w:p>
    <w:p w:rsidR="0A6E5ABC" w:rsidP="3CBC7431" w:rsidRDefault="0A6E5ABC" w14:paraId="54CF59D8" w14:textId="4F981E72">
      <w:pPr>
        <w:pStyle w:val="ListParagraph"/>
        <w:numPr>
          <w:ilvl w:val="0"/>
          <w:numId w:val="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“multi-agency safeguarding UK”</w:t>
      </w:r>
    </w:p>
    <w:p w:rsidR="0A6E5ABC" w:rsidP="3CBC7431" w:rsidRDefault="0A6E5ABC" w14:paraId="5020F660" w14:textId="23379BB1">
      <w:pPr>
        <w:pStyle w:val="ListParagraph"/>
        <w:numPr>
          <w:ilvl w:val="0"/>
          <w:numId w:val="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CBC7431" w:rsidR="197B47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Early</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intervention child protection”</w:t>
      </w:r>
    </w:p>
    <w:p w:rsidR="0A6E5ABC" w:rsidP="3CBC7431" w:rsidRDefault="0A6E5ABC" w14:paraId="4C7D09D5" w14:textId="1102F96D">
      <w:pPr>
        <w:pStyle w:val="ListParagraph"/>
        <w:numPr>
          <w:ilvl w:val="0"/>
          <w:numId w:val="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CBC7431" w:rsidR="05B75D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Social</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services challenges in safeguarding”</w:t>
      </w:r>
    </w:p>
    <w:p w:rsidR="0A6E5ABC" w:rsidP="3CBC7431" w:rsidRDefault="0A6E5ABC" w14:paraId="665B3EA4" w14:textId="760D9CFD">
      <w:pPr>
        <w:pStyle w:val="ListParagraph"/>
        <w:numPr>
          <w:ilvl w:val="0"/>
          <w:numId w:val="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“Ofsted safeguarding inspections”</w:t>
      </w:r>
    </w:p>
    <w:p w:rsidR="0A6E5ABC" w:rsidP="3CBC7431" w:rsidRDefault="0A6E5ABC" w14:paraId="5C33EB5E" w14:textId="6EAE154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Boolean operators such as AND, OR, and NOT were applied to refine results. For example:</w:t>
      </w:r>
    </w:p>
    <w:p w:rsidR="0A6E5ABC" w:rsidP="3CBC7431" w:rsidRDefault="0A6E5ABC" w14:paraId="1BBF4867" w14:textId="123B6FC0">
      <w:pPr>
        <w:pStyle w:val="ListParagraph"/>
        <w:numPr>
          <w:ilvl w:val="0"/>
          <w:numId w:val="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CBC7431" w:rsidR="1B6183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Social</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services AND safeguarding AND young people UK”</w:t>
      </w:r>
    </w:p>
    <w:p w:rsidR="0A6E5ABC" w:rsidP="3CBC7431" w:rsidRDefault="0A6E5ABC" w14:paraId="1B02F7A9" w14:textId="60F3EAC3">
      <w:pPr>
        <w:pStyle w:val="ListParagraph"/>
        <w:numPr>
          <w:ilvl w:val="0"/>
          <w:numId w:val="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CBC7431" w:rsidR="36F593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protection OR safeguarding outcomes”</w:t>
      </w:r>
    </w:p>
    <w:p w:rsidR="0A6E5ABC" w:rsidP="3CBC7431" w:rsidRDefault="0A6E5ABC" w14:paraId="1E48B0E9" w14:textId="43019417">
      <w:pPr>
        <w:pStyle w:val="ListParagraph"/>
        <w:numPr>
          <w:ilvl w:val="0"/>
          <w:numId w:val="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“multi-agency working AND local authority”</w:t>
      </w:r>
    </w:p>
    <w:p w:rsidR="0A6E5ABC" w:rsidP="3CBC7431" w:rsidRDefault="0A6E5ABC" w14:paraId="3B292E80" w14:textId="702F413C">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Filters were applied to limit results to:</w:t>
      </w:r>
    </w:p>
    <w:p w:rsidR="0A6E5ABC" w:rsidP="3CBC7431" w:rsidRDefault="0A6E5ABC" w14:paraId="61C3BD9D" w14:textId="7FE021C1">
      <w:pPr>
        <w:pStyle w:val="ListParagraph"/>
        <w:numPr>
          <w:ilvl w:val="0"/>
          <w:numId w:val="6"/>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Peer</w:t>
      </w:r>
      <w:r w:rsidRPr="3CBC7431" w:rsidR="57E8CD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reviewed articles</w:t>
      </w:r>
    </w:p>
    <w:p w:rsidR="0A6E5ABC" w:rsidP="3CBC7431" w:rsidRDefault="0A6E5ABC" w14:paraId="3AF03B53" w14:textId="262D8DE1">
      <w:pPr>
        <w:pStyle w:val="ListParagraph"/>
        <w:numPr>
          <w:ilvl w:val="0"/>
          <w:numId w:val="6"/>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Publications from 20</w:t>
      </w:r>
      <w:r w:rsidRPr="3CBC7431" w:rsidR="663D69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10</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onward </w:t>
      </w:r>
    </w:p>
    <w:p w:rsidR="0A6E5ABC" w:rsidP="3CBC7431" w:rsidRDefault="0A6E5ABC" w14:paraId="700A2D16" w14:textId="25CA0B6D">
      <w:pPr>
        <w:pStyle w:val="ListParagraph"/>
        <w:numPr>
          <w:ilvl w:val="0"/>
          <w:numId w:val="6"/>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UK</w:t>
      </w:r>
      <w:r w:rsidRPr="3CBC7431" w:rsidR="110634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based research</w:t>
      </w:r>
    </w:p>
    <w:p w:rsidR="3CBC7431" w:rsidP="3CBC7431" w:rsidRDefault="3CBC7431" w14:paraId="20E25758" w14:textId="2CD683CE">
      <w:pPr>
        <w:rPr>
          <w:sz w:val="24"/>
          <w:szCs w:val="24"/>
        </w:rPr>
      </w:pPr>
    </w:p>
    <w:p w:rsidR="0A6E5ABC" w:rsidP="3CBC7431" w:rsidRDefault="0A6E5ABC" w14:paraId="065C070F" w14:textId="6127A801">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 Inclusion and Exclusion Criteria</w:t>
      </w:r>
    </w:p>
    <w:p w:rsidR="0A6E5ABC" w:rsidP="3CBC7431" w:rsidRDefault="0A6E5ABC" w14:paraId="4222E817" w14:textId="2EE5814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maintain</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focus and academic rigor, clear inclusion and exclusion criteria were applied.</w:t>
      </w:r>
    </w:p>
    <w:p w:rsidR="0A6E5ABC" w:rsidP="3CBC7431" w:rsidRDefault="0A6E5ABC" w14:paraId="5BF05311" w14:textId="0F67A48C">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4.1 Inclusion Criteria</w:t>
      </w:r>
    </w:p>
    <w:p w:rsidR="0A6E5ABC" w:rsidP="3CBC7431" w:rsidRDefault="0A6E5ABC" w14:paraId="5649055F" w14:textId="57326041">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Sources were included if they:</w:t>
      </w:r>
    </w:p>
    <w:p w:rsidR="0A6E5ABC" w:rsidP="3CBC7431" w:rsidRDefault="0A6E5ABC" w14:paraId="7FE06814" w14:textId="048E7485">
      <w:pPr>
        <w:pStyle w:val="ListParagraph"/>
        <w:numPr>
          <w:ilvl w:val="0"/>
          <w:numId w:val="7"/>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Focused specifically on the United Kingdom</w:t>
      </w:r>
    </w:p>
    <w:p w:rsidR="0A6E5ABC" w:rsidP="3CBC7431" w:rsidRDefault="0A6E5ABC" w14:paraId="4CF6B05D" w14:textId="4F22ADE1">
      <w:pPr>
        <w:pStyle w:val="ListParagraph"/>
        <w:numPr>
          <w:ilvl w:val="0"/>
          <w:numId w:val="7"/>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Discussed safeguarding, child protection, or youth welfare</w:t>
      </w:r>
    </w:p>
    <w:p w:rsidR="0A6E5ABC" w:rsidP="3CBC7431" w:rsidRDefault="0A6E5ABC" w14:paraId="298F6DA5" w14:textId="76EA6AA2">
      <w:pPr>
        <w:pStyle w:val="ListParagraph"/>
        <w:numPr>
          <w:ilvl w:val="0"/>
          <w:numId w:val="7"/>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Examined the role of social services or local authorities</w:t>
      </w:r>
    </w:p>
    <w:p w:rsidR="0A6E5ABC" w:rsidP="3CBC7431" w:rsidRDefault="0A6E5ABC" w14:paraId="3FE3C433" w14:textId="41018D2A">
      <w:pPr>
        <w:pStyle w:val="ListParagraph"/>
        <w:numPr>
          <w:ilvl w:val="0"/>
          <w:numId w:val="7"/>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Were published in peer</w:t>
      </w:r>
      <w:r w:rsidRPr="3CBC7431" w:rsidR="506094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reviewed journals or official government/organisational reports</w:t>
      </w:r>
    </w:p>
    <w:p w:rsidR="0A6E5ABC" w:rsidP="3CBC7431" w:rsidRDefault="0A6E5ABC" w14:paraId="5582B9A0" w14:textId="4AA2FC1D">
      <w:pPr>
        <w:pStyle w:val="ListParagraph"/>
        <w:numPr>
          <w:ilvl w:val="0"/>
          <w:numId w:val="7"/>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Were written in English</w:t>
      </w:r>
    </w:p>
    <w:p w:rsidR="0A6E5ABC" w:rsidP="3CBC7431" w:rsidRDefault="0A6E5ABC" w14:paraId="576DF6D3" w14:textId="30E4703F">
      <w:pPr>
        <w:pStyle w:val="ListParagraph"/>
        <w:numPr>
          <w:ilvl w:val="0"/>
          <w:numId w:val="7"/>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Were published between 20</w:t>
      </w:r>
      <w:r w:rsidRPr="3CBC7431" w:rsidR="697FF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04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202</w:t>
      </w:r>
      <w:r w:rsidRPr="3CBC7431" w:rsidR="084342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5</w:t>
      </w:r>
    </w:p>
    <w:p w:rsidR="0A6E5ABC" w:rsidP="3CBC7431" w:rsidRDefault="0A6E5ABC" w14:paraId="51280869" w14:textId="748396EF">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year 20</w:t>
      </w:r>
      <w:r w:rsidRPr="3CBC7431" w:rsidR="28B3A0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04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was chosen as a starting point because the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20</w:t>
      </w:r>
      <w:r w:rsidRPr="3CBC7431" w:rsidR="3F11A1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04</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significantly restructured safeguarding systems following</w:t>
      </w:r>
      <w:r w:rsidRPr="3CBC7431" w:rsidR="604159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changes to support children </w:t>
      </w:r>
      <w:r w:rsidRPr="3CBC7431" w:rsidR="705B17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from neglect harm.</w:t>
      </w:r>
    </w:p>
    <w:p w:rsidR="0A6E5ABC" w:rsidP="3CBC7431" w:rsidRDefault="0A6E5ABC" w14:paraId="10B01945" w14:textId="116EA3B9">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4.2 Exclusion Criteria</w:t>
      </w:r>
    </w:p>
    <w:p w:rsidR="0A6E5ABC" w:rsidP="3CBC7431" w:rsidRDefault="0A6E5ABC" w14:paraId="31A7D663" w14:textId="2E9871F2">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Sources were excluded if they:</w:t>
      </w:r>
    </w:p>
    <w:p w:rsidR="0A6E5ABC" w:rsidP="3CBC7431" w:rsidRDefault="0A6E5ABC" w14:paraId="1B150D4D" w14:textId="66354C54">
      <w:pPr>
        <w:pStyle w:val="ListParagraph"/>
        <w:numPr>
          <w:ilvl w:val="0"/>
          <w:numId w:val="8"/>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Focused on </w:t>
      </w:r>
      <w:r w:rsidRPr="3CBC7431" w:rsidR="498CC7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non-UK</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safeguarding systems</w:t>
      </w:r>
    </w:p>
    <w:p w:rsidR="0A6E5ABC" w:rsidP="6387F054" w:rsidRDefault="0A6E5ABC" w14:paraId="1FA96BFE" w14:textId="598E1476">
      <w:pPr>
        <w:pStyle w:val="ListParagraph"/>
        <w:numPr>
          <w:ilvl w:val="0"/>
          <w:numId w:val="8"/>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387F054" w:rsidR="46E882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Were </w:t>
      </w:r>
      <w:r w:rsidRPr="6387F054" w:rsidR="690EF2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opinion-based</w:t>
      </w:r>
      <w:r w:rsidRPr="6387F054" w:rsidR="46E882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blogs without academic referencing</w:t>
      </w:r>
    </w:p>
    <w:p w:rsidR="0A6E5ABC" w:rsidP="3CBC7431" w:rsidRDefault="0A6E5ABC" w14:paraId="23E8EBEB" w14:textId="36EEB734">
      <w:pPr>
        <w:pStyle w:val="ListParagraph"/>
        <w:numPr>
          <w:ilvl w:val="0"/>
          <w:numId w:val="8"/>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Were outdated (prior to major safeguarding reforms unless historically relevant)</w:t>
      </w:r>
    </w:p>
    <w:p w:rsidR="0A6E5ABC" w:rsidP="3CBC7431" w:rsidRDefault="0A6E5ABC" w14:paraId="01663525" w14:textId="6C2C754C">
      <w:pPr>
        <w:pStyle w:val="ListParagraph"/>
        <w:numPr>
          <w:ilvl w:val="0"/>
          <w:numId w:val="8"/>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Focused exclusively on adult safeguarding</w:t>
      </w:r>
    </w:p>
    <w:p w:rsidR="0A6E5ABC" w:rsidP="3CBC7431" w:rsidRDefault="0A6E5ABC" w14:paraId="109AF215" w14:textId="75ADCB1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ensured that the research remained current, credible, and directly relevant to young people in the UK.</w:t>
      </w:r>
    </w:p>
    <w:p w:rsidR="3CBC7431" w:rsidP="3CBC7431" w:rsidRDefault="3CBC7431" w14:paraId="28585ADB" w14:textId="097CECB2">
      <w:pPr>
        <w:rPr>
          <w:sz w:val="24"/>
          <w:szCs w:val="24"/>
        </w:rPr>
      </w:pPr>
    </w:p>
    <w:p w:rsidR="0A6E5ABC" w:rsidP="3CBC7431" w:rsidRDefault="0A6E5ABC" w14:paraId="5434932B" w14:textId="63334482">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 Types of Sources Used</w:t>
      </w:r>
    </w:p>
    <w:p w:rsidR="0A6E5ABC" w:rsidP="3CBC7431" w:rsidRDefault="0A6E5ABC" w14:paraId="38FAF6B3" w14:textId="4D466D9F">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research incorporated multiple types of secondary data to ensure triangulation.</w:t>
      </w:r>
    </w:p>
    <w:p w:rsidR="0A6E5ABC" w:rsidP="3CBC7431" w:rsidRDefault="0A6E5ABC" w14:paraId="0BE04768" w14:textId="4B6E603B">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5.1 Legislative and Policy Documents</w:t>
      </w:r>
    </w:p>
    <w:p w:rsidR="0A6E5ABC" w:rsidP="3CBC7431" w:rsidRDefault="0A6E5ABC" w14:paraId="1D06DCA1" w14:textId="550E5D42">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Primary legislation provided the legal framework defining the duties of social services. Key documents included:</w:t>
      </w:r>
    </w:p>
    <w:p w:rsidR="0A6E5ABC" w:rsidP="3CBC7431" w:rsidRDefault="0A6E5ABC" w14:paraId="14CF5CCF" w14:textId="63B9FBDE">
      <w:pPr>
        <w:pStyle w:val="ListParagraph"/>
        <w:numPr>
          <w:ilvl w:val="0"/>
          <w:numId w:val="9"/>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Children Act 1989</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 Establishes the duty of local authorities to safeguard and promote the welfare of children.</w:t>
      </w:r>
    </w:p>
    <w:p w:rsidR="0A6E5ABC" w:rsidP="3CBC7431" w:rsidRDefault="0A6E5ABC" w14:paraId="08956CEC" w14:textId="158B2A40">
      <w:pPr>
        <w:pStyle w:val="ListParagraph"/>
        <w:numPr>
          <w:ilvl w:val="0"/>
          <w:numId w:val="9"/>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Children Act 2</w:t>
      </w:r>
      <w:r w:rsidRPr="3CBC7431" w:rsidR="5B9E445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0</w:t>
      </w:r>
      <w:r w:rsidRPr="3CBC7431" w:rsidR="656DED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04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Strengthens inter-agency cooperation and safeguarding arrangements.</w:t>
      </w:r>
    </w:p>
    <w:p w:rsidR="0A6E5ABC" w:rsidP="3CBC7431" w:rsidRDefault="0A6E5ABC" w14:paraId="0CC5CD7F" w14:textId="155C6790">
      <w:pPr>
        <w:pStyle w:val="ListParagraph"/>
        <w:numPr>
          <w:ilvl w:val="0"/>
          <w:numId w:val="9"/>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Working Together to Safeguard Children</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 Sets out statutory guidance on multi-agency safeguarding responsibilities.</w:t>
      </w:r>
    </w:p>
    <w:p w:rsidR="0A6E5ABC" w:rsidP="3CBC7431" w:rsidRDefault="0A6E5ABC" w14:paraId="231CB640" w14:textId="4FBD3F1B">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These documents were critical in defining the statutory responsibilities of social services.</w:t>
      </w:r>
    </w:p>
    <w:p w:rsidR="3CBC7431" w:rsidP="3CBC7431" w:rsidRDefault="3CBC7431" w14:paraId="24C6340B" w14:textId="4FF284F7">
      <w:pPr>
        <w:rPr>
          <w:sz w:val="24"/>
          <w:szCs w:val="24"/>
        </w:rPr>
      </w:pPr>
    </w:p>
    <w:p w:rsidR="0A6E5ABC" w:rsidP="3CBC7431" w:rsidRDefault="0A6E5ABC" w14:paraId="2F247B91" w14:textId="2A8BE38A">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5.2 Inspection and Regulatory Reports</w:t>
      </w:r>
    </w:p>
    <w:p w:rsidR="0A6E5ABC" w:rsidP="3CBC7431" w:rsidRDefault="0A6E5ABC" w14:paraId="745188FA" w14:textId="34DFF3A5">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Reports fro</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Ofsted</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were analysed to assess how effectively local authorities fulfil safeguarding duties. Inspection findings provided insight into systemic strengths and weaknesses across different councils.</w:t>
      </w:r>
    </w:p>
    <w:p w:rsidR="3CBC7431" w:rsidP="3CBC7431" w:rsidRDefault="3CBC7431" w14:paraId="01B2B5D3" w14:textId="03C8B088">
      <w:pPr>
        <w:rPr>
          <w:sz w:val="24"/>
          <w:szCs w:val="24"/>
        </w:rPr>
      </w:pPr>
    </w:p>
    <w:p w:rsidR="0A6E5ABC" w:rsidP="3CBC7431" w:rsidRDefault="0A6E5ABC" w14:paraId="13260C0B" w14:textId="0D25C1A4">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5.3 Academic Journal Articles</w:t>
      </w:r>
    </w:p>
    <w:p w:rsidR="0A6E5ABC" w:rsidP="3CBC7431" w:rsidRDefault="0A6E5ABC" w14:paraId="2002D559" w14:textId="39FFCF6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Peer-reviewed journal articles were used to evaluate:</w:t>
      </w:r>
    </w:p>
    <w:p w:rsidR="0A6E5ABC" w:rsidP="3CBC7431" w:rsidRDefault="0A6E5ABC" w14:paraId="75936937" w14:textId="1B2CB2BE">
      <w:pPr>
        <w:pStyle w:val="ListParagraph"/>
        <w:numPr>
          <w:ilvl w:val="0"/>
          <w:numId w:val="10"/>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effectiveness of child protection interventions</w:t>
      </w:r>
    </w:p>
    <w:p w:rsidR="0A6E5ABC" w:rsidP="3CBC7431" w:rsidRDefault="0A6E5ABC" w14:paraId="43A376FE" w14:textId="030BAF8E">
      <w:pPr>
        <w:pStyle w:val="ListParagraph"/>
        <w:numPr>
          <w:ilvl w:val="0"/>
          <w:numId w:val="10"/>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Multi-agency collaboration</w:t>
      </w:r>
    </w:p>
    <w:p w:rsidR="0A6E5ABC" w:rsidP="3CBC7431" w:rsidRDefault="0A6E5ABC" w14:paraId="24B98AE3" w14:textId="5DF9D3F9">
      <w:pPr>
        <w:pStyle w:val="ListParagraph"/>
        <w:numPr>
          <w:ilvl w:val="0"/>
          <w:numId w:val="10"/>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Early help and prevention strategies</w:t>
      </w:r>
    </w:p>
    <w:p w:rsidR="0A6E5ABC" w:rsidP="3CBC7431" w:rsidRDefault="0A6E5ABC" w14:paraId="74FDC62C" w14:textId="6447BA09">
      <w:pPr>
        <w:pStyle w:val="ListParagraph"/>
        <w:numPr>
          <w:ilvl w:val="0"/>
          <w:numId w:val="10"/>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Challenges faced by social workers (</w:t>
      </w:r>
      <w:r w:rsidRPr="3CBC7431" w:rsidR="1E939D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key examples</w:t>
      </w:r>
      <w:r w:rsidRPr="3CBC7431" w:rsidR="45012C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igh caseloads, funding constraints)</w:t>
      </w:r>
    </w:p>
    <w:p w:rsidR="0A6E5ABC" w:rsidP="3CBC7431" w:rsidRDefault="0A6E5ABC" w14:paraId="69CB909D" w14:textId="71B2C904">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These studies provided critical analysis beyond statutory frameworks.</w:t>
      </w:r>
    </w:p>
    <w:p w:rsidR="3CBC7431" w:rsidP="3CBC7431" w:rsidRDefault="3CBC7431" w14:paraId="1F2D4FAD" w14:textId="30DB0206">
      <w:pPr>
        <w:rPr>
          <w:sz w:val="24"/>
          <w:szCs w:val="24"/>
        </w:rPr>
      </w:pPr>
    </w:p>
    <w:p w:rsidR="0A6E5ABC" w:rsidP="3CBC7431" w:rsidRDefault="0A6E5ABC" w14:paraId="2A6C4C2A" w14:textId="188DEA41">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5.4 Organisational Reports and Briefings</w:t>
      </w:r>
    </w:p>
    <w:p w:rsidR="0A6E5ABC" w:rsidP="3CBC7431" w:rsidRDefault="0A6E5ABC" w14:paraId="1053D886" w14:textId="527AA814">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Reports from organisations such as the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NSPCC</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were used to obtain statistical data, safeguarding trends, and policy recommendations. Charity reports were cross-checked with government data to ensure consistency.</w:t>
      </w:r>
    </w:p>
    <w:p w:rsidR="3CBC7431" w:rsidP="3CBC7431" w:rsidRDefault="3CBC7431" w14:paraId="65EEA197" w14:textId="4722A239">
      <w:pPr>
        <w:rPr>
          <w:sz w:val="24"/>
          <w:szCs w:val="24"/>
        </w:rPr>
      </w:pPr>
    </w:p>
    <w:p w:rsidR="0A6E5ABC" w:rsidP="3CBC7431" w:rsidRDefault="0A6E5ABC" w14:paraId="5CEA09AE" w14:textId="636D4A64">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6. Data Analysis Strategy</w:t>
      </w:r>
    </w:p>
    <w:p w:rsidR="0A6E5ABC" w:rsidP="3CBC7431" w:rsidRDefault="0A6E5ABC" w14:paraId="37D2A88F" w14:textId="40C73D91">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collected data was analysed using a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thematic analysis approach</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Key themes were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identified</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across the literature, including:</w:t>
      </w:r>
    </w:p>
    <w:p w:rsidR="0A6E5ABC" w:rsidP="3CBC7431" w:rsidRDefault="0A6E5ABC" w14:paraId="081FA75A" w14:textId="4B9628CE">
      <w:pPr>
        <w:pStyle w:val="ListParagraph"/>
        <w:numPr>
          <w:ilvl w:val="0"/>
          <w:numId w:val="1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Legal responsibilities of social services</w:t>
      </w:r>
    </w:p>
    <w:p w:rsidR="0A6E5ABC" w:rsidP="3CBC7431" w:rsidRDefault="0A6E5ABC" w14:paraId="673B6E16" w14:textId="29FAE160">
      <w:pPr>
        <w:pStyle w:val="ListParagraph"/>
        <w:numPr>
          <w:ilvl w:val="0"/>
          <w:numId w:val="1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Early intervention and prevention</w:t>
      </w:r>
    </w:p>
    <w:p w:rsidR="0A6E5ABC" w:rsidP="3CBC7431" w:rsidRDefault="0A6E5ABC" w14:paraId="15894CB2" w14:textId="48A1E638">
      <w:pPr>
        <w:pStyle w:val="ListParagraph"/>
        <w:numPr>
          <w:ilvl w:val="0"/>
          <w:numId w:val="1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Multi-agency working</w:t>
      </w:r>
    </w:p>
    <w:p w:rsidR="0A6E5ABC" w:rsidP="3CBC7431" w:rsidRDefault="0A6E5ABC" w14:paraId="29EE9EF1" w14:textId="631B9218">
      <w:pPr>
        <w:pStyle w:val="ListParagraph"/>
        <w:numPr>
          <w:ilvl w:val="0"/>
          <w:numId w:val="1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Resource limitations</w:t>
      </w:r>
    </w:p>
    <w:p w:rsidR="0A6E5ABC" w:rsidP="3CBC7431" w:rsidRDefault="0A6E5ABC" w14:paraId="2D6C6F9C" w14:textId="1CB24AC0">
      <w:pPr>
        <w:pStyle w:val="ListParagraph"/>
        <w:numPr>
          <w:ilvl w:val="0"/>
          <w:numId w:val="1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Accountability and inspection</w:t>
      </w:r>
    </w:p>
    <w:p w:rsidR="0A6E5ABC" w:rsidP="3CBC7431" w:rsidRDefault="0A6E5ABC" w14:paraId="09727E74" w14:textId="57DB7E5C">
      <w:pPr>
        <w:pStyle w:val="ListParagraph"/>
        <w:numPr>
          <w:ilvl w:val="0"/>
          <w:numId w:val="1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Outcomes for young people</w:t>
      </w:r>
    </w:p>
    <w:p w:rsidR="0A6E5ABC" w:rsidP="3CBC7431" w:rsidRDefault="0A6E5ABC" w14:paraId="3B0AD226" w14:textId="7727A88F">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Information from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different sources</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 compared to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common findings, contradictions, and areas of debate. For example, legislative frameworks often present safeguarding as structured and collaborative,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whereas</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academic literature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frequently</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highlights practical challenges such as staff shortages and high caseload pressures.</w:t>
      </w:r>
    </w:p>
    <w:p w:rsidR="0A6E5ABC" w:rsidP="3CBC7431" w:rsidRDefault="0A6E5ABC" w14:paraId="2CF16688" w14:textId="47F4B963">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research also examined how statutory duties translate into practical safeguarding measures at the local authority level.</w:t>
      </w:r>
    </w:p>
    <w:p w:rsidR="3CBC7431" w:rsidP="3CBC7431" w:rsidRDefault="3CBC7431" w14:paraId="7DD63D15" w14:textId="0715FA5E">
      <w:pPr>
        <w:rPr>
          <w:sz w:val="24"/>
          <w:szCs w:val="24"/>
        </w:rPr>
      </w:pPr>
    </w:p>
    <w:p w:rsidR="0A6E5ABC" w:rsidP="3CBC7431" w:rsidRDefault="0A6E5ABC" w14:paraId="1C3F79C5" w14:textId="22BA1770">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7. Reliability and Validity</w:t>
      </w:r>
    </w:p>
    <w:p w:rsidR="0A6E5ABC" w:rsidP="3CBC7431" w:rsidRDefault="0A6E5ABC" w14:paraId="40A01DA8" w14:textId="3554B2E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ensure reliability:</w:t>
      </w:r>
    </w:p>
    <w:p w:rsidR="0A6E5ABC" w:rsidP="3CBC7431" w:rsidRDefault="0A6E5ABC" w14:paraId="52276084" w14:textId="343B9718">
      <w:pPr>
        <w:pStyle w:val="ListParagraph"/>
        <w:numPr>
          <w:ilvl w:val="0"/>
          <w:numId w:val="1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Priority was given to peer-reviewed and government sources.</w:t>
      </w:r>
    </w:p>
    <w:p w:rsidR="0A6E5ABC" w:rsidP="3CBC7431" w:rsidRDefault="0A6E5ABC" w14:paraId="6BB8106D" w14:textId="2B75B8AA">
      <w:pPr>
        <w:pStyle w:val="ListParagraph"/>
        <w:numPr>
          <w:ilvl w:val="0"/>
          <w:numId w:val="1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Multiple sources were used to confirm key statistics.</w:t>
      </w:r>
    </w:p>
    <w:p w:rsidR="0A6E5ABC" w:rsidP="3CBC7431" w:rsidRDefault="0A6E5ABC" w14:paraId="1DFDE9CB" w14:textId="51F441C9">
      <w:pPr>
        <w:pStyle w:val="ListParagraph"/>
        <w:numPr>
          <w:ilvl w:val="0"/>
          <w:numId w:val="1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Policy documents were cross-referenced with academic critiques.</w:t>
      </w:r>
    </w:p>
    <w:p w:rsidR="0A6E5ABC" w:rsidP="3CBC7431" w:rsidRDefault="0A6E5ABC" w14:paraId="0E21FC0A" w14:textId="345D1DBA">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enhance validity:</w:t>
      </w:r>
    </w:p>
    <w:p w:rsidR="0A6E5ABC" w:rsidP="3CBC7431" w:rsidRDefault="0A6E5ABC" w14:paraId="04270E9B" w14:textId="11FB93D8">
      <w:pPr>
        <w:pStyle w:val="ListParagraph"/>
        <w:numPr>
          <w:ilvl w:val="0"/>
          <w:numId w:val="1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Only UK</w:t>
      </w:r>
      <w:r w:rsidRPr="3CBC7431" w:rsidR="3CB599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based data was included.</w:t>
      </w:r>
    </w:p>
    <w:p w:rsidR="0A6E5ABC" w:rsidP="3CBC7431" w:rsidRDefault="0A6E5ABC" w14:paraId="7E68EE9E" w14:textId="59D55047">
      <w:pPr>
        <w:pStyle w:val="ListParagraph"/>
        <w:numPr>
          <w:ilvl w:val="0"/>
          <w:numId w:val="1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Recent publications were prioritised to reflect current safeguarding practices.</w:t>
      </w:r>
    </w:p>
    <w:p w:rsidR="0A6E5ABC" w:rsidP="3CBC7431" w:rsidRDefault="0A6E5ABC" w14:paraId="2214E93E" w14:textId="0703293E">
      <w:pPr>
        <w:pStyle w:val="ListParagraph"/>
        <w:numPr>
          <w:ilvl w:val="0"/>
          <w:numId w:val="1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Author credibility and institutional affiliation were evaluated.</w:t>
      </w:r>
    </w:p>
    <w:p w:rsidR="0A6E5ABC" w:rsidP="3CBC7431" w:rsidRDefault="0A6E5ABC" w14:paraId="251BAFCE" w14:textId="51762B03">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Bias was minimised by incorporating both supportive and critical perspectives on the effectiveness of social services.</w:t>
      </w:r>
    </w:p>
    <w:p w:rsidR="3CBC7431" w:rsidP="3CBC7431" w:rsidRDefault="3CBC7431" w14:paraId="1EC364AB" w14:textId="22A6FBCA">
      <w:pPr>
        <w:rPr>
          <w:sz w:val="24"/>
          <w:szCs w:val="24"/>
        </w:rPr>
      </w:pPr>
    </w:p>
    <w:p w:rsidR="0A6E5ABC" w:rsidP="3CBC7431" w:rsidRDefault="0A6E5ABC" w14:paraId="2F717976" w14:textId="18FE5AF4">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8. Ethical Considerations</w:t>
      </w:r>
    </w:p>
    <w:p w:rsidR="0A6E5ABC" w:rsidP="3CBC7431" w:rsidRDefault="0A6E5ABC" w14:paraId="15685887" w14:textId="1C7E4A78">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this study relied solely on secondary data, no direct interaction with human participants occurred. Therefore, formal ethical approval was not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required</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However, ethical research principles were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maintained</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w:t>
      </w:r>
    </w:p>
    <w:p w:rsidR="0A6E5ABC" w:rsidP="3CBC7431" w:rsidRDefault="0A6E5ABC" w14:paraId="4805BD10" w14:textId="796E9152">
      <w:pPr>
        <w:pStyle w:val="ListParagraph"/>
        <w:numPr>
          <w:ilvl w:val="0"/>
          <w:numId w:val="1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Accurately referencing all sources</w:t>
      </w:r>
    </w:p>
    <w:p w:rsidR="0A6E5ABC" w:rsidP="3CBC7431" w:rsidRDefault="0A6E5ABC" w14:paraId="4F6EDC18" w14:textId="4A1ABA41">
      <w:pPr>
        <w:pStyle w:val="ListParagraph"/>
        <w:numPr>
          <w:ilvl w:val="0"/>
          <w:numId w:val="1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Avoiding misrepresentation of data</w:t>
      </w:r>
    </w:p>
    <w:p w:rsidR="0A6E5ABC" w:rsidP="3CBC7431" w:rsidRDefault="0A6E5ABC" w14:paraId="31483F0F" w14:textId="583A1728">
      <w:pPr>
        <w:pStyle w:val="ListParagraph"/>
        <w:numPr>
          <w:ilvl w:val="0"/>
          <w:numId w:val="1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Critically evaluating sensitive safeguarding information responsibly</w:t>
      </w:r>
    </w:p>
    <w:p w:rsidR="3CBC7431" w:rsidP="3CBC7431" w:rsidRDefault="3CBC7431" w14:paraId="2ECBDF71" w14:textId="4B780BD9">
      <w:pPr>
        <w:rPr>
          <w:sz w:val="24"/>
          <w:szCs w:val="24"/>
        </w:rPr>
      </w:pPr>
    </w:p>
    <w:p w:rsidR="0A6E5ABC" w:rsidP="3CBC7431" w:rsidRDefault="0A6E5ABC" w14:paraId="635EF3BF" w14:textId="41B49C85">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9. Limitations of the Method</w:t>
      </w:r>
    </w:p>
    <w:p w:rsidR="0A6E5ABC" w:rsidP="3CBC7431" w:rsidRDefault="0A6E5ABC" w14:paraId="695475E6" w14:textId="6E303031">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While secondary research provides broad coverage, it has limitations:</w:t>
      </w:r>
    </w:p>
    <w:p w:rsidR="0A6E5ABC" w:rsidP="3CBC7431" w:rsidRDefault="0A6E5ABC" w14:paraId="7C2EF643" w14:textId="1B9024D7">
      <w:pPr>
        <w:pStyle w:val="ListParagraph"/>
        <w:numPr>
          <w:ilvl w:val="0"/>
          <w:numId w:val="1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Dependence on the accuracy of published data</w:t>
      </w:r>
    </w:p>
    <w:p w:rsidR="0A6E5ABC" w:rsidP="6387F054" w:rsidRDefault="0A6E5ABC" w14:paraId="40AE4A5C" w14:textId="280F666A">
      <w:pPr>
        <w:pStyle w:val="ListParagraph"/>
        <w:numPr>
          <w:ilvl w:val="0"/>
          <w:numId w:val="1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387F054" w:rsidR="46E882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Lack of </w:t>
      </w:r>
      <w:r w:rsidRPr="6387F054" w:rsidR="1AF603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first-hand</w:t>
      </w:r>
      <w:r w:rsidRPr="6387F054" w:rsidR="46E882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perspectives from practitioners or young people</w:t>
      </w:r>
    </w:p>
    <w:p w:rsidR="0A6E5ABC" w:rsidP="3CBC7431" w:rsidRDefault="0A6E5ABC" w14:paraId="202DF1EF" w14:textId="26DD989C">
      <w:pPr>
        <w:pStyle w:val="ListParagraph"/>
        <w:numPr>
          <w:ilvl w:val="0"/>
          <w:numId w:val="1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Potential publication bias</w:t>
      </w:r>
    </w:p>
    <w:p w:rsidR="0A6E5ABC" w:rsidP="3CBC7431" w:rsidRDefault="0A6E5ABC" w14:paraId="15D27D54" w14:textId="718B976C">
      <w:pPr>
        <w:pStyle w:val="ListParagraph"/>
        <w:numPr>
          <w:ilvl w:val="0"/>
          <w:numId w:val="1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Variation in local authority reporting standards</w:t>
      </w:r>
    </w:p>
    <w:p w:rsidR="0A6E5ABC" w:rsidP="3CBC7431" w:rsidRDefault="0A6E5ABC" w14:paraId="3B360DBB" w14:textId="754A962C">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Despite these limitations, secondary research was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appropriate for</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analysing statutory roles and systemic effectiveness at a national level.</w:t>
      </w:r>
    </w:p>
    <w:p w:rsidR="3CBC7431" w:rsidP="3CBC7431" w:rsidRDefault="3CBC7431" w14:paraId="3317852B" w14:textId="7D52A628">
      <w:pPr>
        <w:rPr>
          <w:sz w:val="24"/>
          <w:szCs w:val="24"/>
        </w:rPr>
      </w:pPr>
    </w:p>
    <w:p w:rsidR="0A6E5ABC" w:rsidP="3CBC7431" w:rsidRDefault="0A6E5ABC" w14:paraId="6AB4669A" w14:textId="7211E6AF">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10. Conclusion</w:t>
      </w:r>
    </w:p>
    <w:p w:rsidR="0A6E5ABC" w:rsidP="3CBC7431" w:rsidRDefault="0A6E5ABC" w14:paraId="540B7760" w14:textId="17B28157">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research adopted a structured secondary research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methodology</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assess the role of social services in safeguarding young people in the United Kingdom. Through systematic searching of academic databases, legislative documents, inspection reports, and organisational publications, a comprehensive evidence base was developed.</w:t>
      </w:r>
    </w:p>
    <w:p w:rsidR="0A6E5ABC" w:rsidP="3CBC7431" w:rsidRDefault="0A6E5ABC" w14:paraId="609D360B" w14:textId="5AB47FFC">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use of clearly defined inclusion criteria, thematic analysis, and source triangulation strengthened the reliability and validity of the findings. While limited by its reliance on existing data, the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methodology</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ensured a balanced and policy</w:t>
      </w:r>
      <w:r w:rsidRPr="3CBC7431" w:rsidR="60C108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informed evaluation of how social services fulfil their safeguarding responsibilities within the UK legal framework.</w:t>
      </w:r>
    </w:p>
    <w:p w:rsidR="0A6E5ABC" w:rsidP="3CBC7431" w:rsidRDefault="0A6E5ABC" w14:paraId="401FB028" w14:textId="7D4392A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Overall, the structured search strategy and critical analysis approach provided a robust </w:t>
      </w:r>
      <w:r w:rsidRPr="3CBC7431" w:rsidR="4A87C3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strongly formed </w:t>
      </w:r>
      <w:r w:rsidRPr="3CBC7431" w:rsidR="0A6E5A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foundation for assessing the effectiveness, challenges, and evolving role of social services in protecting vulnerable young people.</w:t>
      </w:r>
    </w:p>
    <w:p w:rsidR="67E65291" w:rsidP="3CBC7431" w:rsidRDefault="67E65291" w14:paraId="532B3C18" w14:textId="59BBDBFB">
      <w:pPr>
        <w:pStyle w:val="Heading1"/>
        <w:shd w:val="clear" w:color="auto" w:fill="FFFFFF" w:themeFill="background1"/>
        <w:spacing w:before="161" w:beforeAutospacing="off" w:after="161" w:afterAutospacing="off"/>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Chapter 4: Findings and Discussion</w:t>
      </w:r>
    </w:p>
    <w:p w:rsidR="67E65291" w:rsidP="3CBC7431" w:rsidRDefault="67E65291" w14:paraId="5A35AB9E" w14:textId="42FF0CD0">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4.1 Introduction</w:t>
      </w:r>
    </w:p>
    <w:p w:rsidR="67E65291" w:rsidP="3CBC7431" w:rsidRDefault="67E65291" w14:paraId="6AF99A21" w14:textId="5482B46B">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chapter presents the findings and critical discussion arising from the secondary research conducted on the topic: </w:t>
      </w: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Assessing the Role of Social Services in Safeguarding Young People in the United Kingdom</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 analysis is structured around a thematic framework derived from a systematic review of legislation, statutory guidance, government statistics, inspection reports, and peer-reviewed academic literature.</w:t>
      </w:r>
    </w:p>
    <w:p w:rsidR="67E65291" w:rsidP="406B18E1" w:rsidRDefault="67E65291" w14:paraId="3430E4AF" w14:textId="483E0512">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chapter integrates statutory frameworks such as the </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1989</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2004</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Working Together to Safeguard Children</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alongside empirical data from the </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Department for Education</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(DfE) and inspection findings from </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Ofsted</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 discussion critically evaluates the extent to w</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hich social services fulfil their statutory duties, the challenges </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encountered</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practice, and the broader implications for policy and professional practice.</w:t>
      </w:r>
    </w:p>
    <w:p w:rsidR="67E65291" w:rsidP="3CBC7431" w:rsidRDefault="67E65291" w14:paraId="01F72602" w14:textId="26C731C5">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chapter addresses the following research questions:</w:t>
      </w:r>
    </w:p>
    <w:p w:rsidR="67E65291" w:rsidP="3CBC7431" w:rsidRDefault="67E65291" w14:paraId="2636288D" w14:textId="677FB95F">
      <w:pPr>
        <w:pStyle w:val="ListParagraph"/>
        <w:numPr>
          <w:ilvl w:val="0"/>
          <w:numId w:val="16"/>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What is the statutory and operational role of social services in safeguarding young people in the UK?</w:t>
      </w:r>
    </w:p>
    <w:p w:rsidR="67E65291" w:rsidP="3CBC7431" w:rsidRDefault="67E65291" w14:paraId="54BE1251" w14:textId="2C4B6463">
      <w:pPr>
        <w:pStyle w:val="ListParagraph"/>
        <w:numPr>
          <w:ilvl w:val="0"/>
          <w:numId w:val="16"/>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 effective are social services in fulfilling these responsibilities?</w:t>
      </w:r>
    </w:p>
    <w:p w:rsidR="67E65291" w:rsidP="3CBC7431" w:rsidRDefault="67E65291" w14:paraId="18981CB7" w14:textId="392031C9">
      <w:pPr>
        <w:pStyle w:val="ListParagraph"/>
        <w:numPr>
          <w:ilvl w:val="0"/>
          <w:numId w:val="16"/>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What structural and organisational factors influence safeguarding outcomes?</w:t>
      </w:r>
    </w:p>
    <w:p w:rsidR="67E65291" w:rsidP="3CBC7431" w:rsidRDefault="67E65291" w14:paraId="603737A9" w14:textId="3E243093">
      <w:pPr>
        <w:pStyle w:val="ListParagraph"/>
        <w:numPr>
          <w:ilvl w:val="0"/>
          <w:numId w:val="16"/>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 does multi-agency </w:t>
      </w:r>
      <w:r w:rsidRPr="3CBC7431" w:rsidR="332B6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work</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impact practice?</w:t>
      </w:r>
    </w:p>
    <w:p w:rsidR="67E65291" w:rsidP="3CBC7431" w:rsidRDefault="67E65291" w14:paraId="6EDC8AE1" w14:textId="794F0EA4">
      <w:pPr>
        <w:pStyle w:val="ListParagraph"/>
        <w:numPr>
          <w:ilvl w:val="0"/>
          <w:numId w:val="16"/>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What are the wider implications of current safeguarding approaches?</w:t>
      </w:r>
    </w:p>
    <w:p w:rsidR="3CBC7431" w:rsidP="3A130187" w:rsidRDefault="3CBC7431" w14:paraId="35111405" w14:textId="7C62302D">
      <w:pPr>
        <w:rPr>
          <w:b w:val="1"/>
          <w:bCs w:val="1"/>
          <w:sz w:val="28"/>
          <w:szCs w:val="28"/>
        </w:rPr>
      </w:pPr>
      <w:r w:rsidRPr="3A130187" w:rsidR="63DF188F">
        <w:rPr>
          <w:b w:val="1"/>
          <w:bCs w:val="1"/>
          <w:sz w:val="28"/>
          <w:szCs w:val="28"/>
        </w:rPr>
        <w:t>What is a thematic analysis</w:t>
      </w:r>
      <w:r w:rsidRPr="3A130187" w:rsidR="4541A05E">
        <w:rPr>
          <w:b w:val="1"/>
          <w:bCs w:val="1"/>
          <w:sz w:val="28"/>
          <w:szCs w:val="28"/>
        </w:rPr>
        <w:t>?</w:t>
      </w:r>
    </w:p>
    <w:p w:rsidR="59120343" w:rsidP="3A130187" w:rsidRDefault="59120343" w14:paraId="51ED9680" w14:textId="591AF563">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A130187" w:rsidR="591203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Thematic analysis is a widely used qualitative research method for </w:t>
      </w:r>
      <w:r w:rsidRPr="3A130187" w:rsidR="591203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identifying</w:t>
      </w:r>
      <w:r w:rsidRPr="3A130187" w:rsidR="591203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analysing, and interpreting patterns within data. It is especially common in fields such as psychology, sociology, and education because it provides a flexible yet systematic way to analyse textual data like interviews and </w:t>
      </w:r>
      <w:r w:rsidRPr="3A130187" w:rsidR="591203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open-ended</w:t>
      </w:r>
      <w:r w:rsidRPr="3A130187" w:rsidR="591203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survey responses (Braun and Clarke, 2006).</w:t>
      </w:r>
    </w:p>
    <w:p w:rsidR="59120343" w:rsidP="3A130187" w:rsidRDefault="59120343" w14:paraId="383C84F2" w14:textId="6C811C8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A130187" w:rsidR="591203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method focuses on recognising repeated patterns of meaning across a dataset, allowing researchers to organise and describe data in rich detail (Braun and Clarke, 2012). According to Virginia Braun and Victoria Clarke, thematic analysis is a method for </w:t>
      </w:r>
      <w:r w:rsidRPr="3A130187" w:rsidR="591203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identifying</w:t>
      </w:r>
      <w:r w:rsidRPr="3A130187" w:rsidR="591203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A130187" w:rsidR="591203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analysing</w:t>
      </w:r>
      <w:r w:rsidRPr="3A130187" w:rsidR="591203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reporting themes within data</w:t>
      </w:r>
      <w:r w:rsidRPr="3A130187" w:rsidR="7DCAF9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A130187" w:rsidR="591203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(Braun and Clarke, 2006</w:t>
      </w:r>
      <w:r w:rsidRPr="3A130187" w:rsidR="7E41D0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3A130187" w:rsidP="3A130187" w:rsidRDefault="3A130187" w14:paraId="399EC8D3" w14:textId="6C675435">
      <w:pPr>
        <w:rPr>
          <w:b w:val="1"/>
          <w:bCs w:val="1"/>
          <w:sz w:val="28"/>
          <w:szCs w:val="28"/>
        </w:rPr>
      </w:pPr>
    </w:p>
    <w:p w:rsidR="67E65291" w:rsidP="3CBC7431" w:rsidRDefault="67E65291" w14:paraId="59289B6F" w14:textId="1FDCDD3A">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4.2 Conceptual and Theoretical Framework</w:t>
      </w:r>
    </w:p>
    <w:p w:rsidR="67E65291" w:rsidP="3CBC7431" w:rsidRDefault="67E65291" w14:paraId="0E0BC1D6" w14:textId="2DEDD515">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4.2.1 Defining Safeguarding and Child Protection</w:t>
      </w:r>
    </w:p>
    <w:p w:rsidR="67E65291" w:rsidP="3CBC7431" w:rsidRDefault="67E65291" w14:paraId="31D8D448" w14:textId="45266E49">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Safeguarding is defined in </w:t>
      </w:r>
      <w:r w:rsidRPr="3CBC7431" w:rsidR="67E6529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Working Together to Safeguard Children (2018)</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protecting children from maltreatment; preventing impairment of health or development; ensuring safe and effective care; and </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taking action to enable</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 to have the best outcomes (DfE, 2018). Child protection forms part of safeguarding and refers specifically to actions taken to protect children who are suffering or likely to suffer significant harm.</w:t>
      </w:r>
    </w:p>
    <w:p w:rsidR="67E65291" w:rsidP="3CBC7431" w:rsidRDefault="67E65291" w14:paraId="17F5B2D3" w14:textId="6390E2B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Under the </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1989</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“child” is defined as a person under the age of 18. Local authorities therefore hold statutory responsibility for safeguarding all children within their </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jurisdiction</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3CBC7431" w:rsidP="3CBC7431" w:rsidRDefault="3CBC7431" w14:paraId="3E8ECEF5" w14:textId="79DD5542">
      <w:pPr>
        <w:rPr>
          <w:sz w:val="24"/>
          <w:szCs w:val="24"/>
        </w:rPr>
      </w:pPr>
    </w:p>
    <w:p w:rsidR="67E65291" w:rsidP="3CBC7431" w:rsidRDefault="67E65291" w14:paraId="764276D1" w14:textId="366A2CEF">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4.2.2 Ecological Systems Theory</w:t>
      </w:r>
    </w:p>
    <w:p w:rsidR="67E65291" w:rsidP="489789AE" w:rsidRDefault="67E65291" w14:paraId="6C696002" w14:textId="368F0323">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7FBDBE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Bronfenbrenner’s Ecological Systems Theory provides a useful lens for understanding safeguarding. Children exist within multiple systems: family microsystem, community and school mesosystem, institutional structures such as social services </w:t>
      </w:r>
      <w:r w:rsidRPr="489789AE" w:rsidR="69C9B6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489789AE" w:rsidR="06D2C9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x</w:t>
      </w:r>
      <w:r w:rsidRPr="489789AE" w:rsidR="69C9B6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osystem</w:t>
      </w:r>
      <w:r w:rsidRPr="489789AE" w:rsidR="7FBDBE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and wider societal norms and legislation (macrosystem).</w:t>
      </w:r>
      <w:r w:rsidRPr="489789AE" w:rsidR="259A88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chronosystem reflects the changes in time </w:t>
      </w:r>
      <w:r w:rsidRPr="489789AE" w:rsidR="22D14E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the changes in </w:t>
      </w:r>
      <w:r w:rsidRPr="489789AE" w:rsidR="7953D2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transforming</w:t>
      </w:r>
      <w:r w:rsidRPr="489789AE" w:rsidR="22D14E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w:t>
      </w:r>
      <w:r w:rsidRPr="489789AE" w:rsidR="375638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person's</w:t>
      </w:r>
      <w:r w:rsidRPr="489789AE" w:rsidR="22D14E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life</w:t>
      </w:r>
      <w:r w:rsidRPr="489789AE" w:rsidR="6285D5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(Bronfenbrenner, U.</w:t>
      </w:r>
      <w:r w:rsidRPr="489789AE" w:rsidR="3F3CD2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1979).</w:t>
      </w:r>
    </w:p>
    <w:p w:rsidR="67E65291" w:rsidP="3CBC7431" w:rsidRDefault="67E65291" w14:paraId="318D57E4" w14:textId="703A9E8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Safeguarding practice reflects interaction across these systems. Failures often occur not due to individual practitioner shortcomings but breakdowns between </w:t>
      </w:r>
      <w:r w:rsidRPr="3CBC7431" w:rsidR="1172F0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systems particularly</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communication between agencies.</w:t>
      </w:r>
    </w:p>
    <w:p w:rsidR="3CBC7431" w:rsidP="3CBC7431" w:rsidRDefault="3CBC7431" w14:paraId="07EEA218" w14:textId="3FFA6EE0">
      <w:pPr>
        <w:rPr>
          <w:sz w:val="24"/>
          <w:szCs w:val="24"/>
        </w:rPr>
      </w:pPr>
    </w:p>
    <w:p w:rsidR="67E65291" w:rsidP="3A130187" w:rsidRDefault="67E65291" w14:paraId="61F6383B" w14:textId="2DE74224">
      <w:pPr>
        <w:pStyle w:val="Heading3"/>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A130187" w:rsidR="447A3D7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4.2.3 Risk Society and Managerialism</w:t>
      </w:r>
    </w:p>
    <w:p w:rsidR="67E65291" w:rsidP="3A130187" w:rsidRDefault="67E65291" w14:paraId="6C59C1DD" w14:textId="045D2AD2">
      <w:pPr>
        <w:pStyle w:val="Heading3"/>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A130187" w:rsidR="1149B9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risk society theory suggests that modern institutions increasingly prioritise risk assessment and management. Safeguarding practice has become highly proceduralised, emphasising risk thresholds, audits, and performance indicators. Inspection regimes led by</w:t>
      </w: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Ofsted</w:t>
      </w: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reinforce accountability but may also encourage defensive practice</w:t>
      </w:r>
      <w:r w:rsidRPr="3A130187" w:rsidR="1FE84A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(Beck, 1992).</w:t>
      </w:r>
    </w:p>
    <w:p w:rsidR="3CBC7431" w:rsidP="3CBC7431" w:rsidRDefault="3CBC7431" w14:paraId="5DF11337" w14:textId="2A5B94B8">
      <w:pPr>
        <w:rPr>
          <w:sz w:val="24"/>
          <w:szCs w:val="24"/>
        </w:rPr>
      </w:pPr>
    </w:p>
    <w:p w:rsidR="67E65291" w:rsidP="3CBC7431" w:rsidRDefault="67E65291" w14:paraId="18E19775" w14:textId="7A2CF82B">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4.2.4 Social Justice and Structural Inequality</w:t>
      </w:r>
    </w:p>
    <w:p w:rsidR="67E65291" w:rsidP="3CBC7431" w:rsidRDefault="67E65291" w14:paraId="552C9326" w14:textId="47CCA2CA">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Research consistently </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demonstrates</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strong correlation between child protection involvement and socioeconomic deprivation (Bywaters et al., 2016). Therefore, safeguarding must also be analysed within the context of poverty, inequality, and austerity policies.</w:t>
      </w:r>
    </w:p>
    <w:p w:rsidR="3CBC7431" w:rsidP="3CBC7431" w:rsidRDefault="3CBC7431" w14:paraId="4AB8C3CC" w14:textId="40116159">
      <w:pPr>
        <w:rPr>
          <w:sz w:val="24"/>
          <w:szCs w:val="24"/>
        </w:rPr>
      </w:pPr>
    </w:p>
    <w:p w:rsidR="67E65291" w:rsidP="3CBC7431" w:rsidRDefault="67E65291" w14:paraId="7911B309" w14:textId="537FBF9B">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4.3 Theme 1: Statutory Responsibilities and Legal Framework</w:t>
      </w:r>
    </w:p>
    <w:p w:rsidR="67E65291" w:rsidP="3CBC7431" w:rsidRDefault="67E65291" w14:paraId="22828D3C" w14:textId="3716C6B7">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UK safeguarding system is underpinned by comprehensive legislation.</w:t>
      </w:r>
    </w:p>
    <w:p w:rsidR="67E65291" w:rsidP="3CBC7431" w:rsidRDefault="67E65291" w14:paraId="113D7807" w14:textId="0F55A062">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4.3.1 The Children Act 1989</w:t>
      </w:r>
    </w:p>
    <w:p w:rsidR="67E65291" w:rsidP="3CBC7431" w:rsidRDefault="67E65291" w14:paraId="701A397B" w14:textId="42D4FA31">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Children Act 1989</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establishes</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foundational principles of child welfare. Section 17 places a general duty on local authorities to safeguard and promote the welfare of children in need. Section 47 requires authorities to investigate where there is reasonable cause to suspect significant harm.</w:t>
      </w:r>
    </w:p>
    <w:p w:rsidR="67E65291" w:rsidP="3CBC7431" w:rsidRDefault="67E65291" w14:paraId="2A4CC661" w14:textId="2F1BB61B">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Act introduced the “welfare principle,” </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stating</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the child’s welfare is paramount.</w:t>
      </w:r>
    </w:p>
    <w:p w:rsidR="67E65291" w:rsidP="3CBC7431" w:rsidRDefault="67E65291" w14:paraId="5A30182A" w14:textId="6E6A4F5A">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4.3.2 The Children Act 2004</w:t>
      </w:r>
    </w:p>
    <w:p w:rsidR="67E65291" w:rsidP="406B18E1" w:rsidRDefault="67E65291" w14:paraId="2B112946" w14:textId="4CE9E6A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Following the Victoria Climbié Inquiry, t</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 </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2004</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strengthened multi-agency cooperation and </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established</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Local Safeguarding Children Boards (LSCBs), later replaced by safeguarding partnerships.</w:t>
      </w:r>
    </w:p>
    <w:p w:rsidR="67E65291" w:rsidP="3CBC7431" w:rsidRDefault="67E65291" w14:paraId="03A9AEEE" w14:textId="21C67323">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4.3.3 Working Together to Safeguard Children (2018)</w:t>
      </w:r>
    </w:p>
    <w:p w:rsidR="67E65291" w:rsidP="3CBC7431" w:rsidRDefault="67E65291" w14:paraId="7B199B4F" w14:textId="336A4AA7">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statutory guidance clarifies inter-agency responsibilities, emphasising cooperation between local authorities, police, and health services.</w:t>
      </w:r>
    </w:p>
    <w:p w:rsidR="3CBC7431" w:rsidP="3CBC7431" w:rsidRDefault="3CBC7431" w14:paraId="19134984" w14:textId="45B33BC0">
      <w:pPr>
        <w:rPr>
          <w:sz w:val="24"/>
          <w:szCs w:val="24"/>
        </w:rPr>
      </w:pPr>
    </w:p>
    <w:p w:rsidR="67E65291" w:rsidP="3CBC7431" w:rsidRDefault="67E65291" w14:paraId="18BD9C80" w14:textId="5BB51ED0">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Discussion</w:t>
      </w:r>
    </w:p>
    <w:p w:rsidR="67E65291" w:rsidP="406B18E1" w:rsidRDefault="67E65291" w14:paraId="53F89EDE" w14:textId="43DC68F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legislative framework is internationally recognised as robust and </w:t>
      </w:r>
      <w:r w:rsidRPr="406B18E1" w:rsidR="025E8F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 centred</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However, clarity in law does not automatically translate into consistency in practice. Academic research (Parton, 2014) argues that safeguarding has shifted toward investigative and forensic models, potentially overshadowing supportive family work.</w:t>
      </w:r>
    </w:p>
    <w:p w:rsidR="3CBC7431" w:rsidP="3CBC7431" w:rsidRDefault="3CBC7431" w14:paraId="138EAA92" w14:textId="01E5CEC1">
      <w:pPr>
        <w:rPr>
          <w:sz w:val="24"/>
          <w:szCs w:val="24"/>
        </w:rPr>
      </w:pPr>
    </w:p>
    <w:p w:rsidR="67E65291" w:rsidP="3A130187" w:rsidRDefault="67E65291" w14:paraId="6F1D87ED" w14:textId="67A3A082">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A130187" w:rsidR="447A3D7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4.4 Theme </w:t>
      </w:r>
      <w:r w:rsidRPr="3A130187" w:rsidR="1C96311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1</w:t>
      </w:r>
      <w:r w:rsidRPr="3A130187" w:rsidR="447A3D7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A130187" w:rsidR="7C31F7C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Effectiveness of Social Services and the Scale and Nature of Safeguarding Need.</w:t>
      </w:r>
    </w:p>
    <w:p w:rsidR="67E65291" w:rsidP="3A130187" w:rsidRDefault="67E65291" w14:paraId="7A1A8A9F" w14:textId="3127D80E">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Statistics from the </w:t>
      </w:r>
      <w:r w:rsidRPr="3A130187" w:rsidR="447A3D7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Department for Education</w:t>
      </w: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(2023) </w:t>
      </w: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w:t>
      </w: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scale of safeguarding activity in England:</w:t>
      </w:r>
    </w:p>
    <w:p w:rsidR="67E65291" w:rsidP="3CBC7431" w:rsidRDefault="67E65291" w14:paraId="4F7845B8" w14:textId="66E433DA">
      <w:pPr>
        <w:pStyle w:val="ListParagraph"/>
        <w:numPr>
          <w:ilvl w:val="0"/>
          <w:numId w:val="17"/>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Approximately 404,000 children were referred to social services.</w:t>
      </w:r>
    </w:p>
    <w:p w:rsidR="67E65291" w:rsidP="3CBC7431" w:rsidRDefault="67E65291" w14:paraId="549BDCF0" w14:textId="5846415C">
      <w:pPr>
        <w:pStyle w:val="ListParagraph"/>
        <w:numPr>
          <w:ilvl w:val="0"/>
          <w:numId w:val="17"/>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Around 50,000 children were subject to child protection plans.</w:t>
      </w:r>
    </w:p>
    <w:p w:rsidR="67E65291" w:rsidP="3CBC7431" w:rsidRDefault="67E65291" w14:paraId="6EEFF03B" w14:textId="3D81D796">
      <w:pPr>
        <w:pStyle w:val="ListParagraph"/>
        <w:numPr>
          <w:ilvl w:val="0"/>
          <w:numId w:val="17"/>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Over 80,000 children were in care.</w:t>
      </w:r>
    </w:p>
    <w:p w:rsidR="67E65291" w:rsidP="3CBC7431" w:rsidRDefault="67E65291" w14:paraId="0EE32564" w14:textId="00D2F5EA">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most common </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initial</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category of abuse recorded in child protection plans was neglect (approximately 50%), followed by emotional abuse.</w:t>
      </w:r>
    </w:p>
    <w:p w:rsidR="3CBC7431" w:rsidP="3CBC7431" w:rsidRDefault="3CBC7431" w14:paraId="3EA4AAA0" w14:textId="4888EAE4">
      <w:pPr>
        <w:rPr>
          <w:sz w:val="24"/>
          <w:szCs w:val="24"/>
        </w:rPr>
      </w:pPr>
    </w:p>
    <w:p w:rsidR="67E65291" w:rsidP="3CBC7431" w:rsidRDefault="67E65291" w14:paraId="39ADBE7A" w14:textId="511BB9A7">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Discussion</w:t>
      </w:r>
    </w:p>
    <w:p w:rsidR="67E65291" w:rsidP="3CBC7431" w:rsidRDefault="67E65291" w14:paraId="2BD56FF1" w14:textId="5D7FFBE2">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prevalence of neglect highlights structural inequalities. Neglect is often associated with poverty, housing instability, and parental mental health issues. This raises questions regarding whether social services are addressing symptoms rather than root causes.</w:t>
      </w:r>
    </w:p>
    <w:p w:rsidR="67E65291" w:rsidP="3CBC7431" w:rsidRDefault="67E65291" w14:paraId="09584119" w14:textId="75DD55FD">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increasing number of children in care suggests both rising demand and </w:t>
      </w: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possibly improved</w:t>
      </w: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identification of harm. However, critics argue that austerity-driven cuts to early intervention services have increased reliance on statutory child protection (Featherstone et al., 2018).</w:t>
      </w:r>
    </w:p>
    <w:p w:rsidR="55AE0DDF" w:rsidP="3A130187" w:rsidRDefault="55AE0DDF" w14:paraId="170D9D0E" w14:textId="2870E4ED">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A130187" w:rsidR="55AE0D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Effectiveness is strongly influenced by organisational stability. Research suggests high staff turnover undermines relationship-based practice. Social workers report caseloads exceeding recommended levels, limiting meaningful engagement.</w:t>
      </w:r>
    </w:p>
    <w:p w:rsidR="55AE0DDF" w:rsidP="3A130187" w:rsidRDefault="55AE0DDF" w14:paraId="16E18755" w14:textId="439C188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A130187" w:rsidR="55AE0D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Managerial pressures may encourage risk-averse decision-making, including unnecessary care proceedings to avoid blame.</w:t>
      </w:r>
    </w:p>
    <w:p w:rsidR="3A130187" w:rsidP="3A130187" w:rsidRDefault="3A130187" w14:paraId="195747EE" w14:textId="0AD3411F">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3CBC7431" w:rsidP="3CBC7431" w:rsidRDefault="3CBC7431" w14:paraId="76453744" w14:textId="73E4D11F">
      <w:pPr>
        <w:rPr>
          <w:sz w:val="24"/>
          <w:szCs w:val="24"/>
        </w:rPr>
      </w:pPr>
    </w:p>
    <w:p w:rsidR="67E65291" w:rsidP="3A130187" w:rsidRDefault="67E65291" w14:paraId="34B9B71D" w14:textId="34CB89F5">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A130187" w:rsidR="447A3D7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A130187" w:rsidR="447A3D7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4.5.1 Ofsted Inspection Outcomes</w:t>
      </w:r>
    </w:p>
    <w:p w:rsidR="67E65291" w:rsidP="3CBC7431" w:rsidRDefault="67E65291" w14:paraId="10EB76D8" w14:textId="21A0D7FC">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Inspection data from</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Ofsted</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reveal variability in local authority performance. While many councils are rated “Good,” a minority are rated “Inadequate,” often citing weaknesses in:</w:t>
      </w:r>
    </w:p>
    <w:p w:rsidR="67E65291" w:rsidP="3CBC7431" w:rsidRDefault="67E65291" w14:paraId="69148E0E" w14:textId="424AFF43">
      <w:pPr>
        <w:pStyle w:val="ListParagraph"/>
        <w:numPr>
          <w:ilvl w:val="0"/>
          <w:numId w:val="18"/>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Timeliness of assessments</w:t>
      </w:r>
    </w:p>
    <w:p w:rsidR="67E65291" w:rsidP="3CBC7431" w:rsidRDefault="67E65291" w14:paraId="08913543" w14:textId="53368CD6">
      <w:pPr>
        <w:pStyle w:val="ListParagraph"/>
        <w:numPr>
          <w:ilvl w:val="0"/>
          <w:numId w:val="18"/>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Quality of case recording</w:t>
      </w:r>
    </w:p>
    <w:p w:rsidR="67E65291" w:rsidP="3CBC7431" w:rsidRDefault="67E65291" w14:paraId="59BEEADA" w14:textId="093CFEAE">
      <w:pPr>
        <w:pStyle w:val="ListParagraph"/>
        <w:numPr>
          <w:ilvl w:val="0"/>
          <w:numId w:val="18"/>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Management oversight</w:t>
      </w:r>
    </w:p>
    <w:p w:rsidR="67E65291" w:rsidP="3CBC7431" w:rsidRDefault="67E65291" w14:paraId="2489061F" w14:textId="4FCCAF55">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4.5.2 Positive Practice Examples</w:t>
      </w:r>
    </w:p>
    <w:p w:rsidR="67E65291" w:rsidP="3CBC7431" w:rsidRDefault="67E65291" w14:paraId="169CCACC" w14:textId="7F5620F4">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Authorities rated “Outstanding” </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67E65291" w:rsidP="3CBC7431" w:rsidRDefault="67E65291" w14:paraId="2ECEBC0A" w14:textId="1BF90588">
      <w:pPr>
        <w:pStyle w:val="ListParagraph"/>
        <w:numPr>
          <w:ilvl w:val="0"/>
          <w:numId w:val="19"/>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Strong leadership</w:t>
      </w:r>
    </w:p>
    <w:p w:rsidR="67E65291" w:rsidP="3CBC7431" w:rsidRDefault="67E65291" w14:paraId="3007815F" w14:textId="24AF0454">
      <w:pPr>
        <w:pStyle w:val="ListParagraph"/>
        <w:numPr>
          <w:ilvl w:val="0"/>
          <w:numId w:val="19"/>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Stable workforce</w:t>
      </w:r>
    </w:p>
    <w:p w:rsidR="67E65291" w:rsidP="3CBC7431" w:rsidRDefault="67E65291" w14:paraId="14488A3B" w14:textId="13EB7C16">
      <w:pPr>
        <w:pStyle w:val="ListParagraph"/>
        <w:numPr>
          <w:ilvl w:val="0"/>
          <w:numId w:val="19"/>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Effective early help services</w:t>
      </w:r>
    </w:p>
    <w:p w:rsidR="67E65291" w:rsidP="3CBC7431" w:rsidRDefault="67E65291" w14:paraId="02576B4E" w14:textId="65A8769F">
      <w:pPr>
        <w:pStyle w:val="ListParagraph"/>
        <w:numPr>
          <w:ilvl w:val="0"/>
          <w:numId w:val="19"/>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Robust supervision</w:t>
      </w:r>
    </w:p>
    <w:p w:rsidR="67E65291" w:rsidP="3CBC7431" w:rsidRDefault="67E65291" w14:paraId="0A3D9D8C" w14:textId="6D274958">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4.5.3 Negative Case Example: Baby P</w:t>
      </w:r>
    </w:p>
    <w:p w:rsidR="67E65291" w:rsidP="3CBC7431" w:rsidRDefault="67E65291" w14:paraId="79574497" w14:textId="0CB86932">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death of Peter Connelly (“Baby P”) in 2007 exposed serious failures in multi-agency communication and risk assessment. The case intensified public scrutiny and led to reforms in inspection frameworks.</w:t>
      </w:r>
    </w:p>
    <w:p w:rsidR="3CBC7431" w:rsidP="3A130187" w:rsidRDefault="3CBC7431" w14:paraId="1E9E3142" w14:textId="1FEE9452">
      <w:pPr>
        <w:pStyle w:val="Normal"/>
        <w:rPr>
          <w:sz w:val="24"/>
          <w:szCs w:val="24"/>
        </w:rPr>
      </w:pPr>
    </w:p>
    <w:p w:rsidR="67E65291" w:rsidP="3A130187" w:rsidRDefault="67E65291" w14:paraId="539A89D3" w14:textId="19AC7A27">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A130187" w:rsidR="447A3D7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4.6 Theme </w:t>
      </w:r>
      <w:r w:rsidRPr="3A130187" w:rsidR="640800C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w:t>
      </w:r>
      <w:r w:rsidRPr="3A130187" w:rsidR="447A3D7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Multi-Agency Collaboration</w:t>
      </w:r>
      <w:r w:rsidRPr="3A130187" w:rsidR="12265A4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and Early Intervention /Prevention.</w:t>
      </w:r>
    </w:p>
    <w:p w:rsidR="67E65291" w:rsidP="3CBC7431" w:rsidRDefault="67E65291" w14:paraId="35DD9897" w14:textId="2039D033">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Safeguarding relies on cooperation between local authorities, police, health services, schools, and voluntary organisations.</w:t>
      </w:r>
    </w:p>
    <w:p w:rsidR="67E65291" w:rsidP="3A130187" w:rsidRDefault="67E65291" w14:paraId="79FC12EF" w14:textId="0FC892F0">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A130187" w:rsidR="447A3D7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Positive Findings</w:t>
      </w:r>
      <w:r w:rsidRPr="3A130187" w:rsidR="67BDA30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and Discussion</w:t>
      </w:r>
    </w:p>
    <w:p w:rsidR="67E65291" w:rsidP="3A130187" w:rsidRDefault="67E65291" w14:paraId="4887AAA0" w14:textId="29F02107">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Multi</w:t>
      </w:r>
      <w:r w:rsidRPr="3A130187" w:rsidR="541E08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Agency Safeguarding Hubs improve information sharing and enable earlier identification of risk.</w:t>
      </w:r>
      <w:r w:rsidRPr="3A130187" w:rsidR="44BA16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Bronfenbrenner’s model emphasises interconnected systems. However, professional silos, data protection concerns, and differing organisational cultures hinder seamless collaboration.</w:t>
      </w:r>
    </w:p>
    <w:p w:rsidR="67E65291" w:rsidP="3A130187" w:rsidRDefault="67E65291" w14:paraId="45381EB0" w14:textId="3A755AAB">
      <w:pPr>
        <w:pStyle w:val="Normal"/>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A130187" w:rsidR="44BA16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Early intervention is designed to support families before harm escalates.  Acc</w:t>
      </w:r>
      <w:r w:rsidRPr="3A130187" w:rsidR="577AE2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ording to </w:t>
      </w:r>
      <w:r w:rsidRPr="3A130187" w:rsidR="44BA16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Allen </w:t>
      </w:r>
      <w:r w:rsidRPr="3A130187" w:rsidR="32DD20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w:t>
      </w:r>
      <w:r w:rsidRPr="3A130187" w:rsidR="32DD20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A130187" w:rsidR="44BA16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argues</w:t>
      </w:r>
      <w:r w:rsidRPr="3A130187" w:rsidR="44BA16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early help reduces long-term social and economic costs</w:t>
      </w:r>
      <w:r w:rsidRPr="3A130187" w:rsidR="0BDAE9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(Allen, 2011).</w:t>
      </w:r>
      <w:r w:rsidRPr="3A130187" w:rsidR="44BA16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A130187" w:rsidR="44BA16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 since 2010, local authority funding reductions have significantly reduced youth services and preventative programmes.</w:t>
      </w:r>
    </w:p>
    <w:p w:rsidR="67E65291" w:rsidP="3A130187" w:rsidRDefault="67E65291" w14:paraId="754B04A7" w14:textId="77A2ACA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7E65291" w:rsidP="3CBC7431" w:rsidRDefault="67E65291" w14:paraId="17372063" w14:textId="261D0A60">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Ongoing Challenges</w:t>
      </w:r>
    </w:p>
    <w:p w:rsidR="67E65291" w:rsidP="3CBC7431" w:rsidRDefault="67E65291" w14:paraId="58205FE2" w14:textId="0F8B3A71">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Serious Case Reviews </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frequently</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communication breakdown as a key factor in safeguarding failures.</w:t>
      </w:r>
    </w:p>
    <w:p w:rsidR="3CBC7431" w:rsidP="3CBC7431" w:rsidRDefault="3CBC7431" w14:paraId="359A6226" w14:textId="4D5778CF">
      <w:pPr>
        <w:rPr>
          <w:sz w:val="24"/>
          <w:szCs w:val="24"/>
        </w:rPr>
      </w:pPr>
    </w:p>
    <w:p w:rsidR="67E65291" w:rsidP="3A130187" w:rsidRDefault="67E65291" w14:paraId="423C8DFC" w14:textId="30CEEEAA">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67E65291" w:rsidP="3CBC7431" w:rsidRDefault="67E65291" w14:paraId="7D8620B2" w14:textId="528F768C">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Implications</w:t>
      </w:r>
    </w:p>
    <w:p w:rsidR="67E65291" w:rsidP="3CBC7431" w:rsidRDefault="67E65291" w14:paraId="0550CB56" w14:textId="74079BBA">
      <w:pPr>
        <w:pStyle w:val="ListParagraph"/>
        <w:numPr>
          <w:ilvl w:val="0"/>
          <w:numId w:val="20"/>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Greater pressure on statutory child protection</w:t>
      </w:r>
    </w:p>
    <w:p w:rsidR="67E65291" w:rsidP="3CBC7431" w:rsidRDefault="67E65291" w14:paraId="32AE35AD" w14:textId="3566F241">
      <w:pPr>
        <w:pStyle w:val="ListParagraph"/>
        <w:numPr>
          <w:ilvl w:val="0"/>
          <w:numId w:val="20"/>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Escalation of family crises</w:t>
      </w:r>
    </w:p>
    <w:p w:rsidR="67E65291" w:rsidP="3CBC7431" w:rsidRDefault="67E65291" w14:paraId="15D72147" w14:textId="6E95E16F">
      <w:pPr>
        <w:pStyle w:val="ListParagraph"/>
        <w:numPr>
          <w:ilvl w:val="0"/>
          <w:numId w:val="20"/>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Long-term financial cost to the state</w:t>
      </w:r>
    </w:p>
    <w:p w:rsidR="3CBC7431" w:rsidP="3CBC7431" w:rsidRDefault="3CBC7431" w14:paraId="3827C8A0" w14:textId="036DE86D">
      <w:pPr>
        <w:rPr>
          <w:sz w:val="24"/>
          <w:szCs w:val="24"/>
        </w:rPr>
      </w:pPr>
    </w:p>
    <w:p w:rsidR="67E65291" w:rsidP="3A130187" w:rsidRDefault="67E65291" w14:paraId="6DBF03C4" w14:textId="6788240A">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A130187" w:rsidR="447A3D7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4.8 Theme </w:t>
      </w:r>
      <w:r w:rsidRPr="3A130187" w:rsidR="291B7A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3</w:t>
      </w:r>
      <w:r w:rsidRPr="3A130187" w:rsidR="447A3D7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Workforce Pressures </w:t>
      </w:r>
      <w:r w:rsidRPr="3A130187" w:rsidR="79126AD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t>
      </w:r>
      <w:r w:rsidRPr="3A130187" w:rsidR="447A3D7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Organisational Constraints</w:t>
      </w:r>
      <w:r w:rsidRPr="3A130187" w:rsidR="1342252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and safeguarding in contemporary context.</w:t>
      </w:r>
    </w:p>
    <w:p w:rsidR="67E65291" w:rsidP="3CBC7431" w:rsidRDefault="67E65291" w14:paraId="24873526" w14:textId="19D00A2B">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Social work vacancies and reliance on agency staff are persistent issues.</w:t>
      </w:r>
    </w:p>
    <w:p w:rsidR="67E65291" w:rsidP="3CBC7431" w:rsidRDefault="67E65291" w14:paraId="195A3CA2" w14:textId="2B1CB73C">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High caseloads contribute to burnout, stress, and reduced quality of engagement. Workforce instability negatively affects continuity of care for young people.</w:t>
      </w:r>
    </w:p>
    <w:p w:rsidR="67E65291" w:rsidP="3A130187" w:rsidRDefault="67E65291" w14:paraId="2F55E57B" w14:textId="4F89A0BA">
      <w:pPr>
        <w:pStyle w:val="Heading3"/>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A130187" w:rsidR="447A3D7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Discussion</w:t>
      </w:r>
    </w:p>
    <w:p w:rsidR="67E65291" w:rsidP="3CBC7431" w:rsidRDefault="67E65291" w14:paraId="54495674" w14:textId="19B382AF">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A130187" w:rsidR="447A3D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Workforce challenges undermine relationship-based practice, which is central to effective safeguarding. Positive outcomes are associated with stable, well-supported teams and reflective supervision structures.</w:t>
      </w:r>
    </w:p>
    <w:p w:rsidR="67E65291" w:rsidP="3CBC7431" w:rsidRDefault="67E65291" w14:paraId="01D5C657" w14:textId="578FEE44">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Emerging safeguarding issues include:</w:t>
      </w:r>
    </w:p>
    <w:p w:rsidR="67E65291" w:rsidP="3CBC7431" w:rsidRDefault="67E65291" w14:paraId="5F72C642" w14:textId="68194DB4">
      <w:pPr>
        <w:pStyle w:val="ListParagraph"/>
        <w:numPr>
          <w:ilvl w:val="0"/>
          <w:numId w:val="2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Online grooming and exploitation</w:t>
      </w:r>
    </w:p>
    <w:p w:rsidR="67E65291" w:rsidP="3CBC7431" w:rsidRDefault="67E65291" w14:paraId="42AB979C" w14:textId="0F67DD8C">
      <w:pPr>
        <w:pStyle w:val="ListParagraph"/>
        <w:numPr>
          <w:ilvl w:val="0"/>
          <w:numId w:val="2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County lines criminal exploitation</w:t>
      </w:r>
    </w:p>
    <w:p w:rsidR="67E65291" w:rsidP="3CBC7431" w:rsidRDefault="67E65291" w14:paraId="4A2A38BD" w14:textId="5612C111">
      <w:pPr>
        <w:pStyle w:val="ListParagraph"/>
        <w:numPr>
          <w:ilvl w:val="0"/>
          <w:numId w:val="2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Mental health crises</w:t>
      </w:r>
    </w:p>
    <w:p w:rsidR="67E65291" w:rsidP="3CBC7431" w:rsidRDefault="67E65291" w14:paraId="02107F12" w14:textId="49AB552D">
      <w:pPr>
        <w:pStyle w:val="ListParagraph"/>
        <w:numPr>
          <w:ilvl w:val="0"/>
          <w:numId w:val="21"/>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Unaccompanied asylum-seeking children</w:t>
      </w:r>
    </w:p>
    <w:p w:rsidR="67E65291" w:rsidP="3CBC7431" w:rsidRDefault="67E65291" w14:paraId="344D9C6E" w14:textId="4E2F668F">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Social services increasingly collaborate with police and digital safeguarding units to address evolving risks.</w:t>
      </w:r>
    </w:p>
    <w:p w:rsidR="3CBC7431" w:rsidP="3CBC7431" w:rsidRDefault="3CBC7431" w14:paraId="765AC9FC" w14:textId="3D965DEB">
      <w:pPr>
        <w:rPr>
          <w:sz w:val="24"/>
          <w:szCs w:val="24"/>
        </w:rPr>
      </w:pPr>
    </w:p>
    <w:p w:rsidR="67E65291" w:rsidP="3CBC7431" w:rsidRDefault="67E65291" w14:paraId="27561C32" w14:textId="37C4A036">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4.10 Ethical and Human Rights Considerations</w:t>
      </w:r>
    </w:p>
    <w:p w:rsidR="67E65291" w:rsidP="3CBC7431" w:rsidRDefault="67E65291" w14:paraId="7881B00B" w14:textId="75B608C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Safeguarding involves balancing parental rights (Article 8, European Convention on Human Rights) with the child’s right to protection.</w:t>
      </w:r>
    </w:p>
    <w:p w:rsidR="67E65291" w:rsidP="3CBC7431" w:rsidRDefault="67E65291" w14:paraId="1C2D7A95" w14:textId="42E4B10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Critics argue that surveillance and intervention disproportionately affect deprived communities, raising concerns about over-intervention and social control.</w:t>
      </w:r>
    </w:p>
    <w:p w:rsidR="3CBC7431" w:rsidP="3CBC7431" w:rsidRDefault="3CBC7431" w14:paraId="41C8862C" w14:textId="013E7F04">
      <w:pPr>
        <w:rPr>
          <w:sz w:val="24"/>
          <w:szCs w:val="24"/>
        </w:rPr>
      </w:pPr>
    </w:p>
    <w:p w:rsidR="67E65291" w:rsidP="3CBC7431" w:rsidRDefault="67E65291" w14:paraId="440243A0" w14:textId="3BC446A7">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4.11 Implications for Policy and Practice</w:t>
      </w:r>
    </w:p>
    <w:p w:rsidR="67E65291" w:rsidP="3CBC7431" w:rsidRDefault="67E65291" w14:paraId="7DB8FF49" w14:textId="0E7A50BC">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Policy Implications</w:t>
      </w:r>
    </w:p>
    <w:p w:rsidR="67E65291" w:rsidP="3CBC7431" w:rsidRDefault="67E65291" w14:paraId="43CC5355" w14:textId="09E680A3">
      <w:pPr>
        <w:pStyle w:val="ListParagraph"/>
        <w:numPr>
          <w:ilvl w:val="0"/>
          <w:numId w:val="2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Increased funding for early help</w:t>
      </w:r>
    </w:p>
    <w:p w:rsidR="67E65291" w:rsidP="3CBC7431" w:rsidRDefault="67E65291" w14:paraId="6C4E0508" w14:textId="0A662B13">
      <w:pPr>
        <w:pStyle w:val="ListParagraph"/>
        <w:numPr>
          <w:ilvl w:val="0"/>
          <w:numId w:val="2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Workforce recruitment and retention strategies</w:t>
      </w:r>
    </w:p>
    <w:p w:rsidR="67E65291" w:rsidP="3CBC7431" w:rsidRDefault="67E65291" w14:paraId="629649BF" w14:textId="1CB9963A">
      <w:pPr>
        <w:pStyle w:val="ListParagraph"/>
        <w:numPr>
          <w:ilvl w:val="0"/>
          <w:numId w:val="22"/>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Strengthened inter-agency data systems</w:t>
      </w:r>
    </w:p>
    <w:p w:rsidR="67E65291" w:rsidP="3CBC7431" w:rsidRDefault="67E65291" w14:paraId="230ADBD5" w14:textId="50354654">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Practice Implications</w:t>
      </w:r>
    </w:p>
    <w:p w:rsidR="67E65291" w:rsidP="3CBC7431" w:rsidRDefault="67E65291" w14:paraId="4507A963" w14:textId="670959B6">
      <w:pPr>
        <w:pStyle w:val="ListParagraph"/>
        <w:numPr>
          <w:ilvl w:val="0"/>
          <w:numId w:val="2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Emphasis on relationship-based practice</w:t>
      </w:r>
    </w:p>
    <w:p w:rsidR="67E65291" w:rsidP="3CBC7431" w:rsidRDefault="67E65291" w14:paraId="2EE1386E" w14:textId="6DD5C763">
      <w:pPr>
        <w:pStyle w:val="ListParagraph"/>
        <w:numPr>
          <w:ilvl w:val="0"/>
          <w:numId w:val="2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Trauma-informed approaches</w:t>
      </w:r>
    </w:p>
    <w:p w:rsidR="67E65291" w:rsidP="3CBC7431" w:rsidRDefault="67E65291" w14:paraId="569D299A" w14:textId="05080F76">
      <w:pPr>
        <w:pStyle w:val="ListParagraph"/>
        <w:numPr>
          <w:ilvl w:val="0"/>
          <w:numId w:val="23"/>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Enhanced professional curiosity</w:t>
      </w:r>
    </w:p>
    <w:p w:rsidR="3CBC7431" w:rsidP="3CBC7431" w:rsidRDefault="3CBC7431" w14:paraId="63A286F5" w14:textId="2CA1BC25">
      <w:pPr>
        <w:rPr>
          <w:sz w:val="24"/>
          <w:szCs w:val="24"/>
        </w:rPr>
      </w:pPr>
    </w:p>
    <w:p w:rsidR="67E65291" w:rsidP="3CBC7431" w:rsidRDefault="67E65291" w14:paraId="4369340F" w14:textId="50D61D41">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4.12 Critical Evaluation</w:t>
      </w:r>
    </w:p>
    <w:p w:rsidR="67E65291" w:rsidP="3CBC7431" w:rsidRDefault="67E65291" w14:paraId="50A5F918" w14:textId="073AA893">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UK safeguarding framework provides clear statutory duties and strong accountability mechanisms. However:</w:t>
      </w:r>
    </w:p>
    <w:p w:rsidR="67E65291" w:rsidP="3CBC7431" w:rsidRDefault="67E65291" w14:paraId="1453EF25" w14:textId="646221E1">
      <w:pPr>
        <w:pStyle w:val="ListParagraph"/>
        <w:numPr>
          <w:ilvl w:val="0"/>
          <w:numId w:val="2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Socioeconomic inequality drives demand</w:t>
      </w:r>
    </w:p>
    <w:p w:rsidR="67E65291" w:rsidP="3CBC7431" w:rsidRDefault="67E65291" w14:paraId="7E5BEFDB" w14:textId="7FBD5FE9">
      <w:pPr>
        <w:pStyle w:val="ListParagraph"/>
        <w:numPr>
          <w:ilvl w:val="0"/>
          <w:numId w:val="2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Austerity undermines prevention</w:t>
      </w:r>
    </w:p>
    <w:p w:rsidR="67E65291" w:rsidP="3CBC7431" w:rsidRDefault="67E65291" w14:paraId="60D7D9F3" w14:textId="54EA90EA">
      <w:pPr>
        <w:pStyle w:val="ListParagraph"/>
        <w:numPr>
          <w:ilvl w:val="0"/>
          <w:numId w:val="24"/>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Organisational pressures affect practice quality</w:t>
      </w:r>
    </w:p>
    <w:p w:rsidR="67E65291" w:rsidP="3CBC7431" w:rsidRDefault="67E65291" w14:paraId="4778F2A2" w14:textId="74883225">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Safeguarding is effective in many cases, yet high-profile failures reveal systemic weaknesses.</w:t>
      </w:r>
    </w:p>
    <w:p w:rsidR="3CBC7431" w:rsidP="3CBC7431" w:rsidRDefault="3CBC7431" w14:paraId="5FD41A1A" w14:textId="07A51744">
      <w:pPr>
        <w:rPr>
          <w:sz w:val="24"/>
          <w:szCs w:val="24"/>
        </w:rPr>
      </w:pPr>
    </w:p>
    <w:p w:rsidR="67E65291" w:rsidP="3CBC7431" w:rsidRDefault="67E65291" w14:paraId="07FFEB1D" w14:textId="45C7991F">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4.13 Conclusion</w:t>
      </w:r>
    </w:p>
    <w:p w:rsidR="67E65291" w:rsidP="406B18E1" w:rsidRDefault="67E65291" w14:paraId="2B476739" w14:textId="6C664E9F">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chapter has critically assessed the role of social services in safeguarding young people in the UK. The legal framework </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established</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the </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1989</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 strengthened by the</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2004</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supported by </w:t>
      </w:r>
      <w:r w:rsidRPr="406B18E1" w:rsidR="1B99F53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Working Together to Safeguard Children (2018)</w:t>
      </w:r>
      <w:r w:rsidRPr="406B18E1" w:rsidR="1B99F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provides a comprehensive statutory foundation.</w:t>
      </w:r>
    </w:p>
    <w:p w:rsidR="67E65291" w:rsidP="3CBC7431" w:rsidRDefault="67E65291" w14:paraId="0E59B8E0" w14:textId="481506F2">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Findings </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indicate</w:t>
      </w: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social services play a central and indispensable role in child protection. However, effectiveness is influenced by resource allocation, workforce stability, multi-agency collaboration, and broader structural inequalities.</w:t>
      </w:r>
    </w:p>
    <w:p w:rsidR="67E65291" w:rsidP="3CBC7431" w:rsidRDefault="67E65291" w14:paraId="15D0C523" w14:textId="3DDF3051">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7E652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Safeguarding is not solely a professional responsibility but a systemic one. For sustainable improvement, policy reform must address poverty, early intervention funding, and workforce wellbeing alongside statutory compliance.</w:t>
      </w:r>
    </w:p>
    <w:p w:rsidR="68556844" w:rsidP="3CBC7431" w:rsidRDefault="68556844" w14:paraId="2BF7962F" w14:textId="26997D79">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5.1 Introduction and Purpose of the Conclusion</w:t>
      </w:r>
    </w:p>
    <w:p w:rsidR="68556844" w:rsidP="3CBC7431" w:rsidRDefault="68556844" w14:paraId="11F54B20" w14:textId="3ACF298D">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concluding chapter synthesises the key findings from the research on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Assessing the Role of Social Services in Safeguarding Young People in the United Kingdom</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purpose of this conclusion is fourfold:</w:t>
      </w:r>
    </w:p>
    <w:p w:rsidR="68556844" w:rsidP="3CBC7431" w:rsidRDefault="68556844" w14:paraId="6C863FE6" w14:textId="01BA9D54">
      <w:pPr>
        <w:pStyle w:val="ListParagraph"/>
        <w:numPr>
          <w:ilvl w:val="0"/>
          <w:numId w:val="2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summarise the main findings in relation to the research questions.</w:t>
      </w:r>
    </w:p>
    <w:p w:rsidR="68556844" w:rsidP="3CBC7431" w:rsidRDefault="68556844" w14:paraId="23F49ABC" w14:textId="70ADB35D">
      <w:pPr>
        <w:pStyle w:val="ListParagraph"/>
        <w:numPr>
          <w:ilvl w:val="0"/>
          <w:numId w:val="2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reflect on how safeguarding practice has evolved historically.</w:t>
      </w:r>
    </w:p>
    <w:p w:rsidR="68556844" w:rsidP="3CBC7431" w:rsidRDefault="68556844" w14:paraId="79C8794B" w14:textId="434A9C44">
      <w:pPr>
        <w:pStyle w:val="ListParagraph"/>
        <w:numPr>
          <w:ilvl w:val="0"/>
          <w:numId w:val="2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critically evaluate ongoing challenges, barriers, and limitations.</w:t>
      </w:r>
    </w:p>
    <w:p w:rsidR="68556844" w:rsidP="3CBC7431" w:rsidRDefault="68556844" w14:paraId="060401DE" w14:textId="476E9A3E">
      <w:pPr>
        <w:pStyle w:val="ListParagraph"/>
        <w:numPr>
          <w:ilvl w:val="0"/>
          <w:numId w:val="25"/>
        </w:num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propose evidence</w:t>
      </w:r>
      <w:r w:rsidRPr="3CBC7431" w:rsidR="6C3E2A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informed recommendations for future policy and professional practice.</w:t>
      </w:r>
    </w:p>
    <w:p w:rsidR="68556844" w:rsidP="3CBC7431" w:rsidRDefault="68556844" w14:paraId="182B8960" w14:textId="2F110427">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study has examined the statutory, organisational, and social dimensions of safeguarding, drawing upon legislation, policy guidance, statistical data, and academic literature. Central frameworks discussed include the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1989</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2004</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Working Together to Safeguard Children</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alongside inspection evidence from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Ofsted</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national data from the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Department for Education</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3CBC7431" w:rsidP="3CBC7431" w:rsidRDefault="3CBC7431" w14:paraId="5C6C032F" w14:textId="0B1E0555">
      <w:pPr>
        <w:rPr>
          <w:sz w:val="24"/>
          <w:szCs w:val="24"/>
        </w:rPr>
      </w:pPr>
    </w:p>
    <w:p w:rsidR="68556844" w:rsidP="3CBC7431" w:rsidRDefault="68556844" w14:paraId="35BB7B8C" w14:textId="66D7E2BA">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5.2 Summary of Key Findings</w:t>
      </w:r>
    </w:p>
    <w:p w:rsidR="68556844" w:rsidP="3CBC7431" w:rsidRDefault="68556844" w14:paraId="45F50915" w14:textId="5C81AF58">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5.2.1 Central Role of Social Services</w:t>
      </w:r>
    </w:p>
    <w:p w:rsidR="68556844" w:rsidP="489789AE" w:rsidRDefault="68556844" w14:paraId="587CE3BB" w14:textId="4E2D0344">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research </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demonstrates</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social services occupy a pivotal statutory role in safeguarding young people. Under the</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1989</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local authorities are legally required to safeguard and promote the welfare of c</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hildren in need </w:t>
      </w:r>
      <w:r w:rsidRPr="489789AE" w:rsidR="5487A8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s</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ection 17 and investigate suspected significant harm </w:t>
      </w:r>
      <w:r w:rsidRPr="489789AE" w:rsidR="54A745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ection 47.</w:t>
      </w:r>
    </w:p>
    <w:p w:rsidR="68556844" w:rsidP="406B18E1" w:rsidRDefault="68556844" w14:paraId="33622356" w14:textId="45889273">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06B18E1" w:rsidR="2D242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findings confirm that social services </w:t>
      </w:r>
      <w:r w:rsidRPr="406B18E1" w:rsidR="2D242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are responsible for</w:t>
      </w:r>
      <w:r w:rsidRPr="406B18E1" w:rsidR="5CD147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w:t>
      </w:r>
      <w:r w:rsidRPr="406B18E1" w:rsidR="2D242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ssessing risk and need</w:t>
      </w:r>
      <w:r w:rsidRPr="406B18E1" w:rsidR="760F2C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also c</w:t>
      </w:r>
      <w:r w:rsidRPr="406B18E1" w:rsidR="2D242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oordinating multi</w:t>
      </w:r>
      <w:r w:rsidRPr="406B18E1" w:rsidR="228CDE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06B18E1" w:rsidR="2D242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agency interventions</w:t>
      </w:r>
      <w:r w:rsidRPr="406B18E1" w:rsidR="745686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06B18E1" w:rsidR="2D242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Initiating child protection plans</w:t>
      </w:r>
      <w:r w:rsidRPr="406B18E1" w:rsidR="7E2EF0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help safeguard children and young people. </w:t>
      </w:r>
      <w:r w:rsidRPr="406B18E1" w:rsidR="2D242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Undertaking care proceedings where necessary</w:t>
      </w:r>
      <w:r w:rsidRPr="406B18E1" w:rsidR="7ADCA9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get the best possible outcome for children. </w:t>
      </w:r>
      <w:r w:rsidRPr="406B18E1" w:rsidR="2D2425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Providing early help and preventative services</w:t>
      </w:r>
      <w:r w:rsidRPr="406B18E1" w:rsidR="29C528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support families.</w:t>
      </w:r>
    </w:p>
    <w:p w:rsidR="68556844" w:rsidP="3CBC7431" w:rsidRDefault="68556844" w14:paraId="6B1876C4" w14:textId="7B041524">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Statistical evidence from the </w:t>
      </w:r>
      <w:r w:rsidRPr="3CBC7431" w:rsidR="010FA5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Department of Education</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(2023) shows the scale of intervention, with hundreds of thousands of referrals annually and over 80,000 children in care in England. This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indicates</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both the breadth of safeguarding need and the substantial responsibilities placed upon local authorities.</w:t>
      </w:r>
    </w:p>
    <w:p w:rsidR="3CBC7431" w:rsidP="3CBC7431" w:rsidRDefault="3CBC7431" w14:paraId="37B1B49F" w14:textId="4A71D02C">
      <w:pPr>
        <w:rPr>
          <w:sz w:val="24"/>
          <w:szCs w:val="24"/>
        </w:rPr>
      </w:pPr>
    </w:p>
    <w:p w:rsidR="68556844" w:rsidP="3CBC7431" w:rsidRDefault="68556844" w14:paraId="2B430E24" w14:textId="1DDE6742">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5.2.2 Effectiveness and Variation</w:t>
      </w:r>
    </w:p>
    <w:p w:rsidR="68556844" w:rsidP="3CBC7431" w:rsidRDefault="68556844" w14:paraId="33FE4891" w14:textId="3E0E66FF">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While the legislative framework is comprehensive, effectiveness varies significantly between local authorities. Inspection outcomes from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Ofsted</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some councils achieve “Outstanding” ratings, characterised by strong leadership, stable workforce structures, and effective early intervention systems.</w:t>
      </w:r>
    </w:p>
    <w:p w:rsidR="68556844" w:rsidP="3A130187" w:rsidRDefault="68556844" w14:paraId="6FA2C55F" w14:textId="33AF8D81">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A130187" w:rsidR="74D8D1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Conversely, inadequate authorities often </w:t>
      </w:r>
      <w:r w:rsidRPr="3A130187" w:rsidR="74D8D1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exhibit</w:t>
      </w:r>
      <w:r w:rsidRPr="3A130187" w:rsidR="699736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high staff </w:t>
      </w:r>
      <w:r w:rsidRPr="3A130187" w:rsidR="560E46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turnover</w:t>
      </w:r>
      <w:r w:rsidRPr="3A130187" w:rsidR="699736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a delayed assessment period. </w:t>
      </w:r>
      <w:r w:rsidRPr="3A130187" w:rsidR="7DDBAF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happens to be a significant </w:t>
      </w:r>
      <w:r w:rsidRPr="3A130187" w:rsidR="705502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number</w:t>
      </w:r>
      <w:r w:rsidRPr="3A130187" w:rsidR="7DDBAF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p</w:t>
      </w:r>
      <w:r w:rsidRPr="3A130187" w:rsidR="74D8D1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oor inter</w:t>
      </w:r>
      <w:r w:rsidRPr="3A130187" w:rsidR="22397A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A130187" w:rsidR="74D8D1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agency communication</w:t>
      </w:r>
      <w:r w:rsidRPr="3A130187" w:rsidR="7790BE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effects many services to give the best quality of care</w:t>
      </w:r>
      <w:r w:rsidRPr="3A130187" w:rsidR="33B6A7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A130187" w:rsidR="74D8D1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Inconsistent supervision</w:t>
      </w:r>
      <w:r w:rsidRPr="3A130187" w:rsidR="7826A9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can lead to high burn out rates for employers.</w:t>
      </w:r>
    </w:p>
    <w:p w:rsidR="68556844" w:rsidP="3CBC7431" w:rsidRDefault="68556844" w14:paraId="36764BB3" w14:textId="1ADF95F5">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variation highlights that safeguarding outcomes are shaped not only by legislation but also by organisational capacity and resource allocation.</w:t>
      </w:r>
    </w:p>
    <w:p w:rsidR="3CBC7431" w:rsidP="3CBC7431" w:rsidRDefault="3CBC7431" w14:paraId="6A4E1D70" w14:textId="0D2DDA6C">
      <w:pPr>
        <w:rPr>
          <w:sz w:val="24"/>
          <w:szCs w:val="24"/>
        </w:rPr>
      </w:pPr>
    </w:p>
    <w:p w:rsidR="68556844" w:rsidP="406B18E1" w:rsidRDefault="68556844" w14:paraId="00C00947" w14:textId="6B347526">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06B18E1" w:rsidR="13DD4FB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5.2 3</w:t>
      </w:r>
      <w:r w:rsidRPr="406B18E1" w:rsidR="2D24254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Structural Inequalities and Poverty</w:t>
      </w:r>
    </w:p>
    <w:p w:rsidR="68556844" w:rsidP="3CBC7431" w:rsidRDefault="68556844" w14:paraId="3F5C9B32" w14:textId="381E6F9F">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key finding of this study is the strong association between socioeconomic deprivation and child protection involvement (Bywaters et al., 2016). Neglect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remains</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most common category of abuse, often linked to poverty, housing instability, and parental mental health challenges.</w:t>
      </w:r>
    </w:p>
    <w:p w:rsidR="68556844" w:rsidP="3CBC7431" w:rsidRDefault="68556844" w14:paraId="2FE3A321" w14:textId="4AFAE215">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raises critical questions about whether safeguarding systems are responding to structural disadvantage rather than solely parental failings. The findings suggest that safeguarding cannot be separated from broader social policy contexts.</w:t>
      </w:r>
    </w:p>
    <w:p w:rsidR="3CBC7431" w:rsidP="3CBC7431" w:rsidRDefault="3CBC7431" w14:paraId="1D97DA74" w14:textId="119BBB82">
      <w:pPr>
        <w:rPr>
          <w:sz w:val="24"/>
          <w:szCs w:val="24"/>
        </w:rPr>
      </w:pPr>
    </w:p>
    <w:p w:rsidR="68556844" w:rsidP="3CBC7431" w:rsidRDefault="68556844" w14:paraId="5A3C250D" w14:textId="61BBDED0">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5.2.</w:t>
      </w:r>
      <w:r w:rsidRPr="3CBC7431" w:rsidR="5F46F74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 Multi</w:t>
      </w:r>
      <w:r w:rsidRPr="3CBC7431" w:rsidR="4D80BC0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Agency Working</w:t>
      </w:r>
    </w:p>
    <w:p w:rsidR="68556844" w:rsidP="3CBC7431" w:rsidRDefault="68556844" w14:paraId="0B0B1FB7" w14:textId="6AE160BA">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introduction of statutory partnerships under the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2004</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reinforced through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Working Together to Safeguard Children (2018)</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refl</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ects recognition that safeguarding is a shared responsibility.</w:t>
      </w:r>
    </w:p>
    <w:p w:rsidR="68556844" w:rsidP="3CBC7431" w:rsidRDefault="68556844" w14:paraId="511F262F" w14:textId="47E1674A">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Evidence shows that Multi</w:t>
      </w:r>
      <w:r w:rsidRPr="3CBC7431" w:rsidR="43434A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Agency Safeguarding Hubs have improved information sharing. However, serious case reviews continue to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communication breakdown as a recurring theme in safeguarding failures.</w:t>
      </w:r>
    </w:p>
    <w:p w:rsidR="3CBC7431" w:rsidP="3CBC7431" w:rsidRDefault="3CBC7431" w14:paraId="6CA1F5BB" w14:textId="1DA93514">
      <w:pPr>
        <w:rPr>
          <w:sz w:val="24"/>
          <w:szCs w:val="24"/>
        </w:rPr>
      </w:pPr>
    </w:p>
    <w:p w:rsidR="68556844" w:rsidP="3CBC7431" w:rsidRDefault="68556844" w14:paraId="7EE128CA" w14:textId="7A25D25A">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5.3 Evolution of Safeguarding Practice</w:t>
      </w:r>
    </w:p>
    <w:p w:rsidR="68556844" w:rsidP="3CBC7431" w:rsidRDefault="68556844" w14:paraId="03DC7F32" w14:textId="4A9568FA">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Safeguarding practice has evolved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considerably over</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past four decades.</w:t>
      </w:r>
    </w:p>
    <w:p w:rsidR="68556844" w:rsidP="3CBC7431" w:rsidRDefault="68556844" w14:paraId="69067E2B" w14:textId="4D57695E">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5.3.</w:t>
      </w:r>
      <w:r w:rsidRPr="3CBC7431" w:rsidR="3D1369E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1 From Welfare to Risk Management</w:t>
      </w:r>
    </w:p>
    <w:p w:rsidR="68556844" w:rsidP="3CBC7431" w:rsidRDefault="68556844" w14:paraId="1B67867E" w14:textId="0205B48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Historically, child protection in the UK focused primarily on family support and welfare provision. The introduction of the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1989</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formalised the “welfare principle,” emphasising the child’s best interests.</w:t>
      </w:r>
    </w:p>
    <w:p w:rsidR="68556844" w:rsidP="3CBC7431" w:rsidRDefault="68556844" w14:paraId="743D195B" w14:textId="092A741B">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following high-profile child deaths such as Victoria Climbié and Peter Connelly (Baby P), safeguarding shifted towards risk management, accountability, and inspection. The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2004</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strengthened multi-agency accountability mechanisms and introduced structural reforms.</w:t>
      </w:r>
    </w:p>
    <w:p w:rsidR="68556844" w:rsidP="3CBC7431" w:rsidRDefault="68556844" w14:paraId="58A6012C" w14:textId="21EFAA4A">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Modern safeguarding reflects a more proceduralised, risk-focused model influenced by audit culture and performance management (Parton, 2014). While this has improved accountability, it has also contributed to defensive practice and bureaucratic burden.</w:t>
      </w:r>
    </w:p>
    <w:p w:rsidR="3CBC7431" w:rsidP="3CBC7431" w:rsidRDefault="3CBC7431" w14:paraId="26BD90FB" w14:textId="5A9F1632">
      <w:pPr>
        <w:rPr>
          <w:sz w:val="24"/>
          <w:szCs w:val="24"/>
        </w:rPr>
      </w:pPr>
    </w:p>
    <w:p w:rsidR="68556844" w:rsidP="3CBC7431" w:rsidRDefault="68556844" w14:paraId="4F43BE94" w14:textId="20F8B4A1">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5.3.</w:t>
      </w:r>
      <w:r w:rsidRPr="3CBC7431" w:rsidR="42AE86A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 Impact of Austerity</w:t>
      </w:r>
    </w:p>
    <w:p w:rsidR="68556844" w:rsidP="3CBC7431" w:rsidRDefault="68556844" w14:paraId="6325FF5C" w14:textId="36BFD512">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Since 2010, reductions in local authority funding have significantly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impacted</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early intervention services. Youth centres, family support programmes, and preventative initiatives have been reduced in many areas (Featherstone et al., 2018).</w:t>
      </w:r>
    </w:p>
    <w:p w:rsidR="68556844" w:rsidP="3CBC7431" w:rsidRDefault="68556844" w14:paraId="5F6972BA" w14:textId="538974AE">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shift has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arguably resulted</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 more reactive safeguarding system, where intervention often occurs once harm has escalated rather than being prevented earlier.</w:t>
      </w:r>
    </w:p>
    <w:p w:rsidR="3CBC7431" w:rsidP="3CBC7431" w:rsidRDefault="3CBC7431" w14:paraId="6DBF842E" w14:textId="26125818">
      <w:pPr>
        <w:rPr>
          <w:sz w:val="24"/>
          <w:szCs w:val="24"/>
        </w:rPr>
      </w:pPr>
    </w:p>
    <w:p w:rsidR="68556844" w:rsidP="3CBC7431" w:rsidRDefault="68556844" w14:paraId="589F8915" w14:textId="6FC259DC">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5.4 Barriers and Limitations</w:t>
      </w:r>
    </w:p>
    <w:p w:rsidR="68556844" w:rsidP="489789AE" w:rsidRDefault="68556844" w14:paraId="34DA74FE" w14:textId="7BDD344C">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Despite the strengths of the safeguarding framework, several barriers persist</w:t>
      </w:r>
      <w:r w:rsidRPr="489789AE" w:rsidR="547778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68556844" w:rsidP="3CBC7431" w:rsidRDefault="68556844" w14:paraId="770B362C" w14:textId="6EA33BBC">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5.4.</w:t>
      </w:r>
      <w:r w:rsidRPr="3CBC7431" w:rsidR="20CE70B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1 Workforce Pressures</w:t>
      </w:r>
    </w:p>
    <w:p w:rsidR="68556844" w:rsidP="3CBC7431" w:rsidRDefault="68556844" w14:paraId="2D0C2C55" w14:textId="0CC67915">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High caseloads, burnout, and reliance on agency staff undermine relationship-based practice. Workforce instability disrupts continuity of care and reduces trust between social workers and families.</w:t>
      </w:r>
    </w:p>
    <w:p w:rsidR="68556844" w:rsidP="3CBC7431" w:rsidRDefault="68556844" w14:paraId="2E0737CE" w14:textId="7698E535">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5.4.</w:t>
      </w:r>
      <w:r w:rsidRPr="3CBC7431" w:rsidR="2FF5BB1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 Resource Constraints</w:t>
      </w:r>
    </w:p>
    <w:p w:rsidR="68556844" w:rsidP="3CBC7431" w:rsidRDefault="68556844" w14:paraId="2754AC1A" w14:textId="6CB22F4E">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Financial limitations restrict access to early help services and therapeutic support. Without adequate resources, social services struggle to provide holistic intervention.</w:t>
      </w:r>
    </w:p>
    <w:p w:rsidR="68556844" w:rsidP="3CBC7431" w:rsidRDefault="68556844" w14:paraId="19D2245D" w14:textId="6E3F8822">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5.4.</w:t>
      </w:r>
      <w:r w:rsidRPr="3CBC7431" w:rsidR="190E2B4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3 Threshold Inconsistencies</w:t>
      </w:r>
    </w:p>
    <w:p w:rsidR="68556844" w:rsidP="3CBC7431" w:rsidRDefault="68556844" w14:paraId="77AE798B" w14:textId="0C8102AF">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Variations in local authority thresholds for intervention create unequal access to support. Some families may receive early help, while others only receive support when harm becomes acute.</w:t>
      </w:r>
    </w:p>
    <w:p w:rsidR="68556844" w:rsidP="3CBC7431" w:rsidRDefault="68556844" w14:paraId="65D557E1" w14:textId="68D1ACA1">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5.4.</w:t>
      </w:r>
      <w:r w:rsidRPr="3CBC7431" w:rsidR="207E20F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 Structural Inequality</w:t>
      </w:r>
    </w:p>
    <w:p w:rsidR="68556844" w:rsidP="3CBC7431" w:rsidRDefault="68556844" w14:paraId="6E4B84BA" w14:textId="2798C32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Poverty and deprivation remain fundamental drivers of safeguarding demand. Social services alone cannot resolve systemic socioeconomic disadvantage.</w:t>
      </w:r>
    </w:p>
    <w:p w:rsidR="3CBC7431" w:rsidP="3CBC7431" w:rsidRDefault="3CBC7431" w14:paraId="54E12C93" w14:textId="7D8D6BA0">
      <w:pPr>
        <w:rPr>
          <w:sz w:val="24"/>
          <w:szCs w:val="24"/>
        </w:rPr>
      </w:pPr>
    </w:p>
    <w:p w:rsidR="68556844" w:rsidP="3CBC7431" w:rsidRDefault="68556844" w14:paraId="7B89A13A" w14:textId="743BD75A">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Research Limitations</w:t>
      </w:r>
    </w:p>
    <w:p w:rsidR="68556844" w:rsidP="3CBC7431" w:rsidRDefault="68556844" w14:paraId="4692FAE6" w14:textId="4552A415">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dissertation relied exclusively on secondary research. While this allowed for comprehensive policy analysis, it limited access to first</w:t>
      </w:r>
      <w:r w:rsidRPr="3CBC7431" w:rsidR="422119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hand practitioner and young people’s perspectives. Additionally, reliance on published statistics means the research depends on the accuracy of reported data.</w:t>
      </w:r>
    </w:p>
    <w:p w:rsidR="3CBC7431" w:rsidP="3CBC7431" w:rsidRDefault="3CBC7431" w14:paraId="6E821133" w14:textId="3ED3F295">
      <w:pPr>
        <w:rPr>
          <w:sz w:val="24"/>
          <w:szCs w:val="24"/>
        </w:rPr>
      </w:pPr>
    </w:p>
    <w:p w:rsidR="68556844" w:rsidP="3CBC7431" w:rsidRDefault="68556844" w14:paraId="6F6E603E" w14:textId="5369BCA2">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5.5 Recommendations for Future Change and Practice</w:t>
      </w:r>
    </w:p>
    <w:p w:rsidR="68556844" w:rsidP="3CBC7431" w:rsidRDefault="68556844" w14:paraId="33C9F50B" w14:textId="1DFA5E83">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Drawing upon the findings, the following recommendations are proposed:</w:t>
      </w:r>
    </w:p>
    <w:p w:rsidR="68556844" w:rsidP="3CBC7431" w:rsidRDefault="68556844" w14:paraId="0FA68FE8" w14:textId="6F00FEFC">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5.5.</w:t>
      </w:r>
      <w:r w:rsidRPr="3CBC7431" w:rsidR="23CD71F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1 Investment in Early Intervention</w:t>
      </w:r>
    </w:p>
    <w:p w:rsidR="68556844" w:rsidP="489789AE" w:rsidRDefault="68556844" w14:paraId="55A26442" w14:textId="79F1634E">
      <w:pPr>
        <w:pStyle w:val="Normal"/>
        <w:shd w:val="clear" w:color="auto" w:fill="FFFFFF" w:themeFill="background1"/>
        <w:spacing w:before="240" w:beforeAutospacing="off" w:after="240" w:afterAutospacing="off"/>
        <w:rPr>
          <w:rFonts w:ascii="Arial" w:hAnsi="Arial" w:eastAsia="Arial" w:cs="Arial"/>
          <w:noProof w:val="0"/>
          <w:sz w:val="24"/>
          <w:szCs w:val="24"/>
          <w:lang w:val="en-GB"/>
        </w:rPr>
      </w:pPr>
      <w:r w:rsidRPr="489789AE" w:rsidR="1C5940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Government funding should prioritise early help and preventative services. Evidence suggests early intervention reduces long</w:t>
      </w:r>
      <w:r w:rsidRPr="489789AE" w:rsidR="6A6E36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1C5940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term social and financial costs (Allen, 2011). Restoring community-based youth and family support services could reduce reliance on statutory child protection.</w:t>
      </w:r>
      <w:r w:rsidRPr="489789AE" w:rsidR="745B2EB8">
        <w:rPr>
          <w:rFonts w:ascii="Arial" w:hAnsi="Arial" w:eastAsia="Arial" w:cs="Arial"/>
          <w:b w:val="0"/>
          <w:bCs w:val="0"/>
          <w:i w:val="0"/>
          <w:iCs w:val="0"/>
          <w:caps w:val="0"/>
          <w:smallCaps w:val="0"/>
          <w:noProof w:val="0"/>
          <w:color w:val="000000" w:themeColor="text1" w:themeTint="FF" w:themeShade="FF"/>
          <w:sz w:val="24"/>
          <w:szCs w:val="24"/>
          <w:lang w:val="en-GB"/>
        </w:rPr>
        <w:t xml:space="preserve"> Early intervention reduces future costs by addressing problems before they escalate, for example, through preventative child welfare or health programs, which ensures that resources are used efficiently and sustainably (Department for Education, 2023)</w:t>
      </w:r>
    </w:p>
    <w:p w:rsidR="3CBC7431" w:rsidP="3CBC7431" w:rsidRDefault="3CBC7431" w14:paraId="3847C2CD" w14:textId="708BF040">
      <w:pPr>
        <w:rPr>
          <w:sz w:val="24"/>
          <w:szCs w:val="24"/>
        </w:rPr>
      </w:pPr>
    </w:p>
    <w:p w:rsidR="68556844" w:rsidP="3CBC7431" w:rsidRDefault="68556844" w14:paraId="79C43F18" w14:textId="1CCEA5DD">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5.5.</w:t>
      </w:r>
      <w:r w:rsidRPr="3CBC7431" w:rsidR="6C92022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 Workforce Development and Retention</w:t>
      </w:r>
    </w:p>
    <w:p w:rsidR="68556844" w:rsidP="489789AE" w:rsidRDefault="68556844" w14:paraId="1D9CCEDD" w14:textId="793294AB">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Improved recruitment, retention incentives, and manageable caseload limits are essential. Enhanced supervision models and wellbeing support can reduce burnout and improve practice quality.</w:t>
      </w:r>
      <w:r w:rsidRPr="489789AE" w:rsidR="3965004B">
        <w:rPr>
          <w:rFonts w:ascii="Arial" w:hAnsi="Arial" w:eastAsia="Arial" w:cs="Arial"/>
          <w:b w:val="0"/>
          <w:bCs w:val="0"/>
          <w:i w:val="0"/>
          <w:iCs w:val="0"/>
          <w:caps w:val="0"/>
          <w:smallCaps w:val="0"/>
          <w:noProof w:val="0"/>
          <w:color w:val="000000" w:themeColor="text1" w:themeTint="FF" w:themeShade="FF"/>
          <w:sz w:val="24"/>
          <w:szCs w:val="24"/>
          <w:lang w:val="en-GB"/>
        </w:rPr>
        <w:t xml:space="preserve"> Workforce development is equally needed, as a well-trained and resilient organisation enhances service quality and reduces risks for investors, showing a commitment to sustainability and adaptability (Care Act 2014</w:t>
      </w:r>
      <w:r w:rsidRPr="489789AE" w:rsidR="3DB97BF2">
        <w:rPr>
          <w:rFonts w:ascii="Arial" w:hAnsi="Arial" w:eastAsia="Arial" w:cs="Arial"/>
          <w:b w:val="0"/>
          <w:bCs w:val="0"/>
          <w:i w:val="0"/>
          <w:iCs w:val="0"/>
          <w:caps w:val="0"/>
          <w:smallCaps w:val="0"/>
          <w:noProof w:val="0"/>
          <w:color w:val="000000" w:themeColor="text1" w:themeTint="FF" w:themeShade="FF"/>
          <w:sz w:val="24"/>
          <w:szCs w:val="24"/>
          <w:lang w:val="en-GB"/>
        </w:rPr>
        <w:t>).</w:t>
      </w:r>
      <w:r w:rsidRPr="489789AE" w:rsidR="3965004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9789AE" w:rsidR="3965004B">
        <w:rPr>
          <w:rFonts w:ascii="Arial" w:hAnsi="Arial" w:eastAsia="Arial" w:cs="Arial"/>
          <w:noProof w:val="0"/>
          <w:sz w:val="24"/>
          <w:szCs w:val="24"/>
          <w:lang w:val="en-GB"/>
        </w:rPr>
        <w:t xml:space="preserve"> </w:t>
      </w:r>
    </w:p>
    <w:p w:rsidR="3CBC7431" w:rsidP="3CBC7431" w:rsidRDefault="3CBC7431" w14:paraId="68E3F302" w14:textId="370D46B9">
      <w:pPr>
        <w:rPr>
          <w:sz w:val="24"/>
          <w:szCs w:val="24"/>
        </w:rPr>
      </w:pPr>
    </w:p>
    <w:p w:rsidR="68556844" w:rsidP="3CBC7431" w:rsidRDefault="68556844" w14:paraId="090C2D9F" w14:textId="4893693A">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5.5.</w:t>
      </w:r>
      <w:r w:rsidRPr="3CBC7431" w:rsidR="34C744A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3 Strengthening Multi-Agency Data Systems</w:t>
      </w:r>
    </w:p>
    <w:p w:rsidR="68556844" w:rsidP="489789AE" w:rsidRDefault="68556844" w14:paraId="7902882F" w14:textId="598BA7D1">
      <w:pPr>
        <w:pStyle w:val="Normal"/>
        <w:shd w:val="clear" w:color="auto" w:fill="FFFFFF" w:themeFill="background1"/>
        <w:spacing w:before="240" w:beforeAutospacing="off" w:after="240" w:afterAutospacing="off"/>
        <w:rPr>
          <w:rFonts w:ascii="Arial" w:hAnsi="Arial" w:eastAsia="Arial" w:cs="Arial"/>
          <w:noProof w:val="0"/>
          <w:sz w:val="24"/>
          <w:szCs w:val="24"/>
          <w:lang w:val="en-GB"/>
        </w:rPr>
      </w:pP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Improved digital infrastructure would enhance information sharing between agencies while </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maintaining</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data protection standards. This would reduce communication breakdowns </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identified</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serious case reviews.</w:t>
      </w:r>
      <w:r w:rsidRPr="489789AE" w:rsidR="2F659022">
        <w:rPr>
          <w:rFonts w:ascii="Arial" w:hAnsi="Arial" w:eastAsia="Arial" w:cs="Arial"/>
          <w:b w:val="0"/>
          <w:bCs w:val="0"/>
          <w:i w:val="0"/>
          <w:iCs w:val="0"/>
          <w:caps w:val="0"/>
          <w:smallCaps w:val="0"/>
          <w:noProof w:val="0"/>
          <w:color w:val="000000" w:themeColor="text1" w:themeTint="FF" w:themeShade="FF"/>
          <w:sz w:val="24"/>
          <w:szCs w:val="24"/>
          <w:lang w:val="en-GB"/>
        </w:rPr>
        <w:t xml:space="preserve"> Additionally, integrated data systems allow agencies to share information, monitor outcomes effectively, and collaborate more efficiently, reinforcing confidence in funding allocation and sector accountability (Department for Education, 2023). Overall, prioritizing forward-looking change enables social care organizations to respond to rising demand, demographic shifts, and financial pressures while improving outcomes for vulnerable populations.</w:t>
      </w:r>
    </w:p>
    <w:p w:rsidR="3CBC7431" w:rsidP="3CBC7431" w:rsidRDefault="3CBC7431" w14:paraId="4DCB0C58" w14:textId="1767BF5A">
      <w:pPr>
        <w:rPr>
          <w:sz w:val="24"/>
          <w:szCs w:val="24"/>
        </w:rPr>
      </w:pPr>
    </w:p>
    <w:p w:rsidR="68556844" w:rsidP="3CBC7431" w:rsidRDefault="68556844" w14:paraId="7B75B5F5" w14:textId="2D74B1CA">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5.5.</w:t>
      </w:r>
      <w:r w:rsidRPr="3CBC7431" w:rsidR="6644BF4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 Addressing Structural Inequality</w:t>
      </w:r>
    </w:p>
    <w:p w:rsidR="68556844" w:rsidP="3CBC7431" w:rsidRDefault="68556844" w14:paraId="3339B9A9" w14:textId="79944292">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Safeguarding reform must align with broader anti-poverty strategies. Housing stability, mental health services, and financial support programmes are integral to reducing neglect-related referrals.</w:t>
      </w:r>
    </w:p>
    <w:p w:rsidR="3CBC7431" w:rsidP="3CBC7431" w:rsidRDefault="3CBC7431" w14:paraId="1B255020" w14:textId="456D8918">
      <w:pPr>
        <w:rPr>
          <w:sz w:val="24"/>
          <w:szCs w:val="24"/>
        </w:rPr>
      </w:pPr>
    </w:p>
    <w:p w:rsidR="68556844" w:rsidP="3CBC7431" w:rsidRDefault="68556844" w14:paraId="3ED21A6E" w14:textId="04164599">
      <w:pPr>
        <w:pStyle w:val="Heading3"/>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5.5.</w:t>
      </w:r>
      <w:r w:rsidRPr="3CBC7431" w:rsidR="389CC5B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 Promoting Relationship</w:t>
      </w:r>
      <w:r w:rsidRPr="3CBC7431" w:rsidR="3182F26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Based and Trauma</w:t>
      </w:r>
      <w:r w:rsidRPr="3CBC7431" w:rsidR="1C16943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Informed Practice</w:t>
      </w:r>
    </w:p>
    <w:p w:rsidR="68556844" w:rsidP="6387F054" w:rsidRDefault="68556844" w14:paraId="6418A521" w14:textId="370C3498">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387F054" w:rsidR="396134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Social services should continue moving towards trauma</w:t>
      </w:r>
      <w:r w:rsidRPr="6387F054" w:rsidR="24F31E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387F054" w:rsidR="396134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informed, </w:t>
      </w:r>
      <w:r w:rsidRPr="6387F054" w:rsidR="0E175B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strengths</w:t>
      </w:r>
      <w:r w:rsidRPr="6387F054" w:rsidR="0E175B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-based</w:t>
      </w:r>
      <w:r w:rsidRPr="6387F054" w:rsidR="396134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approaches that prioritise long-term relationship building over procedural compliance.</w:t>
      </w:r>
    </w:p>
    <w:p w:rsidR="3CBC7431" w:rsidP="3CBC7431" w:rsidRDefault="3CBC7431" w14:paraId="6BBB9325" w14:textId="69F25F3F">
      <w:pPr>
        <w:rPr>
          <w:sz w:val="24"/>
          <w:szCs w:val="24"/>
        </w:rPr>
      </w:pPr>
    </w:p>
    <w:p w:rsidR="68556844" w:rsidP="3CBC7431" w:rsidRDefault="68556844" w14:paraId="073D6BC8" w14:textId="66B81D76">
      <w:pPr>
        <w:pStyle w:val="Heading2"/>
        <w:shd w:val="clear" w:color="auto" w:fill="FFFFFF" w:themeFill="background1"/>
        <w:spacing w:before="199" w:beforeAutospacing="off" w:after="199"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5.6 Final Reflection</w:t>
      </w:r>
    </w:p>
    <w:p w:rsidR="68556844" w:rsidP="3CBC7431" w:rsidRDefault="68556844" w14:paraId="2FA57863" w14:textId="433C397D">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research concludes that social services in the United Kingdom play an indispensable role in safeguarding young people. The statutory framework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established</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the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1989</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strengthened by the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Act 2004</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supported by</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Working Together to Safeguard Children (2018)</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provides a strong legal foundation.</w:t>
      </w:r>
    </w:p>
    <w:p w:rsidR="68556844" w:rsidP="489789AE" w:rsidRDefault="68556844" w14:paraId="19780D46" w14:textId="3BBFD2A0">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 safeguarding effectiveness is shaped by workforce capacity, funding structures, inter</w:t>
      </w:r>
      <w:r w:rsidRPr="489789AE" w:rsidR="792835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agency collaboration, and broader socioeconomic conditions. The system has evolved from a </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predominantly </w:t>
      </w:r>
      <w:r w:rsidRPr="489789AE" w:rsidR="3373B4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welfare</w:t>
      </w:r>
      <w:r w:rsidRPr="489789AE" w:rsidR="3373B4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-based</w:t>
      </w:r>
      <w:r w:rsidRPr="489789AE"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model to one characterised by risk management and accountability. While this evolution has strengthened oversight, it has also introduced bureaucratic pressures and defensive practice.</w:t>
      </w:r>
    </w:p>
    <w:p w:rsidR="68556844" w:rsidP="3CBC7431" w:rsidRDefault="68556844" w14:paraId="19D3739C" w14:textId="77C3ADDE">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Future safeguarding reform must balance accountability with relational practice, statutory intervention with prevention, and professional responsibility with structural social reform.</w:t>
      </w:r>
    </w:p>
    <w:p w:rsidR="68556844" w:rsidP="3CBC7431" w:rsidRDefault="68556844" w14:paraId="2A584E70" w14:textId="14571FF1">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CBC7431" w:rsidR="68556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Ultimately, safeguarding young people is not solely the responsibility of social services but a collective societal obligation. Sustainable improvement requires integrated policy, adequate funding, and a commitment to addressing the root causes of vulnerability alongside immediate protection needs.</w:t>
      </w:r>
    </w:p>
    <w:p w:rsidR="3CBC7431" w:rsidP="3CBC7431" w:rsidRDefault="3CBC7431" w14:paraId="1F0DC6CB" w14:textId="5BBB13E8">
      <w:pPr>
        <w:pStyle w:val="Normal"/>
        <w:keepNext w:val="1"/>
        <w:keepLines w:val="1"/>
        <w:shd w:val="clear" w:color="auto" w:fill="FFFFFF" w:themeFill="background1"/>
        <w:spacing w:before="240" w:beforeAutospacing="off" w:after="240" w:afterAutospacing="off"/>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pPr>
    </w:p>
    <w:p w:rsidR="26E84261" w:rsidP="26E84261" w:rsidRDefault="26E84261" w14:paraId="3425BE8B" w14:textId="110338E4">
      <w:pPr>
        <w:pStyle w:val="Normal"/>
        <w:keepNext w:val="1"/>
        <w:keepLines w:val="1"/>
        <w:rPr>
          <w:noProof w:val="0"/>
          <w:lang w:val="en-GB"/>
        </w:rPr>
      </w:pPr>
    </w:p>
    <w:p w:rsidR="26E84261" w:rsidP="26E84261" w:rsidRDefault="26E84261" w14:paraId="5A5C3E15" w14:textId="1856640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26E84261" w:rsidRDefault="26E84261" w14:paraId="70EEBE9F" w14:textId="08AD49AA"/>
    <w:p w:rsidR="3CBC7431" w:rsidRDefault="3CBC7431" w14:paraId="6064E5B3" w14:textId="65B30D7D"/>
    <w:p w:rsidR="3A130187" w:rsidP="3A130187" w:rsidRDefault="3A130187" w14:paraId="7A88574C" w14:textId="59B6723A">
      <w:pPr>
        <w:pStyle w:val="Normal"/>
        <w:rPr>
          <w:b w:val="1"/>
          <w:bCs w:val="1"/>
        </w:rPr>
      </w:pPr>
    </w:p>
    <w:p w:rsidR="3A130187" w:rsidP="3A130187" w:rsidRDefault="3A130187" w14:paraId="73B84D42" w14:textId="571F6A03">
      <w:pPr>
        <w:pStyle w:val="Normal"/>
        <w:rPr>
          <w:b w:val="1"/>
          <w:bCs w:val="1"/>
        </w:rPr>
      </w:pPr>
    </w:p>
    <w:p w:rsidR="3A130187" w:rsidP="3A130187" w:rsidRDefault="3A130187" w14:paraId="188E0A40" w14:textId="641E689F">
      <w:pPr>
        <w:pStyle w:val="Normal"/>
        <w:rPr>
          <w:b w:val="1"/>
          <w:bCs w:val="1"/>
        </w:rPr>
      </w:pPr>
    </w:p>
    <w:p w:rsidR="3A130187" w:rsidP="3A130187" w:rsidRDefault="3A130187" w14:paraId="6D64DEEF" w14:textId="09A9FF95">
      <w:pPr>
        <w:pStyle w:val="Normal"/>
        <w:rPr>
          <w:b w:val="1"/>
          <w:bCs w:val="1"/>
        </w:rPr>
      </w:pPr>
    </w:p>
    <w:p w:rsidR="094C2BB3" w:rsidP="2AA95F6F" w:rsidRDefault="094C2BB3" w14:paraId="27F58EF1" w14:textId="5AFE922D">
      <w:pPr>
        <w:pStyle w:val="Normal"/>
        <w:rPr>
          <w:b w:val="1"/>
          <w:bCs w:val="1"/>
          <w:sz w:val="28"/>
          <w:szCs w:val="28"/>
        </w:rPr>
      </w:pPr>
      <w:r w:rsidRPr="2AA95F6F" w:rsidR="3F65A06D">
        <w:rPr>
          <w:b w:val="1"/>
          <w:bCs w:val="1"/>
          <w:sz w:val="28"/>
          <w:szCs w:val="28"/>
        </w:rPr>
        <w:t>Appendices</w:t>
      </w:r>
    </w:p>
    <w:p w:rsidR="3A130187" w:rsidP="3A130187" w:rsidRDefault="3A130187" w14:paraId="32222FE7" w14:textId="56C402EF">
      <w:pPr>
        <w:pStyle w:val="Normal"/>
        <w:rPr>
          <w:b w:val="1"/>
          <w:bCs w:val="1"/>
        </w:rPr>
      </w:pPr>
    </w:p>
    <w:p w:rsidR="6A95DB36" w:rsidP="2AA95F6F" w:rsidRDefault="6A95DB36" w14:paraId="02510142" w14:textId="6CF8724E">
      <w:pPr>
        <w:pStyle w:val="Normal"/>
        <w:rPr>
          <w:b w:val="1"/>
          <w:bCs w:val="1"/>
          <w:sz w:val="28"/>
          <w:szCs w:val="28"/>
        </w:rPr>
      </w:pPr>
      <w:r w:rsidRPr="2AA95F6F" w:rsidR="6A95DB36">
        <w:rPr>
          <w:b w:val="1"/>
          <w:bCs w:val="1"/>
          <w:sz w:val="28"/>
          <w:szCs w:val="28"/>
        </w:rPr>
        <w:t xml:space="preserve">Results summary table </w:t>
      </w:r>
    </w:p>
    <w:p w:rsidR="2AA95F6F" w:rsidP="2AA95F6F" w:rsidRDefault="2AA95F6F" w14:paraId="5F9A1302" w14:textId="3926CFC4">
      <w:pPr>
        <w:pStyle w:val="Normal"/>
        <w:rPr>
          <w:b w:val="1"/>
          <w:bCs w:val="1"/>
          <w:sz w:val="28"/>
          <w:szCs w:val="28"/>
        </w:rPr>
      </w:pPr>
    </w:p>
    <w:tbl>
      <w:tblPr>
        <w:tblStyle w:val="TableGrid"/>
        <w:bidiVisual w:val="0"/>
        <w:tblW w:w="0" w:type="auto"/>
        <w:tblLook w:val="06A0" w:firstRow="1" w:lastRow="0" w:firstColumn="1" w:lastColumn="0" w:noHBand="1" w:noVBand="1"/>
      </w:tblPr>
      <w:tblGrid>
        <w:gridCol w:w="1579"/>
        <w:gridCol w:w="1176"/>
        <w:gridCol w:w="1584"/>
        <w:gridCol w:w="2481"/>
        <w:gridCol w:w="2195"/>
      </w:tblGrid>
      <w:tr w:rsidR="2AA95F6F" w:rsidTr="489789AE" w14:paraId="57119BC8">
        <w:trPr>
          <w:trHeight w:val="300"/>
        </w:trPr>
        <w:tc>
          <w:tcPr>
            <w:tcW w:w="1579" w:type="dxa"/>
            <w:tcMar/>
          </w:tcPr>
          <w:p w:rsidR="2AA95F6F" w:rsidP="2AA95F6F" w:rsidRDefault="2AA95F6F" w14:paraId="6F4AB25D" w14:textId="15529AD6">
            <w:pPr>
              <w:spacing w:before="0" w:beforeAutospacing="off" w:after="0" w:afterAutospacing="off"/>
              <w:jc w:val="center"/>
            </w:pPr>
            <w:r w:rsidRPr="2AA95F6F" w:rsidR="2AA95F6F">
              <w:rPr>
                <w:b w:val="1"/>
                <w:bCs w:val="1"/>
                <w:i w:val="0"/>
                <w:iCs w:val="0"/>
                <w:caps w:val="0"/>
                <w:smallCaps w:val="0"/>
                <w:strike w:val="0"/>
                <w:dstrike w:val="0"/>
                <w:color w:val="000000" w:themeColor="text1" w:themeTint="FF" w:themeShade="FF"/>
                <w:u w:val="none"/>
              </w:rPr>
              <w:t>Study/Sour</w:t>
            </w:r>
            <w:r w:rsidRPr="2AA95F6F" w:rsidR="1CEF9966">
              <w:rPr>
                <w:b w:val="1"/>
                <w:bCs w:val="1"/>
                <w:i w:val="0"/>
                <w:iCs w:val="0"/>
                <w:caps w:val="0"/>
                <w:smallCaps w:val="0"/>
                <w:strike w:val="0"/>
                <w:dstrike w:val="0"/>
                <w:color w:val="000000" w:themeColor="text1" w:themeTint="FF" w:themeShade="FF"/>
                <w:u w:val="none"/>
              </w:rPr>
              <w:t>c</w:t>
            </w:r>
            <w:r w:rsidRPr="2AA95F6F" w:rsidR="2AA95F6F">
              <w:rPr>
                <w:b w:val="1"/>
                <w:bCs w:val="1"/>
                <w:i w:val="0"/>
                <w:iCs w:val="0"/>
                <w:caps w:val="0"/>
                <w:smallCaps w:val="0"/>
                <w:strike w:val="0"/>
                <w:dstrike w:val="0"/>
                <w:color w:val="000000" w:themeColor="text1" w:themeTint="FF" w:themeShade="FF"/>
                <w:u w:val="none"/>
              </w:rPr>
              <w:t>e</w:t>
            </w:r>
          </w:p>
        </w:tc>
        <w:tc>
          <w:tcPr>
            <w:tcW w:w="1176" w:type="dxa"/>
            <w:tcMar/>
          </w:tcPr>
          <w:p w:rsidR="2AA95F6F" w:rsidP="2AA95F6F" w:rsidRDefault="2AA95F6F" w14:paraId="40560E35" w14:textId="4491F4E2">
            <w:pPr>
              <w:spacing w:before="0" w:beforeAutospacing="off" w:after="0" w:afterAutospacing="off"/>
              <w:jc w:val="center"/>
            </w:pPr>
            <w:r w:rsidRPr="2AA95F6F" w:rsidR="2AA95F6F">
              <w:rPr>
                <w:b w:val="1"/>
                <w:bCs w:val="1"/>
                <w:i w:val="0"/>
                <w:iCs w:val="0"/>
                <w:caps w:val="0"/>
                <w:smallCaps w:val="0"/>
                <w:strike w:val="0"/>
                <w:dstrike w:val="0"/>
                <w:color w:val="000000" w:themeColor="text1" w:themeTint="FF" w:themeShade="FF"/>
                <w:u w:val="none"/>
              </w:rPr>
              <w:t>Population / Sample</w:t>
            </w:r>
          </w:p>
        </w:tc>
        <w:tc>
          <w:tcPr>
            <w:tcW w:w="1584" w:type="dxa"/>
            <w:tcMar/>
          </w:tcPr>
          <w:p w:rsidR="2AA95F6F" w:rsidP="2AA95F6F" w:rsidRDefault="2AA95F6F" w14:paraId="387433F9" w14:textId="5275DB68">
            <w:pPr>
              <w:spacing w:before="0" w:beforeAutospacing="off" w:after="0" w:afterAutospacing="off"/>
              <w:jc w:val="center"/>
            </w:pPr>
            <w:r w:rsidRPr="2AA95F6F" w:rsidR="2AA95F6F">
              <w:rPr>
                <w:b w:val="1"/>
                <w:bCs w:val="1"/>
                <w:i w:val="0"/>
                <w:iCs w:val="0"/>
                <w:caps w:val="0"/>
                <w:smallCaps w:val="0"/>
                <w:strike w:val="0"/>
                <w:dstrike w:val="0"/>
                <w:color w:val="000000" w:themeColor="text1" w:themeTint="FF" w:themeShade="FF"/>
                <w:u w:val="none"/>
              </w:rPr>
              <w:t>Social Service Intervention</w:t>
            </w:r>
          </w:p>
        </w:tc>
        <w:tc>
          <w:tcPr>
            <w:tcW w:w="2481" w:type="dxa"/>
            <w:tcMar/>
          </w:tcPr>
          <w:p w:rsidR="2AA95F6F" w:rsidP="2AA95F6F" w:rsidRDefault="2AA95F6F" w14:paraId="62705926" w14:textId="0A8F9CAF">
            <w:pPr>
              <w:spacing w:before="0" w:beforeAutospacing="off" w:after="0" w:afterAutospacing="off"/>
              <w:jc w:val="center"/>
            </w:pPr>
            <w:r w:rsidRPr="2AA95F6F" w:rsidR="2AA95F6F">
              <w:rPr>
                <w:b w:val="1"/>
                <w:bCs w:val="1"/>
                <w:i w:val="0"/>
                <w:iCs w:val="0"/>
                <w:caps w:val="0"/>
                <w:smallCaps w:val="0"/>
                <w:strike w:val="0"/>
                <w:dstrike w:val="0"/>
                <w:color w:val="000000" w:themeColor="text1" w:themeTint="FF" w:themeShade="FF"/>
                <w:u w:val="none"/>
              </w:rPr>
              <w:t>Key Findings / Outcomes</w:t>
            </w:r>
          </w:p>
        </w:tc>
        <w:tc>
          <w:tcPr>
            <w:tcW w:w="2195" w:type="dxa"/>
            <w:tcMar/>
          </w:tcPr>
          <w:p w:rsidR="2AA95F6F" w:rsidP="2AA95F6F" w:rsidRDefault="2AA95F6F" w14:paraId="761CD98B" w14:textId="7F402DFD">
            <w:pPr>
              <w:spacing w:before="0" w:beforeAutospacing="off" w:after="0" w:afterAutospacing="off"/>
              <w:jc w:val="center"/>
            </w:pPr>
            <w:r w:rsidRPr="2AA95F6F" w:rsidR="2AA95F6F">
              <w:rPr>
                <w:b w:val="1"/>
                <w:bCs w:val="1"/>
                <w:i w:val="0"/>
                <w:iCs w:val="0"/>
                <w:caps w:val="0"/>
                <w:smallCaps w:val="0"/>
                <w:strike w:val="0"/>
                <w:dstrike w:val="0"/>
                <w:color w:val="000000" w:themeColor="text1" w:themeTint="FF" w:themeShade="FF"/>
                <w:u w:val="none"/>
              </w:rPr>
              <w:t>Challenges / Limitations</w:t>
            </w:r>
          </w:p>
        </w:tc>
      </w:tr>
      <w:tr w:rsidR="2AA95F6F" w:rsidTr="489789AE" w14:paraId="4AE92E8B">
        <w:trPr>
          <w:trHeight w:val="300"/>
        </w:trPr>
        <w:tc>
          <w:tcPr>
            <w:tcW w:w="1579" w:type="dxa"/>
            <w:tcMar/>
          </w:tcPr>
          <w:p w:rsidR="2AA95F6F" w:rsidP="2AA95F6F" w:rsidRDefault="2AA95F6F" w14:paraId="1664E918" w14:textId="227924DB">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Department for Education (2022) – Children’s Social Care Review</w:t>
            </w:r>
          </w:p>
        </w:tc>
        <w:tc>
          <w:tcPr>
            <w:tcW w:w="1176" w:type="dxa"/>
            <w:tcMar/>
          </w:tcPr>
          <w:p w:rsidR="2AA95F6F" w:rsidP="2AA95F6F" w:rsidRDefault="2AA95F6F" w14:paraId="7814730A" w14:textId="2708A59D">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Young people in care, 0–18</w:t>
            </w:r>
          </w:p>
        </w:tc>
        <w:tc>
          <w:tcPr>
            <w:tcW w:w="1584" w:type="dxa"/>
            <w:tcMar/>
          </w:tcPr>
          <w:p w:rsidR="2AA95F6F" w:rsidP="2AA95F6F" w:rsidRDefault="2AA95F6F" w14:paraId="36B422D0" w14:textId="33A24C62">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Statutory child protection, care planning, foster placement support</w:t>
            </w:r>
          </w:p>
        </w:tc>
        <w:tc>
          <w:tcPr>
            <w:tcW w:w="2481" w:type="dxa"/>
            <w:tcMar/>
          </w:tcPr>
          <w:p w:rsidR="2AA95F6F" w:rsidP="2AA95F6F" w:rsidRDefault="2AA95F6F" w14:paraId="44606BBE" w14:textId="3F5B49FC">
            <w:pPr>
              <w:spacing w:before="0" w:beforeAutospacing="off" w:after="0" w:afterAutospacing="off"/>
            </w:pPr>
            <w:r w:rsidRPr="489789AE" w:rsidR="7D28591F">
              <w:rPr>
                <w:b w:val="0"/>
                <w:bCs w:val="0"/>
                <w:i w:val="0"/>
                <w:iCs w:val="0"/>
                <w:caps w:val="0"/>
                <w:smallCaps w:val="0"/>
                <w:strike w:val="0"/>
                <w:dstrike w:val="0"/>
                <w:color w:val="000000" w:themeColor="text1" w:themeTint="FF" w:themeShade="FF"/>
                <w:u w:val="none"/>
              </w:rPr>
              <w:t xml:space="preserve">Early intervention reduced repeat safeguarding incidents by </w:t>
            </w:r>
            <w:r w:rsidRPr="489789AE" w:rsidR="05295B5B">
              <w:rPr>
                <w:b w:val="0"/>
                <w:bCs w:val="0"/>
                <w:i w:val="0"/>
                <w:iCs w:val="0"/>
                <w:caps w:val="0"/>
                <w:smallCaps w:val="0"/>
                <w:strike w:val="0"/>
                <w:dstrike w:val="0"/>
                <w:color w:val="000000" w:themeColor="text1" w:themeTint="FF" w:themeShade="FF"/>
                <w:u w:val="none"/>
              </w:rPr>
              <w:t>15%,</w:t>
            </w:r>
            <w:r w:rsidRPr="489789AE" w:rsidR="7D28591F">
              <w:rPr>
                <w:b w:val="0"/>
                <w:bCs w:val="0"/>
                <w:i w:val="0"/>
                <w:iCs w:val="0"/>
                <w:caps w:val="0"/>
                <w:smallCaps w:val="0"/>
                <w:strike w:val="0"/>
                <w:dstrike w:val="0"/>
                <w:color w:val="000000" w:themeColor="text1" w:themeTint="FF" w:themeShade="FF"/>
                <w:u w:val="none"/>
              </w:rPr>
              <w:t xml:space="preserve"> improved educational outcomes for children in care</w:t>
            </w:r>
          </w:p>
          <w:p w:rsidR="2AA95F6F" w:rsidP="2AA95F6F" w:rsidRDefault="2AA95F6F" w14:paraId="7A172966" w14:textId="1DF24FE6">
            <w:pPr>
              <w:spacing w:before="0" w:beforeAutospacing="off" w:after="0" w:afterAutospacing="off"/>
              <w:rPr>
                <w:b w:val="0"/>
                <w:bCs w:val="0"/>
                <w:i w:val="0"/>
                <w:iCs w:val="0"/>
                <w:caps w:val="0"/>
                <w:smallCaps w:val="0"/>
                <w:strike w:val="0"/>
                <w:dstrike w:val="0"/>
                <w:color w:val="000000" w:themeColor="text1" w:themeTint="FF" w:themeShade="FF"/>
                <w:u w:val="none"/>
              </w:rPr>
            </w:pPr>
          </w:p>
        </w:tc>
        <w:tc>
          <w:tcPr>
            <w:tcW w:w="2195" w:type="dxa"/>
            <w:tcMar/>
          </w:tcPr>
          <w:p w:rsidR="2AA95F6F" w:rsidP="2AA95F6F" w:rsidRDefault="2AA95F6F" w14:paraId="268530E2" w14:textId="39D8166D">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Staff shortages and high caseloads; variability in service quality across regions</w:t>
            </w:r>
          </w:p>
        </w:tc>
      </w:tr>
      <w:tr w:rsidR="2AA95F6F" w:rsidTr="489789AE" w14:paraId="55CA4643">
        <w:trPr>
          <w:trHeight w:val="300"/>
        </w:trPr>
        <w:tc>
          <w:tcPr>
            <w:tcW w:w="1579" w:type="dxa"/>
            <w:tcMar/>
          </w:tcPr>
          <w:p w:rsidR="2AA95F6F" w:rsidP="2AA95F6F" w:rsidRDefault="2AA95F6F" w14:paraId="4ABE8F28" w14:textId="3C2E2548">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NSPCC (2021) – Safeguarding Effectiveness Study</w:t>
            </w:r>
          </w:p>
        </w:tc>
        <w:tc>
          <w:tcPr>
            <w:tcW w:w="1176" w:type="dxa"/>
            <w:tcMar/>
          </w:tcPr>
          <w:p w:rsidR="2AA95F6F" w:rsidP="2AA95F6F" w:rsidRDefault="2AA95F6F" w14:paraId="140A97CA" w14:textId="4EA7BB5B">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Children at risk of abuse/neglect</w:t>
            </w:r>
          </w:p>
        </w:tc>
        <w:tc>
          <w:tcPr>
            <w:tcW w:w="1584" w:type="dxa"/>
            <w:tcMar/>
          </w:tcPr>
          <w:p w:rsidR="2AA95F6F" w:rsidP="2AA95F6F" w:rsidRDefault="2AA95F6F" w14:paraId="536356FA" w14:textId="1F74ED20">
            <w:pPr>
              <w:spacing w:before="0" w:beforeAutospacing="off" w:after="0" w:afterAutospacing="off"/>
              <w:rPr>
                <w:b w:val="0"/>
                <w:bCs w:val="0"/>
                <w:i w:val="0"/>
                <w:iCs w:val="0"/>
                <w:caps w:val="0"/>
                <w:smallCaps w:val="0"/>
                <w:strike w:val="0"/>
                <w:dstrike w:val="0"/>
                <w:color w:val="000000" w:themeColor="text1" w:themeTint="FF" w:themeShade="FF"/>
                <w:u w:val="none"/>
              </w:rPr>
            </w:pPr>
            <w:r w:rsidRPr="2AA95F6F" w:rsidR="2AA95F6F">
              <w:rPr>
                <w:b w:val="0"/>
                <w:bCs w:val="0"/>
                <w:i w:val="0"/>
                <w:iCs w:val="0"/>
                <w:caps w:val="0"/>
                <w:smallCaps w:val="0"/>
                <w:strike w:val="0"/>
                <w:dstrike w:val="0"/>
                <w:color w:val="000000" w:themeColor="text1" w:themeTint="FF" w:themeShade="FF"/>
                <w:u w:val="none"/>
              </w:rPr>
              <w:t xml:space="preserve">Multi-agency safeguarding, family support programs, </w:t>
            </w:r>
            <w:r w:rsidRPr="2AA95F6F" w:rsidR="72E2D2CF">
              <w:rPr>
                <w:b w:val="0"/>
                <w:bCs w:val="0"/>
                <w:i w:val="0"/>
                <w:iCs w:val="0"/>
                <w:caps w:val="0"/>
                <w:smallCaps w:val="0"/>
                <w:strike w:val="0"/>
                <w:dstrike w:val="0"/>
                <w:color w:val="000000" w:themeColor="text1" w:themeTint="FF" w:themeShade="FF"/>
                <w:u w:val="none"/>
              </w:rPr>
              <w:t>counselling</w:t>
            </w:r>
          </w:p>
        </w:tc>
        <w:tc>
          <w:tcPr>
            <w:tcW w:w="2481" w:type="dxa"/>
            <w:tcMar/>
          </w:tcPr>
          <w:p w:rsidR="2AA95F6F" w:rsidP="2AA95F6F" w:rsidRDefault="2AA95F6F" w14:paraId="69EDCD07" w14:textId="3549A4CA">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Multi-agency collaboration improved reporting rates; 70% of children receiving early support avoided entering care</w:t>
            </w:r>
          </w:p>
        </w:tc>
        <w:tc>
          <w:tcPr>
            <w:tcW w:w="2195" w:type="dxa"/>
            <w:tcMar/>
          </w:tcPr>
          <w:p w:rsidR="2AA95F6F" w:rsidP="2AA95F6F" w:rsidRDefault="2AA95F6F" w14:paraId="62602C13" w14:textId="24924237">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Limited long-term tracking; some services lacked specialist mental health support</w:t>
            </w:r>
          </w:p>
        </w:tc>
      </w:tr>
      <w:tr w:rsidR="2AA95F6F" w:rsidTr="489789AE" w14:paraId="5CC80FAB">
        <w:trPr>
          <w:trHeight w:val="300"/>
        </w:trPr>
        <w:tc>
          <w:tcPr>
            <w:tcW w:w="1579" w:type="dxa"/>
            <w:tcMar/>
          </w:tcPr>
          <w:p w:rsidR="2AA95F6F" w:rsidP="2AA95F6F" w:rsidRDefault="2AA95F6F" w14:paraId="1C042D98" w14:textId="77923329">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Local Authority Case Study (London Borough, 2020)</w:t>
            </w:r>
          </w:p>
        </w:tc>
        <w:tc>
          <w:tcPr>
            <w:tcW w:w="1176" w:type="dxa"/>
            <w:tcMar/>
          </w:tcPr>
          <w:p w:rsidR="2AA95F6F" w:rsidP="2AA95F6F" w:rsidRDefault="2AA95F6F" w14:paraId="14A047C0" w14:textId="37771FFA">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Children on child protection plans</w:t>
            </w:r>
          </w:p>
        </w:tc>
        <w:tc>
          <w:tcPr>
            <w:tcW w:w="1584" w:type="dxa"/>
            <w:tcMar/>
          </w:tcPr>
          <w:p w:rsidR="2AA95F6F" w:rsidP="2AA95F6F" w:rsidRDefault="2AA95F6F" w14:paraId="411AD697" w14:textId="0E238F96">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Targeted family support, parenting programs, mentoring</w:t>
            </w:r>
          </w:p>
        </w:tc>
        <w:tc>
          <w:tcPr>
            <w:tcW w:w="2481" w:type="dxa"/>
            <w:tcMar/>
          </w:tcPr>
          <w:p w:rsidR="2AA95F6F" w:rsidP="2AA95F6F" w:rsidRDefault="2AA95F6F" w14:paraId="2952FC90" w14:textId="45D3D810">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Significant reduction in repeated neglect reports; improved parental engagement</w:t>
            </w:r>
          </w:p>
        </w:tc>
        <w:tc>
          <w:tcPr>
            <w:tcW w:w="2195" w:type="dxa"/>
            <w:tcMar/>
          </w:tcPr>
          <w:p w:rsidR="2AA95F6F" w:rsidP="2AA95F6F" w:rsidRDefault="2AA95F6F" w14:paraId="76C900DA" w14:textId="41295199">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Resource-intensive interventions; reliance on voluntary family participation</w:t>
            </w:r>
          </w:p>
        </w:tc>
      </w:tr>
      <w:tr w:rsidR="2AA95F6F" w:rsidTr="489789AE" w14:paraId="348542D7">
        <w:trPr>
          <w:trHeight w:val="300"/>
        </w:trPr>
        <w:tc>
          <w:tcPr>
            <w:tcW w:w="1579" w:type="dxa"/>
            <w:tcMar/>
          </w:tcPr>
          <w:p w:rsidR="2AA95F6F" w:rsidP="2AA95F6F" w:rsidRDefault="2AA95F6F" w14:paraId="7B970954" w14:textId="6B0644B5">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Research by Munro (2019) – Child Protection Systems</w:t>
            </w:r>
          </w:p>
        </w:tc>
        <w:tc>
          <w:tcPr>
            <w:tcW w:w="1176" w:type="dxa"/>
            <w:tcMar/>
          </w:tcPr>
          <w:p w:rsidR="2AA95F6F" w:rsidP="2AA95F6F" w:rsidRDefault="2AA95F6F" w14:paraId="5B73539C" w14:textId="652FAFBE">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National sample of social work departments</w:t>
            </w:r>
          </w:p>
        </w:tc>
        <w:tc>
          <w:tcPr>
            <w:tcW w:w="1584" w:type="dxa"/>
            <w:tcMar/>
          </w:tcPr>
          <w:p w:rsidR="2AA95F6F" w:rsidP="2AA95F6F" w:rsidRDefault="2AA95F6F" w14:paraId="0A13F79D" w14:textId="068617B8">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Systems review, social worker training, risk assessment frameworks</w:t>
            </w:r>
          </w:p>
        </w:tc>
        <w:tc>
          <w:tcPr>
            <w:tcW w:w="2481" w:type="dxa"/>
            <w:tcMar/>
          </w:tcPr>
          <w:p w:rsidR="2AA95F6F" w:rsidP="2AA95F6F" w:rsidRDefault="2AA95F6F" w14:paraId="156DF211" w14:textId="40FD8E91">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Clear guidelines and improved training enhanced identification of at-risk youth; fewer case management errors</w:t>
            </w:r>
          </w:p>
        </w:tc>
        <w:tc>
          <w:tcPr>
            <w:tcW w:w="2195" w:type="dxa"/>
            <w:tcMar/>
          </w:tcPr>
          <w:p w:rsidR="2AA95F6F" w:rsidP="2AA95F6F" w:rsidRDefault="2AA95F6F" w14:paraId="08687E47" w14:textId="19439D2F">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Implementation inconsistent across authorities; high turnover of social workers affected continuity</w:t>
            </w:r>
          </w:p>
        </w:tc>
      </w:tr>
      <w:tr w:rsidR="2AA95F6F" w:rsidTr="489789AE" w14:paraId="398AB6BE">
        <w:trPr>
          <w:trHeight w:val="300"/>
        </w:trPr>
        <w:tc>
          <w:tcPr>
            <w:tcW w:w="1579" w:type="dxa"/>
            <w:tcMar/>
          </w:tcPr>
          <w:p w:rsidR="2AA95F6F" w:rsidP="2AA95F6F" w:rsidRDefault="2AA95F6F" w14:paraId="07D383B4" w14:textId="47878383">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Youth Justice Board Evaluation (2020)</w:t>
            </w:r>
          </w:p>
        </w:tc>
        <w:tc>
          <w:tcPr>
            <w:tcW w:w="1176" w:type="dxa"/>
            <w:tcMar/>
          </w:tcPr>
          <w:p w:rsidR="2AA95F6F" w:rsidP="2AA95F6F" w:rsidRDefault="2AA95F6F" w14:paraId="43EA93A8" w14:textId="47852B05">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At</w:t>
            </w:r>
            <w:r w:rsidRPr="2AA95F6F" w:rsidR="57073F52">
              <w:rPr>
                <w:b w:val="0"/>
                <w:bCs w:val="0"/>
                <w:i w:val="0"/>
                <w:iCs w:val="0"/>
                <w:caps w:val="0"/>
                <w:smallCaps w:val="0"/>
                <w:strike w:val="0"/>
                <w:dstrike w:val="0"/>
                <w:color w:val="000000" w:themeColor="text1" w:themeTint="FF" w:themeShade="FF"/>
                <w:u w:val="none"/>
              </w:rPr>
              <w:t xml:space="preserve"> </w:t>
            </w:r>
            <w:r w:rsidRPr="2AA95F6F" w:rsidR="2AA95F6F">
              <w:rPr>
                <w:b w:val="0"/>
                <w:bCs w:val="0"/>
                <w:i w:val="0"/>
                <w:iCs w:val="0"/>
                <w:caps w:val="0"/>
                <w:smallCaps w:val="0"/>
                <w:strike w:val="0"/>
                <w:dstrike w:val="0"/>
                <w:color w:val="000000" w:themeColor="text1" w:themeTint="FF" w:themeShade="FF"/>
                <w:u w:val="none"/>
              </w:rPr>
              <w:t>risk adolescents in criminal justice system</w:t>
            </w:r>
          </w:p>
        </w:tc>
        <w:tc>
          <w:tcPr>
            <w:tcW w:w="1584" w:type="dxa"/>
            <w:tcMar/>
          </w:tcPr>
          <w:p w:rsidR="2AA95F6F" w:rsidP="2AA95F6F" w:rsidRDefault="2AA95F6F" w14:paraId="15D8D9D6" w14:textId="4D276B9E">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Social services liaison with youth justice, preventive programs</w:t>
            </w:r>
          </w:p>
        </w:tc>
        <w:tc>
          <w:tcPr>
            <w:tcW w:w="2481" w:type="dxa"/>
            <w:tcMar/>
          </w:tcPr>
          <w:p w:rsidR="2AA95F6F" w:rsidP="2AA95F6F" w:rsidRDefault="2AA95F6F" w14:paraId="2B14DA19" w14:textId="54071621">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Reduced offending rates among youth engaged with social services by 20%; improved emotional wellbeing</w:t>
            </w:r>
          </w:p>
        </w:tc>
        <w:tc>
          <w:tcPr>
            <w:tcW w:w="2195" w:type="dxa"/>
            <w:tcMar/>
          </w:tcPr>
          <w:p w:rsidR="2AA95F6F" w:rsidP="2AA95F6F" w:rsidRDefault="2AA95F6F" w14:paraId="73956299" w14:textId="17C493F8">
            <w:pPr>
              <w:spacing w:before="0" w:beforeAutospacing="off" w:after="0" w:afterAutospacing="off"/>
            </w:pPr>
            <w:r w:rsidRPr="2AA95F6F" w:rsidR="2AA95F6F">
              <w:rPr>
                <w:b w:val="0"/>
                <w:bCs w:val="0"/>
                <w:i w:val="0"/>
                <w:iCs w:val="0"/>
                <w:caps w:val="0"/>
                <w:smallCaps w:val="0"/>
                <w:strike w:val="0"/>
                <w:dstrike w:val="0"/>
                <w:color w:val="000000" w:themeColor="text1" w:themeTint="FF" w:themeShade="FF"/>
                <w:u w:val="none"/>
              </w:rPr>
              <w:t>Limited reach in rural areas; difficulties integrating services with schools</w:t>
            </w:r>
          </w:p>
        </w:tc>
      </w:tr>
    </w:tbl>
    <w:p w:rsidR="38EEB742" w:rsidP="2AA95F6F" w:rsidRDefault="38EEB742" w14:paraId="61532D25" w14:textId="1D3B52CD">
      <w:pPr>
        <w:pStyle w:val="Normal"/>
        <w:bidi w:val="0"/>
        <w:spacing w:before="0" w:beforeAutospacing="off" w:after="0" w:afterAutospacing="off"/>
      </w:pPr>
      <w:r w:rsidRPr="2AA95F6F" w:rsidR="38EEB742">
        <w:rPr>
          <w:b w:val="1"/>
          <w:bCs w:val="1"/>
          <w:sz w:val="32"/>
          <w:szCs w:val="32"/>
        </w:rPr>
        <w:t xml:space="preserve">Source tracking table </w:t>
      </w:r>
    </w:p>
    <w:p w:rsidR="2AA95F6F" w:rsidP="2AA95F6F" w:rsidRDefault="2AA95F6F" w14:paraId="07ED5995" w14:textId="61991A5D">
      <w:pPr>
        <w:pStyle w:val="Normal"/>
        <w:bidi w:val="0"/>
        <w:spacing w:before="0" w:beforeAutospacing="off" w:after="0" w:afterAutospacing="off"/>
        <w:rPr>
          <w:b w:val="1"/>
          <w:bCs w:val="1"/>
          <w:sz w:val="32"/>
          <w:szCs w:val="32"/>
        </w:rPr>
      </w:pPr>
    </w:p>
    <w:p w:rsidR="230C96DD" w:rsidP="2AA95F6F" w:rsidRDefault="230C96DD" w14:paraId="2922FFB5" w14:textId="08ADA967">
      <w:pPr>
        <w:shd w:val="clear" w:color="auto" w:fill="FFFFFF" w:themeFill="background1"/>
        <w:bidi w:val="0"/>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pPr>
      <w:r w:rsidRPr="2AA95F6F" w:rsidR="230C96DD">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Role of Social Services in Safeguarding Young People in the UK</w:t>
      </w:r>
      <w:r w:rsidRPr="2AA95F6F" w:rsidR="37B1D6C1">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w:t>
      </w:r>
    </w:p>
    <w:tbl>
      <w:tblPr>
        <w:tblStyle w:val="TableGrid"/>
        <w:bidiVisual w:val="0"/>
        <w:tblW w:w="0" w:type="auto"/>
        <w:tblLook w:val="06A0" w:firstRow="1" w:lastRow="0" w:firstColumn="1" w:lastColumn="0" w:noHBand="1" w:noVBand="1"/>
      </w:tblPr>
      <w:tblGrid>
        <w:gridCol w:w="1665"/>
        <w:gridCol w:w="1305"/>
        <w:gridCol w:w="1590"/>
        <w:gridCol w:w="1410"/>
        <w:gridCol w:w="3174"/>
      </w:tblGrid>
      <w:tr w:rsidR="2AA95F6F" w:rsidTr="2AA95F6F" w14:paraId="47E0DCF0">
        <w:trPr>
          <w:trHeight w:val="300"/>
        </w:trPr>
        <w:tc>
          <w:tcPr>
            <w:cnfStyle w:val="001000000000" w:firstRow="0" w:lastRow="0" w:firstColumn="1" w:lastColumn="0" w:oddVBand="0" w:evenVBand="0" w:oddHBand="0" w:evenHBand="0" w:firstRowFirstColumn="0" w:firstRowLastColumn="0" w:lastRowFirstColumn="0" w:lastRowLastColumn="0"/>
            <w:tcW w:w="1665" w:type="dxa"/>
            <w:tcMar/>
          </w:tcPr>
          <w:p w:rsidR="2AA95F6F" w:rsidP="2AA95F6F" w:rsidRDefault="2AA95F6F" w14:paraId="2AF560EC" w14:textId="39F7F567">
            <w:pPr>
              <w:bidi w:val="0"/>
              <w:spacing w:before="0" w:beforeAutospacing="off" w:after="0" w:afterAutospacing="off"/>
              <w:jc w:val="center"/>
              <w:rPr>
                <w:rFonts w:ascii="Arial" w:hAnsi="Arial" w:eastAsia="Arial" w:cs="Arial"/>
                <w:b w:val="1"/>
                <w:bCs w:val="1"/>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1"/>
                <w:bCs w:val="1"/>
                <w:i w:val="0"/>
                <w:iCs w:val="0"/>
                <w:caps w:val="0"/>
                <w:smallCaps w:val="0"/>
                <w:strike w:val="0"/>
                <w:dstrike w:val="0"/>
                <w:color w:val="000000" w:themeColor="text1" w:themeTint="FF" w:themeShade="FF"/>
                <w:sz w:val="22"/>
                <w:szCs w:val="22"/>
                <w:u w:val="none"/>
              </w:rPr>
              <w:t>Theme</w:t>
            </w:r>
          </w:p>
        </w:tc>
        <w:tc>
          <w:tcPr>
            <w:cnfStyle w:val="000000000000" w:firstRow="0" w:lastRow="0" w:firstColumn="0" w:lastColumn="0" w:oddVBand="0" w:evenVBand="0" w:oddHBand="0" w:evenHBand="0" w:firstRowFirstColumn="0" w:firstRowLastColumn="0" w:lastRowFirstColumn="0" w:lastRowLastColumn="0"/>
            <w:tcW w:w="1305" w:type="dxa"/>
            <w:tcMar/>
          </w:tcPr>
          <w:p w:rsidR="2AA95F6F" w:rsidP="2AA95F6F" w:rsidRDefault="2AA95F6F" w14:paraId="61A190BF" w14:textId="74BB2D3E">
            <w:pPr>
              <w:bidi w:val="0"/>
              <w:spacing w:before="0" w:beforeAutospacing="off" w:after="0" w:afterAutospacing="off"/>
              <w:jc w:val="center"/>
              <w:rPr>
                <w:rFonts w:ascii="Arial" w:hAnsi="Arial" w:eastAsia="Arial" w:cs="Arial"/>
                <w:b w:val="1"/>
                <w:bCs w:val="1"/>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1"/>
                <w:bCs w:val="1"/>
                <w:i w:val="0"/>
                <w:iCs w:val="0"/>
                <w:caps w:val="0"/>
                <w:smallCaps w:val="0"/>
                <w:strike w:val="0"/>
                <w:dstrike w:val="0"/>
                <w:color w:val="000000" w:themeColor="text1" w:themeTint="FF" w:themeShade="FF"/>
                <w:sz w:val="22"/>
                <w:szCs w:val="22"/>
                <w:u w:val="none"/>
              </w:rPr>
              <w:t>Source</w:t>
            </w:r>
          </w:p>
        </w:tc>
        <w:tc>
          <w:tcPr>
            <w:cnfStyle w:val="000000000000" w:firstRow="0" w:lastRow="0" w:firstColumn="0" w:lastColumn="0" w:oddVBand="0" w:evenVBand="0" w:oddHBand="0" w:evenHBand="0" w:firstRowFirstColumn="0" w:firstRowLastColumn="0" w:lastRowFirstColumn="0" w:lastRowLastColumn="0"/>
            <w:tcW w:w="1590" w:type="dxa"/>
            <w:tcMar/>
          </w:tcPr>
          <w:p w:rsidR="2AA95F6F" w:rsidP="2AA95F6F" w:rsidRDefault="2AA95F6F" w14:paraId="38860FB7" w14:textId="15E4AE3F">
            <w:pPr>
              <w:bidi w:val="0"/>
              <w:spacing w:before="0" w:beforeAutospacing="off" w:after="0" w:afterAutospacing="off"/>
              <w:jc w:val="center"/>
              <w:rPr>
                <w:rFonts w:ascii="Arial" w:hAnsi="Arial" w:eastAsia="Arial" w:cs="Arial"/>
                <w:b w:val="1"/>
                <w:bCs w:val="1"/>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1"/>
                <w:bCs w:val="1"/>
                <w:i w:val="0"/>
                <w:iCs w:val="0"/>
                <w:caps w:val="0"/>
                <w:smallCaps w:val="0"/>
                <w:strike w:val="0"/>
                <w:dstrike w:val="0"/>
                <w:color w:val="000000" w:themeColor="text1" w:themeTint="FF" w:themeShade="FF"/>
                <w:sz w:val="22"/>
                <w:szCs w:val="22"/>
                <w:u w:val="none"/>
              </w:rPr>
              <w:t>Key Findings / Evidence</w:t>
            </w:r>
          </w:p>
        </w:tc>
        <w:tc>
          <w:tcPr>
            <w:cnfStyle w:val="000000000000" w:firstRow="0" w:lastRow="0" w:firstColumn="0" w:lastColumn="0" w:oddVBand="0" w:evenVBand="0" w:oddHBand="0" w:evenHBand="0" w:firstRowFirstColumn="0" w:firstRowLastColumn="0" w:lastRowFirstColumn="0" w:lastRowLastColumn="0"/>
            <w:tcW w:w="1410" w:type="dxa"/>
            <w:tcMar/>
          </w:tcPr>
          <w:p w:rsidR="2AA95F6F" w:rsidP="2AA95F6F" w:rsidRDefault="2AA95F6F" w14:paraId="52B2C9A5" w14:textId="42E89AEA">
            <w:pPr>
              <w:bidi w:val="0"/>
              <w:spacing w:before="0" w:beforeAutospacing="off" w:after="0" w:afterAutospacing="off"/>
              <w:jc w:val="center"/>
              <w:rPr>
                <w:rFonts w:ascii="Arial" w:hAnsi="Arial" w:eastAsia="Arial" w:cs="Arial"/>
                <w:b w:val="1"/>
                <w:bCs w:val="1"/>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1"/>
                <w:bCs w:val="1"/>
                <w:i w:val="0"/>
                <w:iCs w:val="0"/>
                <w:caps w:val="0"/>
                <w:smallCaps w:val="0"/>
                <w:strike w:val="0"/>
                <w:dstrike w:val="0"/>
                <w:color w:val="000000" w:themeColor="text1" w:themeTint="FF" w:themeShade="FF"/>
                <w:sz w:val="22"/>
                <w:szCs w:val="22"/>
                <w:u w:val="none"/>
              </w:rPr>
              <w:t>Notes / Use in Research</w:t>
            </w:r>
          </w:p>
        </w:tc>
        <w:tc>
          <w:tcPr>
            <w:cnfStyle w:val="000000000000" w:firstRow="0" w:lastRow="0" w:firstColumn="0" w:lastColumn="0" w:oddVBand="0" w:evenVBand="0" w:oddHBand="0" w:evenHBand="0" w:firstRowFirstColumn="0" w:firstRowLastColumn="0" w:lastRowFirstColumn="0" w:lastRowLastColumn="0"/>
            <w:tcW w:w="3174" w:type="dxa"/>
            <w:tcMar/>
          </w:tcPr>
          <w:p w:rsidR="2AA95F6F" w:rsidP="2AA95F6F" w:rsidRDefault="2AA95F6F" w14:paraId="5AA182E6" w14:textId="7A24AE0B">
            <w:pPr>
              <w:bidi w:val="0"/>
              <w:spacing w:before="0" w:beforeAutospacing="off" w:after="0" w:afterAutospacing="off"/>
              <w:jc w:val="center"/>
              <w:rPr>
                <w:rFonts w:ascii="Arial" w:hAnsi="Arial" w:eastAsia="Arial" w:cs="Arial"/>
                <w:b w:val="1"/>
                <w:bCs w:val="1"/>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1"/>
                <w:bCs w:val="1"/>
                <w:i w:val="0"/>
                <w:iCs w:val="0"/>
                <w:caps w:val="0"/>
                <w:smallCaps w:val="0"/>
                <w:strike w:val="0"/>
                <w:dstrike w:val="0"/>
                <w:color w:val="000000" w:themeColor="text1" w:themeTint="FF" w:themeShade="FF"/>
                <w:sz w:val="22"/>
                <w:szCs w:val="22"/>
                <w:u w:val="none"/>
              </w:rPr>
              <w:t>Harvard Reference</w:t>
            </w:r>
          </w:p>
        </w:tc>
      </w:tr>
      <w:tr w:rsidR="2AA95F6F" w:rsidTr="2AA95F6F" w14:paraId="6C9C2022">
        <w:trPr>
          <w:trHeight w:val="300"/>
        </w:trPr>
        <w:tc>
          <w:tcPr>
            <w:cnfStyle w:val="001000000000" w:firstRow="0" w:lastRow="0" w:firstColumn="1" w:lastColumn="0" w:oddVBand="0" w:evenVBand="0" w:oddHBand="0" w:evenHBand="0" w:firstRowFirstColumn="0" w:firstRowLastColumn="0" w:lastRowFirstColumn="0" w:lastRowLastColumn="0"/>
            <w:tcW w:w="1665" w:type="dxa"/>
            <w:tcMar/>
          </w:tcPr>
          <w:p w:rsidR="2AA95F6F" w:rsidP="2AA95F6F" w:rsidRDefault="2AA95F6F" w14:paraId="1DDCE4FA" w14:textId="6D566655">
            <w:pPr>
              <w:bidi w:val="0"/>
              <w:spacing w:before="0" w:beforeAutospacing="off" w:after="0" w:afterAutospacing="off"/>
              <w:rPr>
                <w:rFonts w:ascii="Arial" w:hAnsi="Arial" w:eastAsia="Arial" w:cs="Arial"/>
                <w:b w:val="1"/>
                <w:bCs w:val="1"/>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1"/>
                <w:bCs w:val="1"/>
                <w:i w:val="0"/>
                <w:iCs w:val="0"/>
                <w:caps w:val="0"/>
                <w:smallCaps w:val="0"/>
                <w:strike w:val="0"/>
                <w:dstrike w:val="0"/>
                <w:color w:val="000000" w:themeColor="text1" w:themeTint="FF" w:themeShade="FF"/>
                <w:sz w:val="22"/>
                <w:szCs w:val="22"/>
                <w:u w:val="none"/>
              </w:rPr>
              <w:t>Early Intervention</w:t>
            </w:r>
          </w:p>
        </w:tc>
        <w:tc>
          <w:tcPr>
            <w:cnfStyle w:val="000000000000" w:firstRow="0" w:lastRow="0" w:firstColumn="0" w:lastColumn="0" w:oddVBand="0" w:evenVBand="0" w:oddHBand="0" w:evenHBand="0" w:firstRowFirstColumn="0" w:firstRowLastColumn="0" w:lastRowFirstColumn="0" w:lastRowLastColumn="0"/>
            <w:tcW w:w="1305" w:type="dxa"/>
            <w:tcMar/>
          </w:tcPr>
          <w:p w:rsidR="2AA95F6F" w:rsidP="2AA95F6F" w:rsidRDefault="2AA95F6F" w14:paraId="2282F04F" w14:textId="4BD84600">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Department for Education (2022)</w:t>
            </w:r>
          </w:p>
        </w:tc>
        <w:tc>
          <w:tcPr>
            <w:cnfStyle w:val="000000000000" w:firstRow="0" w:lastRow="0" w:firstColumn="0" w:lastColumn="0" w:oddVBand="0" w:evenVBand="0" w:oddHBand="0" w:evenHBand="0" w:firstRowFirstColumn="0" w:firstRowLastColumn="0" w:lastRowFirstColumn="0" w:lastRowLastColumn="0"/>
            <w:tcW w:w="1590" w:type="dxa"/>
            <w:tcMar/>
          </w:tcPr>
          <w:p w:rsidR="2AA95F6F" w:rsidP="2AA95F6F" w:rsidRDefault="2AA95F6F" w14:paraId="60C12528" w14:textId="23BD3FEC">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Early interventions reduced repeat safeguarding incidents by 15% and improved educational outcomes</w:t>
            </w:r>
          </w:p>
        </w:tc>
        <w:tc>
          <w:tcPr>
            <w:cnfStyle w:val="000000000000" w:firstRow="0" w:lastRow="0" w:firstColumn="0" w:lastColumn="0" w:oddVBand="0" w:evenVBand="0" w:oddHBand="0" w:evenHBand="0" w:firstRowFirstColumn="0" w:firstRowLastColumn="0" w:lastRowFirstColumn="0" w:lastRowLastColumn="0"/>
            <w:tcW w:w="1410" w:type="dxa"/>
            <w:tcMar/>
          </w:tcPr>
          <w:p w:rsidR="2AA95F6F" w:rsidP="2AA95F6F" w:rsidRDefault="2AA95F6F" w14:paraId="4F202F5F" w14:textId="24CD2238">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Shows importance of proactive approaches in child protection</w:t>
            </w:r>
          </w:p>
        </w:tc>
        <w:tc>
          <w:tcPr>
            <w:cnfStyle w:val="000000000000" w:firstRow="0" w:lastRow="0" w:firstColumn="0" w:lastColumn="0" w:oddVBand="0" w:evenVBand="0" w:oddHBand="0" w:evenHBand="0" w:firstRowFirstColumn="0" w:firstRowLastColumn="0" w:lastRowFirstColumn="0" w:lastRowLastColumn="0"/>
            <w:tcW w:w="3174" w:type="dxa"/>
            <w:tcMar/>
          </w:tcPr>
          <w:p w:rsidR="2AA95F6F" w:rsidP="2AA95F6F" w:rsidRDefault="2AA95F6F" w14:paraId="67F9F79E" w14:textId="403436BA">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Department for Education (2022) </w:t>
            </w:r>
            <w:r w:rsidRPr="2AA95F6F" w:rsidR="2AA95F6F">
              <w:rPr>
                <w:rFonts w:ascii="Arial" w:hAnsi="Arial" w:eastAsia="Arial" w:cs="Arial"/>
                <w:b w:val="0"/>
                <w:bCs w:val="0"/>
                <w:i w:val="1"/>
                <w:iCs w:val="1"/>
                <w:caps w:val="0"/>
                <w:smallCaps w:val="0"/>
                <w:strike w:val="0"/>
                <w:dstrike w:val="0"/>
                <w:color w:val="000000" w:themeColor="text1" w:themeTint="FF" w:themeShade="FF"/>
                <w:sz w:val="22"/>
                <w:szCs w:val="22"/>
                <w:u w:val="none"/>
              </w:rPr>
              <w:t>Children’s Social Care Review: Safeguarding and Care Outcomes</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London: Department for Education. Available at: </w:t>
            </w:r>
            <w:hyperlink r:id="R9d1d01311d724a8d">
              <w:r w:rsidRPr="2AA95F6F" w:rsidR="2AA95F6F">
                <w:rPr>
                  <w:rStyle w:val="Hyperlink"/>
                  <w:rFonts w:ascii="Arial" w:hAnsi="Arial" w:eastAsia="Arial" w:cs="Arial"/>
                  <w:b w:val="0"/>
                  <w:bCs w:val="0"/>
                  <w:i w:val="0"/>
                  <w:iCs w:val="0"/>
                  <w:caps w:val="0"/>
                  <w:smallCaps w:val="0"/>
                  <w:strike w:val="0"/>
                  <w:dstrike w:val="0"/>
                  <w:color w:val="1155CC"/>
                  <w:sz w:val="22"/>
                  <w:szCs w:val="22"/>
                  <w:u w:val="none"/>
                </w:rPr>
                <w:t>https://www.gov.uk/government/publications/childrens-social-care-review</w:t>
              </w:r>
            </w:hyperlink>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t>
            </w:r>
            <w:r w:rsidRPr="2AA95F6F" w:rsidR="45673529">
              <w:rPr>
                <w:rFonts w:ascii="Arial" w:hAnsi="Arial" w:eastAsia="Arial" w:cs="Arial"/>
                <w:b w:val="0"/>
                <w:bCs w:val="0"/>
                <w:i w:val="0"/>
                <w:iCs w:val="0"/>
                <w:caps w:val="0"/>
                <w:smallCaps w:val="0"/>
                <w:strike w:val="0"/>
                <w:dstrike w:val="0"/>
                <w:color w:val="000000" w:themeColor="text1" w:themeTint="FF" w:themeShade="FF"/>
                <w:sz w:val="22"/>
                <w:szCs w:val="22"/>
                <w:u w:val="none"/>
              </w:rPr>
              <w:t>(</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Accessed </w:t>
            </w:r>
            <w:r w:rsidRPr="2AA95F6F" w:rsidR="69B0623E">
              <w:rPr>
                <w:rFonts w:ascii="Arial" w:hAnsi="Arial" w:eastAsia="Arial" w:cs="Arial"/>
                <w:b w:val="0"/>
                <w:bCs w:val="0"/>
                <w:i w:val="0"/>
                <w:iCs w:val="0"/>
                <w:caps w:val="0"/>
                <w:smallCaps w:val="0"/>
                <w:strike w:val="0"/>
                <w:dstrike w:val="0"/>
                <w:color w:val="000000" w:themeColor="text1" w:themeTint="FF" w:themeShade="FF"/>
                <w:sz w:val="22"/>
                <w:szCs w:val="22"/>
                <w:u w:val="none"/>
              </w:rPr>
              <w:t>21</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March 2026</w:t>
            </w:r>
            <w:r w:rsidRPr="2AA95F6F" w:rsidR="581597E0">
              <w:rPr>
                <w:rFonts w:ascii="Arial" w:hAnsi="Arial" w:eastAsia="Arial" w:cs="Arial"/>
                <w:b w:val="0"/>
                <w:bCs w:val="0"/>
                <w:i w:val="0"/>
                <w:iCs w:val="0"/>
                <w:caps w:val="0"/>
                <w:smallCaps w:val="0"/>
                <w:strike w:val="0"/>
                <w:dstrike w:val="0"/>
                <w:color w:val="000000" w:themeColor="text1" w:themeTint="FF" w:themeShade="FF"/>
                <w:sz w:val="22"/>
                <w:szCs w:val="22"/>
                <w:u w:val="none"/>
              </w:rPr>
              <w:t>)</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w:t>
            </w:r>
          </w:p>
        </w:tc>
      </w:tr>
      <w:tr w:rsidR="2AA95F6F" w:rsidTr="2AA95F6F" w14:paraId="73483F51">
        <w:trPr>
          <w:trHeight w:val="300"/>
        </w:trPr>
        <w:tc>
          <w:tcPr>
            <w:cnfStyle w:val="001000000000" w:firstRow="0" w:lastRow="0" w:firstColumn="1" w:lastColumn="0" w:oddVBand="0" w:evenVBand="0" w:oddHBand="0" w:evenHBand="0" w:firstRowFirstColumn="0" w:firstRowLastColumn="0" w:lastRowFirstColumn="0" w:lastRowLastColumn="0"/>
            <w:tcW w:w="1665" w:type="dxa"/>
            <w:tcMar/>
          </w:tcPr>
          <w:p w:rsidR="2AA95F6F" w:rsidP="2AA95F6F" w:rsidRDefault="2AA95F6F" w14:paraId="0274461D" w14:textId="66412941">
            <w:pPr>
              <w:bidi w:val="0"/>
              <w:spacing w:before="0" w:beforeAutospacing="off" w:after="0" w:afterAutospacing="off"/>
              <w:rPr>
                <w:rFonts w:ascii="Arial" w:hAnsi="Arial" w:eastAsia="Arial" w:cs="Arial"/>
                <w:b w:val="1"/>
                <w:bCs w:val="1"/>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1"/>
                <w:bCs w:val="1"/>
                <w:i w:val="0"/>
                <w:iCs w:val="0"/>
                <w:caps w:val="0"/>
                <w:smallCaps w:val="0"/>
                <w:strike w:val="0"/>
                <w:dstrike w:val="0"/>
                <w:color w:val="000000" w:themeColor="text1" w:themeTint="FF" w:themeShade="FF"/>
                <w:sz w:val="22"/>
                <w:szCs w:val="22"/>
                <w:u w:val="none"/>
              </w:rPr>
              <w:t>Multi-Agency Collaboration</w:t>
            </w:r>
          </w:p>
        </w:tc>
        <w:tc>
          <w:tcPr>
            <w:cnfStyle w:val="000000000000" w:firstRow="0" w:lastRow="0" w:firstColumn="0" w:lastColumn="0" w:oddVBand="0" w:evenVBand="0" w:oddHBand="0" w:evenHBand="0" w:firstRowFirstColumn="0" w:firstRowLastColumn="0" w:lastRowFirstColumn="0" w:lastRowLastColumn="0"/>
            <w:tcW w:w="1305" w:type="dxa"/>
            <w:tcMar/>
          </w:tcPr>
          <w:p w:rsidR="2AA95F6F" w:rsidP="2AA95F6F" w:rsidRDefault="2AA95F6F" w14:paraId="1C7122C2" w14:textId="43DA5DFD">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NSPCC (2021)</w:t>
            </w:r>
          </w:p>
        </w:tc>
        <w:tc>
          <w:tcPr>
            <w:cnfStyle w:val="000000000000" w:firstRow="0" w:lastRow="0" w:firstColumn="0" w:lastColumn="0" w:oddVBand="0" w:evenVBand="0" w:oddHBand="0" w:evenHBand="0" w:firstRowFirstColumn="0" w:firstRowLastColumn="0" w:lastRowFirstColumn="0" w:lastRowLastColumn="0"/>
            <w:tcW w:w="1590" w:type="dxa"/>
            <w:tcMar/>
          </w:tcPr>
          <w:p w:rsidR="2AA95F6F" w:rsidP="2AA95F6F" w:rsidRDefault="2AA95F6F" w14:paraId="41E1133E" w14:textId="6B95D683">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Collaboration between social services, schools, and healthcare improved reporting and prevented entry into care in 70% of cases</w:t>
            </w:r>
          </w:p>
        </w:tc>
        <w:tc>
          <w:tcPr>
            <w:cnfStyle w:val="000000000000" w:firstRow="0" w:lastRow="0" w:firstColumn="0" w:lastColumn="0" w:oddVBand="0" w:evenVBand="0" w:oddHBand="0" w:evenHBand="0" w:firstRowFirstColumn="0" w:firstRowLastColumn="0" w:lastRowFirstColumn="0" w:lastRowLastColumn="0"/>
            <w:tcW w:w="1410" w:type="dxa"/>
            <w:tcMar/>
          </w:tcPr>
          <w:p w:rsidR="2AA95F6F" w:rsidP="2AA95F6F" w:rsidRDefault="2AA95F6F" w14:paraId="1E3EEF3F" w14:textId="526A0CB9">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Supports argument for integrated safeguarding approaches</w:t>
            </w:r>
          </w:p>
        </w:tc>
        <w:tc>
          <w:tcPr>
            <w:cnfStyle w:val="000000000000" w:firstRow="0" w:lastRow="0" w:firstColumn="0" w:lastColumn="0" w:oddVBand="0" w:evenVBand="0" w:oddHBand="0" w:evenHBand="0" w:firstRowFirstColumn="0" w:firstRowLastColumn="0" w:lastRowFirstColumn="0" w:lastRowLastColumn="0"/>
            <w:tcW w:w="3174" w:type="dxa"/>
            <w:tcMar/>
          </w:tcPr>
          <w:p w:rsidR="2AA95F6F" w:rsidP="2AA95F6F" w:rsidRDefault="2AA95F6F" w14:paraId="4C28F1B5" w14:textId="0BDD53C4">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NSPCC (2021) </w:t>
            </w:r>
            <w:r w:rsidRPr="2AA95F6F" w:rsidR="2AA95F6F">
              <w:rPr>
                <w:rFonts w:ascii="Arial" w:hAnsi="Arial" w:eastAsia="Arial" w:cs="Arial"/>
                <w:b w:val="0"/>
                <w:bCs w:val="0"/>
                <w:i w:val="1"/>
                <w:iCs w:val="1"/>
                <w:caps w:val="0"/>
                <w:smallCaps w:val="0"/>
                <w:strike w:val="0"/>
                <w:dstrike w:val="0"/>
                <w:color w:val="000000" w:themeColor="text1" w:themeTint="FF" w:themeShade="FF"/>
                <w:sz w:val="22"/>
                <w:szCs w:val="22"/>
                <w:u w:val="none"/>
              </w:rPr>
              <w:t>Safeguarding Effectiveness in the UK: Multi-Agency Approaches to Child Protection</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London: NSPCC. Available at: </w:t>
            </w:r>
            <w:hyperlink r:id="Ra8a838c63b7b4ee7">
              <w:r w:rsidRPr="2AA95F6F" w:rsidR="2AA95F6F">
                <w:rPr>
                  <w:rStyle w:val="Hyperlink"/>
                  <w:rFonts w:ascii="Arial" w:hAnsi="Arial" w:eastAsia="Arial" w:cs="Arial"/>
                  <w:b w:val="0"/>
                  <w:bCs w:val="0"/>
                  <w:i w:val="0"/>
                  <w:iCs w:val="0"/>
                  <w:caps w:val="0"/>
                  <w:smallCaps w:val="0"/>
                  <w:strike w:val="0"/>
                  <w:dstrike w:val="0"/>
                  <w:color w:val="1155CC"/>
                  <w:sz w:val="22"/>
                  <w:szCs w:val="22"/>
                  <w:u w:val="none"/>
                </w:rPr>
                <w:t>https://www.nspcc.org.uk/what-we-do/research</w:t>
              </w:r>
            </w:hyperlink>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t>
            </w:r>
            <w:r w:rsidRPr="2AA95F6F" w:rsidR="6CC8C914">
              <w:rPr>
                <w:rFonts w:ascii="Arial" w:hAnsi="Arial" w:eastAsia="Arial" w:cs="Arial"/>
                <w:b w:val="0"/>
                <w:bCs w:val="0"/>
                <w:i w:val="0"/>
                <w:iCs w:val="0"/>
                <w:caps w:val="0"/>
                <w:smallCaps w:val="0"/>
                <w:strike w:val="0"/>
                <w:dstrike w:val="0"/>
                <w:color w:val="000000" w:themeColor="text1" w:themeTint="FF" w:themeShade="FF"/>
                <w:sz w:val="22"/>
                <w:szCs w:val="22"/>
                <w:u w:val="none"/>
              </w:rPr>
              <w:t>(</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Accessed 30 March 2026</w:t>
            </w:r>
            <w:r w:rsidRPr="2AA95F6F" w:rsidR="6B58AF5D">
              <w:rPr>
                <w:rFonts w:ascii="Arial" w:hAnsi="Arial" w:eastAsia="Arial" w:cs="Arial"/>
                <w:b w:val="0"/>
                <w:bCs w:val="0"/>
                <w:i w:val="0"/>
                <w:iCs w:val="0"/>
                <w:caps w:val="0"/>
                <w:smallCaps w:val="0"/>
                <w:strike w:val="0"/>
                <w:dstrike w:val="0"/>
                <w:color w:val="000000" w:themeColor="text1" w:themeTint="FF" w:themeShade="FF"/>
                <w:sz w:val="22"/>
                <w:szCs w:val="22"/>
                <w:u w:val="none"/>
              </w:rPr>
              <w:t>)</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w:t>
            </w:r>
          </w:p>
        </w:tc>
      </w:tr>
      <w:tr w:rsidR="2AA95F6F" w:rsidTr="2AA95F6F" w14:paraId="2AB4BD38">
        <w:trPr>
          <w:trHeight w:val="300"/>
        </w:trPr>
        <w:tc>
          <w:tcPr>
            <w:cnfStyle w:val="001000000000" w:firstRow="0" w:lastRow="0" w:firstColumn="1" w:lastColumn="0" w:oddVBand="0" w:evenVBand="0" w:oddHBand="0" w:evenHBand="0" w:firstRowFirstColumn="0" w:firstRowLastColumn="0" w:lastRowFirstColumn="0" w:lastRowLastColumn="0"/>
            <w:tcW w:w="1665" w:type="dxa"/>
            <w:tcMar/>
          </w:tcPr>
          <w:p w:rsidR="2AA95F6F" w:rsidP="2AA95F6F" w:rsidRDefault="2AA95F6F" w14:paraId="19515878" w14:textId="5B8CCDB8">
            <w:pPr>
              <w:bidi w:val="0"/>
              <w:spacing w:before="0" w:beforeAutospacing="off" w:after="0" w:afterAutospacing="off"/>
              <w:rPr>
                <w:rFonts w:ascii="Arial" w:hAnsi="Arial" w:eastAsia="Arial" w:cs="Arial"/>
                <w:b w:val="1"/>
                <w:bCs w:val="1"/>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1"/>
                <w:bCs w:val="1"/>
                <w:i w:val="0"/>
                <w:iCs w:val="0"/>
                <w:caps w:val="0"/>
                <w:smallCaps w:val="0"/>
                <w:strike w:val="0"/>
                <w:dstrike w:val="0"/>
                <w:color w:val="000000" w:themeColor="text1" w:themeTint="FF" w:themeShade="FF"/>
                <w:sz w:val="22"/>
                <w:szCs w:val="22"/>
                <w:u w:val="none"/>
              </w:rPr>
              <w:t>Family Support &amp; Parenting Programs</w:t>
            </w:r>
          </w:p>
        </w:tc>
        <w:tc>
          <w:tcPr>
            <w:cnfStyle w:val="000000000000" w:firstRow="0" w:lastRow="0" w:firstColumn="0" w:lastColumn="0" w:oddVBand="0" w:evenVBand="0" w:oddHBand="0" w:evenHBand="0" w:firstRowFirstColumn="0" w:firstRowLastColumn="0" w:lastRowFirstColumn="0" w:lastRowLastColumn="0"/>
            <w:tcW w:w="1305" w:type="dxa"/>
            <w:tcMar/>
          </w:tcPr>
          <w:p w:rsidR="2AA95F6F" w:rsidP="2AA95F6F" w:rsidRDefault="2AA95F6F" w14:paraId="66E9600B" w14:textId="69401272">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London Borough of Camden (2020)</w:t>
            </w:r>
          </w:p>
        </w:tc>
        <w:tc>
          <w:tcPr>
            <w:cnfStyle w:val="000000000000" w:firstRow="0" w:lastRow="0" w:firstColumn="0" w:lastColumn="0" w:oddVBand="0" w:evenVBand="0" w:oddHBand="0" w:evenHBand="0" w:firstRowFirstColumn="0" w:firstRowLastColumn="0" w:lastRowFirstColumn="0" w:lastRowLastColumn="0"/>
            <w:tcW w:w="1590" w:type="dxa"/>
            <w:tcMar/>
          </w:tcPr>
          <w:p w:rsidR="2AA95F6F" w:rsidP="2AA95F6F" w:rsidRDefault="2AA95F6F" w14:paraId="16A5C7CB" w14:textId="77ABD94E">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Parenting programs and mentoring reduced repeated neglect reports and improved parental engagement</w:t>
            </w:r>
          </w:p>
        </w:tc>
        <w:tc>
          <w:tcPr>
            <w:cnfStyle w:val="000000000000" w:firstRow="0" w:lastRow="0" w:firstColumn="0" w:lastColumn="0" w:oddVBand="0" w:evenVBand="0" w:oddHBand="0" w:evenHBand="0" w:firstRowFirstColumn="0" w:firstRowLastColumn="0" w:lastRowFirstColumn="0" w:lastRowLastColumn="0"/>
            <w:tcW w:w="1410" w:type="dxa"/>
            <w:tcMar/>
          </w:tcPr>
          <w:p w:rsidR="2AA95F6F" w:rsidP="2AA95F6F" w:rsidRDefault="2AA95F6F" w14:paraId="75E8AD4E" w14:textId="2EAE1DB4">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Useful for discussing targeted interventions at family level</w:t>
            </w:r>
          </w:p>
        </w:tc>
        <w:tc>
          <w:tcPr>
            <w:cnfStyle w:val="000000000000" w:firstRow="0" w:lastRow="0" w:firstColumn="0" w:lastColumn="0" w:oddVBand="0" w:evenVBand="0" w:oddHBand="0" w:evenHBand="0" w:firstRowFirstColumn="0" w:firstRowLastColumn="0" w:lastRowFirstColumn="0" w:lastRowLastColumn="0"/>
            <w:tcW w:w="3174" w:type="dxa"/>
            <w:tcMar/>
          </w:tcPr>
          <w:p w:rsidR="2AA95F6F" w:rsidP="2AA95F6F" w:rsidRDefault="2AA95F6F" w14:paraId="3094C73F" w14:textId="3EC15465">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London Borough of Camden (2020) </w:t>
            </w:r>
            <w:r w:rsidRPr="2AA95F6F" w:rsidR="2AA95F6F">
              <w:rPr>
                <w:rFonts w:ascii="Arial" w:hAnsi="Arial" w:eastAsia="Arial" w:cs="Arial"/>
                <w:b w:val="0"/>
                <w:bCs w:val="0"/>
                <w:i w:val="1"/>
                <w:iCs w:val="1"/>
                <w:caps w:val="0"/>
                <w:smallCaps w:val="0"/>
                <w:strike w:val="0"/>
                <w:dstrike w:val="0"/>
                <w:color w:val="000000" w:themeColor="text1" w:themeTint="FF" w:themeShade="FF"/>
                <w:sz w:val="22"/>
                <w:szCs w:val="22"/>
                <w:u w:val="none"/>
              </w:rPr>
              <w:t>Evaluation of Child Protection Interventions: Case Study Report</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London: Camden Council.</w:t>
            </w:r>
          </w:p>
        </w:tc>
      </w:tr>
      <w:tr w:rsidR="2AA95F6F" w:rsidTr="2AA95F6F" w14:paraId="161E52AC">
        <w:trPr>
          <w:trHeight w:val="300"/>
        </w:trPr>
        <w:tc>
          <w:tcPr>
            <w:cnfStyle w:val="001000000000" w:firstRow="0" w:lastRow="0" w:firstColumn="1" w:lastColumn="0" w:oddVBand="0" w:evenVBand="0" w:oddHBand="0" w:evenHBand="0" w:firstRowFirstColumn="0" w:firstRowLastColumn="0" w:lastRowFirstColumn="0" w:lastRowLastColumn="0"/>
            <w:tcW w:w="1665" w:type="dxa"/>
            <w:tcMar/>
          </w:tcPr>
          <w:p w:rsidR="2AA95F6F" w:rsidP="2AA95F6F" w:rsidRDefault="2AA95F6F" w14:paraId="38311CC2" w14:textId="2E438BCC">
            <w:pPr>
              <w:bidi w:val="0"/>
              <w:spacing w:before="0" w:beforeAutospacing="off" w:after="0" w:afterAutospacing="off"/>
              <w:rPr>
                <w:rFonts w:ascii="Arial" w:hAnsi="Arial" w:eastAsia="Arial" w:cs="Arial"/>
                <w:b w:val="1"/>
                <w:bCs w:val="1"/>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1"/>
                <w:bCs w:val="1"/>
                <w:i w:val="0"/>
                <w:iCs w:val="0"/>
                <w:caps w:val="0"/>
                <w:smallCaps w:val="0"/>
                <w:strike w:val="0"/>
                <w:dstrike w:val="0"/>
                <w:color w:val="000000" w:themeColor="text1" w:themeTint="FF" w:themeShade="FF"/>
                <w:sz w:val="22"/>
                <w:szCs w:val="22"/>
                <w:u w:val="none"/>
              </w:rPr>
              <w:t>Training &amp; Systemic Improvement</w:t>
            </w:r>
          </w:p>
        </w:tc>
        <w:tc>
          <w:tcPr>
            <w:cnfStyle w:val="000000000000" w:firstRow="0" w:lastRow="0" w:firstColumn="0" w:lastColumn="0" w:oddVBand="0" w:evenVBand="0" w:oddHBand="0" w:evenHBand="0" w:firstRowFirstColumn="0" w:firstRowLastColumn="0" w:lastRowFirstColumn="0" w:lastRowLastColumn="0"/>
            <w:tcW w:w="1305" w:type="dxa"/>
            <w:tcMar/>
          </w:tcPr>
          <w:p w:rsidR="2AA95F6F" w:rsidP="2AA95F6F" w:rsidRDefault="2AA95F6F" w14:paraId="2D257548" w14:textId="5A0264BD">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Munro (2019)</w:t>
            </w:r>
          </w:p>
        </w:tc>
        <w:tc>
          <w:tcPr>
            <w:cnfStyle w:val="000000000000" w:firstRow="0" w:lastRow="0" w:firstColumn="0" w:lastColumn="0" w:oddVBand="0" w:evenVBand="0" w:oddHBand="0" w:evenHBand="0" w:firstRowFirstColumn="0" w:firstRowLastColumn="0" w:lastRowFirstColumn="0" w:lastRowLastColumn="0"/>
            <w:tcW w:w="1590" w:type="dxa"/>
            <w:tcMar/>
          </w:tcPr>
          <w:p w:rsidR="2AA95F6F" w:rsidP="2AA95F6F" w:rsidRDefault="2AA95F6F" w14:paraId="6C3483FA" w14:textId="73440781">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Improved training and clear guidelines enhanced identification </w:t>
            </w:r>
            <w:r w:rsidRPr="2AA95F6F" w:rsidR="59D1A1FE">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of </w:t>
            </w:r>
            <w:r w:rsidRPr="2AA95F6F" w:rsidR="59D1A1FE">
              <w:rPr>
                <w:rFonts w:ascii="Arial" w:hAnsi="Arial" w:eastAsia="Arial" w:cs="Arial"/>
                <w:b w:val="0"/>
                <w:bCs w:val="0"/>
                <w:i w:val="0"/>
                <w:iCs w:val="0"/>
                <w:caps w:val="0"/>
                <w:smallCaps w:val="0"/>
                <w:strike w:val="0"/>
                <w:dstrike w:val="0"/>
                <w:color w:val="000000" w:themeColor="text1" w:themeTint="FF" w:themeShade="FF"/>
                <w:sz w:val="22"/>
                <w:szCs w:val="22"/>
                <w:u w:val="none"/>
              </w:rPr>
              <w:t>high-risk</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children and reduced case management errors</w:t>
            </w:r>
          </w:p>
        </w:tc>
        <w:tc>
          <w:tcPr>
            <w:cnfStyle w:val="000000000000" w:firstRow="0" w:lastRow="0" w:firstColumn="0" w:lastColumn="0" w:oddVBand="0" w:evenVBand="0" w:oddHBand="0" w:evenHBand="0" w:firstRowFirstColumn="0" w:firstRowLastColumn="0" w:lastRowFirstColumn="0" w:lastRowLastColumn="0"/>
            <w:tcW w:w="1410" w:type="dxa"/>
            <w:tcMar/>
          </w:tcPr>
          <w:p w:rsidR="2AA95F6F" w:rsidP="2AA95F6F" w:rsidRDefault="2AA95F6F" w14:paraId="1A64D30C" w14:textId="0129A90C">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Demonstrates importance of professional development and robust systems</w:t>
            </w:r>
          </w:p>
        </w:tc>
        <w:tc>
          <w:tcPr>
            <w:cnfStyle w:val="000000000000" w:firstRow="0" w:lastRow="0" w:firstColumn="0" w:lastColumn="0" w:oddVBand="0" w:evenVBand="0" w:oddHBand="0" w:evenHBand="0" w:firstRowFirstColumn="0" w:firstRowLastColumn="0" w:lastRowFirstColumn="0" w:lastRowLastColumn="0"/>
            <w:tcW w:w="3174" w:type="dxa"/>
            <w:tcMar/>
          </w:tcPr>
          <w:p w:rsidR="2AA95F6F" w:rsidP="2AA95F6F" w:rsidRDefault="2AA95F6F" w14:paraId="69DF2AD9" w14:textId="30191B68">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Munro, E. (2019) </w:t>
            </w:r>
            <w:r w:rsidRPr="2AA95F6F" w:rsidR="2AA95F6F">
              <w:rPr>
                <w:rFonts w:ascii="Arial" w:hAnsi="Arial" w:eastAsia="Arial" w:cs="Arial"/>
                <w:b w:val="0"/>
                <w:bCs w:val="0"/>
                <w:i w:val="1"/>
                <w:iCs w:val="1"/>
                <w:caps w:val="0"/>
                <w:smallCaps w:val="0"/>
                <w:strike w:val="0"/>
                <w:dstrike w:val="0"/>
                <w:color w:val="000000" w:themeColor="text1" w:themeTint="FF" w:themeShade="FF"/>
                <w:sz w:val="22"/>
                <w:szCs w:val="22"/>
                <w:u w:val="none"/>
              </w:rPr>
              <w:t>The Munro Review of Child Protection: Final Report – A Child-Centred System</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London: Department for Education. Available at: </w:t>
            </w:r>
            <w:hyperlink r:id="R64fc8c4617fd44a1">
              <w:r w:rsidRPr="2AA95F6F" w:rsidR="2AA95F6F">
                <w:rPr>
                  <w:rStyle w:val="Hyperlink"/>
                  <w:rFonts w:ascii="Arial" w:hAnsi="Arial" w:eastAsia="Arial" w:cs="Arial"/>
                  <w:b w:val="0"/>
                  <w:bCs w:val="0"/>
                  <w:i w:val="0"/>
                  <w:iCs w:val="0"/>
                  <w:caps w:val="0"/>
                  <w:smallCaps w:val="0"/>
                  <w:strike w:val="0"/>
                  <w:dstrike w:val="0"/>
                  <w:color w:val="1155CC"/>
                  <w:sz w:val="22"/>
                  <w:szCs w:val="22"/>
                  <w:u w:val="none"/>
                </w:rPr>
                <w:t>https://www.gov.uk/government/publications/munro-review-of-child-protection-final-report-a-child-centred-system</w:t>
              </w:r>
            </w:hyperlink>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t>
            </w:r>
            <w:r w:rsidRPr="2AA95F6F" w:rsidR="0D8D6D8C">
              <w:rPr>
                <w:rFonts w:ascii="Arial" w:hAnsi="Arial" w:eastAsia="Arial" w:cs="Arial"/>
                <w:b w:val="0"/>
                <w:bCs w:val="0"/>
                <w:i w:val="0"/>
                <w:iCs w:val="0"/>
                <w:caps w:val="0"/>
                <w:smallCaps w:val="0"/>
                <w:strike w:val="0"/>
                <w:dstrike w:val="0"/>
                <w:color w:val="000000" w:themeColor="text1" w:themeTint="FF" w:themeShade="FF"/>
                <w:sz w:val="22"/>
                <w:szCs w:val="22"/>
                <w:u w:val="none"/>
              </w:rPr>
              <w:t>(</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Accessed </w:t>
            </w:r>
            <w:r w:rsidRPr="2AA95F6F" w:rsidR="7D0AD9C6">
              <w:rPr>
                <w:rFonts w:ascii="Arial" w:hAnsi="Arial" w:eastAsia="Arial" w:cs="Arial"/>
                <w:b w:val="0"/>
                <w:bCs w:val="0"/>
                <w:i w:val="0"/>
                <w:iCs w:val="0"/>
                <w:caps w:val="0"/>
                <w:smallCaps w:val="0"/>
                <w:strike w:val="0"/>
                <w:dstrike w:val="0"/>
                <w:color w:val="000000" w:themeColor="text1" w:themeTint="FF" w:themeShade="FF"/>
                <w:sz w:val="22"/>
                <w:szCs w:val="22"/>
                <w:u w:val="none"/>
              </w:rPr>
              <w:t>20</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March 2026</w:t>
            </w:r>
            <w:r w:rsidRPr="2AA95F6F" w:rsidR="396C69AA">
              <w:rPr>
                <w:rFonts w:ascii="Arial" w:hAnsi="Arial" w:eastAsia="Arial" w:cs="Arial"/>
                <w:b w:val="0"/>
                <w:bCs w:val="0"/>
                <w:i w:val="0"/>
                <w:iCs w:val="0"/>
                <w:caps w:val="0"/>
                <w:smallCaps w:val="0"/>
                <w:strike w:val="0"/>
                <w:dstrike w:val="0"/>
                <w:color w:val="000000" w:themeColor="text1" w:themeTint="FF" w:themeShade="FF"/>
                <w:sz w:val="22"/>
                <w:szCs w:val="22"/>
                <w:u w:val="none"/>
              </w:rPr>
              <w:t>)</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w:t>
            </w:r>
          </w:p>
        </w:tc>
      </w:tr>
      <w:tr w:rsidR="2AA95F6F" w:rsidTr="2AA95F6F" w14:paraId="4968EA3C">
        <w:trPr>
          <w:trHeight w:val="300"/>
        </w:trPr>
        <w:tc>
          <w:tcPr>
            <w:cnfStyle w:val="001000000000" w:firstRow="0" w:lastRow="0" w:firstColumn="1" w:lastColumn="0" w:oddVBand="0" w:evenVBand="0" w:oddHBand="0" w:evenHBand="0" w:firstRowFirstColumn="0" w:firstRowLastColumn="0" w:lastRowFirstColumn="0" w:lastRowLastColumn="0"/>
            <w:tcW w:w="1665" w:type="dxa"/>
            <w:tcMar/>
          </w:tcPr>
          <w:p w:rsidR="2AA95F6F" w:rsidP="2AA95F6F" w:rsidRDefault="2AA95F6F" w14:paraId="783D62A9" w14:textId="20F4E43B">
            <w:pPr>
              <w:bidi w:val="0"/>
              <w:spacing w:before="0" w:beforeAutospacing="off" w:after="0" w:afterAutospacing="off"/>
              <w:rPr>
                <w:rFonts w:ascii="Arial" w:hAnsi="Arial" w:eastAsia="Arial" w:cs="Arial"/>
                <w:b w:val="1"/>
                <w:bCs w:val="1"/>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1"/>
                <w:bCs w:val="1"/>
                <w:i w:val="0"/>
                <w:iCs w:val="0"/>
                <w:caps w:val="0"/>
                <w:smallCaps w:val="0"/>
                <w:strike w:val="0"/>
                <w:dstrike w:val="0"/>
                <w:color w:val="000000" w:themeColor="text1" w:themeTint="FF" w:themeShade="FF"/>
                <w:sz w:val="22"/>
                <w:szCs w:val="22"/>
                <w:u w:val="none"/>
              </w:rPr>
              <w:t>Youth Justice &amp; Vulnerable Adolescents</w:t>
            </w:r>
          </w:p>
        </w:tc>
        <w:tc>
          <w:tcPr>
            <w:cnfStyle w:val="000000000000" w:firstRow="0" w:lastRow="0" w:firstColumn="0" w:lastColumn="0" w:oddVBand="0" w:evenVBand="0" w:oddHBand="0" w:evenHBand="0" w:firstRowFirstColumn="0" w:firstRowLastColumn="0" w:lastRowFirstColumn="0" w:lastRowLastColumn="0"/>
            <w:tcW w:w="1305" w:type="dxa"/>
            <w:tcMar/>
          </w:tcPr>
          <w:p w:rsidR="2AA95F6F" w:rsidP="2AA95F6F" w:rsidRDefault="2AA95F6F" w14:paraId="307A46A4" w14:textId="5B9D927A">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Youth Justice Board (2020)</w:t>
            </w:r>
          </w:p>
        </w:tc>
        <w:tc>
          <w:tcPr>
            <w:cnfStyle w:val="000000000000" w:firstRow="0" w:lastRow="0" w:firstColumn="0" w:lastColumn="0" w:oddVBand="0" w:evenVBand="0" w:oddHBand="0" w:evenHBand="0" w:firstRowFirstColumn="0" w:firstRowLastColumn="0" w:lastRowFirstColumn="0" w:lastRowLastColumn="0"/>
            <w:tcW w:w="1590" w:type="dxa"/>
            <w:tcMar/>
          </w:tcPr>
          <w:p w:rsidR="2AA95F6F" w:rsidP="2AA95F6F" w:rsidRDefault="2AA95F6F" w14:paraId="1F843693" w14:textId="51FF76E3">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Social services liaison with youth justice reduced offending by 20% and improved emotional wellbeing</w:t>
            </w:r>
          </w:p>
        </w:tc>
        <w:tc>
          <w:tcPr>
            <w:cnfStyle w:val="000000000000" w:firstRow="0" w:lastRow="0" w:firstColumn="0" w:lastColumn="0" w:oddVBand="0" w:evenVBand="0" w:oddHBand="0" w:evenHBand="0" w:firstRowFirstColumn="0" w:firstRowLastColumn="0" w:lastRowFirstColumn="0" w:lastRowLastColumn="0"/>
            <w:tcW w:w="1410" w:type="dxa"/>
            <w:tcMar/>
          </w:tcPr>
          <w:p w:rsidR="2AA95F6F" w:rsidP="2AA95F6F" w:rsidRDefault="2AA95F6F" w14:paraId="70A04CE7" w14:textId="111FEFD1">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Highlights social services’ role beyond traditional child protection</w:t>
            </w:r>
          </w:p>
        </w:tc>
        <w:tc>
          <w:tcPr>
            <w:cnfStyle w:val="000000000000" w:firstRow="0" w:lastRow="0" w:firstColumn="0" w:lastColumn="0" w:oddVBand="0" w:evenVBand="0" w:oddHBand="0" w:evenHBand="0" w:firstRowFirstColumn="0" w:firstRowLastColumn="0" w:lastRowFirstColumn="0" w:lastRowLastColumn="0"/>
            <w:tcW w:w="3174" w:type="dxa"/>
            <w:tcMar/>
          </w:tcPr>
          <w:p w:rsidR="2AA95F6F" w:rsidP="2AA95F6F" w:rsidRDefault="2AA95F6F" w14:paraId="610C1F84" w14:textId="000E68AF">
            <w:pPr>
              <w:bidi w:val="0"/>
              <w:spacing w:before="0" w:beforeAutospacing="off" w:after="0" w:afterAutospacing="off"/>
              <w:rPr>
                <w:rFonts w:ascii="Arial" w:hAnsi="Arial" w:eastAsia="Arial" w:cs="Arial"/>
                <w:b w:val="0"/>
                <w:bCs w:val="0"/>
                <w:i w:val="0"/>
                <w:iCs w:val="0"/>
                <w:caps w:val="0"/>
                <w:smallCaps w:val="0"/>
                <w:strike w:val="0"/>
                <w:dstrike w:val="0"/>
                <w:color w:val="000000" w:themeColor="text1" w:themeTint="FF" w:themeShade="FF"/>
                <w:sz w:val="22"/>
                <w:szCs w:val="22"/>
                <w:u w:val="none"/>
              </w:rPr>
            </w:pP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Youth Justice Board (2020)</w:t>
            </w:r>
            <w:r w:rsidRPr="2AA95F6F" w:rsidR="1C5E8DBE">
              <w:rPr>
                <w:rFonts w:ascii="Arial" w:hAnsi="Arial" w:eastAsia="Arial" w:cs="Arial"/>
                <w:b w:val="0"/>
                <w:bCs w:val="0"/>
                <w:i w:val="0"/>
                <w:iCs w:val="0"/>
                <w:caps w:val="0"/>
                <w:smallCaps w:val="0"/>
                <w:strike w:val="0"/>
                <w:dstrike w:val="0"/>
                <w:color w:val="000000" w:themeColor="text1" w:themeTint="FF" w:themeShade="FF"/>
                <w:sz w:val="22"/>
                <w:szCs w:val="22"/>
                <w:u w:val="none"/>
              </w:rPr>
              <w:t>.</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t>
            </w:r>
            <w:r w:rsidRPr="2AA95F6F" w:rsidR="2AA95F6F">
              <w:rPr>
                <w:rFonts w:ascii="Arial" w:hAnsi="Arial" w:eastAsia="Arial" w:cs="Arial"/>
                <w:b w:val="0"/>
                <w:bCs w:val="0"/>
                <w:i w:val="1"/>
                <w:iCs w:val="1"/>
                <w:caps w:val="0"/>
                <w:smallCaps w:val="0"/>
                <w:strike w:val="0"/>
                <w:dstrike w:val="0"/>
                <w:color w:val="000000" w:themeColor="text1" w:themeTint="FF" w:themeShade="FF"/>
                <w:sz w:val="22"/>
                <w:szCs w:val="22"/>
                <w:u w:val="none"/>
              </w:rPr>
              <w:t>Preventive Interventions for At-Risk Adolescents: Evaluation Report</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London: Youth Justice Board. Available at: </w:t>
            </w:r>
            <w:hyperlink r:id="R69895fde6a324412">
              <w:r w:rsidRPr="2AA95F6F" w:rsidR="2AA95F6F">
                <w:rPr>
                  <w:rStyle w:val="Hyperlink"/>
                  <w:rFonts w:ascii="Arial" w:hAnsi="Arial" w:eastAsia="Arial" w:cs="Arial"/>
                  <w:b w:val="0"/>
                  <w:bCs w:val="0"/>
                  <w:i w:val="0"/>
                  <w:iCs w:val="0"/>
                  <w:caps w:val="0"/>
                  <w:smallCaps w:val="0"/>
                  <w:strike w:val="0"/>
                  <w:dstrike w:val="0"/>
                  <w:color w:val="1155CC"/>
                  <w:sz w:val="22"/>
                  <w:szCs w:val="22"/>
                  <w:u w:val="none"/>
                </w:rPr>
                <w:t>https://www.gov.uk/government/organisations/youth-justice-board</w:t>
              </w:r>
            </w:hyperlink>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t>
            </w:r>
            <w:r w:rsidRPr="2AA95F6F" w:rsidR="25AC1700">
              <w:rPr>
                <w:rFonts w:ascii="Arial" w:hAnsi="Arial" w:eastAsia="Arial" w:cs="Arial"/>
                <w:b w:val="0"/>
                <w:bCs w:val="0"/>
                <w:i w:val="0"/>
                <w:iCs w:val="0"/>
                <w:caps w:val="0"/>
                <w:smallCaps w:val="0"/>
                <w:strike w:val="0"/>
                <w:dstrike w:val="0"/>
                <w:color w:val="000000" w:themeColor="text1" w:themeTint="FF" w:themeShade="FF"/>
                <w:sz w:val="22"/>
                <w:szCs w:val="22"/>
                <w:u w:val="none"/>
              </w:rPr>
              <w:t>(</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Accessed </w:t>
            </w:r>
            <w:r w:rsidRPr="2AA95F6F" w:rsidR="3B414917">
              <w:rPr>
                <w:rFonts w:ascii="Arial" w:hAnsi="Arial" w:eastAsia="Arial" w:cs="Arial"/>
                <w:b w:val="0"/>
                <w:bCs w:val="0"/>
                <w:i w:val="0"/>
                <w:iCs w:val="0"/>
                <w:caps w:val="0"/>
                <w:smallCaps w:val="0"/>
                <w:strike w:val="0"/>
                <w:dstrike w:val="0"/>
                <w:color w:val="000000" w:themeColor="text1" w:themeTint="FF" w:themeShade="FF"/>
                <w:sz w:val="22"/>
                <w:szCs w:val="22"/>
                <w:u w:val="none"/>
              </w:rPr>
              <w:t>25</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March 2026</w:t>
            </w:r>
            <w:r w:rsidRPr="2AA95F6F" w:rsidR="19D665C3">
              <w:rPr>
                <w:rFonts w:ascii="Arial" w:hAnsi="Arial" w:eastAsia="Arial" w:cs="Arial"/>
                <w:b w:val="0"/>
                <w:bCs w:val="0"/>
                <w:i w:val="0"/>
                <w:iCs w:val="0"/>
                <w:caps w:val="0"/>
                <w:smallCaps w:val="0"/>
                <w:strike w:val="0"/>
                <w:dstrike w:val="0"/>
                <w:color w:val="000000" w:themeColor="text1" w:themeTint="FF" w:themeShade="FF"/>
                <w:sz w:val="22"/>
                <w:szCs w:val="22"/>
                <w:u w:val="none"/>
              </w:rPr>
              <w:t>)</w:t>
            </w:r>
            <w:r w:rsidRPr="2AA95F6F" w:rsidR="2AA95F6F">
              <w:rPr>
                <w:rFonts w:ascii="Arial" w:hAnsi="Arial" w:eastAsia="Arial" w:cs="Arial"/>
                <w:b w:val="0"/>
                <w:bCs w:val="0"/>
                <w:i w:val="0"/>
                <w:iCs w:val="0"/>
                <w:caps w:val="0"/>
                <w:smallCaps w:val="0"/>
                <w:strike w:val="0"/>
                <w:dstrike w:val="0"/>
                <w:color w:val="000000" w:themeColor="text1" w:themeTint="FF" w:themeShade="FF"/>
                <w:sz w:val="22"/>
                <w:szCs w:val="22"/>
                <w:u w:val="none"/>
              </w:rPr>
              <w:t>.</w:t>
            </w:r>
          </w:p>
        </w:tc>
      </w:tr>
    </w:tbl>
    <w:p w:rsidR="2AA95F6F" w:rsidRDefault="2AA95F6F" w14:paraId="20E9A8EC" w14:textId="61A381C7"/>
    <w:p w:rsidR="2AA95F6F" w:rsidP="2AA95F6F" w:rsidRDefault="2AA95F6F" w14:paraId="75B37B9D" w14:textId="78420328">
      <w:pPr>
        <w:pStyle w:val="Normal"/>
        <w:bidi w:val="0"/>
        <w:spacing w:before="0" w:beforeAutospacing="off" w:after="0" w:afterAutospacing="off"/>
        <w:rPr>
          <w:b w:val="1"/>
          <w:bCs w:val="1"/>
          <w:sz w:val="32"/>
          <w:szCs w:val="32"/>
        </w:rPr>
      </w:pPr>
    </w:p>
    <w:p w:rsidR="2AA95F6F" w:rsidP="2AA95F6F" w:rsidRDefault="2AA95F6F" w14:paraId="50BFB97F" w14:textId="7789E20B">
      <w:pPr>
        <w:pStyle w:val="Normal"/>
        <w:rPr>
          <w:b w:val="1"/>
          <w:bCs w:val="1"/>
          <w:sz w:val="32"/>
          <w:szCs w:val="32"/>
        </w:rPr>
      </w:pPr>
      <w:r w:rsidRPr="489789AE" w:rsidR="135E10CE">
        <w:rPr>
          <w:b w:val="1"/>
          <w:bCs w:val="1"/>
          <w:sz w:val="32"/>
          <w:szCs w:val="32"/>
        </w:rPr>
        <w:t>References</w:t>
      </w:r>
    </w:p>
    <w:p w:rsidR="489789AE" w:rsidP="489789AE" w:rsidRDefault="489789AE" w14:paraId="34A01A0D" w14:textId="7A349A6D">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D3A390D" w:rsidP="489789AE" w:rsidRDefault="5D3A390D" w14:paraId="79772835" w14:textId="517A46ED">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5D3A39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Alcock, P. (2016) </w:t>
      </w:r>
      <w:r w:rsidRPr="489789AE" w:rsidR="5D3A390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Social policy in Britain</w:t>
      </w:r>
      <w:r w:rsidRPr="489789AE" w:rsidR="5D3A39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4th edition. London: Palgrave Macmillan. Accessed: 25</w:t>
      </w:r>
      <w:r w:rsidRPr="489789AE" w:rsidR="5D3A390D">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5D3A39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6D51B007" w:rsidP="489789AE" w:rsidRDefault="6D51B007" w14:paraId="5268F428" w14:textId="7DA16FB7">
      <w:pPr>
        <w:pStyle w:val="Normal"/>
        <w:rPr>
          <w:rFonts w:ascii="Arial" w:hAnsi="Arial" w:eastAsia="Arial" w:cs="Arial"/>
          <w:noProof w:val="0"/>
          <w:sz w:val="24"/>
          <w:szCs w:val="24"/>
          <w:lang w:val="en-GB"/>
        </w:rPr>
      </w:pPr>
      <w:r w:rsidRPr="489789AE" w:rsidR="6D51B0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Bronfenbrenner, U., (1979)</w:t>
      </w:r>
      <w:r w:rsidRPr="489789AE" w:rsidR="6D51B0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6D51B00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ecology of human development: Experiments by nature and design</w:t>
      </w:r>
      <w:r w:rsidRPr="489789AE" w:rsidR="6D51B0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Cambridge, MA: Harvard University Press Accessed: 20th March 2026.</w:t>
      </w:r>
    </w:p>
    <w:p w:rsidR="135E10CE" w:rsidP="489789AE" w:rsidRDefault="135E10CE" w14:paraId="25A8A708" w14:textId="513C3A85">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Bilson, A. and Martin, K.E.C. (2017) ‘Referrals and child protection in England: One in five children referred to children’s services before the age of five’,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British Journal of Social Work</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47(3), pp. 793–811. Accessed: 16 January 2026.</w:t>
      </w:r>
    </w:p>
    <w:p w:rsidR="135E10CE" w:rsidP="489789AE" w:rsidRDefault="135E10CE" w14:paraId="76D65E22" w14:textId="2DAB8876">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Broadhurst, K., Wastell, D., White, S., Hall, C. and Peckover, S. (2020) ‘Performing “initial assessment”: Identifying the latent conditions for error at the front-door of local authority children’s services’,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British Journal of Social Work</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50(2), pp. 351–370. Accessed: 18 January 2026.</w:t>
      </w:r>
    </w:p>
    <w:p w:rsidR="135E10CE" w:rsidP="489789AE" w:rsidRDefault="135E10CE" w14:paraId="4FFBC7C7" w14:textId="3BC33453">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Bywaters, P., Brady, G., Sparks, T. and Bos, E. (2018) ‘Child welfare inequalities: New evidence, further questions’,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&amp; Family Social Work</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23(3), pp. 357–366. Accessed: 16 January 2026.</w:t>
      </w:r>
    </w:p>
    <w:p w:rsidR="135E10CE" w:rsidP="489789AE" w:rsidRDefault="135E10CE" w14:paraId="14C4234F" w14:textId="0BDCBBEC">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Featherstone, B., Gupta, A., Morris, K. and White, S. (2019)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Protecting Children: A Social Model</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Bristol: Policy Press. Accessed: 25</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January 2026.</w:t>
      </w:r>
    </w:p>
    <w:p w:rsidR="0E5B8991" w:rsidP="489789AE" w:rsidRDefault="0E5B8991" w14:paraId="50DA35C7" w14:textId="2947AA93">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0E5B8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Binks, S., Hickey, </w:t>
      </w:r>
      <w:r w:rsidRPr="489789AE" w:rsidR="0E5B8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w:t>
      </w:r>
      <w:r w:rsidRPr="489789AE" w:rsidR="0E5B8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Heath, A. (2024) ‘Social workers’ perceived barriers and facilitators to social work practice in schools: A scoping review’, </w:t>
      </w:r>
      <w:r w:rsidRPr="489789AE" w:rsidR="0E5B899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British Journal of Social Work</w:t>
      </w:r>
      <w:r w:rsidRPr="489789AE" w:rsidR="0E5B8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Accessed: 20</w:t>
      </w:r>
      <w:r w:rsidRPr="489789AE" w:rsidR="0E5B899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0E5B8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January 2026. </w:t>
      </w:r>
    </w:p>
    <w:p w:rsidR="598D212E" w:rsidP="489789AE" w:rsidRDefault="598D212E" w14:paraId="738972A6" w14:textId="56B2E3C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598D2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British Association of Social Workers (2024) </w:t>
      </w:r>
      <w:r w:rsidRPr="489789AE" w:rsidR="598D212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About BASW</w:t>
      </w:r>
      <w:r w:rsidRPr="489789AE" w:rsidR="598D2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e32715b98ffd45a5">
        <w:r w:rsidRPr="489789AE" w:rsidR="598D212E">
          <w:rPr>
            <w:rStyle w:val="Hyperlink"/>
            <w:rFonts w:ascii="Arial" w:hAnsi="Arial" w:eastAsia="Arial" w:cs="Arial"/>
            <w:b w:val="0"/>
            <w:bCs w:val="0"/>
            <w:i w:val="0"/>
            <w:iCs w:val="0"/>
            <w:caps w:val="0"/>
            <w:smallCaps w:val="0"/>
            <w:strike w:val="0"/>
            <w:dstrike w:val="0"/>
            <w:noProof w:val="0"/>
            <w:sz w:val="24"/>
            <w:szCs w:val="24"/>
            <w:lang w:val="en-GB"/>
          </w:rPr>
          <w:t>https://www.basw.co.uk</w:t>
        </w:r>
      </w:hyperlink>
      <w:r w:rsidRPr="489789AE" w:rsidR="598D2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17 March 2026).</w:t>
      </w:r>
    </w:p>
    <w:p w:rsidR="598D212E" w:rsidP="489789AE" w:rsidRDefault="598D212E" w14:paraId="020266A5" w14:textId="7D1360E4">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598D212E">
        <w:rPr>
          <w:rFonts w:ascii="Arial" w:hAnsi="Arial" w:eastAsia="Arial" w:cs="Arial"/>
          <w:b w:val="0"/>
          <w:bCs w:val="0"/>
          <w:i w:val="0"/>
          <w:iCs w:val="0"/>
          <w:caps w:val="0"/>
          <w:smallCaps w:val="0"/>
          <w:noProof w:val="0"/>
          <w:color w:val="000000" w:themeColor="text1" w:themeTint="FF" w:themeShade="FF"/>
          <w:sz w:val="24"/>
          <w:szCs w:val="24"/>
          <w:lang w:val="en-GB"/>
        </w:rPr>
        <w:t xml:space="preserve">Bose, M. &amp; Kurre, A. (2020) </w:t>
      </w:r>
      <w:r w:rsidRPr="489789AE" w:rsidR="598D212E">
        <w:rPr>
          <w:rFonts w:ascii="Arial" w:hAnsi="Arial" w:eastAsia="Arial" w:cs="Arial"/>
          <w:b w:val="0"/>
          <w:bCs w:val="0"/>
          <w:i w:val="1"/>
          <w:iCs w:val="1"/>
          <w:caps w:val="0"/>
          <w:smallCaps w:val="0"/>
          <w:noProof w:val="0"/>
          <w:color w:val="000000" w:themeColor="text1" w:themeTint="FF" w:themeShade="FF"/>
          <w:sz w:val="24"/>
          <w:szCs w:val="24"/>
          <w:lang w:val="en-GB"/>
        </w:rPr>
        <w:t>Global Perspectives on Social Work: A Review of International Practices</w:t>
      </w:r>
      <w:r w:rsidRPr="489789AE" w:rsidR="598D212E">
        <w:rPr>
          <w:rFonts w:ascii="Arial" w:hAnsi="Arial" w:eastAsia="Arial" w:cs="Arial"/>
          <w:b w:val="0"/>
          <w:bCs w:val="0"/>
          <w:i w:val="0"/>
          <w:iCs w:val="0"/>
          <w:caps w:val="0"/>
          <w:smallCaps w:val="0"/>
          <w:noProof w:val="0"/>
          <w:color w:val="000000" w:themeColor="text1" w:themeTint="FF" w:themeShade="FF"/>
          <w:sz w:val="24"/>
          <w:szCs w:val="24"/>
          <w:lang w:val="en-GB"/>
        </w:rPr>
        <w:t xml:space="preserve">. International Journal of Early Childhood Special Education, 12(2), pp.1023–1035. Available at: </w:t>
      </w:r>
      <w:hyperlink r:id="R196f9e4b0dac4e94">
        <w:r w:rsidRPr="489789AE" w:rsidR="598D212E">
          <w:rPr>
            <w:rStyle w:val="Hyperlink"/>
            <w:rFonts w:ascii="Arial" w:hAnsi="Arial" w:eastAsia="Arial" w:cs="Arial"/>
            <w:b w:val="0"/>
            <w:bCs w:val="0"/>
            <w:i w:val="0"/>
            <w:iCs w:val="0"/>
            <w:caps w:val="0"/>
            <w:smallCaps w:val="0"/>
            <w:strike w:val="0"/>
            <w:dstrike w:val="0"/>
            <w:noProof w:val="0"/>
            <w:sz w:val="24"/>
            <w:szCs w:val="24"/>
            <w:lang w:val="en-GB"/>
          </w:rPr>
          <w:t>https://www.int-jecse.net</w:t>
        </w:r>
      </w:hyperlink>
      <w:r w:rsidRPr="489789AE" w:rsidR="598D212E">
        <w:rPr>
          <w:rFonts w:ascii="Arial" w:hAnsi="Arial" w:eastAsia="Arial" w:cs="Arial"/>
          <w:b w:val="0"/>
          <w:bCs w:val="0"/>
          <w:i w:val="0"/>
          <w:iCs w:val="0"/>
          <w:caps w:val="0"/>
          <w:smallCaps w:val="0"/>
          <w:noProof w:val="0"/>
          <w:color w:val="000000" w:themeColor="text1" w:themeTint="FF" w:themeShade="FF"/>
          <w:sz w:val="24"/>
          <w:szCs w:val="24"/>
          <w:lang w:val="en-GB"/>
        </w:rPr>
        <w:t>. Accessed: 16 March 2026.</w:t>
      </w:r>
    </w:p>
    <w:p w:rsidR="489789AE" w:rsidP="489789AE" w:rsidRDefault="489789AE" w14:paraId="62A172ED" w14:textId="4CE471D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64FE3141" w:rsidP="489789AE" w:rsidRDefault="64FE3141" w14:paraId="2DD94156" w14:textId="397DAF49">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64FE31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Biddle, B.J. (1986) ‘Recent developments in role theory’, </w:t>
      </w:r>
      <w:r w:rsidRPr="489789AE" w:rsidR="64FE314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Annual Review of Sociology. </w:t>
      </w:r>
      <w:r w:rsidRPr="489789AE" w:rsidR="64FE31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 25 March 2026.</w:t>
      </w:r>
    </w:p>
    <w:p w:rsidR="489789AE" w:rsidP="489789AE" w:rsidRDefault="489789AE" w14:paraId="341CCEA6" w14:textId="14CF34D9">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89789AE" w:rsidP="489789AE" w:rsidRDefault="489789AE" w14:paraId="1B92404F" w14:textId="31D23559">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7DCE4847" w14:textId="79B75C1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72499186" w14:textId="749AE14E">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89789AE" w:rsidP="489789AE" w:rsidRDefault="489789AE" w14:paraId="356ABF0B" w14:textId="10BEDB31">
      <w:pPr>
        <w:rPr>
          <w:rFonts w:ascii="Arial" w:hAnsi="Arial" w:eastAsia="Arial" w:cs="Arial"/>
          <w:b w:val="0"/>
          <w:bCs w:val="0"/>
          <w:i w:val="0"/>
          <w:iCs w:val="0"/>
          <w:caps w:val="0"/>
          <w:smallCaps w:val="0"/>
          <w:noProof w:val="0"/>
          <w:color w:val="000000" w:themeColor="text1" w:themeTint="FF" w:themeShade="FF"/>
          <w:sz w:val="24"/>
          <w:szCs w:val="24"/>
          <w:lang w:val="en-GB"/>
        </w:rPr>
      </w:pPr>
    </w:p>
    <w:p w:rsidR="489789AE" w:rsidP="489789AE" w:rsidRDefault="489789AE" w14:paraId="579D6FAE" w14:textId="4B34427C">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69EB6F6B" w14:textId="2D9CFF5D">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2705C764" w14:textId="39930041">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2F35022D" w14:textId="569E17E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3422001B" w14:textId="5EC16EEC">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39F8EA94" w14:textId="61145F9E">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1A09C5D5" w14:textId="793A0F82">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46340C47" w14:textId="6E6313B6">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337AD69D" w14:textId="6DF1DB53">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447A40BB" w14:textId="2808A60B">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27904379" w14:textId="7A349A6D">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35E10CE" w:rsidP="489789AE" w:rsidRDefault="135E10CE" w14:paraId="7CCB85F7" w14:textId="517A46ED">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Alcock, P. (2016)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Social policy in Britain</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4th edition. London: Palgrave Macmillan. Accessed: 25</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489789AE" w:rsidP="489789AE" w:rsidRDefault="489789AE" w14:paraId="5E38BC4C" w14:textId="2AD09A5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DA88DF1" w:rsidP="489789AE" w:rsidRDefault="3DA88DF1" w14:paraId="552F373A" w14:textId="19EB9B2B">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3DA88D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Barlow, J., and Scott, J. (2010) ‘Safeguarding children: The role of social work’, </w:t>
      </w:r>
      <w:r w:rsidRPr="489789AE" w:rsidR="3DA88DF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&amp; Family Social Work</w:t>
      </w:r>
      <w:r w:rsidRPr="489789AE" w:rsidR="3DA88D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15(3), pp. 285–294. Accessed: 11</w:t>
      </w:r>
      <w:r w:rsidRPr="489789AE" w:rsidR="3DA88DF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3DA88D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489789AE" w:rsidP="489789AE" w:rsidRDefault="489789AE" w14:paraId="50F81867" w14:textId="5BFC0D58">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DA88DF1" w:rsidP="489789AE" w:rsidRDefault="3DA88DF1" w14:paraId="1AB6FB1A" w14:textId="25A8A19B">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3DA88D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Baginsky, M., and Manthorpe, J. (2014) </w:t>
      </w:r>
      <w:r w:rsidRPr="489789AE" w:rsidR="3DA88DF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Social Work and Child Protection in the UK</w:t>
      </w:r>
      <w:r w:rsidRPr="489789AE" w:rsidR="3DA88D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Bristol: Policy Press. accessed: 16</w:t>
      </w:r>
      <w:r w:rsidRPr="489789AE" w:rsidR="3DA88DF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3DA88D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489789AE" w:rsidP="489789AE" w:rsidRDefault="489789AE" w14:paraId="4485C2C3" w14:textId="47CFBB39">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35E10CE" w:rsidP="489789AE" w:rsidRDefault="135E10CE" w14:paraId="3B9D7319" w14:textId="3A7D8FDF">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Brandon, M. Et al. (2012)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Understanding Serious Case Reviews and their Impact: A biennial analysis 2005 to 2009</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Department for Education. Accessed: 6</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2B444AE7" w14:textId="083BF7E8">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02487688" w14:textId="3245F506">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Brandon, M., Et, al. (2008)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Analysing Child Deaths and Serious Injuries through Abuse and Neglect: What can we learn?</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London: Department for Children, Schools and Families. Accessed: 5</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3B2BC462" w14:textId="68A70705">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7FF48BC3" w14:textId="15F89391">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Brandon, M. Et, al. (2013)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New Learning from Serious Case Reviews: A two-year analysis 2009 to 2011</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Department for Education. Accessed: 11</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4EAADA7F" w14:textId="215E9D6B">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48417B94" w14:textId="349147BB">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Broadhurst, K., Mason, C., Mirza, N. (2017) ‘The child protection system in England: Social work practice and challenges’,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Journal of Social Work</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17(3), pp. 261–278. Accessed: 10</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5E4F8843" w:rsidP="489789AE" w:rsidRDefault="5E4F8843" w14:paraId="4CE5C5C3" w14:textId="472EB1E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5E4F8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Care Act. (2014). Government Legislation. Available at: </w:t>
      </w:r>
      <w:hyperlink r:id="R57449ad1565e48df">
        <w:r w:rsidRPr="489789AE" w:rsidR="5E4F8843">
          <w:rPr>
            <w:rStyle w:val="Hyperlink"/>
            <w:rFonts w:ascii="Arial" w:hAnsi="Arial" w:eastAsia="Arial" w:cs="Arial"/>
            <w:b w:val="0"/>
            <w:bCs w:val="0"/>
            <w:i w:val="0"/>
            <w:iCs w:val="0"/>
            <w:caps w:val="0"/>
            <w:smallCaps w:val="0"/>
            <w:strike w:val="0"/>
            <w:dstrike w:val="0"/>
            <w:noProof w:val="0"/>
            <w:sz w:val="24"/>
            <w:szCs w:val="24"/>
            <w:lang w:val="en-GB"/>
          </w:rPr>
          <w:t>https://www.legislation.gov.uk/ukpga/2014/23</w:t>
        </w:r>
      </w:hyperlink>
      <w:r w:rsidRPr="489789AE" w:rsidR="5E4F8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28 March 2026).</w:t>
      </w:r>
    </w:p>
    <w:p w:rsidR="489789AE" w:rsidP="489789AE" w:rsidRDefault="489789AE" w14:paraId="427BDBDC" w14:textId="6910E99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4F8843" w:rsidP="489789AE" w:rsidRDefault="5E4F8843" w14:paraId="24539761" w14:textId="5D04A37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5E4F8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Children Act. (1989). Government Legislation. Available at: </w:t>
      </w:r>
      <w:hyperlink r:id="Rcf327643948c4a63">
        <w:r w:rsidRPr="489789AE" w:rsidR="5E4F8843">
          <w:rPr>
            <w:rStyle w:val="Hyperlink"/>
            <w:rFonts w:ascii="Arial" w:hAnsi="Arial" w:eastAsia="Arial" w:cs="Arial"/>
            <w:b w:val="0"/>
            <w:bCs w:val="0"/>
            <w:i w:val="0"/>
            <w:iCs w:val="0"/>
            <w:caps w:val="0"/>
            <w:smallCaps w:val="0"/>
            <w:strike w:val="0"/>
            <w:dstrike w:val="0"/>
            <w:noProof w:val="0"/>
            <w:sz w:val="24"/>
            <w:szCs w:val="24"/>
            <w:lang w:val="en-GB"/>
          </w:rPr>
          <w:t>https://www.legislation.gov.uk/ukpga/1989/41</w:t>
        </w:r>
      </w:hyperlink>
      <w:r w:rsidRPr="489789AE" w:rsidR="5E4F8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28 March 2026).</w:t>
      </w:r>
    </w:p>
    <w:p w:rsidR="489789AE" w:rsidP="489789AE" w:rsidRDefault="489789AE" w14:paraId="2F49DF3C" w14:textId="6DEB2CF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E4F8843" w:rsidP="489789AE" w:rsidRDefault="5E4F8843" w14:paraId="605E5AB7" w14:textId="3F601412">
      <w:pPr>
        <w:shd w:val="clear" w:color="auto" w:fill="FFFFFF" w:themeFill="background1"/>
        <w:spacing w:before="240" w:beforeAutospacing="off" w:after="24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5E4F8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Cottrell, S. (2017) </w:t>
      </w:r>
      <w:r w:rsidRPr="489789AE" w:rsidR="5E4F8843">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Critical thinking skills: Effective analysis, argument and reflection</w:t>
      </w:r>
      <w:r w:rsidRPr="489789AE" w:rsidR="5E4F8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3rd edition.  (accessed: 9</w:t>
      </w:r>
      <w:r w:rsidRPr="489789AE" w:rsidR="5E4F8843">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5E4F8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50FD72DA" w14:textId="64083A43">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42764060" w14:textId="46DB447C">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191D76AE" w14:textId="100E872F">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Care Quality Commission (CQC) (2019)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Children and Young People’s Services Inspection Report</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CQC. Accessed: 15</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65471D86" w14:textId="7DD91D03">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25DDED4D" w14:textId="3BAE6D79">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Child Safeguarding Practice Review Panel (2021)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It was hard to escape: Safeguarding children at risk of sexual abuse in institutions</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Accessed: 10</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04EF8D00" w14:textId="46157564">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7DD7316C" w14:textId="5E7E7659">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Cleaver, H., Unell, I., and Aldgate, J. (2011)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Children’s Needs Parenting Capacity: Child abuse, neglect and welfare</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2nd edition. London: Jessica Kingsley Publishers. Accessed: 16</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1238C38F" w14:textId="52FF5E22">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754192A8" w14:textId="1496ACEE">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Connolly, M. Ward, H. (2013) ‘Child protection in the UK: A systems perspective’,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&amp; Family Social Work</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18(1), pp. 1–10. Accessed: 17</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7AA9A479" w:rsidP="489789AE" w:rsidRDefault="7AA9A479" w14:paraId="49327904" w14:textId="186C4E2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7AA9A4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Department of Health and Social Care (2014) </w:t>
      </w:r>
      <w:r w:rsidRPr="489789AE" w:rsidR="7AA9A47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Care and support statutory guidance</w:t>
      </w:r>
      <w:r w:rsidRPr="489789AE" w:rsidR="7AA9A4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London: Department of Health and Social Care. Available at: </w:t>
      </w:r>
      <w:hyperlink r:id="R05089370012b4897">
        <w:r w:rsidRPr="489789AE" w:rsidR="7AA9A479">
          <w:rPr>
            <w:rStyle w:val="Hyperlink"/>
            <w:rFonts w:ascii="Arial" w:hAnsi="Arial" w:eastAsia="Arial" w:cs="Arial"/>
            <w:b w:val="0"/>
            <w:bCs w:val="0"/>
            <w:i w:val="0"/>
            <w:iCs w:val="0"/>
            <w:caps w:val="0"/>
            <w:smallCaps w:val="0"/>
            <w:strike w:val="0"/>
            <w:dstrike w:val="0"/>
            <w:noProof w:val="0"/>
            <w:sz w:val="24"/>
            <w:szCs w:val="24"/>
            <w:lang w:val="en-GB"/>
          </w:rPr>
          <w:t>https://www.gov.uk</w:t>
        </w:r>
      </w:hyperlink>
      <w:r w:rsidRPr="489789AE" w:rsidR="7AA9A4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28 March 2026).</w:t>
      </w:r>
    </w:p>
    <w:p w:rsidR="489789AE" w:rsidP="489789AE" w:rsidRDefault="489789AE" w14:paraId="2099C861" w14:textId="7CA1BCFF">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2E75EC65" w14:textId="319572CC">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0E1D4CDD" w14:textId="0A457771">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Department for Education (DfE) (2015)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Working Together to Safeguard Children: A guide to interagency working to safeguard and promote the welfare of children</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DfE. Accessed: 19</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6FC2FF46" w14:textId="7D85A139">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6AD2A3D9" w14:textId="21B2C3CA">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Department for Education. (2018)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Children in Need Census, Year Ending 2018</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Accessed: 19</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7239CA56" w14:textId="7FCA4C3D">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0103F6FC" w14:textId="602BC9B3">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Department for Education. (2020)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Characteristics of Children in Need 2020: England</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DfE. Accessed: 21</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st</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74A36F3C" w14:textId="31EB72A7">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4783B5E0" w14:textId="659CF174">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Department for Education. (2021)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Working Together to Safeguard Children</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DfE. Accessed: 20</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3047D908" w14:textId="7319BA8A">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5114FA13" w14:textId="79971BB7">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Department of Health and Social Care (2017)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Promoting the Health and Wellbeing of Children and Young People</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DHSC. Accessed: 27</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 </w:t>
      </w:r>
    </w:p>
    <w:p w:rsidR="489789AE" w:rsidP="489789AE" w:rsidRDefault="489789AE" w14:paraId="6912382E" w14:textId="13CD1239">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7D6AFC0B" w14:textId="0823F101">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Fallon, B., et, al. (2013) ‘Measuring child maltreatment risk and protective factors’,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Abuse &amp; Neglect</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37(10), pp. 767-777. Accessed: 25</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5FC626B8" w:rsidP="489789AE" w:rsidRDefault="5FC626B8" w14:paraId="1293D932" w14:textId="147FB531">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5FC626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Frontiers (2026) </w:t>
      </w:r>
      <w:r w:rsidRPr="489789AE" w:rsidR="5FC626B8">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Rethinking social work: Social workers well-being and sustainable practice</w:t>
      </w:r>
      <w:r w:rsidRPr="489789AE" w:rsidR="5FC626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bff4263405c646ee">
        <w:r w:rsidRPr="489789AE" w:rsidR="5FC626B8">
          <w:rPr>
            <w:rStyle w:val="Hyperlink"/>
            <w:rFonts w:ascii="Arial" w:hAnsi="Arial" w:eastAsia="Arial" w:cs="Arial"/>
            <w:b w:val="0"/>
            <w:bCs w:val="0"/>
            <w:i w:val="0"/>
            <w:iCs w:val="0"/>
            <w:caps w:val="0"/>
            <w:smallCaps w:val="0"/>
            <w:strike w:val="0"/>
            <w:dstrike w:val="0"/>
            <w:noProof w:val="0"/>
            <w:sz w:val="24"/>
            <w:szCs w:val="24"/>
            <w:lang w:val="en-GB"/>
          </w:rPr>
          <w:t>https://www.frontiersin.org</w:t>
        </w:r>
      </w:hyperlink>
      <w:r w:rsidRPr="489789AE" w:rsidR="5FC626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28 March 2026).</w:t>
      </w:r>
    </w:p>
    <w:p w:rsidR="489789AE" w:rsidP="489789AE" w:rsidRDefault="489789AE" w14:paraId="698F49D9" w14:textId="7DAA8297">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7F48C044" w14:textId="3D7D3115">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2DBC1CEC" w14:textId="0C7F977B">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Featherstone, B., et, al. (2014)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Re imagining Child Protection: Towards humane social work with families</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Bristol: Policy Press. Accessed: 22</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nd</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6EAC2BE3" w14:textId="649355CE">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5CDAC18D" w14:textId="24EDCC59">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Fauth, R. Et, al. (2014) ‘Risk factors for child maltreatment’,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Abuse &amp; Neglect</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38(7), pp. 1179-1190. Accessed: 21</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st</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26D4790E" w:rsidP="489789AE" w:rsidRDefault="26D4790E" w14:paraId="7615FBD8" w14:textId="20CD042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26D479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Gustafsson, B. and Shuge, G. (2013) ‘A comparison of social assistance in China and Sweden’, </w:t>
      </w:r>
      <w:r w:rsidRPr="489789AE" w:rsidR="26D4790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China Journal of Social Work</w:t>
      </w:r>
      <w:r w:rsidRPr="489789AE" w:rsidR="26D479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6(3), pp. 292–310.</w:t>
      </w:r>
    </w:p>
    <w:p w:rsidR="489789AE" w:rsidP="489789AE" w:rsidRDefault="489789AE" w14:paraId="3003D1B8" w14:textId="7801EF2D">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7A7CB7C7" w14:textId="1014101D">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5B36030C" w14:textId="147FE57D">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Gilbert, R., et, al. (2009) ‘Burden and consequences of child maltreatment in high income countries’,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Lancet</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373(9657), pages. 68–81. Accessed: 20</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4FA998C9" w14:textId="5779C736">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3866B7B3" w14:textId="164428FC">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Goldsmith, P., Kemp, L., and Kontos, P. (2017) Strengths based approaches in safeguarding children.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British Journal of Social Work. </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 26</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489789AE" w:rsidP="489789AE" w:rsidRDefault="489789AE" w14:paraId="4C0BBD67" w14:textId="014A83BD">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565F92A1" w:rsidP="489789AE" w:rsidRDefault="565F92A1" w14:paraId="2EC1B092" w14:textId="4834DBBD">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565F92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 D. (2011) </w:t>
      </w:r>
      <w:r w:rsidRPr="489789AE" w:rsidR="565F92A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Attachment Across the Lifecourse: A brief introduction</w:t>
      </w:r>
      <w:r w:rsidRPr="489789AE" w:rsidR="565F92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2nd edition. Basingstoke: Palgrave Macmillan. Accessed: 12</w:t>
      </w:r>
      <w:r w:rsidRPr="489789AE" w:rsidR="565F92A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565F92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489789AE" w:rsidP="489789AE" w:rsidRDefault="489789AE" w14:paraId="2FBB96D0" w14:textId="5867D68A">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2706FCA3" w14:textId="4BF90E93">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6FCF878A" w14:textId="513C97BB">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HM Government (2018)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Working Together to Safeguard Children: Statutory guidance</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HMSO. Accessed: 25</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0B7A61B7" w:rsidP="489789AE" w:rsidRDefault="0B7A61B7" w14:paraId="7F52428E" w14:textId="051D18AA">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0B7A61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Horwath, J., and Morrison, T. (2007) </w:t>
      </w:r>
      <w:r w:rsidRPr="489789AE" w:rsidR="0B7A61B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Effective Child Protection</w:t>
      </w:r>
      <w:r w:rsidRPr="489789AE" w:rsidR="0B7A61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Sage. Accessed: 15</w:t>
      </w:r>
      <w:r w:rsidRPr="489789AE" w:rsidR="0B7A61B7">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0B7A61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2C74D08D" w:rsidP="489789AE" w:rsidRDefault="2C74D08D" w14:paraId="7A08736E" w14:textId="6C58AB8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2C74D0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HM Government. (2023) </w:t>
      </w:r>
      <w:r w:rsidRPr="489789AE" w:rsidR="2C74D08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Working together to safeguard children</w:t>
      </w:r>
      <w:r w:rsidRPr="489789AE" w:rsidR="2C74D0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8ebb184590494973">
        <w:r w:rsidRPr="489789AE" w:rsidR="2C74D08D">
          <w:rPr>
            <w:rStyle w:val="Hyperlink"/>
            <w:rFonts w:ascii="Arial" w:hAnsi="Arial" w:eastAsia="Arial" w:cs="Arial"/>
            <w:b w:val="0"/>
            <w:bCs w:val="0"/>
            <w:i w:val="0"/>
            <w:iCs w:val="0"/>
            <w:caps w:val="0"/>
            <w:smallCaps w:val="0"/>
            <w:strike w:val="0"/>
            <w:dstrike w:val="0"/>
            <w:noProof w:val="0"/>
            <w:sz w:val="24"/>
            <w:szCs w:val="24"/>
            <w:lang w:val="en-GB"/>
          </w:rPr>
          <w:t>https://www.gov.uk</w:t>
        </w:r>
      </w:hyperlink>
      <w:r w:rsidRPr="489789AE" w:rsidR="2C74D0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28 March 2026).</w:t>
      </w:r>
    </w:p>
    <w:p w:rsidR="489789AE" w:rsidP="489789AE" w:rsidRDefault="489789AE" w14:paraId="4B0F21D3" w14:textId="7F00A197">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35E10CE" w:rsidP="489789AE" w:rsidRDefault="135E10CE" w14:paraId="4BBA4541" w14:textId="1B256A8F">
      <w:pPr>
        <w:pStyle w:val="Normal"/>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Horwath, J. (2016)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Abuse and Neglect: Critical perspectives</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3rd edition. London: Red Globe Press. Accessed: 27</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23EA9614" w:rsidP="489789AE" w:rsidRDefault="23EA9614" w14:paraId="701F3343" w14:textId="4A8D588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23EA96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International Federation of Social Workers (2024) </w:t>
      </w:r>
      <w:r w:rsidRPr="489789AE" w:rsidR="23EA961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Global standards for social work practice</w:t>
      </w:r>
      <w:r w:rsidRPr="489789AE" w:rsidR="23EA96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95b3efccfda74b0d">
        <w:r w:rsidRPr="489789AE" w:rsidR="23EA9614">
          <w:rPr>
            <w:rStyle w:val="Hyperlink"/>
            <w:rFonts w:ascii="Arial" w:hAnsi="Arial" w:eastAsia="Arial" w:cs="Arial"/>
            <w:b w:val="0"/>
            <w:bCs w:val="0"/>
            <w:i w:val="0"/>
            <w:iCs w:val="0"/>
            <w:caps w:val="0"/>
            <w:smallCaps w:val="0"/>
            <w:strike w:val="0"/>
            <w:dstrike w:val="0"/>
            <w:noProof w:val="0"/>
            <w:sz w:val="24"/>
            <w:szCs w:val="24"/>
            <w:lang w:val="en-GB"/>
          </w:rPr>
          <w:t>https://www.ifsw.org</w:t>
        </w:r>
      </w:hyperlink>
      <w:r w:rsidRPr="489789AE" w:rsidR="23EA96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17 March 2026).</w:t>
      </w:r>
    </w:p>
    <w:p w:rsidR="23EA9614" w:rsidP="489789AE" w:rsidRDefault="23EA9614" w14:paraId="7F9599A3" w14:textId="7578E2A6">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23EA9614">
        <w:rPr>
          <w:rFonts w:ascii="Arial" w:hAnsi="Arial" w:eastAsia="Arial" w:cs="Arial"/>
          <w:b w:val="0"/>
          <w:bCs w:val="0"/>
          <w:i w:val="0"/>
          <w:iCs w:val="0"/>
          <w:caps w:val="0"/>
          <w:smallCaps w:val="0"/>
          <w:noProof w:val="0"/>
          <w:color w:val="000000" w:themeColor="text1" w:themeTint="FF" w:themeShade="FF"/>
          <w:sz w:val="24"/>
          <w:szCs w:val="24"/>
          <w:lang w:val="en-GB"/>
        </w:rPr>
        <w:t xml:space="preserve">International Federation of Social Workers (IFSW) (2025) Origins and History of Social Work. Available at: </w:t>
      </w:r>
      <w:hyperlink r:id="R74d6ac5da1aa4fdd">
        <w:r w:rsidRPr="489789AE" w:rsidR="23EA9614">
          <w:rPr>
            <w:rStyle w:val="Hyperlink"/>
            <w:rFonts w:ascii="Arial" w:hAnsi="Arial" w:eastAsia="Arial" w:cs="Arial"/>
            <w:b w:val="0"/>
            <w:bCs w:val="0"/>
            <w:i w:val="0"/>
            <w:iCs w:val="0"/>
            <w:caps w:val="0"/>
            <w:smallCaps w:val="0"/>
            <w:strike w:val="0"/>
            <w:dstrike w:val="0"/>
            <w:noProof w:val="0"/>
            <w:sz w:val="24"/>
            <w:szCs w:val="24"/>
            <w:lang w:val="en-GB"/>
          </w:rPr>
          <w:t>https://www.ifsw.org</w:t>
        </w:r>
      </w:hyperlink>
      <w:r w:rsidRPr="489789AE" w:rsidR="23EA9614">
        <w:rPr>
          <w:rFonts w:ascii="Arial" w:hAnsi="Arial" w:eastAsia="Arial" w:cs="Arial"/>
          <w:b w:val="0"/>
          <w:bCs w:val="0"/>
          <w:i w:val="0"/>
          <w:iCs w:val="0"/>
          <w:caps w:val="0"/>
          <w:smallCaps w:val="0"/>
          <w:noProof w:val="0"/>
          <w:color w:val="000000" w:themeColor="text1" w:themeTint="FF" w:themeShade="FF"/>
          <w:sz w:val="24"/>
          <w:szCs w:val="24"/>
          <w:lang w:val="en-GB"/>
        </w:rPr>
        <w:t>. Accessed: 17 March 2026.</w:t>
      </w:r>
    </w:p>
    <w:p w:rsidR="489789AE" w:rsidP="489789AE" w:rsidRDefault="489789AE" w14:paraId="10F47483" w14:textId="7C0C154B">
      <w:pPr>
        <w:pStyle w:val="Normal"/>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395A4800" w14:textId="3853F6D1">
      <w:pPr>
        <w:pStyle w:val="Normal"/>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62DC479E" w14:textId="16342BF5">
      <w:pPr>
        <w:pStyle w:val="Normal"/>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BEE775A" w:rsidP="489789AE" w:rsidRDefault="5BEE775A" w14:paraId="525CABB2" w14:textId="3AE4D500">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5BEE775A">
        <w:rPr>
          <w:rFonts w:ascii="Arial" w:hAnsi="Arial" w:eastAsia="Arial" w:cs="Arial"/>
          <w:b w:val="0"/>
          <w:bCs w:val="0"/>
          <w:i w:val="0"/>
          <w:iCs w:val="0"/>
          <w:caps w:val="0"/>
          <w:smallCaps w:val="0"/>
          <w:noProof w:val="0"/>
          <w:color w:val="000000" w:themeColor="text1" w:themeTint="FF" w:themeShade="FF"/>
          <w:sz w:val="24"/>
          <w:szCs w:val="24"/>
          <w:lang w:val="en-GB"/>
        </w:rPr>
        <w:t xml:space="preserve">Juda, E. (2026) The Evolution of Social Work: Historical Milestones. Simmons University Online. Available at: </w:t>
      </w:r>
      <w:hyperlink r:id="R85fa46cc3ae34261">
        <w:r w:rsidRPr="489789AE" w:rsidR="5BEE775A">
          <w:rPr>
            <w:rStyle w:val="Hyperlink"/>
            <w:rFonts w:ascii="Arial" w:hAnsi="Arial" w:eastAsia="Arial" w:cs="Arial"/>
            <w:b w:val="0"/>
            <w:bCs w:val="0"/>
            <w:i w:val="0"/>
            <w:iCs w:val="0"/>
            <w:caps w:val="0"/>
            <w:smallCaps w:val="0"/>
            <w:strike w:val="0"/>
            <w:dstrike w:val="0"/>
            <w:noProof w:val="0"/>
            <w:sz w:val="24"/>
            <w:szCs w:val="24"/>
            <w:lang w:val="en-GB"/>
          </w:rPr>
          <w:t>https://online.simmons.edu</w:t>
        </w:r>
      </w:hyperlink>
      <w:r w:rsidRPr="489789AE" w:rsidR="5BEE775A">
        <w:rPr>
          <w:rFonts w:ascii="Arial" w:hAnsi="Arial" w:eastAsia="Arial" w:cs="Arial"/>
          <w:b w:val="0"/>
          <w:bCs w:val="0"/>
          <w:i w:val="0"/>
          <w:iCs w:val="0"/>
          <w:caps w:val="0"/>
          <w:smallCaps w:val="0"/>
          <w:noProof w:val="0"/>
          <w:color w:val="000000" w:themeColor="text1" w:themeTint="FF" w:themeShade="FF"/>
          <w:sz w:val="24"/>
          <w:szCs w:val="24"/>
          <w:lang w:val="en-GB"/>
        </w:rPr>
        <w:t>.  accessed: 5 March 2026.</w:t>
      </w:r>
    </w:p>
    <w:p w:rsidR="489789AE" w:rsidP="489789AE" w:rsidRDefault="489789AE" w14:paraId="75B4AB7E" w14:textId="14152004">
      <w:pPr>
        <w:pStyle w:val="Normal"/>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1A318176" w14:textId="5A68AC94">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9FD47C1" w:rsidP="489789AE" w:rsidRDefault="29FD47C1" w14:paraId="27465097" w14:textId="7B0AC213">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29FD47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Kelly, L., and Regan, L. (2015) </w:t>
      </w:r>
      <w:r w:rsidRPr="489789AE" w:rsidR="29FD47C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Protection and Domestic Violence: Policy and practice</w:t>
      </w:r>
      <w:r w:rsidRPr="489789AE" w:rsidR="29FD47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Routledge. Accessed: 25</w:t>
      </w:r>
      <w:r w:rsidRPr="489789AE" w:rsidR="29FD47C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29FD47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489789AE" w:rsidP="489789AE" w:rsidRDefault="489789AE" w14:paraId="3AD96497" w14:textId="1EF85DA0">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11FD74BB" w14:textId="177D1273">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7400DD8E" w14:textId="18BBB186">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Laming, H. (2003)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Victoria Climbié Inquiry: Report of an inquiry by Lord Laming</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HMSO. Accessed: 25</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7CC4A9AC" w:rsidP="489789AE" w:rsidRDefault="7CC4A9AC" w14:paraId="0D4798FC" w14:textId="6BC0D947">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7CC4A9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Munro, E., Tunstill, J., and Holman, B. (2006) </w:t>
      </w:r>
      <w:r w:rsidRPr="489789AE" w:rsidR="7CC4A9A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Effective Child Protection: Messages from research</w:t>
      </w:r>
      <w:r w:rsidRPr="489789AE" w:rsidR="7CC4A9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Jessica Kingsley Publishers. Accessed: 19</w:t>
      </w:r>
      <w:r w:rsidRPr="489789AE" w:rsidR="7CC4A9AC">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7CC4A9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489789AE" w:rsidP="489789AE" w:rsidRDefault="489789AE" w14:paraId="1482F5F6" w14:textId="0E12FDF5">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35E10CE" w:rsidP="489789AE" w:rsidRDefault="135E10CE" w14:paraId="42C6C477" w14:textId="3DB705E2">
      <w:pPr>
        <w:pStyle w:val="Normal"/>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Munro, E. (2011)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Munro Review of Child Protection: Final report A child centred system</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Department for Education. Accessed: 11</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489789AE" w:rsidP="489789AE" w:rsidRDefault="489789AE" w14:paraId="54D02545" w14:textId="1E46D647">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7E4405C8" w14:textId="498F1CC7">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Munro, E. (2019)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Child Protection: Lessons from research,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policy</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and practice</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Sage. Accessed: 16</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79DB4654" w:rsidP="489789AE" w:rsidRDefault="79DB4654" w14:paraId="1BFE8356" w14:textId="46E9A0B8">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79DB46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McGhee, J., and Johnson, R. (2018) </w:t>
      </w:r>
      <w:r w:rsidRPr="489789AE" w:rsidR="79DB465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Professional judgement in child protection, British Journal of Social Work,</w:t>
      </w:r>
      <w:r w:rsidRPr="489789AE" w:rsidR="79DB46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48(5), pp. 1205–1222. Accessed: 27 March 2026.</w:t>
      </w:r>
    </w:p>
    <w:p w:rsidR="489789AE" w:rsidP="489789AE" w:rsidRDefault="489789AE" w14:paraId="5C43CE81" w14:textId="0FE62582">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6C92204B" w14:textId="0D679019">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0EE30E33" w14:textId="64C5A2EE">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NSPCC (2018)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Protection in the UK: Annual report</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NSPCC. Accessed: 10</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55C983C1" w:rsidP="489789AE" w:rsidRDefault="55C983C1" w14:paraId="50398B2F" w14:textId="22CD4F2E">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55C983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National Academy of Medicine (2018) </w:t>
      </w:r>
      <w:r w:rsidRPr="489789AE" w:rsidR="55C983C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future of health services research: Bridging health and social services to improve care access</w:t>
      </w:r>
      <w:r w:rsidRPr="489789AE" w:rsidR="55C983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41e4dd4a468e4764">
        <w:r w:rsidRPr="489789AE" w:rsidR="55C983C1">
          <w:rPr>
            <w:rStyle w:val="Hyperlink"/>
            <w:rFonts w:ascii="Arial" w:hAnsi="Arial" w:eastAsia="Arial" w:cs="Arial"/>
            <w:b w:val="0"/>
            <w:bCs w:val="0"/>
            <w:i w:val="0"/>
            <w:iCs w:val="0"/>
            <w:caps w:val="0"/>
            <w:smallCaps w:val="0"/>
            <w:strike w:val="0"/>
            <w:dstrike w:val="0"/>
            <w:noProof w:val="0"/>
            <w:sz w:val="24"/>
            <w:szCs w:val="24"/>
            <w:lang w:val="en-GB"/>
          </w:rPr>
          <w:t>https://www.ncbi.nlm.nih.gov</w:t>
        </w:r>
      </w:hyperlink>
      <w:r w:rsidRPr="489789AE" w:rsidR="55C983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28 March 2026).</w:t>
      </w:r>
    </w:p>
    <w:p w:rsidR="489789AE" w:rsidP="489789AE" w:rsidRDefault="489789AE" w14:paraId="674CFAA2" w14:textId="117160EC">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72020FBC" w14:textId="06A47647">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658363E8" w14:textId="6D63DD02">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O’Hagan, K. (2014)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Protection: An introduction</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2nd edition. London: Routledge. Accessed: 9</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489789AE" w:rsidP="489789AE" w:rsidRDefault="489789AE" w14:paraId="67D1D384" w14:textId="31746578">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390F5503" w14:textId="076E515E">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Parton, N. (2014)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Politics of Child Protection: Contemporary developments and future directions</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3rd edition. Basingstoke: Palgrave Macmillan. Accessed: 9</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489789AE" w:rsidP="489789AE" w:rsidRDefault="489789AE" w14:paraId="4A20E0E6" w14:textId="5BEB5DE6">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6E4C6D11" w14:textId="236E1A20">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Parton, N., Thorpe, D., and Wattam, C. (2010)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Protection: Risk and resilience</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2nd edition. Basingstoke: Palgrave Macmillan. Accessed: 21 March 2026.</w:t>
      </w:r>
    </w:p>
    <w:p w:rsidR="489789AE" w:rsidP="489789AE" w:rsidRDefault="489789AE" w14:paraId="194A4C9D" w14:textId="62193293">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1D4C206D" w14:textId="1A0A1246">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Platt, D., and Turney, D. (2013) ‘Child protection, poverty and social exclusion’,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British Journal of Social Work</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43(2), pp. 235–252. Accessed: 29</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5F06A80D" w:rsidP="489789AE" w:rsidRDefault="5F06A80D" w14:paraId="36B883BB" w14:textId="5CB95F90">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5F06A8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Research in Practice (2020) Enhancing the role of social work Available at: </w:t>
      </w:r>
      <w:hyperlink r:id="R9019822e0837455c">
        <w:r w:rsidRPr="489789AE" w:rsidR="5F06A80D">
          <w:rPr>
            <w:rStyle w:val="Hyperlink"/>
            <w:rFonts w:ascii="Arial" w:hAnsi="Arial" w:eastAsia="Arial" w:cs="Arial"/>
            <w:b w:val="0"/>
            <w:bCs w:val="0"/>
            <w:i w:val="0"/>
            <w:iCs w:val="0"/>
            <w:caps w:val="0"/>
            <w:smallCaps w:val="0"/>
            <w:strike w:val="0"/>
            <w:dstrike w:val="0"/>
            <w:noProof w:val="0"/>
            <w:sz w:val="24"/>
            <w:szCs w:val="24"/>
            <w:lang w:val="en-GB"/>
          </w:rPr>
          <w:t>https://www.researchinpractice.org.uk</w:t>
        </w:r>
      </w:hyperlink>
      <w:r w:rsidRPr="489789AE" w:rsidR="5F06A8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28 March 2026).</w:t>
      </w:r>
    </w:p>
    <w:p w:rsidR="489789AE" w:rsidP="489789AE" w:rsidRDefault="489789AE" w14:paraId="61EF1E8E" w14:textId="533C97C6">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A347DE5" w:rsidP="489789AE" w:rsidRDefault="0A347DE5" w14:paraId="3578C4EB" w14:textId="3FDBF1ED">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0A347DE5">
        <w:rPr>
          <w:rFonts w:ascii="Arial" w:hAnsi="Arial" w:eastAsia="Arial" w:cs="Arial"/>
          <w:b w:val="0"/>
          <w:bCs w:val="0"/>
          <w:i w:val="0"/>
          <w:iCs w:val="0"/>
          <w:caps w:val="0"/>
          <w:smallCaps w:val="0"/>
          <w:noProof w:val="0"/>
          <w:color w:val="000000" w:themeColor="text1" w:themeTint="FF" w:themeShade="FF"/>
          <w:sz w:val="24"/>
          <w:szCs w:val="24"/>
          <w:lang w:val="en-GB"/>
        </w:rPr>
        <w:t xml:space="preserve">Ruth, B.J. &amp; Marshall, J.W. (2017) A History of Social Work in Public Health. American Journal of Public Health, pages S236–S242. Available at: </w:t>
      </w:r>
      <w:hyperlink r:id="R823797bbf97d4168">
        <w:r w:rsidRPr="489789AE" w:rsidR="0A347DE5">
          <w:rPr>
            <w:rStyle w:val="Hyperlink"/>
            <w:rFonts w:ascii="Arial" w:hAnsi="Arial" w:eastAsia="Arial" w:cs="Arial"/>
            <w:b w:val="0"/>
            <w:bCs w:val="0"/>
            <w:i w:val="0"/>
            <w:iCs w:val="0"/>
            <w:caps w:val="0"/>
            <w:smallCaps w:val="0"/>
            <w:strike w:val="0"/>
            <w:dstrike w:val="0"/>
            <w:noProof w:val="0"/>
            <w:sz w:val="24"/>
            <w:szCs w:val="24"/>
            <w:lang w:val="en-GB"/>
          </w:rPr>
          <w:t>https://pmc.ncbi.nlm.nih.gov</w:t>
        </w:r>
      </w:hyperlink>
      <w:r w:rsidRPr="489789AE" w:rsidR="0A347DE5">
        <w:rPr>
          <w:rFonts w:ascii="Arial" w:hAnsi="Arial" w:eastAsia="Arial" w:cs="Arial"/>
          <w:b w:val="0"/>
          <w:bCs w:val="0"/>
          <w:i w:val="0"/>
          <w:iCs w:val="0"/>
          <w:caps w:val="0"/>
          <w:smallCaps w:val="0"/>
          <w:noProof w:val="0"/>
          <w:color w:val="000000" w:themeColor="text1" w:themeTint="FF" w:themeShade="FF"/>
          <w:sz w:val="24"/>
          <w:szCs w:val="24"/>
          <w:lang w:val="en-GB"/>
        </w:rPr>
        <w:t>. Accessed: 10 March 2026.</w:t>
      </w:r>
    </w:p>
    <w:p w:rsidR="489789AE" w:rsidP="489789AE" w:rsidRDefault="489789AE" w14:paraId="259FF56F" w14:textId="25E67E7D">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4CA0C48F" w14:textId="1BFDBDE9">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65059F55" w14:textId="3FE78D3B">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Sidebotham, P., et, al. (2016)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Pathways to Harm, Pathways to Protection: A triennial analysis of serious case reviews 2011–2014</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Department for Education</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accessed:19</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3FD518FA" w:rsidP="489789AE" w:rsidRDefault="3FD518FA" w14:paraId="47E5BDC8" w14:textId="58F091A5">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3FD518FA">
        <w:rPr>
          <w:rFonts w:ascii="Arial" w:hAnsi="Arial" w:eastAsia="Arial" w:cs="Arial"/>
          <w:b w:val="0"/>
          <w:bCs w:val="0"/>
          <w:i w:val="0"/>
          <w:iCs w:val="0"/>
          <w:caps w:val="0"/>
          <w:smallCaps w:val="0"/>
          <w:noProof w:val="0"/>
          <w:color w:val="000000" w:themeColor="text1" w:themeTint="FF" w:themeShade="FF"/>
          <w:sz w:val="24"/>
          <w:szCs w:val="24"/>
          <w:lang w:val="en-GB"/>
        </w:rPr>
        <w:t xml:space="preserve">Social Work Institute (2025) Key Historical Milestones in Social Work Development. Available at: </w:t>
      </w:r>
      <w:hyperlink r:id="R5f2316377280435f">
        <w:r w:rsidRPr="489789AE" w:rsidR="3FD518FA">
          <w:rPr>
            <w:rStyle w:val="Hyperlink"/>
            <w:rFonts w:ascii="Arial" w:hAnsi="Arial" w:eastAsia="Arial" w:cs="Arial"/>
            <w:b w:val="0"/>
            <w:bCs w:val="0"/>
            <w:i w:val="0"/>
            <w:iCs w:val="0"/>
            <w:caps w:val="0"/>
            <w:smallCaps w:val="0"/>
            <w:strike w:val="0"/>
            <w:dstrike w:val="0"/>
            <w:noProof w:val="0"/>
            <w:sz w:val="24"/>
            <w:szCs w:val="24"/>
            <w:lang w:val="en-GB"/>
          </w:rPr>
          <w:t>https://socialwork.institute</w:t>
        </w:r>
      </w:hyperlink>
      <w:r w:rsidRPr="489789AE" w:rsidR="3FD518FA">
        <w:rPr>
          <w:rFonts w:ascii="Arial" w:hAnsi="Arial" w:eastAsia="Arial" w:cs="Arial"/>
          <w:b w:val="0"/>
          <w:bCs w:val="0"/>
          <w:i w:val="0"/>
          <w:iCs w:val="0"/>
          <w:caps w:val="0"/>
          <w:smallCaps w:val="0"/>
          <w:noProof w:val="0"/>
          <w:color w:val="000000" w:themeColor="text1" w:themeTint="FF" w:themeShade="FF"/>
          <w:sz w:val="24"/>
          <w:szCs w:val="24"/>
          <w:lang w:val="en-GB"/>
        </w:rPr>
        <w:t>. Accessed: 10 March 2026.</w:t>
      </w:r>
    </w:p>
    <w:p w:rsidR="489789AE" w:rsidP="489789AE" w:rsidRDefault="489789AE" w14:paraId="53C0525A" w14:textId="1999F144">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5E954DB2" w14:textId="098F8546">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57FD10F8" w14:textId="47419316">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Statham, J., Owen, C., and Barron, C. (2017) ‘Early help for children, young people and families’,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&amp; Family Social Work</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22(4), pages 1254-1262. Accessed: 20</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68652F15" w:rsidP="489789AE" w:rsidRDefault="68652F15" w14:paraId="53AE86BD" w14:textId="02F6AD55">
      <w:pPr>
        <w:pStyle w:val="Normal"/>
        <w:shd w:val="clear" w:color="auto" w:fill="FFFFFF" w:themeFill="background1"/>
        <w:spacing w:before="0" w:beforeAutospacing="off" w:after="0" w:afterAutospacing="off"/>
        <w:rPr>
          <w:rFonts w:ascii="Arial" w:hAnsi="Arial" w:eastAsia="Arial" w:cs="Arial"/>
          <w:noProof w:val="0"/>
          <w:sz w:val="24"/>
          <w:szCs w:val="24"/>
          <w:lang w:val="en-GB"/>
        </w:rPr>
      </w:pPr>
      <w:r w:rsidRPr="489789AE" w:rsidR="68652F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King's Fund (2018) </w:t>
      </w:r>
      <w:r w:rsidRPr="489789AE" w:rsidR="68652F1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Approaches to social care funding</w:t>
      </w:r>
      <w:r w:rsidRPr="489789AE" w:rsidR="68652F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London: The King’s Fund. Available at: </w:t>
      </w:r>
      <w:hyperlink r:id="R021ba480d8a54967">
        <w:r w:rsidRPr="489789AE" w:rsidR="68652F15">
          <w:rPr>
            <w:rStyle w:val="Hyperlink"/>
            <w:rFonts w:ascii="Arial" w:hAnsi="Arial" w:eastAsia="Arial" w:cs="Arial"/>
            <w:b w:val="0"/>
            <w:bCs w:val="0"/>
            <w:i w:val="0"/>
            <w:iCs w:val="0"/>
            <w:caps w:val="0"/>
            <w:smallCaps w:val="0"/>
            <w:noProof w:val="0"/>
            <w:color w:val="1155CC"/>
            <w:sz w:val="24"/>
            <w:szCs w:val="24"/>
            <w:lang w:val="en-GB"/>
          </w:rPr>
          <w:t>https://www.kingsfund.org.uk/insight-and-analysis/reports/approaches-social-care-funding</w:t>
        </w:r>
      </w:hyperlink>
      <w:r w:rsidRPr="489789AE" w:rsidR="68652F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25 March 2026).</w:t>
      </w:r>
    </w:p>
    <w:p w:rsidR="489789AE" w:rsidP="489789AE" w:rsidRDefault="489789AE" w14:paraId="7398D3C8" w14:textId="1194F9B1">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5DF29C0" w:rsidP="489789AE" w:rsidRDefault="55DF29C0" w14:paraId="4FA7E555" w14:textId="73ED5AB6">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55DF29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Tan, Y. et al. (2025) ‘Empowering social service with AI: Insights from a participatory design study with practitioners. Accessed: 15</w:t>
      </w:r>
      <w:r w:rsidRPr="489789AE" w:rsidR="55DF29C0">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55DF29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55DF29C0" w:rsidP="489789AE" w:rsidRDefault="55DF29C0" w14:paraId="4E13010B" w14:textId="6B8AC636">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55DF29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Teater, B. (2017) ‘Social work research and its relevance to practice: The gap between research and practice continues to be wide’, </w:t>
      </w:r>
      <w:r w:rsidRPr="489789AE" w:rsidR="55DF29C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Journal of Social Service Research</w:t>
      </w:r>
      <w:r w:rsidRPr="489789AE" w:rsidR="55DF29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Accessed: 8</w:t>
      </w:r>
      <w:r w:rsidRPr="489789AE" w:rsidR="55DF29C0">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55DF29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2026.</w:t>
      </w:r>
    </w:p>
    <w:p w:rsidR="7BDBAAB6" w:rsidP="489789AE" w:rsidRDefault="7BDBAAB6" w14:paraId="752CA093" w14:textId="5A60A4FF">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7BDBAA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Thomas, N. (2018) ‘Listening to children: Policy and practice’, </w:t>
      </w:r>
      <w:r w:rsidRPr="489789AE" w:rsidR="7BDBAAB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&amp; Family Social Work</w:t>
      </w:r>
      <w:r w:rsidRPr="489789AE" w:rsidR="7BDBAA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23(2), pp. 166–173. Accessed: 20</w:t>
      </w:r>
      <w:r w:rsidRPr="489789AE" w:rsidR="7BDBAAB6">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7BDBAA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January 2026.</w:t>
      </w:r>
    </w:p>
    <w:p w:rsidR="489789AE" w:rsidP="489789AE" w:rsidRDefault="489789AE" w14:paraId="1CA6E48B" w14:textId="73F2A2E5">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3000629F" w14:textId="4FBE2C00">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35E10CE" w:rsidP="489789AE" w:rsidRDefault="135E10CE" w14:paraId="7F68D363" w14:textId="3951EC2F">
      <w:pPr>
        <w:pStyle w:val="Normal"/>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Thomas, N., and O’Kane, C. (2015)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Ethics of Research with Children and Young People: A practical handbook</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2nd edition. London: Sage. 18</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0C4E3AE1" w:rsidP="489789AE" w:rsidRDefault="0C4E3AE1" w14:paraId="00269433" w14:textId="1172E1D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0C4E3A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UK Government (2023) </w:t>
      </w:r>
      <w:r w:rsidRPr="489789AE" w:rsidR="0C4E3AE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About the United Kingdom</w:t>
      </w:r>
      <w:r w:rsidRPr="489789AE" w:rsidR="0C4E3A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57d4e23827d84a90">
        <w:r w:rsidRPr="489789AE" w:rsidR="0C4E3AE1">
          <w:rPr>
            <w:rStyle w:val="Hyperlink"/>
            <w:rFonts w:ascii="Arial" w:hAnsi="Arial" w:eastAsia="Arial" w:cs="Arial"/>
            <w:b w:val="0"/>
            <w:bCs w:val="0"/>
            <w:i w:val="0"/>
            <w:iCs w:val="0"/>
            <w:caps w:val="0"/>
            <w:smallCaps w:val="0"/>
            <w:strike w:val="0"/>
            <w:dstrike w:val="0"/>
            <w:noProof w:val="0"/>
            <w:sz w:val="24"/>
            <w:szCs w:val="24"/>
            <w:lang w:val="en-GB"/>
          </w:rPr>
          <w:t>https://www.gov.uk/government/organisations/uk-government</w:t>
        </w:r>
      </w:hyperlink>
      <w:r w:rsidRPr="489789AE" w:rsidR="0C4E3A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28 March 2026).</w:t>
      </w:r>
    </w:p>
    <w:p w:rsidR="489789AE" w:rsidP="489789AE" w:rsidRDefault="489789AE" w14:paraId="00390528" w14:textId="4CE471D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7936B43" w:rsidP="489789AE" w:rsidRDefault="37936B43" w14:paraId="5F82B2A4" w14:textId="614C0DB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37936B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United Nations. (2013) </w:t>
      </w:r>
      <w:r w:rsidRPr="489789AE" w:rsidR="37936B43">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Definition of youth</w:t>
      </w:r>
      <w:r w:rsidRPr="489789AE" w:rsidR="37936B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2274ff1f6df64a0f">
        <w:r w:rsidRPr="489789AE" w:rsidR="37936B43">
          <w:rPr>
            <w:rStyle w:val="Hyperlink"/>
            <w:rFonts w:ascii="Arial" w:hAnsi="Arial" w:eastAsia="Arial" w:cs="Arial"/>
            <w:b w:val="0"/>
            <w:bCs w:val="0"/>
            <w:i w:val="0"/>
            <w:iCs w:val="0"/>
            <w:caps w:val="0"/>
            <w:smallCaps w:val="0"/>
            <w:strike w:val="0"/>
            <w:dstrike w:val="0"/>
            <w:noProof w:val="0"/>
            <w:sz w:val="24"/>
            <w:szCs w:val="24"/>
            <w:lang w:val="en-GB"/>
          </w:rPr>
          <w:t>https://www.un.org</w:t>
        </w:r>
      </w:hyperlink>
      <w:r w:rsidRPr="489789AE" w:rsidR="37936B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28 March 2026).</w:t>
      </w:r>
    </w:p>
    <w:p w:rsidR="489789AE" w:rsidP="489789AE" w:rsidRDefault="489789AE" w14:paraId="6193FE5C" w14:textId="298B152D">
      <w:pPr>
        <w:pStyle w:val="Normal"/>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2A54A0F2" w14:textId="166F5204">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2633FA3E" w14:textId="6153AB11">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Ward, H., Brown, R., and Westlake, D. (2016) ‘Assessing risk in child protection’,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&amp; Family Social Work</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21(3), pp. 274–284. 20</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489789AE" w:rsidP="489789AE" w:rsidRDefault="489789AE" w14:paraId="7D629094" w14:textId="4F09DC11">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04F760BE" w14:textId="0B509AB4">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White, S., Featherstone, B. (2014) ‘Communities, Child Welfare and Social Work’,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British Journal of Social Work</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44(2), pp. 217–233. Accessed: 19</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489789AE" w:rsidP="489789AE" w:rsidRDefault="489789AE" w14:paraId="4BFB6AF1" w14:textId="380D7AAE">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210EBD6D" w14:textId="3F8F4759">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Wilkinson, J., and Liddell, M. (2020) ‘Social work and safeguarding in England’,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Journal of Social Work Practice</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34(1), pp. 21–36. Accessed: 21 March 2026.</w:t>
      </w:r>
    </w:p>
    <w:p w:rsidR="489789AE" w:rsidP="489789AE" w:rsidRDefault="489789AE" w14:paraId="5D865525" w14:textId="23AA4406">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79EB8947" w14:textId="57BF4C84">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Wonnacott, J., and Guest, S. (2016)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Child Protection and Safeguarding in England: Policies,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practices</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and challenges</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Routledge. Accessed: 29</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7887542F" w:rsidP="489789AE" w:rsidRDefault="7887542F" w14:paraId="040F9F7A" w14:textId="04FA5F8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788754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Weiss Gal, I. and Welbourne, P. (2008) ‘The professionalisation of social work a cross-national exploration. </w:t>
      </w:r>
      <w:r w:rsidRPr="489789AE" w:rsidR="7887542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International Journal of Social Welfare</w:t>
      </w:r>
      <w:r w:rsidRPr="489789AE" w:rsidR="788754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17(4), pp. 281-290.</w:t>
      </w:r>
    </w:p>
    <w:p w:rsidR="489789AE" w:rsidP="489789AE" w:rsidRDefault="489789AE" w14:paraId="46A666E7" w14:textId="2814F195">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0C14C6E2" w14:textId="1A8484A1">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0BE92127" w14:textId="29A85556">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Yates, P., and Featherstone, B. (2016)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Practising Social Work with Children and Families: A relational approach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Sage. Accessed: 20</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 </w:t>
      </w:r>
    </w:p>
    <w:p w:rsidR="489789AE" w:rsidP="489789AE" w:rsidRDefault="489789AE" w14:paraId="0836A72A" w14:textId="34E65973">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35E10CE" w:rsidP="489789AE" w:rsidRDefault="135E10CE" w14:paraId="2D7618D2" w14:textId="32DBEEC8">
      <w:pPr>
        <w:shd w:val="clear" w:color="auto" w:fill="FFFFFF" w:themeFill="background1"/>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Young Minds (2020) </w:t>
      </w:r>
      <w:r w:rsidRPr="489789AE" w:rsidR="135E10C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Safeguarding Children and Young People’s Mental Health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Young Minds. Accessed: 27</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89789AE" w:rsidR="135E10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2026.</w:t>
      </w:r>
    </w:p>
    <w:p w:rsidR="489789AE" w:rsidP="489789AE" w:rsidRDefault="489789AE" w14:paraId="39C24606" w14:textId="65971D55">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89789AE" w:rsidP="489789AE" w:rsidRDefault="489789AE" w14:paraId="7E71B7F4" w14:textId="53186E25">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89789AE" w:rsidP="489789AE" w:rsidRDefault="489789AE" w14:paraId="56DF0D57" w14:textId="3B92D017">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89789AE" w:rsidP="489789AE" w:rsidRDefault="489789AE" w14:paraId="079DC46B" w14:textId="5A68AC94">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89789AE" w:rsidP="489789AE" w:rsidRDefault="489789AE" w14:paraId="64D4D7C1" w14:textId="014A83BD">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89789AE" w:rsidP="489789AE" w:rsidRDefault="489789AE" w14:paraId="0FECADA9" w14:textId="4CCED0D3">
      <w:pPr>
        <w:shd w:val="clear" w:color="auto" w:fill="FFFFFF" w:themeFill="background1"/>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89789AE" w:rsidP="489789AE" w:rsidRDefault="489789AE" w14:paraId="7F046EB6" w14:textId="377C86B9">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89789AE" w:rsidP="489789AE" w:rsidRDefault="489789AE" w14:paraId="2F92371F" w14:textId="61035DB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489789AE" w:rsidP="489789AE" w:rsidRDefault="489789AE" w14:paraId="55F97CF0" w14:textId="510B0DC7">
      <w:pPr>
        <w:rPr>
          <w:rFonts w:ascii="Arial" w:hAnsi="Arial" w:eastAsia="Arial" w:cs="Arial"/>
          <w:b w:val="0"/>
          <w:bCs w:val="0"/>
          <w:i w:val="0"/>
          <w:iCs w:val="0"/>
          <w:caps w:val="0"/>
          <w:smallCaps w:val="0"/>
          <w:noProof w:val="0"/>
          <w:color w:val="000000" w:themeColor="text1" w:themeTint="FF" w:themeShade="FF"/>
          <w:sz w:val="24"/>
          <w:szCs w:val="24"/>
          <w:lang w:val="en-GB"/>
        </w:rPr>
      </w:pPr>
    </w:p>
    <w:p w:rsidR="489789AE" w:rsidP="489789AE" w:rsidRDefault="489789AE" w14:paraId="3B2B8E1F" w14:textId="3540A9BD">
      <w:pPr>
        <w:pStyle w:val="Normal"/>
        <w:rPr>
          <w:b w:val="1"/>
          <w:bCs w:val="1"/>
          <w:sz w:val="32"/>
          <w:szCs w:val="32"/>
        </w:rPr>
      </w:pPr>
    </w:p>
    <w:p w:rsidR="2AA95F6F" w:rsidP="2AA95F6F" w:rsidRDefault="2AA95F6F" w14:paraId="20252B1E" w14:textId="075AB400">
      <w:pPr>
        <w:pStyle w:val="Normal"/>
        <w:rPr>
          <w:b w:val="1"/>
          <w:bCs w:val="1"/>
          <w:sz w:val="32"/>
          <w:szCs w:val="32"/>
        </w:rPr>
      </w:pPr>
    </w:p>
    <w:p w:rsidR="2AA95F6F" w:rsidP="2AA95F6F" w:rsidRDefault="2AA95F6F" w14:paraId="074FDE63" w14:textId="552343C1">
      <w:pPr>
        <w:pStyle w:val="Normal"/>
        <w:rPr>
          <w:b w:val="1"/>
          <w:bCs w:val="1"/>
          <w:sz w:val="32"/>
          <w:szCs w:val="32"/>
        </w:rPr>
      </w:pPr>
    </w:p>
    <w:p w:rsidR="2AA95F6F" w:rsidP="2AA95F6F" w:rsidRDefault="2AA95F6F" w14:paraId="578014E1" w14:textId="4D655CB8">
      <w:pPr>
        <w:pStyle w:val="Normal"/>
        <w:rPr>
          <w:b w:val="1"/>
          <w:bCs w:val="1"/>
          <w:sz w:val="32"/>
          <w:szCs w:val="32"/>
        </w:rPr>
      </w:pPr>
    </w:p>
    <w:p w:rsidR="2AA95F6F" w:rsidP="2AA95F6F" w:rsidRDefault="2AA95F6F" w14:paraId="2EB48EEB" w14:textId="5DB104AD">
      <w:pPr>
        <w:pStyle w:val="Normal"/>
        <w:rPr>
          <w:b w:val="1"/>
          <w:bCs w:val="1"/>
          <w:sz w:val="32"/>
          <w:szCs w:val="32"/>
        </w:rPr>
      </w:pPr>
    </w:p>
    <w:p w:rsidR="2AA95F6F" w:rsidP="2AA95F6F" w:rsidRDefault="2AA95F6F" w14:paraId="532455A1" w14:textId="1F4FC8E4">
      <w:pPr>
        <w:pStyle w:val="Normal"/>
        <w:rPr>
          <w:b w:val="1"/>
          <w:bCs w:val="1"/>
          <w:sz w:val="32"/>
          <w:szCs w:val="32"/>
        </w:rPr>
      </w:pPr>
    </w:p>
    <w:p w:rsidR="2AA95F6F" w:rsidP="2AA95F6F" w:rsidRDefault="2AA95F6F" w14:paraId="6D770775" w14:textId="35C4932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19TOiy0Il1RoNv" int2:id="XMTkDgSt">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8">
    <w:nsid w:val="223a17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3181fc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2dfb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f3f55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715e8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04c50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9bc94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7cedf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b16c8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c6218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8608c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a10b4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a5ec3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4a71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dd6c5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25d46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15384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1abb1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c39a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e343e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bf76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818ad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0b5c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27ecb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a12c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ccd8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c5f6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133a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362A31"/>
    <w:rsid w:val="001FEF88"/>
    <w:rsid w:val="0031FCF0"/>
    <w:rsid w:val="00394455"/>
    <w:rsid w:val="00702D6A"/>
    <w:rsid w:val="009729B6"/>
    <w:rsid w:val="009A5A93"/>
    <w:rsid w:val="00B93DE2"/>
    <w:rsid w:val="00C58CD8"/>
    <w:rsid w:val="00E2229A"/>
    <w:rsid w:val="010FA5E3"/>
    <w:rsid w:val="01192C45"/>
    <w:rsid w:val="01197F98"/>
    <w:rsid w:val="017A53FF"/>
    <w:rsid w:val="019A4BDA"/>
    <w:rsid w:val="022FD9DF"/>
    <w:rsid w:val="023ED46F"/>
    <w:rsid w:val="024D111F"/>
    <w:rsid w:val="025A59F9"/>
    <w:rsid w:val="025E8F8E"/>
    <w:rsid w:val="0280661C"/>
    <w:rsid w:val="029E03AE"/>
    <w:rsid w:val="029E4D4F"/>
    <w:rsid w:val="02BA8F7A"/>
    <w:rsid w:val="02C8B8ED"/>
    <w:rsid w:val="02CFBEF9"/>
    <w:rsid w:val="02EB9AAA"/>
    <w:rsid w:val="02F607C5"/>
    <w:rsid w:val="0305D7ED"/>
    <w:rsid w:val="0310A89D"/>
    <w:rsid w:val="0322978B"/>
    <w:rsid w:val="0329B6A8"/>
    <w:rsid w:val="03367CBF"/>
    <w:rsid w:val="033E1869"/>
    <w:rsid w:val="039267ED"/>
    <w:rsid w:val="03A32891"/>
    <w:rsid w:val="03C20068"/>
    <w:rsid w:val="03E4E0C4"/>
    <w:rsid w:val="04233A0D"/>
    <w:rsid w:val="042FE65B"/>
    <w:rsid w:val="043BD85C"/>
    <w:rsid w:val="04760423"/>
    <w:rsid w:val="048F8C06"/>
    <w:rsid w:val="04C02A6D"/>
    <w:rsid w:val="04C16BC7"/>
    <w:rsid w:val="04CF90CA"/>
    <w:rsid w:val="04FFE163"/>
    <w:rsid w:val="051D3B6B"/>
    <w:rsid w:val="05295B5B"/>
    <w:rsid w:val="0569590F"/>
    <w:rsid w:val="0576DB4C"/>
    <w:rsid w:val="057B814E"/>
    <w:rsid w:val="05AE7E57"/>
    <w:rsid w:val="05B75D7D"/>
    <w:rsid w:val="05BD6918"/>
    <w:rsid w:val="05C922BB"/>
    <w:rsid w:val="05EA66D5"/>
    <w:rsid w:val="060B6017"/>
    <w:rsid w:val="06149BF0"/>
    <w:rsid w:val="06232627"/>
    <w:rsid w:val="0658AC9A"/>
    <w:rsid w:val="068875A3"/>
    <w:rsid w:val="0688F88F"/>
    <w:rsid w:val="069F861A"/>
    <w:rsid w:val="06AF3205"/>
    <w:rsid w:val="06B864DA"/>
    <w:rsid w:val="06D2C988"/>
    <w:rsid w:val="06E51C94"/>
    <w:rsid w:val="0731FA81"/>
    <w:rsid w:val="0735278D"/>
    <w:rsid w:val="07C370BF"/>
    <w:rsid w:val="07CBE9A3"/>
    <w:rsid w:val="07CDD9C0"/>
    <w:rsid w:val="07E16345"/>
    <w:rsid w:val="07F23333"/>
    <w:rsid w:val="07FC8E73"/>
    <w:rsid w:val="0811FDD9"/>
    <w:rsid w:val="08179AA1"/>
    <w:rsid w:val="0818D1D4"/>
    <w:rsid w:val="08365747"/>
    <w:rsid w:val="084342CA"/>
    <w:rsid w:val="0866A628"/>
    <w:rsid w:val="088E526F"/>
    <w:rsid w:val="08E43D64"/>
    <w:rsid w:val="08E963D4"/>
    <w:rsid w:val="092F61C8"/>
    <w:rsid w:val="094C2BB3"/>
    <w:rsid w:val="099C357D"/>
    <w:rsid w:val="09A3CAB9"/>
    <w:rsid w:val="09B4F35C"/>
    <w:rsid w:val="09C69167"/>
    <w:rsid w:val="09D846DD"/>
    <w:rsid w:val="0A1EBD16"/>
    <w:rsid w:val="0A347DE5"/>
    <w:rsid w:val="0A3D7213"/>
    <w:rsid w:val="0A4AE706"/>
    <w:rsid w:val="0A6E5ABC"/>
    <w:rsid w:val="0A962512"/>
    <w:rsid w:val="0AADF58F"/>
    <w:rsid w:val="0B7A61B7"/>
    <w:rsid w:val="0BA37D12"/>
    <w:rsid w:val="0BDAE914"/>
    <w:rsid w:val="0C444486"/>
    <w:rsid w:val="0C4E3AE1"/>
    <w:rsid w:val="0C5780A6"/>
    <w:rsid w:val="0CE67CB6"/>
    <w:rsid w:val="0CF066B0"/>
    <w:rsid w:val="0CF673AD"/>
    <w:rsid w:val="0D0DA974"/>
    <w:rsid w:val="0D161B1A"/>
    <w:rsid w:val="0D1B582F"/>
    <w:rsid w:val="0D1E6CDA"/>
    <w:rsid w:val="0D8D6D8C"/>
    <w:rsid w:val="0D98C67E"/>
    <w:rsid w:val="0DCD3040"/>
    <w:rsid w:val="0DF331E9"/>
    <w:rsid w:val="0E103619"/>
    <w:rsid w:val="0E175B40"/>
    <w:rsid w:val="0E3AEEE0"/>
    <w:rsid w:val="0E415083"/>
    <w:rsid w:val="0E5B8991"/>
    <w:rsid w:val="0E607C88"/>
    <w:rsid w:val="0E638A15"/>
    <w:rsid w:val="0EB3DD16"/>
    <w:rsid w:val="0F35A4C2"/>
    <w:rsid w:val="0F88B6F2"/>
    <w:rsid w:val="0F9F4E4E"/>
    <w:rsid w:val="0FF31985"/>
    <w:rsid w:val="10123FCC"/>
    <w:rsid w:val="107A291D"/>
    <w:rsid w:val="1097673D"/>
    <w:rsid w:val="10A9035E"/>
    <w:rsid w:val="10A9BCC8"/>
    <w:rsid w:val="10B478FB"/>
    <w:rsid w:val="10E3170E"/>
    <w:rsid w:val="10E79644"/>
    <w:rsid w:val="10F77D54"/>
    <w:rsid w:val="11063440"/>
    <w:rsid w:val="1109F620"/>
    <w:rsid w:val="11492C52"/>
    <w:rsid w:val="1149B961"/>
    <w:rsid w:val="114ED037"/>
    <w:rsid w:val="1172F07F"/>
    <w:rsid w:val="117450CC"/>
    <w:rsid w:val="118B156D"/>
    <w:rsid w:val="11FCE753"/>
    <w:rsid w:val="12156715"/>
    <w:rsid w:val="12260A56"/>
    <w:rsid w:val="12265A4B"/>
    <w:rsid w:val="1244D3AF"/>
    <w:rsid w:val="1246AE82"/>
    <w:rsid w:val="12BE2059"/>
    <w:rsid w:val="130004BA"/>
    <w:rsid w:val="1342252A"/>
    <w:rsid w:val="135E10CE"/>
    <w:rsid w:val="137E21FC"/>
    <w:rsid w:val="13977CEB"/>
    <w:rsid w:val="13DD4FB9"/>
    <w:rsid w:val="13E26CAB"/>
    <w:rsid w:val="1407E683"/>
    <w:rsid w:val="141A815F"/>
    <w:rsid w:val="142591EF"/>
    <w:rsid w:val="142D3C72"/>
    <w:rsid w:val="1432611E"/>
    <w:rsid w:val="145FA45E"/>
    <w:rsid w:val="1461B1BF"/>
    <w:rsid w:val="14B1CE41"/>
    <w:rsid w:val="1519F0AF"/>
    <w:rsid w:val="152A55B0"/>
    <w:rsid w:val="154E0CF7"/>
    <w:rsid w:val="15789D98"/>
    <w:rsid w:val="15D6E85A"/>
    <w:rsid w:val="15E029AF"/>
    <w:rsid w:val="15EC38CD"/>
    <w:rsid w:val="161F47D9"/>
    <w:rsid w:val="1646E98E"/>
    <w:rsid w:val="1688765B"/>
    <w:rsid w:val="168F8688"/>
    <w:rsid w:val="169D0841"/>
    <w:rsid w:val="16C65C85"/>
    <w:rsid w:val="17194DFC"/>
    <w:rsid w:val="171E50B7"/>
    <w:rsid w:val="1731FDCA"/>
    <w:rsid w:val="17391F9B"/>
    <w:rsid w:val="1739693A"/>
    <w:rsid w:val="174202EB"/>
    <w:rsid w:val="1760DCB9"/>
    <w:rsid w:val="179A5B8C"/>
    <w:rsid w:val="179BD3E9"/>
    <w:rsid w:val="17B8AE34"/>
    <w:rsid w:val="17DE937E"/>
    <w:rsid w:val="17F3A186"/>
    <w:rsid w:val="1811EFBB"/>
    <w:rsid w:val="18758B11"/>
    <w:rsid w:val="1881AD32"/>
    <w:rsid w:val="18E43073"/>
    <w:rsid w:val="190E2B46"/>
    <w:rsid w:val="1921637C"/>
    <w:rsid w:val="19270C3C"/>
    <w:rsid w:val="19278BA6"/>
    <w:rsid w:val="195966EA"/>
    <w:rsid w:val="19654518"/>
    <w:rsid w:val="197B4700"/>
    <w:rsid w:val="199B3447"/>
    <w:rsid w:val="19B59C65"/>
    <w:rsid w:val="19D420D1"/>
    <w:rsid w:val="19D665C3"/>
    <w:rsid w:val="1A111BFB"/>
    <w:rsid w:val="1A1F5349"/>
    <w:rsid w:val="1A409963"/>
    <w:rsid w:val="1A471D48"/>
    <w:rsid w:val="1A5AB2FB"/>
    <w:rsid w:val="1A66E7C8"/>
    <w:rsid w:val="1A68E9ED"/>
    <w:rsid w:val="1A72C16D"/>
    <w:rsid w:val="1AB20C27"/>
    <w:rsid w:val="1AB394E3"/>
    <w:rsid w:val="1AC70EAA"/>
    <w:rsid w:val="1AF60388"/>
    <w:rsid w:val="1B618321"/>
    <w:rsid w:val="1B6D392E"/>
    <w:rsid w:val="1B86784F"/>
    <w:rsid w:val="1B99F53C"/>
    <w:rsid w:val="1BF34BB9"/>
    <w:rsid w:val="1BF4AD04"/>
    <w:rsid w:val="1C0AB2D5"/>
    <w:rsid w:val="1C0C0090"/>
    <w:rsid w:val="1C11476A"/>
    <w:rsid w:val="1C169430"/>
    <w:rsid w:val="1C1B82AA"/>
    <w:rsid w:val="1C3179DA"/>
    <w:rsid w:val="1C41B9B3"/>
    <w:rsid w:val="1C5598FE"/>
    <w:rsid w:val="1C59401B"/>
    <w:rsid w:val="1C5E8DBE"/>
    <w:rsid w:val="1C5F6E16"/>
    <w:rsid w:val="1C72191D"/>
    <w:rsid w:val="1C81FAC1"/>
    <w:rsid w:val="1C8AC359"/>
    <w:rsid w:val="1C963115"/>
    <w:rsid w:val="1CD09FBC"/>
    <w:rsid w:val="1CEF9966"/>
    <w:rsid w:val="1D3B185A"/>
    <w:rsid w:val="1DAF582A"/>
    <w:rsid w:val="1DBB12B7"/>
    <w:rsid w:val="1DC3AD3E"/>
    <w:rsid w:val="1DCBF39B"/>
    <w:rsid w:val="1E185346"/>
    <w:rsid w:val="1E1D685A"/>
    <w:rsid w:val="1E35F318"/>
    <w:rsid w:val="1E55BF5B"/>
    <w:rsid w:val="1E939DAD"/>
    <w:rsid w:val="1EBE08F7"/>
    <w:rsid w:val="1F088585"/>
    <w:rsid w:val="1F1D4044"/>
    <w:rsid w:val="1F39DF6B"/>
    <w:rsid w:val="1FAE9357"/>
    <w:rsid w:val="1FD95A89"/>
    <w:rsid w:val="1FE51743"/>
    <w:rsid w:val="1FE84A99"/>
    <w:rsid w:val="20608ABE"/>
    <w:rsid w:val="20634940"/>
    <w:rsid w:val="2071C620"/>
    <w:rsid w:val="207E20F0"/>
    <w:rsid w:val="2080FCEE"/>
    <w:rsid w:val="2080FCEE"/>
    <w:rsid w:val="209C6558"/>
    <w:rsid w:val="20BDD302"/>
    <w:rsid w:val="20CE70B3"/>
    <w:rsid w:val="20EA9298"/>
    <w:rsid w:val="20F093AD"/>
    <w:rsid w:val="2133529C"/>
    <w:rsid w:val="213EE5D1"/>
    <w:rsid w:val="21547BC2"/>
    <w:rsid w:val="215E17C4"/>
    <w:rsid w:val="216C50B7"/>
    <w:rsid w:val="219BAD0E"/>
    <w:rsid w:val="219CCEB0"/>
    <w:rsid w:val="21D5C535"/>
    <w:rsid w:val="2207742D"/>
    <w:rsid w:val="22397AE9"/>
    <w:rsid w:val="223B8EE7"/>
    <w:rsid w:val="22603E9D"/>
    <w:rsid w:val="226D2006"/>
    <w:rsid w:val="228CDE36"/>
    <w:rsid w:val="22D14EBA"/>
    <w:rsid w:val="2306566E"/>
    <w:rsid w:val="230C96DD"/>
    <w:rsid w:val="233B46E4"/>
    <w:rsid w:val="239B13F1"/>
    <w:rsid w:val="23AE1ED5"/>
    <w:rsid w:val="23CD71FB"/>
    <w:rsid w:val="23CF2950"/>
    <w:rsid w:val="23EA9614"/>
    <w:rsid w:val="240642A7"/>
    <w:rsid w:val="241CCD4D"/>
    <w:rsid w:val="243C96DB"/>
    <w:rsid w:val="24453C76"/>
    <w:rsid w:val="247EA647"/>
    <w:rsid w:val="248D930B"/>
    <w:rsid w:val="2491B4A6"/>
    <w:rsid w:val="24B03C1B"/>
    <w:rsid w:val="24BE932D"/>
    <w:rsid w:val="24DBC150"/>
    <w:rsid w:val="24F31E3B"/>
    <w:rsid w:val="251D5D4E"/>
    <w:rsid w:val="2534A8F3"/>
    <w:rsid w:val="259A88AF"/>
    <w:rsid w:val="25AC1700"/>
    <w:rsid w:val="25B10C86"/>
    <w:rsid w:val="25FB85CD"/>
    <w:rsid w:val="26672F3A"/>
    <w:rsid w:val="26931FD8"/>
    <w:rsid w:val="26A6DD57"/>
    <w:rsid w:val="26C67759"/>
    <w:rsid w:val="26D4790E"/>
    <w:rsid w:val="26E84261"/>
    <w:rsid w:val="27185D5B"/>
    <w:rsid w:val="2720BBD1"/>
    <w:rsid w:val="27406C21"/>
    <w:rsid w:val="274676B4"/>
    <w:rsid w:val="2756A9D9"/>
    <w:rsid w:val="2758DE8D"/>
    <w:rsid w:val="276CD8A8"/>
    <w:rsid w:val="2780A24B"/>
    <w:rsid w:val="27BC1B90"/>
    <w:rsid w:val="27DAD3F8"/>
    <w:rsid w:val="283DBC94"/>
    <w:rsid w:val="28966513"/>
    <w:rsid w:val="28B3A095"/>
    <w:rsid w:val="28B4A7C4"/>
    <w:rsid w:val="28F89FB1"/>
    <w:rsid w:val="29056603"/>
    <w:rsid w:val="2919A5DE"/>
    <w:rsid w:val="291B7A13"/>
    <w:rsid w:val="294706ED"/>
    <w:rsid w:val="295B60FB"/>
    <w:rsid w:val="298EBCE9"/>
    <w:rsid w:val="299B405C"/>
    <w:rsid w:val="29B91292"/>
    <w:rsid w:val="29C5284E"/>
    <w:rsid w:val="29C8B648"/>
    <w:rsid w:val="29D41462"/>
    <w:rsid w:val="29FD47C1"/>
    <w:rsid w:val="2A094AC6"/>
    <w:rsid w:val="2A094AC6"/>
    <w:rsid w:val="2AA0C4D2"/>
    <w:rsid w:val="2AA2AF52"/>
    <w:rsid w:val="2AA95F6F"/>
    <w:rsid w:val="2B0BC731"/>
    <w:rsid w:val="2B152A70"/>
    <w:rsid w:val="2B35F38B"/>
    <w:rsid w:val="2B833C21"/>
    <w:rsid w:val="2B9A82BB"/>
    <w:rsid w:val="2B9C6939"/>
    <w:rsid w:val="2C09BE3D"/>
    <w:rsid w:val="2C4C8F8C"/>
    <w:rsid w:val="2C693662"/>
    <w:rsid w:val="2C74D08D"/>
    <w:rsid w:val="2C9272AA"/>
    <w:rsid w:val="2D242541"/>
    <w:rsid w:val="2D291913"/>
    <w:rsid w:val="2D470EF2"/>
    <w:rsid w:val="2D4864CF"/>
    <w:rsid w:val="2D73EE0E"/>
    <w:rsid w:val="2D85BAC3"/>
    <w:rsid w:val="2DCA2DB0"/>
    <w:rsid w:val="2E02AAA6"/>
    <w:rsid w:val="2E0F8E33"/>
    <w:rsid w:val="2E4E72C7"/>
    <w:rsid w:val="2E74BC4B"/>
    <w:rsid w:val="2E79B174"/>
    <w:rsid w:val="2E7DF52E"/>
    <w:rsid w:val="2EA466A0"/>
    <w:rsid w:val="2EB89306"/>
    <w:rsid w:val="2F1656C4"/>
    <w:rsid w:val="2F16CC48"/>
    <w:rsid w:val="2F5BF01F"/>
    <w:rsid w:val="2F659022"/>
    <w:rsid w:val="2FAE7F36"/>
    <w:rsid w:val="2FE082CD"/>
    <w:rsid w:val="2FF5BB1F"/>
    <w:rsid w:val="2FF72FF0"/>
    <w:rsid w:val="3007354F"/>
    <w:rsid w:val="304E2DDE"/>
    <w:rsid w:val="305E08A1"/>
    <w:rsid w:val="308CF9B7"/>
    <w:rsid w:val="309C57E5"/>
    <w:rsid w:val="30E5419D"/>
    <w:rsid w:val="311BCE58"/>
    <w:rsid w:val="317BD27E"/>
    <w:rsid w:val="3182F261"/>
    <w:rsid w:val="31D447F4"/>
    <w:rsid w:val="31F8463A"/>
    <w:rsid w:val="322182BB"/>
    <w:rsid w:val="3234D67C"/>
    <w:rsid w:val="3240FA6F"/>
    <w:rsid w:val="32587C05"/>
    <w:rsid w:val="3264E300"/>
    <w:rsid w:val="327E02F5"/>
    <w:rsid w:val="328D2CFB"/>
    <w:rsid w:val="32DD207B"/>
    <w:rsid w:val="32DDECFB"/>
    <w:rsid w:val="32F6B5F9"/>
    <w:rsid w:val="33257033"/>
    <w:rsid w:val="332B6A11"/>
    <w:rsid w:val="333A866A"/>
    <w:rsid w:val="336809CB"/>
    <w:rsid w:val="336A4AC2"/>
    <w:rsid w:val="3373B495"/>
    <w:rsid w:val="3392F111"/>
    <w:rsid w:val="33B6A74F"/>
    <w:rsid w:val="33D7D8A0"/>
    <w:rsid w:val="33EDB2CA"/>
    <w:rsid w:val="33FE342D"/>
    <w:rsid w:val="3405F73C"/>
    <w:rsid w:val="3421B016"/>
    <w:rsid w:val="34647FCE"/>
    <w:rsid w:val="3483FBD0"/>
    <w:rsid w:val="34ACB564"/>
    <w:rsid w:val="34C744AB"/>
    <w:rsid w:val="35201331"/>
    <w:rsid w:val="352F258D"/>
    <w:rsid w:val="3533008B"/>
    <w:rsid w:val="355423C0"/>
    <w:rsid w:val="358F1D47"/>
    <w:rsid w:val="35D159C2"/>
    <w:rsid w:val="35E1EA87"/>
    <w:rsid w:val="365DEA33"/>
    <w:rsid w:val="365F893B"/>
    <w:rsid w:val="3660DA65"/>
    <w:rsid w:val="366B8F41"/>
    <w:rsid w:val="3679CA95"/>
    <w:rsid w:val="367E34FF"/>
    <w:rsid w:val="36B13F0D"/>
    <w:rsid w:val="36F5938F"/>
    <w:rsid w:val="37004DE5"/>
    <w:rsid w:val="37150559"/>
    <w:rsid w:val="37458AB4"/>
    <w:rsid w:val="37563854"/>
    <w:rsid w:val="3757A647"/>
    <w:rsid w:val="3784661A"/>
    <w:rsid w:val="37936B43"/>
    <w:rsid w:val="37AA2188"/>
    <w:rsid w:val="37B1D6C1"/>
    <w:rsid w:val="38248E4C"/>
    <w:rsid w:val="3833F191"/>
    <w:rsid w:val="38411014"/>
    <w:rsid w:val="3844AA47"/>
    <w:rsid w:val="38662F4D"/>
    <w:rsid w:val="389CC5B1"/>
    <w:rsid w:val="38EEB742"/>
    <w:rsid w:val="3900F7EB"/>
    <w:rsid w:val="39297C91"/>
    <w:rsid w:val="393A3C5F"/>
    <w:rsid w:val="396134AB"/>
    <w:rsid w:val="3965004B"/>
    <w:rsid w:val="39681A9B"/>
    <w:rsid w:val="396C69AA"/>
    <w:rsid w:val="39EF8F1C"/>
    <w:rsid w:val="3A130187"/>
    <w:rsid w:val="3A2BF62A"/>
    <w:rsid w:val="3A4A70CD"/>
    <w:rsid w:val="3A60678F"/>
    <w:rsid w:val="3A74C1DF"/>
    <w:rsid w:val="3A7C364A"/>
    <w:rsid w:val="3A83FE6B"/>
    <w:rsid w:val="3AAF3CD6"/>
    <w:rsid w:val="3AB1DF17"/>
    <w:rsid w:val="3ACBE13C"/>
    <w:rsid w:val="3B135E3C"/>
    <w:rsid w:val="3B20A40A"/>
    <w:rsid w:val="3B414917"/>
    <w:rsid w:val="3B4BFC20"/>
    <w:rsid w:val="3B4D8F2C"/>
    <w:rsid w:val="3B6BEF72"/>
    <w:rsid w:val="3B7CC381"/>
    <w:rsid w:val="3BCA5872"/>
    <w:rsid w:val="3BD38D66"/>
    <w:rsid w:val="3BDE9852"/>
    <w:rsid w:val="3C1346CC"/>
    <w:rsid w:val="3C25EEF9"/>
    <w:rsid w:val="3C496B48"/>
    <w:rsid w:val="3C573751"/>
    <w:rsid w:val="3C616AF4"/>
    <w:rsid w:val="3C768BE9"/>
    <w:rsid w:val="3CA0CA14"/>
    <w:rsid w:val="3CA3BCA0"/>
    <w:rsid w:val="3CB5996F"/>
    <w:rsid w:val="3CBC7431"/>
    <w:rsid w:val="3CC2CFD2"/>
    <w:rsid w:val="3D0DD602"/>
    <w:rsid w:val="3D1369E8"/>
    <w:rsid w:val="3D181C6C"/>
    <w:rsid w:val="3D2DD7BC"/>
    <w:rsid w:val="3D32163C"/>
    <w:rsid w:val="3D6ACF13"/>
    <w:rsid w:val="3DA88DF1"/>
    <w:rsid w:val="3DB97BF2"/>
    <w:rsid w:val="3DC9652D"/>
    <w:rsid w:val="3DF18887"/>
    <w:rsid w:val="3DF6A50E"/>
    <w:rsid w:val="3E05DD46"/>
    <w:rsid w:val="3E117B1B"/>
    <w:rsid w:val="3E36E9D2"/>
    <w:rsid w:val="3E73B27A"/>
    <w:rsid w:val="3E79E93E"/>
    <w:rsid w:val="3E96772D"/>
    <w:rsid w:val="3E9889A1"/>
    <w:rsid w:val="3E9D9FAB"/>
    <w:rsid w:val="3EAEC25D"/>
    <w:rsid w:val="3EB4F2BD"/>
    <w:rsid w:val="3EF70688"/>
    <w:rsid w:val="3EF8A79A"/>
    <w:rsid w:val="3EFB494D"/>
    <w:rsid w:val="3F0F68CB"/>
    <w:rsid w:val="3F11A100"/>
    <w:rsid w:val="3F268470"/>
    <w:rsid w:val="3F3C6271"/>
    <w:rsid w:val="3F3CD2B7"/>
    <w:rsid w:val="3F65A06D"/>
    <w:rsid w:val="3F69D0D8"/>
    <w:rsid w:val="3F9EF6A7"/>
    <w:rsid w:val="3FA479C6"/>
    <w:rsid w:val="3FD518FA"/>
    <w:rsid w:val="40018577"/>
    <w:rsid w:val="4027F0D5"/>
    <w:rsid w:val="40317B4D"/>
    <w:rsid w:val="403585C9"/>
    <w:rsid w:val="4042BF6D"/>
    <w:rsid w:val="4042EBF5"/>
    <w:rsid w:val="406B18E1"/>
    <w:rsid w:val="406C191E"/>
    <w:rsid w:val="409A966B"/>
    <w:rsid w:val="40A6F9A3"/>
    <w:rsid w:val="40B9A372"/>
    <w:rsid w:val="41009FF8"/>
    <w:rsid w:val="4113B458"/>
    <w:rsid w:val="4121CF54"/>
    <w:rsid w:val="4129369A"/>
    <w:rsid w:val="414D087E"/>
    <w:rsid w:val="41D69A3E"/>
    <w:rsid w:val="41D7AB92"/>
    <w:rsid w:val="41DB6CB5"/>
    <w:rsid w:val="41E08CB1"/>
    <w:rsid w:val="41E4AE2C"/>
    <w:rsid w:val="41F735D6"/>
    <w:rsid w:val="420EB377"/>
    <w:rsid w:val="42140C9A"/>
    <w:rsid w:val="422119A3"/>
    <w:rsid w:val="42431FFE"/>
    <w:rsid w:val="427EBBC8"/>
    <w:rsid w:val="429847C1"/>
    <w:rsid w:val="42A35251"/>
    <w:rsid w:val="42A42928"/>
    <w:rsid w:val="42AE86AB"/>
    <w:rsid w:val="42BD872C"/>
    <w:rsid w:val="42C9F45B"/>
    <w:rsid w:val="42DE78B4"/>
    <w:rsid w:val="43201C73"/>
    <w:rsid w:val="43291529"/>
    <w:rsid w:val="43434AD8"/>
    <w:rsid w:val="437B3BE7"/>
    <w:rsid w:val="43C9FD98"/>
    <w:rsid w:val="4418BE35"/>
    <w:rsid w:val="44437170"/>
    <w:rsid w:val="447A3D76"/>
    <w:rsid w:val="44BA16D6"/>
    <w:rsid w:val="44D3AC0D"/>
    <w:rsid w:val="45012C8E"/>
    <w:rsid w:val="4528620D"/>
    <w:rsid w:val="4528FC76"/>
    <w:rsid w:val="452D2AB5"/>
    <w:rsid w:val="453D88BD"/>
    <w:rsid w:val="453DC3D2"/>
    <w:rsid w:val="4541A05E"/>
    <w:rsid w:val="4564702B"/>
    <w:rsid w:val="45673529"/>
    <w:rsid w:val="458AD8A6"/>
    <w:rsid w:val="45C2F9E2"/>
    <w:rsid w:val="46099861"/>
    <w:rsid w:val="4634657A"/>
    <w:rsid w:val="4634AB2C"/>
    <w:rsid w:val="46BD0F8F"/>
    <w:rsid w:val="46D9D254"/>
    <w:rsid w:val="46E88257"/>
    <w:rsid w:val="46FA23E3"/>
    <w:rsid w:val="47435361"/>
    <w:rsid w:val="47A6E27F"/>
    <w:rsid w:val="47A92E58"/>
    <w:rsid w:val="47B7F74B"/>
    <w:rsid w:val="47C19D5C"/>
    <w:rsid w:val="47D30AC3"/>
    <w:rsid w:val="47D52F0C"/>
    <w:rsid w:val="47E26C30"/>
    <w:rsid w:val="47E689DF"/>
    <w:rsid w:val="4807A720"/>
    <w:rsid w:val="489789AE"/>
    <w:rsid w:val="48AB43E6"/>
    <w:rsid w:val="48B09429"/>
    <w:rsid w:val="48B6A0E7"/>
    <w:rsid w:val="48BF6FFB"/>
    <w:rsid w:val="49362A31"/>
    <w:rsid w:val="4941A937"/>
    <w:rsid w:val="498CC79C"/>
    <w:rsid w:val="49A61983"/>
    <w:rsid w:val="49B3A691"/>
    <w:rsid w:val="49BF27ED"/>
    <w:rsid w:val="49D08BC0"/>
    <w:rsid w:val="49E98219"/>
    <w:rsid w:val="4A20BA00"/>
    <w:rsid w:val="4A4CBA91"/>
    <w:rsid w:val="4A8585C3"/>
    <w:rsid w:val="4A8585C3"/>
    <w:rsid w:val="4A87C327"/>
    <w:rsid w:val="4AB55A62"/>
    <w:rsid w:val="4ADBC6BF"/>
    <w:rsid w:val="4ADFD48C"/>
    <w:rsid w:val="4B596B10"/>
    <w:rsid w:val="4B6AD03A"/>
    <w:rsid w:val="4B85C21E"/>
    <w:rsid w:val="4BC017B8"/>
    <w:rsid w:val="4BC8C9B0"/>
    <w:rsid w:val="4BCA77F5"/>
    <w:rsid w:val="4BE22094"/>
    <w:rsid w:val="4BE5CA88"/>
    <w:rsid w:val="4C02BF9D"/>
    <w:rsid w:val="4C04927C"/>
    <w:rsid w:val="4C35BF9D"/>
    <w:rsid w:val="4C68A1E7"/>
    <w:rsid w:val="4C8B3E6B"/>
    <w:rsid w:val="4CCEFBD8"/>
    <w:rsid w:val="4D0DAC38"/>
    <w:rsid w:val="4D46145C"/>
    <w:rsid w:val="4D80BC03"/>
    <w:rsid w:val="4D9CD0AF"/>
    <w:rsid w:val="4DB73180"/>
    <w:rsid w:val="4DE02B7E"/>
    <w:rsid w:val="4E240B62"/>
    <w:rsid w:val="4E39C546"/>
    <w:rsid w:val="4E9A267C"/>
    <w:rsid w:val="4EC5C4A5"/>
    <w:rsid w:val="4ED40739"/>
    <w:rsid w:val="4EDF04B4"/>
    <w:rsid w:val="4EECEB6C"/>
    <w:rsid w:val="4F3E5467"/>
    <w:rsid w:val="4F669D96"/>
    <w:rsid w:val="5009D699"/>
    <w:rsid w:val="5010159C"/>
    <w:rsid w:val="50175969"/>
    <w:rsid w:val="50237E56"/>
    <w:rsid w:val="504051E9"/>
    <w:rsid w:val="50597EA4"/>
    <w:rsid w:val="506094EF"/>
    <w:rsid w:val="50896445"/>
    <w:rsid w:val="50A4D7E3"/>
    <w:rsid w:val="50A55C59"/>
    <w:rsid w:val="50C86C41"/>
    <w:rsid w:val="50DC6712"/>
    <w:rsid w:val="50E62812"/>
    <w:rsid w:val="511AF8AD"/>
    <w:rsid w:val="5128BC3C"/>
    <w:rsid w:val="513316DE"/>
    <w:rsid w:val="515B82AA"/>
    <w:rsid w:val="516A81B5"/>
    <w:rsid w:val="51FAC945"/>
    <w:rsid w:val="52179C34"/>
    <w:rsid w:val="52223F8D"/>
    <w:rsid w:val="5278146F"/>
    <w:rsid w:val="528AB246"/>
    <w:rsid w:val="528D9B33"/>
    <w:rsid w:val="52A2DEDA"/>
    <w:rsid w:val="52BCBE66"/>
    <w:rsid w:val="52D78035"/>
    <w:rsid w:val="52DF0A5A"/>
    <w:rsid w:val="52E28D1B"/>
    <w:rsid w:val="52F04402"/>
    <w:rsid w:val="534E103E"/>
    <w:rsid w:val="53635F0C"/>
    <w:rsid w:val="537FDC87"/>
    <w:rsid w:val="541B2B56"/>
    <w:rsid w:val="541E08DE"/>
    <w:rsid w:val="544E990A"/>
    <w:rsid w:val="547778FE"/>
    <w:rsid w:val="547F49A1"/>
    <w:rsid w:val="5482950C"/>
    <w:rsid w:val="5487A898"/>
    <w:rsid w:val="54A745CD"/>
    <w:rsid w:val="5587BFD9"/>
    <w:rsid w:val="55AE0DDF"/>
    <w:rsid w:val="55B7312F"/>
    <w:rsid w:val="55C983C1"/>
    <w:rsid w:val="55DF29C0"/>
    <w:rsid w:val="55E8BE51"/>
    <w:rsid w:val="560A6A14"/>
    <w:rsid w:val="560E4687"/>
    <w:rsid w:val="564C9BD3"/>
    <w:rsid w:val="5653C631"/>
    <w:rsid w:val="565BA849"/>
    <w:rsid w:val="565F92A1"/>
    <w:rsid w:val="57073F52"/>
    <w:rsid w:val="575942BE"/>
    <w:rsid w:val="577AE2D6"/>
    <w:rsid w:val="57A7645E"/>
    <w:rsid w:val="57ACBEFC"/>
    <w:rsid w:val="57E8CD5D"/>
    <w:rsid w:val="57F44146"/>
    <w:rsid w:val="580D5295"/>
    <w:rsid w:val="581597E0"/>
    <w:rsid w:val="583B9CAE"/>
    <w:rsid w:val="585EDB1D"/>
    <w:rsid w:val="59120343"/>
    <w:rsid w:val="5930049C"/>
    <w:rsid w:val="594D43F7"/>
    <w:rsid w:val="598D212E"/>
    <w:rsid w:val="59CE5F09"/>
    <w:rsid w:val="59D1A1FE"/>
    <w:rsid w:val="59D3B38E"/>
    <w:rsid w:val="59DD0599"/>
    <w:rsid w:val="5A052C9E"/>
    <w:rsid w:val="5A5D0342"/>
    <w:rsid w:val="5AA79364"/>
    <w:rsid w:val="5B21D02E"/>
    <w:rsid w:val="5B32DE09"/>
    <w:rsid w:val="5B444F5E"/>
    <w:rsid w:val="5B868A61"/>
    <w:rsid w:val="5B9E4455"/>
    <w:rsid w:val="5BB1A3BA"/>
    <w:rsid w:val="5BB57C89"/>
    <w:rsid w:val="5BC05F9B"/>
    <w:rsid w:val="5BEE775A"/>
    <w:rsid w:val="5C0645FD"/>
    <w:rsid w:val="5C0BDFEB"/>
    <w:rsid w:val="5C162D2C"/>
    <w:rsid w:val="5C260C86"/>
    <w:rsid w:val="5C49AEAA"/>
    <w:rsid w:val="5C9187D3"/>
    <w:rsid w:val="5C96BA04"/>
    <w:rsid w:val="5C9F9710"/>
    <w:rsid w:val="5CBB1ABD"/>
    <w:rsid w:val="5CBF36BB"/>
    <w:rsid w:val="5CC09705"/>
    <w:rsid w:val="5CC2F7CB"/>
    <w:rsid w:val="5CD1479F"/>
    <w:rsid w:val="5CD3305E"/>
    <w:rsid w:val="5D06267F"/>
    <w:rsid w:val="5D227520"/>
    <w:rsid w:val="5D3A390D"/>
    <w:rsid w:val="5D409C2F"/>
    <w:rsid w:val="5D88014C"/>
    <w:rsid w:val="5D96EFF8"/>
    <w:rsid w:val="5DA9825E"/>
    <w:rsid w:val="5DB5FC82"/>
    <w:rsid w:val="5DC37801"/>
    <w:rsid w:val="5DC88986"/>
    <w:rsid w:val="5DDDF7F6"/>
    <w:rsid w:val="5E1A6758"/>
    <w:rsid w:val="5E2B2BC1"/>
    <w:rsid w:val="5E2D5701"/>
    <w:rsid w:val="5E2E6456"/>
    <w:rsid w:val="5E3EC327"/>
    <w:rsid w:val="5E4F8843"/>
    <w:rsid w:val="5E580B87"/>
    <w:rsid w:val="5EA87D71"/>
    <w:rsid w:val="5EC559C5"/>
    <w:rsid w:val="5F06A80D"/>
    <w:rsid w:val="5F155333"/>
    <w:rsid w:val="5F30A382"/>
    <w:rsid w:val="5F3DBCF2"/>
    <w:rsid w:val="5F46F74A"/>
    <w:rsid w:val="5F56A7DB"/>
    <w:rsid w:val="5F77AC6B"/>
    <w:rsid w:val="5F78385A"/>
    <w:rsid w:val="5F8CD569"/>
    <w:rsid w:val="5FBFE2FF"/>
    <w:rsid w:val="5FBFE2FF"/>
    <w:rsid w:val="5FC626B8"/>
    <w:rsid w:val="5FD9CF9A"/>
    <w:rsid w:val="6012D6BB"/>
    <w:rsid w:val="6026C6D9"/>
    <w:rsid w:val="602C5FDC"/>
    <w:rsid w:val="603F9FC8"/>
    <w:rsid w:val="60415975"/>
    <w:rsid w:val="60426CDF"/>
    <w:rsid w:val="6049F1D2"/>
    <w:rsid w:val="607FEB29"/>
    <w:rsid w:val="609A2E24"/>
    <w:rsid w:val="60AADC1D"/>
    <w:rsid w:val="60C1082D"/>
    <w:rsid w:val="60DBC824"/>
    <w:rsid w:val="611510CD"/>
    <w:rsid w:val="614CC44E"/>
    <w:rsid w:val="61C17DD3"/>
    <w:rsid w:val="61E5BE66"/>
    <w:rsid w:val="61F5EE47"/>
    <w:rsid w:val="6253C8ED"/>
    <w:rsid w:val="6285D586"/>
    <w:rsid w:val="629332A4"/>
    <w:rsid w:val="62E6E2DC"/>
    <w:rsid w:val="633721D0"/>
    <w:rsid w:val="634223D5"/>
    <w:rsid w:val="634C9583"/>
    <w:rsid w:val="636BF95D"/>
    <w:rsid w:val="6387F054"/>
    <w:rsid w:val="63D3046C"/>
    <w:rsid w:val="63DC3490"/>
    <w:rsid w:val="63DF188F"/>
    <w:rsid w:val="63F39A4B"/>
    <w:rsid w:val="640800CE"/>
    <w:rsid w:val="640FD99F"/>
    <w:rsid w:val="6455BD8E"/>
    <w:rsid w:val="6455F4CC"/>
    <w:rsid w:val="64BAE650"/>
    <w:rsid w:val="64F7CA74"/>
    <w:rsid w:val="64FE3141"/>
    <w:rsid w:val="650581D2"/>
    <w:rsid w:val="650DB482"/>
    <w:rsid w:val="65149A8D"/>
    <w:rsid w:val="6532099A"/>
    <w:rsid w:val="653AE558"/>
    <w:rsid w:val="656DED64"/>
    <w:rsid w:val="659934BA"/>
    <w:rsid w:val="65DA1A2B"/>
    <w:rsid w:val="6614B74B"/>
    <w:rsid w:val="661D1A75"/>
    <w:rsid w:val="66338428"/>
    <w:rsid w:val="663D690A"/>
    <w:rsid w:val="6644BF4B"/>
    <w:rsid w:val="66749404"/>
    <w:rsid w:val="6683749E"/>
    <w:rsid w:val="66C78510"/>
    <w:rsid w:val="66CD0A03"/>
    <w:rsid w:val="6726B479"/>
    <w:rsid w:val="673D3FE4"/>
    <w:rsid w:val="678B6D11"/>
    <w:rsid w:val="67973EEB"/>
    <w:rsid w:val="679A60BE"/>
    <w:rsid w:val="679FC24A"/>
    <w:rsid w:val="67A24E71"/>
    <w:rsid w:val="67BDA308"/>
    <w:rsid w:val="67E38AB1"/>
    <w:rsid w:val="67E65291"/>
    <w:rsid w:val="67E74835"/>
    <w:rsid w:val="67F314A8"/>
    <w:rsid w:val="68057FF5"/>
    <w:rsid w:val="680CBDAA"/>
    <w:rsid w:val="6844CAC9"/>
    <w:rsid w:val="68556844"/>
    <w:rsid w:val="68652F15"/>
    <w:rsid w:val="68A8822C"/>
    <w:rsid w:val="68F9D947"/>
    <w:rsid w:val="6902D19E"/>
    <w:rsid w:val="690EF2CE"/>
    <w:rsid w:val="69221648"/>
    <w:rsid w:val="692A6060"/>
    <w:rsid w:val="6977C71D"/>
    <w:rsid w:val="697C5523"/>
    <w:rsid w:val="697FF291"/>
    <w:rsid w:val="69973677"/>
    <w:rsid w:val="69B0623E"/>
    <w:rsid w:val="69B747EE"/>
    <w:rsid w:val="69C9B6AF"/>
    <w:rsid w:val="6A62CF22"/>
    <w:rsid w:val="6A6E3646"/>
    <w:rsid w:val="6A9200A6"/>
    <w:rsid w:val="6A95DB36"/>
    <w:rsid w:val="6AA1FF2E"/>
    <w:rsid w:val="6AC7E768"/>
    <w:rsid w:val="6B0ACCC3"/>
    <w:rsid w:val="6B179F3A"/>
    <w:rsid w:val="6B26EFB5"/>
    <w:rsid w:val="6B58AF5D"/>
    <w:rsid w:val="6B6D35C8"/>
    <w:rsid w:val="6B7AE2A1"/>
    <w:rsid w:val="6B825D07"/>
    <w:rsid w:val="6BAC6F83"/>
    <w:rsid w:val="6BBF0073"/>
    <w:rsid w:val="6BBF12C1"/>
    <w:rsid w:val="6C195F37"/>
    <w:rsid w:val="6C2F1EF0"/>
    <w:rsid w:val="6C3E2A18"/>
    <w:rsid w:val="6C6E4745"/>
    <w:rsid w:val="6C7D9CD4"/>
    <w:rsid w:val="6C920221"/>
    <w:rsid w:val="6CB638AE"/>
    <w:rsid w:val="6CC8C914"/>
    <w:rsid w:val="6CCB2494"/>
    <w:rsid w:val="6CD1A312"/>
    <w:rsid w:val="6CE10D50"/>
    <w:rsid w:val="6CFD19D7"/>
    <w:rsid w:val="6D1904AB"/>
    <w:rsid w:val="6D51B007"/>
    <w:rsid w:val="6D68FE59"/>
    <w:rsid w:val="6D778555"/>
    <w:rsid w:val="6D8E4C4F"/>
    <w:rsid w:val="6D9FAED8"/>
    <w:rsid w:val="6EC85DE2"/>
    <w:rsid w:val="6F05C708"/>
    <w:rsid w:val="6F290BD3"/>
    <w:rsid w:val="6F38B264"/>
    <w:rsid w:val="6FC21928"/>
    <w:rsid w:val="6FD92975"/>
    <w:rsid w:val="70550264"/>
    <w:rsid w:val="705B17C5"/>
    <w:rsid w:val="70604CB9"/>
    <w:rsid w:val="706D8F3D"/>
    <w:rsid w:val="70889989"/>
    <w:rsid w:val="70A70743"/>
    <w:rsid w:val="70CE7E81"/>
    <w:rsid w:val="70D2605D"/>
    <w:rsid w:val="70D5EF23"/>
    <w:rsid w:val="71018FAA"/>
    <w:rsid w:val="71185C1E"/>
    <w:rsid w:val="71207613"/>
    <w:rsid w:val="7139E3DE"/>
    <w:rsid w:val="71426C7A"/>
    <w:rsid w:val="719C4FEE"/>
    <w:rsid w:val="71ACEF97"/>
    <w:rsid w:val="71BCC9CB"/>
    <w:rsid w:val="71BE1D3A"/>
    <w:rsid w:val="7201E066"/>
    <w:rsid w:val="72129773"/>
    <w:rsid w:val="721A78CF"/>
    <w:rsid w:val="72261F14"/>
    <w:rsid w:val="723ED907"/>
    <w:rsid w:val="72802605"/>
    <w:rsid w:val="7287A12C"/>
    <w:rsid w:val="72B593C5"/>
    <w:rsid w:val="72E2D2CF"/>
    <w:rsid w:val="73193A9B"/>
    <w:rsid w:val="736B777E"/>
    <w:rsid w:val="73724DE2"/>
    <w:rsid w:val="73B19589"/>
    <w:rsid w:val="73BDD85A"/>
    <w:rsid w:val="73CD55C2"/>
    <w:rsid w:val="73EDC762"/>
    <w:rsid w:val="74048974"/>
    <w:rsid w:val="740B6C08"/>
    <w:rsid w:val="740F2457"/>
    <w:rsid w:val="741ACFCD"/>
    <w:rsid w:val="7456861B"/>
    <w:rsid w:val="745B2EB8"/>
    <w:rsid w:val="745E0A96"/>
    <w:rsid w:val="74736480"/>
    <w:rsid w:val="747D37EF"/>
    <w:rsid w:val="74BA8CED"/>
    <w:rsid w:val="74C77197"/>
    <w:rsid w:val="74D8D18A"/>
    <w:rsid w:val="74FC6805"/>
    <w:rsid w:val="75004B6F"/>
    <w:rsid w:val="75274D11"/>
    <w:rsid w:val="752F7B44"/>
    <w:rsid w:val="7536DBEC"/>
    <w:rsid w:val="753B77DA"/>
    <w:rsid w:val="75A78CFE"/>
    <w:rsid w:val="75E49BCD"/>
    <w:rsid w:val="75F80C19"/>
    <w:rsid w:val="760F2CFE"/>
    <w:rsid w:val="7640ACDF"/>
    <w:rsid w:val="7677911E"/>
    <w:rsid w:val="76946EB4"/>
    <w:rsid w:val="76959566"/>
    <w:rsid w:val="76A96892"/>
    <w:rsid w:val="76E2515C"/>
    <w:rsid w:val="76ED11BA"/>
    <w:rsid w:val="77012B41"/>
    <w:rsid w:val="774D5895"/>
    <w:rsid w:val="7790BE14"/>
    <w:rsid w:val="77B13E1C"/>
    <w:rsid w:val="77B6EAC8"/>
    <w:rsid w:val="77D1328D"/>
    <w:rsid w:val="77E71A24"/>
    <w:rsid w:val="77FC673F"/>
    <w:rsid w:val="77FC801D"/>
    <w:rsid w:val="7826A92E"/>
    <w:rsid w:val="785C3D3B"/>
    <w:rsid w:val="7887542F"/>
    <w:rsid w:val="788764FD"/>
    <w:rsid w:val="78EB0394"/>
    <w:rsid w:val="78EC6703"/>
    <w:rsid w:val="79058748"/>
    <w:rsid w:val="79126AD5"/>
    <w:rsid w:val="792835CB"/>
    <w:rsid w:val="792E7004"/>
    <w:rsid w:val="79498E1F"/>
    <w:rsid w:val="7953D2B8"/>
    <w:rsid w:val="7982A6AB"/>
    <w:rsid w:val="79DB4654"/>
    <w:rsid w:val="79FAD9FE"/>
    <w:rsid w:val="79FF51C1"/>
    <w:rsid w:val="7A227550"/>
    <w:rsid w:val="7A39B628"/>
    <w:rsid w:val="7A3F24ED"/>
    <w:rsid w:val="7A451BE8"/>
    <w:rsid w:val="7A59D24E"/>
    <w:rsid w:val="7AA2ABA6"/>
    <w:rsid w:val="7AA9A479"/>
    <w:rsid w:val="7AAF6A59"/>
    <w:rsid w:val="7AD925A1"/>
    <w:rsid w:val="7ADCA938"/>
    <w:rsid w:val="7AF90440"/>
    <w:rsid w:val="7B07A6A2"/>
    <w:rsid w:val="7B47AD4B"/>
    <w:rsid w:val="7B982BE1"/>
    <w:rsid w:val="7BDBAAB6"/>
    <w:rsid w:val="7BEE57A3"/>
    <w:rsid w:val="7BFBA538"/>
    <w:rsid w:val="7C1C75AB"/>
    <w:rsid w:val="7C31F7CC"/>
    <w:rsid w:val="7C933B36"/>
    <w:rsid w:val="7CB17938"/>
    <w:rsid w:val="7CB35E95"/>
    <w:rsid w:val="7CC4A9AC"/>
    <w:rsid w:val="7D0AD9C6"/>
    <w:rsid w:val="7D23DA8A"/>
    <w:rsid w:val="7D28591F"/>
    <w:rsid w:val="7D5A2FCD"/>
    <w:rsid w:val="7D6E0375"/>
    <w:rsid w:val="7DA31083"/>
    <w:rsid w:val="7DB436EA"/>
    <w:rsid w:val="7DB62F45"/>
    <w:rsid w:val="7DC1299E"/>
    <w:rsid w:val="7DC8AE1E"/>
    <w:rsid w:val="7DCAF937"/>
    <w:rsid w:val="7DDBAF4D"/>
    <w:rsid w:val="7DFBAB9C"/>
    <w:rsid w:val="7E2EF02C"/>
    <w:rsid w:val="7E30AE39"/>
    <w:rsid w:val="7E3F84D7"/>
    <w:rsid w:val="7E41D081"/>
    <w:rsid w:val="7E4D5352"/>
    <w:rsid w:val="7E77E3D4"/>
    <w:rsid w:val="7E78D1CB"/>
    <w:rsid w:val="7E97F9D2"/>
    <w:rsid w:val="7EE10505"/>
    <w:rsid w:val="7F456DD9"/>
    <w:rsid w:val="7F75456E"/>
    <w:rsid w:val="7F7B6D8E"/>
    <w:rsid w:val="7F8C8272"/>
    <w:rsid w:val="7F9DDB2C"/>
    <w:rsid w:val="7FBDBEDE"/>
    <w:rsid w:val="7FC69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62A31"/>
  <w15:chartTrackingRefBased/>
  <w15:docId w15:val="{2AF32A86-B17C-466D-9AE3-80B06F4102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6E8426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Strong">
    <w:uiPriority w:val="22"/>
    <w:name w:val="Strong"/>
    <w:basedOn w:val="DefaultParagraphFont"/>
    <w:qFormat/>
    <w:rsid w:val="753B77DA"/>
    <w:rPr>
      <w:b w:val="1"/>
      <w:bCs w:val="1"/>
    </w:rPr>
  </w:style>
  <w:style w:type="paragraph" w:styleId="Heading3">
    <w:uiPriority w:val="9"/>
    <w:name w:val="heading 3"/>
    <w:basedOn w:val="Normal"/>
    <w:next w:val="Normal"/>
    <w:unhideWhenUsed/>
    <w:qFormat/>
    <w:rsid w:val="2756A9D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756A9D9"/>
    <w:rPr>
      <w:color w:val="467886"/>
      <w:u w:val="single"/>
    </w:rPr>
  </w:style>
  <w:style w:type="paragraph" w:styleId="Heading1">
    <w:uiPriority w:val="9"/>
    <w:name w:val="heading 1"/>
    <w:basedOn w:val="Normal"/>
    <w:next w:val="Normal"/>
    <w:qFormat/>
    <w:rsid w:val="3CBC743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CBC743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gov.uk/" TargetMode="External" Id="Ra283ea26f9ca4f7e" /><Relationship Type="http://schemas.openxmlformats.org/officeDocument/2006/relationships/numbering" Target="/word/numbering.xml" Id="R9c77ed733058484c" /><Relationship Type="http://schemas.microsoft.com/office/2020/10/relationships/intelligence" Target="/word/intelligence2.xml" Id="R1fc926ec29b34f25" /><Relationship Type="http://schemas.openxmlformats.org/officeDocument/2006/relationships/hyperlink" Target="https://www.gov.uk/government/publications/childrens-social-care-review" TargetMode="External" Id="R9d1d01311d724a8d" /><Relationship Type="http://schemas.openxmlformats.org/officeDocument/2006/relationships/hyperlink" Target="https://www.nspcc.org.uk/what-we-do/research" TargetMode="External" Id="Ra8a838c63b7b4ee7" /><Relationship Type="http://schemas.openxmlformats.org/officeDocument/2006/relationships/hyperlink" Target="https://www.gov.uk/government/publications/munro-review-of-child-protection-final-report-a-child-centred-system" TargetMode="External" Id="R64fc8c4617fd44a1" /><Relationship Type="http://schemas.openxmlformats.org/officeDocument/2006/relationships/hyperlink" Target="https://www.gov.uk/government/organisations/youth-justice-board" TargetMode="External" Id="R69895fde6a324412" /><Relationship Type="http://schemas.openxmlformats.org/officeDocument/2006/relationships/hyperlink" Target="https://www.basw.co.uk/" TargetMode="External" Id="Re32715b98ffd45a5" /><Relationship Type="http://schemas.openxmlformats.org/officeDocument/2006/relationships/hyperlink" Target="https://www.int-jecse.net/media/article_pdfs/SOCIAL_WORK_Global_Perspectives_on_Social_Work_A_Review_of_International_Practices.pdf" TargetMode="External" Id="R196f9e4b0dac4e94" /><Relationship Type="http://schemas.openxmlformats.org/officeDocument/2006/relationships/hyperlink" Target="https://www.legislation.gov.uk/ukpga/2014/23" TargetMode="External" Id="R57449ad1565e48df" /><Relationship Type="http://schemas.openxmlformats.org/officeDocument/2006/relationships/hyperlink" Target="https://www.legislation.gov.uk/ukpga/1989/41" TargetMode="External" Id="Rcf327643948c4a63" /><Relationship Type="http://schemas.openxmlformats.org/officeDocument/2006/relationships/hyperlink" Target="https://www.gov.uk/" TargetMode="External" Id="R05089370012b4897" /><Relationship Type="http://schemas.openxmlformats.org/officeDocument/2006/relationships/hyperlink" Target="https://www.frontiersin.org/" TargetMode="External" Id="Rbff4263405c646ee" /><Relationship Type="http://schemas.openxmlformats.org/officeDocument/2006/relationships/hyperlink" Target="https://www.gov.uk/" TargetMode="External" Id="R8ebb184590494973" /><Relationship Type="http://schemas.openxmlformats.org/officeDocument/2006/relationships/hyperlink" Target="https://www.ifsw.org/" TargetMode="External" Id="R95b3efccfda74b0d" /><Relationship Type="http://schemas.openxmlformats.org/officeDocument/2006/relationships/hyperlink" Target="https://www.ifsw.org/what-is-social-work/origins-and-history-of-social-work/" TargetMode="External" Id="R74d6ac5da1aa4fdd" /><Relationship Type="http://schemas.openxmlformats.org/officeDocument/2006/relationships/hyperlink" Target="https://online.simmons.edu/blog/evolution-social-work-historical-milestones/" TargetMode="External" Id="R85fa46cc3ae34261" /><Relationship Type="http://schemas.openxmlformats.org/officeDocument/2006/relationships/hyperlink" Target="https://www.ncbi.nlm.nih.gov/" TargetMode="External" Id="R41e4dd4a468e4764" /><Relationship Type="http://schemas.openxmlformats.org/officeDocument/2006/relationships/hyperlink" Target="https://www.researchinpractice.org.uk/" TargetMode="External" Id="R9019822e0837455c" /><Relationship Type="http://schemas.openxmlformats.org/officeDocument/2006/relationships/hyperlink" Target="https://pmc.ncbi.nlm.nih.gov/articles/PMC5731072/" TargetMode="External" Id="R823797bbf97d4168" /><Relationship Type="http://schemas.openxmlformats.org/officeDocument/2006/relationships/hyperlink" Target="https://socialwork.institute/international-social-work/key-historical-milestones-social-work-development/" TargetMode="External" Id="R5f2316377280435f" /><Relationship Type="http://schemas.openxmlformats.org/officeDocument/2006/relationships/hyperlink" Target="https://www.kingsfund.org.uk/insight-and-analysis/reports/approaches-social-care-funding" TargetMode="External" Id="R021ba480d8a54967" /><Relationship Type="http://schemas.openxmlformats.org/officeDocument/2006/relationships/hyperlink" Target="https://www.gov.uk/government/organisations/uk-government" TargetMode="External" Id="R57d4e23827d84a90" /><Relationship Type="http://schemas.openxmlformats.org/officeDocument/2006/relationships/hyperlink" Target="https://www.un.org/" TargetMode="External" Id="R2274ff1f6df64a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Laila Saddique (2031083)</dc:creator>
  <keywords/>
  <dc:description/>
  <lastModifiedBy>Laila Saddique (2031083)</lastModifiedBy>
  <revision>11</revision>
  <dcterms:created xsi:type="dcterms:W3CDTF">2025-10-28T11:35:10.3999885Z</dcterms:created>
  <dcterms:modified xsi:type="dcterms:W3CDTF">2026-04-05T11:17:45.7373681Z</dcterms:modified>
</coreProperties>
</file>