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3F002" w14:textId="77777777" w:rsidR="004E4EBC" w:rsidRDefault="004E4EBC" w:rsidP="00096009">
      <w:pPr>
        <w:rPr>
          <w:b/>
          <w:bCs/>
          <w:color w:val="000000" w:themeColor="text1"/>
          <w:sz w:val="40"/>
          <w:szCs w:val="40"/>
        </w:rPr>
      </w:pPr>
    </w:p>
    <w:p w14:paraId="0DA9342A" w14:textId="77777777" w:rsidR="004E4EBC" w:rsidRDefault="004E4EBC" w:rsidP="00096009">
      <w:pPr>
        <w:rPr>
          <w:b/>
          <w:bCs/>
          <w:color w:val="000000" w:themeColor="text1"/>
          <w:sz w:val="40"/>
          <w:szCs w:val="40"/>
        </w:rPr>
      </w:pPr>
    </w:p>
    <w:p w14:paraId="33E17964" w14:textId="77777777" w:rsidR="004E4EBC" w:rsidRDefault="004E4EBC" w:rsidP="00096009">
      <w:pPr>
        <w:rPr>
          <w:b/>
          <w:bCs/>
          <w:color w:val="000000" w:themeColor="text1"/>
          <w:sz w:val="40"/>
          <w:szCs w:val="40"/>
        </w:rPr>
      </w:pPr>
    </w:p>
    <w:p w14:paraId="104B170B" w14:textId="77777777" w:rsidR="004E4EBC" w:rsidRDefault="004E4EBC" w:rsidP="00096009">
      <w:pPr>
        <w:rPr>
          <w:b/>
          <w:bCs/>
          <w:color w:val="000000" w:themeColor="text1"/>
          <w:sz w:val="40"/>
          <w:szCs w:val="40"/>
        </w:rPr>
      </w:pPr>
    </w:p>
    <w:p w14:paraId="79AD0B52" w14:textId="77777777" w:rsidR="004E4EBC" w:rsidRDefault="004E4EBC" w:rsidP="00096009">
      <w:pPr>
        <w:rPr>
          <w:b/>
          <w:bCs/>
          <w:color w:val="000000" w:themeColor="text1"/>
          <w:sz w:val="40"/>
          <w:szCs w:val="40"/>
        </w:rPr>
      </w:pPr>
    </w:p>
    <w:p w14:paraId="05B0340E" w14:textId="6DF42DC3" w:rsidR="004E4EBC" w:rsidRDefault="00096009" w:rsidP="00096009">
      <w:pPr>
        <w:rPr>
          <w:b/>
          <w:bCs/>
          <w:color w:val="000000" w:themeColor="text1"/>
          <w:sz w:val="52"/>
          <w:szCs w:val="52"/>
        </w:rPr>
      </w:pPr>
      <w:r w:rsidRPr="004E4EBC">
        <w:rPr>
          <w:b/>
          <w:bCs/>
          <w:color w:val="000000" w:themeColor="text1"/>
          <w:sz w:val="52"/>
          <w:szCs w:val="52"/>
        </w:rPr>
        <w:t xml:space="preserve">Translating Jiangnan Garden Symbols into Wearable </w:t>
      </w:r>
      <w:r w:rsidR="00FF0312" w:rsidRPr="00250091">
        <w:rPr>
          <w:b/>
          <w:bCs/>
          <w:color w:val="000000" w:themeColor="text1"/>
          <w:sz w:val="52"/>
          <w:szCs w:val="52"/>
        </w:rPr>
        <w:t>jewellery</w:t>
      </w:r>
      <w:r w:rsidRPr="004E4EBC">
        <w:rPr>
          <w:b/>
          <w:bCs/>
          <w:color w:val="000000" w:themeColor="text1"/>
          <w:sz w:val="52"/>
          <w:szCs w:val="52"/>
        </w:rPr>
        <w:t xml:space="preserve">: </w:t>
      </w:r>
    </w:p>
    <w:p w14:paraId="1A07DE27" w14:textId="2D7F3F68" w:rsidR="00096009" w:rsidRPr="004E4EBC" w:rsidRDefault="00096009" w:rsidP="00096009">
      <w:pPr>
        <w:rPr>
          <w:b/>
          <w:bCs/>
          <w:color w:val="000000" w:themeColor="text1"/>
          <w:sz w:val="52"/>
          <w:szCs w:val="52"/>
        </w:rPr>
      </w:pPr>
      <w:r w:rsidRPr="004E4EBC">
        <w:rPr>
          <w:b/>
          <w:bCs/>
          <w:color w:val="000000" w:themeColor="text1"/>
          <w:sz w:val="52"/>
          <w:szCs w:val="52"/>
        </w:rPr>
        <w:t>A Qualitative Investigation of Cultural Encoding and Embodied Experience</w:t>
      </w:r>
    </w:p>
    <w:p w14:paraId="60E90345" w14:textId="77777777" w:rsidR="00096009" w:rsidRDefault="00096009" w:rsidP="004E4EBC">
      <w:pPr>
        <w:jc w:val="right"/>
      </w:pPr>
    </w:p>
    <w:p w14:paraId="11698C57" w14:textId="77777777" w:rsidR="004E4EBC" w:rsidRDefault="004E4EBC" w:rsidP="004E4EBC">
      <w:pPr>
        <w:jc w:val="right"/>
      </w:pPr>
    </w:p>
    <w:p w14:paraId="50D53642" w14:textId="77777777" w:rsidR="004E4EBC" w:rsidRDefault="004E4EBC" w:rsidP="004E4EBC">
      <w:pPr>
        <w:jc w:val="right"/>
      </w:pPr>
    </w:p>
    <w:p w14:paraId="6BE141F2" w14:textId="2A8B8B48" w:rsidR="00096009" w:rsidRDefault="00096009" w:rsidP="004E4EBC">
      <w:pPr>
        <w:jc w:val="right"/>
      </w:pPr>
      <w:r>
        <w:t>N</w:t>
      </w:r>
      <w:r>
        <w:rPr>
          <w:rFonts w:hint="eastAsia"/>
        </w:rPr>
        <w:t>ame</w:t>
      </w:r>
      <w:r>
        <w:rPr>
          <w:rFonts w:hint="eastAsia"/>
        </w:rPr>
        <w:t>：</w:t>
      </w:r>
      <w:r>
        <w:rPr>
          <w:rFonts w:hint="eastAsia"/>
        </w:rPr>
        <w:t>Yuanyuan Xiong</w:t>
      </w:r>
    </w:p>
    <w:p w14:paraId="16024FA2" w14:textId="7526278A" w:rsidR="00096009" w:rsidRDefault="00096009" w:rsidP="004E4EBC">
      <w:pPr>
        <w:jc w:val="right"/>
      </w:pPr>
      <w:r>
        <w:t>S</w:t>
      </w:r>
      <w:r>
        <w:rPr>
          <w:rFonts w:hint="eastAsia"/>
        </w:rPr>
        <w:t>tudent number</w:t>
      </w:r>
      <w:r>
        <w:rPr>
          <w:rFonts w:hint="eastAsia"/>
        </w:rPr>
        <w:t>：</w:t>
      </w:r>
      <w:r>
        <w:rPr>
          <w:rFonts w:hint="eastAsia"/>
        </w:rPr>
        <w:t>2324278</w:t>
      </w:r>
    </w:p>
    <w:p w14:paraId="70DD6BD7" w14:textId="6E2ABD73" w:rsidR="00096009" w:rsidRDefault="00096009" w:rsidP="004E4EBC">
      <w:pPr>
        <w:jc w:val="right"/>
      </w:pPr>
      <w:r>
        <w:t>D</w:t>
      </w:r>
      <w:r>
        <w:rPr>
          <w:rFonts w:hint="eastAsia"/>
        </w:rPr>
        <w:t>ate</w:t>
      </w:r>
      <w:r>
        <w:rPr>
          <w:rFonts w:hint="eastAsia"/>
        </w:rPr>
        <w:t>：</w:t>
      </w:r>
      <w:r w:rsidR="004E4EBC">
        <w:rPr>
          <w:rFonts w:hint="eastAsia"/>
        </w:rPr>
        <w:t>05/05/2025</w:t>
      </w:r>
    </w:p>
    <w:p w14:paraId="7E408165" w14:textId="0BB0F46F" w:rsidR="004E4EBC" w:rsidRDefault="004E4EBC">
      <w:r>
        <w:br w:type="page"/>
      </w:r>
    </w:p>
    <w:p w14:paraId="0BBFCBB6" w14:textId="77777777" w:rsidR="00B74EB0" w:rsidRPr="00F16903" w:rsidRDefault="00B74EB0" w:rsidP="00B74EB0">
      <w:pPr>
        <w:rPr>
          <w:color w:val="000000" w:themeColor="text1"/>
          <w:sz w:val="32"/>
          <w:szCs w:val="32"/>
        </w:rPr>
      </w:pPr>
      <w:r w:rsidRPr="00F16903">
        <w:rPr>
          <w:color w:val="000000" w:themeColor="text1"/>
          <w:sz w:val="32"/>
          <w:szCs w:val="32"/>
        </w:rPr>
        <w:lastRenderedPageBreak/>
        <w:t>A</w:t>
      </w:r>
      <w:r w:rsidRPr="00F16903">
        <w:rPr>
          <w:rFonts w:hint="eastAsia"/>
          <w:color w:val="000000" w:themeColor="text1"/>
          <w:sz w:val="32"/>
          <w:szCs w:val="32"/>
        </w:rPr>
        <w:t>bstract</w:t>
      </w:r>
    </w:p>
    <w:p w14:paraId="1E9DF9A7" w14:textId="22384628" w:rsidR="004E4EBC" w:rsidRDefault="001B3E49" w:rsidP="004E4EBC">
      <w:r w:rsidRPr="001B3E49">
        <w:t xml:space="preserve">This </w:t>
      </w:r>
      <w:r w:rsidR="008C64B0">
        <w:rPr>
          <w:rFonts w:hint="eastAsia"/>
        </w:rPr>
        <w:t>study</w:t>
      </w:r>
      <w:r w:rsidRPr="001B3E49">
        <w:t xml:space="preserve"> focuses on the translation path of the cultural genes of Jiangnan gardens in contemporary wearable jewellery, aiming to explore how cultural symbols can cross-media migrate and generate new emotional values in user experience. The </w:t>
      </w:r>
      <w:r w:rsidR="00C45A07">
        <w:t>study</w:t>
      </w:r>
      <w:r w:rsidRPr="001B3E49">
        <w:t xml:space="preserve"> adopts a design ethnography approach, combining mixed methods such as field observation, cultural probes, semi-structured interviews, and differential semantic scales to systematically track the entire process from the generation of cultural imagery in design to the perception of wearing. The </w:t>
      </w:r>
      <w:r w:rsidR="00C45A07">
        <w:t>study</w:t>
      </w:r>
      <w:r w:rsidRPr="001B3E49">
        <w:t xml:space="preserve"> finds that although existing studies have shifted from the replication of traditional cultural elements to the practice of visual innovation, there is still a significant theoretical and methodological disconnection in the path of transforming the cultural genes of Jiangnan gardens into the medium of wearable jewellery. Therefore, this </w:t>
      </w:r>
      <w:r w:rsidR="00C45A07">
        <w:t>study</w:t>
      </w:r>
      <w:r w:rsidRPr="001B3E49">
        <w:t xml:space="preserve"> constructs a three-layer translation model of "cultural genes - design symbol encoding - user experience", with the expectation of applying this model in future </w:t>
      </w:r>
      <w:r w:rsidR="00C45A07">
        <w:t>study</w:t>
      </w:r>
      <w:r w:rsidRPr="001B3E49">
        <w:t xml:space="preserve"> to extract cultural genes and achieve cross-media migration, forming wearable jewellery with personal emotional attributes. Additionally, the </w:t>
      </w:r>
      <w:r w:rsidR="00C45A07">
        <w:t>study</w:t>
      </w:r>
      <w:r w:rsidRPr="001B3E49">
        <w:t xml:space="preserve"> also discusses whether there are significant differences in encoding strategies and user acceptance among different types of garden symbols (image symbols, indicator symbols, and symbolic symbols), and that users' body perception and usage scenarios play a crucial role in activating cultural identity. The </w:t>
      </w:r>
      <w:r w:rsidR="00C45A07">
        <w:t>study</w:t>
      </w:r>
      <w:r w:rsidRPr="001B3E49">
        <w:t xml:space="preserve"> not only fills the theoretical gap between symbol translation and user experience but also provides theoretical support and methodological inspiration for the revitalization of intangible cultural heritage and the design of creative cultural products.</w:t>
      </w:r>
    </w:p>
    <w:p w14:paraId="2EA33B9A" w14:textId="77777777" w:rsidR="001B3E49" w:rsidRDefault="001B3E49" w:rsidP="004E4EBC"/>
    <w:p w14:paraId="70862F0E" w14:textId="4B564B65" w:rsidR="001B3E49" w:rsidRDefault="001B3E49" w:rsidP="004E4EBC">
      <w:r>
        <w:t>K</w:t>
      </w:r>
      <w:r>
        <w:rPr>
          <w:rFonts w:hint="eastAsia"/>
        </w:rPr>
        <w:t>eywords:</w:t>
      </w:r>
      <w:r w:rsidR="00FB21B5">
        <w:rPr>
          <w:rFonts w:hint="eastAsia"/>
        </w:rPr>
        <w:t xml:space="preserve"> </w:t>
      </w:r>
      <w:r w:rsidR="00FB21B5" w:rsidRPr="00FB21B5">
        <w:t>Cultural Genes; Semiotics; Jewellery Design; Jiangnan Gardens; Design Ethnography</w:t>
      </w:r>
    </w:p>
    <w:p w14:paraId="39C466D4" w14:textId="14A571C2" w:rsidR="007A4914" w:rsidRPr="007A4914" w:rsidRDefault="0039043B" w:rsidP="007A4914">
      <w:r>
        <w:br w:type="page"/>
      </w:r>
      <w:r w:rsidR="007A4914" w:rsidRPr="007A4914">
        <w:rPr>
          <w:rFonts w:ascii="Aptos" w:hAnsi="Aptos" w:hint="eastAsia"/>
          <w:b/>
          <w:bCs/>
          <w:sz w:val="32"/>
          <w:szCs w:val="32"/>
        </w:rPr>
        <w:lastRenderedPageBreak/>
        <w:t>1.</w:t>
      </w:r>
      <w:r w:rsidR="007A4914" w:rsidRPr="007A4914">
        <w:rPr>
          <w:rFonts w:ascii="Aptos" w:hAnsi="Aptos"/>
          <w:b/>
          <w:bCs/>
          <w:sz w:val="32"/>
          <w:szCs w:val="32"/>
        </w:rPr>
        <w:t>Introduction</w:t>
      </w:r>
    </w:p>
    <w:p w14:paraId="2DBEDB0A" w14:textId="5F8D76C1" w:rsidR="0039043B" w:rsidRDefault="004402DB" w:rsidP="004E4EBC">
      <w:r w:rsidRPr="004402DB">
        <w:t>Jiangnan gardens are deeply rooted in the regional culture of Jiangnan and have developed a unique cultural form that embodies rich aesthetic principles, philosophical ideas, and life wisdom. However, with the acceleration of modernization, despite being treasures of traditional Chinese culture, these gardens have gradually receded from daily life and now primarily exist as tourist attractions or symbolic representations. In contemporary design, Jiangnan gardens face the challenge of "living inheritance." Current preservation methods predominantly focus on static approaches such as physical restoration, landscape presentation, and digital archiving, which overlook the dynamic expression of the lifestyle and cultural spirit embedded in the gardens. Consequently, their true value is obscured during the process of "museumification"</w:t>
      </w:r>
      <w:r>
        <w:fldChar w:fldCharType="begin"/>
      </w:r>
      <w:r>
        <w:instrText xml:space="preserve"> ADDIN ZOTERO_ITEM CSL_CITATION {"citationID":"jWjxrLvL","properties":{"formattedCitation":"(Ren and Djabarouti, 2023)","plainCitation":"(Ren and Djabarouti, 2023)","noteIndex":0},"citationItems":[{"id":1809,"uris":["http://zotero.org/users/16578089/items/MJQ94BT4"],"itemData":{"id":1809,"type":"article-journal","abstract":"World Heritage tourism in China regulates conservation approaches employed across natural and built heritage sites. However, focusing on the...","container-title":"Architecture","DOI":"10.3390/architecture3030024","ISSN":"2673-8945","issue":"3","language":"en","note":"publisher: MDPI AG","page":"446-460","source":"doaj.org","title":"Towards a Holistic Narration of Place: Conserving Natural and Built Heritage at the Humble Administrator’s Garden, China","title-short":"Towards a Holistic Narration of Place","volume":"3","author":[{"family":"Ren","given":"Youcao"},{"family":"Djabarouti","given":"Johnathan"}],"issued":{"date-parts":[["2023",8,1]]}}}],"schema":"https://github.com/citation-style-language/schema/raw/master/csl-citation.json"} </w:instrText>
      </w:r>
      <w:r>
        <w:fldChar w:fldCharType="separate"/>
      </w:r>
      <w:r>
        <w:rPr>
          <w:noProof/>
        </w:rPr>
        <w:t>(Ren and Djabarouti, 2023)</w:t>
      </w:r>
      <w:r>
        <w:fldChar w:fldCharType="end"/>
      </w:r>
      <w:r>
        <w:rPr>
          <w:rFonts w:hint="eastAsia"/>
        </w:rPr>
        <w:t xml:space="preserve">. </w:t>
      </w:r>
      <w:bookmarkStart w:id="0" w:name="OLE_LINK7"/>
      <w:r w:rsidR="00434B21" w:rsidRPr="00434B21">
        <w:t xml:space="preserve">As </w:t>
      </w:r>
      <w:proofErr w:type="spellStart"/>
      <w:r w:rsidR="00434B21" w:rsidRPr="00434B21">
        <w:t>Laurajane</w:t>
      </w:r>
      <w:proofErr w:type="spellEnd"/>
      <w:r w:rsidR="00434B21" w:rsidRPr="00434B21">
        <w:t xml:space="preserve"> Smith</w:t>
      </w:r>
      <w:bookmarkEnd w:id="0"/>
      <w:r w:rsidR="00434B21">
        <w:rPr>
          <w:rFonts w:hint="eastAsia"/>
        </w:rPr>
        <w:t xml:space="preserve"> </w:t>
      </w:r>
      <w:r w:rsidR="00434B21">
        <w:fldChar w:fldCharType="begin"/>
      </w:r>
      <w:r w:rsidR="00434B21">
        <w:instrText xml:space="preserve"> ADDIN ZOTERO_ITEM CSL_CITATION {"citationID":"XTd8mWoU","properties":{"formattedCitation":"(Smith, 2006)","plainCitation":"(Smith, 2006)","noteIndex":0},"citationItems":[{"id":1825,"uris":["http://zotero.org/users/16578089/items/AAFY2B4K"],"itemData":{"id":1825,"type":"book","abstract":"Examining international case studies including USA, Asia, Australia and New Zealand, Laurajane Smith identifies and explores the use of heritage throughout the world.\n\nChallenging the idea that heritage value is self-evident, and that things must be preserved because they have an inherent importance, Smith forcefully demonstrates that heritage value is not inherent in physical objects or places, but rather that these objects and places are used to give tangibility to the values that underpin different communities and to assert and affirm these values.\n\nA practically grounded accessible examination of heritage as a cultural practice, The Uses of Heritage is global in its benefit to students and field professionals alike.","event-place":"London","ISBN":"978-0-203-60226-3","note":"DOI: 10.4324/9780203602263","number-of-pages":"368","publisher":"Routledge","publisher-place":"London","title":"Uses of Heritage","author":[{"family":"Smith","given":"Laurajane"}],"issued":{"date-parts":[["2006",11,22]]}}}],"schema":"https://github.com/citation-style-language/schema/raw/master/csl-citation.json"} </w:instrText>
      </w:r>
      <w:r w:rsidR="00434B21">
        <w:fldChar w:fldCharType="separate"/>
      </w:r>
      <w:r w:rsidR="00434B21">
        <w:rPr>
          <w:noProof/>
        </w:rPr>
        <w:t>(2006)</w:t>
      </w:r>
      <w:r w:rsidR="00434B21">
        <w:fldChar w:fldCharType="end"/>
      </w:r>
      <w:r w:rsidR="00434B21" w:rsidRPr="00434B21">
        <w:t xml:space="preserve"> contends, “The essence of heritage is a cultural process rather than a material entity, and its value is determined by the meaning attribution and reproduction in the present.” Thus, an excessive emphasis on materiality is not truly conducive to the inheritance of </w:t>
      </w:r>
      <w:proofErr w:type="gramStart"/>
      <w:r w:rsidR="00434B21" w:rsidRPr="00434B21">
        <w:t>Jiangnan garden</w:t>
      </w:r>
      <w:proofErr w:type="gramEnd"/>
      <w:r w:rsidR="00434B21" w:rsidRPr="00434B21">
        <w:t xml:space="preserve"> culture. Jiangnan gardens need to shift from “representation” to “reconstruction”.  </w:t>
      </w:r>
    </w:p>
    <w:p w14:paraId="3AEA1958" w14:textId="5DE3DE95" w:rsidR="005E72AB" w:rsidRDefault="004C3B13" w:rsidP="004E4EBC">
      <w:pPr>
        <w:rPr>
          <w:rFonts w:ascii="Aptos" w:hAnsi="Aptos"/>
        </w:rPr>
      </w:pPr>
      <w:r w:rsidRPr="004C3B13">
        <w:rPr>
          <w:lang w:val="en-US"/>
        </w:rPr>
        <w:t xml:space="preserve">In this context, wearable jewelry, in its capacity as a cultural medium and with its highly bodily attachability, offers a new approach for the re-interpretation and dissemination of intangible culture.  </w:t>
      </w:r>
      <w:proofErr w:type="spellStart"/>
      <w:r w:rsidR="003B3A57" w:rsidRPr="003B3A57">
        <w:rPr>
          <w:lang w:val="en-US"/>
        </w:rPr>
        <w:t>Satpathy</w:t>
      </w:r>
      <w:proofErr w:type="spellEnd"/>
      <w:r w:rsidR="003B3A57" w:rsidRPr="003B3A57">
        <w:rPr>
          <w:lang w:val="en-US"/>
        </w:rPr>
        <w:t xml:space="preserve"> </w:t>
      </w:r>
      <w:r w:rsidR="00475881">
        <w:rPr>
          <w:lang w:val="en-US"/>
        </w:rPr>
        <w:fldChar w:fldCharType="begin"/>
      </w:r>
      <w:r w:rsidR="00475881">
        <w:rPr>
          <w:lang w:val="en-US"/>
        </w:rPr>
        <w:instrText xml:space="preserve"> ADDIN ZOTERO_ITEM CSL_CITATION {"citationID":"1RodlLZM","properties":{"formattedCitation":"(Satpathy, 2017)","plainCitation":"(Satpathy, 2017)","noteIndex":0},"citationItems":[{"id":1811,"uris":["http://zotero.org/users/16578089/items/5LLRLT77"],"itemData":{"id":1811,"type":"article","abstract":"Jewelry is the lovely manifestation of man’s imagination and creativity which symbolizes the ethnic culture and heritage of mankind and represents as one of the most invaluable constituents of Intangible Cultural Heritage (ICH). It is one of the effective means of symbolic communications of the socio-cultural life of human beings and is known as the living cultural heritage of mankind. The present paper gives understanding of various dimensions of studying ethnic jewelry and highlights the significance of jewelry in cross-cultural perspective exploring its origin, history, development, designs, patterns and functional relevance.","DOI":"10.2139/ssrn.2909408","event-place":"Rochester, NY","genre":"SSRN Scholarly Paper","language":"en","number":"2909408","publisher":"Social Science Research Network","publisher-place":"Rochester, NY","source":"papers.ssrn.com","title":"Jewelry: A Medium of Symbolic Communication","title-short":"Jewelry","URL":"https://papers.ssrn.com/abstract=2909408","author":[{"family":"Satpathy","given":"Chinmayee"}],"accessed":{"date-parts":[["2025",4,17]]},"issued":{"date-parts":[["2017",1,31]]}}}],"schema":"https://github.com/citation-style-language/schema/raw/master/csl-citation.json"} </w:instrText>
      </w:r>
      <w:r w:rsidR="00475881">
        <w:rPr>
          <w:lang w:val="en-US"/>
        </w:rPr>
        <w:fldChar w:fldCharType="separate"/>
      </w:r>
      <w:r w:rsidR="00475881">
        <w:rPr>
          <w:noProof/>
          <w:lang w:val="en-US"/>
        </w:rPr>
        <w:t>(2017)</w:t>
      </w:r>
      <w:r w:rsidR="00475881">
        <w:rPr>
          <w:lang w:val="en-US"/>
        </w:rPr>
        <w:fldChar w:fldCharType="end"/>
      </w:r>
      <w:r w:rsidR="003B3A57" w:rsidRPr="003B3A57">
        <w:rPr>
          <w:lang w:val="en-US"/>
        </w:rPr>
        <w:t xml:space="preserve"> put forward that wearable items have three cultural attributes: bodily presence, interactive engagement, and everyday integration, which makes them an important interface for the integration of culture into daily life. This </w:t>
      </w:r>
      <w:r w:rsidR="00C45A07">
        <w:rPr>
          <w:lang w:val="en-US"/>
        </w:rPr>
        <w:t>study</w:t>
      </w:r>
      <w:r w:rsidR="003B3A57" w:rsidRPr="003B3A57">
        <w:rPr>
          <w:lang w:val="en-US"/>
        </w:rPr>
        <w:t xml:space="preserve"> proposes to translate the cultural symbols of Jiangnan gardens into the wearing experience of users, thereby stimulating users to perceive culture and generate emotional resonance in their daily interactions. Furthermore, at present, the design of traditional cultural themes in jewelry design still remains at the replication of superficial visual elements, lacking the exploration and reconstruction of deep cultural genes, and is often presented in a decorative and commercialized pattern</w:t>
      </w:r>
      <w:r w:rsidR="005E72AB">
        <w:rPr>
          <w:lang w:val="en-US"/>
        </w:rPr>
        <w:fldChar w:fldCharType="begin"/>
      </w:r>
      <w:r w:rsidR="005E72AB">
        <w:rPr>
          <w:lang w:val="en-US"/>
        </w:rPr>
        <w:instrText xml:space="preserve"> ADDIN ZOTERO_ITEM CSL_CITATION {"citationID":"h8YjTa6g","properties":{"formattedCitation":"(Xu Jingjinga, Zhang Ronghong, and Yang Shaowu, 2022)","plainCitation":"(Xu Jingjinga, Zhang Ronghong, and Yang Shaowu, 2022)","noteIndex":0},"citationItems":[{"id":1814,"uris":["http://zotero.org/users/16578089/items/ZGSSJ9VQ"],"itemData":{"id":1814,"type":"article-journal","abstract":"The introduction of western jewelry culture has a profound and lasting influence on the rise and evolution of Chinese Feicui jewelry design and culture. The evolution of Chinese Feicui jewelry culture has changed from taking the aesthetic and political needs of the imperial family in Qing dynasty as the core to taking the modern aesthetics of life and philosophy as its core. The pioneer of the local Feicui jewelry design trend is committed to finding the contemporary value of Chinese traditional culture, and actively thinking about how to complete the contemporary transformation of Chinese traditional culture and make it integrate with the international aesthetic. The emerging jewelry brand, created by Chinese jewelry designers, has successfully entered the international high-end market by relying on the independently developed Feicui jewelry products. What is important is that the power of Chinese Feicui jewelry culture has two-way potential. The research and development of Feicui jewelry products are also a long-term window for international designers and jewelry brands to enter the Chinese jewelry market, and it is the best entry point to build a close connection and emotional resonance between themselves and Chinese consumers.","container-title":"Frontiers in Art Research","DOI":"10.25236/FAR.2022.041606","ISSN":"26181568","issue":"16","journalAbbreviation":"FAR","language":"en","source":"DOI.org (Crossref)","title":"The Evolution of Chinese Feicui Jewelry Design and Culture","URL":"https://francis-press.com/papers/8493","volume":"4","author":[{"literal":"Xu Jingjinga"},{"literal":"Zhang Ronghong"},{"literal":"Yang Shaowu"}],"accessed":{"date-parts":[["2025",4,17]]},"issued":{"date-parts":[["2022"]]}}}],"schema":"https://github.com/citation-style-language/schema/raw/master/csl-citation.json"} </w:instrText>
      </w:r>
      <w:r w:rsidR="005E72AB">
        <w:rPr>
          <w:lang w:val="en-US"/>
        </w:rPr>
        <w:fldChar w:fldCharType="separate"/>
      </w:r>
      <w:r w:rsidR="005E72AB">
        <w:rPr>
          <w:noProof/>
          <w:lang w:val="en-US"/>
        </w:rPr>
        <w:t>(Xu Jingjinga,</w:t>
      </w:r>
      <w:r w:rsidR="00E913B4">
        <w:rPr>
          <w:rFonts w:hint="eastAsia"/>
          <w:noProof/>
          <w:lang w:val="en-US"/>
        </w:rPr>
        <w:t>et al.,</w:t>
      </w:r>
      <w:r w:rsidR="005E72AB">
        <w:rPr>
          <w:noProof/>
          <w:lang w:val="en-US"/>
        </w:rPr>
        <w:t xml:space="preserve"> 2022)</w:t>
      </w:r>
      <w:r w:rsidR="005E72AB">
        <w:rPr>
          <w:lang w:val="en-US"/>
        </w:rPr>
        <w:fldChar w:fldCharType="end"/>
      </w:r>
      <w:r w:rsidR="005E72AB">
        <w:rPr>
          <w:rFonts w:ascii="Aptos" w:hAnsi="Aptos" w:hint="eastAsia"/>
        </w:rPr>
        <w:t>.</w:t>
      </w:r>
      <w:r w:rsidR="00E226DC" w:rsidRPr="00E226DC">
        <w:t xml:space="preserve"> </w:t>
      </w:r>
      <w:r w:rsidR="00E226DC" w:rsidRPr="00E226DC">
        <w:rPr>
          <w:rFonts w:ascii="Aptos" w:hAnsi="Aptos"/>
        </w:rPr>
        <w:t>In this regard, Margolin</w:t>
      </w:r>
      <w:r w:rsidR="00E226DC">
        <w:rPr>
          <w:rFonts w:ascii="Aptos" w:hAnsi="Aptos" w:hint="eastAsia"/>
        </w:rPr>
        <w:t xml:space="preserve"> </w:t>
      </w:r>
      <w:r w:rsidR="00E226DC">
        <w:rPr>
          <w:rFonts w:ascii="Aptos" w:hAnsi="Aptos"/>
        </w:rPr>
        <w:fldChar w:fldCharType="begin"/>
      </w:r>
      <w:r w:rsidR="00E226DC">
        <w:rPr>
          <w:rFonts w:ascii="Aptos" w:hAnsi="Aptos"/>
        </w:rPr>
        <w:instrText xml:space="preserve"> ADDIN ZOTERO_ITEM CSL_CITATION {"citationID":"juOxxJC2","properties":{"formattedCitation":"(Margolin, 2002)","plainCitation":"(Margolin, 2002)","noteIndex":0},"citationItems":[{"id":1815,"uris":["http://zotero.org/users/16578089/items/NJ7KAM5K"],"itemData":{"id":1815,"type":"book","abstract":"Emerging from the world of commercial art and product styling, design has now become completely integrated into human life. Its marks are all around us, from the chairs we sit on to the Web sites on our computer screens.  One of the pioneers of design studies and still one of its most distinguished practitioners, Victor Margolin here offers a timely meditation on design and its study at the turn of the millennium and charts new directions for the future development of both fields. Divided into sections on the practice and study of design, the essays in The Politics of the Artificial cover such topics as design history, design research, design as a political tool, sustainable design, and the problems of design's relation to advanced technologies. Margolin also examines the work of key practitioners such as the matrix designer Ken Isaacs. Throughout the book Margolin demonstrates the underlying connections between the many ways of reflecting on and practicing design. He argues for the creation of an international, interdisciplinary field of design research and proposes a new ethical agenda for designers and researchers that encompasses the responsibility to users, the problems of sustainability, and the complicated questions of how to set boundaries for applying advanced technology to solve the problems of human life.  Opinionated and erudite, Victor Margolin's The Politics of the Artificial breaks fresh ground in its call for a new approach to design research and practice. Designers, engineers, architects, anthropologists, sociologists, and historians will all benefit from its insights.","ISBN":"978-0-226-50504-6","language":"en","note":"Google-Books-ID: LhmCCTpEBvUC","number-of-pages":"286","publisher":"University of Chicago Press","source":"Google Books","title":"The Politics of the Artificial: Essays on Design and Design Studies","title-short":"The Politics of the Artificial","author":[{"family":"Margolin","given":"Victor"}],"issued":{"date-parts":[["2002",3,15]]}}}],"schema":"https://github.com/citation-style-language/schema/raw/master/csl-citation.json"} </w:instrText>
      </w:r>
      <w:r w:rsidR="00E226DC">
        <w:rPr>
          <w:rFonts w:ascii="Aptos" w:hAnsi="Aptos"/>
        </w:rPr>
        <w:fldChar w:fldCharType="separate"/>
      </w:r>
      <w:r w:rsidR="00E226DC">
        <w:rPr>
          <w:rFonts w:ascii="Aptos" w:hAnsi="Aptos"/>
          <w:noProof/>
        </w:rPr>
        <w:t>(Margolin, 2002)</w:t>
      </w:r>
      <w:r w:rsidR="00E226DC">
        <w:rPr>
          <w:rFonts w:ascii="Aptos" w:hAnsi="Aptos"/>
        </w:rPr>
        <w:fldChar w:fldCharType="end"/>
      </w:r>
      <w:r w:rsidR="00E226DC" w:rsidRPr="00E226DC">
        <w:rPr>
          <w:rFonts w:ascii="Aptos" w:hAnsi="Aptos"/>
        </w:rPr>
        <w:t xml:space="preserve"> stated that design is “a kind of cultural practice” and should go beyond symbol replication, conducting critical interpretation and reorganization of existing cultural forms to meet contemporary demands. In combination with this viewpoint, the “vivification” of </w:t>
      </w:r>
      <w:proofErr w:type="gramStart"/>
      <w:r w:rsidR="00E226DC" w:rsidRPr="00E226DC">
        <w:rPr>
          <w:rFonts w:ascii="Aptos" w:hAnsi="Aptos"/>
        </w:rPr>
        <w:t>Jiangnan garden</w:t>
      </w:r>
      <w:proofErr w:type="gramEnd"/>
      <w:r w:rsidR="00E226DC" w:rsidRPr="00E226DC">
        <w:rPr>
          <w:rFonts w:ascii="Aptos" w:hAnsi="Aptos"/>
        </w:rPr>
        <w:t xml:space="preserve"> culture in contemporary society not only requires the establishment of a systematic </w:t>
      </w:r>
      <w:proofErr w:type="spellStart"/>
      <w:r w:rsidR="00E226DC" w:rsidRPr="00E226DC">
        <w:rPr>
          <w:rFonts w:ascii="Aptos" w:hAnsi="Aptos"/>
        </w:rPr>
        <w:t>jewelry</w:t>
      </w:r>
      <w:proofErr w:type="spellEnd"/>
      <w:r w:rsidR="00E226DC" w:rsidRPr="00E226DC">
        <w:rPr>
          <w:rFonts w:ascii="Aptos" w:hAnsi="Aptos"/>
        </w:rPr>
        <w:t xml:space="preserve"> design language but also the realization of a recontextualization strategy through user interaction.</w:t>
      </w:r>
    </w:p>
    <w:p w14:paraId="355BC3B1" w14:textId="64EBE0B8" w:rsidR="00E226DC" w:rsidRDefault="00E226DC" w:rsidP="004E4EBC">
      <w:pPr>
        <w:rPr>
          <w:rFonts w:ascii="Aptos" w:hAnsi="Aptos"/>
          <w:b/>
          <w:bCs/>
          <w:lang w:val="en-US"/>
        </w:rPr>
      </w:pPr>
      <w:r w:rsidRPr="00E226DC">
        <w:rPr>
          <w:rFonts w:ascii="Aptos" w:hAnsi="Aptos" w:hint="eastAsia"/>
          <w:b/>
          <w:bCs/>
        </w:rPr>
        <w:t>1.1</w:t>
      </w:r>
      <w:r w:rsidRPr="00E226DC">
        <w:rPr>
          <w:rFonts w:ascii="Aptos" w:hAnsi="Aptos"/>
          <w:b/>
          <w:bCs/>
          <w:lang w:val="en-US"/>
        </w:rPr>
        <w:t xml:space="preserve"> Theoretical Anchoring</w:t>
      </w:r>
    </w:p>
    <w:p w14:paraId="23CF57A9" w14:textId="47C1D92B" w:rsidR="00E226DC" w:rsidRDefault="00C45A07" w:rsidP="004E4EBC">
      <w:pPr>
        <w:rPr>
          <w:lang w:val="en-US"/>
        </w:rPr>
      </w:pPr>
      <w:r w:rsidRPr="00C45A07">
        <w:rPr>
          <w:lang w:val="en-US"/>
        </w:rPr>
        <w:t xml:space="preserve">The primary theoretical basis of this study is founded upon the triple viewpoints of cultural gene theory, material culture research and semiotics. It endeavors to establish a three-tier translation model of </w:t>
      </w:r>
      <w:r>
        <w:rPr>
          <w:rFonts w:hint="eastAsia"/>
          <w:lang w:val="en-US"/>
        </w:rPr>
        <w:t>‘</w:t>
      </w:r>
      <w:r w:rsidRPr="00C45A07">
        <w:rPr>
          <w:lang w:val="en-US"/>
        </w:rPr>
        <w:t xml:space="preserve">cultural gene - design symbol encoding - user </w:t>
      </w:r>
      <w:r w:rsidRPr="00C45A07">
        <w:rPr>
          <w:lang w:val="en-US"/>
        </w:rPr>
        <w:lastRenderedPageBreak/>
        <w:t>experience</w:t>
      </w:r>
      <w:r>
        <w:rPr>
          <w:rFonts w:hint="eastAsia"/>
          <w:lang w:val="en-US"/>
        </w:rPr>
        <w:t>‘</w:t>
      </w:r>
      <w:r w:rsidRPr="00C45A07">
        <w:rPr>
          <w:lang w:val="en-US"/>
        </w:rPr>
        <w:t xml:space="preserve"> through the intersection of theories, and explore the possibility of achieving the dynamic inheritance of traditional culture in contemporary expressions on this basis.  </w:t>
      </w:r>
    </w:p>
    <w:p w14:paraId="6E054844" w14:textId="53AF9BEB" w:rsidR="009A2BD1" w:rsidRDefault="00370FA5" w:rsidP="004E4EBC">
      <w:pPr>
        <w:rPr>
          <w:lang w:val="en-US"/>
        </w:rPr>
      </w:pPr>
      <w:r w:rsidRPr="00370FA5">
        <w:rPr>
          <w:lang w:val="en-US"/>
        </w:rPr>
        <w:t>The transformation of jewel</w:t>
      </w:r>
      <w:r>
        <w:rPr>
          <w:rFonts w:hint="eastAsia"/>
          <w:lang w:val="en-US"/>
        </w:rPr>
        <w:t>l</w:t>
      </w:r>
      <w:r w:rsidRPr="00370FA5">
        <w:rPr>
          <w:lang w:val="en-US"/>
        </w:rPr>
        <w:t xml:space="preserve">ry based on the cultural symbols of Jiangnan gardens is a study of the media translation process of cultural genes. Essentially, it is a topological reconstruction of the universal rules or patterns hidden behind cultural phenomena. This </w:t>
      </w:r>
      <w:r w:rsidR="00555C76">
        <w:rPr>
          <w:lang w:val="en-US"/>
        </w:rPr>
        <w:t>‘</w:t>
      </w:r>
      <w:r w:rsidRPr="00370FA5">
        <w:rPr>
          <w:lang w:val="en-US"/>
        </w:rPr>
        <w:t>cultural gene</w:t>
      </w:r>
      <w:r w:rsidR="00555C76">
        <w:rPr>
          <w:lang w:val="en-US"/>
        </w:rPr>
        <w:t>’</w:t>
      </w:r>
      <w:r w:rsidRPr="00370FA5">
        <w:rPr>
          <w:lang w:val="en-US"/>
        </w:rPr>
        <w:t xml:space="preserve"> is reconstructed and expressed in new carriers such as jewel</w:t>
      </w:r>
      <w:r w:rsidR="002313E7">
        <w:rPr>
          <w:rFonts w:hint="eastAsia"/>
          <w:lang w:val="en-US"/>
        </w:rPr>
        <w:t>l</w:t>
      </w:r>
      <w:r w:rsidRPr="00370FA5">
        <w:rPr>
          <w:lang w:val="en-US"/>
        </w:rPr>
        <w:t>ry, and similar topological transformations maintain the stability and correlation of the core cultural relationship.</w:t>
      </w:r>
      <w:r w:rsidR="009B6644" w:rsidRPr="009B6644">
        <w:t xml:space="preserve"> </w:t>
      </w:r>
      <w:r w:rsidR="009B6644" w:rsidRPr="009B6644">
        <w:rPr>
          <w:lang w:val="en-US"/>
        </w:rPr>
        <w:t>The theory of cultural genes originated from the concept of</w:t>
      </w:r>
      <w:r w:rsidR="00C41191">
        <w:rPr>
          <w:rFonts w:hint="eastAsia"/>
          <w:lang w:val="en-US"/>
        </w:rPr>
        <w:t xml:space="preserve"> cultural</w:t>
      </w:r>
      <w:r w:rsidR="009B6644" w:rsidRPr="009B6644">
        <w:rPr>
          <w:lang w:val="en-US"/>
        </w:rPr>
        <w:t xml:space="preserve"> memes put forward by Dawkins </w:t>
      </w:r>
      <w:r w:rsidR="009B6644" w:rsidRPr="00293785">
        <w:rPr>
          <w:rFonts w:ascii="Aptos" w:hAnsi="Aptos"/>
          <w:lang w:val="en-US"/>
        </w:rPr>
        <w:fldChar w:fldCharType="begin"/>
      </w:r>
      <w:r w:rsidR="002454AA">
        <w:rPr>
          <w:rFonts w:ascii="Aptos" w:hAnsi="Aptos"/>
          <w:lang w:val="en-US"/>
        </w:rPr>
        <w:instrText xml:space="preserve"> ADDIN ZOTERO_ITEM CSL_CITATION {"citationID":"ZlA3q1hC","properties":{"formattedCitation":"(Dawkins, 2016)","plainCitation":"(Dawkins, 2016)","dontUpdate":true,"noteIndex":0},"citationItems":[{"id":1890,"uris":["http://zotero.org/users/16578089/items/KSHK7HNW"],"itemData":{"id":1890,"type":"book","edition":"Revised impression","event-place":"Oxford","ISBN":"978-0-19-878878-2","publisher":"Oxford University Press","publisher-place":"Oxford","source":"COinS","title":"The extended selfish gene","author":[{"family":"Dawkins","given":"Richard 1941-"}],"issued":{"date-parts":[["2016"]]}}}],"schema":"https://github.com/citation-style-language/schema/raw/master/csl-citation.json"} </w:instrText>
      </w:r>
      <w:r w:rsidR="009B6644" w:rsidRPr="00293785">
        <w:rPr>
          <w:rFonts w:ascii="Aptos" w:hAnsi="Aptos"/>
          <w:lang w:val="en-US"/>
        </w:rPr>
        <w:fldChar w:fldCharType="separate"/>
      </w:r>
      <w:r w:rsidR="009B6644" w:rsidRPr="00293785">
        <w:rPr>
          <w:rFonts w:ascii="Aptos" w:hAnsi="Aptos"/>
          <w:noProof/>
          <w:lang w:val="en-US"/>
        </w:rPr>
        <w:t>(2016)</w:t>
      </w:r>
      <w:r w:rsidR="009B6644" w:rsidRPr="00293785">
        <w:rPr>
          <w:rFonts w:ascii="Aptos" w:hAnsi="Aptos"/>
          <w:lang w:val="en-US"/>
        </w:rPr>
        <w:fldChar w:fldCharType="end"/>
      </w:r>
      <w:r w:rsidR="009B6644" w:rsidRPr="009B6644">
        <w:rPr>
          <w:lang w:val="en-US"/>
        </w:rPr>
        <w:t xml:space="preserve">. He compared cultural content to genes, arguing that cultural information can self-replicate in unit form and spread, mutate, and be selected within a group like genetic genes. This theoretical perspective provides a novel idea for the inheritance of cultural symbols and has aroused both reflection and questioning among scholars. The overly biological tendency might result in the omission of cultural context factors and the cognitive complexity of cultural transmission. Just as Boyd and Richerson </w:t>
      </w:r>
      <w:r w:rsidR="00054C31">
        <w:rPr>
          <w:rFonts w:ascii="Aptos" w:hAnsi="Aptos"/>
          <w:kern w:val="0"/>
          <w:lang w:val="en-US"/>
          <w14:ligatures w14:val="none"/>
        </w:rPr>
        <w:fldChar w:fldCharType="begin"/>
      </w:r>
      <w:r w:rsidR="002454AA">
        <w:rPr>
          <w:rFonts w:ascii="Aptos" w:hAnsi="Aptos"/>
          <w:kern w:val="0"/>
          <w:lang w:val="en-US"/>
          <w14:ligatures w14:val="none"/>
        </w:rPr>
        <w:instrText xml:space="preserve"> ADDIN ZOTERO_ITEM CSL_CITATION {"citationID":"pUMeRqux","properties":{"formattedCitation":"(Boyd and Richerson, 2005)","plainCitation":"(Boyd and Richerson, 2005)","dontUpdate":true,"noteIndex":0},"citationItems":[{"id":1898,"uris":["http://zotero.org/users/16578089/items/W7TPUR3Z"],"itemData":{"id":1898,"type":"book","abstract":"Oxford presents, in one convenient and coherently organized volume, 20 influential but until now relatively inaccessible articles that form the backbone of Boyd and Richerson's path-breaking work on evolution and culture. Their interdisciplinary research is based on two notions. First, that culture is crucial for understanding human behavior; unlike other organisms, socially transmitted beliefs, attitudes, and values heavily influence our behavior. Secondly, culture is part of biology: the capacity to acquire and transmit culture is a derived component of human psychology, and the contents of culture are deeply intertwined with our biology. Culture then is a pool of information, stored in the brains of the population that gets transmitted from one brain to another by social learning processes. Therefore, culture can account for both our outstanding ecological success as well as the maladaptations that characterize much of human behavior. The interest in this collection will span anthropology, psychology, economics, philosophy, and political science.","ISBN":"978-0-19-516524-1","language":"en","note":"Google-Books-ID: ieJoecvZfyUC","number-of-pages":"466","publisher":"Oxford University Press, USA","source":"Google Books","title":"The Origin and Evolution of Cultures","author":[{"family":"Boyd","given":"Robert"},{"family":"Richerson","given":"Peter J."}],"issued":{"date-parts":[["2005",1,20]]}}}],"schema":"https://github.com/citation-style-language/schema/raw/master/csl-citation.json"} </w:instrText>
      </w:r>
      <w:r w:rsidR="00054C31">
        <w:rPr>
          <w:rFonts w:ascii="Aptos" w:hAnsi="Aptos"/>
          <w:kern w:val="0"/>
          <w:lang w:val="en-US"/>
          <w14:ligatures w14:val="none"/>
        </w:rPr>
        <w:fldChar w:fldCharType="separate"/>
      </w:r>
      <w:r w:rsidR="00054C31">
        <w:rPr>
          <w:rFonts w:ascii="Aptos" w:hAnsi="Aptos"/>
          <w:noProof/>
          <w:kern w:val="0"/>
          <w:lang w:val="en-US"/>
          <w14:ligatures w14:val="none"/>
        </w:rPr>
        <w:t>(2005)</w:t>
      </w:r>
      <w:r w:rsidR="00054C31">
        <w:rPr>
          <w:rFonts w:ascii="Aptos" w:hAnsi="Aptos"/>
          <w:kern w:val="0"/>
          <w:lang w:val="en-US"/>
          <w14:ligatures w14:val="none"/>
        </w:rPr>
        <w:fldChar w:fldCharType="end"/>
      </w:r>
      <w:r w:rsidR="009B6644" w:rsidRPr="009B6644">
        <w:rPr>
          <w:lang w:val="en-US"/>
        </w:rPr>
        <w:t xml:space="preserve"> indicated, the meme theory simplifies cultural evolution into a </w:t>
      </w:r>
      <w:r w:rsidR="00F7101E">
        <w:rPr>
          <w:lang w:val="en-US"/>
        </w:rPr>
        <w:t>‘</w:t>
      </w:r>
      <w:r w:rsidR="009B6644" w:rsidRPr="009B6644">
        <w:rPr>
          <w:lang w:val="en-US"/>
        </w:rPr>
        <w:t>gene-like replication process</w:t>
      </w:r>
      <w:r w:rsidR="00F7101E">
        <w:rPr>
          <w:lang w:val="en-US"/>
        </w:rPr>
        <w:t>’</w:t>
      </w:r>
      <w:r w:rsidR="009B6644" w:rsidRPr="009B6644">
        <w:rPr>
          <w:lang w:val="en-US"/>
        </w:rPr>
        <w:t xml:space="preserve">, disregarding complex mechanisms such as guided variation and cultural adaptation in social learning. In other words, although the metaphor of cultural genes is figurative, it is merely a biological analogy and </w:t>
      </w:r>
      <w:r w:rsidR="00C01ED7" w:rsidRPr="009B6644">
        <w:rPr>
          <w:lang w:val="en-US"/>
        </w:rPr>
        <w:t>simplification and</w:t>
      </w:r>
      <w:r w:rsidR="009B6644" w:rsidRPr="009B6644">
        <w:rPr>
          <w:lang w:val="en-US"/>
        </w:rPr>
        <w:t xml:space="preserve"> fails to fully encompass key dimensions such as symbol interpretation, social interaction, and real emotions and environments in human cultural inheritance </w:t>
      </w:r>
      <w:r w:rsidR="00A20F3B" w:rsidRPr="00293785">
        <w:rPr>
          <w:rFonts w:ascii="Aptos" w:hAnsi="Aptos"/>
          <w:lang w:val="en-US"/>
        </w:rPr>
        <w:fldChar w:fldCharType="begin"/>
      </w:r>
      <w:r w:rsidR="00A20F3B" w:rsidRPr="00293785">
        <w:rPr>
          <w:rFonts w:ascii="Aptos" w:hAnsi="Aptos"/>
          <w:lang w:val="en-US"/>
        </w:rPr>
        <w:instrText xml:space="preserve"> ADDIN ZOTERO_ITEM CSL_CITATION {"citationID":"Ul2IKWDe","properties":{"formattedCitation":"(Wu {\\i{}et al.}, 2025)","plainCitation":"(Wu et al., 2025)","noteIndex":0},"citationItems":[{"id":1856,"uris":["http://zotero.org/users/16578089/items/EGZ6GPGF"],"itemData":{"id":1856,"type":"article-journal","abstract":"Taking the representative bridge facilities of the Hangzhou section of the Grand Canal as an example, uses the reverse transcription extraction method to refine cultural elements information, and classifies and analyzes to obtain the cultural gene identification framework of the Grand Canal bridge facilities. Based on this, various types of cultural genes are encoded according to the principle of cultural gene classification, in order to clarify the four major types of cultural genes: main genes, accessory genes, hybrid genes, and variant genes, forming a cultural gene encoding sequence map and analyzing their basic characteristics. The results show: 1) a cultural gene identification framework for the cultural genes of the Grand Canal bridge facilities composed of 6 gene categories, 8 identification factors, and 17 identification indicators has been established. 2) Accessory genes account for the largest proportion in the four major categories of cultural genes, followed by main genes, and the proportions of mixed genes and variant genes are the same. 3) The genetic features, functional positioning, and value inheritance paths contained in each type of cultural gene are different. The research results provide new ideas for the scientific protection and inheritance of the cultural heritage of the Grand Canal.","container-title":"Journal of Asian Architecture and Building Engineering","DOI":"10.1080/13467581.2025.2454614","ISSN":"1346-7581","issue":"0","language":"en-GB","note":"publisher: Taylor &amp; Francis\n_eprint: https://doi.org/10.1080/13467581.2025.2454614","page":"1-19","source":"Taylor and Francis+NEJM","title":"Construction and characteristic analysis of the cultural genes map of Grand Canal bridge facilities: a case study in Hangzhou section, China","title-short":"Construction and characteristic analysis of the cultural genes map of Grand Canal bridge facilities","volume":"0","author":[{"family":"Wu","given":"Wenting"},{"family":"","given":"Jin ,Shuming"},{"family":"","given":"Zhang ,Shanfeng"},{"family":"","given":"Mei ,Yi"},{"family":"Zhou","given":"Kai","non-dropping-particle":"and"}],"issued":{"date-parts":[["2025"]]}}}],"schema":"https://github.com/citation-style-language/schema/raw/master/csl-citation.json"} </w:instrText>
      </w:r>
      <w:r w:rsidR="00A20F3B" w:rsidRPr="00293785">
        <w:rPr>
          <w:rFonts w:ascii="Aptos" w:hAnsi="Aptos"/>
          <w:lang w:val="en-US"/>
        </w:rPr>
        <w:fldChar w:fldCharType="separate"/>
      </w:r>
      <w:r w:rsidR="00A20F3B" w:rsidRPr="00293785">
        <w:rPr>
          <w:rFonts w:ascii="Aptos" w:hAnsi="Aptos" w:cs="Times New Roman"/>
          <w:kern w:val="0"/>
        </w:rPr>
        <w:t xml:space="preserve">(Wu </w:t>
      </w:r>
      <w:r w:rsidR="00A20F3B" w:rsidRPr="00293785">
        <w:rPr>
          <w:rFonts w:ascii="Aptos" w:hAnsi="Aptos" w:cs="Times New Roman"/>
          <w:i/>
          <w:iCs/>
          <w:kern w:val="0"/>
        </w:rPr>
        <w:t>et al.</w:t>
      </w:r>
      <w:r w:rsidR="00A20F3B" w:rsidRPr="00293785">
        <w:rPr>
          <w:rFonts w:ascii="Aptos" w:hAnsi="Aptos" w:cs="Times New Roman"/>
          <w:kern w:val="0"/>
        </w:rPr>
        <w:t>, 2025)</w:t>
      </w:r>
      <w:r w:rsidR="00A20F3B" w:rsidRPr="00293785">
        <w:rPr>
          <w:rFonts w:ascii="Aptos" w:hAnsi="Aptos"/>
          <w:lang w:val="en-US"/>
        </w:rPr>
        <w:fldChar w:fldCharType="end"/>
      </w:r>
      <w:r w:rsidR="009B6644" w:rsidRPr="009B6644">
        <w:rPr>
          <w:lang w:val="en-US"/>
        </w:rPr>
        <w:t>.</w:t>
      </w:r>
    </w:p>
    <w:p w14:paraId="169CDE11" w14:textId="653EB38B" w:rsidR="000C113B" w:rsidRDefault="000C113B" w:rsidP="004E4EBC">
      <w:r w:rsidRPr="000C113B">
        <w:t>Therefore, when discussing the inheritance and translation of the cultural genes of Jiangnan gardens, it is necessary to turn to a broader perspective of material culture and practice. Cultural inheritance is often inseparable from specific carriers and life scenarios</w:t>
      </w:r>
      <w:r>
        <w:rPr>
          <w:rFonts w:hint="eastAsia"/>
        </w:rPr>
        <w:t xml:space="preserve"> </w:t>
      </w:r>
      <w:r>
        <w:rPr>
          <w:rFonts w:ascii="Aptos" w:hAnsi="Aptos"/>
          <w:kern w:val="0"/>
          <w:lang w:val="en-US"/>
          <w14:ligatures w14:val="none"/>
        </w:rPr>
        <w:fldChar w:fldCharType="begin"/>
      </w:r>
      <w:r>
        <w:rPr>
          <w:rFonts w:ascii="Aptos" w:hAnsi="Aptos"/>
          <w:kern w:val="0"/>
          <w:lang w:val="en-US"/>
          <w14:ligatures w14:val="none"/>
        </w:rPr>
        <w:instrText xml:space="preserve"> ADDIN ZOTERO_ITEM CSL_CITATION {"citationID":"TG7lVRQC","properties":{"formattedCitation":"(Appadurai, 1988; Miller, 1997)","plainCitation":"(Appadurai, 1988; Miller, 1997)","noteIndex":0},"citationItems":[{"id":1915,"uris":["http://zotero.org/users/16578089/items/X6JXNAEC"],"itemData":{"id":1915,"type":"book","abstract":"The meaning that people attribute to things necessarily derives from human transactions and motivations, particularly from how those things are used and circulated. The contributors to this volume examine how things are sold and traded in a variety of social and cultural settings, both present and past. Focusing on culturally defined aspects of exchange and socially regulated processes of circulation, the essays illuminate the ways in which people find value in things and things give value to social relations. By looking at things as if they lead social lives, the authors provide a new way to understand how value is externalized and sought after. They discuss a wide range of goods - from oriental carpets to human relics - to reveal both that the underlying logic of everyday economic life is not so far removed from that which explains the circulation of exotica, and that the distinction between contemporary economics and simpler, more distant ones is less obvious than has been thought. As the editor argues in his introduction, beneath the seeming infinitude of human wants, and the apparent multiplicity of material forms, there in fact lie complex, but specific, social and political mechanisms that regulate taste, trade, and desire. Containing contributions from American and British social anthropologists and historians, the volume bridges the disciplines of social history, cultural anthropology, and economics, and marks a major step in our understanding of the cultural basis of economic life and the sociology of culture. It will appeal to anthropologists, social historians, economists, archaeologists, and historians of art.","ISBN":"978-0-521-35726-5","language":"en","note":"Google-Books-ID: 6JqTcziwKTYC","number-of-pages":"350","publisher":"Cambridge University Press","source":"Google Books","title":"The Social Life of Things: Commodities in Cultural Perspective","title-short":"The Social Life of Things","author":[{"family":"Appadurai","given":"Arjun"}],"issued":{"date-parts":[["1988",1,29]]}}},{"id":1908,"uris":["http://zotero.org/users/16578089/items/9SJ7BXYN"],"itemData":{"id":1908,"type":"book","abstract":"Exploring materialism and social relationships in modern culture Material Culture and Mass Consumption offers an in-depth exploration of objects, objectification, ideology, and materialism in modern society. Drawing from Hegel, Marx, Munn, and Simmel, the discussion delves into the physicality of the material world and attempts to understand materialism as a form of cultural expression. Targeting mass production as the root of mass consumption, rather than the result, this book positions material goods at odds with genuine social interaction and questions these relationships from the abstract to the intensely specific.","ISBN":"978-0-631-15605-5","language":"en","note":"Google-Books-ID: cpGkEAAAQBAJ","number-of-pages":"263","publisher":"John Wiley &amp; Sons","source":"Google Books","title":"Material Culture and Mass Consumerism","author":[{"family":"Miller","given":"Daniel"}],"issued":{"date-parts":[["1997",12,8]]}}}],"schema":"https://github.com/citation-style-language/schema/raw/master/csl-citation.json"} </w:instrText>
      </w:r>
      <w:r>
        <w:rPr>
          <w:rFonts w:ascii="Aptos" w:hAnsi="Aptos"/>
          <w:kern w:val="0"/>
          <w:lang w:val="en-US"/>
          <w14:ligatures w14:val="none"/>
        </w:rPr>
        <w:fldChar w:fldCharType="separate"/>
      </w:r>
      <w:r>
        <w:rPr>
          <w:rFonts w:ascii="Aptos" w:hAnsi="Aptos"/>
          <w:noProof/>
          <w:kern w:val="0"/>
          <w:lang w:val="en-US"/>
          <w14:ligatures w14:val="none"/>
        </w:rPr>
        <w:t>(Appadurai, 1988; Miller, 1997)</w:t>
      </w:r>
      <w:r>
        <w:rPr>
          <w:rFonts w:ascii="Aptos" w:hAnsi="Aptos"/>
          <w:kern w:val="0"/>
          <w:lang w:val="en-US"/>
          <w14:ligatures w14:val="none"/>
        </w:rPr>
        <w:fldChar w:fldCharType="end"/>
      </w:r>
      <w:r w:rsidRPr="000C113B">
        <w:t xml:space="preserve">, and its connotation is rooted in daily utensils. Daily utensils are not static </w:t>
      </w:r>
      <w:r w:rsidR="003D12F4">
        <w:t>‘</w:t>
      </w:r>
      <w:r w:rsidRPr="000C113B">
        <w:t>entities</w:t>
      </w:r>
      <w:r w:rsidR="003D12F4">
        <w:t>’</w:t>
      </w:r>
      <w:r w:rsidRPr="000C113B">
        <w:t xml:space="preserve">, but rather </w:t>
      </w:r>
      <w:r w:rsidR="00C263A7">
        <w:t>‘</w:t>
      </w:r>
      <w:r w:rsidRPr="000C113B">
        <w:t>lives</w:t>
      </w:r>
      <w:r w:rsidR="00C263A7">
        <w:t>’</w:t>
      </w:r>
      <w:r w:rsidRPr="000C113B">
        <w:t xml:space="preserve"> media that possess collective memory and identity in social life. Worn items represented by </w:t>
      </w:r>
      <w:r w:rsidR="006A7576" w:rsidRPr="000C113B">
        <w:t>jewellery</w:t>
      </w:r>
      <w:r w:rsidRPr="000C113B">
        <w:t xml:space="preserve"> are typical examples of this process: they not only have decorative functions but also act as dynamic carriers of cultural symbols</w:t>
      </w:r>
      <w:r w:rsidR="006A3273">
        <w:rPr>
          <w:rFonts w:hint="eastAsia"/>
        </w:rPr>
        <w:t xml:space="preserve"> </w:t>
      </w:r>
      <w:r w:rsidR="006A3273" w:rsidRPr="00293785">
        <w:rPr>
          <w:rFonts w:ascii="Aptos" w:hAnsi="Aptos"/>
          <w:lang w:val="en-US"/>
        </w:rPr>
        <w:fldChar w:fldCharType="begin"/>
      </w:r>
      <w:r w:rsidR="006A3273" w:rsidRPr="00293785">
        <w:rPr>
          <w:rFonts w:ascii="Aptos" w:hAnsi="Aptos"/>
          <w:lang w:val="en-US"/>
        </w:rPr>
        <w:instrText xml:space="preserve"> ADDIN ZOTERO_ITEM CSL_CITATION {"citationID":"qauAS9ef","properties":{"formattedCitation":"(Eicher and Evenson, 2014)","plainCitation":"(Eicher and Evenson, 2014)","noteIndex":0},"citationItems":[{"id":1910,"uris":["http://zotero.org/users/16578089/items/QHHBUCQQ"],"itemData":{"id":1910,"type":"book","abstract":"Everywhere around the world, people make daily decisions about what to wear or how to dress. The Visible Self, 4th Edition, presents a systematic approach to analyzing daily rituals that we all share-not simply the act of putting on clothing, but also the method of cleansing the body and adorning it. Using Western and non-Western examples, the authors take a three-pronged approach to understanding dress across cultures, uncovering its relationship to human beings as biological, aesthetic, and social beings. Readings collected from classic books and academic journals enable students to appreciate the complexity of dress from a multidisciplinary perspective that includes anthropology, sociology, economics, fine arts, and the natural sciences. This new edition covers topics including social media, social responsibility, eco-fashion, plus subcultures and trends such as cosplay, making it a relevant resource for studying dress. New to this Edition: - Newly organized Part III uses John Bodley&amp;#39;s revised analysis of sociocultural systems to relate to dress and fashion across the world- New reading by John Vollmer in Part III on the Qing Dynasty of China- Revised and expanded art program, including 65 new photographs","ISBN":"978-1-60901-870-2","language":"en","note":"Google-Books-ID: c_c5BAAAQBAJ","number-of-pages":"420","publisher":"Bloomsbury Publishing","source":"Google Books","title":"The Visible Self: Global Perspectives on Dress, Culture and Society","title-short":"The Visible Self","author":[{"family":"Eicher","given":"Joanne B."},{"family":"Evenson","given":"Sandra Lee"}],"issued":{"date-parts":[["2014",8,14]]}}}],"schema":"https://github.com/citation-style-language/schema/raw/master/csl-citation.json"} </w:instrText>
      </w:r>
      <w:r w:rsidR="006A3273" w:rsidRPr="00293785">
        <w:rPr>
          <w:rFonts w:ascii="Aptos" w:hAnsi="Aptos"/>
          <w:lang w:val="en-US"/>
        </w:rPr>
        <w:fldChar w:fldCharType="separate"/>
      </w:r>
      <w:r w:rsidR="006A3273" w:rsidRPr="00293785">
        <w:rPr>
          <w:rFonts w:ascii="Aptos" w:hAnsi="Aptos"/>
          <w:noProof/>
          <w:lang w:val="en-US"/>
        </w:rPr>
        <w:t>(Eicher and Evenson, 2014)</w:t>
      </w:r>
      <w:r w:rsidR="006A3273" w:rsidRPr="00293785">
        <w:rPr>
          <w:rFonts w:ascii="Aptos" w:hAnsi="Aptos"/>
          <w:lang w:val="en-US"/>
        </w:rPr>
        <w:fldChar w:fldCharType="end"/>
      </w:r>
      <w:r w:rsidRPr="000C113B">
        <w:t xml:space="preserve">. Through the act of wearing, </w:t>
      </w:r>
      <w:r w:rsidR="006A7576" w:rsidRPr="000C113B">
        <w:t>jewellery</w:t>
      </w:r>
      <w:r w:rsidRPr="000C113B">
        <w:t xml:space="preserve"> connects an individual's body with group symbols, achieving embodied transmission of cultural significance </w:t>
      </w:r>
      <w:r w:rsidR="00D471C7">
        <w:rPr>
          <w:rFonts w:ascii="Aptos" w:hAnsi="Aptos"/>
          <w:kern w:val="0"/>
          <w:lang w:val="en-US"/>
          <w14:ligatures w14:val="none"/>
        </w:rPr>
        <w:fldChar w:fldCharType="begin"/>
      </w:r>
      <w:r w:rsidR="00D471C7">
        <w:rPr>
          <w:rFonts w:ascii="Aptos" w:hAnsi="Aptos"/>
          <w:kern w:val="0"/>
          <w:lang w:val="en-US"/>
          <w14:ligatures w14:val="none"/>
        </w:rPr>
        <w:instrText xml:space="preserve"> ADDIN ZOTERO_ITEM CSL_CITATION {"citationID":"kvWGbrYv","properties":{"formattedCitation":"(Turkle, 2008)","plainCitation":"(Turkle, 2008)","noteIndex":0},"citationItems":[{"id":1912,"uris":["http://zotero.org/users/16578089/items/L5LBJP2M"],"itemData":{"id":1912,"type":"book","abstract":"Evocative Objects, Things We Think With Cambridge.MA: MIT Press, 2007 ISBN 0-262-20168-2 Hard bound, 385 pages, black and white, illustrated, $24.95 Designers are increasingly interested in how emotion plays through objects to bring enhanced meaning and pleasure to people.","language":"English","license":"Copyright Visible Language 2008","note":"ISSN: 00222224\nissue: 2\npage: 196\ncontainer-title: Visible Language","number-of-pages":"1","publisher":"University of Cincinnati on behalf of Visible Language","source":"ProQuest","title":"Evocative Objects, Things We Think With","URL":"https://www.proquest.com/docview/232913580/abstract/F8681F4A023F433APQ/1","volume":"42","author":[{"family":"Turkle","given":"Sherry"}],"accessed":{"date-parts":[["2025",4,18]]},"issued":{"date-parts":[["2008"]]}}}],"schema":"https://github.com/citation-style-language/schema/raw/master/csl-citation.json"} </w:instrText>
      </w:r>
      <w:r w:rsidR="00D471C7">
        <w:rPr>
          <w:rFonts w:ascii="Aptos" w:hAnsi="Aptos"/>
          <w:kern w:val="0"/>
          <w:lang w:val="en-US"/>
          <w14:ligatures w14:val="none"/>
        </w:rPr>
        <w:fldChar w:fldCharType="separate"/>
      </w:r>
      <w:r w:rsidR="00D471C7">
        <w:rPr>
          <w:rFonts w:ascii="Aptos" w:hAnsi="Aptos"/>
          <w:noProof/>
          <w:kern w:val="0"/>
          <w:lang w:val="en-US"/>
          <w14:ligatures w14:val="none"/>
        </w:rPr>
        <w:t>(Turkle, 2008)</w:t>
      </w:r>
      <w:r w:rsidR="00D471C7">
        <w:rPr>
          <w:rFonts w:ascii="Aptos" w:hAnsi="Aptos"/>
          <w:kern w:val="0"/>
          <w:lang w:val="en-US"/>
          <w14:ligatures w14:val="none"/>
        </w:rPr>
        <w:fldChar w:fldCharType="end"/>
      </w:r>
      <w:r w:rsidR="00D471C7">
        <w:rPr>
          <w:rFonts w:ascii="Aptos" w:hAnsi="Aptos" w:hint="eastAsia"/>
          <w:kern w:val="0"/>
          <w:lang w:val="en-US"/>
          <w14:ligatures w14:val="none"/>
        </w:rPr>
        <w:t xml:space="preserve">. </w:t>
      </w:r>
      <w:r w:rsidRPr="000C113B">
        <w:t xml:space="preserve">Furthermore, people often impart specific symbolic meanings to objects to embody cultural values, and these objects become part of an individual's </w:t>
      </w:r>
      <w:r w:rsidR="006D63D8">
        <w:t>‘</w:t>
      </w:r>
      <w:r w:rsidRPr="000C113B">
        <w:t>extended self</w:t>
      </w:r>
      <w:r w:rsidR="006D63D8">
        <w:t>’</w:t>
      </w:r>
      <w:r w:rsidRPr="000C113B">
        <w:t xml:space="preserve"> </w:t>
      </w:r>
      <w:r w:rsidR="006D63D8">
        <w:rPr>
          <w:rFonts w:ascii="Aptos" w:hAnsi="Aptos"/>
          <w:kern w:val="0"/>
          <w:lang w:val="en-US"/>
          <w14:ligatures w14:val="none"/>
        </w:rPr>
        <w:fldChar w:fldCharType="begin"/>
      </w:r>
      <w:r w:rsidR="002454AA">
        <w:rPr>
          <w:rFonts w:ascii="Aptos" w:hAnsi="Aptos"/>
          <w:kern w:val="0"/>
          <w:lang w:val="en-US"/>
          <w14:ligatures w14:val="none"/>
        </w:rPr>
        <w:instrText xml:space="preserve"> ADDIN ZOTERO_ITEM CSL_CITATION {"citationID":"XClPgZQS","properties":{"formattedCitation":"(Turkle, 2008)","plainCitation":"(Turkle, 2008)","noteIndex":0},"citationItems":[{"id":1912,"uris":["http://zotero.org/users/16578089/items/L5LBJP2M"],"itemData":{"id":1912,"type":"book","abstract":"Evocative Objects, Things We Think With Cambridge.MA: MIT Press, 2007 ISBN 0-262-20168-2 Hard bound, 385 pages, black and white, illustrated, $24.95 Designers are increasingly interested in how emotion plays through objects to bring enhanced meaning and pleasure to people.","language":"English","license":"Copyright Visible Language 2008","note":"ISSN: 00222224\nissue: 2\npage: 196\ncontainer-title: Visible Language","number-of-pages":"1","publisher":"University of Cincinnati on behalf of Visible Language","source":"ProQuest","title":"Evocative Objects, Things We Think With","URL":"https://www.proquest.com/docview/232913580/abstract/F8681F4A023F433APQ/1","volume":"42","author":[{"family":"Turkle","given":"Sherry"}],"accessed":{"date-parts":[["2025",4,18]]},"issued":{"date-parts":[["2008"]]}}}],"schema":"https://github.com/citation-style-language/schema/raw/master/csl-citation.json"} </w:instrText>
      </w:r>
      <w:r w:rsidR="006D63D8">
        <w:rPr>
          <w:rFonts w:ascii="Aptos" w:hAnsi="Aptos"/>
          <w:kern w:val="0"/>
          <w:lang w:val="en-US"/>
          <w14:ligatures w14:val="none"/>
        </w:rPr>
        <w:fldChar w:fldCharType="separate"/>
      </w:r>
      <w:r w:rsidR="006D63D8">
        <w:rPr>
          <w:rFonts w:ascii="Aptos" w:hAnsi="Aptos"/>
          <w:noProof/>
          <w:kern w:val="0"/>
          <w:lang w:val="en-US"/>
          <w14:ligatures w14:val="none"/>
        </w:rPr>
        <w:t>(Turkle, 2008)</w:t>
      </w:r>
      <w:r w:rsidR="006D63D8">
        <w:rPr>
          <w:rFonts w:ascii="Aptos" w:hAnsi="Aptos"/>
          <w:kern w:val="0"/>
          <w:lang w:val="en-US"/>
          <w14:ligatures w14:val="none"/>
        </w:rPr>
        <w:fldChar w:fldCharType="end"/>
      </w:r>
      <w:r w:rsidRPr="000C113B">
        <w:t>.</w:t>
      </w:r>
    </w:p>
    <w:p w14:paraId="074BED08" w14:textId="46A09DED" w:rsidR="003A104C" w:rsidRDefault="00CF442F" w:rsidP="004E4EBC">
      <w:r w:rsidRPr="00CF442F">
        <w:t xml:space="preserve">From a semiotic perspective, the translation of cultural genes is inseparable from the decoding and encoding of symbols. The process of cultural gene translation can also be regarded as the process of symbol recreation and dynamic meaning generation. Peirce's semiotic theory posits that a symbol consists of three elements: the representamen, the object, and the interpretant. Symbols interact with reality and the </w:t>
      </w:r>
      <w:r w:rsidRPr="00CF442F">
        <w:lastRenderedPageBreak/>
        <w:t>mind to generate meaning</w:t>
      </w:r>
      <w:r w:rsidR="002454AA">
        <w:fldChar w:fldCharType="begin"/>
      </w:r>
      <w:r w:rsidR="002454AA">
        <w:instrText xml:space="preserve"> ADDIN ZOTERO_ITEM CSL_CITATION {"citationID":"EZ8tDtjS","properties":{"formattedCitation":"(Studies, 2021)","plainCitation":"(Studies, 2021)","noteIndex":0},"citationItems":[{"id":1959,"uris":["http://zotero.org/users/16578089/items/EKPBDIMA"],"itemData":{"id":1959,"type":"webpage","abstract":"A beginner's guide to Charles Peirce's triadic model for analysing signs, including definitions of representamen, mental concept and object.","container-title":"Media Studies","language":"en-GB","title":"Charles Peirce's Triadic Model of Communication | Semiotic Theory","URL":"https://media-studies.com/triadic-model-semiotics/","author":[{"family":"Studies","given":"Media"}],"accessed":{"date-parts":[["2025",4,20]]},"issued":{"date-parts":[["2021",7,30]]}}}],"schema":"https://github.com/citation-style-language/schema/raw/master/csl-citation.json"} </w:instrText>
      </w:r>
      <w:r w:rsidR="002454AA">
        <w:fldChar w:fldCharType="separate"/>
      </w:r>
      <w:r w:rsidR="002454AA">
        <w:rPr>
          <w:noProof/>
        </w:rPr>
        <w:t>(Studies, 2021)</w:t>
      </w:r>
      <w:r w:rsidR="002454AA">
        <w:fldChar w:fldCharType="end"/>
      </w:r>
      <w:r>
        <w:rPr>
          <w:rFonts w:hint="eastAsia"/>
        </w:rPr>
        <w:t xml:space="preserve">. </w:t>
      </w:r>
      <w:r w:rsidRPr="00CF442F">
        <w:t xml:space="preserve">Abstract cultural connotations are endowed with perceptible forms through the symbolic process and are subsequently interpreted and experienced in new contexts. Cultural genes emerge as new symbols, but their core meanings are still disseminated and sustained in the form of symbol interaction. Furthermore, the </w:t>
      </w:r>
      <w:r w:rsidR="002454AA">
        <w:t>‘</w:t>
      </w:r>
      <w:r w:rsidRPr="00CF442F">
        <w:t>extended self</w:t>
      </w:r>
      <w:r w:rsidR="002454AA">
        <w:t>’</w:t>
      </w:r>
      <w:r w:rsidRPr="00CF442F">
        <w:t xml:space="preserve"> theory also reveals that items with cultural significance are integrated into an individual's identity through possession and use, becoming an extension of self-identity </w:t>
      </w:r>
      <w:r w:rsidR="002454AA" w:rsidRPr="00293785">
        <w:rPr>
          <w:rFonts w:ascii="Aptos" w:hAnsi="Aptos"/>
          <w:lang w:val="en-US"/>
        </w:rPr>
        <w:fldChar w:fldCharType="begin"/>
      </w:r>
      <w:r w:rsidR="002454AA" w:rsidRPr="00293785">
        <w:rPr>
          <w:rFonts w:ascii="Aptos" w:hAnsi="Aptos"/>
          <w:lang w:val="en-US"/>
        </w:rPr>
        <w:instrText xml:space="preserve"> ADDIN ZOTERO_ITEM CSL_CITATION {"citationID":"8q4MVkP9","properties":{"formattedCitation":"(Belk, 1988)","plainCitation":"(Belk, 1988)","noteIndex":0},"citationItems":[{"id":1869,"uris":["http://zotero.org/users/16578089/items/YQHP6TZD"],"itemData":{"id":1869,"type":"article-journal","abstract":"Our possessions are a major contributor to and reflection of our identities. A variety of evidence is presented supporting this simple and compelling premise. Related streams of research are identified and drawn upon in developing this concept and implications are derived for consumer behavior. Because the construct of extended self involves consumer behavior rather than buyer behavior, it appears to be a much richer construct than previous formulations positing a relationship between self-concept and consumer brand choice.","container-title":"Journal of Consumer Research","DOI":"10.1086/209154","ISSN":"0093-5301","issue":"2","journalAbbreviation":"Journal of Consumer Research","page":"139-168","source":"Silverchair","title":"Possessions and the Extended Self","volume":"15","author":[{"family":"Belk","given":"Russell W."}],"issued":{"date-parts":[["1988",9,1]]}}}],"schema":"https://github.com/citation-style-language/schema/raw/master/csl-citation.json"} </w:instrText>
      </w:r>
      <w:r w:rsidR="002454AA" w:rsidRPr="00293785">
        <w:rPr>
          <w:rFonts w:ascii="Aptos" w:hAnsi="Aptos"/>
          <w:lang w:val="en-US"/>
        </w:rPr>
        <w:fldChar w:fldCharType="separate"/>
      </w:r>
      <w:r w:rsidR="002454AA" w:rsidRPr="00293785">
        <w:rPr>
          <w:rFonts w:ascii="Aptos" w:hAnsi="Aptos"/>
          <w:noProof/>
          <w:lang w:val="en-US"/>
        </w:rPr>
        <w:t>(Belk, 1988)</w:t>
      </w:r>
      <w:r w:rsidR="002454AA" w:rsidRPr="00293785">
        <w:rPr>
          <w:rFonts w:ascii="Aptos" w:hAnsi="Aptos"/>
          <w:lang w:val="en-US"/>
        </w:rPr>
        <w:fldChar w:fldCharType="end"/>
      </w:r>
      <w:r w:rsidRPr="00CF442F">
        <w:t>. Hence, after being embedded in personal life via symbolic carriers, cultural genes can be awakened in people's social lives.</w:t>
      </w:r>
    </w:p>
    <w:p w14:paraId="758916FE" w14:textId="77777777" w:rsidR="005F5B17" w:rsidRPr="00293785" w:rsidRDefault="005F5B17" w:rsidP="005F5B17">
      <w:pPr>
        <w:rPr>
          <w:rFonts w:ascii="Aptos" w:hAnsi="Aptos"/>
          <w:b/>
          <w:bCs/>
          <w:lang w:val="en-US"/>
        </w:rPr>
      </w:pPr>
      <w:r w:rsidRPr="00293785">
        <w:rPr>
          <w:rFonts w:ascii="Aptos" w:hAnsi="Aptos"/>
          <w:b/>
          <w:bCs/>
          <w:lang w:val="en-US"/>
        </w:rPr>
        <w:t>1.2 Research Questions</w:t>
      </w:r>
    </w:p>
    <w:p w14:paraId="2E4F7E76" w14:textId="277E68EA" w:rsidR="00625202" w:rsidRDefault="00625202" w:rsidP="00625202">
      <w:r>
        <w:t xml:space="preserve">This study addresses the theoretical and practical challenges inherent in the translation of cultural genes from Jiangnan gardens. Building upon the aforementioned research context and grounded in key theoretical foundations, two transformative research questions are proposed. By critically synthesizing the theory of cultural genes, material culture studies, and semiotics, this study identifies gaps in extant research and constructs a three-layer framework: </w:t>
      </w:r>
      <w:r w:rsidR="006145D9">
        <w:t>‘</w:t>
      </w:r>
      <w:r>
        <w:t>cultural genes - design symbol encoding - user experience</w:t>
      </w:r>
      <w:r w:rsidR="006145D9">
        <w:t>’</w:t>
      </w:r>
      <w:r>
        <w:t xml:space="preserve">. A methodological foundation is established to provide a systematic approach for translating the cultural genes of Jiangnan gardens into wearable </w:t>
      </w:r>
      <w:r w:rsidR="00AF18CB">
        <w:t>jewellery</w:t>
      </w:r>
      <w:r>
        <w:t>.</w:t>
      </w:r>
    </w:p>
    <w:p w14:paraId="0C6F00F7" w14:textId="6ACAB146" w:rsidR="00625202" w:rsidRDefault="00625202" w:rsidP="00625202">
      <w:r>
        <w:t xml:space="preserve">RQ1: How can the theoretical framework of cultural gene translation facilitate the transformation of </w:t>
      </w:r>
      <w:proofErr w:type="gramStart"/>
      <w:r>
        <w:t>Jiangnan garden</w:t>
      </w:r>
      <w:proofErr w:type="gramEnd"/>
      <w:r>
        <w:t xml:space="preserve"> elements into wearable </w:t>
      </w:r>
      <w:r w:rsidR="00AF18CB">
        <w:t>jewellery</w:t>
      </w:r>
      <w:r>
        <w:t>?</w:t>
      </w:r>
    </w:p>
    <w:p w14:paraId="2C56AF69" w14:textId="186588BD" w:rsidR="005F5B17" w:rsidRDefault="00625202" w:rsidP="00625202">
      <w:r>
        <w:t xml:space="preserve">RQ2: Using the methodology of design ethnography, how can the translation mechanisms and experiential generation of </w:t>
      </w:r>
      <w:proofErr w:type="gramStart"/>
      <w:r>
        <w:t>Jiangnan garden</w:t>
      </w:r>
      <w:proofErr w:type="gramEnd"/>
      <w:r>
        <w:t xml:space="preserve"> cultural symbols in wearable </w:t>
      </w:r>
      <w:r w:rsidR="00AF18CB">
        <w:t>jewellery</w:t>
      </w:r>
      <w:r>
        <w:t xml:space="preserve"> be systematically captured and interpreted?</w:t>
      </w:r>
    </w:p>
    <w:p w14:paraId="696E76D3" w14:textId="35E6B9B0" w:rsidR="00F93025" w:rsidRPr="00F93025" w:rsidRDefault="00E56C90" w:rsidP="00F93025">
      <w:r>
        <w:br w:type="page"/>
      </w:r>
      <w:bookmarkStart w:id="1" w:name="OLE_LINK94"/>
      <w:r w:rsidR="00F93025" w:rsidRPr="00F93025">
        <w:rPr>
          <w:rFonts w:hint="eastAsia"/>
          <w:b/>
          <w:bCs/>
          <w:sz w:val="32"/>
          <w:szCs w:val="32"/>
        </w:rPr>
        <w:lastRenderedPageBreak/>
        <w:t>2.</w:t>
      </w:r>
      <w:r w:rsidR="00F93025" w:rsidRPr="00F93025">
        <w:rPr>
          <w:rFonts w:ascii="Aptos" w:hAnsi="Aptos"/>
          <w:b/>
          <w:bCs/>
          <w:sz w:val="32"/>
          <w:szCs w:val="32"/>
          <w:lang w:val="en-US"/>
        </w:rPr>
        <w:t>Literature Review</w:t>
      </w:r>
    </w:p>
    <w:p w14:paraId="64C543ED" w14:textId="06ED7E8D" w:rsidR="005F5B17" w:rsidRDefault="00C41191" w:rsidP="004E4EBC">
      <w:r w:rsidRPr="00C41191">
        <w:t xml:space="preserve">This study critically integrates cultural gene theory, material culture research, and semiotics to deconstruct the theoretical gaps in the translation of cultural symbols of Jiangnan gardens into wearable </w:t>
      </w:r>
      <w:r w:rsidR="00017D1F" w:rsidRPr="00C41191">
        <w:t>jewellery</w:t>
      </w:r>
      <w:r w:rsidRPr="00C41191">
        <w:t>, revealing the logical contradictions and path obstacles in cross-media communication, and providing a directional theoretical coordinate for subsequent methodological proposals.</w:t>
      </w:r>
    </w:p>
    <w:p w14:paraId="144C5780" w14:textId="77777777" w:rsidR="00D17E5A" w:rsidRPr="00293785" w:rsidRDefault="00D17E5A" w:rsidP="00D17E5A">
      <w:pPr>
        <w:rPr>
          <w:rFonts w:ascii="Aptos" w:hAnsi="Aptos"/>
          <w:b/>
          <w:bCs/>
        </w:rPr>
      </w:pPr>
      <w:r w:rsidRPr="00293785">
        <w:rPr>
          <w:rFonts w:ascii="Aptos" w:hAnsi="Aptos"/>
          <w:b/>
          <w:bCs/>
        </w:rPr>
        <w:t>2.1 Basic Concepts and Definition</w:t>
      </w:r>
    </w:p>
    <w:p w14:paraId="41B5B5BD" w14:textId="5B111841" w:rsidR="00017D1F" w:rsidRDefault="00661272" w:rsidP="004E4EBC">
      <w:r w:rsidRPr="00661272">
        <w:t xml:space="preserve">Typically, </w:t>
      </w:r>
      <w:r>
        <w:t>‘</w:t>
      </w:r>
      <w:r w:rsidRPr="00661272">
        <w:t>cultural genes</w:t>
      </w:r>
      <w:r>
        <w:t>’</w:t>
      </w:r>
      <w:r w:rsidRPr="00661272">
        <w:t xml:space="preserve"> denote the smallest units of cultural information, much like Dawkins' earliest definition of the </w:t>
      </w:r>
      <w:r w:rsidR="006826D7">
        <w:t>‘</w:t>
      </w:r>
      <w:r w:rsidRPr="00661272">
        <w:t>meme</w:t>
      </w:r>
      <w:r w:rsidR="006826D7">
        <w:t>’</w:t>
      </w:r>
      <w:r w:rsidRPr="00661272">
        <w:t xml:space="preserve"> concept</w:t>
      </w:r>
      <w:r w:rsidR="00106550">
        <w:rPr>
          <w:rFonts w:hint="eastAsia"/>
        </w:rPr>
        <w:t xml:space="preserve"> </w:t>
      </w:r>
      <w:r w:rsidR="00106550">
        <w:rPr>
          <w:rFonts w:ascii="Aptos" w:hAnsi="Aptos"/>
          <w:kern w:val="0"/>
          <w14:ligatures w14:val="none"/>
        </w:rPr>
        <w:fldChar w:fldCharType="begin"/>
      </w:r>
      <w:r w:rsidR="00106550">
        <w:rPr>
          <w:rFonts w:ascii="Aptos" w:hAnsi="Aptos"/>
          <w:kern w:val="0"/>
          <w14:ligatures w14:val="none"/>
        </w:rPr>
        <w:instrText xml:space="preserve"> ADDIN ZOTERO_ITEM CSL_CITATION {"citationID":"SGRdAFPd","properties":{"formattedCitation":"(Lewens and Buskell, 2023)","plainCitation":"(Lewens and Buskell, 2023)","noteIndex":0},"citationItems":[{"id":1957,"uris":["http://zotero.org/users/16578089/items/WJ7K5239"],"itemData":{"id":1957,"type":"chapter","abstract":"Researchers in the field of cultural evolutionary theory pursue aneclectic program of investigation that lies at the intersection ofcognitive science, anthropology, and evolutionary biology.“Cultural Evolutionary Theory”, as we understand it here,is most thoroughly exemplified in the ongoing research traditioninitiated in the 1970s and early 1980s by Cavalli-Sforza &amp; Feldman(1981) on the one hand, and Boyd &amp; Richerson (1985, 2005;Richerson &amp; Boyd 2005) on the other.","container-title":"The Stanford Encyclopedia of Philosophy","edition":"Summer 2023","publisher":"Metaphysics Research Lab, Stanford University","source":"Stanford Encyclopedia of Philosophy","title":"Cultural Evolution","URL":"https://plato.stanford.edu/archives/sum2023/entries/evolution-cultural/","author":[{"family":"Lewens","given":"Tim"},{"family":"Buskell","given":"Andrew"}],"editor":[{"family":"Zalta","given":"Edward N."},{"family":"Nodelman","given":"Uri"}],"accessed":{"date-parts":[["2025",4,20]]},"issued":{"date-parts":[["2023"]]}}}],"schema":"https://github.com/citation-style-language/schema/raw/master/csl-citation.json"} </w:instrText>
      </w:r>
      <w:r w:rsidR="00106550">
        <w:rPr>
          <w:rFonts w:ascii="Aptos" w:hAnsi="Aptos"/>
          <w:kern w:val="0"/>
          <w14:ligatures w14:val="none"/>
        </w:rPr>
        <w:fldChar w:fldCharType="separate"/>
      </w:r>
      <w:r w:rsidR="00106550">
        <w:rPr>
          <w:rFonts w:ascii="Aptos" w:hAnsi="Aptos"/>
          <w:noProof/>
          <w:kern w:val="0"/>
          <w14:ligatures w14:val="none"/>
        </w:rPr>
        <w:t>(Lewens and Buskell, 2023)</w:t>
      </w:r>
      <w:r w:rsidR="00106550">
        <w:rPr>
          <w:rFonts w:ascii="Aptos" w:hAnsi="Aptos"/>
          <w:kern w:val="0"/>
          <w14:ligatures w14:val="none"/>
        </w:rPr>
        <w:fldChar w:fldCharType="end"/>
      </w:r>
      <w:r w:rsidRPr="00661272">
        <w:t xml:space="preserve">. Subsequently, </w:t>
      </w:r>
      <w:r w:rsidR="00482A42">
        <w:rPr>
          <w:rFonts w:hint="eastAsia"/>
        </w:rPr>
        <w:t>s</w:t>
      </w:r>
      <w:r w:rsidR="00482A42" w:rsidRPr="00482A42">
        <w:t xml:space="preserve">cholars apply this concept to various disciplines to explain cultural transmission, especially in traditional landscapes and architecture </w:t>
      </w:r>
      <w:r w:rsidR="0025799D" w:rsidRPr="00293785">
        <w:rPr>
          <w:rFonts w:ascii="Aptos" w:hAnsi="Aptos"/>
        </w:rPr>
        <w:fldChar w:fldCharType="begin"/>
      </w:r>
      <w:r w:rsidR="0025799D" w:rsidRPr="00293785">
        <w:rPr>
          <w:rFonts w:ascii="Aptos" w:hAnsi="Aptos"/>
        </w:rPr>
        <w:instrText xml:space="preserve"> ADDIN ZOTERO_ITEM CSL_CITATION {"citationID":"4lVXodov","properties":{"formattedCitation":"(Wu {\\i{}et al.}, 2025)","plainCitation":"(Wu et al., 2025)","noteIndex":0},"citationItems":[{"id":1856,"uris":["http://zotero.org/users/16578089/items/EGZ6GPGF"],"itemData":{"id":1856,"type":"article-journal","abstract":"Taking the representative bridge facilities of the Hangzhou section of the Grand Canal as an example, uses the reverse transcription extraction method to refine cultural elements information, and classifies and analyzes to obtain the cultural gene identification framework of the Grand Canal bridge facilities. Based on this, various types of cultural genes are encoded according to the principle of cultural gene classification, in order to clarify the four major types of cultural genes: main genes, accessory genes, hybrid genes, and variant genes, forming a cultural gene encoding sequence map and analyzing their basic characteristics. The results show: 1) a cultural gene identification framework for the cultural genes of the Grand Canal bridge facilities composed of 6 gene categories, 8 identification factors, and 17 identification indicators has been established. 2) Accessory genes account for the largest proportion in the four major categories of cultural genes, followed by main genes, and the proportions of mixed genes and variant genes are the same. 3) The genetic features, functional positioning, and value inheritance paths contained in each type of cultural gene are different. The research results provide new ideas for the scientific protection and inheritance of the cultural heritage of the Grand Canal.","container-title":"Journal of Asian Architecture and Building Engineering","DOI":"10.1080/13467581.2025.2454614","ISSN":"1346-7581","issue":"0","language":"en-GB","note":"publisher: Taylor &amp; Francis\n_eprint: https://doi.org/10.1080/13467581.2025.2454614","page":"1-19","source":"Taylor and Francis+NEJM","title":"Construction and characteristic analysis of the cultural genes map of Grand Canal bridge facilities: a case study in Hangzhou section, China","title-short":"Construction and characteristic analysis of the cultural genes map of Grand Canal bridge facilities","volume":"0","author":[{"family":"Wu","given":"Wenting"},{"family":"","given":"Jin ,Shuming"},{"family":"","given":"Zhang ,Shanfeng"},{"family":"","given":"Mei ,Yi"},{"family":"Zhou","given":"Kai","non-dropping-particle":"and"}],"issued":{"date-parts":[["2025"]]}}}],"schema":"https://github.com/citation-style-language/schema/raw/master/csl-citation.json"} </w:instrText>
      </w:r>
      <w:r w:rsidR="0025799D" w:rsidRPr="00293785">
        <w:rPr>
          <w:rFonts w:ascii="Aptos" w:hAnsi="Aptos"/>
        </w:rPr>
        <w:fldChar w:fldCharType="separate"/>
      </w:r>
      <w:r w:rsidR="0025799D" w:rsidRPr="00293785">
        <w:rPr>
          <w:rFonts w:ascii="Aptos" w:hAnsi="Aptos" w:cs="Times New Roman"/>
          <w:kern w:val="0"/>
        </w:rPr>
        <w:t xml:space="preserve">(Wu </w:t>
      </w:r>
      <w:r w:rsidR="0025799D" w:rsidRPr="00293785">
        <w:rPr>
          <w:rFonts w:ascii="Aptos" w:hAnsi="Aptos" w:cs="Times New Roman"/>
          <w:i/>
          <w:iCs/>
          <w:kern w:val="0"/>
        </w:rPr>
        <w:t>et al.</w:t>
      </w:r>
      <w:r w:rsidR="0025799D" w:rsidRPr="00293785">
        <w:rPr>
          <w:rFonts w:ascii="Aptos" w:hAnsi="Aptos" w:cs="Times New Roman"/>
          <w:kern w:val="0"/>
        </w:rPr>
        <w:t>, 2025)</w:t>
      </w:r>
      <w:r w:rsidR="0025799D" w:rsidRPr="00293785">
        <w:rPr>
          <w:rFonts w:ascii="Aptos" w:hAnsi="Aptos"/>
        </w:rPr>
        <w:fldChar w:fldCharType="end"/>
      </w:r>
      <w:r w:rsidRPr="00661272">
        <w:t xml:space="preserve">. Consequently, cultural genes can also be regarded as core factors for intergenerational transmission. Chinese scholars often employ this concept to study traditional settlements, landscapes, traditional architecture, and other traditional cultural elements. Scholar Peilin Liu first proposed the concept of </w:t>
      </w:r>
      <w:r w:rsidR="00644ACB">
        <w:t>‘</w:t>
      </w:r>
      <w:r w:rsidRPr="00661272">
        <w:t>traditional settlement cultural landscape genes</w:t>
      </w:r>
      <w:r w:rsidR="00644ACB">
        <w:t>’</w:t>
      </w:r>
      <w:r w:rsidR="00BA79E3">
        <w:rPr>
          <w:rFonts w:hint="eastAsia"/>
        </w:rPr>
        <w:t xml:space="preserve"> </w:t>
      </w:r>
      <w:r w:rsidR="000F5A29" w:rsidRPr="00293785">
        <w:rPr>
          <w:rFonts w:ascii="Aptos" w:hAnsi="Aptos"/>
        </w:rPr>
        <w:fldChar w:fldCharType="begin"/>
      </w:r>
      <w:r w:rsidR="000F5A29" w:rsidRPr="00293785">
        <w:rPr>
          <w:rFonts w:ascii="Aptos" w:hAnsi="Aptos"/>
        </w:rPr>
        <w:instrText xml:space="preserve"> ADDIN ZOTERO_ITEM CSL_CITATION {"citationID":"dMCjIsEI","properties":{"formattedCitation":"(Chaojun and Shanshan, 2017)","plainCitation":"(Chaojun and Shanshan, 2017)","noteIndex":0},"citationItems":[{"id":1995,"uris":["http://zotero.org/users/16578089/items/QS6YRIQN"],"itemData":{"id":1995,"type":"article-journal","abstract":"Keywords Landscape gene information chain, Cultural gene, Traditional settlement, Tourism development DOI 10.16785/j.issn 1943-989x.2017.2.012 The 18th National Congress of CPC put forward the historical mission of building the beautiful China, and that the key to the construction of the beautiful China is the construction of beautiful countryside, the key to the construction of the beautiful countryside is to retain green mountains and clean water, and the memories of homeland. Geologists consider it as a kind of ground scene, or a comprehensive natural geographical region; artists regard it as the object for expression or representation (equal to scenery); architects take it as the background of buddings; ecologists define it as the ecosystem, or the system of ecosystem, including patch, matrix and corridor; tourism scientists regard it as the general term of resources available for traveling and sightseeing. In view of the unscientific tourism planning paradigm and shortage of planning theories etc.151, Professor Iiu Peilin put forward the theory of landscape information chain on the basis of settlement morphology (Fig.l), and applied this theory in the protection and development of ancient towns and villages in China, tourism planning and development, protection of cultural heritage, zoning of traditional settlement landscapes, protection and development of historical and cultural landscapes etc.®. Elements of landscape information are the key factors that attract visitors to a tourist destination, in this sense, they are historic and cultural memories of a traditional settlement landscape area, and potential \"individualized\" characteristics of this area, showing the inherent uniqueness of the traditional...","container-title":"Journal of Landscape Research","DOI":"10.16785/j.issn1943-989x.2017.2.012","ISSN":"1943989X","issue":"2","language":"English","license":"Copyright Wu Chu (USA-China) Science and Culture Media Corporation Apr 2017","note":"number-of-pages: 5\npublisher: Wu Chu (USA-China) Science and Culture Media Corporation","page":"42-46","source":"ProQuest","title":"Application of Landscape Gene Information Chain in Tourism Development Of Traditional Human Settlements: A Case Study of Daqitou Village in Sanshui District, Foshan City","title-short":"Application of Landscape Gene Information Chain in Tourism Development Of Traditional Human Settlements","volume":"9","author":[{"family":"Chaojun","given":"Li"},{"family":"Shanshan","given":"Li"}],"issued":{"date-parts":[["2017",4]]}}}],"schema":"https://github.com/citation-style-language/schema/raw/master/csl-citation.json"} </w:instrText>
      </w:r>
      <w:r w:rsidR="000F5A29" w:rsidRPr="00293785">
        <w:rPr>
          <w:rFonts w:ascii="Aptos" w:hAnsi="Aptos"/>
        </w:rPr>
        <w:fldChar w:fldCharType="separate"/>
      </w:r>
      <w:r w:rsidR="000F5A29" w:rsidRPr="00293785">
        <w:rPr>
          <w:rFonts w:ascii="Aptos" w:hAnsi="Aptos"/>
          <w:noProof/>
        </w:rPr>
        <w:t>(Chaojun and Shanshan, 2017)</w:t>
      </w:r>
      <w:r w:rsidR="000F5A29" w:rsidRPr="00293785">
        <w:rPr>
          <w:rFonts w:ascii="Aptos" w:hAnsi="Aptos"/>
        </w:rPr>
        <w:fldChar w:fldCharType="end"/>
      </w:r>
      <w:r w:rsidRPr="00661272">
        <w:t xml:space="preserve">. The proposition of this concept provides a novel cultural perspective for differentiating traditional settlements and, by drawing upon biological methods, forms a </w:t>
      </w:r>
      <w:r w:rsidR="00644ACB">
        <w:t>‘</w:t>
      </w:r>
      <w:r w:rsidRPr="00661272">
        <w:t>cultural landscape genome</w:t>
      </w:r>
      <w:r w:rsidR="00644ACB">
        <w:t>’</w:t>
      </w:r>
      <w:r w:rsidRPr="00661272">
        <w:t xml:space="preserve"> map </w:t>
      </w:r>
      <w:r w:rsidR="00131A1D" w:rsidRPr="00293785">
        <w:rPr>
          <w:rFonts w:ascii="Aptos" w:hAnsi="Aptos"/>
        </w:rPr>
        <w:fldChar w:fldCharType="begin"/>
      </w:r>
      <w:r w:rsidR="00131A1D" w:rsidRPr="00293785">
        <w:rPr>
          <w:rFonts w:ascii="Aptos" w:hAnsi="Aptos"/>
        </w:rPr>
        <w:instrText xml:space="preserve"> ADDIN ZOTERO_ITEM CSL_CITATION {"citationID":"R2PeGd0O","properties":{"formattedCitation":"(Hu {\\i{}et al.}, 2021)","plainCitation":"(Hu et al., 2021)","noteIndex":0},"citationItems":[{"id":1937,"uris":["http://zotero.org/users/16578089/items/CRFJ2B9I"],"itemData":{"id":1937,"type":"article-journal","abstract":"China has a deep traditional culture and a long history, and is rich in traditional settlements (designated as “Famous Historic-Cultural Villages/Towns”, “Chinese Traditional Villages” by Chinese Government). To help people develop these traditional settlements to achieve the great goal of Chinese National Rejuvenation, Chinese scholar put forward the Cultural Landscape Genes of Traditional Settlements (CLGTS) in 2003. Since then, CLGTS theory has been employed to solve the issues of Chinese traditional settlements, such as the identification and regionalization of cultural landscape genes in traditional settlements, and the understanding of architectural features. Although CLGTS theory has made great strides in many application fields, there is still a lack of scientific findings in exploring the symbol mechanism from a perspective of semiotics. To explore this, we firstly examined the core features of CLGTS through a dialectical perspective. We analyzed two features of CLGTS in depth. First, CLGTS is the dialectical combination of macro settlement image and micro cultural factors of traditional settlements, material appearance and inherent traditional cultural implications, overall features and local self-renewal mechanisms, qualitative and quantitative methods, superiority of cultural factors and rich cultural connotation. Second, CLGTS is famous for its nonlinearity, self-organization, and self-iteration due to various spatial shapes and complex structures. Based on the above, we first proposed the concept of Symbolization Method of CLGTS (SM-CLGTS). Then, we further explored the key features, classification methods, and corresponding representation methods of CLGTS symbols. Finally, by using Visual C#.net program language, we developed a prototype system of the Traditional Landscape Genetic Symbol Database (TLGSD) to create and centrally manage CLGTS symbols. Test results show that TLGSD can meet the needs of constructing a CLGTS symbol database for a given region. This study is of great significance to explore and contribute to visualizing the CLGTS symbols.","container-title":"Heritage Science","DOI":"10.1186/s40494-021-00589-y","ISSN":"2050-7445","issue":"1","journalAbbreviation":"Herit Sci","language":"en","license":"2021 The Author(s)","note":"publisher: Nature Publishing Group","page":"1-19","source":"www.nature.com","title":"Visualizing the cultural landscape gene of traditional settlements in China: a semiotic perspective","title-short":"Visualizing the cultural landscape gene of traditional settlements in China","volume":"9","author":[{"family":"Hu","given":"Zui"},{"family":"Strobl","given":"Josef"},{"family":"Min","given":"Qingwen"},{"family":"Tan","given":"Min"},{"family":"Chen","given":"Fulong"}],"issued":{"date-parts":[["2021",9,20]]}}}],"schema":"https://github.com/citation-style-language/schema/raw/master/csl-citation.json"} </w:instrText>
      </w:r>
      <w:r w:rsidR="00131A1D" w:rsidRPr="00293785">
        <w:rPr>
          <w:rFonts w:ascii="Aptos" w:hAnsi="Aptos"/>
        </w:rPr>
        <w:fldChar w:fldCharType="separate"/>
      </w:r>
      <w:r w:rsidR="00131A1D" w:rsidRPr="00293785">
        <w:rPr>
          <w:rFonts w:ascii="Aptos" w:hAnsi="Aptos" w:cs="Times New Roman"/>
          <w:kern w:val="0"/>
        </w:rPr>
        <w:t xml:space="preserve">(Hu </w:t>
      </w:r>
      <w:r w:rsidR="00131A1D" w:rsidRPr="00293785">
        <w:rPr>
          <w:rFonts w:ascii="Aptos" w:hAnsi="Aptos" w:cs="Times New Roman"/>
          <w:i/>
          <w:iCs/>
          <w:kern w:val="0"/>
        </w:rPr>
        <w:t>et al.</w:t>
      </w:r>
      <w:r w:rsidR="00131A1D" w:rsidRPr="00293785">
        <w:rPr>
          <w:rFonts w:ascii="Aptos" w:hAnsi="Aptos" w:cs="Times New Roman"/>
          <w:kern w:val="0"/>
        </w:rPr>
        <w:t>, 2021)</w:t>
      </w:r>
      <w:r w:rsidR="00131A1D" w:rsidRPr="00293785">
        <w:rPr>
          <w:rFonts w:ascii="Aptos" w:hAnsi="Aptos"/>
        </w:rPr>
        <w:fldChar w:fldCharType="end"/>
      </w:r>
      <w:r w:rsidR="00A166C4" w:rsidRPr="00293785">
        <w:rPr>
          <w:rFonts w:ascii="Aptos" w:hAnsi="Aptos"/>
        </w:rPr>
        <w:fldChar w:fldCharType="begin"/>
      </w:r>
      <w:r w:rsidR="00A166C4">
        <w:rPr>
          <w:rFonts w:ascii="Aptos" w:hAnsi="Aptos"/>
        </w:rPr>
        <w:instrText xml:space="preserve"> ADDIN ZOTERO_ITEM CSL_CITATION {"citationID":"5KrIqFSo","properties":{"formattedCitation":"(Yang {\\i{}et al.}, 2023)","plainCitation":"(Yang et al., 2023)","noteIndex":0},"citationItems":[{"id":1623,"uris":["http://zotero.org/users/16578089/items/G7GJ56F7"],"itemData":{"id":1623,"type":"article-journal","abstract":"Traditional Chinese settlements are successful examples of harmonious coexistence between man and nature. Traditional Chinese settlement culture (TCSC) is the product of its inhabitants' adaptation to the natural and social environment and has national cultural originality and transmission. Core cultural elements of these being chosen to stay can be considered as memes. This study considers traditional Chinese settlement cultural memes (TCSCM) as a special kind of knowledge, and proposes a meme-based approach to mine, organize, and present traditional Chinese settlement cultural knowledge from a knowledge management perspective. This approach is composed of identifying memes, constructing the memes ontology, and the memes knowledge graph, mainly describing and establishing the memes identification index system, the ontology conceptual framework, and knowledge graph construction rules. In addition, the feasibility of the above work is verified by a case study of Jinggang Ancient town in Hunan province. This study provides new practical ideas for the authentic conservation and industrial construction of TCSC.","container-title":"Heritage Science","DOI":"10.1186/s40494-023-01052-w","issue":"1","language":"English","license":"© The Author(s) 2023. This work is published under http://creativecommons.org/licenses/by/4.0/ (the “License”). Notwithstanding the ProQuest Terms and Conditions, you may use this content in accordance with the terms of the License.","note":"number-of-pages: 206\npublisher: Springer Nature B.V.","page":"206","source":"ProQuest","title":"A meme-based approach for knowledge mining, organization, and presentation of traditional Chinese settlement culture","volume":"11","author":[{"family":"Yang","given":"Simin"},{"family":"Yi","given":"Lina"},{"family":"Guan","given":"Hui"},{"family":"Li","given":"Yong"}],"issued":{"date-parts":[["2023",12]]}}}],"schema":"https://github.com/citation-style-language/schema/raw/master/csl-citation.json"} </w:instrText>
      </w:r>
      <w:r w:rsidR="00A166C4" w:rsidRPr="00293785">
        <w:rPr>
          <w:rFonts w:ascii="Aptos" w:hAnsi="Aptos"/>
        </w:rPr>
        <w:fldChar w:fldCharType="separate"/>
      </w:r>
      <w:r w:rsidR="00A166C4" w:rsidRPr="00293785">
        <w:rPr>
          <w:rFonts w:ascii="Aptos" w:hAnsi="Aptos" w:cs="Times New Roman"/>
          <w:kern w:val="0"/>
        </w:rPr>
        <w:t xml:space="preserve">(Yang </w:t>
      </w:r>
      <w:r w:rsidR="00A166C4" w:rsidRPr="00293785">
        <w:rPr>
          <w:rFonts w:ascii="Aptos" w:hAnsi="Aptos" w:cs="Times New Roman"/>
          <w:i/>
          <w:iCs/>
          <w:kern w:val="0"/>
        </w:rPr>
        <w:t>et al.</w:t>
      </w:r>
      <w:r w:rsidR="00A166C4" w:rsidRPr="00293785">
        <w:rPr>
          <w:rFonts w:ascii="Aptos" w:hAnsi="Aptos" w:cs="Times New Roman"/>
          <w:kern w:val="0"/>
        </w:rPr>
        <w:t>, 2023)</w:t>
      </w:r>
      <w:r w:rsidR="00A166C4" w:rsidRPr="00293785">
        <w:rPr>
          <w:rFonts w:ascii="Aptos" w:hAnsi="Aptos"/>
        </w:rPr>
        <w:fldChar w:fldCharType="end"/>
      </w:r>
      <w:r w:rsidRPr="00661272">
        <w:t xml:space="preserve">, and </w:t>
      </w:r>
      <w:r w:rsidR="00482A42">
        <w:rPr>
          <w:rFonts w:hint="eastAsia"/>
        </w:rPr>
        <w:t xml:space="preserve">it </w:t>
      </w:r>
      <w:r w:rsidRPr="00661272">
        <w:t>is equally applicable in modern architectural discourse</w:t>
      </w:r>
      <w:r w:rsidR="0051679F">
        <w:rPr>
          <w:rFonts w:hint="eastAsia"/>
        </w:rPr>
        <w:t xml:space="preserve"> </w:t>
      </w:r>
      <w:r w:rsidR="0051679F" w:rsidRPr="00293785">
        <w:rPr>
          <w:rFonts w:ascii="Aptos" w:hAnsi="Aptos"/>
        </w:rPr>
        <w:fldChar w:fldCharType="begin"/>
      </w:r>
      <w:r w:rsidR="0051679F" w:rsidRPr="00293785">
        <w:rPr>
          <w:rFonts w:ascii="Aptos" w:hAnsi="Aptos"/>
        </w:rPr>
        <w:instrText xml:space="preserve"> ADDIN ZOTERO_ITEM CSL_CITATION {"citationID":"zcYeunzm","properties":{"formattedCitation":"(Yang and and Seo, 2022)","plainCitation":"(Yang and and Seo, 2022)","noteIndex":0},"citationItems":[{"id":1773,"uris":["http://zotero.org/users/16578089/items/FBQEJZIV"],"itemData":{"id":1773,"type":"article-journal","abstract":"The purpose of this study is to measure and observe memes in Korean modern architectural discourse. Here, a meme is understood as a cultural gene or in other words, a popular architectural concept or practice that is passed from one generation to the next by imitation. After extracting memes from the text of the leading architectural magazine in Korea titled SPACE magazine, we used network analysis to investigate them. The findings of this study were as follows. First, by researching 601 issues of SPACE magazine published between 1967 and 2018, the total number of memes extracted was 708. These memes were divided into 291 types of memes, which were then classified into 24 memeplexes (groups of memes with similar contents). Second, because of analyzing the influence of these memeplexes over time, we found that the “Tradition” memeplex had great influence in the past, while philosophy-related memeplexes such as “Sense of place,” “Phenomenology,” “Philosophy of Becoming,” and “Post-structuralism” have been influential. However, the “Modernism” memeplex has been the most durable, having the greatest influence on Korean architects from past to present.","container-title":"Journal of Asian Architecture and Building Engineering","DOI":"10.1080/13467581.2021.1941981","ISSN":"1346-7581","issue":"4","note":"publisher: Taylor &amp; Francis\n_eprint: https://doi.org/10.1080/13467581.2021.1941981","page":"1223-1229","source":"Taylor and Francis+NEJM","title":"The aspects of modern Korean architectural discourses observed by applying MEME theory","volume":"21","author":[{"family":"Yang","given":"Wanseok"},{"family":"Seo","given":"Eugene","non-dropping-particle":"and"}],"issued":{"date-parts":[["2022",7,4]]}}}],"schema":"https://github.com/citation-style-language/schema/raw/master/csl-citation.json"} </w:instrText>
      </w:r>
      <w:r w:rsidR="0051679F" w:rsidRPr="00293785">
        <w:rPr>
          <w:rFonts w:ascii="Aptos" w:hAnsi="Aptos"/>
        </w:rPr>
        <w:fldChar w:fldCharType="separate"/>
      </w:r>
      <w:r w:rsidR="0051679F" w:rsidRPr="00293785">
        <w:rPr>
          <w:rFonts w:ascii="Aptos" w:hAnsi="Aptos"/>
          <w:noProof/>
        </w:rPr>
        <w:t>(Yang and and Seo, 2022)</w:t>
      </w:r>
      <w:r w:rsidR="0051679F" w:rsidRPr="00293785">
        <w:rPr>
          <w:rFonts w:ascii="Aptos" w:hAnsi="Aptos"/>
        </w:rPr>
        <w:fldChar w:fldCharType="end"/>
      </w:r>
      <w:r w:rsidRPr="00661272">
        <w:t>. Thus, extracting cultural genes enables the application of traditional cultural elements in other new media.</w:t>
      </w:r>
    </w:p>
    <w:p w14:paraId="0054801E" w14:textId="6D4AFDDF" w:rsidR="00DD451F" w:rsidRDefault="00041DEE" w:rsidP="004E4EBC">
      <w:r w:rsidRPr="00041DEE">
        <w:t xml:space="preserve">The </w:t>
      </w:r>
      <w:r w:rsidR="00E76E49">
        <w:t>‘</w:t>
      </w:r>
      <w:r w:rsidRPr="00041DEE">
        <w:t>cultural translation</w:t>
      </w:r>
      <w:r w:rsidR="00E76E49">
        <w:t>’</w:t>
      </w:r>
      <w:r w:rsidRPr="00041DEE">
        <w:t xml:space="preserve"> in this study originates from Peirce's triadic theory of semiotics, referring to the transfer of the meaning of a cultural symbol system to another context or medium. From contemporary anthropological and cultural viewpoints, cultural translation focuses on the meaning transformation across diverse cultural backgrounds, with the aim of preserving the original spiritual core while being accepted in new social contexts </w:t>
      </w:r>
      <w:r w:rsidR="004F2E7E">
        <w:fldChar w:fldCharType="begin"/>
      </w:r>
      <w:r w:rsidR="004F2E7E">
        <w:instrText xml:space="preserve"> ADDIN ZOTERO_ITEM CSL_CITATION {"citationID":"viSrHrYB","properties":{"formattedCitation":"(YanZhang and Weiping Hu, 2011)","plainCitation":"(YanZhang and Weiping Hu, 2011)","noteIndex":0},"citationItems":[{"id":2004,"uris":["http://zotero.org/users/1657</w:instrText>
      </w:r>
      <w:r w:rsidR="004F2E7E">
        <w:rPr>
          <w:rFonts w:hint="eastAsia"/>
        </w:rPr>
        <w:instrText>8089/items/VVA62GL9"],"itemData":{"id":2004,"type":"article-journal","container-title":"</w:instrText>
      </w:r>
      <w:r w:rsidR="004F2E7E">
        <w:rPr>
          <w:rFonts w:hint="eastAsia"/>
        </w:rPr>
        <w:instrText>当代外语研究</w:instrText>
      </w:r>
      <w:r w:rsidR="004F2E7E">
        <w:rPr>
          <w:rFonts w:hint="eastAsia"/>
        </w:rPr>
        <w:instrText>","DOI":"10.3969/j.issn.1674-8921.a0153","ISSN":"1674-8921","issue":"02","language":"zh-CN","note":"Field: \"</w:instrText>
      </w:r>
      <w:r w:rsidR="004F2E7E">
        <w:rPr>
          <w:rFonts w:hint="eastAsia"/>
        </w:rPr>
        <w:instrText>深度描写</w:instrText>
      </w:r>
      <w:r w:rsidR="004F2E7E">
        <w:rPr>
          <w:rFonts w:hint="eastAsia"/>
        </w:rPr>
        <w:instrText>\"</w:instrText>
      </w:r>
      <w:r w:rsidR="004F2E7E">
        <w:rPr>
          <w:rFonts w:hint="eastAsia"/>
        </w:rPr>
        <w:instrText>是人类学中广泛使用的一种注重细节、强调阐释的研究方法</w:instrText>
      </w:r>
      <w:r w:rsidR="004F2E7E">
        <w:rPr>
          <w:rFonts w:hint="eastAsia"/>
        </w:rPr>
        <w:instrText>,</w:instrText>
      </w:r>
      <w:r w:rsidR="004F2E7E">
        <w:rPr>
          <w:rFonts w:hint="eastAsia"/>
        </w:rPr>
        <w:instrText>美国的翻译理论家阿皮亚受其启发</w:instrText>
      </w:r>
      <w:r w:rsidR="004F2E7E">
        <w:rPr>
          <w:rFonts w:hint="eastAsia"/>
        </w:rPr>
        <w:instrText>,</w:instrText>
      </w:r>
      <w:r w:rsidR="004F2E7E">
        <w:rPr>
          <w:rFonts w:hint="eastAsia"/>
        </w:rPr>
        <w:instrText>进而提出了</w:instrText>
      </w:r>
      <w:r w:rsidR="004F2E7E">
        <w:rPr>
          <w:rFonts w:hint="eastAsia"/>
        </w:rPr>
        <w:instrText>\"</w:instrText>
      </w:r>
      <w:r w:rsidR="004F2E7E">
        <w:rPr>
          <w:rFonts w:hint="eastAsia"/>
        </w:rPr>
        <w:instrText>深度翻译</w:instrText>
      </w:r>
      <w:r w:rsidR="004F2E7E">
        <w:rPr>
          <w:rFonts w:hint="eastAsia"/>
        </w:rPr>
        <w:instrText>\"</w:instrText>
      </w:r>
      <w:r w:rsidR="004F2E7E">
        <w:rPr>
          <w:rFonts w:hint="eastAsia"/>
        </w:rPr>
        <w:instrText>这一概念。本文着重探讨了</w:instrText>
      </w:r>
      <w:r w:rsidR="004F2E7E">
        <w:rPr>
          <w:rFonts w:hint="eastAsia"/>
        </w:rPr>
        <w:instrText>\"</w:instrText>
      </w:r>
      <w:r w:rsidR="004F2E7E">
        <w:rPr>
          <w:rFonts w:hint="eastAsia"/>
        </w:rPr>
        <w:instrText>深度翻译</w:instrText>
      </w:r>
      <w:r w:rsidR="004F2E7E">
        <w:rPr>
          <w:rFonts w:hint="eastAsia"/>
        </w:rPr>
        <w:instrText>\"</w:instrText>
      </w:r>
      <w:r w:rsidR="004F2E7E">
        <w:rPr>
          <w:rFonts w:hint="eastAsia"/>
        </w:rPr>
        <w:instrText>在文化翻译中作为翻译方法和研究方法的理论意义</w:instrText>
      </w:r>
      <w:r w:rsidR="004F2E7E">
        <w:rPr>
          <w:rFonts w:hint="eastAsia"/>
        </w:rPr>
        <w:instrText>,</w:instrText>
      </w:r>
      <w:r w:rsidR="004F2E7E">
        <w:rPr>
          <w:rFonts w:hint="eastAsia"/>
        </w:rPr>
        <w:instrText>并在前人的研究基础上</w:instrText>
      </w:r>
      <w:r w:rsidR="004F2E7E">
        <w:rPr>
          <w:rFonts w:hint="eastAsia"/>
        </w:rPr>
        <w:instrText>,</w:instrText>
      </w:r>
      <w:r w:rsidR="004F2E7E">
        <w:rPr>
          <w:rFonts w:hint="eastAsia"/>
        </w:rPr>
        <w:instrText>对</w:instrText>
      </w:r>
      <w:r w:rsidR="004F2E7E">
        <w:rPr>
          <w:rFonts w:hint="eastAsia"/>
        </w:rPr>
        <w:instrText>\"</w:instrText>
      </w:r>
      <w:r w:rsidR="004F2E7E">
        <w:rPr>
          <w:rFonts w:hint="eastAsia"/>
        </w:rPr>
        <w:instrText>深度翻译</w:instrText>
      </w:r>
      <w:r w:rsidR="004F2E7E">
        <w:rPr>
          <w:rFonts w:hint="eastAsia"/>
        </w:rPr>
        <w:instrText>\"</w:instrText>
      </w:r>
      <w:r w:rsidR="004F2E7E">
        <w:rPr>
          <w:rFonts w:hint="eastAsia"/>
        </w:rPr>
        <w:instrText>的理论模式进行了探讨</w:instrText>
      </w:r>
      <w:r w:rsidR="004F2E7E">
        <w:rPr>
          <w:rFonts w:hint="eastAsia"/>
        </w:rPr>
        <w:instrText>,</w:instrText>
      </w:r>
      <w:r w:rsidR="004F2E7E">
        <w:rPr>
          <w:rFonts w:hint="eastAsia"/>
        </w:rPr>
        <w:instrText>明确了</w:instrText>
      </w:r>
      <w:r w:rsidR="004F2E7E">
        <w:rPr>
          <w:rFonts w:hint="eastAsia"/>
        </w:rPr>
        <w:instrText>\"</w:instrText>
      </w:r>
      <w:r w:rsidR="004F2E7E">
        <w:rPr>
          <w:rFonts w:hint="eastAsia"/>
        </w:rPr>
        <w:instrText>深度翻译</w:instrText>
      </w:r>
      <w:r w:rsidR="004F2E7E">
        <w:rPr>
          <w:rFonts w:hint="eastAsia"/>
        </w:rPr>
        <w:instrText>\"</w:instrText>
      </w:r>
      <w:r w:rsidR="004F2E7E">
        <w:rPr>
          <w:rFonts w:hint="eastAsia"/>
        </w:rPr>
        <w:instrText>中话语语境、主体意图和感情表现三大要素的重要性。</w:instrText>
      </w:r>
      <w:r w:rsidR="004F2E7E">
        <w:rPr>
          <w:rFonts w:hint="eastAsia"/>
        </w:rPr>
        <w:instrText>","page":"45","source":"MagTech","title":"The Implications of Cultural Anthropology for Cultural Translation: An Exploration of the \"De</w:instrText>
      </w:r>
      <w:r w:rsidR="004F2E7E">
        <w:instrText xml:space="preserve">ep Translation\" Theoretical Model","volume":"11","author":[{"literal":"YanZhang"},{"literal":"Weiping Hu"}],"issued":{"date-parts":[["2011"]]}}}],"schema":"https://github.com/citation-style-language/schema/raw/master/csl-citation.json"} </w:instrText>
      </w:r>
      <w:r w:rsidR="004F2E7E">
        <w:fldChar w:fldCharType="separate"/>
      </w:r>
      <w:r w:rsidR="004F2E7E">
        <w:rPr>
          <w:noProof/>
        </w:rPr>
        <w:t>(YanZhang and Weiping Hu, 2011)</w:t>
      </w:r>
      <w:r w:rsidR="004F2E7E">
        <w:fldChar w:fldCharType="end"/>
      </w:r>
      <w:r w:rsidRPr="00041DEE">
        <w:t xml:space="preserve"> </w:t>
      </w:r>
      <w:r w:rsidR="004F2E7E">
        <w:fldChar w:fldCharType="begin"/>
      </w:r>
      <w:r w:rsidR="004F2E7E">
        <w:instrText xml:space="preserve"> ADDIN ZOTERO_ITEM CSL_CITATION {"citationID":"V0dUU282","properties":{"formattedCitation":"(Vadi, 2018)","plainCitation":"(Vadi, 2018)","noteIndex":0},"citationItems":[{"id":1961,"uris":["http://zotero.org/users/16578089/items/JNTRQWMP"],"itemData":{"id":1961,"type":"article-journal","language":"en","source":"Zotero","title":"Intangible Cultural Heritage and Trade","author":[{"family":"Vadi","given":"Valentina"}],"issued":{"date-parts":[["2018"]]}}}],"schema":"https://github.com/citation-style-language/schema/raw/master/csl-citation.json"} </w:instrText>
      </w:r>
      <w:r w:rsidR="004F2E7E">
        <w:fldChar w:fldCharType="separate"/>
      </w:r>
      <w:r w:rsidR="004F2E7E">
        <w:rPr>
          <w:noProof/>
        </w:rPr>
        <w:t>(Vadi, 2018)</w:t>
      </w:r>
      <w:r w:rsidR="004F2E7E">
        <w:fldChar w:fldCharType="end"/>
      </w:r>
      <w:r w:rsidR="00514A03">
        <w:rPr>
          <w:rFonts w:hint="eastAsia"/>
        </w:rPr>
        <w:t>.</w:t>
      </w:r>
      <w:r w:rsidRPr="00041DEE">
        <w:t xml:space="preserve"> In the domain of design, cultural translation is more prominently manifested in the reconfiguration of symbolic elements. Designers extract elements from a specific formal context (such as architecture, patterns), undergo abstraction and redesign, and transform them into the design language of another carrier </w:t>
      </w:r>
      <w:r w:rsidR="002F467E">
        <w:fldChar w:fldCharType="begin"/>
      </w:r>
      <w:r w:rsidR="002F467E">
        <w:instrText xml:space="preserve"> ADDIN ZOTERO_ITEM CSL_CITATION {"citationID":"zAR17s4I","properties":{"formattedCitation":"(LiHe, 2022)","plainCitation":"(LiHe, 2022)","noteIndex":0},"citationItems":[{"id":1967,"uris":["http://zotero.org/users/16578089/items/VURAR3WV"],"itemData":{"id"</w:instrText>
      </w:r>
      <w:r w:rsidR="002F467E">
        <w:rPr>
          <w:rFonts w:hint="eastAsia"/>
        </w:rPr>
        <w:instrText>:1967,"type":"article-journal","abstract":"</w:instrText>
      </w:r>
      <w:r w:rsidR="002F467E">
        <w:rPr>
          <w:rFonts w:hint="eastAsia"/>
        </w:rPr>
        <w:instrText>传统图案是中华民族历代沿用、传承下来的图案</w:instrText>
      </w:r>
      <w:r w:rsidR="002F467E">
        <w:rPr>
          <w:rFonts w:hint="eastAsia"/>
        </w:rPr>
        <w:instrText>,</w:instrText>
      </w:r>
      <w:r w:rsidR="002F467E">
        <w:rPr>
          <w:rFonts w:hint="eastAsia"/>
        </w:rPr>
        <w:instrText>凝聚着相应时期独特的艺术审美</w:instrText>
      </w:r>
      <w:r w:rsidR="002F467E">
        <w:rPr>
          <w:rFonts w:hint="eastAsia"/>
        </w:rPr>
        <w:instrText>,</w:instrText>
      </w:r>
      <w:r w:rsidR="002F467E">
        <w:rPr>
          <w:rFonts w:hint="eastAsia"/>
        </w:rPr>
        <w:instrText>是中华民族的艺术</w:instrText>
      </w:r>
      <w:r w:rsidR="002F467E">
        <w:rPr>
          <w:rFonts w:hint="eastAsia"/>
        </w:rPr>
        <w:instrText>\"</w:instrText>
      </w:r>
      <w:r w:rsidR="002F467E">
        <w:rPr>
          <w:rFonts w:hint="eastAsia"/>
        </w:rPr>
        <w:instrText>史书</w:instrText>
      </w:r>
      <w:r w:rsidR="002F467E">
        <w:rPr>
          <w:rFonts w:hint="eastAsia"/>
        </w:rPr>
        <w:instrText>\",</w:instrText>
      </w:r>
      <w:r w:rsidR="002F467E">
        <w:rPr>
          <w:rFonts w:hint="eastAsia"/>
        </w:rPr>
        <w:instrText>也是中华民族璀璨文化的重要组成部分</w:instrText>
      </w:r>
      <w:r w:rsidR="002F467E">
        <w:rPr>
          <w:rFonts w:hint="eastAsia"/>
        </w:rPr>
        <w:instrText>.</w:instrText>
      </w:r>
      <w:r w:rsidR="002F467E">
        <w:rPr>
          <w:rFonts w:hint="eastAsia"/>
        </w:rPr>
        <w:instrText>现代首饰设计应古为今用、借鉴优秀的传统图案</w:instrText>
      </w:r>
      <w:r w:rsidR="002F467E">
        <w:rPr>
          <w:rFonts w:hint="eastAsia"/>
        </w:rPr>
        <w:instrText>,</w:instrText>
      </w:r>
      <w:r w:rsidR="002F467E">
        <w:rPr>
          <w:rFonts w:hint="eastAsia"/>
        </w:rPr>
        <w:instrText>在此基础上从样式与外观造型方面进行创新改造</w:instrText>
      </w:r>
      <w:r w:rsidR="002F467E">
        <w:rPr>
          <w:rFonts w:hint="eastAsia"/>
        </w:rPr>
        <w:instrText>,</w:instrText>
      </w:r>
      <w:r w:rsidR="002F467E">
        <w:rPr>
          <w:rFonts w:hint="eastAsia"/>
        </w:rPr>
        <w:instrText>使作品既符合现代生活理念</w:instrText>
      </w:r>
      <w:r w:rsidR="002F467E">
        <w:rPr>
          <w:rFonts w:hint="eastAsia"/>
        </w:rPr>
        <w:instrText>,</w:instrText>
      </w:r>
      <w:r w:rsidR="002F467E">
        <w:rPr>
          <w:rFonts w:hint="eastAsia"/>
        </w:rPr>
        <w:instrText>又具有传统文化情怀</w:instrText>
      </w:r>
      <w:r w:rsidR="002F467E">
        <w:rPr>
          <w:rFonts w:hint="eastAsia"/>
        </w:rPr>
        <w:instrText>.</w:instrText>
      </w:r>
      <w:r w:rsidR="002F467E">
        <w:rPr>
          <w:rFonts w:hint="eastAsia"/>
        </w:rPr>
        <w:instrText>本文结合传统图案的特点以及现代首饰设计的发展现状</w:instrText>
      </w:r>
      <w:r w:rsidR="002F467E">
        <w:rPr>
          <w:rFonts w:hint="eastAsia"/>
        </w:rPr>
        <w:instrText>,</w:instrText>
      </w:r>
      <w:r w:rsidR="002F467E">
        <w:rPr>
          <w:rFonts w:hint="eastAsia"/>
        </w:rPr>
        <w:instrText>简要分析传统图案在现代首饰中的表现形式</w:instrText>
      </w:r>
      <w:r w:rsidR="002F467E">
        <w:rPr>
          <w:rFonts w:hint="eastAsia"/>
        </w:rPr>
        <w:instrText>,</w:instrText>
      </w:r>
      <w:r w:rsidR="002F467E">
        <w:rPr>
          <w:rFonts w:hint="eastAsia"/>
        </w:rPr>
        <w:instrText>并对传统图案在现代首饰设计中的运用方法进行研究</w:instrText>
      </w:r>
      <w:r w:rsidR="002F467E">
        <w:rPr>
          <w:rFonts w:hint="eastAsia"/>
        </w:rPr>
        <w:instrText>.","container-title":"China Gems","DOI":"10.3969/j.issn.1004-3721.2022.02.011","ISSN":"1004-3721","issue":"2","note":"CLC: I206.2(</w:instrText>
      </w:r>
      <w:r w:rsidR="002F467E">
        <w:rPr>
          <w:rFonts w:hint="eastAsia"/>
        </w:rPr>
        <w:instrText>文学评论和研究</w:instrText>
      </w:r>
      <w:r w:rsidR="002F467E">
        <w:rPr>
          <w:rFonts w:hint="eastAsia"/>
        </w:rPr>
        <w:instrText>)D6(</w:instrText>
      </w:r>
      <w:r w:rsidR="002F467E">
        <w:rPr>
          <w:rFonts w:hint="eastAsia"/>
        </w:rPr>
        <w:instrText>中国政治</w:instrText>
      </w:r>
      <w:r w:rsidR="002F467E">
        <w:rPr>
          <w:rFonts w:hint="eastAsia"/>
        </w:rPr>
        <w:instrText>)G641(</w:instrText>
      </w:r>
      <w:r w:rsidR="002F467E">
        <w:rPr>
          <w:rFonts w:hint="eastAsia"/>
        </w:rPr>
        <w:instrText>高等教育</w:instrText>
      </w:r>
      <w:r w:rsidR="002F467E">
        <w:rPr>
          <w:rFonts w:hint="eastAsia"/>
        </w:rPr>
        <w:instrText>)","page":"64-68","source":"Wanfang Data","title":"A Casual Discussion on traditional patterns and Modern j</w:instrText>
      </w:r>
      <w:r w:rsidR="002F467E">
        <w:instrText xml:space="preserve">ewelry Design","author":[{"literal":"LiHe"}],"issued":{"date-parts":[["2022"]]}}}],"schema":"https://github.com/citation-style-language/schema/raw/master/csl-citation.json"} </w:instrText>
      </w:r>
      <w:r w:rsidR="002F467E">
        <w:fldChar w:fldCharType="separate"/>
      </w:r>
      <w:r w:rsidR="002F467E">
        <w:rPr>
          <w:noProof/>
        </w:rPr>
        <w:t>(LiHe, 2022)</w:t>
      </w:r>
      <w:r w:rsidR="002F467E">
        <w:fldChar w:fldCharType="end"/>
      </w:r>
      <w:r w:rsidRPr="00041DEE">
        <w:t xml:space="preserve">. Traditional auspicious patterns are rich in cultural implications and can be applied in contemporary designs such as </w:t>
      </w:r>
      <w:r w:rsidR="00FC19A6" w:rsidRPr="00041DEE">
        <w:t>jewellery</w:t>
      </w:r>
      <w:r w:rsidRPr="00041DEE">
        <w:t xml:space="preserve"> and furniture through design translation. Researchers have pointed out that the application of ancient elements in modern design, that is, drawing upon excellent traditional culture, can not only reflect traditional cultural sentiments but also align with modern life concepts</w:t>
      </w:r>
      <w:r w:rsidR="004C3FD3">
        <w:rPr>
          <w:rFonts w:hint="eastAsia"/>
        </w:rPr>
        <w:t xml:space="preserve"> </w:t>
      </w:r>
      <w:r w:rsidR="004C3FD3" w:rsidRPr="00293785">
        <w:rPr>
          <w:rFonts w:ascii="Aptos" w:hAnsi="Aptos"/>
          <w:lang w:val="en-US"/>
        </w:rPr>
        <w:fldChar w:fldCharType="begin"/>
      </w:r>
      <w:r w:rsidR="004C3FD3" w:rsidRPr="00293785">
        <w:rPr>
          <w:rFonts w:ascii="Aptos" w:hAnsi="Aptos"/>
          <w:lang w:val="en-US"/>
        </w:rPr>
        <w:instrText xml:space="preserve"> ADDIN ZOTERO_ITEM CSL_CITATION {"citationID":"MAmelXj0","properties":{"formattedCitation":"(Wang, Shi and Wang, 2024)","plainCitation":"(Wang, Shi and Wang, 2024)","noteIndex":0},"citationItems":[{"id":1951,"uris":["http://zotero.org/users/16578089/items/PE3Q6I4K"],"itemData":{"id":1951,"type":"article-journal","abstract":"Traditional villages along the Jinzhong section of the Wanli Tea Road possess unique geographical locations and cultural heritage, showcasing a rich variety of cultural landscapes. Among these, village temple buildings play a crucial role as the core of spiritual and belief life in traditional villages. In the context of rapid urbanization and modernization, a new perspective is needed to thoroughly explore the deeper connotations of cultural landscape characteristics in traditional villages along the Wanli Tea Road, particularly by examining the composition and inherent features of their landscape genes. This study employs landscape gene theory, using the village temple system as a lens to identify and analyze the landscape genes of traditional villages along the Jinzhong section of the Wanli Tea Road. Based on the results, a genealogy and a map of landscape genes are constructed to clearly and effectively present the typical characteristics and expressions of these genes in a logical and visual manner. The findings indicate the following: (1) The village temple system in traditional villages along the Jinzhong section of the Wanli Tea Road is closely related to the formation and expression of their landscape genes and can play a critical role in the protection and transmission of cultural landscapes. (2) As important nodes along the historical trade route, the landscape gene characteristics of these villages reflect their unique natural environments and historical development trajectories, illustrating the deep intertwining of commercial activities and local cultural landscapes. (3) This study establishes a replicable research framework that is not only applicable to local studies but also provides valuable references for broader cultural landscape research.","container-title":"Land","DOI":"10.3390/land13101602","ISSN":"2073-445X","issue":"10","language":"en","license":"http://creativecommons.org/licenses/by/3.0/","note":"number: 10\npublisher: Multidisciplinary Digital Publishing Institute","page":"1602","source":"www.mdpi.com","title":"Exploration of the Landscape Gene Characteristics of Traditional Villages along the Jinzhong Section of the Wanli Tea Road from the Perspective of the Village Temple System","volume":"13","author":[{"family":"Wang","given":"Wei"},{"family":"Shi","given":"Qianfei"},{"family":"Wang","given":"Guoyu"}],"issued":{"date-parts":[["2024",10]]}}}],"schema":"https://github.com/citation-style-language/schema/raw/master/csl-citation.json"} </w:instrText>
      </w:r>
      <w:r w:rsidR="004C3FD3" w:rsidRPr="00293785">
        <w:rPr>
          <w:rFonts w:ascii="Aptos" w:hAnsi="Aptos"/>
          <w:lang w:val="en-US"/>
        </w:rPr>
        <w:fldChar w:fldCharType="separate"/>
      </w:r>
      <w:r w:rsidR="004C3FD3" w:rsidRPr="00293785">
        <w:rPr>
          <w:rFonts w:ascii="Aptos" w:hAnsi="Aptos"/>
          <w:noProof/>
          <w:lang w:val="en-US"/>
        </w:rPr>
        <w:t>(Wang, Shi and Wang, 2024)</w:t>
      </w:r>
      <w:r w:rsidR="004C3FD3" w:rsidRPr="00293785">
        <w:rPr>
          <w:rFonts w:ascii="Aptos" w:hAnsi="Aptos"/>
          <w:lang w:val="en-US"/>
        </w:rPr>
        <w:fldChar w:fldCharType="end"/>
      </w:r>
      <w:r w:rsidRPr="00041DEE">
        <w:t>. This cultural encoding in design refers to embedding specific cultural symbols in the design to make the product a carrier for communicating cultural meanings</w:t>
      </w:r>
      <w:r w:rsidR="002E5C4A">
        <w:rPr>
          <w:rFonts w:hint="eastAsia"/>
        </w:rPr>
        <w:t xml:space="preserve"> </w:t>
      </w:r>
      <w:r w:rsidR="008D1BA9" w:rsidRPr="00293785">
        <w:rPr>
          <w:rFonts w:ascii="Aptos" w:hAnsi="Aptos"/>
          <w:lang w:val="en-US"/>
        </w:rPr>
        <w:fldChar w:fldCharType="begin"/>
      </w:r>
      <w:r w:rsidR="008D1BA9" w:rsidRPr="00293785">
        <w:rPr>
          <w:rFonts w:ascii="Aptos" w:hAnsi="Aptos"/>
          <w:lang w:val="en-US"/>
        </w:rPr>
        <w:instrText xml:space="preserve"> ADDIN ZOTERO_ITEM CSL_CITATION {"citationID":"4jdSlz2u","properties":{"formattedCitation":"(Ye and Wu, 2023)","plainCitation":"(Ye and Wu, 2023)","noteIndex":0},"citationItems":[{"id":2013,"uris":["http://zotero.org/users/16578089/items/3HIBBKP5"],"itemData":{"id":2013,"type":"paper-conference","abstract":"Regional culture is an important aspect in the field of cultural studies and has become an important force for social development. In recent years, problems such as homogenization and lack of regional cultural characteristics have emerged in cultural and creative...","container-title":"HCI International 2023 Posters","DOI":"10.1007/978-3-031-35998-9_69","event-title":"International Conference on Human-Computer Interaction","ISBN":"978-3-031-35998-9","language":"en","note":"ISSN: 1865-0937","page":"535-542","publisher":"Springer, Cham","source":"link.springer.g.sjuku.top","title":"A Study on the Decoding of Regional Cultural Genes and the Design of Cultural and Creative Products","URL":"http://link.springer.g.sjuku.top/chapter/10.1007/978-3-031-35998-9_69","author":[{"family":"Ye","given":"Junnan"},{"family":"Wu","given":"Yue"}],"accessed":{"date-parts":[["2025",4,20]]},"issued":{"date-parts":[["2023"]]}}}],"schema":"https://github.com/citation-style-language/schema/raw/master/csl-citation.json"} </w:instrText>
      </w:r>
      <w:r w:rsidR="008D1BA9" w:rsidRPr="00293785">
        <w:rPr>
          <w:rFonts w:ascii="Aptos" w:hAnsi="Aptos"/>
          <w:lang w:val="en-US"/>
        </w:rPr>
        <w:fldChar w:fldCharType="separate"/>
      </w:r>
      <w:r w:rsidR="008D1BA9" w:rsidRPr="00293785">
        <w:rPr>
          <w:rFonts w:ascii="Aptos" w:hAnsi="Aptos"/>
          <w:noProof/>
          <w:lang w:val="en-US"/>
        </w:rPr>
        <w:t>(Ye and Wu, 2023)</w:t>
      </w:r>
      <w:r w:rsidR="008D1BA9" w:rsidRPr="00293785">
        <w:rPr>
          <w:rFonts w:ascii="Aptos" w:hAnsi="Aptos"/>
          <w:lang w:val="en-US"/>
        </w:rPr>
        <w:fldChar w:fldCharType="end"/>
      </w:r>
      <w:r w:rsidR="008D1BA9" w:rsidRPr="00041DEE">
        <w:t xml:space="preserve"> </w:t>
      </w:r>
      <w:r w:rsidRPr="00041DEE">
        <w:t xml:space="preserve">. The translation of cultural symbols is not merely a simplistic replication of traditional elements but a </w:t>
      </w:r>
      <w:r w:rsidRPr="00041DEE">
        <w:lastRenderedPageBreak/>
        <w:t>complex process of recreation and reinterpretation</w:t>
      </w:r>
      <w:r w:rsidR="00F84734">
        <w:rPr>
          <w:rFonts w:hint="eastAsia"/>
        </w:rPr>
        <w:t xml:space="preserve"> </w:t>
      </w:r>
      <w:r w:rsidR="00F84734" w:rsidRPr="00293785">
        <w:rPr>
          <w:rFonts w:ascii="Aptos" w:hAnsi="Aptos"/>
          <w:lang w:val="en-US"/>
        </w:rPr>
        <w:fldChar w:fldCharType="begin"/>
      </w:r>
      <w:r w:rsidR="00F84734" w:rsidRPr="00293785">
        <w:rPr>
          <w:rFonts w:ascii="Aptos" w:hAnsi="Aptos"/>
          <w:lang w:val="en-US"/>
        </w:rPr>
        <w:instrText xml:space="preserve"> ADDIN ZOTERO_ITEM CSL_CITATION {"citationID":"PCCdTbJN","properties":{"formattedCitation":"(Wang {\\i{}et al.}, 2025)","plainCitation":"(Wang et al., 2025)","noteIndex":0},"citationItems":[{"id":1790,"uris":["http://zotero.org/users/16578089/items/E76WUTYL"],"itemData":{"id":1790,"type":"article-journal","abstract":"The design of Chinese-style furniture (CSF) strives to preserve cultural symbols and aesthetic features while enhancing user experience and emotional resonance. This paper explored how to optimize the design of CSF by analyzing the relationships between affective vocabulary, cultural symbols, and user perception, aiming to narrow the gap between designer intent and user perception, thereby enhancing emotional resonance and user satisfaction. An Affinity Diagram was employed to collect and organize affective vocabulary related to furniture design. Subjective weights of the affective vocabulary were calculated using the Analytic Hierarchy Process (AHP), and objective weights were determined through the Entropy Weight (EW) Method. The Coupling Coordination Degree (CCD) Method was applied to identify the core affective vocabulary. The artifact shapes and patterns from the Haihunhou tomb site were analyzed to extract representative design elements. Finally, the Quality Function Deployment (QFD) Method was utilized to examine the mapping relationships between core affective vocabulary and the artifact shapes and patterns, ranking the characteristics of these elements. The optimized design elements were integrated into the design of a Chinese-style chair. The incorporation of cultural symbols and affective vocabulary into Chinese-style chair design enhanced user experience and emotional identification, providing a viable path for innovation in CSF design.","container-title":"BioResources","DOI":"10.15376/biores.20.2.3476-3496","ISSN":"19302126, 19302126","issue":"2","journalAbbreviation":"BioRes","language":"en","page":"3476-3496","source":"DOI.org (Crossref)","title":"Cultural symbols migration and user perception: Innovation in Chinese-style furniture design","title-short":"Cultural symbols migration and user perception","volume":"20","author":[{"family":"Wang","given":"Li"},{"family":"Gong","given":"Yu-Han"},{"family":"Niu","given":"Shi-Fan"},{"family":"Ren","given":"Zhao-Xian"}],"issued":{"date-parts":[["2025",3,19]]}}}],"schema":"https://github.com/citation-style-language/schema/raw/master/csl-citation.json"} </w:instrText>
      </w:r>
      <w:r w:rsidR="00F84734" w:rsidRPr="00293785">
        <w:rPr>
          <w:rFonts w:ascii="Aptos" w:hAnsi="Aptos"/>
          <w:lang w:val="en-US"/>
        </w:rPr>
        <w:fldChar w:fldCharType="separate"/>
      </w:r>
      <w:r w:rsidR="00F84734" w:rsidRPr="00293785">
        <w:rPr>
          <w:rFonts w:ascii="Aptos" w:hAnsi="Aptos" w:cs="Times New Roman"/>
          <w:kern w:val="0"/>
        </w:rPr>
        <w:t xml:space="preserve">(Wang </w:t>
      </w:r>
      <w:r w:rsidR="00F84734" w:rsidRPr="00293785">
        <w:rPr>
          <w:rFonts w:ascii="Aptos" w:hAnsi="Aptos" w:cs="Times New Roman"/>
          <w:i/>
          <w:iCs/>
          <w:kern w:val="0"/>
        </w:rPr>
        <w:t>et al.</w:t>
      </w:r>
      <w:r w:rsidR="00F84734" w:rsidRPr="00293785">
        <w:rPr>
          <w:rFonts w:ascii="Aptos" w:hAnsi="Aptos" w:cs="Times New Roman"/>
          <w:kern w:val="0"/>
        </w:rPr>
        <w:t>, 2025)</w:t>
      </w:r>
      <w:r w:rsidR="00F84734" w:rsidRPr="00293785">
        <w:rPr>
          <w:rFonts w:ascii="Aptos" w:hAnsi="Aptos"/>
          <w:lang w:val="en-US"/>
        </w:rPr>
        <w:fldChar w:fldCharType="end"/>
      </w:r>
      <w:r w:rsidRPr="00041DEE">
        <w:t>. Through the selection and combination of elements such as symbols, materials, and techniques, designers encode cultural information into design products, enabling users to "read" the cultural connotations therein and thereby achieving non-verbal communication.</w:t>
      </w:r>
    </w:p>
    <w:p w14:paraId="78DD3B04" w14:textId="77777777" w:rsidR="00CC2058" w:rsidRPr="00293785" w:rsidRDefault="00CC2058" w:rsidP="00CC2058">
      <w:pPr>
        <w:rPr>
          <w:rFonts w:ascii="Aptos" w:hAnsi="Aptos"/>
          <w:b/>
          <w:bCs/>
        </w:rPr>
      </w:pPr>
      <w:r w:rsidRPr="00293785">
        <w:rPr>
          <w:rFonts w:ascii="Aptos" w:hAnsi="Aptos"/>
          <w:b/>
          <w:bCs/>
        </w:rPr>
        <w:t>2.2 Theoretical Foundation</w:t>
      </w:r>
    </w:p>
    <w:p w14:paraId="5D95E86E" w14:textId="7889A196" w:rsidR="00017D1F" w:rsidRPr="00474254" w:rsidRDefault="001B04FE" w:rsidP="004E4EBC">
      <w:pPr>
        <w:rPr>
          <w:lang w:val="en-US"/>
        </w:rPr>
      </w:pPr>
      <w:r w:rsidRPr="001B04FE">
        <w:t>The process of translating the imagery of Jiangnan gardens into jewellery design involves the support and integration of multiple theoretical foundations</w:t>
      </w:r>
      <w:r w:rsidR="00474254">
        <w:rPr>
          <w:rFonts w:hint="eastAsia"/>
        </w:rPr>
        <w:t xml:space="preserve">. </w:t>
      </w:r>
      <w:r w:rsidRPr="001B04FE">
        <w:t xml:space="preserve">This </w:t>
      </w:r>
      <w:r w:rsidR="000C1E06">
        <w:t>‘</w:t>
      </w:r>
      <w:r w:rsidRPr="001B04FE">
        <w:t>cultural evolution</w:t>
      </w:r>
      <w:r w:rsidR="000C1E06">
        <w:t>’</w:t>
      </w:r>
      <w:r w:rsidRPr="001B04FE">
        <w:t xml:space="preserve"> perspective implies that elements in Jiangnan gardens, such as pavilions, terraces, flower windows, and artificial rockeries, can all be regarded as cultural genes that have been constantly </w:t>
      </w:r>
      <w:r w:rsidR="00027CEF">
        <w:t>‘</w:t>
      </w:r>
      <w:r w:rsidRPr="001B04FE">
        <w:t>replicated</w:t>
      </w:r>
      <w:r w:rsidR="00027CEF">
        <w:t>’</w:t>
      </w:r>
      <w:r w:rsidR="00027CEF">
        <w:rPr>
          <w:rFonts w:hint="eastAsia"/>
        </w:rPr>
        <w:t xml:space="preserve"> </w:t>
      </w:r>
      <w:r w:rsidRPr="001B04FE">
        <w:t>onto various carriers throughout history. The theory of cultural genes emphasizes the balance between inheritance and variation. Just as with the inheritance and variation of genes, it is essential to maintain the stability of the core meaning (gene) and its cultural distinctiveness. Moreover, it must possess the adaptability to innovate variations in new contexts. This theory provides an evolutionary basis for the translation design among different cultural media</w:t>
      </w:r>
      <w:r w:rsidR="00E27537">
        <w:rPr>
          <w:rFonts w:hint="eastAsia"/>
        </w:rPr>
        <w:t>.</w:t>
      </w:r>
    </w:p>
    <w:p w14:paraId="367E8593" w14:textId="6F2532A9" w:rsidR="00E25A29" w:rsidRDefault="009D6507" w:rsidP="004E4EBC">
      <w:r w:rsidRPr="009D6507">
        <w:t xml:space="preserve">Secondly, studies on material culture provide a transformational perspective from culture to objects. Scholars such as Ingold and Miller advocate for a focus on the materiality of culture. Ingold promotes </w:t>
      </w:r>
      <w:r>
        <w:t>‘</w:t>
      </w:r>
      <w:r w:rsidRPr="009D6507">
        <w:t>Materials against materiality</w:t>
      </w:r>
      <w:r>
        <w:t>’</w:t>
      </w:r>
      <w:r w:rsidRPr="009D6507">
        <w:t>, emphasizing the significance and role of materials and the production process themselves in culture, opposing the perception of objects as passive</w:t>
      </w:r>
      <w:r w:rsidR="0025295F">
        <w:rPr>
          <w:rFonts w:hint="eastAsia"/>
        </w:rPr>
        <w:t xml:space="preserve"> </w:t>
      </w:r>
      <w:r w:rsidR="000172DF" w:rsidRPr="00293785">
        <w:rPr>
          <w:rFonts w:ascii="Aptos" w:hAnsi="Aptos"/>
        </w:rPr>
        <w:fldChar w:fldCharType="begin"/>
      </w:r>
      <w:r w:rsidR="000172DF" w:rsidRPr="00293785">
        <w:rPr>
          <w:rFonts w:ascii="Aptos" w:hAnsi="Aptos"/>
        </w:rPr>
        <w:instrText xml:space="preserve"> ADDIN ZOTERO_ITEM CSL_CITATION {"citationID":"zW2D34C5","properties":{"formattedCitation":"(Ingold, 2013)","plainCitation":"(Ingold, 2013)","noteIndex":0},"citationItems":[{"id":1953,"uris":["http://zotero.org/users/16578089/items/9624MTUU"],"itemData":{"id":1953,"type":"book","call-number":"GN345 .I373 2013","event-place":"London ; New York","ISBN":"978-0-415-56722-0","number-of-pages":"163","publisher":"Routledge","publisher-place":"London ; New York","source":"Library of Congress ISBN","title":"Making: anthropology, archaeology, art and architecture","title-short":"Making","author":[{"family":"Ingold","given":"Tim"}],"issued":{"date-parts":[["2013"]]}}}],"schema":"https://github.com/citation-style-language/schema/raw/master/csl-citation.json"} </w:instrText>
      </w:r>
      <w:r w:rsidR="000172DF" w:rsidRPr="00293785">
        <w:rPr>
          <w:rFonts w:ascii="Aptos" w:hAnsi="Aptos"/>
        </w:rPr>
        <w:fldChar w:fldCharType="separate"/>
      </w:r>
      <w:r w:rsidR="000172DF" w:rsidRPr="00293785">
        <w:rPr>
          <w:rFonts w:ascii="Aptos" w:hAnsi="Aptos"/>
          <w:noProof/>
        </w:rPr>
        <w:t>(Ingold, 2013)</w:t>
      </w:r>
      <w:r w:rsidR="000172DF" w:rsidRPr="00293785">
        <w:rPr>
          <w:rFonts w:ascii="Aptos" w:hAnsi="Aptos"/>
        </w:rPr>
        <w:fldChar w:fldCharType="end"/>
      </w:r>
      <w:r w:rsidRPr="009D6507">
        <w:t>. Miller, through extensive field research, showcases how everyday objects carry and shape social culture during their usage, highlighting that objects are not merely containers of culture but also mediators of social relationships and identity construction</w:t>
      </w:r>
      <w:r w:rsidR="00B75811">
        <w:fldChar w:fldCharType="begin"/>
      </w:r>
      <w:r w:rsidR="00B75811">
        <w:instrText xml:space="preserve"> ADDIN ZOTERO_ITEM CSL_CITATION {"citationID":"H02SjANZ","properties":{"formattedCitation":"(Miller, 2010)","plainCitation":"(Miller, 2010)","noteIndex":0},"citationItems":[{"id":2022,"uris":["http://zotero.org/users/16578089/items/NJXXAVH9"],"itemData":{"id":2022,"type":"book","abstract":"Things make us just as much as we make things. And yet, unlike the study of languages or places, there is no discipline devoted to the study of material things. This book shows why it is time to acknowledge and confront this neglect and how much we can learn from focusing our attention on stuff. The book opens with a critique of the concept of superficiality as applied to clothing. It presents the theories that are required to understand the way we are created by material as well as social relations. It takes us inside the very private worlds of our home possessions and our processes of accommodating. It considers issues of materiality in relation to the media, as well as the implications of such an approach in relation, for example, to poverty. Finally, the book considers objects which we use to define what it is to be alive and how we use objects to cope with death. Based on more than thirty years of research in the Caribbean, India, London and elsewhere, Stuff is nothing less than a manifesto for the study of material culture and a new way of looking at the objects that surround us and make up so much of our social and personal life.","ISBN":"978-0-7456-4424-0","language":"en","number-of-pages":"179","publisher":"Polity","source":"Google Books","title":"Stuff","author":[{"family":"Miller","given":"Daniel"}],"issued":{"date-parts":[["2010"]]}}}],"schema":"https://github.com/citation-style-language/schema/raw/master/csl-citation.json"} </w:instrText>
      </w:r>
      <w:r w:rsidR="00B75811">
        <w:fldChar w:fldCharType="separate"/>
      </w:r>
      <w:r w:rsidR="00B75811">
        <w:rPr>
          <w:noProof/>
        </w:rPr>
        <w:t>(Miller, 2010</w:t>
      </w:r>
      <w:r w:rsidR="00B75811">
        <w:rPr>
          <w:rFonts w:hint="eastAsia"/>
        </w:rPr>
        <w:t xml:space="preserve">, </w:t>
      </w:r>
      <w:r w:rsidR="00B75811" w:rsidRPr="009D6507">
        <w:t>pp. 82–85</w:t>
      </w:r>
      <w:r w:rsidR="00B75811">
        <w:rPr>
          <w:noProof/>
        </w:rPr>
        <w:t>)</w:t>
      </w:r>
      <w:r w:rsidR="00B75811">
        <w:fldChar w:fldCharType="end"/>
      </w:r>
      <w:r w:rsidRPr="009D6507">
        <w:t xml:space="preserve">. Studies on material culture also emphasize the interactive relationship between users and objects – the process of wearing </w:t>
      </w:r>
      <w:r w:rsidR="00D10F3D" w:rsidRPr="009D6507">
        <w:t>jewellery</w:t>
      </w:r>
      <w:r w:rsidRPr="009D6507">
        <w:t xml:space="preserve"> is also a part of the production of cultural meaning, which also lays the groundwork for the subsequent discussion on user experience</w:t>
      </w:r>
      <w:r w:rsidR="00E25A29">
        <w:rPr>
          <w:rFonts w:hint="eastAsia"/>
        </w:rPr>
        <w:t>.</w:t>
      </w:r>
    </w:p>
    <w:p w14:paraId="360ADF11" w14:textId="4F06C71F" w:rsidR="009D6507" w:rsidRDefault="00E25A29" w:rsidP="004E4EBC">
      <w:r w:rsidRPr="00E25A29">
        <w:t>Semiotic theory provides methods for cultural encoding and decoding at the meso-level. Pierce's triadic sign model has been introduced in the previous text, and it has guiding significance for design practice. In addition, Morris's semiotic system also has high explanatory power, offering an analytical path from meaning to practice for cultural translation, which is helpful for separately positioning the symbolic operation mechanisms at different stages in the subsequent translation model</w:t>
      </w:r>
      <w:r w:rsidR="00010E6B">
        <w:fldChar w:fldCharType="begin"/>
      </w:r>
      <w:r w:rsidR="00010E6B">
        <w:instrText xml:space="preserve"> ADDIN ZOTERO_ITEM CSL_CITATION {"citationID":"evDbLLfq","properties":{"formattedCitation":"(ChunLi {\\i{}et al.}, 2021)","plainCitation":"(ChunLi et al., 2021)","noteIndex":0},"citationItems":[{"id":537,"uris":["http://zotero.org/users/16578089/items/ZK8</w:instrText>
      </w:r>
      <w:r w:rsidR="00010E6B">
        <w:rPr>
          <w:rFonts w:hint="eastAsia"/>
        </w:rPr>
        <w:instrText>IF6PC"],"itemData":{"id":537,"type":"article-journal","abstract":"</w:instrText>
      </w:r>
      <w:r w:rsidR="00010E6B">
        <w:rPr>
          <w:rFonts w:hint="eastAsia"/>
        </w:rPr>
        <w:instrText>目的基于查尔斯·莫里斯的符号学理论</w:instrText>
      </w:r>
      <w:r w:rsidR="00010E6B">
        <w:rPr>
          <w:rFonts w:hint="eastAsia"/>
        </w:rPr>
        <w:instrText>,</w:instrText>
      </w:r>
      <w:r w:rsidR="00010E6B">
        <w:rPr>
          <w:rFonts w:hint="eastAsia"/>
        </w:rPr>
        <w:instrText>以洪江古商城商道文化文创产品设计为例研究地域文化文创产品设计的流程与方法</w:instrText>
      </w:r>
      <w:r w:rsidR="00010E6B">
        <w:rPr>
          <w:rFonts w:hint="eastAsia"/>
        </w:rPr>
        <w:instrText>,</w:instrText>
      </w:r>
      <w:r w:rsidR="00010E6B">
        <w:rPr>
          <w:rFonts w:hint="eastAsia"/>
        </w:rPr>
        <w:instrText>旨在探索文创产品设计的新思路</w:instrText>
      </w:r>
      <w:r w:rsidR="00010E6B">
        <w:rPr>
          <w:rFonts w:hint="eastAsia"/>
        </w:rPr>
        <w:instrText>,</w:instrText>
      </w:r>
      <w:r w:rsidR="00010E6B">
        <w:rPr>
          <w:rFonts w:hint="eastAsia"/>
        </w:rPr>
        <w:instrText>从而达到传承和推广地域文化的目的。方法以莫里斯的符号学理论为基础</w:instrText>
      </w:r>
      <w:r w:rsidR="00010E6B">
        <w:rPr>
          <w:rFonts w:hint="eastAsia"/>
        </w:rPr>
        <w:instrText>,</w:instrText>
      </w:r>
      <w:r w:rsidR="00010E6B">
        <w:rPr>
          <w:rFonts w:hint="eastAsia"/>
        </w:rPr>
        <w:instrText>将语义学、语形学、语用学引入地域文化文创产品设计流程</w:instrText>
      </w:r>
      <w:r w:rsidR="00010E6B">
        <w:rPr>
          <w:rFonts w:hint="eastAsia"/>
        </w:rPr>
        <w:instrText>,</w:instrText>
      </w:r>
      <w:r w:rsidR="00010E6B">
        <w:rPr>
          <w:rFonts w:hint="eastAsia"/>
        </w:rPr>
        <w:instrText>以洪江古商城商道文化的文创产品设计实践为例</w:instrText>
      </w:r>
      <w:r w:rsidR="00010E6B">
        <w:rPr>
          <w:rFonts w:hint="eastAsia"/>
        </w:rPr>
        <w:instrText>,</w:instrText>
      </w:r>
      <w:r w:rsidR="00010E6B">
        <w:rPr>
          <w:rFonts w:hint="eastAsia"/>
        </w:rPr>
        <w:instrText>具体分析</w:instrText>
      </w:r>
      <w:r w:rsidR="00010E6B">
        <w:rPr>
          <w:rFonts w:hint="eastAsia"/>
        </w:rPr>
        <w:instrText>\"</w:instrText>
      </w:r>
      <w:r w:rsidR="00010E6B">
        <w:rPr>
          <w:rFonts w:hint="eastAsia"/>
        </w:rPr>
        <w:instrText>发现问题、定义问题、设计开发、传播推广</w:instrText>
      </w:r>
      <w:r w:rsidR="00010E6B">
        <w:rPr>
          <w:rFonts w:hint="eastAsia"/>
        </w:rPr>
        <w:instrText>\"4</w:instrText>
      </w:r>
      <w:r w:rsidR="00010E6B">
        <w:rPr>
          <w:rFonts w:hint="eastAsia"/>
        </w:rPr>
        <w:instrText>个阶段的设计要点。结论在符号学视角下地域文创产品设计应从语义学角度解读并梳理地域文化符号内涵</w:instrText>
      </w:r>
      <w:r w:rsidR="00010E6B">
        <w:rPr>
          <w:rFonts w:hint="eastAsia"/>
        </w:rPr>
        <w:instrText>,</w:instrText>
      </w:r>
      <w:r w:rsidR="00010E6B">
        <w:rPr>
          <w:rFonts w:hint="eastAsia"/>
        </w:rPr>
        <w:instrText>聚焦设计主题</w:instrText>
      </w:r>
      <w:r w:rsidR="00010E6B">
        <w:rPr>
          <w:rFonts w:hint="eastAsia"/>
        </w:rPr>
        <w:instrText>;</w:instrText>
      </w:r>
      <w:r w:rsidR="00010E6B">
        <w:rPr>
          <w:rFonts w:hint="eastAsia"/>
        </w:rPr>
        <w:instrText>从语形学角度提取并凝练地域文化符号的形式特征</w:instrText>
      </w:r>
      <w:r w:rsidR="00010E6B">
        <w:rPr>
          <w:rFonts w:hint="eastAsia"/>
        </w:rPr>
        <w:instrText>,</w:instrText>
      </w:r>
      <w:r w:rsidR="00010E6B">
        <w:rPr>
          <w:rFonts w:hint="eastAsia"/>
        </w:rPr>
        <w:instrText>赋予产品认知价值</w:instrText>
      </w:r>
      <w:r w:rsidR="00010E6B">
        <w:rPr>
          <w:rFonts w:hint="eastAsia"/>
        </w:rPr>
        <w:instrText>;</w:instrText>
      </w:r>
      <w:r w:rsidR="00010E6B">
        <w:rPr>
          <w:rFonts w:hint="eastAsia"/>
        </w:rPr>
        <w:instrText>从语用学角度引导文创品牌的符号消费</w:instrText>
      </w:r>
      <w:r w:rsidR="00010E6B">
        <w:rPr>
          <w:rFonts w:hint="eastAsia"/>
        </w:rPr>
        <w:instrText>,</w:instrText>
      </w:r>
      <w:r w:rsidR="00010E6B">
        <w:rPr>
          <w:rFonts w:hint="eastAsia"/>
        </w:rPr>
        <w:instrText>传播地域文化</w:instrText>
      </w:r>
      <w:r w:rsidR="00010E6B">
        <w:rPr>
          <w:rFonts w:hint="eastAsia"/>
        </w:rPr>
        <w:instrText>,</w:instrText>
      </w:r>
      <w:r w:rsidR="00010E6B">
        <w:rPr>
          <w:rFonts w:hint="eastAsia"/>
        </w:rPr>
        <w:instrText>最终使文创产品设计充分满足受众对地域文化解读、认知与传播、消费的多元需求</w:instrText>
      </w:r>
      <w:r w:rsidR="00010E6B">
        <w:rPr>
          <w:rFonts w:hint="eastAsia"/>
        </w:rPr>
        <w:instrText>,</w:instrText>
      </w:r>
      <w:r w:rsidR="00010E6B">
        <w:rPr>
          <w:rFonts w:hint="eastAsia"/>
        </w:rPr>
        <w:instrText>形成对地域文化的认同感</w:instrText>
      </w:r>
      <w:r w:rsidR="00010E6B">
        <w:rPr>
          <w:rFonts w:hint="eastAsia"/>
        </w:rPr>
        <w:instrText>,</w:instrText>
      </w:r>
      <w:r w:rsidR="00010E6B">
        <w:rPr>
          <w:rFonts w:hint="eastAsia"/>
        </w:rPr>
        <w:instrText>提升文创产品的文化价值。</w:instrText>
      </w:r>
      <w:r w:rsidR="00010E6B">
        <w:rPr>
          <w:rFonts w:hint="eastAsia"/>
        </w:rPr>
        <w:instrText>","container-title":"</w:instrText>
      </w:r>
      <w:r w:rsidR="00010E6B">
        <w:rPr>
          <w:rFonts w:hint="eastAsia"/>
        </w:rPr>
        <w:instrText>包装工程</w:instrText>
      </w:r>
      <w:r w:rsidR="00010E6B">
        <w:rPr>
          <w:rFonts w:hint="eastAsia"/>
        </w:rPr>
        <w:instrText xml:space="preserve">","ISSN":"1001-3563","issue":"20","language":"zh-CN","note":"original-container-title: </w:instrText>
      </w:r>
      <w:r w:rsidR="00010E6B">
        <w:rPr>
          <w:rFonts w:hint="eastAsia"/>
        </w:rPr>
        <w:instrText>包装工程</w:instrText>
      </w:r>
      <w:r w:rsidR="00010E6B">
        <w:rPr>
          <w:rFonts w:hint="eastAsia"/>
        </w:rPr>
        <w:instrText>\ndownload: 3890\nalbum: (C) Architecture/ Energy/ Traffic/ Electromechanics, etc\nCLC: TB472\nCNKICite: 85\ndbcode: CJFD\ndbname: CJFDLAST2021\nfilename: bzgc202120020\nCIF: 2.285\nAIF: 1.299","page":"188-195","source":"CNKI","tit</w:instrText>
      </w:r>
      <w:r w:rsidR="00010E6B">
        <w:instrText xml:space="preserve">le":"Regional Cultural and Creative Products Design Based on Morris’s Semiotics","volume":"42","author":[{"literal":"ChunLi"},{"literal":"FengxiaoSun"},{"literal":"YangXiao"},{"literal":"JingyanQin"}],"issued":{"date-parts":[["2021"]]}}}],"schema":"https://github.com/citation-style-language/schema/raw/master/csl-citation.json"} </w:instrText>
      </w:r>
      <w:r w:rsidR="00010E6B">
        <w:fldChar w:fldCharType="separate"/>
      </w:r>
      <w:r w:rsidR="00010E6B" w:rsidRPr="00010E6B">
        <w:rPr>
          <w:rFonts w:ascii="Aptos" w:cs="Times New Roman"/>
          <w:kern w:val="0"/>
        </w:rPr>
        <w:t xml:space="preserve">(ChunLi </w:t>
      </w:r>
      <w:r w:rsidR="00010E6B" w:rsidRPr="00010E6B">
        <w:rPr>
          <w:rFonts w:ascii="Aptos" w:cs="Times New Roman"/>
          <w:i/>
          <w:iCs/>
          <w:kern w:val="0"/>
        </w:rPr>
        <w:t>et al.</w:t>
      </w:r>
      <w:r w:rsidR="00010E6B" w:rsidRPr="00010E6B">
        <w:rPr>
          <w:rFonts w:ascii="Aptos" w:cs="Times New Roman"/>
          <w:kern w:val="0"/>
        </w:rPr>
        <w:t>, 2021)</w:t>
      </w:r>
      <w:r w:rsidR="00010E6B">
        <w:fldChar w:fldCharType="end"/>
      </w:r>
      <w:r w:rsidR="009D6507" w:rsidRPr="009D6507">
        <w:t>.</w:t>
      </w:r>
    </w:p>
    <w:p w14:paraId="1C8FABF6" w14:textId="21E0F706" w:rsidR="004B2E56" w:rsidRDefault="00503F67" w:rsidP="004E4EBC">
      <w:r w:rsidRPr="00503F67">
        <w:t xml:space="preserve">At the micro level, the embodied cognition theory contends that human cognition is not merely dominated by the brain but is profoundly influenced by the interaction of body movements, sensory experiences, and the environment </w:t>
      </w:r>
      <w:r w:rsidR="00CE5EFD">
        <w:rPr>
          <w:rFonts w:ascii="Aptos" w:hAnsi="Aptos"/>
          <w:kern w:val="0"/>
          <w:lang w:val="en-US"/>
          <w14:ligatures w14:val="none"/>
        </w:rPr>
        <w:fldChar w:fldCharType="begin"/>
      </w:r>
      <w:r w:rsidR="00CE5EFD">
        <w:rPr>
          <w:rFonts w:ascii="Aptos" w:hAnsi="Aptos"/>
          <w:kern w:val="0"/>
          <w:lang w:val="en-US"/>
          <w14:ligatures w14:val="none"/>
        </w:rPr>
        <w:instrText xml:space="preserve"> ADDIN ZOTERO_ITEM CSL_CITATION {"citationID":"3DEfQNgr","properties":{"formattedCitation":"(Wilson, 2002)","plainCitation":"(Wilson, 2002)","noteIndex":0},"citationItems":[{"id":2203,"uris":["http://zotero.org/users/16578089/items/G4PG8MPK"],"itemData":{"id":2203,"type":"article-journal","abstract":"The emerging viewpoint of embodied cognition holds that cognitive processes are deeply rooted in the body’s interactions with the world. This position actually houses a number of distinct claims, some of which are more controversial than others. This paper distinguishes and evaluates the following six claims: (1) cognition is situated; (2) cognition is time-pressured; (3) we off-load cognitive work onto the environment; (4) the environment is part of the cognitive system; (5) cognition is for action; (6) offline cognition is body based. Of these, the first three and the fifth appear to be at least partially true, and their usefulness is best evaluated in terms of the range of their applicability. The fourth claim, I argue, is deeply problematic. The sixth claim has received the least attention in the literature on embodied cognition, but it may in fact be the best documented and most powerful of the six claims.","container-title":"Psychonomic Bulletin &amp; Review","DOI":"10.3758/BF03196322","ISSN":"1531-5320","issue":"4","journalAbbreviation":"Psychonomic Bulletin &amp; Review","language":"en","page":"625-636","source":"Springer Link","title":"Six views of embodied cognition","volume":"9","author":[{"family":"Wilson","given":"Margaret"}],"issued":{"date-parts":[["2002",12,1]]}}}],"schema":"https://github.com/citation-style-language/schema/raw/master/csl-citation.json"} </w:instrText>
      </w:r>
      <w:r w:rsidR="00CE5EFD">
        <w:rPr>
          <w:rFonts w:ascii="Aptos" w:hAnsi="Aptos"/>
          <w:kern w:val="0"/>
          <w:lang w:val="en-US"/>
          <w14:ligatures w14:val="none"/>
        </w:rPr>
        <w:fldChar w:fldCharType="separate"/>
      </w:r>
      <w:r w:rsidR="00CE5EFD">
        <w:rPr>
          <w:rFonts w:ascii="Aptos" w:hAnsi="Aptos"/>
          <w:noProof/>
          <w:kern w:val="0"/>
          <w:lang w:val="en-US"/>
          <w14:ligatures w14:val="none"/>
        </w:rPr>
        <w:t>(Wilson, 2002)</w:t>
      </w:r>
      <w:r w:rsidR="00CE5EFD">
        <w:rPr>
          <w:rFonts w:ascii="Aptos" w:hAnsi="Aptos"/>
          <w:kern w:val="0"/>
          <w:lang w:val="en-US"/>
          <w14:ligatures w14:val="none"/>
        </w:rPr>
        <w:fldChar w:fldCharType="end"/>
      </w:r>
      <w:r w:rsidR="00E87742">
        <w:rPr>
          <w:rFonts w:hint="eastAsia"/>
        </w:rPr>
        <w:t>.</w:t>
      </w:r>
      <w:r w:rsidR="008F7E3D">
        <w:rPr>
          <w:rFonts w:hint="eastAsia"/>
        </w:rPr>
        <w:t xml:space="preserve"> </w:t>
      </w:r>
      <w:r w:rsidRPr="00503F67">
        <w:t xml:space="preserve">In the construction of cultural experiences, the body is not only an instrument of expression </w:t>
      </w:r>
      <w:r w:rsidRPr="00503F67">
        <w:lastRenderedPageBreak/>
        <w:t xml:space="preserve">but also a locus of meaning generation. The embodied theory has been extensively applied in studies on product experience and identity </w:t>
      </w:r>
      <w:r w:rsidR="00595635">
        <w:fldChar w:fldCharType="begin"/>
      </w:r>
      <w:r w:rsidR="00595635">
        <w:instrText xml:space="preserve"> ADDIN ZOTERO_ITEM CSL_CITATION {"citationID":"TNrZwomx","properties":{"formattedCitation":"(Glenberg, 2010)","plainCitation":"(Glenberg, 2010)","noteIndex":0},"citationItems":[{"id":2244,"uris":["http://zotero.org/users/16578089/items/QCNIZ6DF"],"itemData":{"id":2244,"type":"article-journal","abstract":"A basic claim of the embodiment framework is that all psychological processes are influenced by body morphology, sensory systems, motor systems, and emotions. As such, the framework holds the promise of providing a unifying perspective for psychological research. This article begins with a sketch of several arguments, from evolution to philosophy, as to why the embodiment framework is a good bet. These arguments are followed by a review of approaches to embodiment, including those from cognitive linguistics, perceptual symbol theory, and action-based theories. Finally, examples are provided for how a unifying perspective might work for cognition (including language and memory), cognitive and social development, social psychology, neuroscience, clinical psychology, and psychology applied to education. Copyright © 2010 John Wiley &amp; Sons, Ltd. This article is categorized under: Psychology &gt; Theory and Methods","container-title":"WIREs Cognitive Science","DOI":"10.1002/wcs.55","ISSN":"1939-5086","issue":"4","language":"en","license":"Copyright © 2010 John Wiley &amp; Sons, Ltd.","note":"_eprint: https://onlinelibrary.wiley.com/doi/pdf/10.1002/wcs.55\nTLDR: This article begins with a sketch of several arguments, from evolution to philosophy, as to why the embodiment framework is a good bet, followed by a review of approaches to embodiment, including those from cognitive linguistics, perceptual symbol theory, and action-based theories.","page":"586-596","source":"Wiley Online Library","title":"Embodiment as a unifying perspective for psychology","volume":"1","author":[{"family":"Glenberg","given":"Arthur M."}],"issued":{"date-parts":[["2010"]]}}}],"schema":"https://github.com/citation-style-language/schema/raw/master/csl-citation.json"} </w:instrText>
      </w:r>
      <w:r w:rsidR="00595635">
        <w:fldChar w:fldCharType="separate"/>
      </w:r>
      <w:r w:rsidR="00595635">
        <w:rPr>
          <w:noProof/>
        </w:rPr>
        <w:t>(Glenberg, 2010)</w:t>
      </w:r>
      <w:r w:rsidR="00595635">
        <w:fldChar w:fldCharType="end"/>
      </w:r>
      <w:r w:rsidRPr="00503F67">
        <w:t xml:space="preserve">, and is particularly applicable for explicating how users, when donning cultural </w:t>
      </w:r>
      <w:r w:rsidR="00A218BD" w:rsidRPr="00503F67">
        <w:t>jewellery</w:t>
      </w:r>
      <w:r w:rsidRPr="00503F67">
        <w:t xml:space="preserve">, activate their emotional responses and sense of belonging to specific cultural symbols through </w:t>
      </w:r>
      <w:r w:rsidR="00931EB2" w:rsidRPr="00503F67">
        <w:t>micro</w:t>
      </w:r>
      <w:r w:rsidR="002A72CD">
        <w:rPr>
          <w:rFonts w:hint="eastAsia"/>
        </w:rPr>
        <w:t>-</w:t>
      </w:r>
      <w:r w:rsidR="00931EB2" w:rsidRPr="00503F67">
        <w:t>sensory</w:t>
      </w:r>
      <w:r w:rsidRPr="00503F67">
        <w:t xml:space="preserve"> experiences such as touch, the sensation of gravity, and wearing rituals.</w:t>
      </w:r>
    </w:p>
    <w:p w14:paraId="15DDAC71" w14:textId="77777777" w:rsidR="007F1536" w:rsidRPr="00293785" w:rsidRDefault="007F1536" w:rsidP="007F1536">
      <w:pPr>
        <w:rPr>
          <w:rFonts w:ascii="Aptos" w:hAnsi="Aptos"/>
          <w:b/>
          <w:bCs/>
        </w:rPr>
      </w:pPr>
      <w:r w:rsidRPr="00293785">
        <w:rPr>
          <w:rFonts w:ascii="Aptos" w:hAnsi="Aptos"/>
          <w:b/>
          <w:bCs/>
        </w:rPr>
        <w:t>2.3 Prior Studied</w:t>
      </w:r>
    </w:p>
    <w:p w14:paraId="65AD7445" w14:textId="00D7DE8D" w:rsidR="00D42FEC" w:rsidRDefault="00DE68F4" w:rsidP="004E4EBC">
      <w:r w:rsidRPr="00DE68F4">
        <w:t>The research on the symbolic expression of traditional Chinese cultural elements is growing increasingly. The literature related to architectural imagery, traditional pattern designs, spatial structures, etc., not only encompasses theoretical analyses but also involves design practices, which plays a certain role in the protection and inheritance of cultural heritage. Meanwhile, the emphasis on user emotional experience is also manifested in the research.</w:t>
      </w:r>
    </w:p>
    <w:p w14:paraId="284F7F8E" w14:textId="757DF04D" w:rsidR="00DE68F4" w:rsidRDefault="00E51684" w:rsidP="004E4EBC">
      <w:r w:rsidRPr="00E51684">
        <w:t>Past research explored architectural imagery, traditional patterns, and spatial structures. Scholars have translated Portuguese-style pavements and Wei-Jin garden imagery into design objects using AI and semiotics</w:t>
      </w:r>
      <w:r w:rsidR="009206BF">
        <w:fldChar w:fldCharType="begin"/>
      </w:r>
      <w:r w:rsidR="009206BF">
        <w:instrText xml:space="preserve"> ADDIN ZOTERO_ITEM CSL_CITATION {"citationID":"FckvXMjR","properties":{"formattedCitation":"(JiaxingLiu, YongchaoZhu, and YinCui, 2023)","plainCitation":"(JiaxingLiu, YongchaoZhu, and YinCui, 2023)","noteIndex":0},"citationItems":[{"id":543,"uris":["http:</w:instrText>
      </w:r>
      <w:r w:rsidR="009206BF">
        <w:rPr>
          <w:rFonts w:hint="eastAsia"/>
        </w:rPr>
        <w:instrText>//zotero.org/users/16578089/items/8YNF43F9"],"itemData":{"id":543,"type":"article-journal","abstract":"</w:instrText>
      </w:r>
      <w:r w:rsidR="009206BF">
        <w:rPr>
          <w:rFonts w:hint="eastAsia"/>
        </w:rPr>
        <w:instrText>目的</w:instrText>
      </w:r>
      <w:r w:rsidR="009206BF">
        <w:rPr>
          <w:rFonts w:hint="eastAsia"/>
        </w:rPr>
        <w:instrText xml:space="preserve"> </w:instrText>
      </w:r>
      <w:r w:rsidR="009206BF">
        <w:rPr>
          <w:rFonts w:hint="eastAsia"/>
        </w:rPr>
        <w:instrText>在数智化时代背景下，探讨如何有效地将</w:instrText>
      </w:r>
      <w:r w:rsidR="009206BF">
        <w:rPr>
          <w:rFonts w:hint="eastAsia"/>
        </w:rPr>
        <w:instrText>AI</w:instrText>
      </w:r>
      <w:r w:rsidR="009206BF">
        <w:rPr>
          <w:rFonts w:hint="eastAsia"/>
        </w:rPr>
        <w:instrText>生成技术应用于澳门文创产品的设计之中。方法运用查尔斯·莫里斯符号学理论，以澳门城市大学校园文创为例，从语义、语形、语用三个维度分析其文化符号，并结合</w:instrText>
      </w:r>
      <w:r w:rsidR="009206BF">
        <w:rPr>
          <w:rFonts w:hint="eastAsia"/>
        </w:rPr>
        <w:instrText>AI</w:instrText>
      </w:r>
      <w:r w:rsidR="009206BF">
        <w:rPr>
          <w:rFonts w:hint="eastAsia"/>
        </w:rPr>
        <w:instrText>生成工具</w:instrText>
      </w:r>
      <w:r w:rsidR="009206BF">
        <w:rPr>
          <w:rFonts w:hint="eastAsia"/>
        </w:rPr>
        <w:instrText>Midjounery</w:instrText>
      </w:r>
      <w:r w:rsidR="009206BF">
        <w:rPr>
          <w:rFonts w:hint="eastAsia"/>
        </w:rPr>
        <w:instrText>以构建文创设计理论框架。首先，从语义维度梳理文化符号中能指与所指的关系；其次，从语形维度选取文化符号并提取其形式；然后，运用</w:instrText>
      </w:r>
      <w:r w:rsidR="009206BF">
        <w:rPr>
          <w:rFonts w:hint="eastAsia"/>
        </w:rPr>
        <w:instrText>AI</w:instrText>
      </w:r>
      <w:r w:rsidR="009206BF">
        <w:rPr>
          <w:rFonts w:hint="eastAsia"/>
        </w:rPr>
        <w:instrText>生成工具</w:instrText>
      </w:r>
      <w:r w:rsidR="009206BF">
        <w:rPr>
          <w:rFonts w:hint="eastAsia"/>
        </w:rPr>
        <w:instrText>Midjourney</w:instrText>
      </w:r>
      <w:r w:rsidR="009206BF">
        <w:rPr>
          <w:rFonts w:hint="eastAsia"/>
        </w:rPr>
        <w:instrText>对提取的符号进行智能生成，创造出符合用户需求的多样化效果；最后，将智能生成的符号元素与产品形式相结合，从语用维度实现基于澳门葡式铺装文化符号的文创产品设计。结果</w:instrText>
      </w:r>
      <w:r w:rsidR="009206BF">
        <w:rPr>
          <w:rFonts w:hint="eastAsia"/>
        </w:rPr>
        <w:instrText xml:space="preserve"> </w:instrText>
      </w:r>
      <w:r w:rsidR="009206BF">
        <w:rPr>
          <w:rFonts w:hint="eastAsia"/>
        </w:rPr>
        <w:instrText>本文构建了“符号释义—形态呈现—</w:instrText>
      </w:r>
      <w:r w:rsidR="009206BF">
        <w:rPr>
          <w:rFonts w:hint="eastAsia"/>
        </w:rPr>
        <w:instrText>AI</w:instrText>
      </w:r>
      <w:r w:rsidR="009206BF">
        <w:rPr>
          <w:rFonts w:hint="eastAsia"/>
        </w:rPr>
        <w:instrText>生成应用推广”的设计逻辑，以校园文创为例进行设计应用并验证其可行性。结论</w:instrText>
      </w:r>
      <w:r w:rsidR="009206BF">
        <w:rPr>
          <w:rFonts w:hint="eastAsia"/>
        </w:rPr>
        <w:instrText xml:space="preserve"> </w:instrText>
      </w:r>
      <w:r w:rsidR="009206BF">
        <w:rPr>
          <w:rFonts w:hint="eastAsia"/>
        </w:rPr>
        <w:instrText>研究结果表明了将</w:instrText>
      </w:r>
      <w:r w:rsidR="009206BF">
        <w:rPr>
          <w:rFonts w:hint="eastAsia"/>
        </w:rPr>
        <w:instrText>AI</w:instrText>
      </w:r>
      <w:r w:rsidR="009206BF">
        <w:rPr>
          <w:rFonts w:hint="eastAsia"/>
        </w:rPr>
        <w:instrText>生成技术应用于文创产品设计的有效性与可行性，为促进地域传统文化的保护、发展，以及学科交叉提供了有益参考和启示。</w:instrText>
      </w:r>
      <w:r w:rsidR="009206BF">
        <w:rPr>
          <w:rFonts w:hint="eastAsia"/>
        </w:rPr>
        <w:instrText>","container-title":"</w:instrText>
      </w:r>
      <w:r w:rsidR="009206BF">
        <w:rPr>
          <w:rFonts w:hint="eastAsia"/>
        </w:rPr>
        <w:instrText>包装工程</w:instrText>
      </w:r>
      <w:r w:rsidR="009206BF">
        <w:rPr>
          <w:rFonts w:hint="eastAsia"/>
        </w:rPr>
        <w:instrText xml:space="preserve">","ISSN":"1001-3563","issue":"18","language":"zh-CN","note":"original-container-title: </w:instrText>
      </w:r>
      <w:r w:rsidR="009206BF">
        <w:rPr>
          <w:rFonts w:hint="eastAsia"/>
        </w:rPr>
        <w:instrText>包装工程</w:instrText>
      </w:r>
      <w:r w:rsidR="009206BF">
        <w:rPr>
          <w:rFonts w:hint="eastAsia"/>
        </w:rPr>
        <w:instrText xml:space="preserve">\ndownload: 1504\nalbum: (C) Architecture/ Energy/ Traffic/ Electromechanics, etc\nCLC: TB472\nCNKICite: 8\ndbcode: CJFD\ndbname: CJFDLAST2023\nfilename: </w:instrText>
      </w:r>
      <w:r w:rsidR="009206BF">
        <w:instrText xml:space="preserve">bzgc202318001\nCIF: 2.285\nAIF: 1.299","page":"1-10","source":"CNKI","title":"Macau Cultural and Creative Design under the Background of Digital Intelligence Era: Take the Campus Cultural and Creative Product of City University of Macau as an Example","title-short":"Macau Cultural and Creative Design under the Background of Digital Intelligence Era","volume":"44","author":[{"literal":"JiaxingLiu"},{"literal":"YongchaoZhu"},{"literal":"YinCui"}],"issued":{"date-parts":[["2023"]]}}}],"schema":"https://github.com/citation-style-language/schema/raw/master/csl-citation.json"} </w:instrText>
      </w:r>
      <w:r w:rsidR="009206BF">
        <w:fldChar w:fldCharType="separate"/>
      </w:r>
      <w:r w:rsidR="009206BF">
        <w:rPr>
          <w:noProof/>
        </w:rPr>
        <w:t xml:space="preserve">(JiaxingLiu, </w:t>
      </w:r>
      <w:r w:rsidR="00B916C4">
        <w:rPr>
          <w:rFonts w:hint="eastAsia"/>
          <w:noProof/>
        </w:rPr>
        <w:t>et al.</w:t>
      </w:r>
      <w:r w:rsidR="009206BF">
        <w:rPr>
          <w:noProof/>
        </w:rPr>
        <w:t>, 2023)</w:t>
      </w:r>
      <w:r w:rsidR="009206BF">
        <w:fldChar w:fldCharType="end"/>
      </w:r>
      <w:r w:rsidR="00006095" w:rsidRPr="00006095">
        <w:t>. Similarly,</w:t>
      </w:r>
      <w:r w:rsidR="00474FDF">
        <w:rPr>
          <w:rFonts w:hint="eastAsia"/>
        </w:rPr>
        <w:t xml:space="preserve"> </w:t>
      </w:r>
      <w:proofErr w:type="spellStart"/>
      <w:r w:rsidR="00474FDF">
        <w:rPr>
          <w:rFonts w:hint="eastAsia"/>
        </w:rPr>
        <w:t>Zhengxu</w:t>
      </w:r>
      <w:proofErr w:type="spellEnd"/>
      <w:r w:rsidR="00474FDF">
        <w:rPr>
          <w:rFonts w:hint="eastAsia"/>
        </w:rPr>
        <w:t xml:space="preserve"> and Ning</w:t>
      </w:r>
      <w:r w:rsidR="00006095" w:rsidRPr="00006095">
        <w:t xml:space="preserve"> </w:t>
      </w:r>
      <w:r w:rsidR="00474FDF">
        <w:fldChar w:fldCharType="begin"/>
      </w:r>
      <w:r w:rsidR="00474FDF">
        <w:instrText xml:space="preserve"> ADDIN ZOTERO_ITEM CSL_CITATION {"citationID":"jYut6UkZ","properties":{"formattedCitation":"(Zhengxu and Ning, 2022)","plainCitation":"(Zhengxu and Ning, 2022)","noteIndex":0},"citationItems":[{"id":1964,"uris":["http://zotero.org/users/16578089/items/V8J2DLSU"],"itemData":{"id":1964,"type":"article-journal","abstract":"Wei-jin period was an important period for the development of Chinese classical gardens. The literati gardens in this period had formed a great influence on the development of gardens in later generations. The literati garden landscape not only integrates the characteristics of the former garden art, but also derived its own artistic style based on the art. The composition concept of being close to nature, the twists and turns, the spatial construction promoted layer by layer, and the presentation of strong artistic conception are all typical physical manifestations of the aesthetic thoughts at that time. Tracing back to the origin of the aesthetic thoughts contained in the garden landscape of Wei-jin period, which is also the physical art, taking the three-dimensional space structure as the cut-in point, combining its constituent elements and landscaping techniques, it can provide new ideas and inspiration for the space sense of modern jewelry design, and at the same time give a new life to the aesthetic thought of literati garden in Wei-jin period. Through the design practice, deconstruction and reorganization, this paper introduces the spatial aesthetic concept in the landscape art of Wei-jin period into the jewelry design, and designs the jewelry works with the assistance of some of the elements, and provides a valuable design theory.","container-title":"Journal of Gems &amp;amp; Gemmology","DOI":"10.15964/j.cnki.027jgg.2022.05.028","ISSN":"2096-9120","issue":"5","journalAbbreviation":"bshbsxzz","language":"zh-CN","license":"http://creativecommons.org/licenses/by/3.0/","page":"277-282","source":"jogg.cug.edu.cn","title":"The Application of Literati Garden Landscape in Wei-jin Period in Jewelry Design","volume":"24","author":[{"family":"Zhengxu","given":"Y. a. N."},{"family":"Ning","given":"Zhang"}],"issued":{"date-parts":[["2022",9,30]]}}}],"schema":"https://github.com/citation-style-language/schema/raw/master/csl-citation.json"} </w:instrText>
      </w:r>
      <w:r w:rsidR="00474FDF">
        <w:fldChar w:fldCharType="separate"/>
      </w:r>
      <w:r w:rsidR="00474FDF">
        <w:rPr>
          <w:noProof/>
        </w:rPr>
        <w:t>(2022)</w:t>
      </w:r>
      <w:r w:rsidR="00474FDF">
        <w:fldChar w:fldCharType="end"/>
      </w:r>
      <w:r w:rsidR="00646BAA">
        <w:rPr>
          <w:rFonts w:hint="eastAsia"/>
        </w:rPr>
        <w:t xml:space="preserve"> </w:t>
      </w:r>
      <w:r w:rsidR="00006095" w:rsidRPr="00006095">
        <w:t xml:space="preserve">conducted an analysis of the correlation between the imagery of Wei-Jin gardens and </w:t>
      </w:r>
      <w:r w:rsidR="001E0224" w:rsidRPr="00006095">
        <w:t>jewellery</w:t>
      </w:r>
      <w:r w:rsidR="00006095" w:rsidRPr="00006095">
        <w:t xml:space="preserve"> design. In contrast,</w:t>
      </w:r>
      <w:r w:rsidR="001E0224">
        <w:rPr>
          <w:rFonts w:hint="eastAsia"/>
        </w:rPr>
        <w:t xml:space="preserve"> Zhang and Wen</w:t>
      </w:r>
      <w:r w:rsidR="00006095" w:rsidRPr="00006095">
        <w:t xml:space="preserve"> </w:t>
      </w:r>
      <w:r w:rsidR="001E0224">
        <w:fldChar w:fldCharType="begin"/>
      </w:r>
      <w:r w:rsidR="001E0224">
        <w:instrText xml:space="preserve"> ADDIN ZOTERO_ITEM CSL_CITATION {"citationID":"3IFUoSvA","properties":{"formattedCitation":"(Zhang and Wen, 2020)","plainCitation":"(Zhang and Wen, 2020)","noteIndex":0},"citationItems":[{"id":1780,"uris":["http://zotero.org/users/16578089/items/KIT95GQ4"],"itemData":{"id":1780,"type":"article-journal","abstract":"In the context of the research on local architectural culture of Macao, this paper explores how architecture’s cultural elements can be integrated into cultural and creative product design at the pre-development stage. Therefore, local culture can be effectively disseminated through the medium of cultural and creative products. However, in the process of product design, seemingly, designers often rely on their experience as the main way to develop ideas and designs. This approach can fall short in generating sufficient cognition and interpretation between culture and product design, and the product may fail to truly reflect cultural and creative values. This paper focuses on the cultural elements and the designer’s cognition in design development of cultural and creative products. It applies theoretical concepts of Kansei engineering theory as the basis, and, combined with the Semantic Differential Method, tries to extract the most powerful product image elements that influence designers for better understanding of the cultural elements in design development. This paper aims to employ scientific methods to enable designers to better develop designs with cultural and creative connotations, thereby improving the success rate of cultural and creative products. It further proposes a model process of image perception to be employed by designers in early design research and the development stage. By enhancing the resonance of cultural elements for cultural and creative products, the model may shorten the perceptual distance between the designer and the local culture, improve the designer’s product development efficiency, and increase consumer satisfaction with the design outcome through added cultural and creative value. As such, the model can optimize the design development for cultural and creative products to achieve the public’s aesthetic and cultural expectations, as well as for a sustainable design approach.","container-title":"Sustainability","DOI":"10.3390/su12156263","ISSN":"2071-1050","issue":"15","language":"en","license":"http://creativecommons.org/licenses/by/3.0/","note":"number: 15\npublisher: Multidisciplinary Digital Publishing Institute\nTLDR: A model process of image perception to be employed by designers in early design research and the development stage that may shorten the perceptual distance between the designer and the local culture, improve the designer’s product development efficiency, and increase consumer satisfaction with the design outcome through added cultural and creative value.","page":"6263","source":"www.mdpi.com","title":"A Model Process of Integrating Context of Local Culture for Pre-Development Stage in the Design of Cultural and Creative Products—Using Macao’s Historical Buildings as an Example","volume":"12","author":[{"family":"Zhang","given":"Xizhi"},{"family":"Wen","given":"Kuo-Hsun"}],"issued":{"date-parts":[["2020",1]]}}}],"schema":"https://github.com/citation-style-language/schema/raw/master/csl-citation.json"} </w:instrText>
      </w:r>
      <w:r w:rsidR="001E0224">
        <w:fldChar w:fldCharType="separate"/>
      </w:r>
      <w:r w:rsidR="001E0224">
        <w:rPr>
          <w:rFonts w:hint="eastAsia"/>
          <w:noProof/>
        </w:rPr>
        <w:t>(</w:t>
      </w:r>
      <w:r w:rsidR="001E0224">
        <w:rPr>
          <w:noProof/>
        </w:rPr>
        <w:t>2020)</w:t>
      </w:r>
      <w:r w:rsidR="001E0224">
        <w:fldChar w:fldCharType="end"/>
      </w:r>
      <w:r w:rsidR="00006095" w:rsidRPr="00006095">
        <w:t xml:space="preserve"> placed greater emphasis on the role of </w:t>
      </w:r>
      <w:r w:rsidR="003768D3">
        <w:t>‘</w:t>
      </w:r>
      <w:r w:rsidR="00006095" w:rsidRPr="00006095">
        <w:t>contextual integration</w:t>
      </w:r>
      <w:r w:rsidR="003768D3">
        <w:t>’</w:t>
      </w:r>
      <w:r w:rsidR="00006095" w:rsidRPr="00006095">
        <w:t xml:space="preserve">, proposing that cultural translation should not merely be confined to form but should be founded on a systematic understanding of culture and the design process. </w:t>
      </w:r>
    </w:p>
    <w:p w14:paraId="16D3E8B4" w14:textId="2C828064" w:rsidR="00063F8C" w:rsidRDefault="009E68C8" w:rsidP="004E4EBC">
      <w:r w:rsidRPr="009E68C8">
        <w:t>In the aspect of traditional patterns and motifs, the research manifestations have been more concentrated on the commercialization process of Chinese traditional motifs and decorative patterns in design products. During the translation of the motifs, the conveyance of the imagery's meaning is of key importance. Designers should have a profound understanding of the cultural imagery carried by traditional motifs and convey it through their designs</w:t>
      </w:r>
      <w:r w:rsidR="00EE5F21">
        <w:rPr>
          <w:rFonts w:hint="eastAsia"/>
        </w:rPr>
        <w:t xml:space="preserve"> </w:t>
      </w:r>
      <w:r w:rsidR="009A1DBA">
        <w:fldChar w:fldCharType="begin"/>
      </w:r>
      <w:r w:rsidR="009A1DBA">
        <w:instrText xml:space="preserve"> ADDIN ZOTERO_ITEM CSL_CITATION {"citationID":"xsnaowHa","properties":{"formattedCitation":"(LiHe, 2022)","plainCitation":"(LiHe, 2022)","noteIndex":0},"citationItems":[{"id":1967,"uris":["http://zotero.org/users/16578089/items/VURAR3WV"],"itemData":{"id"</w:instrText>
      </w:r>
      <w:r w:rsidR="009A1DBA">
        <w:rPr>
          <w:rFonts w:hint="eastAsia"/>
        </w:rPr>
        <w:instrText>:1967,"type":"article-journal","abstract":"</w:instrText>
      </w:r>
      <w:r w:rsidR="009A1DBA">
        <w:rPr>
          <w:rFonts w:hint="eastAsia"/>
        </w:rPr>
        <w:instrText>传统图案是中华民族历代沿用、传承下来的图案</w:instrText>
      </w:r>
      <w:r w:rsidR="009A1DBA">
        <w:rPr>
          <w:rFonts w:hint="eastAsia"/>
        </w:rPr>
        <w:instrText>,</w:instrText>
      </w:r>
      <w:r w:rsidR="009A1DBA">
        <w:rPr>
          <w:rFonts w:hint="eastAsia"/>
        </w:rPr>
        <w:instrText>凝聚着相应时期独特的艺术审美</w:instrText>
      </w:r>
      <w:r w:rsidR="009A1DBA">
        <w:rPr>
          <w:rFonts w:hint="eastAsia"/>
        </w:rPr>
        <w:instrText>,</w:instrText>
      </w:r>
      <w:r w:rsidR="009A1DBA">
        <w:rPr>
          <w:rFonts w:hint="eastAsia"/>
        </w:rPr>
        <w:instrText>是中华民族的艺术</w:instrText>
      </w:r>
      <w:r w:rsidR="009A1DBA">
        <w:rPr>
          <w:rFonts w:hint="eastAsia"/>
        </w:rPr>
        <w:instrText>\"</w:instrText>
      </w:r>
      <w:r w:rsidR="009A1DBA">
        <w:rPr>
          <w:rFonts w:hint="eastAsia"/>
        </w:rPr>
        <w:instrText>史书</w:instrText>
      </w:r>
      <w:r w:rsidR="009A1DBA">
        <w:rPr>
          <w:rFonts w:hint="eastAsia"/>
        </w:rPr>
        <w:instrText>\",</w:instrText>
      </w:r>
      <w:r w:rsidR="009A1DBA">
        <w:rPr>
          <w:rFonts w:hint="eastAsia"/>
        </w:rPr>
        <w:instrText>也是中华民族璀璨文化的重要组成部分</w:instrText>
      </w:r>
      <w:r w:rsidR="009A1DBA">
        <w:rPr>
          <w:rFonts w:hint="eastAsia"/>
        </w:rPr>
        <w:instrText>.</w:instrText>
      </w:r>
      <w:r w:rsidR="009A1DBA">
        <w:rPr>
          <w:rFonts w:hint="eastAsia"/>
        </w:rPr>
        <w:instrText>现代首饰设计应古为今用、借鉴优秀的传统图案</w:instrText>
      </w:r>
      <w:r w:rsidR="009A1DBA">
        <w:rPr>
          <w:rFonts w:hint="eastAsia"/>
        </w:rPr>
        <w:instrText>,</w:instrText>
      </w:r>
      <w:r w:rsidR="009A1DBA">
        <w:rPr>
          <w:rFonts w:hint="eastAsia"/>
        </w:rPr>
        <w:instrText>在此基础上从样式与外观造型方面进行创新改造</w:instrText>
      </w:r>
      <w:r w:rsidR="009A1DBA">
        <w:rPr>
          <w:rFonts w:hint="eastAsia"/>
        </w:rPr>
        <w:instrText>,</w:instrText>
      </w:r>
      <w:r w:rsidR="009A1DBA">
        <w:rPr>
          <w:rFonts w:hint="eastAsia"/>
        </w:rPr>
        <w:instrText>使作品既符合现代生活理念</w:instrText>
      </w:r>
      <w:r w:rsidR="009A1DBA">
        <w:rPr>
          <w:rFonts w:hint="eastAsia"/>
        </w:rPr>
        <w:instrText>,</w:instrText>
      </w:r>
      <w:r w:rsidR="009A1DBA">
        <w:rPr>
          <w:rFonts w:hint="eastAsia"/>
        </w:rPr>
        <w:instrText>又具有传统文化情怀</w:instrText>
      </w:r>
      <w:r w:rsidR="009A1DBA">
        <w:rPr>
          <w:rFonts w:hint="eastAsia"/>
        </w:rPr>
        <w:instrText>.</w:instrText>
      </w:r>
      <w:r w:rsidR="009A1DBA">
        <w:rPr>
          <w:rFonts w:hint="eastAsia"/>
        </w:rPr>
        <w:instrText>本文结合传统图案的特点以及现代首饰设计的发展现状</w:instrText>
      </w:r>
      <w:r w:rsidR="009A1DBA">
        <w:rPr>
          <w:rFonts w:hint="eastAsia"/>
        </w:rPr>
        <w:instrText>,</w:instrText>
      </w:r>
      <w:r w:rsidR="009A1DBA">
        <w:rPr>
          <w:rFonts w:hint="eastAsia"/>
        </w:rPr>
        <w:instrText>简要分析传统图案在现代首饰中的表现形式</w:instrText>
      </w:r>
      <w:r w:rsidR="009A1DBA">
        <w:rPr>
          <w:rFonts w:hint="eastAsia"/>
        </w:rPr>
        <w:instrText>,</w:instrText>
      </w:r>
      <w:r w:rsidR="009A1DBA">
        <w:rPr>
          <w:rFonts w:hint="eastAsia"/>
        </w:rPr>
        <w:instrText>并对传统图案在现代首饰设计中的运用方法进行研究</w:instrText>
      </w:r>
      <w:r w:rsidR="009A1DBA">
        <w:rPr>
          <w:rFonts w:hint="eastAsia"/>
        </w:rPr>
        <w:instrText>.","container-title":"China Gems","DOI":"10.3969/j.issn.1004-3721.2022.02.011","ISSN":"1004-3721","issue":"2","note":"CLC: I206.2(</w:instrText>
      </w:r>
      <w:r w:rsidR="009A1DBA">
        <w:rPr>
          <w:rFonts w:hint="eastAsia"/>
        </w:rPr>
        <w:instrText>文学评论和研究</w:instrText>
      </w:r>
      <w:r w:rsidR="009A1DBA">
        <w:rPr>
          <w:rFonts w:hint="eastAsia"/>
        </w:rPr>
        <w:instrText>)D6(</w:instrText>
      </w:r>
      <w:r w:rsidR="009A1DBA">
        <w:rPr>
          <w:rFonts w:hint="eastAsia"/>
        </w:rPr>
        <w:instrText>中国政治</w:instrText>
      </w:r>
      <w:r w:rsidR="009A1DBA">
        <w:rPr>
          <w:rFonts w:hint="eastAsia"/>
        </w:rPr>
        <w:instrText>)G641(</w:instrText>
      </w:r>
      <w:r w:rsidR="009A1DBA">
        <w:rPr>
          <w:rFonts w:hint="eastAsia"/>
        </w:rPr>
        <w:instrText>高等教育</w:instrText>
      </w:r>
      <w:r w:rsidR="009A1DBA">
        <w:rPr>
          <w:rFonts w:hint="eastAsia"/>
        </w:rPr>
        <w:instrText>)","page":"64-68","source":"Wanfang Data","title":"A Casual Discussion on traditional patterns and Modern j</w:instrText>
      </w:r>
      <w:r w:rsidR="009A1DBA">
        <w:instrText xml:space="preserve">ewelry Design","author":[{"literal":"LiHe"}],"issued":{"date-parts":[["2022"]]}}}],"schema":"https://github.com/citation-style-language/schema/raw/master/csl-citation.json"} </w:instrText>
      </w:r>
      <w:r w:rsidR="009A1DBA">
        <w:fldChar w:fldCharType="separate"/>
      </w:r>
      <w:r w:rsidR="009A1DBA">
        <w:rPr>
          <w:noProof/>
        </w:rPr>
        <w:t>(LiHe, 2022)</w:t>
      </w:r>
      <w:r w:rsidR="009A1DBA">
        <w:fldChar w:fldCharType="end"/>
      </w:r>
      <w:r w:rsidRPr="009E68C8">
        <w:t>.</w:t>
      </w:r>
    </w:p>
    <w:p w14:paraId="4D26B834" w14:textId="4ABE0A89" w:rsidR="00D2278B" w:rsidRDefault="000B0B8F" w:rsidP="004E4EBC">
      <w:r w:rsidRPr="000B0B8F">
        <w:t>From the perspective of spatial structure, scholars' research and inheritance of traditional spatial concepts can also provide inspiration for design, especially jewellery design. The beauty of gardens lies not only in the beauty of their physical forms but also in the creation of space and the design of the tourist routes</w:t>
      </w:r>
      <w:r w:rsidR="00A847E1">
        <w:rPr>
          <w:rFonts w:hint="eastAsia"/>
        </w:rPr>
        <w:t xml:space="preserve"> </w:t>
      </w:r>
      <w:r w:rsidRPr="00293785">
        <w:rPr>
          <w:rFonts w:ascii="Aptos" w:hAnsi="Aptos"/>
          <w:lang w:val="en-US"/>
        </w:rPr>
        <w:fldChar w:fldCharType="begin"/>
      </w:r>
      <w:r w:rsidRPr="00293785">
        <w:rPr>
          <w:rFonts w:ascii="Aptos" w:hAnsi="Aptos"/>
          <w:lang w:val="en-US"/>
        </w:rPr>
        <w:instrText xml:space="preserve"> ADDIN ZOTERO_ITEM CSL_CITATION {"citationID":"UDJlOjJg","properties":{"formattedCitation":"(Chen, 2023)","plainCitation":"(Chen, 2023)","noteIndex":0},"citationItems":[{"id":2032,"uris":["http://zotero.org/users/16578089/items/KSIRL6A9"],"itemData":{"id":2032,"type":"article-journal","container-title":"Theses","source":"COinS","title":"The Exploration of Circular Space Structure in Jewelry Design","URL":"https://repository.rit.edu/theses/11594","author":[{"family":"Chen","given":"Shuling"}],"issued":{"date-parts":[["2023",8,15]]}}}],"schema":"https://github.com/citation-style-language/schema/raw/master/csl-citation.json"} </w:instrText>
      </w:r>
      <w:r w:rsidRPr="00293785">
        <w:rPr>
          <w:rFonts w:ascii="Aptos" w:hAnsi="Aptos"/>
          <w:lang w:val="en-US"/>
        </w:rPr>
        <w:fldChar w:fldCharType="separate"/>
      </w:r>
      <w:r w:rsidRPr="00293785">
        <w:rPr>
          <w:rFonts w:ascii="Aptos" w:hAnsi="Aptos"/>
          <w:noProof/>
          <w:lang w:val="en-US"/>
        </w:rPr>
        <w:t>(Chen, 2023)</w:t>
      </w:r>
      <w:r w:rsidRPr="00293785">
        <w:rPr>
          <w:rFonts w:ascii="Aptos" w:hAnsi="Aptos"/>
          <w:lang w:val="en-US"/>
        </w:rPr>
        <w:fldChar w:fldCharType="end"/>
      </w:r>
      <w:r w:rsidR="00A847E1">
        <w:rPr>
          <w:rFonts w:ascii="Aptos" w:hAnsi="Aptos"/>
          <w:lang w:val="en-US"/>
        </w:rPr>
        <w:fldChar w:fldCharType="begin"/>
      </w:r>
      <w:r w:rsidR="00A847E1">
        <w:rPr>
          <w:rFonts w:ascii="Aptos" w:hAnsi="Aptos"/>
          <w:lang w:val="en-US"/>
        </w:rPr>
        <w:instrText xml:space="preserve"> ADDIN ZOTERO_ITEM CSL_CITATION {"citationID":"D9y2hDqr","properties":{"formattedCitation":"(Zhengxu and Ning, 2022)","plainCitation":"(Zhengxu and Ning, 2022)","noteIndex":0},"citationItems":[{"id":1964,"uris":["http://zotero.org/users/16578089/items/V8J2DLSU"],"itemData":{"id":1964,"type":"article-journal","abstract":"Wei-jin period was an important period for the development of Chinese classical gardens. The literati gardens in this period had formed a great influence on the development of gardens in later generations. The literati garden landscape not only integrates the characteristics of the former garden art, but also derived its own artistic style based on the art. The composition concept of being close to nature, the twists and turns, the spatial construction promoted layer by layer, and the presentation of strong artistic conception are all typical physical manifestations of the aesthetic thoughts at that time. Tracing back to the origin of the aesthetic thoughts contained in the garden landscape of Wei-jin period, which is also the physical art, taking the three-dimensional space structure as the cut-in point, combining its constituent elements and landscaping techniques, it can provide new ideas and inspiration for the space sense of modern jewelry design, and at the same time give a new life to the aesthetic thought of literati garden in Wei-jin period. Through the design practice, deconstruction and reorganization, this paper introduces the spatial aesthetic concept in the landscape art of Wei-jin period into the jewelry design, and designs the jewelry works with the assistance of some of the elements, and provides a valuable design theory.","container-title":"Journal of Gems &amp;amp; Gemmology","DOI":"10.15964/j.cnki.027jgg.2022.05.028","ISSN":"2096-9120","issue":"5","journalAbbreviation":"bshbsxzz","language":"zh-CN","license":"http://creativecommons.org/licenses/by/3.0/","page":"277-282","source":"jogg.cug.edu.cn","title":"The Application of Literati Garden Landscape in Wei-jin Period in Jewelry Design","volume":"24","author":[{"family":"Zhengxu","given":"Y. a. N."},{"family":"Ning","given":"Zhang"}],"issued":{"date-parts":[["2022",9,30]]}}}],"schema":"https://github.com/citation-style-language/schema/raw/master/csl-citation.json"} </w:instrText>
      </w:r>
      <w:r w:rsidR="00A847E1">
        <w:rPr>
          <w:rFonts w:ascii="Aptos" w:hAnsi="Aptos"/>
          <w:lang w:val="en-US"/>
        </w:rPr>
        <w:fldChar w:fldCharType="separate"/>
      </w:r>
      <w:r w:rsidR="00A847E1">
        <w:rPr>
          <w:rFonts w:ascii="Aptos" w:hAnsi="Aptos"/>
          <w:noProof/>
          <w:lang w:val="en-US"/>
        </w:rPr>
        <w:t>(Zhengxu and Ning, 2022)</w:t>
      </w:r>
      <w:r w:rsidR="00A847E1">
        <w:rPr>
          <w:rFonts w:ascii="Aptos" w:hAnsi="Aptos"/>
          <w:lang w:val="en-US"/>
        </w:rPr>
        <w:fldChar w:fldCharType="end"/>
      </w:r>
      <w:r w:rsidRPr="000B0B8F">
        <w:t xml:space="preserve">. Research in the aspect of spatial structure emphasizes spatial experience. Zhu et al. </w:t>
      </w:r>
      <w:r w:rsidR="00A83744" w:rsidRPr="00293785">
        <w:rPr>
          <w:rFonts w:ascii="Aptos" w:hAnsi="Aptos"/>
          <w:lang w:val="en-US"/>
        </w:rPr>
        <w:fldChar w:fldCharType="begin"/>
      </w:r>
      <w:r w:rsidR="006A77D8">
        <w:rPr>
          <w:rFonts w:ascii="Aptos" w:hAnsi="Aptos"/>
          <w:lang w:val="en-US"/>
        </w:rPr>
        <w:instrText xml:space="preserve"> ADDIN ZOTERO_ITEM CSL_CITATION {"citationID":"7VT1NUax","properties":{"formattedCitation":"(Zhu {\\i{}et al.}, 2022)","plainCitation":"(Zhu et al., 2022)","dontUpdate":true,"noteIndex":0},"citationItems":[{"id":361,"uris":["http://zotero.org/users/16578089/items/SISCC9WF"],"itemData":{"id":361,"type":"article-journal","abstract":"It is common for visitors to have rich and varied experiences in the limited space of a classical Chinese garden. This leads to the sense that the garden’s scale is much larger than it really is. A main reason for this perceptual bias is the gardener’s manipulation of visual information. Most studies have discussed this phenomenon in terms of qualitative description with fragmented perspectives taken from static points, without considering ambient visual information or continuously changing observation points. A general question arises, then, on why depth perception can vary from one observation point to another along a garden path. To better understand the spatial experience in classical Chinese gardens, this study focused on variations in perceived depth among different observation points and aimed to identify influential visual information through psychophysical experimentation. As stimuli for the experiment, panoramic photos of Liu garden were taken from three positions at Lvyin Pavilion. Considering the effects of pictorial visual cues on depth perception, the photos were processed to create 18 kinds of stimuli (six image treatments * three positions). Two tasks were presented to the participants. In Task 1, 71 participants were asked to rate the depth value of the garden using the magnitude estimation method in a cave automatic virtual environment (CAVE). Statistical analysis of Task 1 revealed that depth values differed significantly among different viewpoints. In Task 2, participants were asked to compare 18 stimuli and 3D images presented on three connected monitors and to judge the depth of the garden using the adjustment method. The results of Task 2 again showed that depth values differed significantly among different viewpoints. In both tasks, ambient information (i.e., the perspective of interior space) significantly influenced depth perception.","container-title":"Frontiers in Psychology","DOI":"10.3389/fpsyg.2022</w:instrText>
      </w:r>
      <w:r w:rsidR="006A77D8">
        <w:rPr>
          <w:rFonts w:ascii="Aptos" w:hAnsi="Aptos" w:hint="eastAsia"/>
          <w:lang w:val="en-US"/>
        </w:rPr>
        <w:instrText>.963600","ISSN":"16641078","language":"English","note":"publisher: Frontiers Media S.A.","source":"EBSCOhost","title":"Effect of landscape design on depth perception in classical Chinese gardens: A quantitative analysis using virtual reality simulation</w:instrText>
      </w:r>
      <w:r w:rsidR="006A77D8">
        <w:rPr>
          <w:rFonts w:ascii="Aptos" w:hAnsi="Aptos" w:hint="eastAsia"/>
          <w:lang w:val="en-US"/>
        </w:rPr>
        <w:instrText>景观设计对中国古典园林深度感知的影响：使用虚拟现实模拟的定量分析</w:instrText>
      </w:r>
      <w:r w:rsidR="006A77D8">
        <w:rPr>
          <w:rFonts w:ascii="Aptos" w:hAnsi="Aptos" w:hint="eastAsia"/>
          <w:lang w:val="en-US"/>
        </w:rPr>
        <w:instrText>","title-short":"Effect of landscape design on depth perception in classical Chinese gardens","URL":"https://research.ebsco.com/linkprocessor/plink?id=910a3ee4-7466-3b8a-9ad2-45235250eb18","volume":"13","author":[{"family":"Zh</w:instrText>
      </w:r>
      <w:r w:rsidR="006A77D8">
        <w:rPr>
          <w:rFonts w:ascii="Aptos" w:hAnsi="Aptos"/>
          <w:lang w:val="en-US"/>
        </w:rPr>
        <w:instrText xml:space="preserve">u","given":"Haipeng"},{"family":"Gu","given":"Zongchao"},{"family":"Ohno","given":"Ryuzo"},{"family":"Kong","given":"Yuhang"}],"accessed":{"date-parts":[["2024",11,9]]},"issued":{"date-parts":[["2022",11,1]]}}}],"schema":"https://github.com/citation-style-language/schema/raw/master/csl-citation.json"} </w:instrText>
      </w:r>
      <w:r w:rsidR="00A83744" w:rsidRPr="00293785">
        <w:rPr>
          <w:rFonts w:ascii="Aptos" w:hAnsi="Aptos"/>
          <w:lang w:val="en-US"/>
        </w:rPr>
        <w:fldChar w:fldCharType="separate"/>
      </w:r>
      <w:r w:rsidR="00A83744" w:rsidRPr="00293785">
        <w:rPr>
          <w:rFonts w:ascii="Aptos" w:hAnsi="Aptos" w:cs="Times New Roman"/>
          <w:kern w:val="0"/>
        </w:rPr>
        <w:t>(2022)</w:t>
      </w:r>
      <w:r w:rsidR="00A83744" w:rsidRPr="00293785">
        <w:rPr>
          <w:rFonts w:ascii="Aptos" w:hAnsi="Aptos"/>
          <w:lang w:val="en-US"/>
        </w:rPr>
        <w:fldChar w:fldCharType="end"/>
      </w:r>
      <w:r w:rsidR="00523A6F">
        <w:rPr>
          <w:rFonts w:ascii="Aptos" w:hAnsi="Aptos" w:hint="eastAsia"/>
          <w:lang w:val="en-US"/>
        </w:rPr>
        <w:t xml:space="preserve"> </w:t>
      </w:r>
      <w:r w:rsidRPr="000B0B8F">
        <w:t xml:space="preserve">quantified the changes in depth perception in gardens through VR experiments, substantiating the profound effect of traditional garden spatial construction on perceptual experience. </w:t>
      </w:r>
    </w:p>
    <w:p w14:paraId="05FFA8F3" w14:textId="3ADD5A9C" w:rsidR="00640C30" w:rsidRDefault="00511618" w:rsidP="004E4EBC">
      <w:r w:rsidRPr="00511618">
        <w:t xml:space="preserve">In recent years, the role of user emotional experience in cultural translation has been increasing significantly. Cultural symbols are meaningful in inheritance only when they are accepted and favoured by users. Berni et al. </w:t>
      </w:r>
      <w:bookmarkStart w:id="2" w:name="OLE_LINK49"/>
      <w:r w:rsidRPr="00293785">
        <w:rPr>
          <w:rFonts w:ascii="Aptos" w:hAnsi="Aptos"/>
        </w:rPr>
        <w:fldChar w:fldCharType="begin"/>
      </w:r>
      <w:r w:rsidR="006A77D8">
        <w:rPr>
          <w:rFonts w:ascii="Aptos" w:hAnsi="Aptos"/>
        </w:rPr>
        <w:instrText xml:space="preserve"> ADDIN ZOTERO_ITEM CSL_CITATION {"citationID":"mLkb3HGY","properties":{"formattedCitation":"(Berni {\\i{}et al.}, 2023)","plainCitation":"(Berni et al., 2023)","dontUpdate":true,"noteIndex":0},"citationItems":[{"id":1163,"uris":["http://zotero.org/users/16578089/items/9PYSAM22"],"itemData":{"id":1163,"type":"article-journal","abstract":"User experience (UX) application in the practice of engineering and product design is still limited. The present paper provides insights into research on UX design and recommendations for design practitioners by pointing out common criticalities. These outcomes are achieved through a literature review on how UX relates to design. First, issues in benefitting from UX understanding in design are identified with a specific focus on theoretical contributions. Second, experimental papers investigating UX and design are analysed in relation to previously identified issues. Although issues are present to some extent in all the contributions, the empirical studies dealing with UX in design are overall valid. The results highlight UX’s support in revealing design requirements, but its capability of steering design processes is arguable, as concrete guidelines for practitioners are not well described. Based on identified issues, the authors propose a checklist to make UX studies in design more reliable and their outcomes more comparable.","container-title":"Design Science","DOI":"10.1017/dsj.2023.8","ISSN":"2053-4701","language":"en","page":"e10","source":"Cambridge University Press","title":"Fundamentals and issues of user experience in the process of designing consumer products","volume":"9","author":[{"family":"Berni","given":"Aurora"},{"family":"Borgianni","given":"Yuri"},{"family":"Basso","given":"Demis"},{"family":"Carbon","given":"Claus-Christian"}],"issued":{"date-parts":[["2023",1]]}}}],"schema":"https://github.com/citation-style-language/schema/raw/master/csl-citation.json"} </w:instrText>
      </w:r>
      <w:r w:rsidRPr="00293785">
        <w:rPr>
          <w:rFonts w:ascii="Aptos" w:hAnsi="Aptos"/>
        </w:rPr>
        <w:fldChar w:fldCharType="separate"/>
      </w:r>
      <w:r w:rsidRPr="00293785">
        <w:rPr>
          <w:rFonts w:ascii="Aptos" w:hAnsi="Aptos" w:cs="Times New Roman"/>
          <w:kern w:val="0"/>
        </w:rPr>
        <w:t>(2023)</w:t>
      </w:r>
      <w:r w:rsidRPr="00293785">
        <w:rPr>
          <w:rFonts w:ascii="Aptos" w:hAnsi="Aptos"/>
        </w:rPr>
        <w:fldChar w:fldCharType="end"/>
      </w:r>
      <w:bookmarkEnd w:id="2"/>
      <w:r w:rsidRPr="00511618">
        <w:t xml:space="preserve"> noted from the perspective of </w:t>
      </w:r>
      <w:r w:rsidRPr="00511618">
        <w:lastRenderedPageBreak/>
        <w:t>user experience that a good design should genuinely achieve an effective transformation from cultural symbols to product experience</w:t>
      </w:r>
      <w:r w:rsidR="00CA487C">
        <w:rPr>
          <w:rFonts w:hint="eastAsia"/>
        </w:rPr>
        <w:t>.</w:t>
      </w:r>
    </w:p>
    <w:p w14:paraId="400F03F4" w14:textId="77777777" w:rsidR="00755631" w:rsidRPr="00293785" w:rsidRDefault="00755631" w:rsidP="00755631">
      <w:pPr>
        <w:rPr>
          <w:rFonts w:ascii="Aptos" w:hAnsi="Aptos"/>
          <w:b/>
          <w:bCs/>
        </w:rPr>
      </w:pPr>
      <w:r w:rsidRPr="00293785">
        <w:rPr>
          <w:rFonts w:ascii="Aptos" w:hAnsi="Aptos"/>
          <w:b/>
          <w:bCs/>
        </w:rPr>
        <w:t>2.4 Research Gap</w:t>
      </w:r>
    </w:p>
    <w:p w14:paraId="12F195A3" w14:textId="2DD81C19" w:rsidR="00647ED3" w:rsidRDefault="001A2E6D" w:rsidP="004E4EBC">
      <w:r w:rsidRPr="001A2E6D">
        <w:t>Although the existing studies have focused on the translation practices of traditional cultural elements in product and visual design, there still exists an obvious disjunction between theory and method in the path of transforming the cultural genes of Jiangnan gardens into wearable jewellery media. The majority of the studies remain at the level of visual symbol appropriation and have failed to systematically extract their deep structures and re-encode them. Secondly, in the material translation process of cultural genes, an operational theoretical framework has not yet been formed. Furthermore, the practical methods of cross-media translation remain a research void, and there is an urgent need to establish an interdisciplinary cultural translation mechanism to achieve the design practice of wearable jewellery translation.</w:t>
      </w:r>
    </w:p>
    <w:p w14:paraId="560A41F9" w14:textId="53036AE1" w:rsidR="00DE1B6D" w:rsidRDefault="00DE1B6D">
      <w:r>
        <w:br w:type="page"/>
      </w:r>
    </w:p>
    <w:bookmarkEnd w:id="1"/>
    <w:p w14:paraId="393BDB42" w14:textId="79E8FBA9" w:rsidR="00DE1B6D" w:rsidRPr="00DE1B6D" w:rsidRDefault="00DE1B6D" w:rsidP="00DE1B6D">
      <w:pPr>
        <w:rPr>
          <w:rFonts w:ascii="Aptos" w:hAnsi="Aptos"/>
          <w:b/>
          <w:bCs/>
          <w:sz w:val="32"/>
          <w:szCs w:val="32"/>
          <w:lang w:val="en-US"/>
        </w:rPr>
      </w:pPr>
      <w:r>
        <w:rPr>
          <w:rFonts w:ascii="Aptos" w:hAnsi="Aptos" w:hint="eastAsia"/>
          <w:b/>
          <w:bCs/>
          <w:sz w:val="32"/>
          <w:szCs w:val="32"/>
          <w:lang w:val="en-US"/>
        </w:rPr>
        <w:lastRenderedPageBreak/>
        <w:t>3.</w:t>
      </w:r>
      <w:r w:rsidRPr="00DE1B6D">
        <w:rPr>
          <w:rFonts w:ascii="Aptos" w:hAnsi="Aptos"/>
          <w:b/>
          <w:bCs/>
          <w:sz w:val="32"/>
          <w:szCs w:val="32"/>
          <w:lang w:val="en-US"/>
        </w:rPr>
        <w:t>Methodology</w:t>
      </w:r>
    </w:p>
    <w:p w14:paraId="6FA54962" w14:textId="77777777" w:rsidR="00A70F4E" w:rsidRPr="00293785" w:rsidRDefault="00A70F4E" w:rsidP="00A70F4E">
      <w:pPr>
        <w:rPr>
          <w:rFonts w:ascii="Aptos" w:hAnsi="Aptos"/>
          <w:b/>
          <w:bCs/>
          <w:lang w:val="en-US"/>
        </w:rPr>
      </w:pPr>
      <w:r w:rsidRPr="00293785">
        <w:rPr>
          <w:rFonts w:ascii="Aptos" w:hAnsi="Aptos"/>
          <w:b/>
          <w:bCs/>
          <w:lang w:val="en-US"/>
        </w:rPr>
        <w:t>3.1 Research strategy</w:t>
      </w:r>
    </w:p>
    <w:p w14:paraId="45282051" w14:textId="2BCA074E" w:rsidR="00DE1B6D" w:rsidRDefault="00147501" w:rsidP="004E4EBC">
      <w:r w:rsidRPr="00147501">
        <w:t xml:space="preserve">This study aims to explore how the cultural genes of Jiangnan gardens can be symbolically translated through wearable jewellery media and to construct a three-layer translation model of </w:t>
      </w:r>
      <w:r>
        <w:t>‘</w:t>
      </w:r>
      <w:r w:rsidRPr="00147501">
        <w:t>cultural genes - design symbol encoding - user experience</w:t>
      </w:r>
      <w:r>
        <w:t>’</w:t>
      </w:r>
      <w:r w:rsidRPr="00147501">
        <w:t xml:space="preserve">. The study adopts design ethnography (DE). DE conducts </w:t>
      </w:r>
      <w:r w:rsidR="00121455">
        <w:t>‘</w:t>
      </w:r>
      <w:r w:rsidRPr="00147501">
        <w:t>thick description</w:t>
      </w:r>
      <w:r w:rsidR="00121455">
        <w:t>’</w:t>
      </w:r>
      <w:r w:rsidRPr="00147501">
        <w:t xml:space="preserve"> of the interaction between designers' creation and users' wearing through in-depth field observation, semi-structured interviews, cultural probes, etc., and feeds the observed features back into prototype</w:t>
      </w:r>
      <w:r w:rsidR="00270CD1">
        <w:rPr>
          <w:rFonts w:hint="eastAsia"/>
        </w:rPr>
        <w:t xml:space="preserve"> </w:t>
      </w:r>
      <w:r w:rsidR="00270CD1" w:rsidRPr="00293785">
        <w:rPr>
          <w:rFonts w:ascii="Aptos" w:hAnsi="Aptos"/>
          <w:lang w:val="en-US"/>
        </w:rPr>
        <w:fldChar w:fldCharType="begin"/>
      </w:r>
      <w:r w:rsidR="00270CD1" w:rsidRPr="00293785">
        <w:rPr>
          <w:rFonts w:ascii="Aptos" w:hAnsi="Aptos"/>
          <w:lang w:val="en-US"/>
        </w:rPr>
        <w:instrText xml:space="preserve"> ADDIN ZOTERO_ITEM CSL_CITATION {"citationID":"PGJbrIZE","properties":{"formattedCitation":"(Salvador, Bell and Anderson, 1999; Pink, 2015)","plainCitation":"(Salvador, Bell and Anderson, 1999; Pink, 2015)","noteIndex":0},"citationItems":[{"id":2131,"uris":["http://zotero.org/users/16578089/items/LLGGN9I7"],"itemData":{"id":2131,"type":"article-journal","abstract":"LACKING OTHER criteria, we make judgments based on our own culture, values, and experience. The trouble is this narrow point of view isn't effective in the global marketplace. Design ethnography extends the cultural panorama. Illustrating this strategy and trying to decipher its implications for developing products and services, Tony Salvador, Genevieve Bell, and Ken Anderson ponder the relationships between the American family room and the Italian kitchen table, between food shopping and the importance of friendship.","container-title":"Design Management Journal (Former Series)","DOI":"10.1111/j.1948-7169.1999.tb00274.x","ISSN":"1948-7169","issue":"4","language":"en","license":"1999 Design Management Institute","note":"_eprint: https://onlinelibrary.wiley.com/doi/pdf/10.1111/j.1948-7169.1999.tb00274.x","page":"35-41","source":"Wiley Online Library","title":"Design Ethnography","volume":"10","author":[{"family":"Salvador","given":"Tony"},{"family":"Bell","given":"Genevieve"},{"family":"Anderson","given":"Ken"}],"issued":{"date-parts":[["1999"]]}}},{"id":1954,"uris":["http://zotero.org/users/16578089/items/HSGBBRY7"],"itemData":{"id":1954,"type":"book","ISBN":"978-1-4739-0595-5","language":"English","publisher":"SAGE Publications Ltd","source":"research.monash.edu","title":"Doing Sensory Ethnography","URL":"https://research.monash.edu/en/publications/doing-sensory-ethnography-2","author":[{"family":"Pink","given":"Sarah"}],"accessed":{"date-parts":[["2025",4,18]]},"issued":{"date-parts":[["2015"]]}}}],"schema":"https://github.com/citation-style-language/schema/raw/master/csl-citation.json"} </w:instrText>
      </w:r>
      <w:r w:rsidR="00270CD1" w:rsidRPr="00293785">
        <w:rPr>
          <w:rFonts w:ascii="Aptos" w:hAnsi="Aptos"/>
          <w:lang w:val="en-US"/>
        </w:rPr>
        <w:fldChar w:fldCharType="separate"/>
      </w:r>
      <w:r w:rsidR="00270CD1" w:rsidRPr="00293785">
        <w:rPr>
          <w:rFonts w:ascii="Aptos" w:hAnsi="Aptos"/>
          <w:noProof/>
          <w:lang w:val="en-US"/>
        </w:rPr>
        <w:t>(Salvador, Bell and Anderson, 1999; Pink, 2015)</w:t>
      </w:r>
      <w:r w:rsidR="00270CD1" w:rsidRPr="00293785">
        <w:rPr>
          <w:rFonts w:ascii="Aptos" w:hAnsi="Aptos"/>
          <w:lang w:val="en-US"/>
        </w:rPr>
        <w:fldChar w:fldCharType="end"/>
      </w:r>
      <w:r w:rsidRPr="00147501">
        <w:t>. In qualitative research, small-scale quantitative experience measurement is introduced to form a mixed-method framework, thereby enhancing the verification of the differences in experience.</w:t>
      </w:r>
    </w:p>
    <w:p w14:paraId="5669664E" w14:textId="7AB04FBD" w:rsidR="00A05BE8" w:rsidRDefault="00307B04" w:rsidP="004E4EBC">
      <w:r w:rsidRPr="00307B04">
        <w:t xml:space="preserve">The reason for adopting design ethnography is that the translation of garden symbols and the experience of jewellery media must be placed in a real context, involving space, material and emotion. DE emphasizes field immersion in multimodal recording, which can accurately capture multi-sensory clues and explore users' hidden needs </w:t>
      </w:r>
      <w:r w:rsidR="00493064">
        <w:rPr>
          <w:rFonts w:ascii="Aptos" w:hAnsi="Aptos"/>
          <w:kern w:val="0"/>
          <w:lang w:val="en-US"/>
          <w14:ligatures w14:val="none"/>
        </w:rPr>
        <w:fldChar w:fldCharType="begin"/>
      </w:r>
      <w:r w:rsidR="00493064">
        <w:rPr>
          <w:rFonts w:ascii="Aptos" w:hAnsi="Aptos"/>
          <w:kern w:val="0"/>
          <w:lang w:val="en-US"/>
          <w14:ligatures w14:val="none"/>
        </w:rPr>
        <w:instrText xml:space="preserve"> ADDIN ZOTERO_ITEM CSL_CITATION {"citationID":"kK0BqvZW","properties":{"formattedCitation":"(Salvador, Bell and Anderson, 1999)","plainCitation":"(Salvador, Bell and Anderson, 1999)","noteIndex":0},"citationItems":[{"id":2131,"uris":["http://zotero.org/users/16578089/items/LLGGN9I7"],"itemData":{"id":2131,"type":"article-journal","abstract":"LACKING OTHER criteria, we make judgments based on our own culture, values, and experience. The trouble is this narrow point of view isn't effective in the global marketplace. Design ethnography extends the cultural panorama. Illustrating this strategy and trying to decipher its implications for developing products and services, Tony Salvador, Genevieve Bell, and Ken Anderson ponder the relationships between the American family room and the Italian kitchen table, between food shopping and the importance of friendship.","container-title":"Design Management Journal (Former Series)","DOI":"10.1111/j.1948-7169.1999.tb00274.x","ISSN":"1948-7169","issue":"4","language":"en","license":"1999 Design Management Institute","note":"_eprint: https://onlinelibrary.wiley.com/doi/pdf/10.1111/j.1948-7169.1999.tb00274.x","page":"35-41","source":"Wiley Online Library","title":"Design Ethnography","volume":"10","author":[{"family":"Salvador","given":"Tony"},{"family":"Bell","given":"Genevieve"},{"family":"Anderson","given":"Ken"}],"issued":{"date-parts":[["1999"]]}}}],"schema":"https://github.com/citation-style-language/schema/raw/master/csl-citation.json"} </w:instrText>
      </w:r>
      <w:r w:rsidR="00493064">
        <w:rPr>
          <w:rFonts w:ascii="Aptos" w:hAnsi="Aptos"/>
          <w:kern w:val="0"/>
          <w:lang w:val="en-US"/>
          <w14:ligatures w14:val="none"/>
        </w:rPr>
        <w:fldChar w:fldCharType="separate"/>
      </w:r>
      <w:r w:rsidR="00493064">
        <w:rPr>
          <w:rFonts w:ascii="Aptos" w:hAnsi="Aptos"/>
          <w:noProof/>
          <w:kern w:val="0"/>
          <w:lang w:val="en-US"/>
          <w14:ligatures w14:val="none"/>
        </w:rPr>
        <w:t>(Salvador, Bell and Anderson, 1999)</w:t>
      </w:r>
      <w:r w:rsidR="00493064">
        <w:rPr>
          <w:rFonts w:ascii="Aptos" w:hAnsi="Aptos"/>
          <w:kern w:val="0"/>
          <w:lang w:val="en-US"/>
          <w14:ligatures w14:val="none"/>
        </w:rPr>
        <w:fldChar w:fldCharType="end"/>
      </w:r>
      <w:r w:rsidRPr="00307B04">
        <w:t>. This is more conducive to obtaining accurate cultural genes of Jiangnan gardens for this research and providing a traceable contextual basis for jewellery design. Moreover, design ethnography emphasizes the closed-loop process of "field observation - insight extraction - prototype iteration", which naturally fits with the collaborative workshops of participatory design. It can generate thick descriptions in this research while providing the ability to inform design decisions. Compared with pure quantitative research, DE retains the complexity of culture and context, translates highly contextual and cross-sensory symbols into jewellery, and combines with quantitative measurements such as questionnaires to form a mixed method. Through thematic analysis</w:t>
      </w:r>
      <w:r w:rsidR="00D57C07">
        <w:rPr>
          <w:rFonts w:hint="eastAsia"/>
        </w:rPr>
        <w:t xml:space="preserve"> </w:t>
      </w:r>
      <w:r w:rsidR="00D57C07" w:rsidRPr="00293785">
        <w:rPr>
          <w:rFonts w:ascii="Aptos" w:hAnsi="Aptos"/>
          <w:lang w:val="en-US"/>
        </w:rPr>
        <w:fldChar w:fldCharType="begin"/>
      </w:r>
      <w:r w:rsidR="00D57C07" w:rsidRPr="00293785">
        <w:rPr>
          <w:rFonts w:ascii="Aptos" w:hAnsi="Aptos"/>
          <w:lang w:val="en-US"/>
        </w:rPr>
        <w:instrText xml:space="preserve"> ADDIN ZOTERO_ITEM CSL_CITATION {"citationID":"KE5kXCII","properties":{"formattedCitation":"(Braun and Clarke, 2006, 2021; Roseveare, 2023)","plainCitation":"(Braun and Clarke, 2006, 2021; Roseveare, 2023)","noteIndex":0},"citationItems":[{"id":2150,"uris":["http://zotero.org/users/16578089/items/BUM77QJH"],"itemData":{"id":2150,"type":"article-journal","abstract":"Thematic analysis is a poorly demarcated, rarely acknowledged, yet widely used qualitative analytic method within psychology. In this paper, we argue that it offers an accessible and theoretically ...","archive_location":"world","container-title":"Qualitative Research in Psychology","language":"EN","license":"Copyright Taylor and Francis Group, LLC","note":"publisher: Taylor &amp; Francis Group","source":"www.tandfonline.com","title":"Using thematic analysis in psychology","URL":"https://www.tandfonline.com/doi/abs/10.1191/1478088706qp063oa","author":[{"family":"Braun","given":"Virginia"},{"family":"Clarke","given":"Victoria"}],"accessed":{"date-parts":[["2025",4,21]]},"issued":{"date-parts":[["2006",1,1]]}}},{"id":2144,"uris":["http://zotero.org/users/16578089/items/PIRECDYS"],"itemData":{"id":2144,"type":"article-journal","abstract":"Compra online il PDF di Thematic Analysis, Braun, Virginia,Clarke, Victoria - SAGE Publications Ltd - E-book","language":"it","note":"publisher: SAGE Publications Ltd","page":"1-100","source":"www.torrossa.com","title":"Thematic Analysis : A Practical Guide","title-short":"Thematic Analysis","author":[{"family":"Braun","given":"Virginia"},{"family":"Clarke","given":"Victoria"}],"issued":{"date-parts":[["2021"]]}}},{"id":2152,"uris":["http://zotero.org/users/16578089/items/AVBBR3EP"],"itemData":{"id":2152,"type":"article-journal","container-title":"Canadian Journal of Program Evaluation","DOI":"10.3138/cjpe.76737","ISSN":"08341516","issue":"1","journalAbbreviation":"Canadian Journal of Program Evaluation","language":"en-GB","page":"143-145","source":"EBSCOhost","title":"Thematic Analysis: A Practical Guide, by Virginia Braun and Victoria Clarke.","title-short":"Thematic Analysis","volume":"38","author":[{"family":"Roseveare","given":"Christine"}],"issued":{"date-parts":[["2023",6,1]]}}}],"schema":"https://github.com/citation-style-language/schema/raw/master/csl-citation.json"} </w:instrText>
      </w:r>
      <w:r w:rsidR="00D57C07" w:rsidRPr="00293785">
        <w:rPr>
          <w:rFonts w:ascii="Aptos" w:hAnsi="Aptos"/>
          <w:lang w:val="en-US"/>
        </w:rPr>
        <w:fldChar w:fldCharType="separate"/>
      </w:r>
      <w:r w:rsidR="00D57C07" w:rsidRPr="00293785">
        <w:rPr>
          <w:rFonts w:ascii="Aptos" w:hAnsi="Aptos"/>
          <w:noProof/>
          <w:lang w:val="en-US"/>
        </w:rPr>
        <w:t>(Braun and Clarke, 2006, 2021; Roseveare, 2023)</w:t>
      </w:r>
      <w:r w:rsidR="00D57C07" w:rsidRPr="00293785">
        <w:rPr>
          <w:rFonts w:ascii="Aptos" w:hAnsi="Aptos"/>
          <w:lang w:val="en-US"/>
        </w:rPr>
        <w:fldChar w:fldCharType="end"/>
      </w:r>
      <w:r w:rsidRPr="00307B04">
        <w:t>, it can effectively co-build knowledge with the interviewed community, thereby reducing the risk of cultural appropriation.</w:t>
      </w:r>
    </w:p>
    <w:p w14:paraId="302EE7B3" w14:textId="77777777" w:rsidR="00F021E8" w:rsidRPr="00293785" w:rsidRDefault="00F021E8" w:rsidP="00F021E8">
      <w:pPr>
        <w:rPr>
          <w:rFonts w:ascii="Aptos" w:hAnsi="Aptos"/>
          <w:b/>
          <w:bCs/>
          <w:lang w:val="en-US"/>
        </w:rPr>
      </w:pPr>
      <w:r w:rsidRPr="00293785">
        <w:rPr>
          <w:rFonts w:ascii="Aptos" w:hAnsi="Aptos"/>
          <w:b/>
          <w:bCs/>
          <w:lang w:val="en-US"/>
        </w:rPr>
        <w:t>3.2 Participants</w:t>
      </w:r>
    </w:p>
    <w:p w14:paraId="127B971F" w14:textId="77777777" w:rsidR="00F021E8" w:rsidRPr="00293785" w:rsidRDefault="00F021E8" w:rsidP="00F021E8">
      <w:pPr>
        <w:rPr>
          <w:rFonts w:ascii="Aptos" w:hAnsi="Aptos"/>
          <w:lang w:val="en-US"/>
        </w:rPr>
      </w:pPr>
      <w:r w:rsidRPr="00293785">
        <w:rPr>
          <w:rFonts w:ascii="Aptos" w:hAnsi="Aptos"/>
          <w:lang w:val="en-US"/>
        </w:rPr>
        <w:t>3.2.1 Description of participants</w:t>
      </w:r>
    </w:p>
    <w:p w14:paraId="5E896986" w14:textId="77777777" w:rsidR="00E33CEF" w:rsidRDefault="00E71092" w:rsidP="004E4EBC">
      <w:bookmarkStart w:id="3" w:name="OLE_LINK96"/>
      <w:r>
        <w:t xml:space="preserve">This study utilises three primary sources of information to trace </w:t>
      </w:r>
      <w:proofErr w:type="gramStart"/>
      <w:r>
        <w:t>Jiangnan garden</w:t>
      </w:r>
      <w:proofErr w:type="gramEnd"/>
      <w:r>
        <w:t xml:space="preserve"> symbols, jewellery prototypes, and user experiences. Participants include: (1) </w:t>
      </w:r>
      <w:r>
        <w:rPr>
          <w:rStyle w:val="Strong"/>
        </w:rPr>
        <w:t>designers or artisans</w:t>
      </w:r>
      <w:r>
        <w:t xml:space="preserve">, who interpret garden symbols, manipulate materials, and make creative decisions; (2) </w:t>
      </w:r>
      <w:r>
        <w:rPr>
          <w:rStyle w:val="Strong"/>
        </w:rPr>
        <w:t>target users</w:t>
      </w:r>
      <w:r>
        <w:t xml:space="preserve">, who contribute first-hand cultural translation data and reflect emotional resonance through jewellery use; and (3) </w:t>
      </w:r>
      <w:r>
        <w:rPr>
          <w:rStyle w:val="Strong"/>
        </w:rPr>
        <w:t>experts and scholars</w:t>
      </w:r>
      <w:r>
        <w:t>, who validate cultural accuracy and offer professional insights.</w:t>
      </w:r>
      <w:r w:rsidR="00E33CEF">
        <w:rPr>
          <w:rFonts w:hint="eastAsia"/>
        </w:rPr>
        <w:t xml:space="preserve"> </w:t>
      </w:r>
    </w:p>
    <w:p w14:paraId="184DFCF8" w14:textId="4AF08E22" w:rsidR="0032378E" w:rsidRDefault="00A548EA" w:rsidP="004E4EBC">
      <w:bookmarkStart w:id="4" w:name="OLE_LINK97"/>
      <w:r w:rsidRPr="00A548EA">
        <w:lastRenderedPageBreak/>
        <w:t>This study primarily employed purposive sampling, with snowball sampling as a supplement. Initially, studios or online communities related to Jiangnan gardens were identified, and early participants recommended additional cases to enhance thematic saturation</w:t>
      </w:r>
      <w:r>
        <w:rPr>
          <w:rFonts w:hint="eastAsia"/>
        </w:rPr>
        <w:t xml:space="preserve"> </w:t>
      </w:r>
      <w:r w:rsidR="00042953">
        <w:rPr>
          <w:rFonts w:ascii="Aptos" w:hAnsi="Aptos"/>
          <w:kern w:val="0"/>
          <w:lang w:val="en-US"/>
          <w14:ligatures w14:val="none"/>
        </w:rPr>
        <w:fldChar w:fldCharType="begin"/>
      </w:r>
      <w:r w:rsidR="00E80E0F">
        <w:rPr>
          <w:rFonts w:ascii="Aptos" w:hAnsi="Aptos"/>
          <w:kern w:val="0"/>
          <w:lang w:val="en-US"/>
          <w14:ligatures w14:val="none"/>
        </w:rPr>
        <w:instrText xml:space="preserve"> ADDIN ZOTERO_ITEM CSL_CITATION {"citationID":"KT8VuFGy","properties":{"formattedCitation":"(Guest, Namey and Chen, 2020a)","plainCitation":"(Guest, Namey and Chen, 2020a)","noteIndex":0},"citationItems":[{"id":2155,"uris":["http://zotero.org/users/16578089/items/E4ZTF3HE"],"itemData":{"id":2155,"type":"article-journal","abstract":"Data saturation is the most commonly employed concept for estimating sample sizes in qualitative research. Over the past 20 years, scholars using both empirical research and mathematical/statistical models have made significant contributions to the question: How many qualitative interviews are enough? This body of work has advanced the evidence base for sample size estimation in qualitative inquiry during the design phase of a study, prior to data collection, but it does not provide qualitative researchers with a simple and reliable way to determine the adequacy of sample sizes during and/or after data collection. Using the principle of saturation as a foundation, we describe and validate a simple-to-apply method for assessing and reporting on saturation in the context of inductive thematic analyses. Following a review of the empirical research on data saturation and sample size estimation in qualitative research, we propose an alternative way to evaluate saturation that overcomes the shortcomings and challenges associated with existing methods identified in our review. Our approach includes three primary elements in its calculation and assessment: Base Size, Run Length, and New Information Threshold. We additionally propose a more flexible approach to reporting saturation. To validate our method, we use a bootstrapping technique on three existing thematically coded qualitative datasets generated from in-depth interviews. Results from this analysis indicate the method we propose to assess and report on saturation is feasible and congruent with findings from earlier studies.","container-title":"PLoS One","DOI":"10.1371/journal.pone.0232076","issue":"5","language":"English","license":"© 2020 Guest et al. This is an open access article distributed under the terms of the Creative Commons Attribution License: http://creativecommons.org/licenses/by/4.0/ (the “License”), which permits unrestricted use, distribution, and reproduction in any medium, provided the original author and source are credited. Notwithstanding the ProQuest Terms and Conditions, you may use this content in accordance with the terms of the License.","note":"publisher: Public Library of Science\nsection: Research Article\nTLDR: This work describes and validate a simple-to-apply method for assessing and reporting on saturation in the context of inductive thematic analyses and proposes a more flexible approach to reporting saturation.","source":"ProQuest","title":"A simple method to assess and report thematic saturation in qualitative research","URL":"https://www.proquest.com/docview/2398582571/abstract/A995833049224B9APQ/1","volume":"15","author":[{"family":"Guest","given":"Greg"},{"family":"Namey","given":"Emily"},{"family":"Chen","given":"Mario"}],"accessed":{"date-parts":[["2025",4,21]]},"issued":{"date-parts":[["2020",5]]}}}],"schema":"https://github.com/citation-style-language/schema/raw/master/csl-citation.json"} </w:instrText>
      </w:r>
      <w:r w:rsidR="00042953">
        <w:rPr>
          <w:rFonts w:ascii="Aptos" w:hAnsi="Aptos"/>
          <w:kern w:val="0"/>
          <w:lang w:val="en-US"/>
          <w14:ligatures w14:val="none"/>
        </w:rPr>
        <w:fldChar w:fldCharType="separate"/>
      </w:r>
      <w:r w:rsidR="00E80E0F">
        <w:rPr>
          <w:rFonts w:ascii="Aptos" w:hAnsi="Aptos"/>
          <w:noProof/>
          <w:kern w:val="0"/>
          <w:lang w:val="en-US"/>
          <w14:ligatures w14:val="none"/>
        </w:rPr>
        <w:t>(Guest, Namey and Chen, 2020a)</w:t>
      </w:r>
      <w:r w:rsidR="00042953">
        <w:rPr>
          <w:rFonts w:ascii="Aptos" w:hAnsi="Aptos"/>
          <w:kern w:val="0"/>
          <w:lang w:val="en-US"/>
          <w14:ligatures w14:val="none"/>
        </w:rPr>
        <w:fldChar w:fldCharType="end"/>
      </w:r>
      <w:r w:rsidR="00042953" w:rsidRPr="00042953">
        <w:t xml:space="preserve">. Table 1 shows the sample size and key characteristics of the participants. </w:t>
      </w:r>
      <w:r w:rsidR="000B33E4" w:rsidRPr="000B33E4">
        <w:t>According to Guest, Bunce and Johnson</w:t>
      </w:r>
      <w:r w:rsidR="000B33E4">
        <w:rPr>
          <w:rFonts w:hint="eastAsia"/>
        </w:rPr>
        <w:t xml:space="preserve"> </w:t>
      </w:r>
      <w:r w:rsidR="003C131C" w:rsidRPr="00293785">
        <w:rPr>
          <w:rFonts w:ascii="Aptos" w:hAnsi="Aptos"/>
        </w:rPr>
        <w:fldChar w:fldCharType="begin"/>
      </w:r>
      <w:r w:rsidR="006A77D8">
        <w:rPr>
          <w:rFonts w:ascii="Aptos" w:hAnsi="Aptos"/>
        </w:rPr>
        <w:instrText xml:space="preserve"> ADDIN ZOTERO_ITEM CSL_CITATION {"citationID":"EXCBnDEQ","properties":{"formattedCitation":"(Guest, Bunce and Johnson, 2006)","plainCitation":"(Guest, Bunce and Johnson, 2006)","dontUpdate":true,"noteIndex":0},"citationItems":[{"id":2157,"uris":["http://zotero.org/users/16578089/items/S5AKRAN9"],"itemData":{"id":2157,"type":"article-journal","abstract":"Guidelines for determining nonprobabilistic sample sizes are virtually nonexistent. Purposive samples are the most commonly used form of nonprobabilistic sampling, and their size typically relies on the concept of “saturation,” or the point at which no new information or themes are observed in the data. Although the idea of saturation is helpful at the conceptual level, it provides little practical guidance for estimating sample sizes, prior to data collection, necessary for conducting quality research. Using data from a study involving sixty in-depth interviews with women in two West African countries, the authors systematically document the degree of data saturation and variability over the course of thematic analysis. They operationalize saturation and make evidence-based recommendations regarding nonprobabilistic sample sizes for interviews. Based on the data set, they found that saturation occurred within the first twelve interviews, although basic elements for metathemes were present as early as six interviews. Variability within the data followed similar patterns.","container-title":"Field Methods","DOI":"10.1177/1525822X05279903","ISSN":"1525-822X","issue":"1","language":"EN","note":"publisher: SAGE Publications Inc\nTLDR: The authors operationalize saturation and make evidence-based recommendations regarding nonprobabilistic sample sizes for interviews and found that saturation occurred within the first twelve interviews, although basic elements for metathemes were present as early as six interviews.","page":"59-82","source":"SAGE Journals","title":"How Many Interviews Are Enough?: An Experiment with Data Saturation and Variability","title-short":"How Many Interviews Are Enough?","volume":"18","author":[{"family":"Guest","given":"Greg"},{"family":"Bunce","given":"Arwen"},{"family":"Johnson","given":"Laura"}],"issued":{"date-parts":[["2006",2,1]]}}}],"schema":"https://github.com/citation-style-language/schema/raw/master/csl-citation.json"} </w:instrText>
      </w:r>
      <w:r w:rsidR="003C131C" w:rsidRPr="00293785">
        <w:rPr>
          <w:rFonts w:ascii="Aptos" w:hAnsi="Aptos"/>
        </w:rPr>
        <w:fldChar w:fldCharType="separate"/>
      </w:r>
      <w:r w:rsidR="003C131C" w:rsidRPr="00293785">
        <w:rPr>
          <w:rFonts w:ascii="Aptos" w:hAnsi="Aptos"/>
          <w:noProof/>
        </w:rPr>
        <w:t>(2006)</w:t>
      </w:r>
      <w:r w:rsidR="003C131C" w:rsidRPr="00293785">
        <w:rPr>
          <w:rFonts w:ascii="Aptos" w:hAnsi="Aptos"/>
        </w:rPr>
        <w:fldChar w:fldCharType="end"/>
      </w:r>
      <w:r w:rsidR="00E53712" w:rsidRPr="00E53712">
        <w:t xml:space="preserve"> </w:t>
      </w:r>
      <w:r w:rsidR="00E53712" w:rsidRPr="00E53712">
        <w:rPr>
          <w:rFonts w:ascii="Aptos" w:hAnsi="Aptos"/>
        </w:rPr>
        <w:t>code saturation is typically achieved with 9–12 participants in homogeneous groups, while more complex or multi-group studies require larger samples. Although this is a multi-group study, relatively similar participants were grouped together, and 12 participants were used as a baseline for each group</w:t>
      </w:r>
      <w:r w:rsidR="00042953" w:rsidRPr="00042953">
        <w:t xml:space="preserve">. </w:t>
      </w:r>
      <w:proofErr w:type="spellStart"/>
      <w:r w:rsidR="00042953" w:rsidRPr="00042953">
        <w:t>Hennink</w:t>
      </w:r>
      <w:proofErr w:type="spellEnd"/>
      <w:r w:rsidR="00042953" w:rsidRPr="00042953">
        <w:t xml:space="preserve"> &amp; Kaiser </w:t>
      </w:r>
      <w:r w:rsidR="006A77D8">
        <w:fldChar w:fldCharType="begin"/>
      </w:r>
      <w:r w:rsidR="006A77D8">
        <w:instrText xml:space="preserve"> ADDIN ZOTERO_ITEM CSL_CITATION {"citationID":"hce4Q8Wu","properties":{"formattedCitation":"(Hennink, Kaiser and Marconi, 2017)","plainCitation":"(Hennink, Kaiser and Marconi, 2017)","noteIndex":0},"citationItems":[{"id":2158,"uris":["http://zotero.org/users/16578089/items/DV3YXV85"],"itemData":{"id":2158,"type":"article-journal","abstract":"Saturation is a core guiding principle to determine sample sizes in qualitative research, yet little methodological research exists on parameters that influence saturation. Our study compared two approaches to assessing saturation: code saturation and meaning saturation. We examined sample sizes needed to reach saturation in each approach, what saturation meant, and how to assess saturation. Examining 25 in-depth interviews, we found that code saturation was reached at nine interviews, whereby the range of thematic issues was identified. However, 16 to 24 interviews were needed to reach meaning saturation where we developed a richly textured understanding of issues. Thus, code saturation may indicate when researchers have “heard it all,” but meaning saturation is needed to “understand it all.” We used our results to develop parameters that influence saturation, which may be used to estimate sample sizes for qualitative research proposals or to document in publications the grounds on which saturation was achieved.","container-title":"Qualitative health research","DOI":"10.1177/1049732316665344","ISSN":"1049-7323","issue":"4","journalAbbreviation":"Qual Health Res","note":"PMID: 27670770\nPMCID: PMC9359070","page":"591-608","source":"PubMed Central","title":"Code Saturation Versus Meaning Saturation: How Many Interviews Are Enough?","title-short":"Code Saturation Versus Meaning Saturation","volume":"27","author":[{"family":"Hennink","given":"Monique M."},{"family":"Kaiser","given":"Bonnie N."},{"family":"Marconi","given":"Vincent C."}],"issued":{"date-parts":[["2017",3]]}}}],"schema":"https://github.com/citation-style-language/schema/raw/master/csl-citation.json"} </w:instrText>
      </w:r>
      <w:r w:rsidR="006A77D8">
        <w:fldChar w:fldCharType="separate"/>
      </w:r>
      <w:r w:rsidR="006A77D8">
        <w:rPr>
          <w:noProof/>
        </w:rPr>
        <w:t>(2017)</w:t>
      </w:r>
      <w:r w:rsidR="006A77D8">
        <w:fldChar w:fldCharType="end"/>
      </w:r>
      <w:r w:rsidR="00042953" w:rsidRPr="00042953">
        <w:t xml:space="preserve"> </w:t>
      </w:r>
      <w:r w:rsidR="000256E4" w:rsidRPr="000256E4">
        <w:t>further distinguish between code saturation and meaning saturation, noting that greater heterogeneity requires larger samples. Thus, sample sizes for designers and experts can be smaller, while user groups—being more diverse—require larger samples to reach saturation</w:t>
      </w:r>
      <w:r w:rsidR="00042953" w:rsidRPr="00042953">
        <w:t>.</w:t>
      </w:r>
    </w:p>
    <w:bookmarkEnd w:id="4"/>
    <w:p w14:paraId="5544953E" w14:textId="1F416B58" w:rsidR="006D4124" w:rsidRDefault="00C02380" w:rsidP="00C02380">
      <w:r>
        <w:t>Designer/artisan participants were all from Jiangsu, Zhejiang, and Shanghai, with at least two years’ experience producing garden-themed jewellery. Target users, aged 18–35, identified with Eastern aesthetics, appreciated traditional culture, wore jewellery or smart devices, and could articulate culture–technology intersections. Experts covered garden history, semiotics, and jewellery history, with backgrounds in ICH research or curatorial work.</w:t>
      </w:r>
    </w:p>
    <w:tbl>
      <w:tblPr>
        <w:tblStyle w:val="TableGrid"/>
        <w:tblW w:w="0" w:type="auto"/>
        <w:tblLook w:val="04A0" w:firstRow="1" w:lastRow="0" w:firstColumn="1" w:lastColumn="0" w:noHBand="0" w:noVBand="1"/>
      </w:tblPr>
      <w:tblGrid>
        <w:gridCol w:w="1938"/>
        <w:gridCol w:w="473"/>
        <w:gridCol w:w="6408"/>
      </w:tblGrid>
      <w:tr w:rsidR="00B00B45" w:rsidRPr="00622617" w14:paraId="3C35339F" w14:textId="77777777" w:rsidTr="00731F91">
        <w:trPr>
          <w:trHeight w:val="548"/>
        </w:trPr>
        <w:tc>
          <w:tcPr>
            <w:tcW w:w="0" w:type="auto"/>
            <w:vAlign w:val="center"/>
            <w:hideMark/>
          </w:tcPr>
          <w:bookmarkEnd w:id="3"/>
          <w:p w14:paraId="56FAF612" w14:textId="6FB40B6F" w:rsidR="00B00B45" w:rsidRPr="00731F91" w:rsidRDefault="00B00B45" w:rsidP="00731F91">
            <w:pPr>
              <w:spacing w:after="160" w:line="278" w:lineRule="auto"/>
              <w:rPr>
                <w:rFonts w:ascii="Aptos" w:hAnsi="Aptos"/>
                <w:b/>
                <w:bCs/>
              </w:rPr>
            </w:pPr>
            <w:r w:rsidRPr="00731F91">
              <w:rPr>
                <w:rFonts w:ascii="Aptos" w:hAnsi="Aptos"/>
                <w:b/>
                <w:bCs/>
              </w:rPr>
              <w:t>P</w:t>
            </w:r>
            <w:r w:rsidRPr="00731F91">
              <w:rPr>
                <w:rFonts w:ascii="Aptos" w:hAnsi="Aptos" w:hint="eastAsia"/>
                <w:b/>
                <w:bCs/>
              </w:rPr>
              <w:t>articipants</w:t>
            </w:r>
          </w:p>
        </w:tc>
        <w:tc>
          <w:tcPr>
            <w:tcW w:w="473" w:type="dxa"/>
            <w:vAlign w:val="center"/>
            <w:hideMark/>
          </w:tcPr>
          <w:p w14:paraId="74BEE3DB" w14:textId="77777777" w:rsidR="00B00B45" w:rsidRPr="00731F91" w:rsidRDefault="00B00B45" w:rsidP="00731F91">
            <w:pPr>
              <w:spacing w:after="160" w:line="278" w:lineRule="auto"/>
              <w:rPr>
                <w:rFonts w:ascii="Aptos" w:hAnsi="Aptos"/>
                <w:b/>
                <w:bCs/>
              </w:rPr>
            </w:pPr>
            <w:r w:rsidRPr="00731F91">
              <w:rPr>
                <w:rFonts w:ascii="Aptos" w:hAnsi="Aptos"/>
                <w:b/>
                <w:bCs/>
              </w:rPr>
              <w:t>n</w:t>
            </w:r>
          </w:p>
        </w:tc>
        <w:tc>
          <w:tcPr>
            <w:tcW w:w="6408" w:type="dxa"/>
            <w:vAlign w:val="center"/>
            <w:hideMark/>
          </w:tcPr>
          <w:p w14:paraId="5A384829" w14:textId="2001185F" w:rsidR="00B00B45" w:rsidRPr="00731F91" w:rsidRDefault="00863E84" w:rsidP="00731F91">
            <w:pPr>
              <w:spacing w:after="160" w:line="278" w:lineRule="auto"/>
              <w:rPr>
                <w:rFonts w:ascii="Aptos" w:hAnsi="Aptos"/>
                <w:b/>
                <w:bCs/>
              </w:rPr>
            </w:pPr>
            <w:r w:rsidRPr="00731F91">
              <w:rPr>
                <w:rFonts w:ascii="Aptos" w:hAnsi="Aptos" w:hint="eastAsia"/>
                <w:b/>
                <w:bCs/>
              </w:rPr>
              <w:t>Key</w:t>
            </w:r>
            <w:r w:rsidR="00B00B45" w:rsidRPr="00731F91">
              <w:rPr>
                <w:rFonts w:ascii="Aptos" w:hAnsi="Aptos"/>
                <w:b/>
                <w:bCs/>
              </w:rPr>
              <w:t xml:space="preserve"> </w:t>
            </w:r>
            <w:r w:rsidRPr="00731F91">
              <w:rPr>
                <w:rFonts w:ascii="Aptos" w:hAnsi="Aptos" w:hint="eastAsia"/>
                <w:b/>
                <w:bCs/>
              </w:rPr>
              <w:t>Features</w:t>
            </w:r>
          </w:p>
        </w:tc>
      </w:tr>
      <w:tr w:rsidR="00B00B45" w:rsidRPr="006A305A" w14:paraId="73DF45A6" w14:textId="77777777" w:rsidTr="00731F91">
        <w:trPr>
          <w:trHeight w:val="754"/>
        </w:trPr>
        <w:tc>
          <w:tcPr>
            <w:tcW w:w="0" w:type="auto"/>
            <w:vAlign w:val="center"/>
            <w:hideMark/>
          </w:tcPr>
          <w:p w14:paraId="600A35B9" w14:textId="394FAEAA" w:rsidR="00B00B45" w:rsidRPr="006A305A" w:rsidRDefault="00B00B45" w:rsidP="00731F91">
            <w:pPr>
              <w:spacing w:after="160" w:line="278" w:lineRule="auto"/>
              <w:rPr>
                <w:rFonts w:ascii="Aptos" w:hAnsi="Aptos"/>
              </w:rPr>
            </w:pPr>
            <w:r>
              <w:rPr>
                <w:rFonts w:ascii="Aptos" w:hAnsi="Aptos" w:hint="eastAsia"/>
              </w:rPr>
              <w:t>Designer/Artisan</w:t>
            </w:r>
          </w:p>
        </w:tc>
        <w:tc>
          <w:tcPr>
            <w:tcW w:w="473" w:type="dxa"/>
            <w:vAlign w:val="center"/>
            <w:hideMark/>
          </w:tcPr>
          <w:p w14:paraId="02BBE7AE" w14:textId="77777777" w:rsidR="00B00B45" w:rsidRPr="006A305A" w:rsidRDefault="00B00B45" w:rsidP="00731F91">
            <w:pPr>
              <w:spacing w:after="160" w:line="278" w:lineRule="auto"/>
              <w:rPr>
                <w:rFonts w:ascii="Aptos" w:hAnsi="Aptos"/>
              </w:rPr>
            </w:pPr>
            <w:r w:rsidRPr="006A305A">
              <w:rPr>
                <w:rFonts w:ascii="Aptos" w:hAnsi="Aptos"/>
              </w:rPr>
              <w:t>8</w:t>
            </w:r>
          </w:p>
        </w:tc>
        <w:tc>
          <w:tcPr>
            <w:tcW w:w="6408" w:type="dxa"/>
            <w:vAlign w:val="center"/>
            <w:hideMark/>
          </w:tcPr>
          <w:p w14:paraId="7DB3C025" w14:textId="2D920410" w:rsidR="00B00B45" w:rsidRPr="006A305A" w:rsidRDefault="00907172" w:rsidP="00731F91">
            <w:pPr>
              <w:spacing w:after="160" w:line="278" w:lineRule="auto"/>
              <w:rPr>
                <w:rFonts w:ascii="Aptos" w:hAnsi="Aptos"/>
              </w:rPr>
            </w:pPr>
            <w:r w:rsidRPr="00907172">
              <w:rPr>
                <w:rFonts w:ascii="Aptos" w:hAnsi="Aptos" w:hint="eastAsia"/>
              </w:rPr>
              <w:t xml:space="preserve">Garden-themed works </w:t>
            </w:r>
            <w:r w:rsidRPr="00907172">
              <w:rPr>
                <w:rFonts w:ascii="Aptos" w:hAnsi="Aptos" w:hint="eastAsia"/>
              </w:rPr>
              <w:t>≥</w:t>
            </w:r>
            <w:r w:rsidRPr="00907172">
              <w:rPr>
                <w:rFonts w:ascii="Aptos" w:hAnsi="Aptos" w:hint="eastAsia"/>
              </w:rPr>
              <w:t xml:space="preserve"> 2 years; Be able to explain the decision on symbol translation</w:t>
            </w:r>
          </w:p>
        </w:tc>
      </w:tr>
      <w:tr w:rsidR="00B00B45" w:rsidRPr="006A305A" w14:paraId="20B7BE07" w14:textId="77777777" w:rsidTr="00731F91">
        <w:tc>
          <w:tcPr>
            <w:tcW w:w="0" w:type="auto"/>
            <w:vAlign w:val="center"/>
            <w:hideMark/>
          </w:tcPr>
          <w:p w14:paraId="577FEBF6" w14:textId="0B49612C" w:rsidR="00B00B45" w:rsidRPr="006A305A" w:rsidRDefault="00B00B45" w:rsidP="00731F91">
            <w:pPr>
              <w:spacing w:after="160" w:line="278" w:lineRule="auto"/>
              <w:rPr>
                <w:rFonts w:ascii="Aptos" w:hAnsi="Aptos"/>
              </w:rPr>
            </w:pPr>
            <w:r>
              <w:rPr>
                <w:rFonts w:ascii="Aptos" w:hAnsi="Aptos" w:hint="eastAsia"/>
              </w:rPr>
              <w:t>T</w:t>
            </w:r>
            <w:r w:rsidRPr="00B00B45">
              <w:rPr>
                <w:rFonts w:ascii="Aptos" w:hAnsi="Aptos"/>
              </w:rPr>
              <w:t>arget users</w:t>
            </w:r>
          </w:p>
        </w:tc>
        <w:tc>
          <w:tcPr>
            <w:tcW w:w="473" w:type="dxa"/>
            <w:vAlign w:val="center"/>
            <w:hideMark/>
          </w:tcPr>
          <w:p w14:paraId="618C238B" w14:textId="77777777" w:rsidR="00B00B45" w:rsidRPr="006A305A" w:rsidRDefault="00B00B45" w:rsidP="00731F91">
            <w:pPr>
              <w:spacing w:after="160" w:line="278" w:lineRule="auto"/>
              <w:rPr>
                <w:rFonts w:ascii="Aptos" w:hAnsi="Aptos"/>
              </w:rPr>
            </w:pPr>
            <w:r w:rsidRPr="006A305A">
              <w:rPr>
                <w:rFonts w:ascii="Aptos" w:hAnsi="Aptos"/>
              </w:rPr>
              <w:t>1</w:t>
            </w:r>
            <w:r w:rsidRPr="00293785">
              <w:rPr>
                <w:rFonts w:ascii="Aptos" w:hAnsi="Aptos"/>
              </w:rPr>
              <w:t>2</w:t>
            </w:r>
          </w:p>
        </w:tc>
        <w:tc>
          <w:tcPr>
            <w:tcW w:w="6408" w:type="dxa"/>
            <w:vAlign w:val="center"/>
            <w:hideMark/>
          </w:tcPr>
          <w:p w14:paraId="583C69E8" w14:textId="5FE39866" w:rsidR="00B00B45" w:rsidRPr="006A305A" w:rsidRDefault="00907172" w:rsidP="00731F91">
            <w:pPr>
              <w:spacing w:after="160" w:line="278" w:lineRule="auto"/>
              <w:rPr>
                <w:rFonts w:ascii="Aptos" w:hAnsi="Aptos"/>
              </w:rPr>
            </w:pPr>
            <w:r w:rsidRPr="00907172">
              <w:rPr>
                <w:rFonts w:ascii="Aptos" w:hAnsi="Aptos"/>
              </w:rPr>
              <w:t>Aged 18 to 35; wear daily accessories or wearable devices; have an appreciation for Eastern aesthetics</w:t>
            </w:r>
          </w:p>
        </w:tc>
      </w:tr>
      <w:tr w:rsidR="00B00B45" w:rsidRPr="006A305A" w14:paraId="5E82DEEA" w14:textId="77777777" w:rsidTr="00731F91">
        <w:tc>
          <w:tcPr>
            <w:tcW w:w="0" w:type="auto"/>
            <w:vAlign w:val="center"/>
            <w:hideMark/>
          </w:tcPr>
          <w:p w14:paraId="4401D6BA" w14:textId="76135AE4" w:rsidR="00B00B45" w:rsidRPr="006A305A" w:rsidRDefault="00B00B45" w:rsidP="00731F91">
            <w:pPr>
              <w:spacing w:after="160" w:line="278" w:lineRule="auto"/>
              <w:rPr>
                <w:rFonts w:ascii="Aptos" w:hAnsi="Aptos"/>
              </w:rPr>
            </w:pPr>
            <w:r w:rsidRPr="00B00B45">
              <w:rPr>
                <w:rFonts w:ascii="Aptos" w:hAnsi="Aptos"/>
              </w:rPr>
              <w:t>Experts</w:t>
            </w:r>
          </w:p>
        </w:tc>
        <w:tc>
          <w:tcPr>
            <w:tcW w:w="473" w:type="dxa"/>
            <w:vAlign w:val="center"/>
            <w:hideMark/>
          </w:tcPr>
          <w:p w14:paraId="159782A7" w14:textId="77777777" w:rsidR="00B00B45" w:rsidRPr="006A305A" w:rsidRDefault="00B00B45" w:rsidP="00731F91">
            <w:pPr>
              <w:spacing w:after="160" w:line="278" w:lineRule="auto"/>
              <w:rPr>
                <w:rFonts w:ascii="Aptos" w:hAnsi="Aptos"/>
              </w:rPr>
            </w:pPr>
            <w:r w:rsidRPr="006A305A">
              <w:rPr>
                <w:rFonts w:ascii="Aptos" w:hAnsi="Aptos"/>
              </w:rPr>
              <w:t>3</w:t>
            </w:r>
          </w:p>
        </w:tc>
        <w:tc>
          <w:tcPr>
            <w:tcW w:w="6408" w:type="dxa"/>
            <w:vAlign w:val="center"/>
            <w:hideMark/>
          </w:tcPr>
          <w:p w14:paraId="707BF56A" w14:textId="73312AE6" w:rsidR="00B00B45" w:rsidRPr="006A305A" w:rsidRDefault="00873DAA" w:rsidP="00731F91">
            <w:pPr>
              <w:spacing w:after="160" w:line="278" w:lineRule="auto"/>
              <w:rPr>
                <w:rFonts w:ascii="Aptos" w:hAnsi="Aptos"/>
              </w:rPr>
            </w:pPr>
            <w:r w:rsidRPr="00873DAA">
              <w:rPr>
                <w:rFonts w:ascii="Aptos" w:hAnsi="Aptos"/>
              </w:rPr>
              <w:t xml:space="preserve">Garden history / Semiotics / </w:t>
            </w:r>
            <w:proofErr w:type="spellStart"/>
            <w:r w:rsidRPr="00873DAA">
              <w:rPr>
                <w:rFonts w:ascii="Aptos" w:hAnsi="Aptos"/>
              </w:rPr>
              <w:t>Jewelry</w:t>
            </w:r>
            <w:proofErr w:type="spellEnd"/>
            <w:r w:rsidRPr="00873DAA">
              <w:rPr>
                <w:rFonts w:ascii="Aptos" w:hAnsi="Aptos"/>
              </w:rPr>
              <w:t xml:space="preserve"> history direction; Evaluation of cultural and design accuracy</w:t>
            </w:r>
          </w:p>
        </w:tc>
      </w:tr>
    </w:tbl>
    <w:p w14:paraId="1A262E3F" w14:textId="5058E14F" w:rsidR="00B00B45" w:rsidRDefault="00863E84" w:rsidP="004E4EBC">
      <w:r w:rsidRPr="00863E84">
        <w:t xml:space="preserve">Table 1 Information Sources and Key Features of Participants  </w:t>
      </w:r>
    </w:p>
    <w:p w14:paraId="0690EAD7" w14:textId="77777777" w:rsidR="004F05A4" w:rsidRPr="00293785" w:rsidRDefault="004F05A4" w:rsidP="004F05A4">
      <w:pPr>
        <w:rPr>
          <w:rFonts w:ascii="Aptos" w:hAnsi="Aptos"/>
          <w:lang w:val="en-US"/>
        </w:rPr>
      </w:pPr>
      <w:r w:rsidRPr="00293785">
        <w:rPr>
          <w:rFonts w:ascii="Aptos" w:hAnsi="Aptos"/>
          <w:lang w:val="en-US"/>
        </w:rPr>
        <w:t>3.2.2 Deep field observation</w:t>
      </w:r>
    </w:p>
    <w:p w14:paraId="334F7414" w14:textId="249E845A" w:rsidR="00863E84" w:rsidRDefault="00A667D9" w:rsidP="004E4EBC">
      <w:r w:rsidRPr="00A667D9">
        <w:t xml:space="preserve">In-depth field observation provides a feasible path for the design decision-making logic of the creation port and the emotional experience of wearing for the user end. The instantaneous judgments and body gestures of designers in the selection of materials, design, production, and fine-tuning are often difficult to describe verbally. These inspiration triggers are hard to restore through post-interviews. Immersive following can make these details become visual evidence, thereby improving the key steps of symbol translation </w:t>
      </w:r>
      <w:r>
        <w:rPr>
          <w:rFonts w:ascii="Aptos" w:hAnsi="Aptos"/>
          <w:kern w:val="0"/>
          <w:lang w:val="en-US"/>
          <w14:ligatures w14:val="none"/>
        </w:rPr>
        <w:fldChar w:fldCharType="begin"/>
      </w:r>
      <w:r>
        <w:rPr>
          <w:rFonts w:ascii="Aptos" w:hAnsi="Aptos"/>
          <w:kern w:val="0"/>
          <w:lang w:val="en-US"/>
          <w14:ligatures w14:val="none"/>
        </w:rPr>
        <w:instrText xml:space="preserve"> ADDIN ZOTERO_ITEM CSL_CITATION {"citationID":"zo3Yr9GH","properties":{"formattedCitation":"(Salvador, Bell and Anderson, 1999)","plainCitation":"(Salvador, Bell and Anderson, 1999)","noteIndex":0},"citationItems":[{"id":2131,"uris":["http://zotero.org/users/16578089/items/LLGGN9I7"],"itemData":{"id":2131,"type":"article-journal","abstract":"LACKING OTHER criteria, we make judgments based on our own culture, values, and experience. The trouble is this narrow point of view isn't effective in the global marketplace. Design ethnography extends the cultural panorama. Illustrating this strategy and trying to decipher its implications for developing products and services, Tony Salvador, Genevieve Bell, and Ken Anderson ponder the relationships between the American family room and the Italian kitchen table, between food shopping and the importance of friendship.","container-title":"Design Management Journal (Former Series)","DOI":"10.1111/j.1948-7169.1999.tb00274.x","ISSN":"1948-7169","issue":"4","language":"en","license":"1999 Design Management Institute","note":"_eprint: https://onlinelibrary.wiley.com/doi/pdf/10.1111/j.1948-7169.1999.tb00274.x","page":"35-41","source":"Wiley Online Library","title":"Design Ethnography","volume":"10","author":[{"family":"Salvador","given":"Tony"},{"family":"Bell","given":"Genevieve"},{"family":"Anderson","given":"Ken"}],"issued":{"date-parts":[["1999"]]}}}],"schema":"https://github.com/citation-style-language/schema/raw/master/csl-citation.json"} </w:instrText>
      </w:r>
      <w:r>
        <w:rPr>
          <w:rFonts w:ascii="Aptos" w:hAnsi="Aptos"/>
          <w:kern w:val="0"/>
          <w:lang w:val="en-US"/>
          <w14:ligatures w14:val="none"/>
        </w:rPr>
        <w:fldChar w:fldCharType="separate"/>
      </w:r>
      <w:r>
        <w:rPr>
          <w:rFonts w:ascii="Aptos" w:hAnsi="Aptos"/>
          <w:noProof/>
          <w:kern w:val="0"/>
          <w:lang w:val="en-US"/>
          <w14:ligatures w14:val="none"/>
        </w:rPr>
        <w:t>(Salvador, Bell and Anderson, 1999)</w:t>
      </w:r>
      <w:r>
        <w:rPr>
          <w:rFonts w:ascii="Aptos" w:hAnsi="Aptos"/>
          <w:kern w:val="0"/>
          <w:lang w:val="en-US"/>
          <w14:ligatures w14:val="none"/>
        </w:rPr>
        <w:fldChar w:fldCharType="end"/>
      </w:r>
      <w:r>
        <w:rPr>
          <w:rFonts w:ascii="Aptos" w:hAnsi="Aptos" w:hint="eastAsia"/>
          <w:kern w:val="0"/>
          <w:lang w:val="en-US"/>
          <w14:ligatures w14:val="none"/>
        </w:rPr>
        <w:t xml:space="preserve">. </w:t>
      </w:r>
      <w:r w:rsidRPr="00A667D9">
        <w:t>Secondly, the atmosphere of the garden</w:t>
      </w:r>
      <w:r w:rsidR="005B76E9">
        <w:rPr>
          <w:rFonts w:hint="eastAsia"/>
        </w:rPr>
        <w:t xml:space="preserve"> </w:t>
      </w:r>
      <w:r w:rsidRPr="00A667D9">
        <w:t xml:space="preserve">can only be discovered through wandering and observation in the real space. Pink's sensory ethnography </w:t>
      </w:r>
      <w:r w:rsidR="004324EA">
        <w:rPr>
          <w:rFonts w:ascii="Aptos" w:hAnsi="Aptos"/>
          <w:kern w:val="0"/>
          <w:lang w:val="en-US"/>
          <w14:ligatures w14:val="none"/>
        </w:rPr>
        <w:fldChar w:fldCharType="begin"/>
      </w:r>
      <w:r w:rsidR="004324EA">
        <w:rPr>
          <w:rFonts w:ascii="Aptos" w:hAnsi="Aptos"/>
          <w:kern w:val="0"/>
          <w:lang w:val="en-US"/>
          <w14:ligatures w14:val="none"/>
        </w:rPr>
        <w:instrText xml:space="preserve"> ADDIN ZOTERO_ITEM CSL_CITATION {"citationID":"kZpvmRPg","properties":{"formattedCitation":"(Pink, 2015)","plainCitation":"(Pink, 2015)","noteIndex":0},"citationItems":[{"id":1954,"uris":["http://zotero.org/users/16578089/items/HSGBBRY7"],"itemData":{"id":1954,"type":"book","ISBN":"978-1-4739-0595-5","language":"English","publisher":"SAGE Publications Ltd","source":"research.monash.edu","title":"Doing Sensory Ethnography","URL":"https://research.monash.edu/en/publications/doing-sensory-ethnography-2","author":[{"family":"Pink","given":"Sarah"}],"accessed":{"date-parts":[["2025",4,18]]},"issued":{"date-parts":[["2015"]]}}}],"schema":"https://github.com/citation-style-language/schema/raw/master/csl-citation.json"} </w:instrText>
      </w:r>
      <w:r w:rsidR="004324EA">
        <w:rPr>
          <w:rFonts w:ascii="Aptos" w:hAnsi="Aptos"/>
          <w:kern w:val="0"/>
          <w:lang w:val="en-US"/>
          <w14:ligatures w14:val="none"/>
        </w:rPr>
        <w:fldChar w:fldCharType="separate"/>
      </w:r>
      <w:r w:rsidR="004324EA">
        <w:rPr>
          <w:rFonts w:ascii="Aptos" w:hAnsi="Aptos"/>
          <w:noProof/>
          <w:kern w:val="0"/>
          <w:lang w:val="en-US"/>
          <w14:ligatures w14:val="none"/>
        </w:rPr>
        <w:t>(Pink, 2015)</w:t>
      </w:r>
      <w:r w:rsidR="004324EA">
        <w:rPr>
          <w:rFonts w:ascii="Aptos" w:hAnsi="Aptos"/>
          <w:kern w:val="0"/>
          <w:lang w:val="en-US"/>
          <w14:ligatures w14:val="none"/>
        </w:rPr>
        <w:fldChar w:fldCharType="end"/>
      </w:r>
      <w:r w:rsidRPr="00A667D9">
        <w:t xml:space="preserve"> well supplements the process of environmental </w:t>
      </w:r>
      <w:r w:rsidRPr="00A667D9">
        <w:lastRenderedPageBreak/>
        <w:t xml:space="preserve">clues migrating to </w:t>
      </w:r>
      <w:r w:rsidR="00492DD6" w:rsidRPr="00A667D9">
        <w:t>jewellery</w:t>
      </w:r>
      <w:r w:rsidRPr="00A667D9">
        <w:t xml:space="preserve"> experience, providing a different theoretical perspective for in-depth field observation. </w:t>
      </w:r>
    </w:p>
    <w:p w14:paraId="45823044" w14:textId="32921905" w:rsidR="00641B50" w:rsidRDefault="00641B50" w:rsidP="004E4EBC">
      <w:r w:rsidRPr="00641B50">
        <w:t xml:space="preserve">This </w:t>
      </w:r>
      <w:r>
        <w:rPr>
          <w:rFonts w:hint="eastAsia"/>
        </w:rPr>
        <w:t>study</w:t>
      </w:r>
      <w:r w:rsidRPr="00641B50">
        <w:t xml:space="preserve"> intends to conduct in-depth field observations through a shadowing approach. On the side of designers/</w:t>
      </w:r>
      <w:r w:rsidR="00FA26E3">
        <w:rPr>
          <w:rFonts w:hint="eastAsia"/>
        </w:rPr>
        <w:t>artisans</w:t>
      </w:r>
      <w:r w:rsidRPr="00641B50">
        <w:t>, shadow internships will be carried out for 1-2 consecutive weeks, with the entire process of procedures and inspiration triggers recorded in video or sketches, and real-time decisions captured through oral reviews. All observation logs will be transcribed and preliminarily coded on the same day of recording, so as to convert the recorded fragments and incorporate them into the interview outline (3.2.3) and probe task cards (3.2.4), thereby facilitating the collection and in-depth exploration of subsequent data.</w:t>
      </w:r>
    </w:p>
    <w:p w14:paraId="07CE9EFD" w14:textId="3EBEE25A" w:rsidR="00E43E57" w:rsidRDefault="00E43E57" w:rsidP="004E4EBC">
      <w:r w:rsidRPr="00E43E57">
        <w:rPr>
          <w:rFonts w:hint="eastAsia"/>
        </w:rPr>
        <w:t xml:space="preserve">3.2.3 </w:t>
      </w:r>
      <w:r w:rsidRPr="00E43E57">
        <w:t>Semi-structured Interviews</w:t>
      </w:r>
    </w:p>
    <w:p w14:paraId="29589EA7" w14:textId="4B9C4AEA" w:rsidR="00E43E57" w:rsidRDefault="00FF2044" w:rsidP="004E4EBC">
      <w:r w:rsidRPr="00FF2044">
        <w:t xml:space="preserve">Similar to a large number of other related studies in this field, semi-structured interviews seem to be equally suitable for this research. This type of interview can strike a balance between preset themes and flexible probing, ensuring that the research focus does not deviate while encouraging respondents to express deep narratives, which is suitable for exploring cultural symbols and emotional experiences in this study </w:t>
      </w:r>
      <w:r w:rsidRPr="00293785">
        <w:rPr>
          <w:rFonts w:ascii="Aptos" w:hAnsi="Aptos"/>
          <w:lang w:val="en-US"/>
        </w:rPr>
        <w:fldChar w:fldCharType="begin"/>
      </w:r>
      <w:r w:rsidRPr="00293785">
        <w:rPr>
          <w:rFonts w:ascii="Aptos" w:hAnsi="Aptos"/>
          <w:lang w:val="en-US"/>
        </w:rPr>
        <w:instrText xml:space="preserve"> ADDIN ZOTERO_ITEM CSL_CITATION {"citationID":"afj7vqb6","properties":{"formattedCitation":"(Ruslin {\\i{}et al.}, 2022)","plainCitation":"(Ruslin et al., 2022)","noteIndex":0},"citationItems":[{"id":2161,"uris":["http://zotero.org/users/16578089/items/6UVMPKXN"],"itemData":{"id":2161,"type":"article-journal","abstract":"Ruslin This article aims to describe how the semi-structured interview is conducted in qualitative research. The main focus of this article is to explain how the interview is employed to obtain in-depth information. Based on these premises, this article discusses two thematically based accounts. First, the semi-structured interview is more powerful than other types of interviews for qualitative research because it allows for researchers to acquire in-depth information and evidence from interviewees while considering the focus of the study. Second, it allows flexibility and adaptability for researchers to hold their track as compared to an unstructured interview, where its direction is not fully considered. This article uses extensive literature reviews related to the methodological reflections of researchers in qualitative research. Hence, the semi-structured interview could potentially enable qualitative researchers to amend their research questions throughout their studies while maintaining their track. The article further suggests that current qualitative researchers are required to be more concerned about how to use semi-structured interviews, especially when robust findings are the main objectives.","source":"ResearchGate","title":"Semi-structured Interview: A Methodological Reflection on the Development of a Qualitative Research Instrument in Educational Studies","title-short":"Semi-structured Interview","author":[{"literal":"Ruslin"},{"family":"Mashuri","given":"Saepudin"},{"family":"Sarib","given":"Muhammad"},{"family":"Alhabsyi","given":"Firdiansyah"},{"family":"Syam","given":"Hijrah"},{"family":"Ruslin","given":"Ruslin"}],"issued":{"date-parts":[["2022",2,27]]}}}],"schema":"https://github.com/citation-style-language/schema/raw/master/csl-citation.json"} </w:instrText>
      </w:r>
      <w:r w:rsidRPr="00293785">
        <w:rPr>
          <w:rFonts w:ascii="Aptos" w:hAnsi="Aptos"/>
          <w:lang w:val="en-US"/>
        </w:rPr>
        <w:fldChar w:fldCharType="separate"/>
      </w:r>
      <w:r w:rsidRPr="00293785">
        <w:rPr>
          <w:rFonts w:ascii="Aptos" w:hAnsi="Aptos" w:cs="Times New Roman"/>
          <w:kern w:val="0"/>
        </w:rPr>
        <w:t xml:space="preserve">(Ruslin </w:t>
      </w:r>
      <w:r w:rsidRPr="00293785">
        <w:rPr>
          <w:rFonts w:ascii="Aptos" w:hAnsi="Aptos" w:cs="Times New Roman"/>
          <w:i/>
          <w:iCs/>
          <w:kern w:val="0"/>
        </w:rPr>
        <w:t>et al.</w:t>
      </w:r>
      <w:r w:rsidRPr="00293785">
        <w:rPr>
          <w:rFonts w:ascii="Aptos" w:hAnsi="Aptos" w:cs="Times New Roman"/>
          <w:kern w:val="0"/>
        </w:rPr>
        <w:t>, 2022)</w:t>
      </w:r>
      <w:r w:rsidRPr="00293785">
        <w:rPr>
          <w:rFonts w:ascii="Aptos" w:hAnsi="Aptos"/>
          <w:lang w:val="en-US"/>
        </w:rPr>
        <w:fldChar w:fldCharType="end"/>
      </w:r>
      <w:r w:rsidRPr="00FF2044">
        <w:t>. The interviews are mainly based on a three-part outline, covering garden memories, design or wearing decisions, and wearing experiences. The outline is designed with 12 questions, and 2-3 in-depth paths are prepared after each demonstration question, which are expanded based on the respondents' interests. The interview lasts for 60-90 minutes, is fully recorded, and the respondents' micro-expressions or actions are simultaneously noted. Transcriptions of the interviews are completed within 3 days after the interviews and sent to the respondents for verification to ensure the accuracy of the information expressed.</w:t>
      </w:r>
    </w:p>
    <w:p w14:paraId="7A651228" w14:textId="52804B0B" w:rsidR="002026C2" w:rsidRDefault="002026C2" w:rsidP="004E4EBC">
      <w:r w:rsidRPr="002026C2">
        <w:t>3.2.4 Cultural Probes</w:t>
      </w:r>
    </w:p>
    <w:p w14:paraId="08D25003" w14:textId="0EBB6F58" w:rsidR="002026C2" w:rsidRDefault="006A1D16" w:rsidP="004E4EBC">
      <w:r w:rsidRPr="006A1D16">
        <w:t>Cultural probes can capture daily scenes and emotional responses over a long period in the absence of researchers and can stimulate participants' creative expressions in different studies</w:t>
      </w:r>
      <w:r>
        <w:rPr>
          <w:rFonts w:hint="eastAsia"/>
        </w:rPr>
        <w:t xml:space="preserve"> </w:t>
      </w:r>
      <w:bookmarkStart w:id="5" w:name="OLE_LINK60"/>
      <w:r w:rsidRPr="00293785">
        <w:rPr>
          <w:rFonts w:ascii="Aptos" w:hAnsi="Aptos"/>
          <w:lang w:val="en-US"/>
        </w:rPr>
        <w:fldChar w:fldCharType="begin"/>
      </w:r>
      <w:r w:rsidRPr="00293785">
        <w:rPr>
          <w:rFonts w:ascii="Aptos" w:hAnsi="Aptos"/>
          <w:lang w:val="en-US"/>
        </w:rPr>
        <w:instrText xml:space="preserve"> ADDIN ZOTERO_ITEM CSL_CITATION {"citationID":"WNmWxgPa","properties":{"formattedCitation":"(Mattelm\\uc0\\u228{}ki, 2005)","plainCitation":"(Mattelmäki, 2005)","noteIndex":0},"citationItems":[{"id":2174,"uris":["http://zotero.org/users/16578089/items/HWTMBRWD"],"itemData":{"id":2174,"type":"article-journal","abstract":"In user-centered design, attention has shifted from improving usability and addressing ergonomic problems to wider perspectives such as experiences in everyday life. This shift has forced user-centered practitioners to evaluate and develop tools for finding new means of understanding user experience for design. Visual, playful and open-ended probes have raised fresh interest in the design community. In order to create a deeper understanding of this approach, this paper presents the fundamental qualities of probes and, based on empirical data and literature, describes four reasons for applying them in the product development and concept design context: for inspiration, for information, for participation and for dialogue.","container-title":"CoDesign","DOI":"10.1080/15719880500135821","ISSN":"1571-0882","issue":"2","journalAbbreviation":"CoDesign","language":"eng","note":"publisher: Taylor &amp; Francis Ltd\nTLDR: The fundamental qualities of probes are presented and four reasons for applying them in the product development and concept design context are described: for inspiration, for information, for participation and for dialogue.","page":"83-102","source":"EBSCOhost","title":"Applying probes – from inspirational notes to collaborative insights.","volume":"1","author":[{"family":"Mattelmäki","given":"Tuuli"}],"issued":{"date-parts":[["2005",6,1]]}}}],"schema":"https://github.com/citation-style-language/schema/raw/master/csl-citation.json"} </w:instrText>
      </w:r>
      <w:r w:rsidRPr="00293785">
        <w:rPr>
          <w:rFonts w:ascii="Aptos" w:hAnsi="Aptos"/>
          <w:lang w:val="en-US"/>
        </w:rPr>
        <w:fldChar w:fldCharType="separate"/>
      </w:r>
      <w:r w:rsidRPr="00293785">
        <w:rPr>
          <w:rFonts w:ascii="Aptos" w:hAnsi="Aptos" w:cs="Times New Roman"/>
          <w:kern w:val="0"/>
        </w:rPr>
        <w:t>(Mattelmäki, 2005)</w:t>
      </w:r>
      <w:r w:rsidRPr="00293785">
        <w:rPr>
          <w:rFonts w:ascii="Aptos" w:hAnsi="Aptos"/>
          <w:lang w:val="en-US"/>
        </w:rPr>
        <w:fldChar w:fldCharType="end"/>
      </w:r>
      <w:r w:rsidRPr="00293785">
        <w:rPr>
          <w:rFonts w:ascii="Aptos" w:hAnsi="Aptos"/>
          <w:lang w:val="en-US"/>
        </w:rPr>
        <w:fldChar w:fldCharType="begin"/>
      </w:r>
      <w:r w:rsidRPr="00293785">
        <w:rPr>
          <w:rFonts w:ascii="Aptos" w:hAnsi="Aptos"/>
          <w:lang w:val="en-US"/>
        </w:rPr>
        <w:instrText xml:space="preserve"> ADDIN ZOTERO_ITEM CSL_CITATION {"citationID":"yw3ve1Vn","properties":{"formattedCitation":"(Celikoglu, Ogut and Krippendorff, 2017)","plainCitation":"(Celikoglu, Ogut and Krippendorff, 2017)","noteIndex":0},"citationItems":[{"id":2176,"uris":["http://zotero.org/users/16578089/items/MNPZYZ3D"],"itemData":{"id":2176,"type":"article-journal","container-title":"Design Issues","ISSN":"0747-9360","issue":"2","note":"publisher: The MIT Press","page":"84-98","source":"JSTOR","title":"How Do User Stories Inspire Design? A Study of Cultural Probes","title-short":"How Do User Stories Inspire Design?","volume":"33","author":[{"family":"Celikoglu","given":"Ozge Merzali"},{"family":"Ogut","given":"Sebnem Timur"},{"family":"Krippendorff","given":"Klaus"}],"issued":{"date-parts":[["2017"]]}}}],"schema":"https://github.com/citation-style-language/schema/raw/master/csl-citation.json"} </w:instrText>
      </w:r>
      <w:r w:rsidRPr="00293785">
        <w:rPr>
          <w:rFonts w:ascii="Aptos" w:hAnsi="Aptos"/>
          <w:lang w:val="en-US"/>
        </w:rPr>
        <w:fldChar w:fldCharType="separate"/>
      </w:r>
      <w:r w:rsidRPr="00293785">
        <w:rPr>
          <w:rFonts w:ascii="Aptos" w:hAnsi="Aptos"/>
          <w:noProof/>
          <w:lang w:val="en-US"/>
        </w:rPr>
        <w:t>(Celikoglu, Ogut and Krippendorff, 2017)</w:t>
      </w:r>
      <w:r w:rsidRPr="00293785">
        <w:rPr>
          <w:rFonts w:ascii="Aptos" w:hAnsi="Aptos"/>
          <w:lang w:val="en-US"/>
        </w:rPr>
        <w:fldChar w:fldCharType="end"/>
      </w:r>
      <w:r w:rsidRPr="00293785">
        <w:rPr>
          <w:rFonts w:ascii="Aptos" w:hAnsi="Aptos"/>
          <w:lang w:val="en-US"/>
        </w:rPr>
        <w:fldChar w:fldCharType="begin"/>
      </w:r>
      <w:r w:rsidRPr="00293785">
        <w:rPr>
          <w:rFonts w:ascii="Aptos" w:hAnsi="Aptos"/>
          <w:lang w:val="en-US"/>
        </w:rPr>
        <w:instrText xml:space="preserve"> ADDIN ZOTERO_ITEM CSL_CITATION {"citationID":"2tizgQLy","properties":{"formattedCitation":"(Cerneviciute and Liebut\\uc0\\u279{}, 2022)","plainCitation":"(Cerneviciute and Liebutė, 2022)","noteIndex":0},"citationItems":[{"id":2163,"uris":["http://zotero.org/users/16578089/items/SZWV93LE"],"itemData":{"id":2163,"type":"article-journal","abstract":"Despite the abundance of methods and models, the design research is still often entangled in concepts irrelevant to design practice. This paper rethinks the discourse of design research and the evolving role of a designer. The most important attempts to build a design as an academic discipline are mentioned, along with research communities that are operating in the field of design. Art-and-design-based approach in design research in Donald Schön’s works on architecture and design practice, rises the importance of sketches in the creative idea generation. Implementing sketching techniques into the cultural probes, as one of an art-and-design-based research method, opens up ways to innovative design solutions. This paper discusses the relationship between the method and sketching in the context of the case study “When Nobody Sees”. Sketching is discussed as an art-based tool for problem-setting.","container-title":"Creativity Studies","DOI":"10.3846/cs.2022.15473","journalAbbreviation":"Creativity Studies","language":"en-GB","page":"169-181","source":"ResearchGate","title":"Cultural probes method in design research: creativity in sketches","title-short":"Cultural probes method in design research","volume":"15","author":[{"family":"Cerneviciute","given":"Jurate"},{"family":"Liebutė","given":"Lina"}],"issued":{"date-parts":[["2022",2,25]]}}}],"schema":"https://github.com/citation-style-language/schema/raw/master/csl-citation.json"} </w:instrText>
      </w:r>
      <w:r w:rsidRPr="00293785">
        <w:rPr>
          <w:rFonts w:ascii="Aptos" w:hAnsi="Aptos"/>
          <w:lang w:val="en-US"/>
        </w:rPr>
        <w:fldChar w:fldCharType="separate"/>
      </w:r>
      <w:r w:rsidRPr="00293785">
        <w:rPr>
          <w:rFonts w:ascii="Aptos" w:hAnsi="Aptos" w:cs="Times New Roman"/>
          <w:kern w:val="0"/>
        </w:rPr>
        <w:t>(Cerneviciute and Liebutė, 2022)</w:t>
      </w:r>
      <w:r w:rsidRPr="00293785">
        <w:rPr>
          <w:rFonts w:ascii="Aptos" w:hAnsi="Aptos"/>
          <w:lang w:val="en-US"/>
        </w:rPr>
        <w:fldChar w:fldCharType="end"/>
      </w:r>
      <w:bookmarkEnd w:id="5"/>
      <w:r w:rsidRPr="006A1D16">
        <w:t>. Most garden experiences occur in fragmented, individualized and private moments that researchers cannot follow. The use of cultural probes can maximize the recording of participants' private moments at their own pace and provide their emotional fluctuations. Using toys and manual media to guide participants can also accurately reproduce their feelings that cannot be expressed in words, making up for the shortcomings of semi-structured interviews</w:t>
      </w:r>
      <w:r w:rsidR="006F6CAD">
        <w:rPr>
          <w:rFonts w:hint="eastAsia"/>
        </w:rPr>
        <w:t xml:space="preserve"> </w:t>
      </w:r>
      <w:r w:rsidR="006F6CAD">
        <w:rPr>
          <w:rFonts w:ascii="Aptos" w:hAnsi="Aptos"/>
          <w:kern w:val="0"/>
          <w:lang w:val="en-US"/>
          <w14:ligatures w14:val="none"/>
        </w:rPr>
        <w:fldChar w:fldCharType="begin"/>
      </w:r>
      <w:r w:rsidR="006F6CAD">
        <w:rPr>
          <w:rFonts w:ascii="Aptos" w:hAnsi="Aptos"/>
          <w:kern w:val="0"/>
          <w:lang w:val="en-US"/>
          <w14:ligatures w14:val="none"/>
        </w:rPr>
        <w:instrText xml:space="preserve"> ADDIN ZOTERO_ITEM CSL_CITATION {"citationID":"A7HAsfSF","properties":{"formattedCitation":"(Hamarat Dundar and and Merzali Celikoglu, 2024)","plainCitation":"(Hamarat Dundar and and Merzali Celikoglu, 2024)","noteIndex":0},"citationItems":[{"id":2168,"uris":["http://zotero.org/users/16578089/items/HXQUJRMA"],"itemData":{"id":2168,"type":"article-journal","abstract":"In this paper, we propose a new way of probing as a means of conducting remote research, with a particular focus on utilising social media platforms. To achieve this goal, we draw on previous research involving both tangible and technology-integrated probes to identify specific requirements and opportunities for implementing cultural probes through repurposing Instagram. Remarkably, we find that this new way of probing, which we name ‘InstantProbes’, corresponds well to many aspects of the cultural probes method while enhancing researcher–participant interaction. Based on three different case studies and an analysis on the method’s advantages and shortcomings, we develop a guide on how to apply InstantProbes, proposing a new way of probing.","container-title":"CoDesign","DOI":"10.1080/15710882.2024.2379582","ISSN":"1571-0882","issue":"4","language":"en-GB","note":"publisher: Taylor &amp; Francis\n_eprint: https://doi.org/10.1080/15710882.2024.2379582","page":"700-717","source":"Taylor and Francis+NEJM","title":"InstantProbes: a new approach to cultural probes method","title-short":"InstantProbes","volume":"20","author":[{"family":"Hamarat Dundar","given":"Miray"},{"family":"Merzali Celikoglu","given":"Ozge","non-dropping-particle":"and"}],"issued":{"date-parts":[["2024",10,1]]}}}],"schema":"https://github.com/citation-style-language/schema/raw/master/csl-citation.json"} </w:instrText>
      </w:r>
      <w:r w:rsidR="006F6CAD">
        <w:rPr>
          <w:rFonts w:ascii="Aptos" w:hAnsi="Aptos"/>
          <w:kern w:val="0"/>
          <w:lang w:val="en-US"/>
          <w14:ligatures w14:val="none"/>
        </w:rPr>
        <w:fldChar w:fldCharType="separate"/>
      </w:r>
      <w:r w:rsidR="006F6CAD">
        <w:rPr>
          <w:rFonts w:ascii="Aptos" w:hAnsi="Aptos"/>
          <w:noProof/>
          <w:kern w:val="0"/>
          <w:lang w:val="en-US"/>
          <w14:ligatures w14:val="none"/>
        </w:rPr>
        <w:t>(Hamarat Dundar and and Merzali Celikoglu, 2024)</w:t>
      </w:r>
      <w:r w:rsidR="006F6CAD">
        <w:rPr>
          <w:rFonts w:ascii="Aptos" w:hAnsi="Aptos"/>
          <w:kern w:val="0"/>
          <w:lang w:val="en-US"/>
          <w14:ligatures w14:val="none"/>
        </w:rPr>
        <w:fldChar w:fldCharType="end"/>
      </w:r>
      <w:r w:rsidRPr="006A1D16">
        <w:t xml:space="preserve">. </w:t>
      </w:r>
    </w:p>
    <w:p w14:paraId="60A54A40" w14:textId="526DB76C" w:rsidR="00794DFC" w:rsidRDefault="003A046C" w:rsidP="004E4EBC">
      <w:r w:rsidRPr="003A046C">
        <w:t>Table 2 presents the cultural probe kits and the expected data targets. Each participant used four artefacts</w:t>
      </w:r>
      <w:r>
        <w:rPr>
          <w:rFonts w:hint="eastAsia"/>
        </w:rPr>
        <w:t xml:space="preserve"> </w:t>
      </w:r>
      <w:r>
        <w:rPr>
          <w:rFonts w:ascii="Aptos" w:hAnsi="Aptos"/>
          <w:kern w:val="0"/>
          <w:lang w:val="en-US"/>
          <w14:ligatures w14:val="none"/>
        </w:rPr>
        <w:fldChar w:fldCharType="begin"/>
      </w:r>
      <w:r>
        <w:rPr>
          <w:rFonts w:ascii="Aptos" w:hAnsi="Aptos"/>
          <w:kern w:val="0"/>
          <w:lang w:val="en-US"/>
          <w14:ligatures w14:val="none"/>
        </w:rPr>
        <w:instrText xml:space="preserve"> ADDIN ZOTERO_ITEM CSL_CITATION {"citationID":"haV40g6s","properties":{"formattedCitation":"(Gaver, Dunne and Pacenti, 1999)","plainCitation":"(Gaver, Dunne and Pacenti, 1999)","noteIndex":0},"citationItems":[{"id":2178,"uris":["http://zotero.org/users/16578089/items/QGWZPFU9"],"itemData":{"id":2178,"type":"article-journal","container-title":"interactions","DOI":"10.1145/291224.291235","ISSN":"1072-5520","issue":"1","note":"TLDR: A As the local site coordinator finished his introduction to the meeting, the group had taken on a glazed look, showing polite interest, but no real enthusiasm, and worries were increasing.","page":"21–29","source":"ACM Digital Library","title":"Design: Cultural probes","title-short":"Design","volume":"6","author":[{"family":"Gaver","given":"Bill"},{"family":"Dunne","given":"Tony"},{"family":"Pacenti","given":"Elena"}],"issued":{"date-parts":[["1999",1,1]]}}}],"schema":"https://github.com/citation-style-language/schema/raw/master/csl-citation.json"} </w:instrText>
      </w:r>
      <w:r>
        <w:rPr>
          <w:rFonts w:ascii="Aptos" w:hAnsi="Aptos"/>
          <w:kern w:val="0"/>
          <w:lang w:val="en-US"/>
          <w14:ligatures w14:val="none"/>
        </w:rPr>
        <w:fldChar w:fldCharType="separate"/>
      </w:r>
      <w:r>
        <w:rPr>
          <w:rFonts w:ascii="Aptos" w:hAnsi="Aptos"/>
          <w:noProof/>
          <w:kern w:val="0"/>
          <w:lang w:val="en-US"/>
          <w14:ligatures w14:val="none"/>
        </w:rPr>
        <w:t>(Gaver, Dunne and Pacenti, 1999)</w:t>
      </w:r>
      <w:r>
        <w:rPr>
          <w:rFonts w:ascii="Aptos" w:hAnsi="Aptos"/>
          <w:kern w:val="0"/>
          <w:lang w:val="en-US"/>
          <w14:ligatures w14:val="none"/>
        </w:rPr>
        <w:fldChar w:fldCharType="end"/>
      </w:r>
      <w:r w:rsidRPr="003A046C">
        <w:t xml:space="preserve">, which were to be continuously </w:t>
      </w:r>
      <w:r w:rsidRPr="003A046C">
        <w:lastRenderedPageBreak/>
        <w:t>recorded and uploaded. All materials were quickly sorted by theme upon collection and then subjected to other data analyses.</w:t>
      </w:r>
    </w:p>
    <w:tbl>
      <w:tblPr>
        <w:tblStyle w:val="TableGrid"/>
        <w:tblW w:w="8782" w:type="dxa"/>
        <w:tblLook w:val="04A0" w:firstRow="1" w:lastRow="0" w:firstColumn="1" w:lastColumn="0" w:noHBand="0" w:noVBand="1"/>
      </w:tblPr>
      <w:tblGrid>
        <w:gridCol w:w="2533"/>
        <w:gridCol w:w="2750"/>
        <w:gridCol w:w="3499"/>
      </w:tblGrid>
      <w:tr w:rsidR="00D9407E" w:rsidRPr="00564D69" w14:paraId="56990614" w14:textId="77777777" w:rsidTr="00731F91">
        <w:trPr>
          <w:trHeight w:val="336"/>
        </w:trPr>
        <w:tc>
          <w:tcPr>
            <w:tcW w:w="2533" w:type="dxa"/>
            <w:noWrap/>
            <w:vAlign w:val="center"/>
            <w:hideMark/>
          </w:tcPr>
          <w:p w14:paraId="69E9AF77" w14:textId="77777777" w:rsidR="00D9407E" w:rsidRPr="00731F91" w:rsidRDefault="00D9407E" w:rsidP="00731F91">
            <w:pPr>
              <w:rPr>
                <w:rFonts w:ascii="Aptos" w:eastAsia="SimSun" w:hAnsi="Aptos" w:cs="Times New Roman"/>
                <w:b/>
                <w:bCs/>
                <w:color w:val="000000" w:themeColor="text1"/>
                <w:kern w:val="0"/>
                <w14:ligatures w14:val="none"/>
              </w:rPr>
            </w:pPr>
            <w:bookmarkStart w:id="6" w:name="_Hlk197203656"/>
            <w:r w:rsidRPr="00731F91">
              <w:rPr>
                <w:rFonts w:ascii="Aptos" w:eastAsia="SimSun" w:hAnsi="Aptos" w:cs="Times New Roman"/>
                <w:b/>
                <w:bCs/>
                <w:color w:val="000000" w:themeColor="text1"/>
                <w:kern w:val="0"/>
                <w14:ligatures w14:val="none"/>
              </w:rPr>
              <w:t>Probe Artefact</w:t>
            </w:r>
          </w:p>
        </w:tc>
        <w:tc>
          <w:tcPr>
            <w:tcW w:w="2750" w:type="dxa"/>
            <w:noWrap/>
            <w:vAlign w:val="center"/>
            <w:hideMark/>
          </w:tcPr>
          <w:p w14:paraId="44FD5327" w14:textId="3E53B705" w:rsidR="00D9407E" w:rsidRPr="00731F91" w:rsidRDefault="00D9407E" w:rsidP="00731F91">
            <w:pPr>
              <w:rPr>
                <w:rFonts w:eastAsia="SimSun" w:cs="Times New Roman"/>
                <w:b/>
                <w:bCs/>
                <w:color w:val="000000" w:themeColor="text1"/>
                <w:kern w:val="0"/>
                <w14:ligatures w14:val="none"/>
              </w:rPr>
            </w:pPr>
            <w:r w:rsidRPr="00731F91">
              <w:rPr>
                <w:rStyle w:val="Strong"/>
                <w:rFonts w:cs="Segoe UI"/>
                <w:color w:val="000000" w:themeColor="text1"/>
              </w:rPr>
              <w:t>Capture Target</w:t>
            </w:r>
          </w:p>
        </w:tc>
        <w:tc>
          <w:tcPr>
            <w:tcW w:w="3499" w:type="dxa"/>
            <w:noWrap/>
            <w:vAlign w:val="center"/>
            <w:hideMark/>
          </w:tcPr>
          <w:p w14:paraId="456BE0B9" w14:textId="39325342" w:rsidR="00D9407E" w:rsidRPr="00731F91" w:rsidRDefault="00D9407E" w:rsidP="00731F91">
            <w:pPr>
              <w:rPr>
                <w:rFonts w:eastAsia="SimSun" w:cs="Times New Roman"/>
                <w:b/>
                <w:bCs/>
                <w:color w:val="000000" w:themeColor="text1"/>
                <w:kern w:val="0"/>
                <w14:ligatures w14:val="none"/>
              </w:rPr>
            </w:pPr>
            <w:r w:rsidRPr="00731F91">
              <w:rPr>
                <w:rStyle w:val="Strong"/>
                <w:rFonts w:cs="Segoe UI"/>
                <w:color w:val="000000" w:themeColor="text1"/>
              </w:rPr>
              <w:t>Expected Data</w:t>
            </w:r>
          </w:p>
        </w:tc>
      </w:tr>
      <w:tr w:rsidR="00D8207B" w:rsidRPr="00564D69" w14:paraId="78123F37" w14:textId="77777777" w:rsidTr="00731F91">
        <w:trPr>
          <w:trHeight w:val="336"/>
        </w:trPr>
        <w:tc>
          <w:tcPr>
            <w:tcW w:w="2533" w:type="dxa"/>
            <w:noWrap/>
            <w:vAlign w:val="center"/>
            <w:hideMark/>
          </w:tcPr>
          <w:p w14:paraId="478B042F" w14:textId="04832851"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Disposable Camera</w:t>
            </w:r>
          </w:p>
        </w:tc>
        <w:tc>
          <w:tcPr>
            <w:tcW w:w="2750" w:type="dxa"/>
            <w:noWrap/>
            <w:vAlign w:val="center"/>
            <w:hideMark/>
          </w:tcPr>
          <w:p w14:paraId="3B2C4D86" w14:textId="57F4D2B0"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Visual symbols and spatial composition</w:t>
            </w:r>
          </w:p>
        </w:tc>
        <w:tc>
          <w:tcPr>
            <w:tcW w:w="3499" w:type="dxa"/>
            <w:noWrap/>
            <w:vAlign w:val="center"/>
            <w:hideMark/>
          </w:tcPr>
          <w:p w14:paraId="2DA6EE57" w14:textId="480C107D"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 xml:space="preserve">24–36 </w:t>
            </w:r>
            <w:proofErr w:type="spellStart"/>
            <w:r w:rsidRPr="00731F91">
              <w:rPr>
                <w:rFonts w:cs="Segoe UI"/>
                <w:color w:val="000000" w:themeColor="text1"/>
              </w:rPr>
              <w:t>color</w:t>
            </w:r>
            <w:proofErr w:type="spellEnd"/>
            <w:r w:rsidRPr="00731F91">
              <w:rPr>
                <w:rFonts w:cs="Segoe UI"/>
                <w:color w:val="000000" w:themeColor="text1"/>
              </w:rPr>
              <w:t xml:space="preserve"> photographs</w:t>
            </w:r>
          </w:p>
        </w:tc>
      </w:tr>
      <w:tr w:rsidR="00D8207B" w:rsidRPr="00564D69" w14:paraId="10A89F7E" w14:textId="77777777" w:rsidTr="00731F91">
        <w:trPr>
          <w:trHeight w:val="336"/>
        </w:trPr>
        <w:tc>
          <w:tcPr>
            <w:tcW w:w="2533" w:type="dxa"/>
            <w:noWrap/>
            <w:vAlign w:val="center"/>
            <w:hideMark/>
          </w:tcPr>
          <w:p w14:paraId="6F102959" w14:textId="109CA6EA"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Emotion Stickers</w:t>
            </w:r>
          </w:p>
        </w:tc>
        <w:tc>
          <w:tcPr>
            <w:tcW w:w="2750" w:type="dxa"/>
            <w:noWrap/>
            <w:vAlign w:val="center"/>
            <w:hideMark/>
          </w:tcPr>
          <w:p w14:paraId="5A0F2BA6" w14:textId="1F4043A9"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Instant emotional spectrum</w:t>
            </w:r>
          </w:p>
        </w:tc>
        <w:tc>
          <w:tcPr>
            <w:tcW w:w="3499" w:type="dxa"/>
            <w:noWrap/>
            <w:vAlign w:val="center"/>
            <w:hideMark/>
          </w:tcPr>
          <w:p w14:paraId="130A63F0" w14:textId="159A1C81" w:rsidR="00D8207B" w:rsidRPr="00731F91" w:rsidRDefault="00D8207B" w:rsidP="00731F91">
            <w:pPr>
              <w:rPr>
                <w:rFonts w:eastAsia="SimSun" w:cs="Times New Roman"/>
                <w:color w:val="000000" w:themeColor="text1"/>
                <w:kern w:val="0"/>
                <w14:ligatures w14:val="none"/>
              </w:rPr>
            </w:pPr>
            <w:proofErr w:type="spellStart"/>
            <w:r w:rsidRPr="00731F91">
              <w:rPr>
                <w:rFonts w:cs="Segoe UI"/>
                <w:color w:val="000000" w:themeColor="text1"/>
              </w:rPr>
              <w:t>Color</w:t>
            </w:r>
            <w:proofErr w:type="spellEnd"/>
            <w:r w:rsidRPr="00731F91">
              <w:rPr>
                <w:rFonts w:cs="Segoe UI"/>
                <w:color w:val="000000" w:themeColor="text1"/>
              </w:rPr>
              <w:t xml:space="preserve"> stickers + timestamps + notes</w:t>
            </w:r>
          </w:p>
        </w:tc>
      </w:tr>
      <w:tr w:rsidR="00D8207B" w:rsidRPr="00564D69" w14:paraId="4D134AC9" w14:textId="77777777" w:rsidTr="00731F91">
        <w:trPr>
          <w:trHeight w:val="336"/>
        </w:trPr>
        <w:tc>
          <w:tcPr>
            <w:tcW w:w="2533" w:type="dxa"/>
            <w:noWrap/>
            <w:vAlign w:val="center"/>
            <w:hideMark/>
          </w:tcPr>
          <w:p w14:paraId="2FFB6C2E" w14:textId="46E5A0B0" w:rsidR="00D8207B" w:rsidRPr="00731F91" w:rsidRDefault="00C35336" w:rsidP="00731F91">
            <w:pPr>
              <w:rPr>
                <w:rFonts w:eastAsia="SimSun" w:cs="Times New Roman"/>
                <w:color w:val="000000" w:themeColor="text1"/>
                <w:kern w:val="0"/>
                <w14:ligatures w14:val="none"/>
              </w:rPr>
            </w:pPr>
            <w:r w:rsidRPr="00731F91">
              <w:rPr>
                <w:rFonts w:cs="Segoe UI"/>
                <w:color w:val="000000" w:themeColor="text1"/>
              </w:rPr>
              <w:t>‘</w:t>
            </w:r>
            <w:r w:rsidR="00D8207B" w:rsidRPr="00731F91">
              <w:rPr>
                <w:rFonts w:cs="Segoe UI"/>
                <w:color w:val="000000" w:themeColor="text1"/>
              </w:rPr>
              <w:t>Sound Can</w:t>
            </w:r>
            <w:r w:rsidRPr="00731F91">
              <w:rPr>
                <w:rFonts w:cs="Segoe UI"/>
                <w:color w:val="000000" w:themeColor="text1"/>
              </w:rPr>
              <w:t>’</w:t>
            </w:r>
          </w:p>
        </w:tc>
        <w:tc>
          <w:tcPr>
            <w:tcW w:w="2750" w:type="dxa"/>
            <w:noWrap/>
            <w:vAlign w:val="center"/>
            <w:hideMark/>
          </w:tcPr>
          <w:p w14:paraId="5B71FE85" w14:textId="618D7F03"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Ambient sounds and verbalized emotions</w:t>
            </w:r>
          </w:p>
        </w:tc>
        <w:tc>
          <w:tcPr>
            <w:tcW w:w="3499" w:type="dxa"/>
            <w:noWrap/>
            <w:vAlign w:val="center"/>
            <w:hideMark/>
          </w:tcPr>
          <w:p w14:paraId="3F3E1E0A" w14:textId="3B5EEA25"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30-second audio clips × 14</w:t>
            </w:r>
          </w:p>
        </w:tc>
      </w:tr>
      <w:tr w:rsidR="00D8207B" w:rsidRPr="00564D69" w14:paraId="3813D834" w14:textId="77777777" w:rsidTr="00731F91">
        <w:trPr>
          <w:trHeight w:val="336"/>
        </w:trPr>
        <w:tc>
          <w:tcPr>
            <w:tcW w:w="2533" w:type="dxa"/>
            <w:noWrap/>
            <w:vAlign w:val="center"/>
            <w:hideMark/>
          </w:tcPr>
          <w:p w14:paraId="7828E319" w14:textId="7392F53D"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Scent Retention Card</w:t>
            </w:r>
          </w:p>
        </w:tc>
        <w:tc>
          <w:tcPr>
            <w:tcW w:w="2750" w:type="dxa"/>
            <w:noWrap/>
            <w:vAlign w:val="center"/>
            <w:hideMark/>
          </w:tcPr>
          <w:p w14:paraId="539D2D5E" w14:textId="402F1BA8"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Olfactory cues and memory anchors</w:t>
            </w:r>
          </w:p>
        </w:tc>
        <w:tc>
          <w:tcPr>
            <w:tcW w:w="3499" w:type="dxa"/>
            <w:noWrap/>
            <w:vAlign w:val="center"/>
            <w:hideMark/>
          </w:tcPr>
          <w:p w14:paraId="4FE24F95" w14:textId="6FB367D3" w:rsidR="00D8207B" w:rsidRPr="00731F91" w:rsidRDefault="00D8207B" w:rsidP="00731F91">
            <w:pPr>
              <w:rPr>
                <w:rFonts w:eastAsia="SimSun" w:cs="Times New Roman"/>
                <w:color w:val="000000" w:themeColor="text1"/>
                <w:kern w:val="0"/>
                <w14:ligatures w14:val="none"/>
              </w:rPr>
            </w:pPr>
            <w:r w:rsidRPr="00731F91">
              <w:rPr>
                <w:rFonts w:cs="Segoe UI"/>
                <w:color w:val="000000" w:themeColor="text1"/>
              </w:rPr>
              <w:t>4 scent cards + textual annotations</w:t>
            </w:r>
          </w:p>
        </w:tc>
      </w:tr>
    </w:tbl>
    <w:bookmarkEnd w:id="6"/>
    <w:p w14:paraId="48C4A5F3" w14:textId="6CA00F9E" w:rsidR="00D72E54" w:rsidRDefault="00DC47D2" w:rsidP="004E4EBC">
      <w:r w:rsidRPr="00DC47D2">
        <w:rPr>
          <w:rFonts w:hint="eastAsia"/>
        </w:rPr>
        <w:t xml:space="preserve">Table </w:t>
      </w:r>
      <w:proofErr w:type="gramStart"/>
      <w:r w:rsidRPr="00DC47D2">
        <w:rPr>
          <w:rFonts w:hint="eastAsia"/>
        </w:rPr>
        <w:t xml:space="preserve">2  </w:t>
      </w:r>
      <w:r w:rsidRPr="00DC47D2">
        <w:t>Cultural</w:t>
      </w:r>
      <w:proofErr w:type="gramEnd"/>
      <w:r w:rsidRPr="00DC47D2">
        <w:t xml:space="preserve"> Probe Kit</w:t>
      </w:r>
    </w:p>
    <w:p w14:paraId="0676DC80" w14:textId="77777777" w:rsidR="00BC04D2" w:rsidRPr="00293785" w:rsidRDefault="00BC04D2" w:rsidP="00BC04D2">
      <w:pPr>
        <w:rPr>
          <w:rFonts w:ascii="Aptos" w:hAnsi="Aptos"/>
          <w:b/>
          <w:bCs/>
          <w:lang w:val="en-US"/>
        </w:rPr>
      </w:pPr>
      <w:r w:rsidRPr="00293785">
        <w:rPr>
          <w:rFonts w:ascii="Aptos" w:hAnsi="Aptos"/>
          <w:b/>
          <w:bCs/>
          <w:lang w:val="en-US"/>
        </w:rPr>
        <w:t>3.3 Data collection and analysis</w:t>
      </w:r>
    </w:p>
    <w:p w14:paraId="0BF88D5E" w14:textId="7F3EFEB8" w:rsidR="00DC47D2" w:rsidRDefault="00B545C0" w:rsidP="004E4EBC">
      <w:r w:rsidRPr="00B545C0">
        <w:t xml:space="preserve">The research process followed the three-layer rhythm of design ethnography, conducted through immersive insight and iterative methods. During the field stay phase, observations were made in the morning, afternoon, and evening in separate time slots. Semi-structured interviews and cultural probes were carried out simultaneously during the field period, allowing participants to complete daily data filling even when the researchers were absent, thus expanding the depth of data in design ethnography </w:t>
      </w:r>
      <w:r>
        <w:rPr>
          <w:rFonts w:ascii="Aptos" w:hAnsi="Aptos"/>
          <w:kern w:val="0"/>
          <w:lang w:val="en-US"/>
          <w14:ligatures w14:val="none"/>
        </w:rPr>
        <w:fldChar w:fldCharType="begin"/>
      </w:r>
      <w:r>
        <w:rPr>
          <w:rFonts w:ascii="Aptos" w:hAnsi="Aptos"/>
          <w:kern w:val="0"/>
          <w:lang w:val="en-US"/>
          <w14:ligatures w14:val="none"/>
        </w:rPr>
        <w:instrText xml:space="preserve"> ADDIN ZOTERO_ITEM CSL_CITATION {"citationID":"jLDuHFmy","properties":{"formattedCitation":"(Gaver, Dunne and Pacenti, 1999)","plainCitation":"(Gaver, Dunne and Pacenti, 1999)","noteIndex":0},"citationItems":[{"id":2178,"uris":["http://zotero.org/users/16578089/items/QGWZPFU9"],"itemData":{"id":2178,"type":"article-journal","container-title":"interactions","DOI":"10.1145/291224.291235","ISSN":"1072-5520","issue":"1","note":"TLDR: A As the local site coordinator finished his introduction to the meeting, the group had taken on a glazed look, showing polite interest, but no real enthusiasm, and worries were increasing.","page":"21–29","source":"ACM Digital Library","title":"Design: Cultural probes","title-short":"Design","volume":"6","author":[{"family":"Gaver","given":"Bill"},{"family":"Dunne","given":"Tony"},{"family":"Pacenti","given":"Elena"}],"issued":{"date-parts":[["1999",1,1]]}}}],"schema":"https://github.com/citation-style-language/schema/raw/master/csl-citation.json"} </w:instrText>
      </w:r>
      <w:r>
        <w:rPr>
          <w:rFonts w:ascii="Aptos" w:hAnsi="Aptos"/>
          <w:kern w:val="0"/>
          <w:lang w:val="en-US"/>
          <w14:ligatures w14:val="none"/>
        </w:rPr>
        <w:fldChar w:fldCharType="separate"/>
      </w:r>
      <w:r>
        <w:rPr>
          <w:rFonts w:ascii="Aptos" w:hAnsi="Aptos"/>
          <w:noProof/>
          <w:kern w:val="0"/>
          <w:lang w:val="en-US"/>
          <w14:ligatures w14:val="none"/>
        </w:rPr>
        <w:t>(Gaver, Dunne and Pacenti, 1999)</w:t>
      </w:r>
      <w:r>
        <w:rPr>
          <w:rFonts w:ascii="Aptos" w:hAnsi="Aptos"/>
          <w:kern w:val="0"/>
          <w:lang w:val="en-US"/>
          <w14:ligatures w14:val="none"/>
        </w:rPr>
        <w:fldChar w:fldCharType="end"/>
      </w:r>
      <w:r>
        <w:rPr>
          <w:rFonts w:ascii="Aptos" w:hAnsi="Aptos" w:hint="eastAsia"/>
          <w:kern w:val="0"/>
          <w:lang w:val="en-US"/>
          <w14:ligatures w14:val="none"/>
        </w:rPr>
        <w:t xml:space="preserve">. </w:t>
      </w:r>
      <w:r w:rsidRPr="00B545C0">
        <w:t xml:space="preserve">Two rounds of collaborative workshops were held during the intervals of the stay, from symbolic collage, prototype sampling to group evaluation, to immediately test the hypotheses of symbolic translation. To supplement the offline samples, Python could be used to crawl and keyword tag online posts related to garden </w:t>
      </w:r>
      <w:r w:rsidR="00A305C8" w:rsidRPr="00B545C0">
        <w:t>jewellery</w:t>
      </w:r>
      <w:r w:rsidRPr="00B545C0">
        <w:t>, building a digital ethnographic corpus</w:t>
      </w:r>
      <w:r w:rsidR="00AD1B92">
        <w:rPr>
          <w:rFonts w:hint="eastAsia"/>
        </w:rPr>
        <w:t xml:space="preserve"> </w:t>
      </w:r>
      <w:bookmarkStart w:id="7" w:name="OLE_LINK74"/>
      <w:r w:rsidR="00AD1B92">
        <w:rPr>
          <w:rFonts w:ascii="Aptos" w:hAnsi="Aptos"/>
          <w:kern w:val="0"/>
          <w:lang w:val="en-US"/>
          <w14:ligatures w14:val="none"/>
        </w:rPr>
        <w:fldChar w:fldCharType="begin"/>
      </w:r>
      <w:r w:rsidR="00AD1B92">
        <w:rPr>
          <w:rFonts w:ascii="Aptos" w:hAnsi="Aptos"/>
          <w:kern w:val="0"/>
          <w:lang w:val="en-US"/>
          <w14:ligatures w14:val="none"/>
        </w:rPr>
        <w:instrText xml:space="preserve"> ADDIN ZOTERO_ITEM CSL_CITATION {"citationID":"yxANfYXc","properties":{"formattedCitation":"(Alinejad, 2018)","plainCitation":"(Alinejad, 2018)","noteIndex":0},"citationItems":[{"id":2188,"uris":["http://zotero.org/users/16578089/items/PY783RS7"],"itemData":{"id":2188,"type":"article-journal","container-title":"New Media &amp; Society","DOI":"10.1177/1461444817733962c","ISSN":"1461-4448","issue":"1","language":"EN","note":"publisher: SAGE Publications\nTLDR: A theme particularly evident in the latter part of the volume is that there remain challenges in developing and adapting computational linguistic tools to text analysis from an SFL perspective because of the multifunctional nature of the lexicogrammar and the meaning-based focus of the theory.","page":"428-431","source":"SAGE Journals","title":"Digital ethnography: Principles and practice","title-short":"Digital ethnography","volume":"20","author":[{"family":"Alinejad","given":"Donya"}],"issued":{"date-parts":[["2018",1,1]]}}}],"schema":"https://github.com/citation-style-language/schema/raw/master/csl-citation.json"} </w:instrText>
      </w:r>
      <w:r w:rsidR="00AD1B92">
        <w:rPr>
          <w:rFonts w:ascii="Aptos" w:hAnsi="Aptos"/>
          <w:kern w:val="0"/>
          <w:lang w:val="en-US"/>
          <w14:ligatures w14:val="none"/>
        </w:rPr>
        <w:fldChar w:fldCharType="separate"/>
      </w:r>
      <w:r w:rsidR="00AD1B92">
        <w:rPr>
          <w:rFonts w:ascii="Aptos" w:hAnsi="Aptos"/>
          <w:noProof/>
          <w:kern w:val="0"/>
          <w:lang w:val="en-US"/>
          <w14:ligatures w14:val="none"/>
        </w:rPr>
        <w:t>(Alinejad, 2018)</w:t>
      </w:r>
      <w:r w:rsidR="00AD1B92">
        <w:rPr>
          <w:rFonts w:ascii="Aptos" w:hAnsi="Aptos"/>
          <w:kern w:val="0"/>
          <w:lang w:val="en-US"/>
          <w14:ligatures w14:val="none"/>
        </w:rPr>
        <w:fldChar w:fldCharType="end"/>
      </w:r>
      <w:r w:rsidR="00AD1B92">
        <w:rPr>
          <w:rFonts w:ascii="Aptos" w:hAnsi="Aptos"/>
          <w:kern w:val="0"/>
          <w:lang w:val="en-US"/>
          <w14:ligatures w14:val="none"/>
        </w:rPr>
        <w:fldChar w:fldCharType="begin"/>
      </w:r>
      <w:r w:rsidR="00AD1B92">
        <w:rPr>
          <w:rFonts w:ascii="Aptos" w:hAnsi="Aptos"/>
          <w:kern w:val="0"/>
          <w:lang w:val="en-US"/>
          <w14:ligatures w14:val="none"/>
        </w:rPr>
        <w:instrText xml:space="preserve"> ADDIN ZOTERO_ITEM CSL_CITATION {"citationID":"JeHpLANG","properties":{"formattedCitation":"(Tikka {\\i{}et al.}, 2025)","plainCitation":"(Tikka et al., 2025)","noteIndex":0},"citationItems":[{"id":2190,"uris":["http://zotero.org/users/16578089/items/GQHKC72K"],"itemData":{"id":2190,"type":"article-journal","abstract":"The live character of suddenly breaking global media events along with the massive volume of digital traces they produce pose considerable challenges for research in the current communication environment. In this methodological article, we use the 2019 Christchurch mosque attacks as an empirical context for methodological reflection. We suggest a new type of ethnographic investigation of events—a digital team ethnography augmented by computational methods for studying media events. We show how “fieldwork” and the related “field” are constructed as part of the empirical workflow and present a four-phase model to structure the research process: (1) research readiness, (2) mobilization of fieldwork, (3) exploring the computationally organized ethnographic field, and (4) deep dives that enable thick description on social media. We conclude with a reflection on the benefits and limitations of the proposed methodological approach for the study of global media events.","container-title":"New Media &amp; Society","DOI":"10.1177/14614448231207784","ISSN":"1461-4448","issue":"4","language":"EN","note":"publisher: SAGE Publications\nTLDR: This methodological article uses the 2019 Christchurch mosque attacks as an empirical context for methodological reflection and suggests a new type of ethnographic investigation of events—a digital team ethnography augmented by computational methods for studying media events.","page":"2168-2187","source":"SAGE Journals","title":"Developing digital team ethnography of global media events on social media","volume":"27","author":[{"family":"Tikka","given":"Minttu"},{"family":"Huhtamäki","given":"Jukka"},{"family":"Harju","given":"Anu A."},{"family":"Sumiala","given":"Johanna"}],"issued":{"date-parts":[["2025",4,1]]}}}],"schema":"https://github.com/citation-style-language/schema/raw/master/csl-citation.json"} </w:instrText>
      </w:r>
      <w:r w:rsidR="00AD1B92">
        <w:rPr>
          <w:rFonts w:ascii="Aptos" w:hAnsi="Aptos"/>
          <w:kern w:val="0"/>
          <w:lang w:val="en-US"/>
          <w14:ligatures w14:val="none"/>
        </w:rPr>
        <w:fldChar w:fldCharType="separate"/>
      </w:r>
      <w:r w:rsidR="00AD1B92">
        <w:rPr>
          <w:rFonts w:ascii="Aptos" w:hAnsi="Aptos" w:cs="Times New Roman"/>
          <w:kern w:val="0"/>
          <w14:ligatures w14:val="none"/>
        </w:rPr>
        <w:t xml:space="preserve">(Tikka </w:t>
      </w:r>
      <w:r w:rsidR="00AD1B92">
        <w:rPr>
          <w:rFonts w:ascii="Aptos" w:hAnsi="Aptos" w:cs="Times New Roman"/>
          <w:i/>
          <w:iCs/>
          <w:kern w:val="0"/>
          <w14:ligatures w14:val="none"/>
        </w:rPr>
        <w:t>et al.</w:t>
      </w:r>
      <w:r w:rsidR="00AD1B92">
        <w:rPr>
          <w:rFonts w:ascii="Aptos" w:hAnsi="Aptos" w:cs="Times New Roman"/>
          <w:kern w:val="0"/>
          <w14:ligatures w14:val="none"/>
        </w:rPr>
        <w:t>, 2025)</w:t>
      </w:r>
      <w:bookmarkEnd w:id="7"/>
      <w:r w:rsidR="00AD1B92">
        <w:rPr>
          <w:rFonts w:ascii="Aptos" w:hAnsi="Aptos"/>
          <w:kern w:val="0"/>
          <w:lang w:val="en-US"/>
          <w14:ligatures w14:val="none"/>
        </w:rPr>
        <w:fldChar w:fldCharType="end"/>
      </w:r>
      <w:r w:rsidRPr="00B545C0">
        <w:t xml:space="preserve">, and finally select suitable </w:t>
      </w:r>
      <w:r w:rsidR="00A305C8" w:rsidRPr="00B545C0">
        <w:t>jewellery</w:t>
      </w:r>
      <w:r w:rsidRPr="00B545C0">
        <w:t xml:space="preserve"> prototypes for wearing experiments.</w:t>
      </w:r>
    </w:p>
    <w:p w14:paraId="6D2917C0" w14:textId="07DE3F7C" w:rsidR="00245469" w:rsidRDefault="00245469" w:rsidP="004E4EBC">
      <w:pPr>
        <w:rPr>
          <w:rFonts w:ascii="Aptos" w:hAnsi="Aptos"/>
          <w:lang w:val="en-US"/>
        </w:rPr>
      </w:pPr>
      <w:r w:rsidRPr="00245469">
        <w:t xml:space="preserve">The data analysis in this study adopted a mixed strategy of qualitative and quantitative approaches (Table 3). In the quantitative main line, field notes, interviews, probe kits and online texts were subjected to open coding using grounded theory within </w:t>
      </w:r>
      <w:r w:rsidR="00A305C8" w:rsidRPr="00245469">
        <w:t>NVivo</w:t>
      </w:r>
      <w:r w:rsidRPr="00245469">
        <w:t xml:space="preserve">. Subsequently, they were reassembled to form axial coding of abstract categories, and finally selective coding was conducted to propose core propositions </w:t>
      </w:r>
      <w:r>
        <w:rPr>
          <w:rFonts w:ascii="Aptos" w:hAnsi="Aptos"/>
          <w:kern w:val="0"/>
          <w:lang w:val="en-US"/>
          <w14:ligatures w14:val="none"/>
        </w:rPr>
        <w:fldChar w:fldCharType="begin"/>
      </w:r>
      <w:r>
        <w:rPr>
          <w:rFonts w:ascii="Aptos" w:hAnsi="Aptos"/>
          <w:kern w:val="0"/>
          <w:lang w:val="en-US"/>
          <w14:ligatures w14:val="none"/>
        </w:rPr>
        <w:instrText xml:space="preserve"> ADDIN ZOTERO_ITEM CSL_CITATION {"citationID":"8lFWBcDT","properties":{"formattedCitation":"(Ozanne, 1992)","plainCitation":"(Ozanne, 1992)","noteIndex":0},"citationItems":[{"id":2193,"uris":["http://zotero.org/users/16578089/items/FSY2K5ER"],"itemData":{"id":2193,"type":"article-journal","container-title":"Journal of Marketing Research","DOI":"10.1177/002224379202900312","ISSN":"0022-2437","issue":"3","language":"EN","note":"publisher: SAGE Publications Inc","page":"382-384","source":"SAGE Journals","title":"Book Review: Basics of Qualitative Research","title-short":"Book Review","volume":"29","author":[{"family":"Ozanne","given":"Julie L."}],"issued":{"date-parts":[["1992",8,1]]}}}],"schema":"https://github.com/citation-style-language/schema/raw/master/csl-citation.json"} </w:instrText>
      </w:r>
      <w:r>
        <w:rPr>
          <w:rFonts w:ascii="Aptos" w:hAnsi="Aptos"/>
          <w:kern w:val="0"/>
          <w:lang w:val="en-US"/>
          <w14:ligatures w14:val="none"/>
        </w:rPr>
        <w:fldChar w:fldCharType="separate"/>
      </w:r>
      <w:r>
        <w:rPr>
          <w:rFonts w:ascii="Aptos" w:hAnsi="Aptos"/>
          <w:noProof/>
          <w:kern w:val="0"/>
          <w:lang w:val="en-US"/>
          <w14:ligatures w14:val="none"/>
        </w:rPr>
        <w:t>(Ozanne, 1992)</w:t>
      </w:r>
      <w:r>
        <w:rPr>
          <w:rFonts w:ascii="Aptos" w:hAnsi="Aptos"/>
          <w:kern w:val="0"/>
          <w:lang w:val="en-US"/>
          <w14:ligatures w14:val="none"/>
        </w:rPr>
        <w:fldChar w:fldCharType="end"/>
      </w:r>
      <w:r w:rsidRPr="00245469">
        <w:t xml:space="preserve">. Then, Braun &amp; Clarke's reflexive thematic analysis method was used to </w:t>
      </w:r>
      <w:r w:rsidR="00A305C8" w:rsidRPr="00245469">
        <w:t>distil</w:t>
      </w:r>
      <w:r w:rsidRPr="00245469">
        <w:t xml:space="preserve"> five major themes, taking into account both the participants' perspectives and the researchers' reflections </w:t>
      </w:r>
      <w:r>
        <w:rPr>
          <w:rFonts w:ascii="Aptos" w:hAnsi="Aptos"/>
          <w:kern w:val="0"/>
          <w:lang w:val="en-US"/>
          <w14:ligatures w14:val="none"/>
        </w:rPr>
        <w:fldChar w:fldCharType="begin"/>
      </w:r>
      <w:r>
        <w:rPr>
          <w:rFonts w:ascii="Aptos" w:hAnsi="Aptos"/>
          <w:kern w:val="0"/>
          <w:lang w:val="en-US"/>
          <w14:ligatures w14:val="none"/>
        </w:rPr>
        <w:instrText xml:space="preserve"> ADDIN ZOTERO_ITEM CSL_CITATION {"citationID":"7oTAhG7h","properties":{"formattedCitation":"(Braun and and Clarke, 2023)","plainCitation":"(Braun and and Clarke, 2023)","noteIndex":0},"citationItems":[{"id":2147,"uris":["http://zotero.org/users/16578089/items/K43JP7QJ"],"itemData":{"id":2147,"type":"article-journal","container-title":"International Journal of Transgender Health","DOI":"10.1080/26895269.2022.2129597","ISSN":"2689-5269","issue":"1","language":"en-GB","note":"publisher: Taylor &amp; Francis","page":"1-6","source":"tandfonline.com (Atypon)","title":"Toward good practice in thematic analysis: Avoiding common problems and be(com)ing a knowing researcher","title-short":"Toward good practice in thematic analysis","volume":"24","author":[{"family":"Braun","given":"Virginia"},{"family":"Clarke","given":"Victoria","non-dropping-particle":"and"}],"issued":{"date-parts":[["2023",1,25]]}}}],"schema":"https://github.com/citation-style-language/schema/raw/master/csl-citation.json"} </w:instrText>
      </w:r>
      <w:r>
        <w:rPr>
          <w:rFonts w:ascii="Aptos" w:hAnsi="Aptos"/>
          <w:kern w:val="0"/>
          <w:lang w:val="en-US"/>
          <w14:ligatures w14:val="none"/>
        </w:rPr>
        <w:fldChar w:fldCharType="separate"/>
      </w:r>
      <w:r>
        <w:rPr>
          <w:rFonts w:ascii="Aptos" w:hAnsi="Aptos"/>
          <w:noProof/>
          <w:kern w:val="0"/>
          <w:lang w:val="en-US"/>
          <w14:ligatures w14:val="none"/>
        </w:rPr>
        <w:t>(Braun and and Clarke, 2023)</w:t>
      </w:r>
      <w:r>
        <w:rPr>
          <w:rFonts w:ascii="Aptos" w:hAnsi="Aptos"/>
          <w:kern w:val="0"/>
          <w:lang w:val="en-US"/>
          <w14:ligatures w14:val="none"/>
        </w:rPr>
        <w:fldChar w:fldCharType="end"/>
      </w:r>
      <w:r w:rsidRPr="00245469">
        <w:t xml:space="preserve">. Quantitatively, the Semantic Differential Scale (SDS) was used for quantitative comparison, converting subjective experiences into statistically </w:t>
      </w:r>
      <w:r w:rsidR="00BD34A3" w:rsidRPr="00245469">
        <w:t>analysable</w:t>
      </w:r>
      <w:r w:rsidRPr="00245469">
        <w:t xml:space="preserve"> data </w:t>
      </w:r>
      <w:r w:rsidR="001D2D6A">
        <w:rPr>
          <w:rFonts w:ascii="Aptos" w:hAnsi="Aptos"/>
          <w:kern w:val="0"/>
          <w:lang w:val="en-US"/>
          <w14:ligatures w14:val="none"/>
        </w:rPr>
        <w:fldChar w:fldCharType="begin"/>
      </w:r>
      <w:r w:rsidR="001D2D6A">
        <w:rPr>
          <w:rFonts w:ascii="Aptos" w:hAnsi="Aptos"/>
          <w:kern w:val="0"/>
          <w:lang w:val="en-US"/>
          <w14:ligatures w14:val="none"/>
        </w:rPr>
        <w:instrText xml:space="preserve"> ADDIN ZOTERO_ITEM CSL_CITATION {"citationID":"LOCyPKtB","properties":{"formattedCitation":"(Hassenzahl, 2004)","plainCitation":"(Hassenzahl, 2004)","noteIndex":0},"citationItems":[{"id":2197,"uris":["http://zotero.org/users/16578089/items/7EEAEQ9A"],"itemData":{"id":2197,"type":"article-journal","container-title":"Human–Computer Interaction","DOI":"10.1207/s15327051hci1904_2","ISSN":"0737-0024","issue":"4","note":"publisher: Taylor &amp; Francis\nTLDR: The nature of beauty is rather self-oriented than goal-oriented, whereas goodness relates to both; both were related to each other as long as beauty and goodness stress the subjective valuation of a product.","page":"319-349","source":"tandfonline.com (Atypon)","title":"The Interplay of Beauty, Goodness, and Usability in Interactive Products","volume":"19","author":[{"family":"Hassenzahl","given":"Marc"}],"issued":{"date-parts":[["2004",12]]}}}],"schema":"https://github.com/citation-style-language/schema/raw/master/csl-citation.json"} </w:instrText>
      </w:r>
      <w:r w:rsidR="001D2D6A">
        <w:rPr>
          <w:rFonts w:ascii="Aptos" w:hAnsi="Aptos"/>
          <w:kern w:val="0"/>
          <w:lang w:val="en-US"/>
          <w14:ligatures w14:val="none"/>
        </w:rPr>
        <w:fldChar w:fldCharType="separate"/>
      </w:r>
      <w:r w:rsidR="001D2D6A">
        <w:rPr>
          <w:rFonts w:ascii="Aptos" w:hAnsi="Aptos"/>
          <w:noProof/>
          <w:kern w:val="0"/>
          <w:lang w:val="en-US"/>
          <w14:ligatures w14:val="none"/>
        </w:rPr>
        <w:t>(Hassenzahl, 2004)</w:t>
      </w:r>
      <w:r w:rsidR="001D2D6A">
        <w:rPr>
          <w:rFonts w:ascii="Aptos" w:hAnsi="Aptos"/>
          <w:kern w:val="0"/>
          <w:lang w:val="en-US"/>
          <w14:ligatures w14:val="none"/>
        </w:rPr>
        <w:fldChar w:fldCharType="end"/>
      </w:r>
      <w:r w:rsidRPr="00245469">
        <w:t xml:space="preserve">. Finally, the saturation assessment of themes in qualitative research was comprehensively formed, and a symbolic flow map was constructed to verify the credibility of the study </w:t>
      </w:r>
      <w:r w:rsidR="00ED398F" w:rsidRPr="00293785">
        <w:rPr>
          <w:rFonts w:ascii="Aptos" w:hAnsi="Aptos"/>
          <w:lang w:val="en-US"/>
        </w:rPr>
        <w:fldChar w:fldCharType="begin"/>
      </w:r>
      <w:r w:rsidR="00ED398F" w:rsidRPr="00293785">
        <w:rPr>
          <w:rFonts w:ascii="Aptos" w:hAnsi="Aptos"/>
          <w:lang w:val="en-US"/>
        </w:rPr>
        <w:instrText xml:space="preserve"> ADDIN ZOTERO_ITEM CSL_CITATION {"citationID":"n5Yc5JZO","properties":{"formattedCitation":"(Guest, Namey and Chen, 2020b)","plainCitation":"(Guest, Namey and Chen, 2020b)","noteIndex":0},"citationItems":[{"id":2198,"uris":["http://zotero.org/users/16578089/items/U4J695NU"],"itemData":{"id":2198,"type":"article-journal","abstract":"Data saturation is the most commonly employed concept for estimating sample sizes in qualitative research. Over the past 20 years, scholars using both empirical research and mathematical/statistical models have made significant contributions to the question: How many qualitative interviews are enough? This body of work has advanced the evidence base for sample size estimation in qualitative inquiry during the design phase of a study, prior to data collection, but it does not provide qualitative researchers with a simple and reliable way to determine the adequacy of sample sizes during and/or after data collection. Using the principle of saturation as a foundation, we describe and validate a simple-to-apply method for assessing and reporting on saturation in the context of inductive thematic analyses. Following a review of the empirical research on data saturation and sample size estimation in qualitative research, we propose an alternative way to evaluate saturation that overcomes the shortcomings and challenges associated with existing methods identified in our review. Our approach includes three primary elements in its calculation and assessment: Base Size, Run Length, and New Information Threshold. We additionally propose a more flexible approach to reporting saturation. To validate our method, we use a bootstrapping technique on three existing thematically coded qualitative datasets generated from in-depth interviews. Results from this analysis indicate the method we propose to assess and report on saturation is feasible and congruent with findings from earlier studies.","container-title":"PLOS ONE","DOI":"10.1371/journal.pone.0232076","ISSN":"1932-6203","issue":"5","journalAbbreviation":"PLOS ONE","language":"en","note":"publisher: Public Library of Science\nTLDR: This work describes and validate a simple-to-apply method for assessing and reporting on saturation in the context of inductive thematic analyses and proposes a more flexible approach to reporting saturation.","page":"e0232076","source":"PLoS Journals","title":"A simple method to assess and report thematic saturation in qualitative research","volume":"15","author":[{"family":"Guest","given":"Greg"},{"family":"Namey","given":"Emily"},{"family":"Chen","given":"Mario"}],"issued":{"date-parts":[["2020",5,5]]}}}],"schema":"https://github.com/citation-style-language/schema/raw/master/csl-citation.json"} </w:instrText>
      </w:r>
      <w:r w:rsidR="00ED398F" w:rsidRPr="00293785">
        <w:rPr>
          <w:rFonts w:ascii="Aptos" w:hAnsi="Aptos"/>
          <w:lang w:val="en-US"/>
        </w:rPr>
        <w:fldChar w:fldCharType="separate"/>
      </w:r>
      <w:r w:rsidR="00ED398F" w:rsidRPr="00293785">
        <w:rPr>
          <w:rFonts w:ascii="Aptos" w:hAnsi="Aptos"/>
          <w:noProof/>
          <w:lang w:val="en-US"/>
        </w:rPr>
        <w:t>(Guest, Namey and Chen, 2020b)</w:t>
      </w:r>
      <w:r w:rsidR="00ED398F" w:rsidRPr="00293785">
        <w:rPr>
          <w:rFonts w:ascii="Aptos" w:hAnsi="Aptos"/>
          <w:lang w:val="en-US"/>
        </w:rPr>
        <w:fldChar w:fldCharType="end"/>
      </w:r>
      <w:r w:rsidR="0077011D">
        <w:rPr>
          <w:rFonts w:ascii="Aptos" w:hAnsi="Aptos" w:hint="eastAsia"/>
          <w:lang w:val="en-US"/>
        </w:rPr>
        <w:t>.</w:t>
      </w:r>
    </w:p>
    <w:tbl>
      <w:tblPr>
        <w:tblStyle w:val="TableGrid"/>
        <w:tblW w:w="0" w:type="auto"/>
        <w:tblLook w:val="04A0" w:firstRow="1" w:lastRow="0" w:firstColumn="1" w:lastColumn="0" w:noHBand="0" w:noVBand="1"/>
      </w:tblPr>
      <w:tblGrid>
        <w:gridCol w:w="1776"/>
        <w:gridCol w:w="2786"/>
        <w:gridCol w:w="1659"/>
        <w:gridCol w:w="2795"/>
      </w:tblGrid>
      <w:tr w:rsidR="00AB6485" w:rsidRPr="00293785" w14:paraId="582F19D6" w14:textId="77777777" w:rsidTr="00731F91">
        <w:tc>
          <w:tcPr>
            <w:tcW w:w="835" w:type="dxa"/>
            <w:vAlign w:val="center"/>
            <w:hideMark/>
          </w:tcPr>
          <w:p w14:paraId="62E49F56" w14:textId="0A293759" w:rsidR="00AB6485" w:rsidRPr="00F86301" w:rsidRDefault="00AB6485" w:rsidP="00731F91">
            <w:pPr>
              <w:spacing w:after="160" w:line="278" w:lineRule="auto"/>
              <w:rPr>
                <w:b/>
                <w:bCs/>
                <w:color w:val="000000" w:themeColor="text1"/>
              </w:rPr>
            </w:pPr>
            <w:r w:rsidRPr="00F86301">
              <w:rPr>
                <w:rStyle w:val="Strong"/>
                <w:rFonts w:cs="Segoe UI"/>
                <w:color w:val="000000" w:themeColor="text1"/>
              </w:rPr>
              <w:t>Stage</w:t>
            </w:r>
          </w:p>
        </w:tc>
        <w:tc>
          <w:tcPr>
            <w:tcW w:w="3392" w:type="dxa"/>
            <w:vAlign w:val="center"/>
            <w:hideMark/>
          </w:tcPr>
          <w:p w14:paraId="77C199EE" w14:textId="40112057" w:rsidR="00AB6485" w:rsidRPr="00F86301" w:rsidRDefault="00AB6485" w:rsidP="00731F91">
            <w:pPr>
              <w:spacing w:after="160" w:line="278" w:lineRule="auto"/>
              <w:rPr>
                <w:b/>
                <w:bCs/>
                <w:color w:val="000000" w:themeColor="text1"/>
              </w:rPr>
            </w:pPr>
            <w:r w:rsidRPr="00F86301">
              <w:rPr>
                <w:rStyle w:val="Strong"/>
                <w:rFonts w:cs="Segoe UI"/>
                <w:color w:val="000000" w:themeColor="text1"/>
              </w:rPr>
              <w:t>Method</w:t>
            </w:r>
          </w:p>
        </w:tc>
        <w:tc>
          <w:tcPr>
            <w:tcW w:w="1666" w:type="dxa"/>
            <w:vAlign w:val="center"/>
            <w:hideMark/>
          </w:tcPr>
          <w:p w14:paraId="593B2AAF" w14:textId="1C4109FD" w:rsidR="00AB6485" w:rsidRPr="00F86301" w:rsidRDefault="00AB6485" w:rsidP="00731F91">
            <w:pPr>
              <w:spacing w:after="160" w:line="278" w:lineRule="auto"/>
              <w:rPr>
                <w:b/>
                <w:bCs/>
                <w:color w:val="000000" w:themeColor="text1"/>
              </w:rPr>
            </w:pPr>
            <w:r w:rsidRPr="00F86301">
              <w:rPr>
                <w:rStyle w:val="Strong"/>
                <w:rFonts w:cs="Segoe UI"/>
                <w:color w:val="000000" w:themeColor="text1"/>
              </w:rPr>
              <w:t>Tools</w:t>
            </w:r>
          </w:p>
        </w:tc>
        <w:tc>
          <w:tcPr>
            <w:tcW w:w="3123" w:type="dxa"/>
            <w:vAlign w:val="center"/>
            <w:hideMark/>
          </w:tcPr>
          <w:p w14:paraId="4DE152B7" w14:textId="68C40A2C" w:rsidR="00AB6485" w:rsidRPr="00F86301" w:rsidRDefault="00AB6485" w:rsidP="00731F91">
            <w:pPr>
              <w:spacing w:after="160" w:line="278" w:lineRule="auto"/>
              <w:rPr>
                <w:b/>
                <w:bCs/>
                <w:color w:val="000000" w:themeColor="text1"/>
              </w:rPr>
            </w:pPr>
            <w:r w:rsidRPr="00F86301">
              <w:rPr>
                <w:rStyle w:val="Strong"/>
                <w:rFonts w:cs="Segoe UI"/>
                <w:color w:val="000000" w:themeColor="text1"/>
              </w:rPr>
              <w:t>Description</w:t>
            </w:r>
          </w:p>
        </w:tc>
      </w:tr>
      <w:tr w:rsidR="00AB6485" w:rsidRPr="00293785" w14:paraId="65617A09" w14:textId="77777777" w:rsidTr="00731F91">
        <w:trPr>
          <w:trHeight w:val="663"/>
        </w:trPr>
        <w:tc>
          <w:tcPr>
            <w:tcW w:w="835" w:type="dxa"/>
            <w:vAlign w:val="center"/>
            <w:hideMark/>
          </w:tcPr>
          <w:p w14:paraId="21FEFB0A" w14:textId="47C35227" w:rsidR="00AB6485" w:rsidRPr="00F86301" w:rsidRDefault="00AB6485" w:rsidP="00731F91">
            <w:pPr>
              <w:spacing w:after="160" w:line="278" w:lineRule="auto"/>
              <w:rPr>
                <w:color w:val="000000" w:themeColor="text1"/>
              </w:rPr>
            </w:pPr>
            <w:r w:rsidRPr="00F86301">
              <w:rPr>
                <w:rStyle w:val="Strong"/>
                <w:rFonts w:cs="Segoe UI"/>
                <w:color w:val="000000" w:themeColor="text1"/>
              </w:rPr>
              <w:lastRenderedPageBreak/>
              <w:t>Preprocessing</w:t>
            </w:r>
          </w:p>
        </w:tc>
        <w:tc>
          <w:tcPr>
            <w:tcW w:w="3392" w:type="dxa"/>
            <w:vAlign w:val="center"/>
            <w:hideMark/>
          </w:tcPr>
          <w:p w14:paraId="4DF16F5F" w14:textId="6F62FED4" w:rsidR="00AB6485" w:rsidRPr="00F86301" w:rsidRDefault="00AB6485" w:rsidP="00731F91">
            <w:pPr>
              <w:spacing w:after="160" w:line="278" w:lineRule="auto"/>
              <w:rPr>
                <w:color w:val="000000" w:themeColor="text1"/>
              </w:rPr>
            </w:pPr>
            <w:r w:rsidRPr="00F86301">
              <w:rPr>
                <w:rFonts w:cs="Segoe UI"/>
                <w:color w:val="000000" w:themeColor="text1"/>
              </w:rPr>
              <w:t>Automatic transcription + video frame extraction</w:t>
            </w:r>
          </w:p>
        </w:tc>
        <w:tc>
          <w:tcPr>
            <w:tcW w:w="1666" w:type="dxa"/>
            <w:vAlign w:val="center"/>
            <w:hideMark/>
          </w:tcPr>
          <w:p w14:paraId="424A66F4" w14:textId="2B9CB7AE" w:rsidR="00AB6485" w:rsidRPr="00F86301" w:rsidRDefault="00AB6485" w:rsidP="00731F91">
            <w:pPr>
              <w:spacing w:after="160" w:line="278" w:lineRule="auto"/>
              <w:rPr>
                <w:color w:val="000000" w:themeColor="text1"/>
              </w:rPr>
            </w:pPr>
            <w:r w:rsidRPr="00F86301">
              <w:rPr>
                <w:rFonts w:cs="Segoe UI"/>
                <w:color w:val="000000" w:themeColor="text1"/>
              </w:rPr>
              <w:t xml:space="preserve">Otter.ai; </w:t>
            </w:r>
            <w:proofErr w:type="spellStart"/>
            <w:r w:rsidRPr="00F86301">
              <w:rPr>
                <w:rFonts w:cs="Segoe UI"/>
                <w:color w:val="000000" w:themeColor="text1"/>
              </w:rPr>
              <w:t>FFmpeg</w:t>
            </w:r>
            <w:proofErr w:type="spellEnd"/>
          </w:p>
        </w:tc>
        <w:tc>
          <w:tcPr>
            <w:tcW w:w="3123" w:type="dxa"/>
            <w:vAlign w:val="center"/>
            <w:hideMark/>
          </w:tcPr>
          <w:p w14:paraId="3B5C7782" w14:textId="359C5988" w:rsidR="00AB6485" w:rsidRPr="00F86301" w:rsidRDefault="00AB6485" w:rsidP="00731F91">
            <w:pPr>
              <w:spacing w:after="160" w:line="278" w:lineRule="auto"/>
              <w:rPr>
                <w:color w:val="000000" w:themeColor="text1"/>
              </w:rPr>
            </w:pPr>
            <w:r w:rsidRPr="00F86301">
              <w:rPr>
                <w:rFonts w:cs="Segoe UI"/>
                <w:color w:val="000000" w:themeColor="text1"/>
              </w:rPr>
              <w:t>Standardize file naming and timestamp synchronization</w:t>
            </w:r>
          </w:p>
        </w:tc>
      </w:tr>
      <w:tr w:rsidR="00AB6485" w:rsidRPr="00293785" w14:paraId="7597FA3F" w14:textId="77777777" w:rsidTr="00731F91">
        <w:trPr>
          <w:trHeight w:val="935"/>
        </w:trPr>
        <w:tc>
          <w:tcPr>
            <w:tcW w:w="835" w:type="dxa"/>
            <w:vAlign w:val="center"/>
            <w:hideMark/>
          </w:tcPr>
          <w:p w14:paraId="679393DE" w14:textId="4E621517" w:rsidR="00AB6485" w:rsidRPr="00F86301" w:rsidRDefault="00AB6485" w:rsidP="00731F91">
            <w:pPr>
              <w:spacing w:after="160" w:line="278" w:lineRule="auto"/>
              <w:rPr>
                <w:color w:val="000000" w:themeColor="text1"/>
              </w:rPr>
            </w:pPr>
            <w:r w:rsidRPr="00F86301">
              <w:rPr>
                <w:rStyle w:val="Strong"/>
                <w:rFonts w:cs="Segoe UI"/>
                <w:color w:val="000000" w:themeColor="text1"/>
              </w:rPr>
              <w:t>Qualitative Core</w:t>
            </w:r>
          </w:p>
        </w:tc>
        <w:tc>
          <w:tcPr>
            <w:tcW w:w="3392" w:type="dxa"/>
            <w:vAlign w:val="center"/>
            <w:hideMark/>
          </w:tcPr>
          <w:p w14:paraId="239C9B5E" w14:textId="78E59EB0" w:rsidR="00AB6485" w:rsidRPr="00F86301" w:rsidRDefault="00AB6485" w:rsidP="00731F91">
            <w:pPr>
              <w:spacing w:after="160" w:line="278" w:lineRule="auto"/>
              <w:rPr>
                <w:color w:val="000000" w:themeColor="text1"/>
              </w:rPr>
            </w:pPr>
            <w:r w:rsidRPr="00F86301">
              <w:rPr>
                <w:rFonts w:cs="Segoe UI"/>
                <w:color w:val="000000" w:themeColor="text1"/>
              </w:rPr>
              <w:t>Grounded theory coding</w:t>
            </w:r>
          </w:p>
        </w:tc>
        <w:tc>
          <w:tcPr>
            <w:tcW w:w="1666" w:type="dxa"/>
            <w:vAlign w:val="center"/>
            <w:hideMark/>
          </w:tcPr>
          <w:p w14:paraId="4A013852" w14:textId="2560FB50" w:rsidR="00AB6485" w:rsidRPr="00F86301" w:rsidRDefault="00AB6485" w:rsidP="00731F91">
            <w:pPr>
              <w:spacing w:after="160" w:line="278" w:lineRule="auto"/>
              <w:rPr>
                <w:color w:val="000000" w:themeColor="text1"/>
              </w:rPr>
            </w:pPr>
            <w:r w:rsidRPr="00F86301">
              <w:rPr>
                <w:rFonts w:cs="Segoe UI"/>
                <w:color w:val="000000" w:themeColor="text1"/>
              </w:rPr>
              <w:t>NVivo 14</w:t>
            </w:r>
          </w:p>
        </w:tc>
        <w:tc>
          <w:tcPr>
            <w:tcW w:w="3123" w:type="dxa"/>
            <w:vAlign w:val="center"/>
            <w:hideMark/>
          </w:tcPr>
          <w:p w14:paraId="2BDA6D18" w14:textId="5585191B" w:rsidR="00AB6485" w:rsidRPr="00F86301" w:rsidRDefault="00AB6485" w:rsidP="00731F91">
            <w:pPr>
              <w:spacing w:after="160" w:line="278" w:lineRule="auto"/>
              <w:rPr>
                <w:color w:val="000000" w:themeColor="text1"/>
              </w:rPr>
            </w:pPr>
            <w:r w:rsidRPr="00F86301">
              <w:rPr>
                <w:rFonts w:cs="Segoe UI"/>
                <w:color w:val="000000" w:themeColor="text1"/>
              </w:rPr>
              <w:t>Conceptualization → Categorization → Core propositions</w:t>
            </w:r>
          </w:p>
        </w:tc>
      </w:tr>
      <w:tr w:rsidR="00AB6485" w:rsidRPr="00293785" w14:paraId="3CD39D35" w14:textId="77777777" w:rsidTr="00731F91">
        <w:trPr>
          <w:trHeight w:val="663"/>
        </w:trPr>
        <w:tc>
          <w:tcPr>
            <w:tcW w:w="835" w:type="dxa"/>
            <w:vAlign w:val="center"/>
            <w:hideMark/>
          </w:tcPr>
          <w:p w14:paraId="62683C7E" w14:textId="01D7E882" w:rsidR="00AB6485" w:rsidRPr="00F86301" w:rsidRDefault="00AB6485" w:rsidP="00731F91">
            <w:pPr>
              <w:spacing w:after="160" w:line="278" w:lineRule="auto"/>
              <w:rPr>
                <w:color w:val="000000" w:themeColor="text1"/>
              </w:rPr>
            </w:pPr>
            <w:r w:rsidRPr="00F86301">
              <w:rPr>
                <w:rStyle w:val="Strong"/>
                <w:rFonts w:cs="Segoe UI"/>
                <w:color w:val="000000" w:themeColor="text1"/>
              </w:rPr>
              <w:t>Theme Elaboration</w:t>
            </w:r>
          </w:p>
        </w:tc>
        <w:tc>
          <w:tcPr>
            <w:tcW w:w="3392" w:type="dxa"/>
            <w:vAlign w:val="center"/>
            <w:hideMark/>
          </w:tcPr>
          <w:p w14:paraId="53E5A67B" w14:textId="2C09B99F" w:rsidR="00AB6485" w:rsidRPr="00F86301" w:rsidRDefault="00AB6485" w:rsidP="00731F91">
            <w:pPr>
              <w:spacing w:after="160" w:line="278" w:lineRule="auto"/>
              <w:rPr>
                <w:color w:val="000000" w:themeColor="text1"/>
              </w:rPr>
            </w:pPr>
            <w:r w:rsidRPr="00F86301">
              <w:rPr>
                <w:rFonts w:cs="Segoe UI"/>
                <w:color w:val="000000" w:themeColor="text1"/>
              </w:rPr>
              <w:t>Reflexive thematic analysis</w:t>
            </w:r>
          </w:p>
        </w:tc>
        <w:tc>
          <w:tcPr>
            <w:tcW w:w="1666" w:type="dxa"/>
            <w:vAlign w:val="center"/>
            <w:hideMark/>
          </w:tcPr>
          <w:p w14:paraId="2C30AE6D" w14:textId="2D8D8B76" w:rsidR="00AB6485" w:rsidRPr="00F86301" w:rsidRDefault="00AB6485" w:rsidP="00731F91">
            <w:pPr>
              <w:spacing w:after="160" w:line="278" w:lineRule="auto"/>
              <w:rPr>
                <w:color w:val="000000" w:themeColor="text1"/>
              </w:rPr>
            </w:pPr>
            <w:r w:rsidRPr="00F86301">
              <w:rPr>
                <w:rFonts w:cs="Segoe UI"/>
                <w:color w:val="000000" w:themeColor="text1"/>
              </w:rPr>
              <w:t>6-step paradigm</w:t>
            </w:r>
          </w:p>
        </w:tc>
        <w:tc>
          <w:tcPr>
            <w:tcW w:w="3123" w:type="dxa"/>
            <w:vAlign w:val="center"/>
            <w:hideMark/>
          </w:tcPr>
          <w:p w14:paraId="62A05B18" w14:textId="72C3C3DE" w:rsidR="00AB6485" w:rsidRPr="00F86301" w:rsidRDefault="00AB6485" w:rsidP="00731F91">
            <w:pPr>
              <w:spacing w:after="160" w:line="278" w:lineRule="auto"/>
              <w:rPr>
                <w:color w:val="000000" w:themeColor="text1"/>
              </w:rPr>
            </w:pPr>
            <w:r w:rsidRPr="00F86301">
              <w:rPr>
                <w:rFonts w:cs="Segoe UI"/>
                <w:color w:val="000000" w:themeColor="text1"/>
              </w:rPr>
              <w:t>Reveal five core themes</w:t>
            </w:r>
          </w:p>
        </w:tc>
      </w:tr>
      <w:tr w:rsidR="00AB6485" w:rsidRPr="00293785" w14:paraId="39E85ADF" w14:textId="77777777" w:rsidTr="00731F91">
        <w:trPr>
          <w:trHeight w:val="663"/>
        </w:trPr>
        <w:tc>
          <w:tcPr>
            <w:tcW w:w="835" w:type="dxa"/>
            <w:vAlign w:val="center"/>
            <w:hideMark/>
          </w:tcPr>
          <w:p w14:paraId="1D42CCE7" w14:textId="77523C4A" w:rsidR="00AB6485" w:rsidRPr="00F86301" w:rsidRDefault="00AB6485" w:rsidP="00731F91">
            <w:pPr>
              <w:spacing w:after="160" w:line="278" w:lineRule="auto"/>
              <w:rPr>
                <w:color w:val="000000" w:themeColor="text1"/>
              </w:rPr>
            </w:pPr>
            <w:r w:rsidRPr="00F86301">
              <w:rPr>
                <w:rStyle w:val="Strong"/>
                <w:rFonts w:cs="Segoe UI"/>
                <w:color w:val="000000" w:themeColor="text1"/>
              </w:rPr>
              <w:t>Quantitative Supplement</w:t>
            </w:r>
          </w:p>
        </w:tc>
        <w:tc>
          <w:tcPr>
            <w:tcW w:w="3392" w:type="dxa"/>
            <w:vAlign w:val="center"/>
            <w:hideMark/>
          </w:tcPr>
          <w:p w14:paraId="26BB7ACF" w14:textId="2DF84D1C" w:rsidR="00AB6485" w:rsidRPr="00F86301" w:rsidRDefault="00AB6485" w:rsidP="00731F91">
            <w:pPr>
              <w:spacing w:after="160" w:line="278" w:lineRule="auto"/>
              <w:rPr>
                <w:color w:val="000000" w:themeColor="text1"/>
              </w:rPr>
            </w:pPr>
            <w:r w:rsidRPr="00F86301">
              <w:rPr>
                <w:rFonts w:cs="Segoe UI"/>
                <w:color w:val="000000" w:themeColor="text1"/>
              </w:rPr>
              <w:t>Semantic Differential Scale (SDS)</w:t>
            </w:r>
          </w:p>
        </w:tc>
        <w:tc>
          <w:tcPr>
            <w:tcW w:w="1666" w:type="dxa"/>
            <w:vAlign w:val="center"/>
            <w:hideMark/>
          </w:tcPr>
          <w:p w14:paraId="01631638" w14:textId="4FC0A4B5" w:rsidR="00AB6485" w:rsidRPr="00F86301" w:rsidRDefault="00AB6485" w:rsidP="00731F91">
            <w:pPr>
              <w:spacing w:after="160" w:line="278" w:lineRule="auto"/>
              <w:rPr>
                <w:color w:val="000000" w:themeColor="text1"/>
              </w:rPr>
            </w:pPr>
            <w:r w:rsidRPr="00F86301">
              <w:rPr>
                <w:rFonts w:cs="Segoe UI"/>
                <w:color w:val="000000" w:themeColor="text1"/>
              </w:rPr>
              <w:t>Online questionnaire</w:t>
            </w:r>
          </w:p>
        </w:tc>
        <w:tc>
          <w:tcPr>
            <w:tcW w:w="3123" w:type="dxa"/>
            <w:vAlign w:val="center"/>
            <w:hideMark/>
          </w:tcPr>
          <w:p w14:paraId="51580C9A" w14:textId="1AD9F30F" w:rsidR="00AB6485" w:rsidRPr="00F86301" w:rsidRDefault="00AB6485" w:rsidP="00731F91">
            <w:pPr>
              <w:spacing w:after="160" w:line="278" w:lineRule="auto"/>
              <w:rPr>
                <w:color w:val="000000" w:themeColor="text1"/>
              </w:rPr>
            </w:pPr>
            <w:r w:rsidRPr="00F86301">
              <w:rPr>
                <w:rFonts w:cs="Segoe UI"/>
                <w:color w:val="000000" w:themeColor="text1"/>
              </w:rPr>
              <w:t>Test score differences across dimensions</w:t>
            </w:r>
          </w:p>
        </w:tc>
      </w:tr>
      <w:tr w:rsidR="00AB6485" w:rsidRPr="00293785" w14:paraId="306D0E15" w14:textId="77777777" w:rsidTr="00731F91">
        <w:trPr>
          <w:trHeight w:val="663"/>
        </w:trPr>
        <w:tc>
          <w:tcPr>
            <w:tcW w:w="835" w:type="dxa"/>
            <w:vAlign w:val="center"/>
            <w:hideMark/>
          </w:tcPr>
          <w:p w14:paraId="21F2E3AC" w14:textId="71CEEDBE" w:rsidR="00AB6485" w:rsidRPr="00F86301" w:rsidRDefault="00AB6485" w:rsidP="00731F91">
            <w:pPr>
              <w:spacing w:after="160" w:line="278" w:lineRule="auto"/>
              <w:rPr>
                <w:color w:val="000000" w:themeColor="text1"/>
              </w:rPr>
            </w:pPr>
            <w:r w:rsidRPr="00F86301">
              <w:rPr>
                <w:rStyle w:val="Strong"/>
                <w:rFonts w:cs="Segoe UI"/>
                <w:color w:val="000000" w:themeColor="text1"/>
              </w:rPr>
              <w:t>Multimodal Mapping</w:t>
            </w:r>
          </w:p>
        </w:tc>
        <w:tc>
          <w:tcPr>
            <w:tcW w:w="3392" w:type="dxa"/>
            <w:vAlign w:val="center"/>
            <w:hideMark/>
          </w:tcPr>
          <w:p w14:paraId="7E14FBF9" w14:textId="11715092" w:rsidR="00AB6485" w:rsidRPr="00F86301" w:rsidRDefault="00AB6485" w:rsidP="00731F91">
            <w:pPr>
              <w:spacing w:after="160" w:line="278" w:lineRule="auto"/>
              <w:rPr>
                <w:color w:val="000000" w:themeColor="text1"/>
              </w:rPr>
            </w:pPr>
            <w:r w:rsidRPr="00F86301">
              <w:rPr>
                <w:rFonts w:cs="Segoe UI"/>
                <w:color w:val="000000" w:themeColor="text1"/>
              </w:rPr>
              <w:t>Network visualization</w:t>
            </w:r>
          </w:p>
        </w:tc>
        <w:tc>
          <w:tcPr>
            <w:tcW w:w="1666" w:type="dxa"/>
            <w:vAlign w:val="center"/>
            <w:hideMark/>
          </w:tcPr>
          <w:p w14:paraId="06136C08" w14:textId="21379E92" w:rsidR="00AB6485" w:rsidRPr="00F86301" w:rsidRDefault="00AB6485" w:rsidP="00731F91">
            <w:pPr>
              <w:spacing w:after="160" w:line="278" w:lineRule="auto"/>
              <w:rPr>
                <w:color w:val="000000" w:themeColor="text1"/>
              </w:rPr>
            </w:pPr>
            <w:proofErr w:type="spellStart"/>
            <w:r w:rsidRPr="00F86301">
              <w:rPr>
                <w:rFonts w:cs="Segoe UI"/>
                <w:color w:val="000000" w:themeColor="text1"/>
              </w:rPr>
              <w:t>Atlas.ti</w:t>
            </w:r>
            <w:proofErr w:type="spellEnd"/>
            <w:r w:rsidRPr="00F86301">
              <w:rPr>
                <w:rFonts w:cs="Segoe UI"/>
                <w:color w:val="000000" w:themeColor="text1"/>
              </w:rPr>
              <w:t>; Gephi</w:t>
            </w:r>
          </w:p>
        </w:tc>
        <w:tc>
          <w:tcPr>
            <w:tcW w:w="3123" w:type="dxa"/>
            <w:vAlign w:val="center"/>
            <w:hideMark/>
          </w:tcPr>
          <w:p w14:paraId="32242A07" w14:textId="1F52879E" w:rsidR="00AB6485" w:rsidRPr="00F86301" w:rsidRDefault="00AB6485" w:rsidP="00731F91">
            <w:pPr>
              <w:spacing w:after="160" w:line="278" w:lineRule="auto"/>
              <w:rPr>
                <w:color w:val="000000" w:themeColor="text1"/>
              </w:rPr>
            </w:pPr>
            <w:r w:rsidRPr="00F86301">
              <w:rPr>
                <w:rFonts w:cs="Segoe UI"/>
                <w:color w:val="000000" w:themeColor="text1"/>
              </w:rPr>
              <w:t>Construct symbolic flow diagrams</w:t>
            </w:r>
          </w:p>
        </w:tc>
      </w:tr>
    </w:tbl>
    <w:p w14:paraId="1EA60F29" w14:textId="63E674CE" w:rsidR="001976A8" w:rsidRDefault="001976A8" w:rsidP="001976A8">
      <w:pPr>
        <w:rPr>
          <w:rFonts w:ascii="Aptos" w:hAnsi="Aptos"/>
          <w:lang w:val="en-US"/>
        </w:rPr>
      </w:pPr>
      <w:r w:rsidRPr="00293785">
        <w:rPr>
          <w:rFonts w:ascii="Aptos" w:hAnsi="Aptos"/>
          <w:lang w:val="en-US"/>
        </w:rPr>
        <w:t xml:space="preserve">Table 3 </w:t>
      </w:r>
      <w:r w:rsidRPr="001976A8">
        <w:rPr>
          <w:rFonts w:ascii="Aptos" w:hAnsi="Aptos"/>
          <w:lang w:val="en-US"/>
        </w:rPr>
        <w:t>Data Analysis Strategy and Explanation</w:t>
      </w:r>
    </w:p>
    <w:p w14:paraId="7CC6E6AE" w14:textId="77777777" w:rsidR="007B4BFA" w:rsidRPr="00293785" w:rsidRDefault="007B4BFA" w:rsidP="007B4BFA">
      <w:pPr>
        <w:rPr>
          <w:rFonts w:ascii="Aptos" w:hAnsi="Aptos"/>
          <w:b/>
          <w:bCs/>
          <w:lang w:val="en-US"/>
        </w:rPr>
      </w:pPr>
      <w:r w:rsidRPr="00293785">
        <w:rPr>
          <w:rFonts w:ascii="Aptos" w:hAnsi="Aptos"/>
          <w:b/>
          <w:bCs/>
          <w:lang w:val="en-US"/>
        </w:rPr>
        <w:t>3.4 Research Ethics</w:t>
      </w:r>
    </w:p>
    <w:p w14:paraId="24FEED5C" w14:textId="0886C444" w:rsidR="001976A8" w:rsidRDefault="00AB7622" w:rsidP="004E4EBC">
      <w:r w:rsidRPr="00AB7622">
        <w:t xml:space="preserve">This </w:t>
      </w:r>
      <w:r>
        <w:rPr>
          <w:rFonts w:hint="eastAsia"/>
        </w:rPr>
        <w:t>study</w:t>
      </w:r>
      <w:r w:rsidRPr="00AB7622">
        <w:t xml:space="preserve"> will follow the approval of the college ethics committee. All participants must sign a bilingual (Chinese and English) informed consent form before participating in the project, clearly stating that participants can withdraw from the project at any stage without any negative consequences. In terms of privacy protection, a numbering system will be used instead of real names, and all personal data and audio-video files will be encrypted. It is emphasized that all data files are for internal access by researchers only. Additionally, to respect cultural property rights, the symbols and patterns will be jointly reviewed by the garden management office and the design studio members to prevent the misuse of intangible cultural heritage elements.</w:t>
      </w:r>
    </w:p>
    <w:p w14:paraId="65C6E757" w14:textId="77777777" w:rsidR="00DC4EC2" w:rsidRPr="00293785" w:rsidRDefault="00DC4EC2" w:rsidP="00DC4EC2">
      <w:pPr>
        <w:rPr>
          <w:rFonts w:ascii="Aptos" w:hAnsi="Aptos"/>
          <w:b/>
          <w:bCs/>
          <w:lang w:val="en-US"/>
        </w:rPr>
      </w:pPr>
      <w:r w:rsidRPr="00293785">
        <w:rPr>
          <w:rFonts w:ascii="Aptos" w:hAnsi="Aptos"/>
          <w:b/>
          <w:bCs/>
          <w:lang w:val="en-US"/>
        </w:rPr>
        <w:t>3.5 Alternative Methods</w:t>
      </w:r>
    </w:p>
    <w:p w14:paraId="62C694A0" w14:textId="6F2C847F" w:rsidR="00DC4EC2" w:rsidRDefault="00DC4EC2" w:rsidP="004E4EBC">
      <w:r w:rsidRPr="00DC4EC2">
        <w:t>In addition to the design ethnography methodology proposed in this study, there are other alternative methodologies or methods, such as action research or pure digital ethnography, etc. Each of these methods has its own value. However, compared with DE, either the research cycle is long, or the cultural dimension is ignored, or the co-creation dimension is neglected. Therefore, they are only listed in a table</w:t>
      </w:r>
      <w:r>
        <w:rPr>
          <w:rFonts w:hint="eastAsia"/>
        </w:rPr>
        <w:t xml:space="preserve"> </w:t>
      </w:r>
      <w:r w:rsidRPr="00DC4EC2">
        <w:t xml:space="preserve">(Table 4) as supplementary research paths for future studies. </w:t>
      </w:r>
    </w:p>
    <w:tbl>
      <w:tblPr>
        <w:tblStyle w:val="TableGrid"/>
        <w:tblW w:w="0" w:type="auto"/>
        <w:tblLook w:val="04A0" w:firstRow="1" w:lastRow="0" w:firstColumn="1" w:lastColumn="0" w:noHBand="0" w:noVBand="1"/>
      </w:tblPr>
      <w:tblGrid>
        <w:gridCol w:w="2689"/>
        <w:gridCol w:w="2976"/>
        <w:gridCol w:w="3119"/>
      </w:tblGrid>
      <w:tr w:rsidR="00B239F7" w:rsidRPr="00293785" w14:paraId="7A3F63A4" w14:textId="77777777" w:rsidTr="00BB5FF9">
        <w:tc>
          <w:tcPr>
            <w:tcW w:w="2689" w:type="dxa"/>
            <w:vAlign w:val="center"/>
            <w:hideMark/>
          </w:tcPr>
          <w:p w14:paraId="1C29F7F9" w14:textId="671FA2D4" w:rsidR="00B239F7" w:rsidRPr="00BB5FF9" w:rsidRDefault="009E0294" w:rsidP="00BB5FF9">
            <w:pPr>
              <w:spacing w:after="160" w:line="278" w:lineRule="auto"/>
              <w:rPr>
                <w:rFonts w:ascii="Aptos" w:hAnsi="Aptos"/>
                <w:b/>
                <w:bCs/>
                <w:color w:val="000000" w:themeColor="text1"/>
              </w:rPr>
            </w:pPr>
            <w:r w:rsidRPr="00BB5FF9">
              <w:rPr>
                <w:rFonts w:ascii="Aptos" w:hAnsi="Aptos" w:hint="eastAsia"/>
                <w:b/>
                <w:bCs/>
                <w:color w:val="000000" w:themeColor="text1"/>
              </w:rPr>
              <w:t>Method</w:t>
            </w:r>
          </w:p>
        </w:tc>
        <w:tc>
          <w:tcPr>
            <w:tcW w:w="2976" w:type="dxa"/>
            <w:vAlign w:val="center"/>
            <w:hideMark/>
          </w:tcPr>
          <w:p w14:paraId="111AD20B" w14:textId="016857F2" w:rsidR="00B239F7" w:rsidRPr="00BB5FF9" w:rsidRDefault="009E0294" w:rsidP="00BB5FF9">
            <w:pPr>
              <w:spacing w:after="160" w:line="278" w:lineRule="auto"/>
              <w:rPr>
                <w:rFonts w:ascii="Aptos" w:hAnsi="Aptos"/>
                <w:b/>
                <w:bCs/>
                <w:color w:val="000000" w:themeColor="text1"/>
              </w:rPr>
            </w:pPr>
            <w:r w:rsidRPr="00BB5FF9">
              <w:rPr>
                <w:rFonts w:ascii="Aptos" w:hAnsi="Aptos" w:hint="eastAsia"/>
                <w:b/>
                <w:bCs/>
                <w:color w:val="000000" w:themeColor="text1"/>
              </w:rPr>
              <w:t>Advantages</w:t>
            </w:r>
          </w:p>
        </w:tc>
        <w:tc>
          <w:tcPr>
            <w:tcW w:w="3119" w:type="dxa"/>
            <w:vAlign w:val="center"/>
            <w:hideMark/>
          </w:tcPr>
          <w:p w14:paraId="4CF8A784" w14:textId="4D004CFA" w:rsidR="00B239F7" w:rsidRPr="00BB5FF9" w:rsidRDefault="009E0294" w:rsidP="00BB5FF9">
            <w:pPr>
              <w:spacing w:after="160" w:line="278" w:lineRule="auto"/>
              <w:rPr>
                <w:rFonts w:ascii="Aptos" w:hAnsi="Aptos"/>
                <w:b/>
                <w:bCs/>
                <w:color w:val="000000" w:themeColor="text1"/>
              </w:rPr>
            </w:pPr>
            <w:r w:rsidRPr="00BB5FF9">
              <w:rPr>
                <w:rFonts w:ascii="Aptos" w:hAnsi="Aptos"/>
                <w:b/>
                <w:bCs/>
                <w:color w:val="000000" w:themeColor="text1"/>
              </w:rPr>
              <w:t>L</w:t>
            </w:r>
            <w:r w:rsidRPr="00BB5FF9">
              <w:rPr>
                <w:rFonts w:ascii="Aptos" w:hAnsi="Aptos" w:hint="eastAsia"/>
                <w:b/>
                <w:bCs/>
                <w:color w:val="000000" w:themeColor="text1"/>
              </w:rPr>
              <w:t>imitation</w:t>
            </w:r>
          </w:p>
        </w:tc>
      </w:tr>
      <w:tr w:rsidR="00BB5FF9" w:rsidRPr="00293785" w14:paraId="40B18EBC" w14:textId="77777777" w:rsidTr="00BB5FF9">
        <w:tc>
          <w:tcPr>
            <w:tcW w:w="2689" w:type="dxa"/>
            <w:vAlign w:val="center"/>
            <w:hideMark/>
          </w:tcPr>
          <w:p w14:paraId="6CDE91F9" w14:textId="02D4C968" w:rsidR="00BB5FF9" w:rsidRPr="00BB5FF9" w:rsidRDefault="00BB5FF9" w:rsidP="00BB5FF9">
            <w:pPr>
              <w:spacing w:after="160" w:line="278" w:lineRule="auto"/>
              <w:rPr>
                <w:rFonts w:ascii="Aptos" w:hAnsi="Aptos"/>
                <w:color w:val="000000" w:themeColor="text1"/>
              </w:rPr>
            </w:pPr>
            <w:r w:rsidRPr="00BB5FF9">
              <w:rPr>
                <w:rStyle w:val="Strong"/>
                <w:rFonts w:ascii="Segoe UI" w:hAnsi="Segoe UI" w:cs="Segoe UI"/>
                <w:color w:val="000000" w:themeColor="text1"/>
                <w:shd w:val="clear" w:color="auto" w:fill="FFFFFF"/>
              </w:rPr>
              <w:t xml:space="preserve">Online survey + statistical </w:t>
            </w:r>
            <w:proofErr w:type="spellStart"/>
            <w:r w:rsidRPr="00BB5FF9">
              <w:rPr>
                <w:rStyle w:val="Strong"/>
                <w:rFonts w:ascii="Segoe UI" w:hAnsi="Segoe UI" w:cs="Segoe UI"/>
                <w:color w:val="000000" w:themeColor="text1"/>
                <w:shd w:val="clear" w:color="auto" w:fill="FFFFFF"/>
              </w:rPr>
              <w:t>modeling</w:t>
            </w:r>
            <w:proofErr w:type="spellEnd"/>
          </w:p>
        </w:tc>
        <w:tc>
          <w:tcPr>
            <w:tcW w:w="2976" w:type="dxa"/>
            <w:vAlign w:val="center"/>
            <w:hideMark/>
          </w:tcPr>
          <w:p w14:paraId="3192DFFD" w14:textId="1B8AFD50" w:rsidR="00BB5FF9" w:rsidRPr="00BB5FF9" w:rsidRDefault="00BB5FF9" w:rsidP="00BB5FF9">
            <w:pPr>
              <w:spacing w:after="160" w:line="278" w:lineRule="auto"/>
              <w:rPr>
                <w:rFonts w:ascii="Aptos" w:hAnsi="Aptos"/>
                <w:color w:val="000000" w:themeColor="text1"/>
              </w:rPr>
            </w:pPr>
            <w:r w:rsidRPr="00BB5FF9">
              <w:rPr>
                <w:rFonts w:ascii="Segoe UI" w:hAnsi="Segoe UI" w:cs="Segoe UI"/>
                <w:color w:val="000000" w:themeColor="text1"/>
                <w:sz w:val="23"/>
                <w:szCs w:val="23"/>
              </w:rPr>
              <w:t>Large sample size; robust quantitative comparisons</w:t>
            </w:r>
          </w:p>
        </w:tc>
        <w:tc>
          <w:tcPr>
            <w:tcW w:w="3119" w:type="dxa"/>
            <w:vAlign w:val="center"/>
            <w:hideMark/>
          </w:tcPr>
          <w:p w14:paraId="6AA7C15A" w14:textId="2161A3EC" w:rsidR="00BB5FF9" w:rsidRPr="00BB5FF9" w:rsidRDefault="00BB5FF9" w:rsidP="00BB5FF9">
            <w:pPr>
              <w:spacing w:after="160" w:line="278" w:lineRule="auto"/>
              <w:rPr>
                <w:rFonts w:ascii="Aptos" w:hAnsi="Aptos"/>
                <w:color w:val="000000" w:themeColor="text1"/>
              </w:rPr>
            </w:pPr>
            <w:r w:rsidRPr="00BB5FF9">
              <w:rPr>
                <w:rFonts w:ascii="Segoe UI" w:hAnsi="Segoe UI" w:cs="Segoe UI"/>
                <w:color w:val="000000" w:themeColor="text1"/>
                <w:sz w:val="23"/>
                <w:szCs w:val="23"/>
              </w:rPr>
              <w:t>Difficulty capturing deep cultural meanings</w:t>
            </w:r>
          </w:p>
        </w:tc>
      </w:tr>
      <w:tr w:rsidR="00BB5FF9" w:rsidRPr="00293785" w14:paraId="4A61237E" w14:textId="77777777" w:rsidTr="00BB5FF9">
        <w:tc>
          <w:tcPr>
            <w:tcW w:w="2689" w:type="dxa"/>
            <w:vAlign w:val="center"/>
            <w:hideMark/>
          </w:tcPr>
          <w:p w14:paraId="76BD917E" w14:textId="0E3FBA96" w:rsidR="00BB5FF9" w:rsidRPr="00BB5FF9" w:rsidRDefault="00BB5FF9" w:rsidP="00BB5FF9">
            <w:pPr>
              <w:spacing w:after="160" w:line="278" w:lineRule="auto"/>
              <w:rPr>
                <w:rFonts w:ascii="Aptos" w:hAnsi="Aptos"/>
                <w:color w:val="000000" w:themeColor="text1"/>
              </w:rPr>
            </w:pPr>
            <w:r w:rsidRPr="00BB5FF9">
              <w:rPr>
                <w:rStyle w:val="Strong"/>
                <w:rFonts w:ascii="Segoe UI" w:hAnsi="Segoe UI" w:cs="Segoe UI"/>
                <w:color w:val="000000" w:themeColor="text1"/>
                <w:shd w:val="clear" w:color="auto" w:fill="FFFFFF"/>
              </w:rPr>
              <w:lastRenderedPageBreak/>
              <w:t>Laboratory usability testing</w:t>
            </w:r>
          </w:p>
        </w:tc>
        <w:tc>
          <w:tcPr>
            <w:tcW w:w="2976" w:type="dxa"/>
            <w:vAlign w:val="center"/>
            <w:hideMark/>
          </w:tcPr>
          <w:p w14:paraId="61838EC0" w14:textId="59777678" w:rsidR="00BB5FF9" w:rsidRPr="00BB5FF9" w:rsidRDefault="00BB5FF9" w:rsidP="00BB5FF9">
            <w:pPr>
              <w:spacing w:after="160" w:line="278" w:lineRule="auto"/>
              <w:rPr>
                <w:rFonts w:ascii="Aptos" w:hAnsi="Aptos"/>
                <w:color w:val="000000" w:themeColor="text1"/>
              </w:rPr>
            </w:pPr>
            <w:r w:rsidRPr="00BB5FF9">
              <w:rPr>
                <w:rFonts w:ascii="Segoe UI" w:hAnsi="Segoe UI" w:cs="Segoe UI"/>
                <w:color w:val="000000" w:themeColor="text1"/>
                <w:sz w:val="23"/>
                <w:szCs w:val="23"/>
              </w:rPr>
              <w:t>Controlled variables; high precision</w:t>
            </w:r>
          </w:p>
        </w:tc>
        <w:tc>
          <w:tcPr>
            <w:tcW w:w="3119" w:type="dxa"/>
            <w:vAlign w:val="center"/>
            <w:hideMark/>
          </w:tcPr>
          <w:p w14:paraId="0F083EE2" w14:textId="05C12504" w:rsidR="00BB5FF9" w:rsidRPr="00BB5FF9" w:rsidRDefault="00BB5FF9" w:rsidP="00BB5FF9">
            <w:pPr>
              <w:spacing w:after="160" w:line="278" w:lineRule="auto"/>
              <w:rPr>
                <w:rFonts w:ascii="Aptos" w:hAnsi="Aptos"/>
                <w:color w:val="000000" w:themeColor="text1"/>
              </w:rPr>
            </w:pPr>
            <w:r w:rsidRPr="00BB5FF9">
              <w:rPr>
                <w:rFonts w:ascii="Segoe UI" w:hAnsi="Segoe UI" w:cs="Segoe UI"/>
                <w:color w:val="000000" w:themeColor="text1"/>
                <w:sz w:val="23"/>
                <w:szCs w:val="23"/>
              </w:rPr>
              <w:t>Decontextualized; neglects cultural dimensions</w:t>
            </w:r>
          </w:p>
        </w:tc>
      </w:tr>
      <w:tr w:rsidR="00BB5FF9" w:rsidRPr="00293785" w14:paraId="247ADE33" w14:textId="77777777" w:rsidTr="00BB5FF9">
        <w:tc>
          <w:tcPr>
            <w:tcW w:w="2689" w:type="dxa"/>
            <w:vAlign w:val="center"/>
            <w:hideMark/>
          </w:tcPr>
          <w:p w14:paraId="0B9B65E1" w14:textId="1C96C644" w:rsidR="00BB5FF9" w:rsidRPr="00BB5FF9" w:rsidRDefault="00BB5FF9" w:rsidP="00BB5FF9">
            <w:pPr>
              <w:spacing w:after="160" w:line="278" w:lineRule="auto"/>
              <w:rPr>
                <w:rFonts w:ascii="Aptos" w:hAnsi="Aptos"/>
                <w:color w:val="000000" w:themeColor="text1"/>
              </w:rPr>
            </w:pPr>
            <w:r w:rsidRPr="00BB5FF9">
              <w:rPr>
                <w:rFonts w:ascii="Aptos" w:hAnsi="Aptos"/>
                <w:b/>
                <w:bCs/>
                <w:color w:val="000000" w:themeColor="text1"/>
              </w:rPr>
              <w:t>Action</w:t>
            </w:r>
            <w:r w:rsidRPr="00BB5FF9">
              <w:rPr>
                <w:rFonts w:ascii="Arial" w:hAnsi="Arial" w:cs="Arial"/>
                <w:b/>
                <w:bCs/>
                <w:color w:val="000000" w:themeColor="text1"/>
              </w:rPr>
              <w:t> </w:t>
            </w:r>
            <w:r w:rsidRPr="00BB5FF9">
              <w:rPr>
                <w:rFonts w:ascii="Aptos" w:hAnsi="Aptos"/>
                <w:b/>
                <w:bCs/>
                <w:color w:val="000000" w:themeColor="text1"/>
              </w:rPr>
              <w:t>Research</w:t>
            </w:r>
          </w:p>
        </w:tc>
        <w:tc>
          <w:tcPr>
            <w:tcW w:w="2976" w:type="dxa"/>
            <w:vAlign w:val="center"/>
            <w:hideMark/>
          </w:tcPr>
          <w:p w14:paraId="63A018B1" w14:textId="73B1769D" w:rsidR="00BB5FF9" w:rsidRPr="00BB5FF9" w:rsidRDefault="00BB5FF9" w:rsidP="00BB5FF9">
            <w:pPr>
              <w:spacing w:after="160" w:line="278" w:lineRule="auto"/>
              <w:rPr>
                <w:rFonts w:ascii="Aptos" w:hAnsi="Aptos"/>
                <w:color w:val="000000" w:themeColor="text1"/>
              </w:rPr>
            </w:pPr>
            <w:r w:rsidRPr="00BB5FF9">
              <w:rPr>
                <w:rFonts w:ascii="Segoe UI" w:hAnsi="Segoe UI" w:cs="Segoe UI"/>
                <w:color w:val="000000" w:themeColor="text1"/>
                <w:sz w:val="23"/>
                <w:szCs w:val="23"/>
              </w:rPr>
              <w:t>Continuous intervention; immediate feedback</w:t>
            </w:r>
          </w:p>
        </w:tc>
        <w:tc>
          <w:tcPr>
            <w:tcW w:w="3119" w:type="dxa"/>
            <w:vAlign w:val="center"/>
            <w:hideMark/>
          </w:tcPr>
          <w:p w14:paraId="0FE021BC" w14:textId="4834A2C5" w:rsidR="00BB5FF9" w:rsidRPr="00BB5FF9" w:rsidRDefault="00BB5FF9" w:rsidP="00BB5FF9">
            <w:pPr>
              <w:spacing w:after="160" w:line="278" w:lineRule="auto"/>
              <w:rPr>
                <w:rFonts w:ascii="Aptos" w:hAnsi="Aptos"/>
                <w:color w:val="000000" w:themeColor="text1"/>
              </w:rPr>
            </w:pPr>
            <w:r w:rsidRPr="00BB5FF9">
              <w:rPr>
                <w:rFonts w:ascii="Segoe UI" w:hAnsi="Segoe UI" w:cs="Segoe UI"/>
                <w:color w:val="000000" w:themeColor="text1"/>
                <w:sz w:val="23"/>
                <w:szCs w:val="23"/>
              </w:rPr>
              <w:t>Long research cycle</w:t>
            </w:r>
          </w:p>
        </w:tc>
      </w:tr>
      <w:tr w:rsidR="00BB5FF9" w:rsidRPr="00293785" w14:paraId="6126326E" w14:textId="77777777" w:rsidTr="00BB5FF9">
        <w:tc>
          <w:tcPr>
            <w:tcW w:w="2689" w:type="dxa"/>
            <w:vAlign w:val="center"/>
            <w:hideMark/>
          </w:tcPr>
          <w:p w14:paraId="18AB0726" w14:textId="54F46E59" w:rsidR="00BB5FF9" w:rsidRPr="00BB5FF9" w:rsidRDefault="00BB5FF9" w:rsidP="00BB5FF9">
            <w:pPr>
              <w:spacing w:after="160" w:line="278" w:lineRule="auto"/>
              <w:rPr>
                <w:rFonts w:ascii="Aptos" w:hAnsi="Aptos"/>
                <w:color w:val="000000" w:themeColor="text1"/>
              </w:rPr>
            </w:pPr>
            <w:r w:rsidRPr="00BB5FF9">
              <w:rPr>
                <w:rStyle w:val="Strong"/>
                <w:rFonts w:ascii="Segoe UI" w:hAnsi="Segoe UI" w:cs="Segoe UI" w:hint="eastAsia"/>
                <w:color w:val="000000" w:themeColor="text1"/>
                <w:shd w:val="clear" w:color="auto" w:fill="FFFFFF"/>
              </w:rPr>
              <w:t>D</w:t>
            </w:r>
            <w:r w:rsidRPr="00BB5FF9">
              <w:rPr>
                <w:rStyle w:val="Strong"/>
                <w:rFonts w:ascii="Segoe UI" w:hAnsi="Segoe UI" w:cs="Segoe UI"/>
                <w:color w:val="000000" w:themeColor="text1"/>
                <w:shd w:val="clear" w:color="auto" w:fill="FFFFFF"/>
              </w:rPr>
              <w:t>igital ethnography</w:t>
            </w:r>
          </w:p>
        </w:tc>
        <w:tc>
          <w:tcPr>
            <w:tcW w:w="2976" w:type="dxa"/>
            <w:vAlign w:val="center"/>
            <w:hideMark/>
          </w:tcPr>
          <w:p w14:paraId="743DEE41" w14:textId="482F9C69" w:rsidR="00BB5FF9" w:rsidRPr="00BB5FF9" w:rsidRDefault="00BB5FF9" w:rsidP="00BB5FF9">
            <w:pPr>
              <w:spacing w:after="160" w:line="278" w:lineRule="auto"/>
              <w:rPr>
                <w:rFonts w:ascii="Aptos" w:hAnsi="Aptos"/>
                <w:color w:val="000000" w:themeColor="text1"/>
              </w:rPr>
            </w:pPr>
            <w:r w:rsidRPr="00BB5FF9">
              <w:rPr>
                <w:rFonts w:ascii="Segoe UI" w:hAnsi="Segoe UI" w:cs="Segoe UI"/>
                <w:color w:val="000000" w:themeColor="text1"/>
                <w:sz w:val="23"/>
                <w:szCs w:val="23"/>
              </w:rPr>
              <w:t>Low cost; cross-regional scope</w:t>
            </w:r>
          </w:p>
        </w:tc>
        <w:tc>
          <w:tcPr>
            <w:tcW w:w="3119" w:type="dxa"/>
            <w:vAlign w:val="center"/>
            <w:hideMark/>
          </w:tcPr>
          <w:p w14:paraId="06EA2F53" w14:textId="6D0BF204" w:rsidR="00BB5FF9" w:rsidRPr="00BB5FF9" w:rsidRDefault="00BB5FF9" w:rsidP="00BB5FF9">
            <w:pPr>
              <w:spacing w:after="160" w:line="278" w:lineRule="auto"/>
              <w:rPr>
                <w:rFonts w:ascii="Aptos" w:hAnsi="Aptos"/>
                <w:color w:val="000000" w:themeColor="text1"/>
              </w:rPr>
            </w:pPr>
            <w:r w:rsidRPr="00BB5FF9">
              <w:rPr>
                <w:rFonts w:ascii="Segoe UI" w:hAnsi="Segoe UI" w:cs="Segoe UI"/>
                <w:color w:val="000000" w:themeColor="text1"/>
                <w:sz w:val="23"/>
                <w:szCs w:val="23"/>
              </w:rPr>
              <w:t>Lacks tactile and material dimensions</w:t>
            </w:r>
          </w:p>
        </w:tc>
      </w:tr>
    </w:tbl>
    <w:p w14:paraId="107D7CEF" w14:textId="7C3C8878" w:rsidR="00B65549" w:rsidRDefault="00B239F7" w:rsidP="004E4EBC">
      <w:r>
        <w:rPr>
          <w:rFonts w:hint="eastAsia"/>
        </w:rPr>
        <w:t xml:space="preserve">Table 4 </w:t>
      </w:r>
      <w:r w:rsidR="000E20B4" w:rsidRPr="000E20B4">
        <w:t xml:space="preserve">Alternative methods and their advantages and </w:t>
      </w:r>
      <w:r w:rsidR="009E0294">
        <w:rPr>
          <w:rFonts w:hint="eastAsia"/>
        </w:rPr>
        <w:t>limitation</w:t>
      </w:r>
    </w:p>
    <w:p w14:paraId="56DC58FE" w14:textId="2067EC87" w:rsidR="00B016DD" w:rsidRDefault="00B016DD">
      <w:r>
        <w:br w:type="page"/>
      </w:r>
    </w:p>
    <w:p w14:paraId="4DE9BED3" w14:textId="1D875967" w:rsidR="000E20B4" w:rsidRDefault="00B016DD" w:rsidP="004E4EBC">
      <w:pPr>
        <w:rPr>
          <w:rFonts w:ascii="Aptos" w:hAnsi="Aptos"/>
          <w:b/>
          <w:bCs/>
          <w:kern w:val="0"/>
          <w:sz w:val="32"/>
          <w:szCs w:val="32"/>
          <w14:ligatures w14:val="none"/>
        </w:rPr>
      </w:pPr>
      <w:r>
        <w:rPr>
          <w:rFonts w:ascii="Aptos" w:hAnsi="Aptos" w:hint="eastAsia"/>
          <w:b/>
          <w:bCs/>
          <w:kern w:val="0"/>
          <w:sz w:val="32"/>
          <w:szCs w:val="32"/>
          <w14:ligatures w14:val="none"/>
        </w:rPr>
        <w:lastRenderedPageBreak/>
        <w:t>4.</w:t>
      </w:r>
      <w:r>
        <w:rPr>
          <w:rFonts w:ascii="Aptos" w:hAnsi="Aptos"/>
          <w:b/>
          <w:bCs/>
          <w:kern w:val="0"/>
          <w:sz w:val="32"/>
          <w:szCs w:val="32"/>
          <w14:ligatures w14:val="none"/>
        </w:rPr>
        <w:t>Discussion and Analysis</w:t>
      </w:r>
    </w:p>
    <w:p w14:paraId="2B12DDC1" w14:textId="77777777" w:rsidR="00B016DD" w:rsidRPr="00293785" w:rsidRDefault="00B016DD" w:rsidP="00B016DD">
      <w:pPr>
        <w:rPr>
          <w:rFonts w:ascii="Aptos" w:hAnsi="Aptos"/>
          <w:b/>
          <w:bCs/>
        </w:rPr>
      </w:pPr>
      <w:r w:rsidRPr="00293785">
        <w:rPr>
          <w:rFonts w:ascii="Aptos" w:hAnsi="Aptos"/>
          <w:b/>
          <w:bCs/>
        </w:rPr>
        <w:t>4.1 Methodological adequacy</w:t>
      </w:r>
    </w:p>
    <w:p w14:paraId="534577D4" w14:textId="55883B58" w:rsidR="00B016DD" w:rsidRDefault="00ED2862" w:rsidP="004E4EBC">
      <w:r w:rsidRPr="00ED2862">
        <w:t xml:space="preserve">This </w:t>
      </w:r>
      <w:r>
        <w:rPr>
          <w:rFonts w:hint="eastAsia"/>
        </w:rPr>
        <w:t>study</w:t>
      </w:r>
      <w:r w:rsidRPr="00ED2862">
        <w:t xml:space="preserve"> centres on the core question: How can the cultural genes of Jiangnan gardens be symbolically translated in wearable </w:t>
      </w:r>
      <w:r w:rsidR="00C511D3" w:rsidRPr="00ED2862">
        <w:t>jewellery</w:t>
      </w:r>
      <w:r w:rsidRPr="00ED2862">
        <w:t xml:space="preserve"> media? It constructs a mixed research method led by design ethnography (DE), combining qualitative and quantitative approaches. The research not only focuses on the moment when symbols are </w:t>
      </w:r>
      <w:r w:rsidR="0013641F">
        <w:rPr>
          <w:rFonts w:hint="eastAsia"/>
        </w:rPr>
        <w:t>‘</w:t>
      </w:r>
      <w:r w:rsidRPr="00ED2862">
        <w:t>produced</w:t>
      </w:r>
      <w:r w:rsidR="0013641F">
        <w:rPr>
          <w:rFonts w:hint="eastAsia"/>
        </w:rPr>
        <w:t>‘</w:t>
      </w:r>
      <w:r w:rsidRPr="00ED2862">
        <w:t>, but also on their re-interpretation during wearing and social display. DE enables researchers to track across multiple fields, including designer studios, wearers' daily environments, and online re-contextualized communities, which is difficult to achieve through traditional ethnography or laboratory usability tests. Moreover, DE's multimodal records and cultural probes can preserve detailed sensory fragments during periods when researchers are absent (Gaver et al., 1999; 2024). Additionally, collaborative workshops materialize the symbol translation process, providing real interaction data, while the differential semantic scale (Hassenzahl, 2004) quantifies subjective experiences. This multi-perspective and multi-field approach is precisely what is necessary to understand the mechanism of symbol translation and the generation of experiences. Furthermore, the triangulation of multi-source data not only covers the longitudinal process from symbol sources to form translation and then to experience feedback, but also achieves cross-validation among different subjects, including designers, users, and professional scholars, directly addressing the core research question of this study.</w:t>
      </w:r>
    </w:p>
    <w:p w14:paraId="1D300E9E" w14:textId="77777777" w:rsidR="00146603" w:rsidRPr="00293785" w:rsidRDefault="00146603" w:rsidP="00146603">
      <w:pPr>
        <w:rPr>
          <w:rFonts w:ascii="Aptos" w:hAnsi="Aptos"/>
          <w:b/>
          <w:bCs/>
        </w:rPr>
      </w:pPr>
      <w:r w:rsidRPr="00293785">
        <w:rPr>
          <w:rFonts w:ascii="Aptos" w:hAnsi="Aptos"/>
          <w:b/>
          <w:bCs/>
        </w:rPr>
        <w:t>4.2 Synthesis of potential findings</w:t>
      </w:r>
    </w:p>
    <w:p w14:paraId="57AD936C" w14:textId="77777777" w:rsidR="00146603" w:rsidRPr="00293785" w:rsidRDefault="00146603" w:rsidP="00146603">
      <w:pPr>
        <w:rPr>
          <w:rFonts w:ascii="Aptos" w:hAnsi="Aptos"/>
          <w:lang w:val="en-US"/>
        </w:rPr>
      </w:pPr>
      <w:r w:rsidRPr="00293785">
        <w:rPr>
          <w:rFonts w:ascii="Aptos" w:hAnsi="Aptos"/>
          <w:lang w:val="en-US"/>
        </w:rPr>
        <w:t>4.2.1 The dynamic translation mechanism of cultural symbols</w:t>
      </w:r>
    </w:p>
    <w:p w14:paraId="7BA5708A" w14:textId="776089E8" w:rsidR="00146603" w:rsidRDefault="00982E54" w:rsidP="004E4EBC">
      <w:r w:rsidRPr="00982E54">
        <w:t xml:space="preserve">This study adopts a semiotic perspective and uses the theory of cultural genes to explore how the symbols of Jiangnan gardens are dynamically translated through jewellery media. Garden imagery such as architectural structures, spatial narratives, and landscape carriers are regarded as typical </w:t>
      </w:r>
      <w:r>
        <w:t>‘</w:t>
      </w:r>
      <w:r w:rsidRPr="00982E54">
        <w:t>gene fragments</w:t>
      </w:r>
      <w:r>
        <w:t>’</w:t>
      </w:r>
      <w:r w:rsidRPr="00982E54">
        <w:t xml:space="preserve"> of Jiangnan culture </w:t>
      </w:r>
      <w:r w:rsidR="00E000E4">
        <w:rPr>
          <w:rFonts w:ascii="Aptos" w:hAnsi="Aptos"/>
          <w:kern w:val="0"/>
          <w:lang w:val="en-US"/>
          <w14:ligatures w14:val="none"/>
        </w:rPr>
        <w:fldChar w:fldCharType="begin"/>
      </w:r>
      <w:r w:rsidR="00E000E4">
        <w:rPr>
          <w:rFonts w:ascii="Aptos" w:hAnsi="Aptos"/>
          <w:kern w:val="0"/>
          <w:lang w:val="en-US"/>
          <w14:ligatures w14:val="none"/>
        </w:rPr>
        <w:instrText xml:space="preserve"> ADDIN ZOTERO_ITEM CSL_CITATION {"citationID":"zlHRgQqY","properties":{"formattedCitation":"(\\uc0\\u38470{}\\uc0\\u37045{}\\uc0\\u26126{}, 2020)","plainCitation":"(</w:instrText>
      </w:r>
      <w:r w:rsidR="00E000E4">
        <w:rPr>
          <w:rFonts w:ascii="Aptos" w:hAnsi="Aptos" w:hint="eastAsia"/>
          <w:kern w:val="0"/>
          <w:lang w:val="en-US"/>
          <w14:ligatures w14:val="none"/>
        </w:rPr>
        <w:instrText>陆邵明</w:instrText>
      </w:r>
      <w:r w:rsidR="00E000E4">
        <w:rPr>
          <w:rFonts w:ascii="Aptos" w:hAnsi="Aptos"/>
          <w:kern w:val="0"/>
          <w:lang w:val="en-US"/>
          <w14:ligatures w14:val="none"/>
        </w:rPr>
        <w:instrText>, 2020)","dontUpdate":true,"noteIndex":0},"citationItems":[{"id":2207,"uris":["http://zotero.org/users/16578089/items/Y5HLRTAN"],"itemData":{"id":2207,"type":"article-journal","abstract":"</w:instrText>
      </w:r>
      <w:r w:rsidR="00E000E4">
        <w:rPr>
          <w:rFonts w:ascii="Aptos" w:hAnsi="Aptos" w:hint="eastAsia"/>
          <w:kern w:val="0"/>
          <w:lang w:val="en-US"/>
          <w14:ligatures w14:val="none"/>
        </w:rPr>
        <w:instrText>精准解读建成环境中的文化基因是地方文化传承的前提条件。以上海古典园林为例</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甄选</w:instrText>
      </w:r>
      <w:r w:rsidR="00E000E4">
        <w:rPr>
          <w:rFonts w:ascii="Aptos" w:hAnsi="Aptos"/>
          <w:kern w:val="0"/>
          <w:lang w:val="en-US"/>
          <w14:ligatures w14:val="none"/>
        </w:rPr>
        <w:instrText>10</w:instrText>
      </w:r>
      <w:r w:rsidR="00E000E4">
        <w:rPr>
          <w:rFonts w:ascii="Aptos" w:hAnsi="Aptos" w:hint="eastAsia"/>
          <w:kern w:val="0"/>
          <w:lang w:val="en-US"/>
          <w14:ligatures w14:val="none"/>
        </w:rPr>
        <w:instrText>个典型场景以及国内外两组共</w:instrText>
      </w:r>
      <w:r w:rsidR="00E000E4">
        <w:rPr>
          <w:rFonts w:ascii="Aptos" w:hAnsi="Aptos"/>
          <w:kern w:val="0"/>
          <w:lang w:val="en-US"/>
          <w14:ligatures w14:val="none"/>
        </w:rPr>
        <w:instrText>30</w:instrText>
      </w:r>
      <w:r w:rsidR="00E000E4">
        <w:rPr>
          <w:rFonts w:ascii="Aptos" w:hAnsi="Aptos" w:hint="eastAsia"/>
          <w:kern w:val="0"/>
          <w:lang w:val="en-US"/>
          <w14:ligatures w14:val="none"/>
        </w:rPr>
        <w:instrText>位测试者</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借助眼动追踪技术与实验</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通过不同文化群体的审美共性与差异性</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来揭示被关注的典型文化基因与要素。实验表明</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其一</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独特的建筑、花木、水景等景观要素获得两组测试群体共同的审美关注</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这些要素对文化的传播与传承不可或缺</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其二</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主题性的场景与其文学性信息被国内测试群体注视的时间较长且次数较多</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但未能唤起国外测试群体的关注与整体认知。进一步分析表明</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园林场景中的文学性信息分布点与国内测试群体关注的兴趣区存在较高的耦合性</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即拥有地方文化背景的测试群体的视觉认知偏好能在一定程度上刻画出地方性文化基因的载体要素与其存在形式——主题性场景。主题性场景不仅是构成上海古典园林的基本单元</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也是其文化基因的重要表征。对比实验也表明</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不同文化背景的测试群体审美习惯不一样</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国内测试群体的视觉关注呈散点状</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倾向于整体场景各要素的关系及其文化信息的认知</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国外测试群体的关注点比较单一</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更关注要素的物质美学信息。</w:instrText>
      </w:r>
      <w:r w:rsidR="00E000E4">
        <w:rPr>
          <w:rFonts w:ascii="Aptos" w:hAnsi="Aptos"/>
          <w:kern w:val="0"/>
          <w:lang w:val="en-US"/>
          <w14:ligatures w14:val="none"/>
        </w:rPr>
        <w:instrText>","container-title":"</w:instrText>
      </w:r>
      <w:r w:rsidR="00E000E4">
        <w:rPr>
          <w:rFonts w:ascii="Aptos" w:hAnsi="Aptos" w:hint="eastAsia"/>
          <w:kern w:val="0"/>
          <w:lang w:val="en-US"/>
          <w14:ligatures w14:val="none"/>
        </w:rPr>
        <w:instrText>同济大学学报（社会科学版）</w:instrText>
      </w:r>
      <w:r w:rsidR="00E000E4">
        <w:rPr>
          <w:rFonts w:ascii="Aptos" w:hAnsi="Aptos"/>
          <w:kern w:val="0"/>
          <w:lang w:val="en-US"/>
          <w14:ligatures w14:val="none"/>
        </w:rPr>
        <w:instrText xml:space="preserve">","ISSN":"1009-3060","issue":"6","language":"zh-CN","note":"original-container-title: </w:instrText>
      </w:r>
      <w:r w:rsidR="00E000E4">
        <w:rPr>
          <w:rFonts w:ascii="Aptos" w:hAnsi="Aptos" w:hint="eastAsia"/>
          <w:kern w:val="0"/>
          <w:lang w:val="en-US"/>
          <w14:ligatures w14:val="none"/>
        </w:rPr>
        <w:instrText>同济大学学报</w:instrText>
      </w:r>
      <w:r w:rsidR="00E000E4">
        <w:rPr>
          <w:rFonts w:ascii="Aptos" w:hAnsi="Aptos"/>
          <w:kern w:val="0"/>
          <w:lang w:val="en-US"/>
          <w14:ligatures w14:val="none"/>
        </w:rPr>
        <w:instrText>(</w:instrText>
      </w:r>
      <w:r w:rsidR="00E000E4">
        <w:rPr>
          <w:rFonts w:ascii="Aptos" w:hAnsi="Aptos" w:hint="eastAsia"/>
          <w:kern w:val="0"/>
          <w:lang w:val="en-US"/>
          <w14:ligatures w14:val="none"/>
        </w:rPr>
        <w:instrText>社会科学版</w:instrText>
      </w:r>
      <w:r w:rsidR="00E000E4">
        <w:rPr>
          <w:rFonts w:ascii="Aptos" w:hAnsi="Aptos"/>
          <w:kern w:val="0"/>
          <w:lang w:val="en-US"/>
          <w14:ligatures w14:val="none"/>
        </w:rPr>
        <w:instrText xml:space="preserve">)\ndownload: 1412\nalbum: (H) Education </w:instrText>
      </w:r>
      <w:r w:rsidR="00E000E4">
        <w:rPr>
          <w:rFonts w:ascii="Aptos" w:hAnsi="Aptos" w:hint="eastAsia"/>
          <w:kern w:val="0"/>
          <w:lang w:val="en-US"/>
          <w14:ligatures w14:val="none"/>
        </w:rPr>
        <w:instrText>＆</w:instrText>
      </w:r>
      <w:r w:rsidR="00E000E4">
        <w:rPr>
          <w:rFonts w:ascii="Aptos" w:hAnsi="Aptos"/>
          <w:kern w:val="0"/>
          <w:lang w:val="en-US"/>
          <w14:ligatures w14:val="none"/>
        </w:rPr>
        <w:instrText xml:space="preserve"> Social Sciences; (C) Architecture/ Energy/ Traffic/ Electromechanics, etc\nCLC: TU986.1\nCNKICite: 22\ndbcode: CJFD\ndbname: CJFDLAST2021\nfilename: tjds202006012\npublicationTag: Core Journals, CSSCI</w:instrText>
      </w:r>
      <w:r w:rsidR="00E000E4">
        <w:rPr>
          <w:rFonts w:ascii="Aptos" w:hAnsi="Aptos" w:hint="eastAsia"/>
          <w:kern w:val="0"/>
          <w:lang w:val="en-US"/>
          <w14:ligatures w14:val="none"/>
        </w:rPr>
        <w:instrText>来源期刊</w:instrText>
      </w:r>
      <w:r w:rsidR="00E000E4">
        <w:rPr>
          <w:rFonts w:ascii="Aptos" w:hAnsi="Aptos"/>
          <w:kern w:val="0"/>
          <w:lang w:val="en-US"/>
          <w14:ligatures w14:val="none"/>
        </w:rPr>
        <w:instrText>, AMI</w:instrText>
      </w:r>
      <w:r w:rsidR="00E000E4">
        <w:rPr>
          <w:rFonts w:ascii="Aptos" w:hAnsi="Aptos" w:hint="eastAsia"/>
          <w:kern w:val="0"/>
          <w:lang w:val="en-US"/>
          <w14:ligatures w14:val="none"/>
        </w:rPr>
        <w:instrText>核心</w:instrText>
      </w:r>
      <w:r w:rsidR="00E000E4">
        <w:rPr>
          <w:rFonts w:ascii="Aptos" w:hAnsi="Aptos"/>
          <w:kern w:val="0"/>
          <w:lang w:val="en-US"/>
          <w14:ligatures w14:val="none"/>
        </w:rPr>
        <w:instrText>\nCIF: 2.520\nAIF: 1.466","page":"93-102","source":"CNKI","title":"A Study on the Cultural Gene of Shanghai Classic Gardens Based on Eye-Tracking","volume":"31","author":[{"literal":"</w:instrText>
      </w:r>
      <w:r w:rsidR="00E000E4">
        <w:rPr>
          <w:rFonts w:ascii="Aptos" w:hAnsi="Aptos" w:hint="eastAsia"/>
          <w:kern w:val="0"/>
          <w:lang w:val="en-US"/>
          <w14:ligatures w14:val="none"/>
        </w:rPr>
        <w:instrText>陆邵明</w:instrText>
      </w:r>
      <w:r w:rsidR="00E000E4">
        <w:rPr>
          <w:rFonts w:ascii="Aptos" w:hAnsi="Aptos"/>
          <w:kern w:val="0"/>
          <w:lang w:val="en-US"/>
          <w14:ligatures w14:val="none"/>
        </w:rPr>
        <w:instrText xml:space="preserve">"}],"issued":{"date-parts":[["2020"]]}}}],"schema":"https://github.com/citation-style-language/schema/raw/master/csl-citation.json"} </w:instrText>
      </w:r>
      <w:r w:rsidR="00E000E4">
        <w:rPr>
          <w:rFonts w:ascii="Aptos" w:hAnsi="Aptos"/>
          <w:kern w:val="0"/>
          <w:lang w:val="en-US"/>
          <w14:ligatures w14:val="none"/>
        </w:rPr>
        <w:fldChar w:fldCharType="separate"/>
      </w:r>
      <w:r w:rsidR="00E000E4">
        <w:rPr>
          <w:rFonts w:ascii="Aptos" w:hAnsi="Aptos" w:cs="Times New Roman"/>
          <w:kern w:val="0"/>
          <w14:ligatures w14:val="none"/>
        </w:rPr>
        <w:t>(LU Sm, 2020)</w:t>
      </w:r>
      <w:r w:rsidR="00E000E4">
        <w:rPr>
          <w:rFonts w:ascii="Aptos" w:hAnsi="Aptos"/>
          <w:kern w:val="0"/>
          <w:lang w:val="en-US"/>
          <w14:ligatures w14:val="none"/>
        </w:rPr>
        <w:fldChar w:fldCharType="end"/>
      </w:r>
      <w:r w:rsidRPr="00982E54">
        <w:t xml:space="preserve">. Through the extraction of cultural gene complexes </w:t>
      </w:r>
      <w:r w:rsidR="00E80E0F">
        <w:fldChar w:fldCharType="begin"/>
      </w:r>
      <w:r w:rsidR="00E80E0F">
        <w:instrText xml:space="preserve"> ADDIN ZOTERO_ITEM CSL_CITATION {"citationID":"Xrdij1F5","properties":{"formattedCitation":"(YanhongHuo, LeiCao, and DongdongYang, 2017)","plainCitation":"(YanhongHuo, LeiCao, and DongdongYang, 2017)","noteIndex":0},"citationItems":[{"id":2208,"uris":["ht</w:instrText>
      </w:r>
      <w:r w:rsidR="00E80E0F">
        <w:rPr>
          <w:rFonts w:hint="eastAsia"/>
        </w:rPr>
        <w:instrText>tp://zotero.org/users/16578089/items/IMKEIGZF"],"itemData":{"id":2208,"type":"article-journal","abstract":"</w:instrText>
      </w:r>
      <w:r w:rsidR="00E80E0F">
        <w:rPr>
          <w:rFonts w:hint="eastAsia"/>
        </w:rPr>
        <w:instrText>京杭大运河作为一种特殊的载体</w:instrText>
      </w:r>
      <w:r w:rsidR="00E80E0F">
        <w:rPr>
          <w:rFonts w:hint="eastAsia"/>
        </w:rPr>
        <w:instrText>,</w:instrText>
      </w:r>
      <w:r w:rsidR="00E80E0F">
        <w:rPr>
          <w:rFonts w:hint="eastAsia"/>
        </w:rPr>
        <w:instrText>承载着沿线极为丰富的文化遗产</w:instrText>
      </w:r>
      <w:r w:rsidR="00E80E0F">
        <w:rPr>
          <w:rFonts w:hint="eastAsia"/>
        </w:rPr>
        <w:instrText>,</w:instrText>
      </w:r>
      <w:r w:rsidR="00E80E0F">
        <w:rPr>
          <w:rFonts w:hint="eastAsia"/>
        </w:rPr>
        <w:instrText>是典型的超大型的线性文化遗产。</w:instrText>
      </w:r>
      <w:r w:rsidR="00E80E0F">
        <w:rPr>
          <w:rFonts w:hint="eastAsia"/>
        </w:rPr>
        <w:instrText>\"</w:instrText>
      </w:r>
      <w:r w:rsidR="00E80E0F">
        <w:rPr>
          <w:rFonts w:hint="eastAsia"/>
        </w:rPr>
        <w:instrText>申遗</w:instrText>
      </w:r>
      <w:r w:rsidR="00E80E0F">
        <w:rPr>
          <w:rFonts w:hint="eastAsia"/>
        </w:rPr>
        <w:instrText>\"</w:instrText>
      </w:r>
      <w:r w:rsidR="00E80E0F">
        <w:rPr>
          <w:rFonts w:hint="eastAsia"/>
        </w:rPr>
        <w:instrText>使得京杭大运河文化遗产保护上升到世界和永续的高度</w:instrText>
      </w:r>
      <w:r w:rsidR="00E80E0F">
        <w:rPr>
          <w:rFonts w:hint="eastAsia"/>
        </w:rPr>
        <w:instrText>,</w:instrText>
      </w:r>
      <w:r w:rsidR="00E80E0F">
        <w:rPr>
          <w:rFonts w:hint="eastAsia"/>
        </w:rPr>
        <w:instrText>而</w:instrText>
      </w:r>
      <w:r w:rsidR="00E80E0F">
        <w:rPr>
          <w:rFonts w:hint="eastAsia"/>
        </w:rPr>
        <w:instrText>\"</w:instrText>
      </w:r>
      <w:r w:rsidR="00E80E0F">
        <w:rPr>
          <w:rFonts w:hint="eastAsia"/>
        </w:rPr>
        <w:instrText>文化</w:instrText>
      </w:r>
      <w:r w:rsidR="00E80E0F">
        <w:rPr>
          <w:rFonts w:hint="eastAsia"/>
        </w:rPr>
        <w:instrText>\"</w:instrText>
      </w:r>
      <w:r w:rsidR="00E80E0F">
        <w:rPr>
          <w:rFonts w:hint="eastAsia"/>
        </w:rPr>
        <w:instrText>是遗产保护中最核心的价值所在。研究试图在风景园林视域下</w:instrText>
      </w:r>
      <w:r w:rsidR="00E80E0F">
        <w:rPr>
          <w:rFonts w:hint="eastAsia"/>
        </w:rPr>
        <w:instrText>,</w:instrText>
      </w:r>
      <w:r w:rsidR="00E80E0F">
        <w:rPr>
          <w:rFonts w:hint="eastAsia"/>
        </w:rPr>
        <w:instrText>引进生物学的基因概念</w:instrText>
      </w:r>
      <w:r w:rsidR="00E80E0F">
        <w:rPr>
          <w:rFonts w:hint="eastAsia"/>
        </w:rPr>
        <w:instrText>,</w:instrText>
      </w:r>
      <w:r w:rsidR="00E80E0F">
        <w:rPr>
          <w:rFonts w:hint="eastAsia"/>
        </w:rPr>
        <w:instrText>以文化基因作为研究对象</w:instrText>
      </w:r>
      <w:r w:rsidR="00E80E0F">
        <w:rPr>
          <w:rFonts w:hint="eastAsia"/>
        </w:rPr>
        <w:instrText>,</w:instrText>
      </w:r>
      <w:r w:rsidR="00E80E0F">
        <w:rPr>
          <w:rFonts w:hint="eastAsia"/>
        </w:rPr>
        <w:instrText>借鉴生物基因领域中逆转录基因提取方法</w:instrText>
      </w:r>
      <w:r w:rsidR="00E80E0F">
        <w:rPr>
          <w:rFonts w:hint="eastAsia"/>
        </w:rPr>
        <w:instrText>,</w:instrText>
      </w:r>
      <w:r w:rsidR="00E80E0F">
        <w:rPr>
          <w:rFonts w:hint="eastAsia"/>
        </w:rPr>
        <w:instrText>对线性文化遗产中物质文化基因和非物质文化基因提取</w:instrText>
      </w:r>
      <w:r w:rsidR="00E80E0F">
        <w:rPr>
          <w:rFonts w:hint="eastAsia"/>
        </w:rPr>
        <w:instrText>,</w:instrText>
      </w:r>
      <w:r w:rsidR="00E80E0F">
        <w:rPr>
          <w:rFonts w:hint="eastAsia"/>
        </w:rPr>
        <w:instrText>并梳理归类为主体基因、附属基因、混合基因和变异基因四种类型</w:instrText>
      </w:r>
      <w:r w:rsidR="00E80E0F">
        <w:rPr>
          <w:rFonts w:hint="eastAsia"/>
        </w:rPr>
        <w:instrText>,</w:instrText>
      </w:r>
      <w:r w:rsidR="00E80E0F">
        <w:rPr>
          <w:rFonts w:hint="eastAsia"/>
        </w:rPr>
        <w:instrText>相应提出了文化基因战略转嫁、文化符号提炼植入、文化基因地理隔离和文化基因生态保育四种传承路径</w:instrText>
      </w:r>
      <w:r w:rsidR="00E80E0F">
        <w:rPr>
          <w:rFonts w:hint="eastAsia"/>
        </w:rPr>
        <w:instrText>,</w:instrText>
      </w:r>
      <w:r w:rsidR="00E80E0F">
        <w:rPr>
          <w:rFonts w:hint="eastAsia"/>
        </w:rPr>
        <w:instrText>依据文化基因不同的属性选择适宜的传承路径</w:instrText>
      </w:r>
      <w:r w:rsidR="00E80E0F">
        <w:rPr>
          <w:rFonts w:hint="eastAsia"/>
        </w:rPr>
        <w:instrText>,</w:instrText>
      </w:r>
      <w:r w:rsidR="00E80E0F">
        <w:rPr>
          <w:rFonts w:hint="eastAsia"/>
        </w:rPr>
        <w:instrText>最终实现文化在遗产保护中的传承与利用。</w:instrText>
      </w:r>
      <w:r w:rsidR="00E80E0F">
        <w:rPr>
          <w:rFonts w:hint="eastAsia"/>
        </w:rPr>
        <w:instrText xml:space="preserve">","container-title":"Architecture and Culture","ISSN":"1672-4909","issue":"2","language":"zh-CN","note":"original-container-title: </w:instrText>
      </w:r>
      <w:r w:rsidR="00E80E0F">
        <w:rPr>
          <w:rFonts w:hint="eastAsia"/>
        </w:rPr>
        <w:instrText>建筑与文化</w:instrText>
      </w:r>
      <w:r w:rsidR="00E80E0F">
        <w:rPr>
          <w:rFonts w:hint="eastAsia"/>
        </w:rPr>
        <w:instrText>\ndownload: 3019\nalbum: (C) Architecture/ Energy/ Traffic/ Electromechanics, etc; (F) Literature/ History/ Philosophy\nCLC: G122\nCNKICite: 90\ndbcode: CJFD\ndbname: CJFDLAST2017\nfilename: jzyw201702014\nCIF: 0.414\nAIF: 0.12</w:instrText>
      </w:r>
      <w:r w:rsidR="00E80E0F">
        <w:instrText xml:space="preserve">6","page":"59-62","source":"CNKI","title":"Theory Analysis of the Culture Gene Extraction and Transmission Path of Beijing-Hangzhou Grand Canal","author":[{"literal":"YanhongHuo"},{"literal":"LeiCao"},{"literal":"DongdongYang"}],"issued":{"date-parts":[["2017"]]}}}],"schema":"https://github.com/citation-style-language/schema/raw/master/csl-citation.json"} </w:instrText>
      </w:r>
      <w:r w:rsidR="00E80E0F">
        <w:fldChar w:fldCharType="separate"/>
      </w:r>
      <w:r w:rsidR="00E80E0F">
        <w:rPr>
          <w:noProof/>
        </w:rPr>
        <w:t>(YanhongHuo, LeiCao, and DongdongYang, 2017)</w:t>
      </w:r>
      <w:r w:rsidR="00E80E0F">
        <w:fldChar w:fldCharType="end"/>
      </w:r>
      <w:r w:rsidRPr="00982E54">
        <w:t xml:space="preserve">, a new design language is formed in </w:t>
      </w:r>
      <w:r w:rsidR="00AC1EB0" w:rsidRPr="00982E54">
        <w:t>jewellery</w:t>
      </w:r>
      <w:r w:rsidRPr="00982E54">
        <w:t xml:space="preserve"> design through the deconstruction and recombination of semiotics </w:t>
      </w:r>
      <w:r w:rsidR="00581E23">
        <w:rPr>
          <w:rFonts w:ascii="Aptos" w:hAnsi="Aptos"/>
          <w:kern w:val="0"/>
          <w:lang w:val="en-US"/>
          <w14:ligatures w14:val="none"/>
        </w:rPr>
        <w:fldChar w:fldCharType="begin"/>
      </w:r>
      <w:r w:rsidR="00581E23">
        <w:rPr>
          <w:rFonts w:ascii="Aptos" w:hAnsi="Aptos"/>
          <w:kern w:val="0"/>
          <w:lang w:val="en-US"/>
          <w14:ligatures w14:val="none"/>
        </w:rPr>
        <w:instrText xml:space="preserve"> ADDIN ZOTERO_ITEM CSL_CITATION {"citationID":"y7CH6p2b","properties":{"formattedCitation":"(Eco, 1976)","plainCitation":"(Eco, 1976)","noteIndex":0},"citationItems":[{"id":1045,"uris":["http://zotero.org/users/16578089/items/3Y6HIJD5"],"itemData":{"id":1045,"type":"book","abstract":"\"... the greatest contribution to [semiotics] since the pioneering work of C. S. Peirce and Charles Morris.\" -Journal of Aesthetics and Art Criticism  \"... draws on philosophy, linguistics, sociology, anthropology and aesthetics and refers to a wide range of scholarship... raises many fascinating questions.\" -Language in Society  \"... a major contribution to the field of semiotic studies.\" -Robert Scholes, Journal of Aesthetics and Art Criticism  \"... the most significant text on the subject published in the English language that I know of.\" -Arthur Asa Berger, Journal of Communication  Eco's treatment demonstrates his mastery of the field of semiotics. It focuses on the twin problems of the doctrine of signs-communication and signification-and offers a highly original theory of sign production, including a carefully wrought typology of signs and modes of production.","ISBN":"978-0-253-35955-1","language":"en-GB","note":"abstractTranslation: “……</w:instrText>
      </w:r>
      <w:r w:rsidR="00581E23">
        <w:rPr>
          <w:rFonts w:ascii="Aptos" w:hAnsi="Aptos" w:hint="eastAsia"/>
          <w:kern w:val="0"/>
          <w:lang w:val="en-US"/>
          <w14:ligatures w14:val="none"/>
        </w:rPr>
        <w:instrText>自</w:instrText>
      </w:r>
      <w:r w:rsidR="00581E23">
        <w:rPr>
          <w:rFonts w:ascii="Aptos" w:hAnsi="Aptos"/>
          <w:kern w:val="0"/>
          <w:lang w:val="en-US"/>
          <w14:ligatures w14:val="none"/>
        </w:rPr>
        <w:instrText xml:space="preserve"> C.S. Peirce </w:instrText>
      </w:r>
      <w:r w:rsidR="00581E23">
        <w:rPr>
          <w:rFonts w:ascii="Aptos" w:hAnsi="Aptos" w:hint="eastAsia"/>
          <w:kern w:val="0"/>
          <w:lang w:val="en-US"/>
          <w14:ligatures w14:val="none"/>
        </w:rPr>
        <w:instrText>和</w:instrText>
      </w:r>
      <w:r w:rsidR="00581E23">
        <w:rPr>
          <w:rFonts w:ascii="Aptos" w:hAnsi="Aptos"/>
          <w:kern w:val="0"/>
          <w:lang w:val="en-US"/>
          <w14:ligatures w14:val="none"/>
        </w:rPr>
        <w:instrText xml:space="preserve"> Charles Morris </w:instrText>
      </w:r>
      <w:r w:rsidR="00581E23">
        <w:rPr>
          <w:rFonts w:ascii="Aptos" w:hAnsi="Aptos" w:hint="eastAsia"/>
          <w:kern w:val="0"/>
          <w:lang w:val="en-US"/>
          <w14:ligatures w14:val="none"/>
        </w:rPr>
        <w:instrText>的开创性工作以来，对</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符号学</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最伟大的贡献。</w:instrText>
      </w:r>
      <w:r w:rsidR="00581E23">
        <w:rPr>
          <w:rFonts w:ascii="Aptos" w:hAnsi="Aptos"/>
          <w:kern w:val="0"/>
          <w:lang w:val="en-US"/>
          <w14:ligatures w14:val="none"/>
        </w:rPr>
        <w:instrText>” -</w:instrText>
      </w:r>
      <w:r w:rsidR="00581E23">
        <w:rPr>
          <w:rFonts w:ascii="Aptos" w:hAnsi="Aptos" w:hint="eastAsia"/>
          <w:kern w:val="0"/>
          <w:lang w:val="en-US"/>
          <w14:ligatures w14:val="none"/>
        </w:rPr>
        <w:instrText>《美学与艺术批评杂志》</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借鉴了哲学、语言学、社会学、人类学和美学，并涉及广泛的学术知识</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提出了许多引人入胜的问题。</w:instrText>
      </w:r>
      <w:r w:rsidR="00581E23">
        <w:rPr>
          <w:rFonts w:ascii="Aptos" w:hAnsi="Aptos"/>
          <w:kern w:val="0"/>
          <w:lang w:val="en-US"/>
          <w14:ligatures w14:val="none"/>
        </w:rPr>
        <w:instrText>” -</w:instrText>
      </w:r>
      <w:r w:rsidR="00581E23">
        <w:rPr>
          <w:rFonts w:ascii="Aptos" w:hAnsi="Aptos" w:hint="eastAsia"/>
          <w:kern w:val="0"/>
          <w:lang w:val="en-US"/>
          <w14:ligatures w14:val="none"/>
        </w:rPr>
        <w:instrText>社会语言</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对符号学研究领域的重大贡献。</w:instrText>
      </w:r>
      <w:r w:rsidR="00581E23">
        <w:rPr>
          <w:rFonts w:ascii="Aptos" w:hAnsi="Aptos"/>
          <w:kern w:val="0"/>
          <w:lang w:val="en-US"/>
          <w14:ligatures w14:val="none"/>
        </w:rPr>
        <w:instrText>” ——</w:instrText>
      </w:r>
      <w:r w:rsidR="00581E23">
        <w:rPr>
          <w:rFonts w:ascii="Aptos" w:hAnsi="Aptos" w:hint="eastAsia"/>
          <w:kern w:val="0"/>
          <w:lang w:val="en-US"/>
          <w14:ligatures w14:val="none"/>
        </w:rPr>
        <w:instrText>罗伯特</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斯科尔斯，《美学与艺术批评杂志》</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据我所知，这是用英语出版的关于该主题的最重要的文本。</w:instrText>
      </w:r>
      <w:r w:rsidR="00581E23">
        <w:rPr>
          <w:rFonts w:ascii="Aptos" w:hAnsi="Aptos"/>
          <w:kern w:val="0"/>
          <w:lang w:val="en-US"/>
          <w14:ligatures w14:val="none"/>
        </w:rPr>
        <w:instrText>” ——Arthur Asa Berger</w:instrText>
      </w:r>
      <w:r w:rsidR="00581E23">
        <w:rPr>
          <w:rFonts w:ascii="Aptos" w:hAnsi="Aptos" w:hint="eastAsia"/>
          <w:kern w:val="0"/>
          <w:lang w:val="en-US"/>
          <w14:ligatures w14:val="none"/>
        </w:rPr>
        <w:instrText>，《传播杂志》</w:instrText>
      </w:r>
      <w:r w:rsidR="00581E23">
        <w:rPr>
          <w:rFonts w:ascii="Aptos" w:hAnsi="Aptos"/>
          <w:kern w:val="0"/>
          <w:lang w:val="en-US"/>
          <w14:ligatures w14:val="none"/>
        </w:rPr>
        <w:instrText xml:space="preserve"> </w:instrText>
      </w:r>
      <w:r w:rsidR="00581E23">
        <w:rPr>
          <w:rFonts w:ascii="Aptos" w:hAnsi="Aptos" w:hint="eastAsia"/>
          <w:kern w:val="0"/>
          <w:lang w:val="en-US"/>
          <w14:ligatures w14:val="none"/>
        </w:rPr>
        <w:instrText>艾科的治疗展示了他对符号学领域的掌握。它关注符号学说的孪生问题</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沟通和意义</w:instrText>
      </w:r>
      <w:r w:rsidR="00581E23">
        <w:rPr>
          <w:rFonts w:ascii="Aptos" w:hAnsi="Aptos"/>
          <w:kern w:val="0"/>
          <w:lang w:val="en-US"/>
          <w14:ligatures w14:val="none"/>
        </w:rPr>
        <w:instrText>——</w:instrText>
      </w:r>
      <w:r w:rsidR="00581E23">
        <w:rPr>
          <w:rFonts w:ascii="Aptos" w:hAnsi="Aptos" w:hint="eastAsia"/>
          <w:kern w:val="0"/>
          <w:lang w:val="en-US"/>
          <w14:ligatures w14:val="none"/>
        </w:rPr>
        <w:instrText>并提供了一种高度原创的符号生产理论，包括精心设计的符号类型学和生产方式。</w:instrText>
      </w:r>
      <w:r w:rsidR="00581E23">
        <w:rPr>
          <w:rFonts w:ascii="Aptos" w:hAnsi="Aptos"/>
          <w:kern w:val="0"/>
          <w:lang w:val="en-US"/>
          <w14:ligatures w14:val="none"/>
        </w:rPr>
        <w:instrText xml:space="preserve">","publisher":"Indiana University Press","source":"JSTOR","title":"A Theory of Semiotics","URL":"https://www.jstor.org/stable/j.ctt16xwcfd","author":[{"family":"Eco","given":"Umberto"}],"accessed":{"date-parts":[["2024",12,16]]},"issued":{"date-parts":[["1976"]]}}}],"schema":"https://github.com/citation-style-language/schema/raw/master/csl-citation.json"} </w:instrText>
      </w:r>
      <w:r w:rsidR="00581E23">
        <w:rPr>
          <w:rFonts w:ascii="Aptos" w:hAnsi="Aptos"/>
          <w:kern w:val="0"/>
          <w:lang w:val="en-US"/>
          <w14:ligatures w14:val="none"/>
        </w:rPr>
        <w:fldChar w:fldCharType="separate"/>
      </w:r>
      <w:r w:rsidR="00581E23">
        <w:rPr>
          <w:rFonts w:ascii="Aptos" w:hAnsi="Aptos"/>
          <w:noProof/>
          <w:kern w:val="0"/>
          <w:lang w:val="en-US"/>
          <w14:ligatures w14:val="none"/>
        </w:rPr>
        <w:t>(Eco, 1976)</w:t>
      </w:r>
      <w:r w:rsidR="00581E23">
        <w:rPr>
          <w:rFonts w:ascii="Aptos" w:hAnsi="Aptos"/>
          <w:kern w:val="0"/>
          <w:lang w:val="en-US"/>
          <w14:ligatures w14:val="none"/>
        </w:rPr>
        <w:fldChar w:fldCharType="end"/>
      </w:r>
      <w:r w:rsidRPr="00982E54">
        <w:t xml:space="preserve">. According to the classification of Peirce and Morris on types and functions of symbols, a systematic framework of </w:t>
      </w:r>
      <w:proofErr w:type="gramStart"/>
      <w:r w:rsidRPr="00982E54">
        <w:t>Jiangnan garden</w:t>
      </w:r>
      <w:proofErr w:type="gramEnd"/>
      <w:r w:rsidRPr="00982E54">
        <w:t xml:space="preserve"> imagery can be constructed. The study speculates that different types of symbols have obvious priority and functional differences in the translation process. Pictorial symbols are the easiest to be recognized and accepted, while symbolic symbols require more cultural background to be laid </w:t>
      </w:r>
      <w:r w:rsidR="00A22CB4">
        <w:rPr>
          <w:rFonts w:ascii="Aptos" w:hAnsi="Aptos"/>
          <w:kern w:val="0"/>
          <w:lang w:val="en-US"/>
          <w14:ligatures w14:val="none"/>
        </w:rPr>
        <w:fldChar w:fldCharType="begin"/>
      </w:r>
      <w:r w:rsidR="00FD7867">
        <w:rPr>
          <w:rFonts w:ascii="Aptos" w:hAnsi="Aptos"/>
          <w:kern w:val="0"/>
          <w:lang w:val="en-US"/>
          <w14:ligatures w14:val="none"/>
        </w:rPr>
        <w:instrText xml:space="preserve"> ADDIN ZOTERO_ITEM CSL_CITATION {"citationID":"pFs0RRaX","properties":{"formattedCitation":"(Chandler, 2022)","plainCitation":"(Chandler, 2022)","noteIndex":0},"citationItems":[{"id":2200,"uris":["http://zotero.org/users/16578089/items/GV5JYCIM"],"itemData":{"id":2200,"type":"book","abstract":"This fourth edition of the bestselling textbook, now available in print, eBook, and audiobook, has been fully updated, continuing to provide a concise introduction to the key concepts of semiotics in accessible and jargon-free language.\nDemystifying what is a complex, highly interdisciplinary field, key questions covered include: what are signs and codes? What can semiotics teach us about representation and reality? What tools does it offer for analysing texts and cultural practices? The fourth edition of Semiotics: The Basics focuses in particular on its application to communication and cultural studies. It has been extensively revised and extended, with an entirely new section on cognitive semiotics, many more illustrations, and a new glossary. \nWith updates to theory, further examples, and suggestions for review and further reading, this must-have resource is both the ideal introductory text and an essential reference guide for students at all levels of language and communication, media, and cultural studies.","edition":"4","event-place":"London","ISBN":"978-1-003-15574-4","note":"DOI: 10.4324/9781003155744","number-of-pages":"384","publisher":"Routledge","publisher-place":"London","title":"Semiotics: The Basics","title-short":"Semiotics","author":[{"family":"Chandler","given":"Daniel"}],"issued":{"date-parts":[["2022",5,26]]}}}],"schema":"https://github.com/citation-style-language/schema/raw/master/csl-citation.json"} </w:instrText>
      </w:r>
      <w:r w:rsidR="00A22CB4">
        <w:rPr>
          <w:rFonts w:ascii="Aptos" w:hAnsi="Aptos"/>
          <w:kern w:val="0"/>
          <w:lang w:val="en-US"/>
          <w14:ligatures w14:val="none"/>
        </w:rPr>
        <w:fldChar w:fldCharType="separate"/>
      </w:r>
      <w:r w:rsidR="00A22CB4">
        <w:rPr>
          <w:rFonts w:ascii="Aptos" w:hAnsi="Aptos"/>
          <w:noProof/>
          <w:kern w:val="0"/>
          <w:lang w:val="en-US"/>
          <w14:ligatures w14:val="none"/>
        </w:rPr>
        <w:t>(Chandler, 2022)</w:t>
      </w:r>
      <w:r w:rsidR="00A22CB4">
        <w:rPr>
          <w:rFonts w:ascii="Aptos" w:hAnsi="Aptos"/>
          <w:kern w:val="0"/>
          <w:lang w:val="en-US"/>
          <w14:ligatures w14:val="none"/>
        </w:rPr>
        <w:fldChar w:fldCharType="end"/>
      </w:r>
      <w:r w:rsidRPr="00982E54">
        <w:t xml:space="preserve">. Moreover, symbols have different acceptance degrees among different user groups </w:t>
      </w:r>
      <w:r w:rsidR="00A22CB4" w:rsidRPr="00293785">
        <w:rPr>
          <w:rFonts w:ascii="Aptos" w:hAnsi="Aptos"/>
          <w:lang w:val="en-US"/>
        </w:rPr>
        <w:fldChar w:fldCharType="begin"/>
      </w:r>
      <w:r w:rsidR="00A22CB4" w:rsidRPr="00293785">
        <w:rPr>
          <w:rFonts w:ascii="Aptos" w:hAnsi="Aptos"/>
          <w:lang w:val="en-US"/>
        </w:rPr>
        <w:instrText xml:space="preserve"> ADDIN ZOTERO_ITEM CSL_CITATION {"citationID":"F04LjkwP","properties":{"formattedCitation":"(Posner, 1987)","plainCitation":"(Posner, 1987)","noteIndex":0},"citationItems":[{"id":551,"uris":["http://zotero.org/users/16578089/items/NIITAUF9"],"itemData":{"id":551,"type":"chapter","abstract":"Charles W. Morris1 studied psychology at the University of Chicago in the early 1920s and originally planned on a career in psychiatry. He wanted to learn why and how human beings act so that he would later be able to help them. These goals went through his mind when he was sitting in a car one evening, waiting for his good friend, Bauhaus artist Lászò Moholy-Nagy. Suddenly it became clear to Morris that human action is unthinkable without sign processes and evaluations. How could he become a good psychiatrist without acquiring a theoretical understanding of signs and values himself?","container-title":"Classics of Semiotics","event-place":"Boston, MA","ISBN":"978-1-4757-9700-8","language":"en","note":"DOI: 10.1007/978-1-4757-9700-8_2","page":"23-57","publisher":"Springer US","publisher-place":"Boston, MA","source":"Springer Link","title":"Charles Morris and the Behavioral Foundations of Semiotics","URL":"https://doi.org/10.1007/978-1-4757-9700-8_2","author":[{"family":"Posner","given":"Roland"}],"editor":[{"family":"Krampen","given":"Martin"},{"family":"Oehler","given":"Klaus"},{"family":"Posner","given":"Roland"},{"family":"Sebeok","given":"Thomas A."},{"family":"Uexküll","given":"Thure","non-dropping-particle":"von"}],"accessed":{"date-parts":[["2024",11,11]]},"issued":{"date-parts":[["1987"]]}}}],"schema":"https://github.com/citation-style-language/schema/raw/master/csl-citation.json"} </w:instrText>
      </w:r>
      <w:r w:rsidR="00A22CB4" w:rsidRPr="00293785">
        <w:rPr>
          <w:rFonts w:ascii="Aptos" w:hAnsi="Aptos"/>
          <w:lang w:val="en-US"/>
        </w:rPr>
        <w:fldChar w:fldCharType="separate"/>
      </w:r>
      <w:r w:rsidR="00A22CB4" w:rsidRPr="00293785">
        <w:rPr>
          <w:rFonts w:ascii="Aptos" w:hAnsi="Aptos"/>
          <w:noProof/>
          <w:lang w:val="en-US"/>
        </w:rPr>
        <w:t>(Posner, 1987)</w:t>
      </w:r>
      <w:r w:rsidR="00A22CB4" w:rsidRPr="00293785">
        <w:rPr>
          <w:rFonts w:ascii="Aptos" w:hAnsi="Aptos"/>
          <w:lang w:val="en-US"/>
        </w:rPr>
        <w:fldChar w:fldCharType="end"/>
      </w:r>
      <w:r w:rsidRPr="00982E54">
        <w:t>.</w:t>
      </w:r>
    </w:p>
    <w:p w14:paraId="06A70E80" w14:textId="77777777" w:rsidR="00593F9D" w:rsidRPr="00293785" w:rsidRDefault="00593F9D" w:rsidP="00593F9D">
      <w:pPr>
        <w:rPr>
          <w:rFonts w:ascii="Aptos" w:hAnsi="Aptos"/>
          <w:lang w:val="en-US"/>
        </w:rPr>
      </w:pPr>
      <w:r w:rsidRPr="00293785">
        <w:rPr>
          <w:rFonts w:ascii="Aptos" w:hAnsi="Aptos"/>
          <w:lang w:val="en-US"/>
        </w:rPr>
        <w:lastRenderedPageBreak/>
        <w:t>4.2.2 Wearable jewelry as an interface for cultural identity construction</w:t>
      </w:r>
    </w:p>
    <w:p w14:paraId="3E930E37" w14:textId="61569F3B" w:rsidR="00593F9D" w:rsidRDefault="00563D17" w:rsidP="004E4EBC">
      <w:r w:rsidRPr="00563D17">
        <w:t>This study focuses on the function of jewellery as a cultural medium in constructing identity interfaces. With the aid of the theory of embodied cognition</w:t>
      </w:r>
      <w:r w:rsidR="00DF201E">
        <w:rPr>
          <w:rFonts w:ascii="Aptos" w:hAnsi="Aptos" w:hint="eastAsia"/>
          <w:noProof/>
          <w:lang w:val="en-US"/>
        </w:rPr>
        <w:t xml:space="preserve"> </w:t>
      </w:r>
      <w:bookmarkStart w:id="8" w:name="OLE_LINK88"/>
      <w:r w:rsidR="00180B37">
        <w:rPr>
          <w:rFonts w:ascii="Aptos" w:hAnsi="Aptos"/>
          <w:kern w:val="0"/>
          <w:lang w:val="en-US"/>
          <w14:ligatures w14:val="none"/>
        </w:rPr>
        <w:fldChar w:fldCharType="begin"/>
      </w:r>
      <w:r w:rsidR="00180B37">
        <w:rPr>
          <w:rFonts w:ascii="Aptos" w:hAnsi="Aptos"/>
          <w:kern w:val="0"/>
          <w:lang w:val="en-US"/>
          <w14:ligatures w14:val="none"/>
        </w:rPr>
        <w:instrText xml:space="preserve"> ADDIN ZOTERO_ITEM CSL_CITATION {"citationID":"TlsRqEcD","properties":{"formattedCitation":"(Wilson, 2002)","plainCitation":"(Wilson, 2002)","noteIndex":0},"citationItems":[{"id":2203,"uris":["http://zotero.org/users/16578089/items/G4PG8MPK"],"itemData":{"id":2203,"type":"article-journal","abstract":"The emerging viewpoint of embodied cognition holds that cognitive processes are deeply rooted in the body’s interactions with the world. This position actually houses a number of distinct claims, some of which are more controversial than others. This paper distinguishes and evaluates the following six claims: (1) cognition is situated; (2) cognition is time-pressured; (3) we off-load cognitive work onto the environment; (4) the environment is part of the cognitive system; (5) cognition is for action; (6) offline cognition is body based. Of these, the first three and the fifth appear to be at least partially true, and their usefulness is best evaluated in terms of the range of their applicability. The fourth claim, I argue, is deeply problematic. The sixth claim has received the least attention in the literature on embodied cognition, but it may in fact be the best documented and most powerful of the six claims.","container-title":"Psychonomic Bulletin &amp; Review","DOI":"10.3758/BF03196322","ISSN":"1531-5320","issue":"4","journalAbbreviation":"Psychonomic Bulletin &amp; Review","language":"en","page":"625-636","source":"Springer Link","title":"Six views of embodied cognition","volume":"9","author":[{"family":"Wilson","given":"Margaret"}],"issued":{"date-parts":[["2002",12,1]]}}}],"schema":"https://github.com/citation-style-language/schema/raw/master/csl-citation.json"} </w:instrText>
      </w:r>
      <w:r w:rsidR="00180B37">
        <w:rPr>
          <w:rFonts w:ascii="Aptos" w:hAnsi="Aptos"/>
          <w:kern w:val="0"/>
          <w:lang w:val="en-US"/>
          <w14:ligatures w14:val="none"/>
        </w:rPr>
        <w:fldChar w:fldCharType="separate"/>
      </w:r>
      <w:r w:rsidR="00180B37">
        <w:rPr>
          <w:rFonts w:ascii="Aptos" w:hAnsi="Aptos"/>
          <w:noProof/>
          <w:kern w:val="0"/>
          <w:lang w:val="en-US"/>
          <w14:ligatures w14:val="none"/>
        </w:rPr>
        <w:t>(Wilson, 2002)</w:t>
      </w:r>
      <w:bookmarkEnd w:id="8"/>
      <w:r w:rsidR="00180B37">
        <w:rPr>
          <w:rFonts w:ascii="Aptos" w:hAnsi="Aptos"/>
          <w:kern w:val="0"/>
          <w:lang w:val="en-US"/>
          <w14:ligatures w14:val="none"/>
        </w:rPr>
        <w:fldChar w:fldCharType="end"/>
      </w:r>
      <w:r w:rsidRPr="00563D17">
        <w:t xml:space="preserve">, it conducts a more in-depth analysis of the ways in which the cultural identity of Jiangnan gardens is activated during the process of users' wearing. Specifically, the interaction between perception and memory in the act of wearing enables a high-level integration of the cultural genes of Jiangnan gardens with the users' bodily experiences, facilitating the individual users' identification with themselves and the culture, and subsequently providing feedback for the iterative updates of the jewellery prototype. Moreover, considering the cultural background differences between local users and foreign users, the former are more inclined to evoke individual memories and hometown sentiments through jewellery </w:t>
      </w:r>
      <w:r w:rsidR="00332A5C">
        <w:rPr>
          <w:rFonts w:ascii="Aptos" w:hAnsi="Aptos"/>
          <w:lang w:val="en-US"/>
        </w:rPr>
        <w:fldChar w:fldCharType="begin"/>
      </w:r>
      <w:r w:rsidR="00332A5C">
        <w:rPr>
          <w:rFonts w:ascii="Aptos" w:hAnsi="Aptos"/>
          <w:lang w:val="en-US"/>
        </w:rPr>
        <w:instrText xml:space="preserve"> ADDIN ZOTERO_ITEM CSL_CITATION {"citationID":"bOMDLyk8","properties":{"formattedCitation":"(Bourdieu and Bourdieu, 2002)","plainCitation":"(Bourdieu and Bourdieu, 2002)","noteIndex":0},"citationItems":[{"id":2206,"uris":["http://zotero.org/users/16578089/items/I6HG4K5C"],"itemData":{"id":2206,"type":"book","edition":"11. print","event-place":"Cambridge, Mass","ISBN":"978-0-674-21277-0","language":"en","number-of-pages":"613","publisher":"Harvard Univ. Press","publisher-place":"Cambridge, Mass","source":"K10plus ISBN","title":"Distinction: a social critique of the judgement of taste","title-short":"Distinction","author":[{"family":"Bourdieu","given":"Pierre"},{"family":"Bourdieu","given":"Pierre"}],"issued":{"date-parts":[["2002"]]}}}],"schema":"https://github.com/citation-style-language/schema/raw/master/csl-citation.json"} </w:instrText>
      </w:r>
      <w:r w:rsidR="00332A5C">
        <w:rPr>
          <w:rFonts w:ascii="Aptos" w:hAnsi="Aptos"/>
          <w:lang w:val="en-US"/>
        </w:rPr>
        <w:fldChar w:fldCharType="separate"/>
      </w:r>
      <w:r w:rsidR="00332A5C">
        <w:rPr>
          <w:rFonts w:ascii="Aptos" w:hAnsi="Aptos"/>
          <w:noProof/>
          <w:lang w:val="en-US"/>
        </w:rPr>
        <w:t>(Bourdieu and Bourdieu, 2002)</w:t>
      </w:r>
      <w:r w:rsidR="00332A5C">
        <w:rPr>
          <w:rFonts w:ascii="Aptos" w:hAnsi="Aptos"/>
          <w:lang w:val="en-US"/>
        </w:rPr>
        <w:fldChar w:fldCharType="end"/>
      </w:r>
      <w:r w:rsidR="00332A5C">
        <w:rPr>
          <w:rFonts w:ascii="Aptos" w:hAnsi="Aptos" w:hint="eastAsia"/>
          <w:lang w:val="en-US"/>
        </w:rPr>
        <w:t xml:space="preserve">, </w:t>
      </w:r>
      <w:r w:rsidRPr="00563D17">
        <w:t>while the latter tend to explore unfamiliar cultures and construct the subtle interaction between the self and the other with jewellery as the medium</w:t>
      </w:r>
      <w:r w:rsidR="00E83D19">
        <w:rPr>
          <w:rFonts w:hint="eastAsia"/>
        </w:rPr>
        <w:t xml:space="preserve"> </w:t>
      </w:r>
      <w:r w:rsidR="00E83D19">
        <w:rPr>
          <w:rFonts w:ascii="Aptos" w:hAnsi="Aptos"/>
          <w:kern w:val="0"/>
          <w:lang w:val="en-US"/>
          <w14:ligatures w14:val="none"/>
        </w:rPr>
        <w:fldChar w:fldCharType="begin"/>
      </w:r>
      <w:r w:rsidR="00E83D19">
        <w:rPr>
          <w:rFonts w:ascii="Aptos" w:hAnsi="Aptos"/>
          <w:kern w:val="0"/>
          <w:lang w:val="en-US"/>
          <w14:ligatures w14:val="none"/>
        </w:rPr>
        <w:instrText xml:space="preserve"> ADDIN ZOTERO_ITEM CSL_CITATION {"citationID":"i4mgkVKB","properties":{"formattedCitation":"(Grossberg, 2011)","plainCitation":"(Grossberg, 2011)","noteIndex":0},"citationItems":[{"id":2216,"uris":["http://zotero.org/users/16578089/items/R8CIX5UA"],"itemData":{"id":2216,"type":"chapter","container-title":"Questions of Cultural Identity","event-place":"1 Oliver's Yard, 55 City Road, London EC1Y 1SP United Kingdom","ISBN":"978-0-8039-7883-6","language":"en","note":"DOI: 10.4135/9781446221907.n6","page":"87-107","publisher":"SAGE Publications Ltd","publisher-place":"1 Oliver's Yard, 55 City Road, London EC1Y 1SP United Kingdom","source":"DOI.org (Crossref)","title":"Identity and Cultural Studies: Is That all There is?","title-short":"Identity and Cultural Studies","URL":"https://sk.sagepub.com/books/questions-of-cultural-identity/n6.xml","container-author":[{"family":"Hall","given":"Stuart"},{"family":"Du Gay","given":"Paul"}],"author":[{"family":"Grossberg","given":"Lawrence"}],"accessed":{"date-parts":[["2025",4,22]]},"issued":{"date-parts":[["2011"]]}}}],"schema":"https://github.com/citation-style-language/schema/raw/master/csl-citation.json"} </w:instrText>
      </w:r>
      <w:r w:rsidR="00E83D19">
        <w:rPr>
          <w:rFonts w:ascii="Aptos" w:hAnsi="Aptos"/>
          <w:kern w:val="0"/>
          <w:lang w:val="en-US"/>
          <w14:ligatures w14:val="none"/>
        </w:rPr>
        <w:fldChar w:fldCharType="separate"/>
      </w:r>
      <w:r w:rsidR="00E83D19">
        <w:rPr>
          <w:rFonts w:ascii="Aptos" w:hAnsi="Aptos"/>
          <w:noProof/>
          <w:kern w:val="0"/>
          <w:lang w:val="en-US"/>
          <w14:ligatures w14:val="none"/>
        </w:rPr>
        <w:t>(Grossberg, 2011)</w:t>
      </w:r>
      <w:r w:rsidR="00E83D19">
        <w:rPr>
          <w:rFonts w:ascii="Aptos" w:hAnsi="Aptos"/>
          <w:kern w:val="0"/>
          <w:lang w:val="en-US"/>
          <w14:ligatures w14:val="none"/>
        </w:rPr>
        <w:fldChar w:fldCharType="end"/>
      </w:r>
      <w:r w:rsidR="00E83D19">
        <w:rPr>
          <w:rFonts w:ascii="Aptos" w:hAnsi="Aptos"/>
          <w:kern w:val="0"/>
          <w:lang w:val="en-US"/>
          <w14:ligatures w14:val="none"/>
        </w:rPr>
        <w:fldChar w:fldCharType="begin"/>
      </w:r>
      <w:r w:rsidR="00E83D19">
        <w:rPr>
          <w:rFonts w:ascii="Aptos" w:hAnsi="Aptos"/>
          <w:kern w:val="0"/>
          <w:lang w:val="en-US"/>
          <w14:ligatures w14:val="none"/>
        </w:rPr>
        <w:instrText xml:space="preserve"> ADDIN ZOTERO_ITEM CSL_CITATION {"citationID":"6GEeSjtt","properties":{"formattedCitation":"(Hall, 1992)","plainCitation":"(Hall, 1992)","noteIndex":0},"citationItems":[{"id":2218,"uris":["http://zotero.org/users/16578089/items/WSPP8QSE"],"itemData":{"id":2218,"type":"chapter","abstract":"This Conference provides us with an opportunity for a moment of self-reflection on cultural studies as a practice, on its institutional positioning, and what Lidia Curti so effectively reminds us is both the marginality and the centrality of its practitioners as critical intellectuals. Inevitably, this involves reflecting on, and intervening in, the project of cultural studies itself.","container-title":"Cultural Studies","ISBN":"978-0-203-69914-0","note":"number-of-pages: 18","publisher":"Routledge","title":"Cultural Studies and its Theoretical Legacies","author":[{"family":"Hall","given":"Stuart"}],"issued":{"date-parts":[["1992"]]}}}],"schema":"https://github.com/citation-style-language/schema/raw/master/csl-citation.json"} </w:instrText>
      </w:r>
      <w:r w:rsidR="00E83D19">
        <w:rPr>
          <w:rFonts w:ascii="Aptos" w:hAnsi="Aptos"/>
          <w:kern w:val="0"/>
          <w:lang w:val="en-US"/>
          <w14:ligatures w14:val="none"/>
        </w:rPr>
        <w:fldChar w:fldCharType="separate"/>
      </w:r>
      <w:r w:rsidR="00E83D19">
        <w:rPr>
          <w:rFonts w:ascii="Aptos" w:hAnsi="Aptos"/>
          <w:noProof/>
          <w:kern w:val="0"/>
          <w:lang w:val="en-US"/>
          <w14:ligatures w14:val="none"/>
        </w:rPr>
        <w:t>(Hall, 1992)</w:t>
      </w:r>
      <w:r w:rsidR="00E83D19">
        <w:rPr>
          <w:rFonts w:ascii="Aptos" w:hAnsi="Aptos"/>
          <w:kern w:val="0"/>
          <w:lang w:val="en-US"/>
          <w14:ligatures w14:val="none"/>
        </w:rPr>
        <w:fldChar w:fldCharType="end"/>
      </w:r>
      <w:r w:rsidRPr="00563D17">
        <w:t>.</w:t>
      </w:r>
    </w:p>
    <w:p w14:paraId="6ED5E6F1" w14:textId="77777777" w:rsidR="007F6BD9" w:rsidRPr="00293785" w:rsidRDefault="007F6BD9" w:rsidP="007F6BD9">
      <w:pPr>
        <w:rPr>
          <w:rFonts w:ascii="Aptos" w:hAnsi="Aptos"/>
          <w:b/>
          <w:bCs/>
          <w:lang w:val="en-US"/>
        </w:rPr>
      </w:pPr>
      <w:r w:rsidRPr="00293785">
        <w:rPr>
          <w:rFonts w:ascii="Aptos" w:hAnsi="Aptos"/>
          <w:b/>
          <w:bCs/>
        </w:rPr>
        <w:t>4.3 Interpretive frameworks</w:t>
      </w:r>
    </w:p>
    <w:p w14:paraId="67B6D002" w14:textId="15CEE904" w:rsidR="00BC3CAF" w:rsidRDefault="00BC3CAF" w:rsidP="00BC3CAF">
      <w:r>
        <w:t>Based on the research background of the current predicament of the dynamic inheritance of cultural genes, how the cultural genes of Jiangnan gardens can be symbolically reconstructed and experientially generated through wearable jewellery design has become an important topic of this study. The three-layer translation model of "cultural genes - design symbol encoding - user experience" constructed in this study attempts to explain the translation path and mechanism of the topic from a theoretical dimension. Moreover, this model integrates the theories of cultural genes, material culture, semiotics, and embodied cognition, providing a structural explanatory framework for the cross-media transmission of traditional symbols and responding to the problems of theoretical and methodological deficiencies and symbol understanding gaps raised in the literature review.</w:t>
      </w:r>
    </w:p>
    <w:p w14:paraId="7D46F510" w14:textId="2F291ACF" w:rsidR="00BC3CAF" w:rsidRDefault="00BC3CAF" w:rsidP="00BC3CAF">
      <w:r>
        <w:t xml:space="preserve">Figure 1 shows the workflow and characteristics of the three-layer translation model of "cultural genes - design symbol encoding - user experience". The first layer is the cultural gene layer, emphasizing the focus on the "source code" of </w:t>
      </w:r>
      <w:proofErr w:type="gramStart"/>
      <w:r>
        <w:t>Jiangnan garden</w:t>
      </w:r>
      <w:proofErr w:type="gramEnd"/>
      <w:r>
        <w:t xml:space="preserve"> culture, specifically including garden imagery, spatial structure, and cultural prototypes. These symbols have the characteristics of high-frequency occurrence and context dependence on collective memory </w:t>
      </w:r>
      <w:r w:rsidR="00051756">
        <w:rPr>
          <w:rFonts w:ascii="Aptos" w:hAnsi="Aptos"/>
        </w:rPr>
        <w:fldChar w:fldCharType="begin"/>
      </w:r>
      <w:r w:rsidR="00051756">
        <w:rPr>
          <w:rFonts w:ascii="Aptos" w:hAnsi="Aptos"/>
        </w:rPr>
        <w:instrText xml:space="preserve"> ADDIN ZOTERO_ITEM CSL_CITATION {"citationID":"tqC3eLuf","properties":{"formattedCitation":"(Otsuji and Pennycook, 2021)","plainCitation":"(Otsuji and Pennycook, 2021)","noteIndex":0},"citationItems":[{"id":2219,"uris":["http://zotero.org/users/16578089/items/GTE72JMH"],"itemData":{"id":2219,"type":"chapter","abstract":"From a metrolingual point of view—with its focus on language, space and the city—translation happens at many social interfaces and in various translation zones. In this chapter, we explore processes of resemiotization, in which meaning is reconfigured across not only linguistic boundaries but also wider semiotic and artefactual spaces. Resemiotization as a form of translation occurs between various semiotic modalities, such as spoken and written text versions, or between designs and their instantiation. Within this perspective, interartefactual translation, which we propose in this chapter, refers to the processes by which artefacts change their meanings in relation to other objects within semiotic assemblages in which human and language play mediating roles. By examining data from a small store in Tokyo and discussing interartefactual translation from a metrolingual perspective, we show how meaning is reworked across assemblages of people, objects, spaces and languages. We argue that thinking of translation in these interartefactual terms opens up a space for study beyond languages and people in interaction towards an entangled world of people, languages, things and places.","container-title":"The Routledge Handbook of Translation and the City","ISBN":"978-0-429-43646-8","note":"number-of-pages: 18","publisher":"Routledge","title":"Interartefactual translation: Metrolingualism and resemiotization","title-short":"Interartefactual translation","author":[{"family":"Otsuji","given":"Emi"},{"family":"Pennycook","given":"Alastair"}],"issued":{"date-parts":[["2021"]]}}}],"schema":"https://github.com/citation-style-language/schema/raw/master/csl-citation.json"} </w:instrText>
      </w:r>
      <w:r w:rsidR="00051756">
        <w:rPr>
          <w:rFonts w:ascii="Aptos" w:hAnsi="Aptos"/>
        </w:rPr>
        <w:fldChar w:fldCharType="separate"/>
      </w:r>
      <w:r w:rsidR="00051756">
        <w:rPr>
          <w:rFonts w:ascii="Aptos" w:hAnsi="Aptos"/>
          <w:noProof/>
        </w:rPr>
        <w:t>(Otsuji and Pennycook, 2021)</w:t>
      </w:r>
      <w:r w:rsidR="00051756">
        <w:rPr>
          <w:rFonts w:ascii="Aptos" w:hAnsi="Aptos"/>
        </w:rPr>
        <w:fldChar w:fldCharType="end"/>
      </w:r>
      <w:r w:rsidR="00051756">
        <w:rPr>
          <w:rFonts w:ascii="Aptos" w:hAnsi="Aptos" w:hint="eastAsia"/>
        </w:rPr>
        <w:t>.</w:t>
      </w:r>
    </w:p>
    <w:p w14:paraId="41D4280C" w14:textId="5130C6F8" w:rsidR="00BC3CAF" w:rsidRDefault="00BC3CAF" w:rsidP="00BC3CAF">
      <w:r>
        <w:t>The second layer is the design symbol encoding layer, based on Peirce's tripartite classification of icon, index, and symbol, focusing on how designers or artisans form the formal encoding and meaning embedding of the above cultural genes. This layer emphasizes the reconfiguration of cultural imagery in material media and also involves the practical strategies and sustainability of traditional symbols in new materials and digital craftsmanship</w:t>
      </w:r>
      <w:r w:rsidR="0087629E">
        <w:rPr>
          <w:rFonts w:hint="eastAsia"/>
        </w:rPr>
        <w:t xml:space="preserve"> </w:t>
      </w:r>
      <w:r w:rsidR="0087629E">
        <w:rPr>
          <w:rFonts w:ascii="Aptos" w:hAnsi="Aptos"/>
        </w:rPr>
        <w:fldChar w:fldCharType="begin"/>
      </w:r>
      <w:r w:rsidR="0087629E">
        <w:rPr>
          <w:rFonts w:ascii="Aptos" w:hAnsi="Aptos"/>
        </w:rPr>
        <w:instrText xml:space="preserve"> ADDIN ZOTERO_ITEM CSL_CITATION {"citationID":"E6F71eDp","properties":{"formattedCitation":"(Shin and and Westland, 2017)","plainCitation":"(Shin and and Westland, 2017)","noteIndex":0},"citationItems":[{"id":2222,"uris":["http://zotero.org/users/16578089/items/L6CQ4YKK"],"itemData":{"id":2222,"type":"article-journal","abstract":"This paper explores a fundamental principle of digitizing traditional cultural designs to introduce a model to develop a digital design tool with three strategies (and five possible scenarios) for expanding traditional designs. The study structures pattern designs by analysing certain rules of traditional Korean bojagi textile designs and converting them into explicit rules in computational design. A bojagi design tool (implementing eight different schemes and allowing choice of colours and textures) was developed by the authors to show the advantages of using a computational design that combines traditional principles with today’s modern digital technology. The tool was then examined by four groups (designers, merchandisers, traditional bojagi craft practitioners, and random customers) in Korea. The findings resulting from the interviews suggested that the tool can generate most of original bojagi designs that will be suitable for current fashion and interior markets and even extend it as a marketing and educational tool.","container-title":"The Design Journal","DOI":"10.1080/14606925.2017.1349725","ISSN":"1460-6925","issue":"5","note":"publisher: Routledge\n_eprint: https://doi.org/10.1080/14606925.2017.1349725\nTLDR: A bojagi design tool (implementing eight different schemes and allowing choice of colours and textures) was developed by the authors to show the advantages of using a computational design that combines traditional principles with today’s modern digital technology.","page":"639-658","source":"Taylor and Francis+NEJM","title":"Digitizing Traditional Cultural Designs","volume":"20","author":[{"family":"Shin","given":"Meong Jin"},{"family":"Westland","given":"Stephen","non-dropping-particle":"and"}],"issued":{"date-parts":[["2017",9,3]]}}}],"schema":"https://github.com/citation-style-language/schema/raw/master/csl-citation.json"} </w:instrText>
      </w:r>
      <w:r w:rsidR="0087629E">
        <w:rPr>
          <w:rFonts w:ascii="Aptos" w:hAnsi="Aptos"/>
        </w:rPr>
        <w:fldChar w:fldCharType="separate"/>
      </w:r>
      <w:r w:rsidR="0087629E">
        <w:rPr>
          <w:rFonts w:ascii="Aptos" w:hAnsi="Aptos"/>
          <w:noProof/>
        </w:rPr>
        <w:t>(Shin and and Westland, 2017)</w:t>
      </w:r>
      <w:r w:rsidR="0087629E">
        <w:rPr>
          <w:rFonts w:ascii="Aptos" w:hAnsi="Aptos"/>
        </w:rPr>
        <w:fldChar w:fldCharType="end"/>
      </w:r>
      <w:r w:rsidR="0087629E">
        <w:rPr>
          <w:rFonts w:ascii="Aptos" w:hAnsi="Aptos"/>
        </w:rPr>
        <w:fldChar w:fldCharType="begin"/>
      </w:r>
      <w:r w:rsidR="0087629E">
        <w:rPr>
          <w:rFonts w:ascii="Aptos" w:hAnsi="Aptos"/>
        </w:rPr>
        <w:instrText xml:space="preserve"> ADDIN ZOTERO_ITEM CSL_CITATION {"citationID":"5bbv545R","properties":{"formattedCitation":"(Sun and Liu, 2022)","plainCitation":"(Sun and Liu, 2022)","noteIndex":0},"citationItems":[{"id":2220,"uris":["http://zotero.org/users/16578089/items/WSDEPCCC"],"itemData":{"id":2220,"type":"article-journal","abstract":"The sustainability problem of many intangible cultural heritage (ICH) products stems from the shrinking of the core practitioner group, which is also the case for bamboo basketry craft. We believe that the problem in bamboo basketry originated in the lack of labor division between design and manufacturing, which prevents professional designers from entering this industry and results in the absence of several key stakeholders related to innovation and R&amp;D. The lack of labor division is due to the technical difficulties associated with expressing the design concepts. The complexity of basket weaving structures makes it difficult to communicate between designer and manufacturer without precise expression tools, thus binding design and manufacturing into an integrated role. Guided by the user innovation theory, our team studied the design technology of bamboo basketry and developed a series of aiding tools, including the modeling of basic over–under structures and free weaving structures, automatic mapping techniques from 2D to 3D and several frequently used weaving skills, such as connecting, wrapping, plaiting and knotting. This technology enables designers to quickly design and express weaving structures with full details in digital models rather than to make samples. The application of the software shows that the technology considerably improved the designer interest and confidence. This technical solution makes designers, rather than programmers, able to do the development work, which also helps to create a sustainable ecological environment of technological research, also avoiding the difficulties associated with attracting business investment for such niche demands in the starting stage. Our practice shows that the sustainability of ICH products and the sustainability of the industry are closely related and that solving the latter supports the former.","container-title":"Sustainability","DOI":"10.3390/su141912058","ISSN":"2071-1050","issue":"19","language":"en","license":"http://creativecommons.org/licenses/by/3.0/","note":"number: 19\npublisher: Multidisciplinary Digital Publishing Institute\nTLDR: The team studied the design technology of bamboo basketry and developed a series of aiding tools, including the modeling of basic over–under structures and free weaving structures, automatic mapping techniques from 2D to 3D and several frequently used weaving skills, which enables designers to quickly design and express weaving structures with full details in digital models rather than to make samples.","page":"12058","source":"www.mdpi.com","title":"How Design Technology Improves the Sustainability of Intangible Cultural Heritage Products: A Practical Study on Bamboo Basketry Craft","title-short":"How Design Technology Improves the Sustainability of Intangible Cultural Heritage Products","volume":"14","author":[{"family":"Sun","given":"Yan"},{"family":"Liu","given":"Xiaojian"}],"issued":{"date-parts":[["2022",1]]}}}],"schema":"https://github.com/citation-style-language/schema/raw/master/csl-citation.json"} </w:instrText>
      </w:r>
      <w:r w:rsidR="0087629E">
        <w:rPr>
          <w:rFonts w:ascii="Aptos" w:hAnsi="Aptos"/>
        </w:rPr>
        <w:fldChar w:fldCharType="separate"/>
      </w:r>
      <w:r w:rsidR="0087629E">
        <w:rPr>
          <w:rFonts w:ascii="Aptos" w:hAnsi="Aptos"/>
          <w:noProof/>
        </w:rPr>
        <w:t>(Sun and Liu, 2022)</w:t>
      </w:r>
      <w:r w:rsidR="0087629E">
        <w:rPr>
          <w:rFonts w:ascii="Aptos" w:hAnsi="Aptos"/>
        </w:rPr>
        <w:fldChar w:fldCharType="end"/>
      </w:r>
      <w:r>
        <w:t>.</w:t>
      </w:r>
    </w:p>
    <w:p w14:paraId="71D761F5" w14:textId="42245B7A" w:rsidR="007F6BD9" w:rsidRDefault="00BC3CAF" w:rsidP="00BC3CAF">
      <w:r>
        <w:lastRenderedPageBreak/>
        <w:t xml:space="preserve">The third layer is the user experience layer, exploring how users generate embodied cognition and cultural identification of </w:t>
      </w:r>
      <w:proofErr w:type="gramStart"/>
      <w:r>
        <w:t>Jiangnan garden</w:t>
      </w:r>
      <w:proofErr w:type="gramEnd"/>
      <w:r>
        <w:t xml:space="preserve"> symbols through wearing behaviour and sensory participation. By introducing the theory of embodied cognition, users can establish a somatic connection with cultural gene symbols and trigger their cultural memories or exploration desires in the wearing context, forming a dynamic process from the translation of cultural symbols into jewellery to the wearing behaviour. This layer also reveals the cognitive differences among user groups, with local users being more capable of evoking memories of their hometown through wearing, while foreign users build emotional bridges between themselves and others through cultural try-on </w:t>
      </w:r>
      <w:r w:rsidR="00C742F1">
        <w:rPr>
          <w:rFonts w:ascii="Aptos" w:hAnsi="Aptos"/>
          <w:kern w:val="0"/>
          <w14:ligatures w14:val="none"/>
        </w:rPr>
        <w:fldChar w:fldCharType="begin"/>
      </w:r>
      <w:r w:rsidR="00C742F1">
        <w:rPr>
          <w:rFonts w:ascii="Aptos" w:hAnsi="Aptos"/>
          <w:kern w:val="0"/>
          <w14:ligatures w14:val="none"/>
        </w:rPr>
        <w:instrText xml:space="preserve"> ADDIN ZOTERO_ITEM CSL_CITATION {"citationID":"qMv4uDTI","properties":{"formattedCitation":"(Woodward and Fisher, 2014)","plainCitation":"(Woodward and Fisher, 2014)","noteIndex":0},"citationItems":[{"id":2229,"uris":["http://zotero.org/users/16578089/items/47DKSIYT"],"itemData":{"id":2229,"type":"article-journal","abstract":"Abstract","container-title":"Critical Studies in Fashion &amp; Beauty","DOI":"10.1386/csfb.5.1.3_2","ISSN":"2040-4417, 2040-4425","issue":"1","language":"en","page":"3-23","source":"DOI.org (Crossref)","title":"Fashioning through materials: Material culture, materiality and processes of materialization","title-short":"Fashioning through materials","volume":"5","author":[{"family":"Woodward","given":"Sophie"},{"family":"Fisher","given":"Tom"}],"issued":{"date-parts":[["2014",10,1]]}}}],"schema":"https://github.com/citation-style-language/schema/raw/master/csl-citation.json"} </w:instrText>
      </w:r>
      <w:r w:rsidR="00C742F1">
        <w:rPr>
          <w:rFonts w:ascii="Aptos" w:hAnsi="Aptos"/>
          <w:kern w:val="0"/>
          <w14:ligatures w14:val="none"/>
        </w:rPr>
        <w:fldChar w:fldCharType="separate"/>
      </w:r>
      <w:r w:rsidR="00C742F1">
        <w:rPr>
          <w:rFonts w:ascii="Aptos" w:hAnsi="Aptos"/>
          <w:noProof/>
          <w:kern w:val="0"/>
          <w14:ligatures w14:val="none"/>
        </w:rPr>
        <w:t>(Woodward and Fisher, 2014)</w:t>
      </w:r>
      <w:r w:rsidR="00C742F1">
        <w:rPr>
          <w:rFonts w:ascii="Aptos" w:hAnsi="Aptos"/>
          <w:kern w:val="0"/>
          <w14:ligatures w14:val="none"/>
        </w:rPr>
        <w:fldChar w:fldCharType="end"/>
      </w:r>
      <w:r w:rsidR="00C742F1">
        <w:rPr>
          <w:rFonts w:ascii="Aptos" w:hAnsi="Aptos" w:hint="eastAsia"/>
          <w:kern w:val="0"/>
          <w14:ligatures w14:val="none"/>
        </w:rPr>
        <w:t>.</w:t>
      </w:r>
    </w:p>
    <w:p w14:paraId="698EA296" w14:textId="20004BC8" w:rsidR="007F6BD9" w:rsidRDefault="007F6BD9" w:rsidP="007F6BD9">
      <w:pPr>
        <w:jc w:val="center"/>
      </w:pPr>
      <w:r>
        <w:rPr>
          <w:rFonts w:ascii="Aptos" w:hAnsi="Aptos"/>
          <w:noProof/>
        </w:rPr>
        <w:drawing>
          <wp:inline distT="0" distB="0" distL="0" distR="0" wp14:anchorId="4667F1BA" wp14:editId="1CB13DA5">
            <wp:extent cx="2002894" cy="3091992"/>
            <wp:effectExtent l="0" t="0" r="3810" b="0"/>
            <wp:docPr id="866818730"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818730" name="Picture 1" descr="A diagram of a proces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2341" cy="3137451"/>
                    </a:xfrm>
                    <a:prstGeom prst="rect">
                      <a:avLst/>
                    </a:prstGeom>
                  </pic:spPr>
                </pic:pic>
              </a:graphicData>
            </a:graphic>
          </wp:inline>
        </w:drawing>
      </w:r>
    </w:p>
    <w:p w14:paraId="4F295C23" w14:textId="1FFF5D19" w:rsidR="007F6BD9" w:rsidRDefault="007F6BD9" w:rsidP="005A680A">
      <w:r w:rsidRPr="007F6BD9">
        <w:t xml:space="preserve">Figure 1 Three-layer Translation Model of </w:t>
      </w:r>
      <w:r>
        <w:t>‘</w:t>
      </w:r>
      <w:r w:rsidRPr="007F6BD9">
        <w:t>Cultural Genes - Design Symbol Encoding - User Experience</w:t>
      </w:r>
      <w:r>
        <w:t>’</w:t>
      </w:r>
    </w:p>
    <w:p w14:paraId="326649C2" w14:textId="1EB23C64" w:rsidR="005A680A" w:rsidRDefault="005A680A" w:rsidP="005A680A">
      <w:r w:rsidRPr="005A680A">
        <w:t xml:space="preserve">This three-layer translation model not only provides a hypothetical theoretical framework for exploring research </w:t>
      </w:r>
      <w:proofErr w:type="gramStart"/>
      <w:r w:rsidRPr="005A680A">
        <w:t>topics, but</w:t>
      </w:r>
      <w:proofErr w:type="gramEnd"/>
      <w:r w:rsidRPr="005A680A">
        <w:t xml:space="preserve"> also offers a systematic explanation for the application of culture, design and experience in design ethnography, clarifying the implementation direction of the methodology: field residence and interviews, cultural probes, SDS scales and symbolic prototypes, coding selection and usage feedback, and subjective experience transformation are all correspondingly matched.</w:t>
      </w:r>
    </w:p>
    <w:p w14:paraId="77B564F0" w14:textId="77777777" w:rsidR="00B119CA" w:rsidRDefault="00B119CA" w:rsidP="00B119CA">
      <w:pPr>
        <w:rPr>
          <w:rFonts w:ascii="Aptos" w:hAnsi="Aptos"/>
          <w:b/>
          <w:bCs/>
        </w:rPr>
      </w:pPr>
      <w:bookmarkStart w:id="9" w:name="OLE_LINK1"/>
      <w:r w:rsidRPr="00293785">
        <w:rPr>
          <w:rFonts w:ascii="Aptos" w:hAnsi="Aptos"/>
          <w:b/>
          <w:bCs/>
        </w:rPr>
        <w:t>4.4 Critical appraisal of the research design</w:t>
      </w:r>
      <w:r>
        <w:rPr>
          <w:rFonts w:ascii="Aptos" w:hAnsi="Aptos" w:hint="eastAsia"/>
          <w:b/>
          <w:bCs/>
        </w:rPr>
        <w:t xml:space="preserve"> </w:t>
      </w:r>
    </w:p>
    <w:bookmarkEnd w:id="9"/>
    <w:p w14:paraId="04EE4600" w14:textId="77777777" w:rsidR="00B119CA" w:rsidRDefault="00B119CA" w:rsidP="00B119CA">
      <w:pPr>
        <w:rPr>
          <w:rFonts w:ascii="Aptos" w:hAnsi="Aptos"/>
        </w:rPr>
      </w:pPr>
      <w:r>
        <w:rPr>
          <w:rFonts w:ascii="Aptos" w:hAnsi="Aptos" w:hint="eastAsia"/>
        </w:rPr>
        <w:t>4.4.1 Strengths</w:t>
      </w:r>
    </w:p>
    <w:p w14:paraId="0D7E9664" w14:textId="7CD20062" w:rsidR="00B119CA" w:rsidRDefault="00B119CA" w:rsidP="00B119CA">
      <w:r>
        <w:t xml:space="preserve">The strength of this research lies in the organic integration of theoretical framework and methodology, and through an integrative analysis, it covers the complete value chain of culture and design experience. By constructing a three-layer translation model of </w:t>
      </w:r>
      <w:r w:rsidR="0098384E">
        <w:rPr>
          <w:rFonts w:hint="eastAsia"/>
        </w:rPr>
        <w:lastRenderedPageBreak/>
        <w:t>‘</w:t>
      </w:r>
      <w:r>
        <w:t>cultural genes - design symbol encoding - user experience</w:t>
      </w:r>
      <w:r w:rsidR="0098384E">
        <w:rPr>
          <w:rFonts w:hint="eastAsia"/>
        </w:rPr>
        <w:t>‘</w:t>
      </w:r>
      <w:r>
        <w:t xml:space="preserve">, the research takes design ethnography as the main axis and combines qualitative and quantitative methods such as semi-structured interviews, cultural probes, and differential semantic scales. This not only enhances the sense of presence in the research but also deepens the understanding of the dynamic generation mechanism of symbols. The method design breaks through the drawbacks of traditional symbols being limited to </w:t>
      </w:r>
      <w:proofErr w:type="spellStart"/>
      <w:r>
        <w:t>patternization</w:t>
      </w:r>
      <w:proofErr w:type="spellEnd"/>
      <w:r>
        <w:t xml:space="preserve"> or meaning generalization in previous studies, and shifts the focus to the flow of symbol meanings and their reconstruction in practical contexts </w:t>
      </w:r>
      <w:r>
        <w:rPr>
          <w:rFonts w:ascii="Aptos" w:hAnsi="Aptos"/>
          <w:kern w:val="0"/>
          <w14:ligatures w14:val="none"/>
        </w:rPr>
        <w:fldChar w:fldCharType="begin"/>
      </w:r>
      <w:r>
        <w:rPr>
          <w:rFonts w:ascii="Aptos" w:hAnsi="Aptos"/>
          <w:kern w:val="0"/>
          <w14:ligatures w14:val="none"/>
        </w:rPr>
        <w:instrText xml:space="preserve"> ADDIN ZOTERO_ITEM CSL_CITATION {"citationID":"wm5OT53e","properties":{"formattedCitation":"(Tenner, 2015)","plainCitation":"(Tenner, 2015)","noteIndex":0},"citationItems":[{"id":2234,"uris":["http://zotero.org/users/16578089/items/Z4BXA53T"],"itemData":{"id":2234,"type":"article-journal","container-title":"Technology and Culture","ISSN":"1097-3729","issue":"3","note":"publisher: Johns Hopkins University Press","page":"785-787","source":"Project MUSE","title":"The Design of Everyday Things by Donald Norman (review)","volume":"56","author":[{"family":"Tenner","given":"Edward"}],"issued":{"date-parts":[["2015"]]}}}],"schema":"https://github.com/citation-style-language/schema/raw/master/csl-citation.json"} </w:instrText>
      </w:r>
      <w:r>
        <w:rPr>
          <w:rFonts w:ascii="Aptos" w:hAnsi="Aptos"/>
          <w:kern w:val="0"/>
          <w14:ligatures w14:val="none"/>
        </w:rPr>
        <w:fldChar w:fldCharType="separate"/>
      </w:r>
      <w:r>
        <w:rPr>
          <w:rFonts w:ascii="Aptos" w:hAnsi="Aptos"/>
          <w:noProof/>
          <w:kern w:val="0"/>
          <w14:ligatures w14:val="none"/>
        </w:rPr>
        <w:t>(Tenner, 2015)</w:t>
      </w:r>
      <w:r>
        <w:rPr>
          <w:rFonts w:ascii="Aptos" w:hAnsi="Aptos"/>
          <w:kern w:val="0"/>
          <w14:ligatures w14:val="none"/>
        </w:rPr>
        <w:fldChar w:fldCharType="end"/>
      </w:r>
      <w:r>
        <w:rPr>
          <w:rFonts w:ascii="Aptos" w:hAnsi="Aptos"/>
          <w:kern w:val="0"/>
          <w14:ligatures w14:val="none"/>
        </w:rPr>
        <w:fldChar w:fldCharType="begin"/>
      </w:r>
      <w:r>
        <w:rPr>
          <w:rFonts w:ascii="Aptos" w:hAnsi="Aptos"/>
          <w:kern w:val="0"/>
          <w14:ligatures w14:val="none"/>
        </w:rPr>
        <w:instrText xml:space="preserve"> ADDIN ZOTERO_ITEM CSL_CITATION {"citationID":"QrrbdH5a","properties":{"formattedCitation":"(Meroni, Fassi and Simeone, 2013)","plainCitation":"(Meroni, Fassi and Simeone, 2013)","noteIndex":0},"citationItems":[{"id":2232,"uris":["http://zotero.org/users/16578089/items/JQ2TRUEF"],"itemData":{"id":2232,"type":"article-journal","abstract":"This paper presents and discusses an action format developed through design experiments aiming to make things happen. It brings to the already rich debate on social innovation a designer’s perspective mainly focused on action research and field actions.\nThis experimental action format of design for social innovation is structured on a non-linear sequence of steps and actions that progressively engage a community and help it to set up and prototype a social innovation, through event-like pilot initiative, that’s to say a farewell initiative that, while prototyping the innovation, releases the full ownership of it to the community. The action format is illustrated through a variety research projects and training activities which have brought designers to design with or for creative communities.\nThe action format is an open, in progress framework for intervention set up from the Polimi DESIS Lab, the Politecnico di Milano based laboratory of the international network DESIS – Design for Social Innovation and Sustainability. It comprises a network of researchers adopting a strategic and systemic approach to design, with a specific focus on designing for services and design activism. It explores how design can enable people, communities, enterprises and organisations to kick off and manage innovation processes by co-designing and setting in place experiments of new services and solutions.","language":"it","note":"Accepted: 2015-06-10T18:24:35Z","source":"re.public.polimi.it","title":"Design for Social Innovation as a form of Design Activism: An action format","title-short":"Design for Social Innovation as a form of Design Activism","URL":"https://re.public.polimi.it/handle/11311/862001","author":[{"family":"Meroni","given":"Anna"},{"family":"Fassi","given":"Davide"},{"family":"Simeone","given":"Giulia"}],"accessed":{"date-parts":[["2025",4,22]]},"issued":{"date-parts":[["2013"]]}}}],"schema":"https://github.com/citation-style-language/schema/raw/master/csl-citation.json"} </w:instrText>
      </w:r>
      <w:r>
        <w:rPr>
          <w:rFonts w:ascii="Aptos" w:hAnsi="Aptos"/>
          <w:kern w:val="0"/>
          <w14:ligatures w14:val="none"/>
        </w:rPr>
        <w:fldChar w:fldCharType="separate"/>
      </w:r>
      <w:r>
        <w:rPr>
          <w:rFonts w:ascii="Aptos" w:hAnsi="Aptos"/>
          <w:noProof/>
          <w:kern w:val="0"/>
          <w14:ligatures w14:val="none"/>
        </w:rPr>
        <w:t>(Meroni, Fassi and Simeone, 2013)</w:t>
      </w:r>
      <w:r>
        <w:rPr>
          <w:rFonts w:ascii="Aptos" w:hAnsi="Aptos"/>
          <w:kern w:val="0"/>
          <w14:ligatures w14:val="none"/>
        </w:rPr>
        <w:fldChar w:fldCharType="end"/>
      </w:r>
      <w:r>
        <w:t>.</w:t>
      </w:r>
    </w:p>
    <w:p w14:paraId="2343E205" w14:textId="4C5C3FF0" w:rsidR="00B119CA" w:rsidRDefault="00B119CA" w:rsidP="00B119CA">
      <w:r>
        <w:t xml:space="preserve">Furthermore, the research introduces embodied cognition theory (Wilson, 2002), expanding the theoretical dimension of user experience. It explains that cultural identity does not stem from abstract meanings but is built upon bodily perception, memory, and situational resonance. Consistent with Pink's (Pink, 2015) proposed sensory ethnography, this research suggests the use of video recording, olfactory cards, and other means to enrich the collection of multimodal data, making the experience data not only limited to linguistic expressions but also including other forms of </w:t>
      </w:r>
      <w:proofErr w:type="spellStart"/>
      <w:r>
        <w:t>behavioral</w:t>
      </w:r>
      <w:proofErr w:type="spellEnd"/>
      <w:r>
        <w:t xml:space="preserve"> evidence. Additionally, to lay the groundwork for subsequent design practices, the methodology section also mentions the embedding of collaborative workshops in design, making participants not only the objects of study but also co-constructors of the research, strengthening the closed loop of theory, practice, and feedback.</w:t>
      </w:r>
    </w:p>
    <w:p w14:paraId="4A2821D7" w14:textId="77777777" w:rsidR="00D63F38" w:rsidRDefault="00D63F38" w:rsidP="00D63F38">
      <w:pPr>
        <w:rPr>
          <w:rFonts w:ascii="Aptos" w:hAnsi="Aptos"/>
        </w:rPr>
      </w:pPr>
      <w:r>
        <w:rPr>
          <w:rFonts w:ascii="Aptos" w:hAnsi="Aptos" w:hint="eastAsia"/>
        </w:rPr>
        <w:t>4.4.2 Limitations</w:t>
      </w:r>
    </w:p>
    <w:p w14:paraId="7C9DC35C" w14:textId="128DC635" w:rsidR="007D1DB2" w:rsidRDefault="007D1DB2" w:rsidP="007D1DB2">
      <w:r>
        <w:t xml:space="preserve">Although the current theory is well-supported and the methodological structure is complete, this study still has limitations, mainly in three aspects: sample composition, data interpretation perspective, and measurement dimensions. The samples were sourced from three platforms: local workshops, design schools, and social media. These platforms naturally attract individuals with high cultural identification and technical support, which may lead to a bias towards highly culturally sensitive groups in the research results. In contrast, Skov </w:t>
      </w:r>
      <w:r>
        <w:rPr>
          <w:rFonts w:ascii="Aptos" w:hAnsi="Aptos"/>
        </w:rPr>
        <w:fldChar w:fldCharType="begin"/>
      </w:r>
      <w:r w:rsidR="00FD7867">
        <w:rPr>
          <w:rFonts w:ascii="Aptos" w:hAnsi="Aptos"/>
        </w:rPr>
        <w:instrText xml:space="preserve"> ADDIN ZOTERO_ITEM CSL_CITATION {"citationID":"SIjcBca1","properties":{"formattedCitation":"(Skov, 2008)","plainCitation":"(Skov, 2008)","dontUpdate":true,"noteIndex":0},"citationItems":[{"id":2224,"uris":["http://zotero.org/users/16578089/items/4PN2A8HY"],"itemData":{"id":2224,"type":"article-journal","language":"English","source":"research.cbs.dk","title":"Research Approaches to the Study of Dress and Fashion","URL":"https://research.cbs.dk/en/publications/research-approaches-to-the-study-of-dress-and-fashion-2","author":[{"family":"Skov","given":"Lise"}],"accessed":{"date-parts":[["2025",4,22]]},"issued":{"date-parts":[["2008"]]}}}],"schema":"https://github.com/citation-style-language/schema/raw/master/csl-citation.json"} </w:instrText>
      </w:r>
      <w:r>
        <w:rPr>
          <w:rFonts w:ascii="Aptos" w:hAnsi="Aptos"/>
        </w:rPr>
        <w:fldChar w:fldCharType="separate"/>
      </w:r>
      <w:r>
        <w:rPr>
          <w:rFonts w:ascii="Aptos" w:hAnsi="Aptos"/>
          <w:noProof/>
        </w:rPr>
        <w:t>(2008)</w:t>
      </w:r>
      <w:r>
        <w:rPr>
          <w:rFonts w:ascii="Aptos" w:hAnsi="Aptos"/>
        </w:rPr>
        <w:fldChar w:fldCharType="end"/>
      </w:r>
      <w:r>
        <w:t xml:space="preserve"> argues that fashion research is often confined to the elite or specific cultural groups and should pay more attention to marginalized groups and cross-class consumers to avoid limiting the interpretation path. Additionally, although the study employed maximum difference sampling and saturation testing </w:t>
      </w:r>
      <w:r w:rsidR="00BB6D8A">
        <w:rPr>
          <w:rFonts w:ascii="Aptos" w:hAnsi="Aptos"/>
        </w:rPr>
        <w:fldChar w:fldCharType="begin"/>
      </w:r>
      <w:r w:rsidR="00BB6D8A">
        <w:rPr>
          <w:rFonts w:ascii="Aptos" w:hAnsi="Aptos"/>
        </w:rPr>
        <w:instrText xml:space="preserve"> ADDIN ZOTERO_ITEM CSL_CITATION {"citationID":"6kRpGbla","properties":{"formattedCitation":"(Guest, Bunce and Johnson, 2006; Guest, Namey and Chen, 2020b)","plainCitation":"(Guest, Bunce and Johnson, 2006; Guest, Namey and Chen, 2020b)","noteIndex":0},"citationItems":[{"id":2157,"uris":["http://zotero.org/users/16578089/items/S5AKRAN9"],"itemData":{"id":2157,"type":"article-journal","abstract":"Guidelines for determining nonprobabilistic sample sizes are virtually nonexistent. Purposive samples are the most commonly used form of nonprobabilistic sampling, and their size typically relies on the concept of “saturation,” or the point at which no new information or themes are observed in the data. Although the idea of saturation is helpful at the conceptual level, it provides little practical guidance for estimating sample sizes, prior to data collection, necessary for conducting quality research. Using data from a study involving sixty in-depth interviews with women in two West African countries, the authors systematically document the degree of data saturation and variability over the course of thematic analysis. They operationalize saturation and make evidence-based recommendations regarding nonprobabilistic sample sizes for interviews. Based on the data set, they found that saturation occurred within the first twelve interviews, although basic elements for metathemes were present as early as six interviews. Variability within the data followed similar patterns.","container-title":"Field Methods","DOI":"10.1177/1525822X05279903","ISSN":"1525-822X","issue":"1","language":"EN","note":"publisher: SAGE Publications Inc\nTLDR: The authors operationalize saturation and make evidence-based recommendations regarding nonprobabilistic sample sizes for interviews and found that saturation occurred within the first twelve interviews, although basic elements for metathemes were present as early as six interviews.","page":"59-82","source":"SAGE Journals","title":"How Many Interviews Are Enough?: An Experiment with Data Saturation and Variability","title-short":"How Many Interviews Are Enough?","volume":"18","author":[{"family":"Guest","given":"Greg"},{"family":"Bunce","given":"Arwen"},{"family":"Johnson","given":"Laura"}],"issued":{"date-parts":[["2006",2,1]]}}},{"id":2198,"uris":["http://zotero.org/users/16578089/items/U4J695NU"],"itemData":{"id":2198,"type":"article-journal","abstract":"Data saturation is the most commonly employed concept for estimating sample sizes in qualitative research. Over the past 20 years, scholars using both empirical research and mathematical/statistical models have made significant contributions to the question: How many qualitative interviews are enough? This body of work has advanced the evidence base for sample size estimation in qualitative inquiry during the design phase of a study, prior to data collection, but it does not provide qualitative researchers with a simple and reliable way to determine the adequacy of sample sizes during and/or after data collection. Using the principle of saturation as a foundation, we describe and validate a simple-to-apply method for assessing and reporting on saturation in the context of inductive thematic analyses. Following a review of the empirical research on data saturation and sample size estimation in qualitative research, we propose an alternative way to evaluate saturation that overcomes the shortcomings and challenges associated with existing methods identified in our review. Our approach includes three primary elements in its calculation and assessment: Base Size, Run Length, and New Information Threshold. We additionally propose a more flexible approach to reporting saturation. To validate our method, we use a bootstrapping technique on three existing thematically coded qualitative datasets generated from in-depth interviews. Results from this analysis indicate the method we propose to assess and report on saturation is feasible and congruent with findings from earlier studies.","container-title":"PLOS ONE","DOI":"10.1371/journal.pone.0232076","ISSN":"1932-6203","issue":"5","journalAbbreviation":"PLOS ONE","language":"en","note":"publisher: Public Library of Science\nTLDR: This work describes and validate a simple-to-apply method for assessing and reporting on saturation in the context of inductive thematic analyses and proposes a more flexible approach to reporting saturation.","page":"e0232076","source":"PLoS Journals","title":"A simple method to assess and report thematic saturation in qualitative research","volume":"15","author":[{"family":"Guest","given":"Greg"},{"family":"Namey","given":"Emily"},{"family":"Chen","given":"Mario"}],"issued":{"date-parts":[["2020",5,5]]}}}],"schema":"https://github.com/citation-style-language/schema/raw/master/csl-citation.json"} </w:instrText>
      </w:r>
      <w:r w:rsidR="00BB6D8A">
        <w:rPr>
          <w:rFonts w:ascii="Aptos" w:hAnsi="Aptos"/>
        </w:rPr>
        <w:fldChar w:fldCharType="separate"/>
      </w:r>
      <w:r w:rsidR="00BB6D8A">
        <w:rPr>
          <w:rFonts w:ascii="Aptos" w:hAnsi="Aptos"/>
          <w:noProof/>
        </w:rPr>
        <w:t>(Guest, Bunce and Johnson, 2006; Guest, Namey and Chen, 2020b)</w:t>
      </w:r>
      <w:r w:rsidR="00BB6D8A">
        <w:rPr>
          <w:rFonts w:ascii="Aptos" w:hAnsi="Aptos"/>
        </w:rPr>
        <w:fldChar w:fldCharType="end"/>
      </w:r>
      <w:r>
        <w:t>, the coverage of the samples still needs to be verified in future research.</w:t>
      </w:r>
    </w:p>
    <w:p w14:paraId="3B12314E" w14:textId="717E04E7" w:rsidR="007D1DB2" w:rsidRDefault="007D1DB2" w:rsidP="007D1DB2">
      <w:r>
        <w:t xml:space="preserve">Secondly, the interpretation of field notes and cultural probes overly relies on the researcher's re-interpretation of images, sounds, and smells, which raises the issue of who holds the right to interpret. Especially for the understanding of symbolic signs and abstract semantics, without cultural validation, they may be misinterpreted </w:t>
      </w:r>
      <w:r w:rsidR="00C24580">
        <w:rPr>
          <w:rFonts w:ascii="Aptos" w:hAnsi="Aptos"/>
        </w:rPr>
        <w:fldChar w:fldCharType="begin"/>
      </w:r>
      <w:r w:rsidR="00C24580">
        <w:rPr>
          <w:rFonts w:ascii="Aptos" w:hAnsi="Aptos"/>
        </w:rPr>
        <w:instrText xml:space="preserve"> ADDIN ZOTERO_ITEM CSL_CITATION {"citationID":"Xn7M0iJf","properties":{"formattedCitation":"(Hall, 1992)","plainCitation":"(Hall, 1992)","noteIndex":0},"citationItems":[{"id":2218,"uris":["http://zotero.org/users/16578089/items/WSPP8QSE"],"itemData":{"id":2218,"type":"chapter","abstract":"This Conference provides us with an opportunity for a moment of self-reflection on cultural studies as a practice, on its institutional positioning, and what Lidia Curti so effectively reminds us is both the marginality and the centrality of its practitioners as critical intellectuals. Inevitably, this involves reflecting on, and intervening in, the project of cultural studies itself.","container-title":"Cultural Studies","ISBN":"978-0-203-69914-0","note":"number-of-pages: 18","publisher":"Routledge","title":"Cultural Studies and its Theoretical Legacies","author":[{"family":"Hall","given":"Stuart"}],"issued":{"date-parts":[["1992"]]}}}],"schema":"https://github.com/citation-style-language/schema/raw/master/csl-citation.json"} </w:instrText>
      </w:r>
      <w:r w:rsidR="00C24580">
        <w:rPr>
          <w:rFonts w:ascii="Aptos" w:hAnsi="Aptos"/>
        </w:rPr>
        <w:fldChar w:fldCharType="separate"/>
      </w:r>
      <w:r w:rsidR="00C24580">
        <w:rPr>
          <w:rFonts w:ascii="Aptos" w:hAnsi="Aptos"/>
          <w:noProof/>
        </w:rPr>
        <w:t>(Hall, 1992)</w:t>
      </w:r>
      <w:r w:rsidR="00C24580">
        <w:rPr>
          <w:rFonts w:ascii="Aptos" w:hAnsi="Aptos"/>
        </w:rPr>
        <w:fldChar w:fldCharType="end"/>
      </w:r>
      <w:r>
        <w:t xml:space="preserve">. Although this study introduced expert verification and collaborative </w:t>
      </w:r>
      <w:r>
        <w:lastRenderedPageBreak/>
        <w:t>mechanisms, it still cannot completely avoid the guidance and suppression of theory on data.</w:t>
      </w:r>
    </w:p>
    <w:p w14:paraId="691EBBE8" w14:textId="3F58AF3E" w:rsidR="00A4789D" w:rsidRDefault="007D1DB2" w:rsidP="007D1DB2">
      <w:r>
        <w:t xml:space="preserve">In terms of quantitative research, this study adopted a differential semantic scale for quantitative analysis, which can quickly obtain the differences in users' feelings before and after wearing. However, compared with the research that combines physiological signal analysis tools with design under the advancement of emotion computing technology </w:t>
      </w:r>
      <w:r w:rsidR="00FF6F3C">
        <w:rPr>
          <w:rFonts w:ascii="Aptos" w:hAnsi="Aptos"/>
        </w:rPr>
        <w:fldChar w:fldCharType="begin"/>
      </w:r>
      <w:r w:rsidR="00FF6F3C">
        <w:rPr>
          <w:rFonts w:ascii="Aptos" w:hAnsi="Aptos"/>
        </w:rPr>
        <w:instrText xml:space="preserve"> ADDIN ZOTERO_ITEM CSL_CITATION {"citationID":"ngDtiUQ3","properties":{"formattedCitation":"(Zhang {\\i{}et al.}, 2024)","plainCitation":"(Zhang et al., 2024)","noteIndex":0},"citationItems":[{"id":2238,"uris":["http://zotero.org/users/16578089/items/FB5N3V5C"],"itemData":{"id":2238,"type":"article-journal","container-title":"Journal of Engineering Design","DOI":"10.1080/09544828.2024.2362589","ISSN":"0954-4828","note":"publisher: Taylor &amp; Francis","page":"1-21","source":"tandfonline.com (Atypon)","title":"Intelligent emotion recognition in product design using multimodal physiological signals and machine learning","author":[{"family":"Zhang","given":"Lekai"},{"family":"","given":"Hu ,Fo"},{"family":"","given":"Liu ,Xingyu"},{"family":"","given":"Wang ,Yingfan"},{"family":"","given":"Zhang ,Hailong"},{"family":"","given":"Liu ,Zheng"},{"family":"Yu","given":"Chunyang","non-dropping-particle":"and"}],"issued":{"date-parts":[["2024"]]}}}],"schema":"https://github.com/citation-style-language/schema/raw/master/csl-citation.json"} </w:instrText>
      </w:r>
      <w:r w:rsidR="00FF6F3C">
        <w:rPr>
          <w:rFonts w:ascii="Aptos" w:hAnsi="Aptos"/>
        </w:rPr>
        <w:fldChar w:fldCharType="separate"/>
      </w:r>
      <w:r w:rsidR="00FF6F3C" w:rsidRPr="006B4446">
        <w:rPr>
          <w:rFonts w:ascii="Aptos" w:hAnsi="Aptos" w:cs="Times New Roman"/>
          <w:kern w:val="0"/>
        </w:rPr>
        <w:t xml:space="preserve">(Zhang </w:t>
      </w:r>
      <w:r w:rsidR="00FF6F3C" w:rsidRPr="006B4446">
        <w:rPr>
          <w:rFonts w:ascii="Aptos" w:hAnsi="Aptos" w:cs="Times New Roman"/>
          <w:i/>
          <w:iCs/>
          <w:kern w:val="0"/>
        </w:rPr>
        <w:t>et al.</w:t>
      </w:r>
      <w:r w:rsidR="00FF6F3C" w:rsidRPr="006B4446">
        <w:rPr>
          <w:rFonts w:ascii="Aptos" w:hAnsi="Aptos" w:cs="Times New Roman"/>
          <w:kern w:val="0"/>
        </w:rPr>
        <w:t>, 2024)</w:t>
      </w:r>
      <w:r w:rsidR="00FF6F3C">
        <w:rPr>
          <w:rFonts w:ascii="Aptos" w:hAnsi="Aptos"/>
        </w:rPr>
        <w:fldChar w:fldCharType="end"/>
      </w:r>
      <w:r>
        <w:t xml:space="preserve">, this study lacks a high-precision quantitative approach. The intelligent emotion recognition using multimodal physiological signals </w:t>
      </w:r>
      <w:r w:rsidR="00116E7D">
        <w:rPr>
          <w:rFonts w:ascii="Aptos" w:hAnsi="Aptos"/>
        </w:rPr>
        <w:fldChar w:fldCharType="begin"/>
      </w:r>
      <w:r w:rsidR="00FD7867">
        <w:rPr>
          <w:rFonts w:ascii="Aptos" w:hAnsi="Aptos"/>
        </w:rPr>
        <w:instrText xml:space="preserve"> ADDIN ZOTERO_ITEM CSL_CITATION {"citationID":"wMWSM09f","properties":{"formattedCitation":"(Zhang {\\i{}et al.}, 2024)","plainCitation":"(Zhang et al., 2024)","noteIndex":0},"citationItems":[{"id":2238,"uris":["http://zotero.org/users/16578089/items/FB5N3V5C"],"itemData":{"id":2238,"type":"article-journal","container-title":"Journal of Engineering Design","DOI":"10.1080/09544828.2024.2362589","ISSN":"0954-4828","note":"publisher: Taylor &amp; Francis","page":"1-21","source":"tandfonline.com (Atypon)","title":"Intelligent emotion recognition in product design using multimodal physiological signals and machine learning","author":[{"family":"Zhang","given":"Lekai"},{"family":"","given":"Hu ,Fo"},{"family":"","given":"Liu ,Xingyu"},{"family":"","given":"Wang ,Yingfan"},{"family":"","given":"Zhang ,Hailong"},{"family":"","given":"Liu ,Zheng"},{"family":"Yu","given":"Chunyang","non-dropping-particle":"and"}],"issued":{"date-parts":[["2024"]]}}}],"schema":"https://github.com/citation-style-language/schema/raw/master/csl-citation.json"} </w:instrText>
      </w:r>
      <w:r w:rsidR="00116E7D">
        <w:rPr>
          <w:rFonts w:ascii="Aptos" w:hAnsi="Aptos"/>
        </w:rPr>
        <w:fldChar w:fldCharType="separate"/>
      </w:r>
      <w:r w:rsidR="00116E7D" w:rsidRPr="006B4446">
        <w:rPr>
          <w:rFonts w:ascii="Aptos" w:hAnsi="Aptos" w:cs="Times New Roman"/>
          <w:kern w:val="0"/>
        </w:rPr>
        <w:t xml:space="preserve">(Zhang </w:t>
      </w:r>
      <w:r w:rsidR="00116E7D" w:rsidRPr="006B4446">
        <w:rPr>
          <w:rFonts w:ascii="Aptos" w:hAnsi="Aptos" w:cs="Times New Roman"/>
          <w:i/>
          <w:iCs/>
          <w:kern w:val="0"/>
        </w:rPr>
        <w:t>et al.</w:t>
      </w:r>
      <w:r w:rsidR="00116E7D" w:rsidRPr="006B4446">
        <w:rPr>
          <w:rFonts w:ascii="Aptos" w:hAnsi="Aptos" w:cs="Times New Roman"/>
          <w:kern w:val="0"/>
        </w:rPr>
        <w:t>, 2024)</w:t>
      </w:r>
      <w:r w:rsidR="00116E7D">
        <w:rPr>
          <w:rFonts w:ascii="Aptos" w:hAnsi="Aptos"/>
        </w:rPr>
        <w:fldChar w:fldCharType="end"/>
      </w:r>
      <w:r>
        <w:t xml:space="preserve"> can provide an expanded method for the future deepening of this study.</w:t>
      </w:r>
    </w:p>
    <w:p w14:paraId="21BA43D4" w14:textId="77777777" w:rsidR="0041591A" w:rsidRPr="00293785" w:rsidRDefault="0041591A" w:rsidP="0041591A">
      <w:pPr>
        <w:rPr>
          <w:rFonts w:ascii="Aptos" w:hAnsi="Aptos"/>
          <w:b/>
          <w:bCs/>
        </w:rPr>
      </w:pPr>
      <w:r>
        <w:rPr>
          <w:rFonts w:ascii="Aptos" w:hAnsi="Aptos" w:hint="eastAsia"/>
          <w:b/>
          <w:bCs/>
        </w:rPr>
        <w:t>4.5 Implications and new questions</w:t>
      </w:r>
    </w:p>
    <w:p w14:paraId="64796F93" w14:textId="4E11F628" w:rsidR="00987A6B" w:rsidRDefault="00495475" w:rsidP="007D1DB2">
      <w:r w:rsidRPr="00495475">
        <w:t>This study, in uncovering the process through which cultural symbols generate user experiences via design encoding, offers multiple implications for culture-oriented design practices.</w:t>
      </w:r>
      <w:r w:rsidR="009F5957" w:rsidRPr="009F5957">
        <w:t xml:space="preserve"> </w:t>
      </w:r>
      <w:r w:rsidR="00B56123" w:rsidRPr="00B56123">
        <w:t>The study has the following limitations</w:t>
      </w:r>
      <w:r w:rsidR="00015161">
        <w:rPr>
          <w:rFonts w:hint="eastAsia"/>
        </w:rPr>
        <w:t>:</w:t>
      </w:r>
      <w:r w:rsidR="00B56123">
        <w:rPr>
          <w:rFonts w:hint="eastAsia"/>
        </w:rPr>
        <w:t xml:space="preserve"> </w:t>
      </w:r>
      <w:r w:rsidR="00015161">
        <w:rPr>
          <w:rFonts w:hint="eastAsia"/>
        </w:rPr>
        <w:t>T</w:t>
      </w:r>
      <w:r w:rsidR="00541EB8" w:rsidRPr="00541EB8">
        <w:t xml:space="preserve">he mere continuation of the </w:t>
      </w:r>
      <w:r w:rsidR="00541EB8">
        <w:rPr>
          <w:rFonts w:hint="eastAsia"/>
        </w:rPr>
        <w:t>‘</w:t>
      </w:r>
      <w:r w:rsidR="00541EB8" w:rsidRPr="00541EB8">
        <w:t>form</w:t>
      </w:r>
      <w:r w:rsidR="00541EB8">
        <w:rPr>
          <w:rFonts w:hint="eastAsia"/>
        </w:rPr>
        <w:t>‘</w:t>
      </w:r>
      <w:r w:rsidR="00541EB8" w:rsidRPr="00541EB8">
        <w:t xml:space="preserve"> of traditional cultural symbols fails to stimulate recognition; it is necessary to re-embed the meaning within materials, craftsmanship, and usage </w:t>
      </w:r>
      <w:r w:rsidR="00B01D14" w:rsidRPr="00541EB8">
        <w:t>behaviours</w:t>
      </w:r>
      <w:r w:rsidR="00541EB8" w:rsidRPr="00541EB8">
        <w:t xml:space="preserve">. It is imperative to explore the encoding mechanisms of non-visual cues such as smell and temperature in multi-sensory data and their alignment with cognitive systems; to discriminate the boundaries between openness and sensitivity of traditional symbols in cross-cultural dissemination; and to evaluate the impact of AI and parametric design on the narrative rights of traditional craftsmanship. </w:t>
      </w:r>
    </w:p>
    <w:p w14:paraId="221D47E8" w14:textId="77777777" w:rsidR="00987A6B" w:rsidRDefault="00987A6B">
      <w:r>
        <w:br w:type="page"/>
      </w:r>
    </w:p>
    <w:p w14:paraId="035D1C2E" w14:textId="77777777" w:rsidR="00987A6B" w:rsidRPr="00562DB5" w:rsidRDefault="00987A6B" w:rsidP="00987A6B">
      <w:pPr>
        <w:rPr>
          <w:rFonts w:ascii="Aptos" w:hAnsi="Aptos"/>
          <w:b/>
          <w:bCs/>
          <w:color w:val="000000" w:themeColor="text1"/>
          <w:sz w:val="32"/>
          <w:szCs w:val="32"/>
        </w:rPr>
      </w:pPr>
      <w:r w:rsidRPr="00DF3D6D">
        <w:rPr>
          <w:rFonts w:ascii="Aptos" w:hAnsi="Aptos" w:hint="eastAsia"/>
          <w:b/>
          <w:bCs/>
          <w:color w:val="000000" w:themeColor="text1"/>
          <w:sz w:val="32"/>
          <w:szCs w:val="32"/>
        </w:rPr>
        <w:lastRenderedPageBreak/>
        <w:t>5.conclusion</w:t>
      </w:r>
    </w:p>
    <w:p w14:paraId="00B8D6B8" w14:textId="6F69A6B6" w:rsidR="0041591A" w:rsidRDefault="00B0563D" w:rsidP="007D1DB2">
      <w:r w:rsidRPr="00B0563D">
        <w:t xml:space="preserve">This study centres on the core issue of how the cultural genes of Jiangnan gardens can be symbolically translated and generate user experiences through wearable jewellery. It establishes a three-layer translation model comprising </w:t>
      </w:r>
      <w:r w:rsidR="009E283F">
        <w:t>‘</w:t>
      </w:r>
      <w:r w:rsidRPr="00B0563D">
        <w:t>cultural genes - design symbol encoding - user experience</w:t>
      </w:r>
      <w:r w:rsidR="009E283F">
        <w:t>’</w:t>
      </w:r>
      <w:r w:rsidRPr="00B0563D">
        <w:t xml:space="preserve"> and employs design ethnography as the primary methodological framework. By integrating multiple approaches, including field observation, semi-structured interviews, cultural probes, and quantitative experience measurement, the study systematically explores theoretical construction, practical pathways, and user perception. The findings reveal that the translation of traditional culture cannot rely solely on the reproduction of patterns or forms; effective cultural communication depends on </w:t>
      </w:r>
      <w:r>
        <w:t>‘</w:t>
      </w:r>
      <w:r w:rsidRPr="00B0563D">
        <w:t>embodied cognition</w:t>
      </w:r>
      <w:r>
        <w:t>’</w:t>
      </w:r>
      <w:r w:rsidRPr="00B0563D">
        <w:t>. Thus, the activation of cultural genes represents a dynamic process of meaning reproduction.</w:t>
      </w:r>
    </w:p>
    <w:p w14:paraId="7E728261" w14:textId="63C3F2C0" w:rsidR="004D202B" w:rsidRDefault="004D202B" w:rsidP="004D202B">
      <w:r>
        <w:t xml:space="preserve">Moreover, the study hypothesizes that different user groups exhibit significant variations in their acceptance of traditional cultural symbols. Local users tend to establish emotional connections through ‘cultural memories’, whereas foreign users are more likely to use jewellery as a medium for cultural experimentation. This phenomenon underscores the necessity of designing diverse pathways for cultural and creative products, considering social contexts and cultural backgrounds. </w:t>
      </w:r>
    </w:p>
    <w:p w14:paraId="54BF0218" w14:textId="0A24CDCB" w:rsidR="004D202B" w:rsidRDefault="006D08A0" w:rsidP="006D08A0">
      <w:r>
        <w:rPr>
          <w:rFonts w:hint="eastAsia"/>
        </w:rPr>
        <w:t>In conclusion, t</w:t>
      </w:r>
      <w:r w:rsidR="004D202B">
        <w:t xml:space="preserve">he theoretical framework and methodological approach of this study provide a replicable and scalable paradigm for cultural wearable design and offer an empirical foundation for revitalizing intangible cultural heritage, promoting regional cultural dissemination, and facilitating cross-cultural design exchanges. Future research could further incorporate physiological signal measurements, expand sample diversity, and explore novel co-creation relationships between AI and design symbols. </w:t>
      </w:r>
    </w:p>
    <w:p w14:paraId="60240725" w14:textId="77777777" w:rsidR="00104E6C" w:rsidRDefault="00104E6C" w:rsidP="006D08A0"/>
    <w:p w14:paraId="45E14037" w14:textId="1DBFBF8B" w:rsidR="009E327C" w:rsidRPr="00104E6C" w:rsidRDefault="009E327C" w:rsidP="006D08A0">
      <w:pPr>
        <w:rPr>
          <w:rFonts w:hint="eastAsia"/>
        </w:rPr>
      </w:pPr>
      <w:r w:rsidRPr="00B36E81">
        <w:rPr>
          <w:rFonts w:hint="eastAsia"/>
          <w:b/>
          <w:bCs/>
          <w:sz w:val="32"/>
          <w:szCs w:val="32"/>
        </w:rPr>
        <w:t>Reference:</w:t>
      </w:r>
    </w:p>
    <w:sectPr w:rsidR="009E327C" w:rsidRPr="00104E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82436"/>
    <w:multiLevelType w:val="multilevel"/>
    <w:tmpl w:val="916675A2"/>
    <w:lvl w:ilvl="0">
      <w:start w:val="1"/>
      <w:numFmt w:val="decimal"/>
      <w:lvlText w:val="%1."/>
      <w:lvlJc w:val="left"/>
      <w:pPr>
        <w:ind w:left="720" w:hanging="360"/>
      </w:pPr>
      <w:rPr>
        <w:rFonts w:hint="default"/>
      </w:rPr>
    </w:lvl>
    <w:lvl w:ilvl="1">
      <w:start w:val="2"/>
      <w:numFmt w:val="decimal"/>
      <w:isLgl/>
      <w:lvlText w:val="%1.%2"/>
      <w:lvlJc w:val="left"/>
      <w:pPr>
        <w:ind w:left="940" w:hanging="5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28907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009"/>
    <w:rsid w:val="00006095"/>
    <w:rsid w:val="00010E6B"/>
    <w:rsid w:val="00015161"/>
    <w:rsid w:val="000172DF"/>
    <w:rsid w:val="00017D1F"/>
    <w:rsid w:val="000256E4"/>
    <w:rsid w:val="00027CEF"/>
    <w:rsid w:val="000305AC"/>
    <w:rsid w:val="00030C08"/>
    <w:rsid w:val="00031501"/>
    <w:rsid w:val="00041DEE"/>
    <w:rsid w:val="00042953"/>
    <w:rsid w:val="00051756"/>
    <w:rsid w:val="00054C31"/>
    <w:rsid w:val="00063F8C"/>
    <w:rsid w:val="00094778"/>
    <w:rsid w:val="00096009"/>
    <w:rsid w:val="000A68EA"/>
    <w:rsid w:val="000B0B8F"/>
    <w:rsid w:val="000B33E4"/>
    <w:rsid w:val="000C113B"/>
    <w:rsid w:val="000C1E06"/>
    <w:rsid w:val="000E20B4"/>
    <w:rsid w:val="000E781A"/>
    <w:rsid w:val="000F5A29"/>
    <w:rsid w:val="00104E6C"/>
    <w:rsid w:val="00106550"/>
    <w:rsid w:val="00116E7D"/>
    <w:rsid w:val="001205AC"/>
    <w:rsid w:val="00121455"/>
    <w:rsid w:val="00131A1D"/>
    <w:rsid w:val="001350CA"/>
    <w:rsid w:val="00135559"/>
    <w:rsid w:val="0013641F"/>
    <w:rsid w:val="00146603"/>
    <w:rsid w:val="00147501"/>
    <w:rsid w:val="00180B37"/>
    <w:rsid w:val="00192C5F"/>
    <w:rsid w:val="001976A8"/>
    <w:rsid w:val="001A2516"/>
    <w:rsid w:val="001A2E6D"/>
    <w:rsid w:val="001B04FE"/>
    <w:rsid w:val="001B3E49"/>
    <w:rsid w:val="001D2D6A"/>
    <w:rsid w:val="001E0224"/>
    <w:rsid w:val="001F7A7D"/>
    <w:rsid w:val="002026C2"/>
    <w:rsid w:val="002313E7"/>
    <w:rsid w:val="00234F55"/>
    <w:rsid w:val="00237009"/>
    <w:rsid w:val="00245469"/>
    <w:rsid w:val="002454AA"/>
    <w:rsid w:val="00250091"/>
    <w:rsid w:val="0025295F"/>
    <w:rsid w:val="0025799D"/>
    <w:rsid w:val="00263994"/>
    <w:rsid w:val="00270CD1"/>
    <w:rsid w:val="00290E70"/>
    <w:rsid w:val="002A72CD"/>
    <w:rsid w:val="002E5C4A"/>
    <w:rsid w:val="002F467E"/>
    <w:rsid w:val="00307B04"/>
    <w:rsid w:val="003214F8"/>
    <w:rsid w:val="0032378E"/>
    <w:rsid w:val="00332A5C"/>
    <w:rsid w:val="00332C89"/>
    <w:rsid w:val="003337A2"/>
    <w:rsid w:val="00345F2E"/>
    <w:rsid w:val="00370FA5"/>
    <w:rsid w:val="003768D3"/>
    <w:rsid w:val="0039043B"/>
    <w:rsid w:val="00390EBB"/>
    <w:rsid w:val="003A046C"/>
    <w:rsid w:val="003A104C"/>
    <w:rsid w:val="003B3A57"/>
    <w:rsid w:val="003C131C"/>
    <w:rsid w:val="003D12F4"/>
    <w:rsid w:val="003D3513"/>
    <w:rsid w:val="00402486"/>
    <w:rsid w:val="0041591A"/>
    <w:rsid w:val="004324EA"/>
    <w:rsid w:val="00434B21"/>
    <w:rsid w:val="004402DB"/>
    <w:rsid w:val="00452E62"/>
    <w:rsid w:val="004621D6"/>
    <w:rsid w:val="00474254"/>
    <w:rsid w:val="00474FDF"/>
    <w:rsid w:val="00475881"/>
    <w:rsid w:val="0048005B"/>
    <w:rsid w:val="00482A42"/>
    <w:rsid w:val="00492DD6"/>
    <w:rsid w:val="00493064"/>
    <w:rsid w:val="00495475"/>
    <w:rsid w:val="004B2E56"/>
    <w:rsid w:val="004C3B13"/>
    <w:rsid w:val="004C3FD3"/>
    <w:rsid w:val="004D202B"/>
    <w:rsid w:val="004E4EBC"/>
    <w:rsid w:val="004F05A4"/>
    <w:rsid w:val="004F2E7E"/>
    <w:rsid w:val="00503F67"/>
    <w:rsid w:val="00511618"/>
    <w:rsid w:val="00514A03"/>
    <w:rsid w:val="0051679F"/>
    <w:rsid w:val="00523A6F"/>
    <w:rsid w:val="00531C42"/>
    <w:rsid w:val="00541EB8"/>
    <w:rsid w:val="00553C0D"/>
    <w:rsid w:val="00555C76"/>
    <w:rsid w:val="00563D17"/>
    <w:rsid w:val="00575EDB"/>
    <w:rsid w:val="00581E23"/>
    <w:rsid w:val="00583FCD"/>
    <w:rsid w:val="00593F9D"/>
    <w:rsid w:val="00595635"/>
    <w:rsid w:val="005A680A"/>
    <w:rsid w:val="005B632C"/>
    <w:rsid w:val="005B76E9"/>
    <w:rsid w:val="005E4E88"/>
    <w:rsid w:val="005E72AB"/>
    <w:rsid w:val="005F56B4"/>
    <w:rsid w:val="005F5B17"/>
    <w:rsid w:val="006145D9"/>
    <w:rsid w:val="00622617"/>
    <w:rsid w:val="00625202"/>
    <w:rsid w:val="00640C30"/>
    <w:rsid w:val="00641B50"/>
    <w:rsid w:val="00644ACB"/>
    <w:rsid w:val="00646BAA"/>
    <w:rsid w:val="00647ED3"/>
    <w:rsid w:val="00661272"/>
    <w:rsid w:val="006752CE"/>
    <w:rsid w:val="006826D7"/>
    <w:rsid w:val="006A1D16"/>
    <w:rsid w:val="006A3273"/>
    <w:rsid w:val="006A7576"/>
    <w:rsid w:val="006A77D8"/>
    <w:rsid w:val="006B3AD6"/>
    <w:rsid w:val="006D08A0"/>
    <w:rsid w:val="006D3391"/>
    <w:rsid w:val="006D4124"/>
    <w:rsid w:val="006D63D8"/>
    <w:rsid w:val="006F6CAD"/>
    <w:rsid w:val="00731F91"/>
    <w:rsid w:val="0074563D"/>
    <w:rsid w:val="007460AD"/>
    <w:rsid w:val="00755631"/>
    <w:rsid w:val="0077011D"/>
    <w:rsid w:val="00794DFC"/>
    <w:rsid w:val="007A0AC1"/>
    <w:rsid w:val="007A1F78"/>
    <w:rsid w:val="007A4914"/>
    <w:rsid w:val="007B4BFA"/>
    <w:rsid w:val="007D1DB2"/>
    <w:rsid w:val="007E7821"/>
    <w:rsid w:val="007F1536"/>
    <w:rsid w:val="007F6BD9"/>
    <w:rsid w:val="00802304"/>
    <w:rsid w:val="0083409F"/>
    <w:rsid w:val="00863B66"/>
    <w:rsid w:val="00863E84"/>
    <w:rsid w:val="00873DAA"/>
    <w:rsid w:val="0087629E"/>
    <w:rsid w:val="008C64B0"/>
    <w:rsid w:val="008D1BA9"/>
    <w:rsid w:val="008E12A7"/>
    <w:rsid w:val="008F7E3D"/>
    <w:rsid w:val="00907172"/>
    <w:rsid w:val="009206BF"/>
    <w:rsid w:val="00931EB2"/>
    <w:rsid w:val="00982E54"/>
    <w:rsid w:val="0098384E"/>
    <w:rsid w:val="00987A6B"/>
    <w:rsid w:val="009A1DBA"/>
    <w:rsid w:val="009A2BD1"/>
    <w:rsid w:val="009B6644"/>
    <w:rsid w:val="009B7D3B"/>
    <w:rsid w:val="009C5B57"/>
    <w:rsid w:val="009D6507"/>
    <w:rsid w:val="009E0294"/>
    <w:rsid w:val="009E283F"/>
    <w:rsid w:val="009E327C"/>
    <w:rsid w:val="009E68C8"/>
    <w:rsid w:val="009F5957"/>
    <w:rsid w:val="00A05BE8"/>
    <w:rsid w:val="00A06A0C"/>
    <w:rsid w:val="00A130D8"/>
    <w:rsid w:val="00A15936"/>
    <w:rsid w:val="00A166C4"/>
    <w:rsid w:val="00A20F3B"/>
    <w:rsid w:val="00A218BD"/>
    <w:rsid w:val="00A22CB4"/>
    <w:rsid w:val="00A305C8"/>
    <w:rsid w:val="00A443DE"/>
    <w:rsid w:val="00A4789D"/>
    <w:rsid w:val="00A47DFD"/>
    <w:rsid w:val="00A548EA"/>
    <w:rsid w:val="00A667D9"/>
    <w:rsid w:val="00A70F4E"/>
    <w:rsid w:val="00A83744"/>
    <w:rsid w:val="00A847E1"/>
    <w:rsid w:val="00AB6485"/>
    <w:rsid w:val="00AB7622"/>
    <w:rsid w:val="00AC1EB0"/>
    <w:rsid w:val="00AD1B92"/>
    <w:rsid w:val="00AF18CB"/>
    <w:rsid w:val="00B00B45"/>
    <w:rsid w:val="00B016DD"/>
    <w:rsid w:val="00B01D14"/>
    <w:rsid w:val="00B0563D"/>
    <w:rsid w:val="00B119CA"/>
    <w:rsid w:val="00B239F7"/>
    <w:rsid w:val="00B36E81"/>
    <w:rsid w:val="00B37C31"/>
    <w:rsid w:val="00B545C0"/>
    <w:rsid w:val="00B56123"/>
    <w:rsid w:val="00B65549"/>
    <w:rsid w:val="00B74EB0"/>
    <w:rsid w:val="00B75811"/>
    <w:rsid w:val="00B916C4"/>
    <w:rsid w:val="00BA0579"/>
    <w:rsid w:val="00BA2790"/>
    <w:rsid w:val="00BA79E3"/>
    <w:rsid w:val="00BB3976"/>
    <w:rsid w:val="00BB5FF9"/>
    <w:rsid w:val="00BB6D8A"/>
    <w:rsid w:val="00BC04D2"/>
    <w:rsid w:val="00BC3CAF"/>
    <w:rsid w:val="00BD0228"/>
    <w:rsid w:val="00BD34A3"/>
    <w:rsid w:val="00BF78BE"/>
    <w:rsid w:val="00C01ED7"/>
    <w:rsid w:val="00C02380"/>
    <w:rsid w:val="00C24580"/>
    <w:rsid w:val="00C248E6"/>
    <w:rsid w:val="00C263A7"/>
    <w:rsid w:val="00C35336"/>
    <w:rsid w:val="00C41191"/>
    <w:rsid w:val="00C45A07"/>
    <w:rsid w:val="00C511D3"/>
    <w:rsid w:val="00C62D42"/>
    <w:rsid w:val="00C742F1"/>
    <w:rsid w:val="00CA487C"/>
    <w:rsid w:val="00CC2058"/>
    <w:rsid w:val="00CE512B"/>
    <w:rsid w:val="00CE5EFD"/>
    <w:rsid w:val="00CF442F"/>
    <w:rsid w:val="00D03781"/>
    <w:rsid w:val="00D10F3D"/>
    <w:rsid w:val="00D17E5A"/>
    <w:rsid w:val="00D2278B"/>
    <w:rsid w:val="00D30620"/>
    <w:rsid w:val="00D35530"/>
    <w:rsid w:val="00D41870"/>
    <w:rsid w:val="00D42FEC"/>
    <w:rsid w:val="00D471C7"/>
    <w:rsid w:val="00D57C07"/>
    <w:rsid w:val="00D63F38"/>
    <w:rsid w:val="00D72E54"/>
    <w:rsid w:val="00D8207B"/>
    <w:rsid w:val="00D9407E"/>
    <w:rsid w:val="00D94547"/>
    <w:rsid w:val="00DC47D2"/>
    <w:rsid w:val="00DC4EC2"/>
    <w:rsid w:val="00DD1A2F"/>
    <w:rsid w:val="00DD451F"/>
    <w:rsid w:val="00DE1B6D"/>
    <w:rsid w:val="00DE36D2"/>
    <w:rsid w:val="00DE68F4"/>
    <w:rsid w:val="00DF18F5"/>
    <w:rsid w:val="00DF201E"/>
    <w:rsid w:val="00DF390A"/>
    <w:rsid w:val="00E000E4"/>
    <w:rsid w:val="00E165BB"/>
    <w:rsid w:val="00E165E3"/>
    <w:rsid w:val="00E226DC"/>
    <w:rsid w:val="00E25A29"/>
    <w:rsid w:val="00E27537"/>
    <w:rsid w:val="00E33CEF"/>
    <w:rsid w:val="00E43E57"/>
    <w:rsid w:val="00E51684"/>
    <w:rsid w:val="00E53712"/>
    <w:rsid w:val="00E56C90"/>
    <w:rsid w:val="00E6567D"/>
    <w:rsid w:val="00E71092"/>
    <w:rsid w:val="00E76E49"/>
    <w:rsid w:val="00E80E0F"/>
    <w:rsid w:val="00E80EA2"/>
    <w:rsid w:val="00E83D19"/>
    <w:rsid w:val="00E87742"/>
    <w:rsid w:val="00E913B4"/>
    <w:rsid w:val="00ED2862"/>
    <w:rsid w:val="00ED398F"/>
    <w:rsid w:val="00EE1BC3"/>
    <w:rsid w:val="00EE5F21"/>
    <w:rsid w:val="00EF0D65"/>
    <w:rsid w:val="00EF49A1"/>
    <w:rsid w:val="00F021E8"/>
    <w:rsid w:val="00F1435F"/>
    <w:rsid w:val="00F41B72"/>
    <w:rsid w:val="00F45A96"/>
    <w:rsid w:val="00F7101E"/>
    <w:rsid w:val="00F76FCE"/>
    <w:rsid w:val="00F84734"/>
    <w:rsid w:val="00F86301"/>
    <w:rsid w:val="00F93025"/>
    <w:rsid w:val="00FA26E3"/>
    <w:rsid w:val="00FB21B5"/>
    <w:rsid w:val="00FB56C4"/>
    <w:rsid w:val="00FC19A6"/>
    <w:rsid w:val="00FD7867"/>
    <w:rsid w:val="00FF0312"/>
    <w:rsid w:val="00FF2044"/>
    <w:rsid w:val="00FF6F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E6082F7"/>
  <w15:chartTrackingRefBased/>
  <w15:docId w15:val="{CFFAB37E-75CF-F84B-8BE0-9455BAD8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009"/>
  </w:style>
  <w:style w:type="paragraph" w:styleId="Heading1">
    <w:name w:val="heading 1"/>
    <w:basedOn w:val="Normal"/>
    <w:next w:val="Normal"/>
    <w:link w:val="Heading1Char"/>
    <w:uiPriority w:val="9"/>
    <w:qFormat/>
    <w:rsid w:val="000960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0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0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0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0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0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0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0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0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0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0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0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0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0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0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0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009"/>
    <w:rPr>
      <w:rFonts w:eastAsiaTheme="majorEastAsia" w:cstheme="majorBidi"/>
      <w:color w:val="272727" w:themeColor="text1" w:themeTint="D8"/>
    </w:rPr>
  </w:style>
  <w:style w:type="paragraph" w:styleId="Title">
    <w:name w:val="Title"/>
    <w:basedOn w:val="Normal"/>
    <w:next w:val="Normal"/>
    <w:link w:val="TitleChar"/>
    <w:uiPriority w:val="10"/>
    <w:qFormat/>
    <w:rsid w:val="00096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0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0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0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009"/>
    <w:pPr>
      <w:spacing w:before="160"/>
      <w:jc w:val="center"/>
    </w:pPr>
    <w:rPr>
      <w:i/>
      <w:iCs/>
      <w:color w:val="404040" w:themeColor="text1" w:themeTint="BF"/>
    </w:rPr>
  </w:style>
  <w:style w:type="character" w:customStyle="1" w:styleId="QuoteChar">
    <w:name w:val="Quote Char"/>
    <w:basedOn w:val="DefaultParagraphFont"/>
    <w:link w:val="Quote"/>
    <w:uiPriority w:val="29"/>
    <w:rsid w:val="00096009"/>
    <w:rPr>
      <w:i/>
      <w:iCs/>
      <w:color w:val="404040" w:themeColor="text1" w:themeTint="BF"/>
    </w:rPr>
  </w:style>
  <w:style w:type="paragraph" w:styleId="ListParagraph">
    <w:name w:val="List Paragraph"/>
    <w:basedOn w:val="Normal"/>
    <w:uiPriority w:val="34"/>
    <w:qFormat/>
    <w:rsid w:val="00096009"/>
    <w:pPr>
      <w:ind w:left="720"/>
      <w:contextualSpacing/>
    </w:pPr>
  </w:style>
  <w:style w:type="character" w:styleId="IntenseEmphasis">
    <w:name w:val="Intense Emphasis"/>
    <w:basedOn w:val="DefaultParagraphFont"/>
    <w:uiPriority w:val="21"/>
    <w:qFormat/>
    <w:rsid w:val="00096009"/>
    <w:rPr>
      <w:i/>
      <w:iCs/>
      <w:color w:val="0F4761" w:themeColor="accent1" w:themeShade="BF"/>
    </w:rPr>
  </w:style>
  <w:style w:type="paragraph" w:styleId="IntenseQuote">
    <w:name w:val="Intense Quote"/>
    <w:basedOn w:val="Normal"/>
    <w:next w:val="Normal"/>
    <w:link w:val="IntenseQuoteChar"/>
    <w:uiPriority w:val="30"/>
    <w:qFormat/>
    <w:rsid w:val="000960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009"/>
    <w:rPr>
      <w:i/>
      <w:iCs/>
      <w:color w:val="0F4761" w:themeColor="accent1" w:themeShade="BF"/>
    </w:rPr>
  </w:style>
  <w:style w:type="character" w:styleId="IntenseReference">
    <w:name w:val="Intense Reference"/>
    <w:basedOn w:val="DefaultParagraphFont"/>
    <w:uiPriority w:val="32"/>
    <w:qFormat/>
    <w:rsid w:val="00096009"/>
    <w:rPr>
      <w:b/>
      <w:bCs/>
      <w:smallCaps/>
      <w:color w:val="0F4761" w:themeColor="accent1" w:themeShade="BF"/>
      <w:spacing w:val="5"/>
    </w:rPr>
  </w:style>
  <w:style w:type="paragraph" w:styleId="Bibliography">
    <w:name w:val="Bibliography"/>
    <w:basedOn w:val="Normal"/>
    <w:next w:val="Normal"/>
    <w:uiPriority w:val="37"/>
    <w:unhideWhenUsed/>
    <w:rsid w:val="005E72AB"/>
    <w:pPr>
      <w:spacing w:after="240" w:line="240" w:lineRule="auto"/>
    </w:pPr>
  </w:style>
  <w:style w:type="table" w:styleId="TableGrid">
    <w:name w:val="Table Grid"/>
    <w:basedOn w:val="TableNormal"/>
    <w:uiPriority w:val="39"/>
    <w:rsid w:val="00B00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940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031386">
      <w:bodyDiv w:val="1"/>
      <w:marLeft w:val="0"/>
      <w:marRight w:val="0"/>
      <w:marTop w:val="0"/>
      <w:marBottom w:val="0"/>
      <w:divBdr>
        <w:top w:val="none" w:sz="0" w:space="0" w:color="auto"/>
        <w:left w:val="none" w:sz="0" w:space="0" w:color="auto"/>
        <w:bottom w:val="none" w:sz="0" w:space="0" w:color="auto"/>
        <w:right w:val="none" w:sz="0" w:space="0" w:color="auto"/>
      </w:divBdr>
    </w:div>
    <w:div w:id="532155963">
      <w:bodyDiv w:val="1"/>
      <w:marLeft w:val="0"/>
      <w:marRight w:val="0"/>
      <w:marTop w:val="0"/>
      <w:marBottom w:val="0"/>
      <w:divBdr>
        <w:top w:val="none" w:sz="0" w:space="0" w:color="auto"/>
        <w:left w:val="none" w:sz="0" w:space="0" w:color="auto"/>
        <w:bottom w:val="none" w:sz="0" w:space="0" w:color="auto"/>
        <w:right w:val="none" w:sz="0" w:space="0" w:color="auto"/>
      </w:divBdr>
      <w:divsChild>
        <w:div w:id="188837072">
          <w:marLeft w:val="0"/>
          <w:marRight w:val="0"/>
          <w:marTop w:val="0"/>
          <w:marBottom w:val="0"/>
          <w:divBdr>
            <w:top w:val="none" w:sz="0" w:space="0" w:color="auto"/>
            <w:left w:val="none" w:sz="0" w:space="0" w:color="auto"/>
            <w:bottom w:val="none" w:sz="0" w:space="0" w:color="auto"/>
            <w:right w:val="none" w:sz="0" w:space="0" w:color="auto"/>
          </w:divBdr>
        </w:div>
      </w:divsChild>
    </w:div>
    <w:div w:id="603733606">
      <w:bodyDiv w:val="1"/>
      <w:marLeft w:val="0"/>
      <w:marRight w:val="0"/>
      <w:marTop w:val="0"/>
      <w:marBottom w:val="0"/>
      <w:divBdr>
        <w:top w:val="none" w:sz="0" w:space="0" w:color="auto"/>
        <w:left w:val="none" w:sz="0" w:space="0" w:color="auto"/>
        <w:bottom w:val="none" w:sz="0" w:space="0" w:color="auto"/>
        <w:right w:val="none" w:sz="0" w:space="0" w:color="auto"/>
      </w:divBdr>
    </w:div>
    <w:div w:id="1278558492">
      <w:bodyDiv w:val="1"/>
      <w:marLeft w:val="0"/>
      <w:marRight w:val="0"/>
      <w:marTop w:val="0"/>
      <w:marBottom w:val="0"/>
      <w:divBdr>
        <w:top w:val="none" w:sz="0" w:space="0" w:color="auto"/>
        <w:left w:val="none" w:sz="0" w:space="0" w:color="auto"/>
        <w:bottom w:val="none" w:sz="0" w:space="0" w:color="auto"/>
        <w:right w:val="none" w:sz="0" w:space="0" w:color="auto"/>
      </w:divBdr>
    </w:div>
    <w:div w:id="1397970979">
      <w:bodyDiv w:val="1"/>
      <w:marLeft w:val="0"/>
      <w:marRight w:val="0"/>
      <w:marTop w:val="0"/>
      <w:marBottom w:val="0"/>
      <w:divBdr>
        <w:top w:val="none" w:sz="0" w:space="0" w:color="auto"/>
        <w:left w:val="none" w:sz="0" w:space="0" w:color="auto"/>
        <w:bottom w:val="none" w:sz="0" w:space="0" w:color="auto"/>
        <w:right w:val="none" w:sz="0" w:space="0" w:color="auto"/>
      </w:divBdr>
    </w:div>
    <w:div w:id="1864052432">
      <w:bodyDiv w:val="1"/>
      <w:marLeft w:val="0"/>
      <w:marRight w:val="0"/>
      <w:marTop w:val="0"/>
      <w:marBottom w:val="0"/>
      <w:divBdr>
        <w:top w:val="none" w:sz="0" w:space="0" w:color="auto"/>
        <w:left w:val="none" w:sz="0" w:space="0" w:color="auto"/>
        <w:bottom w:val="none" w:sz="0" w:space="0" w:color="auto"/>
        <w:right w:val="none" w:sz="0" w:space="0" w:color="auto"/>
      </w:divBdr>
    </w:div>
    <w:div w:id="2130970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21</Pages>
  <Words>27863</Words>
  <Characters>158822</Characters>
  <Application>Microsoft Office Word</Application>
  <DocSecurity>0</DocSecurity>
  <Lines>1323</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418527863@qq.com</dc:creator>
  <cp:keywords/>
  <dc:description/>
  <cp:lastModifiedBy>418527863@qq.com</cp:lastModifiedBy>
  <cp:revision>354</cp:revision>
  <dcterms:created xsi:type="dcterms:W3CDTF">2025-05-01T17:38:00Z</dcterms:created>
  <dcterms:modified xsi:type="dcterms:W3CDTF">2025-05-03T23:14:00Z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id="YVscSZZQ"/&gt;&lt;style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