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6558" w:rsidRPr="00136558" w:rsidRDefault="00136558" w:rsidP="00DA6455">
      <w:pPr>
        <w:jc w:val="center"/>
        <w:rPr>
          <w:rFonts w:ascii="Arial Narrow" w:hAnsi="Arial Narrow"/>
          <w:u w:val="single"/>
        </w:rPr>
      </w:pPr>
      <w:r w:rsidRPr="00136558">
        <w:rPr>
          <w:rFonts w:ascii="Arial Narrow" w:hAnsi="Arial Narrow"/>
          <w:u w:val="single"/>
        </w:rPr>
        <w:t>A summary of the historiographical materials relating to your chosen saint</w:t>
      </w:r>
    </w:p>
    <w:p w:rsidR="00136558" w:rsidRPr="00136558" w:rsidRDefault="00136558" w:rsidP="00136558">
      <w:pPr>
        <w:numPr>
          <w:ilvl w:val="0"/>
          <w:numId w:val="1"/>
        </w:numPr>
        <w:rPr>
          <w:rFonts w:ascii="Arial Narrow" w:hAnsi="Arial Narrow"/>
        </w:rPr>
      </w:pPr>
      <w:r w:rsidRPr="00136558">
        <w:rPr>
          <w:rFonts w:ascii="Arial Narrow" w:hAnsi="Arial Narrow"/>
        </w:rPr>
        <w:t>Why was the canonisation of Thomas of Canterbury so controversial?</w:t>
      </w:r>
    </w:p>
    <w:p w:rsidR="00136558" w:rsidRPr="00136558" w:rsidRDefault="00136558" w:rsidP="00136558">
      <w:pPr>
        <w:rPr>
          <w:rFonts w:ascii="Arial Narrow" w:hAnsi="Arial Narrow"/>
        </w:rPr>
      </w:pPr>
      <w:r w:rsidRPr="00136558">
        <w:rPr>
          <w:rFonts w:ascii="Arial Narrow" w:hAnsi="Arial Narrow"/>
        </w:rPr>
        <w:t>The life of St Thomas of Canterbury was very different to what one would typically assume when following the basic hagiographic format of previous saints. His life was heavily burdened with politics and foreign policy, and the deterioration in relations with Henry II led Thomas Becket to become one of the most controversial saints of the Middle Ages. As Janina Ramirez states, ‘the word ‘saint’ conjures up a variety of associations…suffering, self-deprivation, charity…others might envisage miracles, martyrdoms and heavenly attributes’.</w:t>
      </w:r>
      <w:r w:rsidRPr="00136558">
        <w:rPr>
          <w:rFonts w:ascii="Arial Narrow" w:hAnsi="Arial Narrow"/>
          <w:vertAlign w:val="superscript"/>
        </w:rPr>
        <w:footnoteReference w:id="1"/>
      </w:r>
      <w:r w:rsidRPr="00136558">
        <w:rPr>
          <w:rFonts w:ascii="Arial Narrow" w:hAnsi="Arial Narrow"/>
        </w:rPr>
        <w:t xml:space="preserve"> The issue with the word ‘saint’ is that it is so adaptable. If an individual doesn’t fit into a certain category, but a great population of people praise their sanctity, then the focus is placed on other certain characteristics and actions. For example, Thomas Becket is documented to not hold the characteristics of other saint’s previous to his canonisation. However, his strive for the rights of the church and circumstances of his death are the main reasons for his blessed status after death. Though it can be noted that Becket’s character completely changed when he became archbishop, as seen in the works of William of Newburgh: ‘he on a sudden exhibited such a change in his habit and manners’,</w:t>
      </w:r>
      <w:r w:rsidRPr="00136558">
        <w:rPr>
          <w:rFonts w:ascii="Arial Narrow" w:hAnsi="Arial Narrow"/>
          <w:vertAlign w:val="superscript"/>
        </w:rPr>
        <w:footnoteReference w:id="2"/>
      </w:r>
      <w:r w:rsidRPr="00136558">
        <w:rPr>
          <w:rFonts w:ascii="Arial Narrow" w:hAnsi="Arial Narrow"/>
        </w:rPr>
        <w:t xml:space="preserve"> his personal desire to be active and vocal in secular concerns, especially when such policies impact the lives of the clergy,</w:t>
      </w:r>
      <w:r w:rsidRPr="00136558">
        <w:rPr>
          <w:rFonts w:ascii="Arial Narrow" w:hAnsi="Arial Narrow"/>
          <w:vertAlign w:val="superscript"/>
        </w:rPr>
        <w:footnoteReference w:id="3"/>
      </w:r>
      <w:r w:rsidRPr="00136558">
        <w:rPr>
          <w:rFonts w:ascii="Arial Narrow" w:hAnsi="Arial Narrow"/>
        </w:rPr>
        <w:t xml:space="preserve"> led to his exile in 1164. Major scholars which are particularly active in this debate include Barlow, Scully and Staunton, who all present various ways in which Thomas’ character and actions present him as a candidate for sanctity, whilst also adding to historiographical debate for reasons against this act, performed in the year 1173.</w:t>
      </w:r>
      <w:r w:rsidRPr="00136558">
        <w:rPr>
          <w:rFonts w:ascii="Arial Narrow" w:hAnsi="Arial Narrow"/>
          <w:vertAlign w:val="superscript"/>
        </w:rPr>
        <w:footnoteReference w:id="4"/>
      </w:r>
      <w:r w:rsidRPr="00136558">
        <w:rPr>
          <w:rFonts w:ascii="Arial Narrow" w:hAnsi="Arial Narrow"/>
        </w:rPr>
        <w:t xml:space="preserve"> Inevitably, this discussion comes down to a statement made by Scully: ‘If Thomas was a saint, as strikingly suggested by the nature of his death and his prodigious posthumous miracles, how was his controversial life to be explained?’</w:t>
      </w:r>
      <w:r w:rsidRPr="00136558">
        <w:rPr>
          <w:rFonts w:ascii="Arial Narrow" w:hAnsi="Arial Narrow"/>
          <w:vertAlign w:val="superscript"/>
        </w:rPr>
        <w:footnoteReference w:id="5"/>
      </w:r>
    </w:p>
    <w:p w:rsidR="00136558" w:rsidRPr="00136558" w:rsidRDefault="00136558" w:rsidP="00136558">
      <w:pPr>
        <w:rPr>
          <w:rFonts w:ascii="Arial Narrow" w:hAnsi="Arial Narrow"/>
        </w:rPr>
      </w:pPr>
      <w:r w:rsidRPr="00136558">
        <w:rPr>
          <w:rFonts w:ascii="Arial Narrow" w:hAnsi="Arial Narrow"/>
        </w:rPr>
        <w:t>Barlow, a heavily active scholar in the study of Thomas Becket’s life, canonisation and legacy, states how the twelfth-century was ‘an age of great opportunities. All the recent kings of England had been claimants who had seized their chance. Knights had become barons, baron’ earls’. In an age where opportunities were around every corner, is it surprising that Becket, the son of a merchant, became an archbishop in the final stage of his life? Or does it fit the trend of the time in an individual’s own progression in medieval society? This discussion, presented by Barlow, directs the progression of Becket through society as not so out of character in align with other individual’s in this era. After all, the Norman Conquest in 1066 allowed William the Conqueror to claim the English throne, in direct confrontation with Harold Godwinson and Harold Hardrada.</w:t>
      </w:r>
      <w:r w:rsidRPr="00136558">
        <w:rPr>
          <w:rFonts w:ascii="Arial Narrow" w:hAnsi="Arial Narrow"/>
          <w:vertAlign w:val="superscript"/>
        </w:rPr>
        <w:footnoteReference w:id="6"/>
      </w:r>
      <w:r w:rsidRPr="00136558">
        <w:rPr>
          <w:rFonts w:ascii="Arial Narrow" w:hAnsi="Arial Narrow"/>
        </w:rPr>
        <w:t xml:space="preserve"> However, it cannot be ignored that Becket held many qualities that made his success so achievable. Becket ‘was undoubtedly intelligent, alert, </w:t>
      </w:r>
      <w:proofErr w:type="gramStart"/>
      <w:r w:rsidRPr="00136558">
        <w:rPr>
          <w:rFonts w:ascii="Arial Narrow" w:hAnsi="Arial Narrow"/>
        </w:rPr>
        <w:t>responsive</w:t>
      </w:r>
      <w:proofErr w:type="gramEnd"/>
      <w:r w:rsidRPr="00136558">
        <w:rPr>
          <w:rFonts w:ascii="Arial Narrow" w:hAnsi="Arial Narrow"/>
        </w:rPr>
        <w:t>. Once he realized that he had to make his own way he became extremely ambitious’.</w:t>
      </w:r>
      <w:r w:rsidRPr="00136558">
        <w:rPr>
          <w:rFonts w:ascii="Arial Narrow" w:hAnsi="Arial Narrow"/>
          <w:vertAlign w:val="superscript"/>
        </w:rPr>
        <w:footnoteReference w:id="7"/>
      </w:r>
      <w:r w:rsidRPr="00136558">
        <w:rPr>
          <w:rFonts w:ascii="Arial Narrow" w:hAnsi="Arial Narrow"/>
        </w:rPr>
        <w:t xml:space="preserve"> This statement, though praiseworthy of Thomas’ intellect, has a hidden undertone, insinuating that Becket’s ambitious personality was not his greatest trait, and led to his eventual murder. It is clear throughout Barlow’s work that his opinion towards Becket is rather negative, not dismissing that a portion of Thomas’ characteristics were comparable with other saints, but rather that his over ambitious and somewhat naïve perception of both his own power and others led to his inevitable demise. Barlow states that ‘Most observers have considered that he was not a born saint … And in whatever way the causes for which he fought are regarded, the zeal with which he advanced them would appear excessive’.</w:t>
      </w:r>
    </w:p>
    <w:p w:rsidR="00136558" w:rsidRPr="00136558" w:rsidRDefault="00136558" w:rsidP="00136558">
      <w:pPr>
        <w:rPr>
          <w:rFonts w:ascii="Arial Narrow" w:hAnsi="Arial Narrow"/>
        </w:rPr>
      </w:pPr>
      <w:r w:rsidRPr="00136558">
        <w:rPr>
          <w:rFonts w:ascii="Arial Narrow" w:hAnsi="Arial Narrow"/>
        </w:rPr>
        <w:t>Contemporary documentation related to the canonisation of Thomas of Canterbury is used by modern day historians to establish whether Thomas’ canonisation was a process which was approved by all in society. ‘How was it that Becket, who, as chancellor, had been the most severe of them all against the church, now surpassed all the saints they knew in the number and magnitude of his miracles?’.</w:t>
      </w:r>
      <w:r w:rsidRPr="00136558">
        <w:rPr>
          <w:rFonts w:ascii="Arial Narrow" w:hAnsi="Arial Narrow"/>
          <w:vertAlign w:val="superscript"/>
        </w:rPr>
        <w:footnoteReference w:id="8"/>
      </w:r>
      <w:r w:rsidRPr="00136558">
        <w:rPr>
          <w:rFonts w:ascii="Arial Narrow" w:hAnsi="Arial Narrow"/>
        </w:rPr>
        <w:t xml:space="preserve"> This question, asked by a clerk to Henry </w:t>
      </w:r>
      <w:r w:rsidRPr="00136558">
        <w:rPr>
          <w:rFonts w:ascii="Arial Narrow" w:hAnsi="Arial Narrow"/>
        </w:rPr>
        <w:lastRenderedPageBreak/>
        <w:t>of Houghton, is an example of a contemporary negative reaction to Thomas’ canonisation.</w:t>
      </w:r>
      <w:r w:rsidRPr="00136558">
        <w:rPr>
          <w:rFonts w:ascii="Arial Narrow" w:hAnsi="Arial Narrow"/>
          <w:vertAlign w:val="superscript"/>
        </w:rPr>
        <w:footnoteReference w:id="9"/>
      </w:r>
      <w:r w:rsidRPr="00136558">
        <w:rPr>
          <w:rFonts w:ascii="Arial Narrow" w:hAnsi="Arial Narrow"/>
        </w:rPr>
        <w:t xml:space="preserve"> This is further added to in the work of Staunton who uses extracts from Anonymous II’s </w:t>
      </w:r>
      <w:r w:rsidRPr="00136558">
        <w:rPr>
          <w:rFonts w:ascii="Arial Narrow" w:hAnsi="Arial Narrow"/>
          <w:i/>
        </w:rPr>
        <w:t>Lives of St Thomas of Canterbury</w:t>
      </w:r>
      <w:r w:rsidRPr="00136558">
        <w:rPr>
          <w:rFonts w:ascii="Arial Narrow" w:hAnsi="Arial Narrow"/>
        </w:rPr>
        <w:t xml:space="preserve"> to analyse the character of Thomas, and what in particular those around him took issue with. Staunton focuses on the model that Thomas presents in his acceptance and use of the title of archbishop. He states that Thomas accepted the archbishopric when others, more suitable and qualified for the position, did not do so out of respect of their predecessor Theobald,</w:t>
      </w:r>
      <w:r w:rsidRPr="00136558">
        <w:rPr>
          <w:rFonts w:ascii="Arial Narrow" w:hAnsi="Arial Narrow"/>
          <w:vertAlign w:val="superscript"/>
        </w:rPr>
        <w:footnoteReference w:id="10"/>
      </w:r>
      <w:r w:rsidRPr="00136558">
        <w:rPr>
          <w:rFonts w:ascii="Arial Narrow" w:hAnsi="Arial Narrow"/>
        </w:rPr>
        <w:t xml:space="preserve"> concluding that ‘Thomas should have followed their example and excused himself as unworthy and unsuitable’.</w:t>
      </w:r>
      <w:r w:rsidRPr="00136558">
        <w:rPr>
          <w:rFonts w:ascii="Arial Narrow" w:hAnsi="Arial Narrow"/>
          <w:vertAlign w:val="superscript"/>
        </w:rPr>
        <w:footnoteReference w:id="11"/>
      </w:r>
      <w:r w:rsidRPr="00136558">
        <w:rPr>
          <w:rFonts w:ascii="Arial Narrow" w:hAnsi="Arial Narrow"/>
        </w:rPr>
        <w:t xml:space="preserve"> This analysis on the disrespectful and somewhat out-of-touch persona which Thomas expresses through his actions, is further supported by Barlow, who criticises Thomas’ distant approach to his new responsibilities, where he does not visit the bed side of his dying predecessor; a disrespectful act of ingratitude, especially as Theobald had recommended Thomas for the position.</w:t>
      </w:r>
      <w:r w:rsidRPr="00136558">
        <w:rPr>
          <w:rFonts w:ascii="Arial Narrow" w:hAnsi="Arial Narrow"/>
          <w:vertAlign w:val="superscript"/>
        </w:rPr>
        <w:footnoteReference w:id="12"/>
      </w:r>
      <w:r w:rsidRPr="00136558">
        <w:rPr>
          <w:rFonts w:ascii="Arial Narrow" w:hAnsi="Arial Narrow"/>
        </w:rPr>
        <w:t xml:space="preserve"> The fowl treatment of his position, and the attitudes which he expresses, or fails to express, are some of the reasons that historians put forward for Thomas of Canterbury’s controversial canonisation. In character alone, Becket was not equal with previous saints.</w:t>
      </w:r>
    </w:p>
    <w:p w:rsidR="00136558" w:rsidRPr="00136558" w:rsidRDefault="00136558" w:rsidP="00136558">
      <w:pPr>
        <w:rPr>
          <w:rFonts w:ascii="Arial Narrow" w:hAnsi="Arial Narrow"/>
        </w:rPr>
      </w:pPr>
      <w:r w:rsidRPr="00136558">
        <w:rPr>
          <w:rFonts w:ascii="Arial Narrow" w:hAnsi="Arial Narrow"/>
        </w:rPr>
        <w:t>The last point made by historians is that Thomas of Canterbury was canonised not for his actions or character, but rather for what his actions symbolised and the circumstances of his death and perceived martyrdom. In response to the Constitution of Clarendon, Scully states that ‘although Henry was within his rights on strictly historical grounds, Becket argued that custom had to give way when conflicted with canon law and Holy Scripture’.</w:t>
      </w:r>
      <w:r w:rsidRPr="00136558">
        <w:rPr>
          <w:rFonts w:ascii="Arial Narrow" w:hAnsi="Arial Narrow"/>
          <w:vertAlign w:val="superscript"/>
        </w:rPr>
        <w:footnoteReference w:id="13"/>
      </w:r>
      <w:r w:rsidRPr="00136558">
        <w:rPr>
          <w:rFonts w:ascii="Arial Narrow" w:hAnsi="Arial Narrow"/>
        </w:rPr>
        <w:t xml:space="preserve"> This demonstrates the attitude that Thomas presented in his strive for the protection of the Church. Although this statement highlights that Becket acted in ways un-conventional ways, the overall conclusion is that Thomas of Canterbury acted on behalf of the rights of the church. Although Thomas acted in ways which Scully states was not supported by the pope,</w:t>
      </w:r>
      <w:r w:rsidRPr="00136558">
        <w:rPr>
          <w:rFonts w:ascii="Arial Narrow" w:hAnsi="Arial Narrow"/>
          <w:vertAlign w:val="superscript"/>
        </w:rPr>
        <w:footnoteReference w:id="14"/>
      </w:r>
      <w:r w:rsidRPr="00136558">
        <w:rPr>
          <w:rFonts w:ascii="Arial Narrow" w:hAnsi="Arial Narrow"/>
        </w:rPr>
        <w:t xml:space="preserve"> the message that he stood for validated his canonisation and was supported by Alexander III. Staunton cites the work of Anonymous I, which presents a posthumous look back at the life of Thomas Becket, which concludes that ‘And we indeed considered his life madness…when he was not turned by favour or fear, when he feared neither damnation nor death, when he stood up against the king’.</w:t>
      </w:r>
      <w:r w:rsidRPr="00136558">
        <w:rPr>
          <w:rFonts w:ascii="Arial Narrow" w:hAnsi="Arial Narrow"/>
          <w:vertAlign w:val="superscript"/>
        </w:rPr>
        <w:footnoteReference w:id="15"/>
      </w:r>
      <w:r w:rsidRPr="00136558">
        <w:rPr>
          <w:rFonts w:ascii="Arial Narrow" w:hAnsi="Arial Narrow"/>
        </w:rPr>
        <w:t xml:space="preserve"> It was not the individual themselves that was celebrated as a saint, but rather what their actions demonstrated in support of the Catholic church.</w:t>
      </w:r>
    </w:p>
    <w:p w:rsidR="00136558" w:rsidRPr="00136558" w:rsidRDefault="00136558" w:rsidP="00136558">
      <w:pPr>
        <w:rPr>
          <w:rFonts w:ascii="Arial Narrow" w:hAnsi="Arial Narrow"/>
        </w:rPr>
      </w:pPr>
    </w:p>
    <w:p w:rsidR="002269EB" w:rsidRDefault="002269EB"/>
    <w:p w:rsidR="00DA6455" w:rsidRDefault="00DA6455"/>
    <w:p w:rsidR="00DA6455" w:rsidRDefault="00DA6455"/>
    <w:p w:rsidR="00DA6455" w:rsidRDefault="00DA6455"/>
    <w:p w:rsidR="00DA6455" w:rsidRDefault="00DA6455"/>
    <w:p w:rsidR="00DA6455" w:rsidRDefault="00DA6455"/>
    <w:p w:rsidR="00DA6455" w:rsidRDefault="00DA6455"/>
    <w:p w:rsidR="00DA6455" w:rsidRDefault="00DA6455"/>
    <w:p w:rsidR="00DA6455" w:rsidRPr="00DA6455" w:rsidRDefault="00DA6455" w:rsidP="00DA6455">
      <w:pPr>
        <w:jc w:val="center"/>
        <w:rPr>
          <w:rFonts w:ascii="Arial Narrow" w:hAnsi="Arial Narrow"/>
          <w:u w:val="single"/>
        </w:rPr>
      </w:pPr>
      <w:r w:rsidRPr="00DA6455">
        <w:rPr>
          <w:rFonts w:ascii="Arial Narrow" w:hAnsi="Arial Narrow"/>
          <w:u w:val="single"/>
        </w:rPr>
        <w:lastRenderedPageBreak/>
        <w:t>A commentary on a textual source relating to a miracle resulting from your saint’s intercession</w:t>
      </w:r>
    </w:p>
    <w:p w:rsidR="00DA6455" w:rsidRPr="00DA6455" w:rsidRDefault="00DA6455" w:rsidP="00DA6455">
      <w:pPr>
        <w:rPr>
          <w:rFonts w:ascii="Arial Narrow" w:hAnsi="Arial Narrow"/>
          <w:u w:val="single"/>
        </w:rPr>
      </w:pPr>
    </w:p>
    <w:p w:rsidR="00DA6455" w:rsidRPr="00DA6455" w:rsidRDefault="00DA6455" w:rsidP="00DA6455">
      <w:pPr>
        <w:rPr>
          <w:rFonts w:ascii="Arial Narrow" w:hAnsi="Arial Narrow"/>
        </w:rPr>
      </w:pPr>
      <w:r w:rsidRPr="00DA6455">
        <w:rPr>
          <w:rFonts w:ascii="Arial Narrow" w:hAnsi="Arial Narrow"/>
        </w:rPr>
        <w:t xml:space="preserve">A selection of recorded miracles taken from William of Canterbury, ‘Miracles at the Shrine of Thomas Becket’, in </w:t>
      </w:r>
      <w:r w:rsidRPr="00DA6455">
        <w:rPr>
          <w:rFonts w:ascii="Arial Narrow" w:hAnsi="Arial Narrow"/>
          <w:i/>
        </w:rPr>
        <w:t>Pilgrimage in the Middle Ages: A Reader</w:t>
      </w:r>
      <w:r w:rsidRPr="00DA6455">
        <w:rPr>
          <w:rFonts w:ascii="Arial Narrow" w:hAnsi="Arial Narrow"/>
        </w:rPr>
        <w:t>, ed. B.E. Whalen (University of Toronto Press, 2011).</w:t>
      </w:r>
    </w:p>
    <w:p w:rsidR="00DA6455" w:rsidRPr="00DA6455" w:rsidRDefault="00DA6455" w:rsidP="00DA6455">
      <w:pPr>
        <w:rPr>
          <w:rFonts w:ascii="Arial Narrow" w:hAnsi="Arial Narrow"/>
        </w:rPr>
      </w:pPr>
    </w:p>
    <w:p w:rsidR="00DA6455" w:rsidRPr="00DA6455" w:rsidRDefault="00DA6455" w:rsidP="00DA6455">
      <w:pPr>
        <w:rPr>
          <w:rFonts w:ascii="Arial Narrow" w:hAnsi="Arial Narrow"/>
          <w:i/>
        </w:rPr>
      </w:pPr>
      <w:r w:rsidRPr="00DA6455">
        <w:rPr>
          <w:rFonts w:ascii="Arial Narrow" w:hAnsi="Arial Narrow"/>
          <w:i/>
        </w:rPr>
        <w:t>1.  ‘A woman called Eldida was born with a disease which had led to her being confined to her bed. One area that was particularly painful was her knee. When she visited the martyr with three women, she returned home with her pain relieved! ‘In witness of her recovered health, before us all with her appraised fist she struck her knee a hard blow, which since the second year of her illness she could not touch because of the pain. The people saw her walking about and praised the Lord; they were filled with wonder and amazed over what had happened to her. But we refrain from discussing why she remained lame and did not regain complete health, considering it more prudent to keep totally silent about God’s secret judgements than to draw rash conclusions from them’.</w:t>
      </w:r>
    </w:p>
    <w:p w:rsidR="00DA6455" w:rsidRPr="00DA6455" w:rsidRDefault="00DA6455" w:rsidP="00DA6455">
      <w:pPr>
        <w:rPr>
          <w:rFonts w:ascii="Arial Narrow" w:hAnsi="Arial Narrow"/>
          <w:i/>
        </w:rPr>
      </w:pPr>
    </w:p>
    <w:p w:rsidR="00DA6455" w:rsidRPr="00DA6455" w:rsidRDefault="00DA6455" w:rsidP="00DA6455">
      <w:pPr>
        <w:rPr>
          <w:rFonts w:ascii="Arial Narrow" w:hAnsi="Arial Narrow"/>
          <w:i/>
        </w:rPr>
      </w:pPr>
      <w:r w:rsidRPr="00DA6455">
        <w:rPr>
          <w:rFonts w:ascii="Arial Narrow" w:hAnsi="Arial Narrow"/>
          <w:i/>
        </w:rPr>
        <w:t>2. ‘Debilitated by a grave illness for two years or more, she [Muriel] thought that only the remedy of death would put an end to her suffering. When her husband realized the things that God’s martyr was gloriously doing, he offered his sick wife a drink of that health-giving drink (Becket’s blood mixed with water). She drank it, and by degrees over the course of three days began to suffer more than usual from weakness. By the third day she had weakened to the point of death, so much so that she was taken out of her bed lest … But she suddenly was nauseous and vomited up what was making her sick; for that whole day at regular intervals she did not stop vomiting. It was discovered that she was spitting up an enormous number of cherry stones, plum pits and acorns … And though, as we said, she was so incapacitated that she had been unable to set foot out of her house for more than two years, the next day, through the strength bestowed on her by God, she went on foot to the martyr. And all the people rejoiced together at the things he had gloriously done’.</w:t>
      </w:r>
    </w:p>
    <w:p w:rsidR="00DA6455" w:rsidRPr="00DA6455" w:rsidRDefault="00DA6455" w:rsidP="00DA6455">
      <w:pPr>
        <w:rPr>
          <w:rFonts w:ascii="Arial Narrow" w:hAnsi="Arial Narrow"/>
          <w:i/>
        </w:rPr>
      </w:pPr>
    </w:p>
    <w:p w:rsidR="00DA6455" w:rsidRPr="00DA6455" w:rsidRDefault="00DA6455" w:rsidP="00DA6455">
      <w:pPr>
        <w:rPr>
          <w:rFonts w:ascii="Arial Narrow" w:hAnsi="Arial Narrow"/>
          <w:i/>
        </w:rPr>
      </w:pPr>
      <w:r w:rsidRPr="00DA6455">
        <w:rPr>
          <w:rFonts w:ascii="Arial Narrow" w:hAnsi="Arial Narrow"/>
          <w:i/>
        </w:rPr>
        <w:t xml:space="preserve">3. ‘We think that it should not be forgotten that, while many people obtained a longed-for-healing, one person was denied outright. For the </w:t>
      </w:r>
      <w:proofErr w:type="gramStart"/>
      <w:r w:rsidRPr="00DA6455">
        <w:rPr>
          <w:rFonts w:ascii="Arial Narrow" w:hAnsi="Arial Narrow"/>
          <w:i/>
        </w:rPr>
        <w:t>holy father</w:t>
      </w:r>
      <w:proofErr w:type="gramEnd"/>
      <w:r w:rsidRPr="00DA6455">
        <w:rPr>
          <w:rFonts w:ascii="Arial Narrow" w:hAnsi="Arial Narrow"/>
          <w:i/>
        </w:rPr>
        <w:t xml:space="preserve"> [Becket] came to a crippled boy who had gone seeking a </w:t>
      </w:r>
      <w:proofErr w:type="spellStart"/>
      <w:r w:rsidRPr="00DA6455">
        <w:rPr>
          <w:rFonts w:ascii="Arial Narrow" w:hAnsi="Arial Narrow"/>
          <w:i/>
        </w:rPr>
        <w:t>favor</w:t>
      </w:r>
      <w:proofErr w:type="spellEnd"/>
      <w:r w:rsidRPr="00DA6455">
        <w:rPr>
          <w:rFonts w:ascii="Arial Narrow" w:hAnsi="Arial Narrow"/>
          <w:i/>
        </w:rPr>
        <w:t xml:space="preserve"> from the martyr and had </w:t>
      </w:r>
      <w:proofErr w:type="spellStart"/>
      <w:r w:rsidRPr="00DA6455">
        <w:rPr>
          <w:rFonts w:ascii="Arial Narrow" w:hAnsi="Arial Narrow"/>
          <w:i/>
        </w:rPr>
        <w:t>falled</w:t>
      </w:r>
      <w:proofErr w:type="spellEnd"/>
      <w:r w:rsidRPr="00DA6455">
        <w:rPr>
          <w:rFonts w:ascii="Arial Narrow" w:hAnsi="Arial Narrow"/>
          <w:i/>
        </w:rPr>
        <w:t xml:space="preserve"> asleep with his head resting on top of the tomb. “Why are you lying on me?” he asked. “You certainly will not be healed. Go away. I’ll do nothing for you”. These words woke him up and he told us and his mother what he had heard with great sadness of heart. Convinced by the </w:t>
      </w:r>
      <w:proofErr w:type="spellStart"/>
      <w:r w:rsidRPr="00DA6455">
        <w:rPr>
          <w:rFonts w:ascii="Arial Narrow" w:hAnsi="Arial Narrow"/>
          <w:i/>
        </w:rPr>
        <w:t>adamacy</w:t>
      </w:r>
      <w:proofErr w:type="spellEnd"/>
      <w:r w:rsidRPr="00DA6455">
        <w:rPr>
          <w:rFonts w:ascii="Arial Narrow" w:hAnsi="Arial Narrow"/>
          <w:i/>
        </w:rPr>
        <w:t xml:space="preserve"> of the [saint’s] words, he had taken himself elsewhere. Still, we urged him to press on with his prayers, and he agreed; but time passed and he did not regain his health…’</w:t>
      </w:r>
    </w:p>
    <w:p w:rsidR="00DA6455" w:rsidRPr="00DA6455" w:rsidRDefault="00DA6455" w:rsidP="00DA6455">
      <w:pPr>
        <w:rPr>
          <w:rFonts w:ascii="Arial Narrow" w:hAnsi="Arial Narrow"/>
          <w:i/>
        </w:rPr>
      </w:pPr>
    </w:p>
    <w:p w:rsidR="00DA6455" w:rsidRPr="00DA6455" w:rsidRDefault="00DA6455" w:rsidP="00DA6455">
      <w:pPr>
        <w:rPr>
          <w:rFonts w:ascii="Arial Narrow" w:hAnsi="Arial Narrow"/>
          <w:i/>
        </w:rPr>
      </w:pPr>
      <w:r w:rsidRPr="00DA6455">
        <w:rPr>
          <w:rFonts w:ascii="Arial Narrow" w:hAnsi="Arial Narrow"/>
          <w:i/>
        </w:rPr>
        <w:t xml:space="preserve">4. ‘From Christmas to Easter she continually experienced what the opposite of health is through a cramp in her bowels and a pain in her arm. A mental pain afflicted her as much as her physical suffering, for she was unable to work but </w:t>
      </w:r>
      <w:proofErr w:type="spellStart"/>
      <w:r w:rsidRPr="00DA6455">
        <w:rPr>
          <w:rFonts w:ascii="Arial Narrow" w:hAnsi="Arial Narrow"/>
          <w:i/>
        </w:rPr>
        <w:t>ashemed</w:t>
      </w:r>
      <w:proofErr w:type="spellEnd"/>
      <w:r w:rsidRPr="00DA6455">
        <w:rPr>
          <w:rFonts w:ascii="Arial Narrow" w:hAnsi="Arial Narrow"/>
          <w:i/>
        </w:rPr>
        <w:t xml:space="preserve"> to beg, </w:t>
      </w:r>
      <w:proofErr w:type="gramStart"/>
      <w:r w:rsidRPr="00DA6455">
        <w:rPr>
          <w:rFonts w:ascii="Arial Narrow" w:hAnsi="Arial Narrow"/>
          <w:i/>
        </w:rPr>
        <w:t>Her</w:t>
      </w:r>
      <w:proofErr w:type="gramEnd"/>
      <w:r w:rsidRPr="00DA6455">
        <w:rPr>
          <w:rFonts w:ascii="Arial Narrow" w:hAnsi="Arial Narrow"/>
          <w:i/>
        </w:rPr>
        <w:t xml:space="preserve"> spirit grew weary of life. She </w:t>
      </w:r>
      <w:proofErr w:type="spellStart"/>
      <w:r w:rsidRPr="00DA6455">
        <w:rPr>
          <w:rFonts w:ascii="Arial Narrow" w:hAnsi="Arial Narrow"/>
          <w:i/>
        </w:rPr>
        <w:t>feld</w:t>
      </w:r>
      <w:proofErr w:type="spellEnd"/>
      <w:r w:rsidRPr="00DA6455">
        <w:rPr>
          <w:rFonts w:ascii="Arial Narrow" w:hAnsi="Arial Narrow"/>
          <w:i/>
        </w:rPr>
        <w:t xml:space="preserve"> to the martyr, prayed to him, and slept. The martyr revealed his presence to the sleeper. “Rise,” he said, “offer your candle”. Leaping up, she discovered herself cured. She obeyed his order and showed herself so healthy and agile that she said with exaggeration that she was strong enough to fly’.</w:t>
      </w:r>
    </w:p>
    <w:p w:rsidR="00DA6455" w:rsidRPr="00DA6455" w:rsidRDefault="00DA6455" w:rsidP="00DA6455">
      <w:pPr>
        <w:rPr>
          <w:rFonts w:ascii="Arial Narrow" w:hAnsi="Arial Narrow"/>
          <w:i/>
        </w:rPr>
      </w:pPr>
    </w:p>
    <w:p w:rsidR="00DA6455" w:rsidRPr="00DA6455" w:rsidRDefault="00DA6455" w:rsidP="00DA6455">
      <w:pPr>
        <w:rPr>
          <w:rFonts w:ascii="Arial Narrow" w:hAnsi="Arial Narrow"/>
          <w:i/>
        </w:rPr>
      </w:pPr>
    </w:p>
    <w:p w:rsidR="00DA6455" w:rsidRPr="00DA6455" w:rsidRDefault="00DA6455" w:rsidP="00DA6455">
      <w:pPr>
        <w:rPr>
          <w:rFonts w:ascii="Arial Narrow" w:hAnsi="Arial Narrow"/>
          <w:i/>
        </w:rPr>
      </w:pPr>
    </w:p>
    <w:p w:rsidR="00DA6455" w:rsidRPr="00DA6455" w:rsidRDefault="00DA6455" w:rsidP="00DA6455">
      <w:pPr>
        <w:rPr>
          <w:rFonts w:ascii="Arial Narrow" w:hAnsi="Arial Narrow"/>
          <w:i/>
        </w:rPr>
      </w:pPr>
    </w:p>
    <w:p w:rsidR="00DA6455" w:rsidRPr="00DA6455" w:rsidRDefault="00DA6455" w:rsidP="00DA6455">
      <w:pPr>
        <w:rPr>
          <w:rFonts w:ascii="Arial Narrow" w:hAnsi="Arial Narrow"/>
        </w:rPr>
      </w:pPr>
      <w:r w:rsidRPr="00DA6455">
        <w:rPr>
          <w:rFonts w:ascii="Arial Narrow" w:hAnsi="Arial Narrow"/>
        </w:rPr>
        <w:lastRenderedPageBreak/>
        <w:t>The documentation of posthumous miracles by contemporary scholars are imperative for the modern day academic to establish the significance of recorded miracle collections in relation to the status of a particular saint, as well as to determine the nature by which a saint interacts with supplicants and how this helps to consolidate and legitimise an individuals’ canonisation. Miracle recordings, such as the selection written and edited by William of Canterbury in 1173-4,</w:t>
      </w:r>
      <w:r w:rsidRPr="00DA6455">
        <w:rPr>
          <w:rFonts w:ascii="Arial Narrow" w:hAnsi="Arial Narrow"/>
          <w:vertAlign w:val="superscript"/>
        </w:rPr>
        <w:footnoteReference w:id="16"/>
      </w:r>
      <w:r w:rsidRPr="00DA6455">
        <w:rPr>
          <w:rFonts w:ascii="Arial Narrow" w:hAnsi="Arial Narrow"/>
        </w:rPr>
        <w:t xml:space="preserve"> are also important in understanding the correlation between a saint’s popularity and the miracles they perform. William of Canterbury held the occupation of monk at Canterbury Cathedral and was ordained deacon by the archbishop himself during Becket’s exile,</w:t>
      </w:r>
      <w:r w:rsidRPr="00DA6455">
        <w:rPr>
          <w:rFonts w:ascii="Arial Narrow" w:hAnsi="Arial Narrow"/>
          <w:vertAlign w:val="superscript"/>
        </w:rPr>
        <w:footnoteReference w:id="17"/>
      </w:r>
      <w:r w:rsidRPr="00DA6455">
        <w:rPr>
          <w:rFonts w:ascii="Arial Narrow" w:hAnsi="Arial Narrow"/>
        </w:rPr>
        <w:t xml:space="preserve"> which makes him a significant individual when exploring the miracles of St Thomas Becket as he would have likely met him in his life time. It is also known that William was a witness to Becket’s death and a custodian of his shrine,</w:t>
      </w:r>
      <w:r w:rsidRPr="00DA6455">
        <w:rPr>
          <w:rFonts w:ascii="Arial Narrow" w:hAnsi="Arial Narrow"/>
          <w:vertAlign w:val="superscript"/>
        </w:rPr>
        <w:footnoteReference w:id="18"/>
      </w:r>
      <w:r w:rsidRPr="00DA6455">
        <w:rPr>
          <w:rFonts w:ascii="Arial Narrow" w:hAnsi="Arial Narrow"/>
        </w:rPr>
        <w:t xml:space="preserve"> and so would likely have witnessed instantaneous miracles that occurred after an individual’s invocation. It also means that he was familiar with the practice of documenting miracles, presenting his collection ‘to the king in 1174’.</w:t>
      </w:r>
      <w:r w:rsidRPr="00DA6455">
        <w:rPr>
          <w:rFonts w:ascii="Arial Narrow" w:hAnsi="Arial Narrow"/>
          <w:vertAlign w:val="superscript"/>
        </w:rPr>
        <w:footnoteReference w:id="19"/>
      </w:r>
      <w:r w:rsidRPr="00DA6455">
        <w:rPr>
          <w:rFonts w:ascii="Arial Narrow" w:hAnsi="Arial Narrow"/>
        </w:rPr>
        <w:t xml:space="preserve"> </w:t>
      </w:r>
    </w:p>
    <w:p w:rsidR="00DA6455" w:rsidRPr="00DA6455" w:rsidRDefault="00DA6455" w:rsidP="00DA6455">
      <w:pPr>
        <w:rPr>
          <w:rFonts w:ascii="Arial Narrow" w:hAnsi="Arial Narrow"/>
        </w:rPr>
      </w:pPr>
      <w:r w:rsidRPr="00DA6455">
        <w:rPr>
          <w:rFonts w:ascii="Arial Narrow" w:hAnsi="Arial Narrow"/>
        </w:rPr>
        <w:t>The dating of such a document is also crucial to our understanding of the text. Collected and recorded just three years after Becket’s death, the miracle collection credits a great amount of miracles to the past archbishop of Canterbury. The need to document so soon after death is, as Staunton argues, ‘to make sense of the most remarkable episode in recent history’.</w:t>
      </w:r>
      <w:r w:rsidRPr="00DA6455">
        <w:rPr>
          <w:rFonts w:ascii="Arial Narrow" w:hAnsi="Arial Narrow"/>
          <w:vertAlign w:val="superscript"/>
        </w:rPr>
        <w:footnoteReference w:id="20"/>
      </w:r>
      <w:r w:rsidRPr="00DA6455">
        <w:rPr>
          <w:rFonts w:ascii="Arial Narrow" w:hAnsi="Arial Narrow"/>
        </w:rPr>
        <w:t xml:space="preserve">  This need to understand and make sense of past events, can also be supported by the need to consolidate the departed to the status and title which they have been given. Thomas Becket was canonised in 1173 by Pope Alexander III,</w:t>
      </w:r>
      <w:r w:rsidRPr="00DA6455">
        <w:rPr>
          <w:rFonts w:ascii="Arial Narrow" w:hAnsi="Arial Narrow"/>
          <w:vertAlign w:val="superscript"/>
        </w:rPr>
        <w:footnoteReference w:id="21"/>
      </w:r>
      <w:r w:rsidRPr="00DA6455">
        <w:rPr>
          <w:rFonts w:ascii="Arial Narrow" w:hAnsi="Arial Narrow"/>
        </w:rPr>
        <w:t xml:space="preserve"> recognising the quick response to Thomas Becket’s death and the need to attribute his death to the will of God and the act of a martyr, perhaps because his death was so politically embedded. It could also be argued that the sheer amount of saintly literature was possible because those who were documenting it were from the clergy and literate.</w:t>
      </w:r>
      <w:r w:rsidRPr="00DA6455">
        <w:rPr>
          <w:rFonts w:ascii="Arial Narrow" w:hAnsi="Arial Narrow"/>
          <w:vertAlign w:val="superscript"/>
        </w:rPr>
        <w:footnoteReference w:id="22"/>
      </w:r>
      <w:r w:rsidRPr="00DA6455">
        <w:rPr>
          <w:rFonts w:ascii="Arial Narrow" w:hAnsi="Arial Narrow"/>
        </w:rPr>
        <w:t xml:space="preserve"> Ecclesiastical institutions were adopting individuals as saints and at the same time documenting to legitimise and record their posthumous status. Therefore textual evidence for the growth of cults of saints, miracle collections and </w:t>
      </w:r>
      <w:r w:rsidRPr="00DA6455">
        <w:rPr>
          <w:rFonts w:ascii="Arial Narrow" w:hAnsi="Arial Narrow"/>
          <w:i/>
        </w:rPr>
        <w:t>Lives</w:t>
      </w:r>
      <w:r w:rsidRPr="00DA6455">
        <w:rPr>
          <w:rFonts w:ascii="Arial Narrow" w:hAnsi="Arial Narrow"/>
        </w:rPr>
        <w:t xml:space="preserve"> are vast and extensive. The quick turn-around of literature relating to Thomas of Canterbury after his death, as well as the canonisation of Becket three years after his death, demonstrates the need to validate and legitimise an individual’s character and increase the deceased’s popularity amongst the living, as seen in this miracle collection by William of Canterbury. We see a need to increase popularity, fame and curiosity depicted by Guibert de Nogent when writing about the use of relics; a cynical view which gives a contemporary insight into the use of saints and development of cults to financially benefit certain establishments in the community. ‘Worthless records’ in abundance, he states, are used only to spread superstition and false news, with abbots ‘enticed by the multitude of gifts that were brought, suffered the fabrication of false miracles’.</w:t>
      </w:r>
      <w:r w:rsidRPr="00DA6455">
        <w:rPr>
          <w:rFonts w:ascii="Arial Narrow" w:hAnsi="Arial Narrow"/>
          <w:vertAlign w:val="superscript"/>
        </w:rPr>
        <w:footnoteReference w:id="23"/>
      </w:r>
      <w:r w:rsidRPr="00DA6455">
        <w:rPr>
          <w:rFonts w:ascii="Arial Narrow" w:hAnsi="Arial Narrow"/>
        </w:rPr>
        <w:t xml:space="preserve"> The survival of textual sources such as miracle collections, as well as publications by chroniclers on personal outlooks on this mass production, give us an insight into the controversial activity of saintly literature in the Middle Ages, with evidence that some believed it was a business on which to gain monetary income. </w:t>
      </w:r>
    </w:p>
    <w:p w:rsidR="00DA6455" w:rsidRPr="00DA6455" w:rsidRDefault="00DA6455" w:rsidP="00DA6455">
      <w:pPr>
        <w:rPr>
          <w:rFonts w:ascii="Arial Narrow" w:hAnsi="Arial Narrow"/>
        </w:rPr>
      </w:pPr>
      <w:r w:rsidRPr="00DA6455">
        <w:rPr>
          <w:rFonts w:ascii="Arial Narrow" w:hAnsi="Arial Narrow"/>
        </w:rPr>
        <w:t>The miracle collection of William of Canterbury is a diverse read, which includes a variety of miracles from healing miracles, to vindictive miracles, and also denied miracles. The one correlation between the selected extracts above are that all miracles mentioned are posthumous. This is a peculiar occurrence, as previous saints were known to perform miracles throughout their lifetime. For example, St Nicholas was known to miraculously feed the hungry in a time of famine.</w:t>
      </w:r>
      <w:r w:rsidRPr="00DA6455">
        <w:rPr>
          <w:rFonts w:ascii="Arial Narrow" w:hAnsi="Arial Narrow"/>
          <w:vertAlign w:val="superscript"/>
        </w:rPr>
        <w:footnoteReference w:id="24"/>
      </w:r>
      <w:r w:rsidRPr="00DA6455">
        <w:rPr>
          <w:rFonts w:ascii="Arial Narrow" w:hAnsi="Arial Narrow"/>
        </w:rPr>
        <w:t xml:space="preserve"> However in </w:t>
      </w:r>
      <w:r w:rsidRPr="00DA6455">
        <w:rPr>
          <w:rFonts w:ascii="Arial Narrow" w:hAnsi="Arial Narrow"/>
          <w:i/>
        </w:rPr>
        <w:t xml:space="preserve">The Annals of Roger de </w:t>
      </w:r>
      <w:proofErr w:type="spellStart"/>
      <w:r w:rsidRPr="00DA6455">
        <w:rPr>
          <w:rFonts w:ascii="Arial Narrow" w:hAnsi="Arial Narrow"/>
          <w:i/>
        </w:rPr>
        <w:t>Hovedon</w:t>
      </w:r>
      <w:proofErr w:type="spellEnd"/>
      <w:r w:rsidRPr="00DA6455">
        <w:rPr>
          <w:rFonts w:ascii="Arial Narrow" w:hAnsi="Arial Narrow"/>
        </w:rPr>
        <w:t xml:space="preserve">, dated to the thirteenth century, it is recorded that in 1170 AD, St Thomas of Canterbury performed a miracle in front of the archbishop at </w:t>
      </w:r>
      <w:r w:rsidRPr="00DA6455">
        <w:rPr>
          <w:rFonts w:ascii="Arial Narrow" w:hAnsi="Arial Narrow"/>
        </w:rPr>
        <w:lastRenderedPageBreak/>
        <w:t>the abbey of St Columba; turning water into wine and vice versa. Nevertheless, focusing on the fact that this hagiography was written two hundred years after Becket’s death and the miracle took place in the year that he was fated to die, it is unlikely that this really happened and it is probable that this was added to balance the ratio of miracles before and after death; to further validate Becket’s posthumous status. It could be argued that the miracle account acts as a textual example of the individual’s spirituality, which allows them to become an intercessor between the individual and the divine, and identify the divine from the ordinary.</w:t>
      </w:r>
    </w:p>
    <w:p w:rsidR="00DA6455" w:rsidRPr="00DA6455" w:rsidRDefault="00DA6455" w:rsidP="00DA6455">
      <w:pPr>
        <w:rPr>
          <w:rFonts w:ascii="Arial Narrow" w:hAnsi="Arial Narrow"/>
        </w:rPr>
      </w:pPr>
      <w:r w:rsidRPr="00DA6455">
        <w:rPr>
          <w:rFonts w:ascii="Arial Narrow" w:hAnsi="Arial Narrow"/>
        </w:rPr>
        <w:t>Exploring further the nature of the miracles recorded by William of Canterbury, the adaptable nature and character of St Thomas of Canterbury is remarkably vast. It is a common misconception that miracles are positive occurrences, and this material disproves this view. A great example of the saint’s vindictive and punishable manner towards those who invoke his help is the account of the crippled boy who, accidentally falling asleep on the aforesaid saint’s shrine, was woken up by the words: ‘“You certainly will not be healed. Go away. I’ll do nothing for you”’.</w:t>
      </w:r>
      <w:r w:rsidRPr="00DA6455">
        <w:rPr>
          <w:rFonts w:ascii="Arial Narrow" w:hAnsi="Arial Narrow"/>
          <w:vertAlign w:val="superscript"/>
        </w:rPr>
        <w:footnoteReference w:id="25"/>
      </w:r>
      <w:r w:rsidRPr="00DA6455">
        <w:rPr>
          <w:rFonts w:ascii="Arial Narrow" w:hAnsi="Arial Narrow"/>
        </w:rPr>
        <w:t xml:space="preserve"> The boy never regained health, expressing Becket’s nature as stubborn and, some could say, aggressive and unforgiving. However, it is this diversity in miracles which attracts people’s attention to the saint. The fact that this miracle is written alongside another entry where a woman was cured of bowel pain so painful that it stopped her from being able to walk and, after a visit to Becket’s shrine, was instantly healed, is a bizarre but understandable one. A saint accommodating more than one mannerism or characteristic in their attitudes towards the supplicant makes them more human and less out of reach. Special devotion and the concept of a friend that a person can confide in is essential in the popularity of a saint, and so to make the characteristic of the saint relatable and achievable to all is beneficial in both popularity and an individual’s personal catholic devotion. The miracle collection extracts also introduce other aspects of miraculous nature, such as a stage of suffering bestowed by the saint in order to be guided to better health.</w:t>
      </w:r>
      <w:r w:rsidRPr="00DA6455">
        <w:rPr>
          <w:rFonts w:ascii="Arial Narrow" w:hAnsi="Arial Narrow"/>
          <w:vertAlign w:val="superscript"/>
        </w:rPr>
        <w:footnoteReference w:id="26"/>
      </w:r>
      <w:r w:rsidRPr="00DA6455">
        <w:rPr>
          <w:rFonts w:ascii="Arial Narrow" w:hAnsi="Arial Narrow"/>
        </w:rPr>
        <w:t xml:space="preserve"> Typically, a saint miraculously cures those who seek help on the spot, whereas Becket’s actions often have a didactic nature, as seen by this previous example, which focuses on the need for inner spiritual healing before physical healing can commence. Throughout this miracle collection, the nature of interaction between saint and supplicant is diverse and varied and legitimises the saint’s posthumous status. Throughout this textual source, Becket’s posthumous character and nature is presented to legitimise and validate his saintly character assigned to him after martyrdom. </w:t>
      </w:r>
    </w:p>
    <w:p w:rsidR="00DA6455" w:rsidRPr="00DA6455" w:rsidRDefault="00DA6455" w:rsidP="00DA6455">
      <w:pPr>
        <w:rPr>
          <w:rFonts w:ascii="Arial Narrow" w:hAnsi="Arial Narrow"/>
        </w:rPr>
      </w:pPr>
    </w:p>
    <w:p w:rsidR="00DA6455" w:rsidRDefault="00DA6455"/>
    <w:p w:rsidR="00BA2BF2" w:rsidRDefault="00BA2BF2"/>
    <w:p w:rsidR="00BA2BF2" w:rsidRDefault="00BA2BF2"/>
    <w:p w:rsidR="00BA2BF2" w:rsidRDefault="00BA2BF2"/>
    <w:p w:rsidR="00BA2BF2" w:rsidRDefault="00BA2BF2"/>
    <w:p w:rsidR="00BA2BF2" w:rsidRDefault="00BA2BF2"/>
    <w:p w:rsidR="00BA2BF2" w:rsidRDefault="00BA2BF2"/>
    <w:p w:rsidR="00BA2BF2" w:rsidRDefault="00BA2BF2"/>
    <w:p w:rsidR="00BA2BF2" w:rsidRDefault="00BA2BF2"/>
    <w:p w:rsidR="00BA2BF2" w:rsidRDefault="00BA2BF2"/>
    <w:p w:rsidR="00BA2BF2" w:rsidRPr="00BA2BF2" w:rsidRDefault="00BA2BF2" w:rsidP="00BA2BF2">
      <w:pPr>
        <w:jc w:val="center"/>
        <w:rPr>
          <w:rFonts w:ascii="Arial Narrow" w:hAnsi="Arial Narrow"/>
          <w:u w:val="single"/>
        </w:rPr>
      </w:pPr>
      <w:r w:rsidRPr="00BA2BF2">
        <w:rPr>
          <w:rFonts w:ascii="Arial Narrow" w:hAnsi="Arial Narrow"/>
          <w:u w:val="single"/>
        </w:rPr>
        <w:lastRenderedPageBreak/>
        <w:t>A commentary on a material or visual source relating to the cult of your chosen saint</w:t>
      </w:r>
    </w:p>
    <w:p w:rsidR="00BA2BF2" w:rsidRPr="00BA2BF2" w:rsidRDefault="00BA2BF2" w:rsidP="00BA2BF2">
      <w:pPr>
        <w:jc w:val="center"/>
        <w:rPr>
          <w:rFonts w:ascii="Arial Narrow" w:hAnsi="Arial Narrow"/>
        </w:rPr>
      </w:pPr>
      <w:r w:rsidRPr="00BA2BF2">
        <w:rPr>
          <w:rFonts w:ascii="Arial Narrow" w:hAnsi="Arial Narrow"/>
        </w:rPr>
        <w:drawing>
          <wp:inline distT="0" distB="0" distL="0" distR="0" wp14:anchorId="1CE47200" wp14:editId="02F6226D">
            <wp:extent cx="4828540" cy="72002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8540" cy="7200265"/>
                    </a:xfrm>
                    <a:prstGeom prst="rect">
                      <a:avLst/>
                    </a:prstGeom>
                    <a:noFill/>
                  </pic:spPr>
                </pic:pic>
              </a:graphicData>
            </a:graphic>
          </wp:inline>
        </w:drawing>
      </w:r>
    </w:p>
    <w:p w:rsidR="00BA2BF2" w:rsidRPr="00BA2BF2" w:rsidRDefault="00BA2BF2" w:rsidP="00BA2BF2">
      <w:pPr>
        <w:jc w:val="center"/>
        <w:rPr>
          <w:rFonts w:ascii="Arial Narrow" w:hAnsi="Arial Narrow"/>
        </w:rPr>
      </w:pPr>
      <w:r w:rsidRPr="00BA2BF2">
        <w:rPr>
          <w:rFonts w:ascii="Arial Narrow" w:hAnsi="Arial Narrow"/>
        </w:rPr>
        <w:t>The attempted erasure of St Thomas of Canterbury from a Book of Hours, France (Rouen), c. 1430 – 1440, Harley 2900, f. 56v.</w:t>
      </w:r>
    </w:p>
    <w:p w:rsidR="00BA2BF2" w:rsidRPr="00BA2BF2" w:rsidRDefault="00BA2BF2" w:rsidP="00BA2BF2">
      <w:pPr>
        <w:rPr>
          <w:rFonts w:ascii="Arial Narrow" w:hAnsi="Arial Narrow"/>
        </w:rPr>
      </w:pPr>
    </w:p>
    <w:p w:rsidR="00BA2BF2" w:rsidRPr="00BA2BF2" w:rsidRDefault="00BA2BF2" w:rsidP="00BA2BF2">
      <w:pPr>
        <w:rPr>
          <w:rFonts w:ascii="Arial Narrow" w:hAnsi="Arial Narrow"/>
        </w:rPr>
      </w:pPr>
    </w:p>
    <w:p w:rsidR="00BA2BF2" w:rsidRPr="00BA2BF2" w:rsidRDefault="00BA2BF2" w:rsidP="00BA2BF2">
      <w:pPr>
        <w:rPr>
          <w:rFonts w:ascii="Arial Narrow" w:hAnsi="Arial Narrow"/>
        </w:rPr>
      </w:pPr>
      <w:r w:rsidRPr="00BA2BF2">
        <w:rPr>
          <w:rFonts w:ascii="Arial Narrow" w:hAnsi="Arial Narrow"/>
        </w:rPr>
        <w:lastRenderedPageBreak/>
        <w:t xml:space="preserve">The cult of St Thomas of Canterbury is one of the most controversial and popular </w:t>
      </w:r>
      <w:proofErr w:type="gramStart"/>
      <w:r w:rsidRPr="00BA2BF2">
        <w:rPr>
          <w:rFonts w:ascii="Arial Narrow" w:hAnsi="Arial Narrow"/>
        </w:rPr>
        <w:t>cults</w:t>
      </w:r>
      <w:proofErr w:type="gramEnd"/>
      <w:r w:rsidRPr="00BA2BF2">
        <w:rPr>
          <w:rFonts w:ascii="Arial Narrow" w:hAnsi="Arial Narrow"/>
        </w:rPr>
        <w:t xml:space="preserve"> active between the eleventh and sixteenth century, and arguably acted as a catalyst of increased international personal Catholic devotion in the Middle Ages. The Protestant Reformation, which commenced in 1517 by way of the actions of Martin Luther at Wittenberg,</w:t>
      </w:r>
      <w:r w:rsidRPr="00BA2BF2">
        <w:rPr>
          <w:rFonts w:ascii="Arial Narrow" w:hAnsi="Arial Narrow"/>
          <w:vertAlign w:val="superscript"/>
        </w:rPr>
        <w:footnoteReference w:id="27"/>
      </w:r>
      <w:r w:rsidRPr="00BA2BF2">
        <w:rPr>
          <w:rFonts w:ascii="Arial Narrow" w:hAnsi="Arial Narrow"/>
        </w:rPr>
        <w:t xml:space="preserve"> tackled issues that many theologians and monastic orders had with the cult of saints, and special devotion to particular ‘blessed’ individuals. Other issues included the concept of indulgences, which Luther expressed in his letter addressed to the archbishop in the same year, protesting the sale of indulgences to fund the building of St Paul’s basilica.</w:t>
      </w:r>
      <w:r w:rsidRPr="00BA2BF2">
        <w:rPr>
          <w:rFonts w:ascii="Arial Narrow" w:hAnsi="Arial Narrow"/>
          <w:vertAlign w:val="superscript"/>
        </w:rPr>
        <w:footnoteReference w:id="28"/>
      </w:r>
      <w:r w:rsidRPr="00BA2BF2">
        <w:rPr>
          <w:rFonts w:ascii="Arial Narrow" w:hAnsi="Arial Narrow"/>
        </w:rPr>
        <w:t xml:space="preserve"> Other issues included the idea of pilgrimage and the financial backing that cults of saints needed in order to survive and be successful, which were often viewed as polar opposites in regards to the message of the Bible, where giving to the poor and helping the homeless were of greater importance.</w:t>
      </w:r>
      <w:r w:rsidRPr="00BA2BF2">
        <w:rPr>
          <w:rFonts w:ascii="Arial Narrow" w:hAnsi="Arial Narrow"/>
          <w:vertAlign w:val="superscript"/>
        </w:rPr>
        <w:footnoteReference w:id="29"/>
      </w:r>
      <w:r w:rsidRPr="00BA2BF2">
        <w:rPr>
          <w:rFonts w:ascii="Arial Narrow" w:hAnsi="Arial Narrow"/>
        </w:rPr>
        <w:t xml:space="preserve"> The attempted erasure of Thomas Becket in the sixteenth century, as seen in this manuscript image, prompts many questions on the historical context in which it lived. What impact did the attempted suffocation of cults of saints throughout England have on the society which encompassed it and allowed it to flourish, and was it successful in extinguishing the cult of St Thomas of Canterbury? </w:t>
      </w:r>
    </w:p>
    <w:p w:rsidR="00BA2BF2" w:rsidRPr="00BA2BF2" w:rsidRDefault="00BA2BF2" w:rsidP="00BA2BF2">
      <w:pPr>
        <w:rPr>
          <w:rFonts w:ascii="Arial Narrow" w:hAnsi="Arial Narrow"/>
        </w:rPr>
      </w:pPr>
      <w:r w:rsidRPr="00BA2BF2">
        <w:rPr>
          <w:rFonts w:ascii="Arial Narrow" w:hAnsi="Arial Narrow"/>
        </w:rPr>
        <w:t>A typical representation of Becket’s martyrdom is presented in this image, with the kneeling Becket praying and accepting his fate whilst one clerk stands in front trying to defend the martyr. It is common for the action of the knight to be cutting off the top of the saint’s head, and knocking off his mitre onto the floor. Thomas always seems passive in this scene, which is why many chroniclers of the time are often approach his martyrdom as heroic, as Becket is said to not once wince at the idea of death. For example Edward Grim, writing in the twelfth century in less than ten years of Becket’s death, depicts Becket with dialect. ‘“And I," he said, "am prepared to die for my Lord, so that in my blood the church will attain liberty and peace”’.</w:t>
      </w:r>
      <w:r w:rsidRPr="00BA2BF2">
        <w:rPr>
          <w:rFonts w:ascii="Arial Narrow" w:hAnsi="Arial Narrow"/>
          <w:vertAlign w:val="superscript"/>
        </w:rPr>
        <w:footnoteReference w:id="30"/>
      </w:r>
      <w:r w:rsidRPr="00BA2BF2">
        <w:rPr>
          <w:rFonts w:ascii="Arial Narrow" w:hAnsi="Arial Narrow"/>
        </w:rPr>
        <w:t xml:space="preserve"> This common and widely distributed visual scene of Becket, who performs as a non-active bystander to his own death, and hints towards Becket’s martyrdom for his courage and acceptance of death in acting out for the rights of the church.</w:t>
      </w:r>
    </w:p>
    <w:p w:rsidR="00BA2BF2" w:rsidRPr="00BA2BF2" w:rsidRDefault="00BA2BF2" w:rsidP="00BA2BF2">
      <w:pPr>
        <w:rPr>
          <w:rFonts w:ascii="Arial Narrow" w:hAnsi="Arial Narrow"/>
        </w:rPr>
      </w:pPr>
      <w:r w:rsidRPr="00BA2BF2">
        <w:rPr>
          <w:rFonts w:ascii="Arial Narrow" w:hAnsi="Arial Narrow"/>
        </w:rPr>
        <w:t xml:space="preserve">It can be inferred from this manuscript image, dated approximately one hundred years before the beginning of the Protestant Reformation, that the cult of saints was still a popular aspect of communal life in the later </w:t>
      </w:r>
      <w:proofErr w:type="gramStart"/>
      <w:r w:rsidRPr="00BA2BF2">
        <w:rPr>
          <w:rFonts w:ascii="Arial Narrow" w:hAnsi="Arial Narrow"/>
        </w:rPr>
        <w:t>Middle</w:t>
      </w:r>
      <w:proofErr w:type="gramEnd"/>
      <w:r w:rsidRPr="00BA2BF2">
        <w:rPr>
          <w:rFonts w:ascii="Arial Narrow" w:hAnsi="Arial Narrow"/>
        </w:rPr>
        <w:t xml:space="preserve"> Ages, with this particular image created in the early-mid fifteenth century. However, a closer look at the image highlights the scratches made over the textual aspect of the illumination, and the removal of details such as the face to make the individuals somewhat less recognisable. The attempt to make this scene less identifiable by those using it, taking into account that it is a Book of Hours and so a personal possession, showcases the Reformation’s minimalistic impact on erasing the existence of </w:t>
      </w:r>
      <w:proofErr w:type="gramStart"/>
      <w:r w:rsidRPr="00BA2BF2">
        <w:rPr>
          <w:rFonts w:ascii="Arial Narrow" w:hAnsi="Arial Narrow"/>
        </w:rPr>
        <w:t>cults</w:t>
      </w:r>
      <w:proofErr w:type="gramEnd"/>
      <w:r w:rsidRPr="00BA2BF2">
        <w:rPr>
          <w:rFonts w:ascii="Arial Narrow" w:hAnsi="Arial Narrow"/>
        </w:rPr>
        <w:t xml:space="preserve"> altogether. In this sense, the complete successful erasure of iconography would mean that these sort of manuscripts would not have survived. It is important to note the function of a Book of Hours as a personal instrument for personalised devotion. Attempts to discard the iconography of martyrs and </w:t>
      </w:r>
      <w:r w:rsidRPr="00BA2BF2">
        <w:rPr>
          <w:rFonts w:ascii="Arial Narrow" w:hAnsi="Arial Narrow"/>
          <w:i/>
        </w:rPr>
        <w:t xml:space="preserve">sancti, </w:t>
      </w:r>
      <w:r w:rsidRPr="00BA2BF2">
        <w:rPr>
          <w:rFonts w:ascii="Arial Narrow" w:hAnsi="Arial Narrow"/>
        </w:rPr>
        <w:t xml:space="preserve">when looking at this particular illumination, can be seen as very marginal, with only a few scratches made through the textual context of the scene so that it is still readable to those familiar with the text. The image is also a very famous and common depiction of Becket’s death. Therefore, if somebody was familiar with this scene, they would still be able to identify this image as the martyrdom Thomas of Canterbury, even with these acts of displacement employed. </w:t>
      </w:r>
    </w:p>
    <w:p w:rsidR="00BA2BF2" w:rsidRPr="00BA2BF2" w:rsidRDefault="00BA2BF2" w:rsidP="00BA2BF2">
      <w:pPr>
        <w:rPr>
          <w:rFonts w:ascii="Arial Narrow" w:hAnsi="Arial Narrow"/>
        </w:rPr>
      </w:pPr>
      <w:r w:rsidRPr="00BA2BF2">
        <w:rPr>
          <w:rFonts w:ascii="Arial Narrow" w:hAnsi="Arial Narrow"/>
        </w:rPr>
        <w:t>It can be argued that this ‘attempt’ to ‘extol any images, relics or miracles’</w:t>
      </w:r>
      <w:r w:rsidRPr="00BA2BF2">
        <w:rPr>
          <w:rFonts w:ascii="Arial Narrow" w:hAnsi="Arial Narrow"/>
          <w:vertAlign w:val="superscript"/>
        </w:rPr>
        <w:footnoteReference w:id="31"/>
      </w:r>
      <w:r w:rsidRPr="00BA2BF2">
        <w:rPr>
          <w:rFonts w:ascii="Arial Narrow" w:hAnsi="Arial Narrow"/>
        </w:rPr>
        <w:t xml:space="preserve"> is an example of the existing resistance to the idea of the extermination of ‘idolatry’ throughout the British Isles at this time. This image not </w:t>
      </w:r>
      <w:r w:rsidRPr="00BA2BF2">
        <w:rPr>
          <w:rFonts w:ascii="Arial Narrow" w:hAnsi="Arial Narrow"/>
        </w:rPr>
        <w:lastRenderedPageBreak/>
        <w:t>only portrays the historical context in which it was created (where devotion to blessed individuals was a popular act) but also portrays the historical context and attitudes of those affected in the years that it was vandalised. For example, injunctions such as the dismantling of shrines, were introduced during the Dissolution of the Monasteries in 1538,</w:t>
      </w:r>
      <w:r w:rsidRPr="00BA2BF2">
        <w:rPr>
          <w:rFonts w:ascii="Arial Narrow" w:hAnsi="Arial Narrow"/>
          <w:vertAlign w:val="superscript"/>
        </w:rPr>
        <w:footnoteReference w:id="32"/>
      </w:r>
      <w:r w:rsidRPr="00BA2BF2">
        <w:rPr>
          <w:rFonts w:ascii="Arial Narrow" w:hAnsi="Arial Narrow"/>
        </w:rPr>
        <w:t xml:space="preserve"> to reinforce the introduced complaints made previously by Martin Luther in 1517</w:t>
      </w:r>
      <w:r w:rsidRPr="00BA2BF2">
        <w:rPr>
          <w:rFonts w:ascii="Arial Narrow" w:hAnsi="Arial Narrow"/>
          <w:vertAlign w:val="superscript"/>
        </w:rPr>
        <w:footnoteReference w:id="33"/>
      </w:r>
      <w:r w:rsidRPr="00BA2BF2">
        <w:rPr>
          <w:rFonts w:ascii="Arial Narrow" w:hAnsi="Arial Narrow"/>
        </w:rPr>
        <w:t>, and Desiderius Erasmus,</w:t>
      </w:r>
      <w:r w:rsidRPr="00BA2BF2">
        <w:rPr>
          <w:rFonts w:ascii="Arial Narrow" w:hAnsi="Arial Narrow"/>
          <w:vertAlign w:val="superscript"/>
        </w:rPr>
        <w:footnoteReference w:id="34"/>
      </w:r>
      <w:r w:rsidRPr="00BA2BF2">
        <w:rPr>
          <w:rFonts w:ascii="Arial Narrow" w:hAnsi="Arial Narrow"/>
        </w:rPr>
        <w:t xml:space="preserve"> to separate Christianity from the idolatry of the saint. ‘In September 1538 the shrine at Canterbury was demolished, and Thomas's relics were burned or reburied in secret … Thomas's martyrdom was declared to have been a lie’.</w:t>
      </w:r>
      <w:r w:rsidRPr="00BA2BF2">
        <w:rPr>
          <w:rFonts w:ascii="Arial Narrow" w:hAnsi="Arial Narrow"/>
          <w:vertAlign w:val="superscript"/>
        </w:rPr>
        <w:footnoteReference w:id="35"/>
      </w:r>
      <w:r w:rsidRPr="00BA2BF2">
        <w:rPr>
          <w:rFonts w:ascii="Arial Narrow" w:hAnsi="Arial Narrow"/>
        </w:rPr>
        <w:t xml:space="preserve"> This need to reinforce the new doctrine of the church and at such a drastic change to the functionality of the laity, demonstrates the edicts of Luther as not completely unsuccessful, but perhaps ineffective in its earlier years. In reference to the image, the actions of the individual in ‘extolling’ the images of martyrdom are half-heartedly done, as if the owner themselves was opposed to the idea and wanted to preserve the image as much as possible for future use. Performing the absolute minimum to please institutions and individuals inducing the Reformation within society, such as the monarchy, theologians and aspects of the clergy, is a way in which devotees of saints managed to correspond with the Reformation whilst all the while enabling themselves to continue in their traditional rituals in private. To change a communities’ mentality towards an ‘issue’ that they, themselves, have believed in and performed their lives around, is a very difficult edict to achieve overnight. This manuscript image is an example of this. </w:t>
      </w:r>
    </w:p>
    <w:p w:rsidR="00BA2BF2" w:rsidRPr="00BA2BF2" w:rsidRDefault="00BA2BF2" w:rsidP="00BA2BF2">
      <w:pPr>
        <w:rPr>
          <w:rFonts w:ascii="Arial Narrow" w:hAnsi="Arial Narrow"/>
        </w:rPr>
      </w:pPr>
      <w:r w:rsidRPr="00BA2BF2">
        <w:rPr>
          <w:rFonts w:ascii="Arial Narrow" w:hAnsi="Arial Narrow"/>
        </w:rPr>
        <w:t>‘Let’s blow up the tropes and glosses of men and simply accept the words of God!’</w:t>
      </w:r>
      <w:r w:rsidRPr="00BA2BF2">
        <w:rPr>
          <w:rFonts w:ascii="Arial Narrow" w:hAnsi="Arial Narrow"/>
          <w:vertAlign w:val="superscript"/>
        </w:rPr>
        <w:footnoteReference w:id="36"/>
      </w:r>
      <w:r w:rsidRPr="00BA2BF2">
        <w:rPr>
          <w:rFonts w:ascii="Arial Narrow" w:hAnsi="Arial Narrow"/>
        </w:rPr>
        <w:t xml:space="preserve"> This quote, taken from Martin Luther during one of his sermons, is an effective way of establishing the motives of the Protestant Reformation in the sixteenth century. This image, though produced in France originally, was in possession of an individual in England throughout the time of the Reformation</w:t>
      </w:r>
      <w:r w:rsidRPr="00BA2BF2">
        <w:rPr>
          <w:rFonts w:ascii="Arial Narrow" w:hAnsi="Arial Narrow"/>
          <w:vertAlign w:val="superscript"/>
        </w:rPr>
        <w:footnoteReference w:id="37"/>
      </w:r>
      <w:r w:rsidRPr="00BA2BF2">
        <w:rPr>
          <w:rFonts w:ascii="Arial Narrow" w:hAnsi="Arial Narrow"/>
        </w:rPr>
        <w:t xml:space="preserve"> and therefore was subject to iconoclasm, and highlights the attitudes of those individuals impacted by the movement whilst also focusing on how the injunctions were received by those who invoked St Thomas Becket. Analysis of this particular image concludes that the Reformation did impact that society in which saints were made and remembered, as adjustments are made to the illumination, and so the interdicts were not completely ignored. However, the page could also have been cut out and completely disregarded, and this is not the case, suggesting that the individual in possession of this artefact did not want to forget or lose this image. This surviving evidence shows that the cult of St Becket was not completely disregarded but did suffer a gradual decline, though it can be argued that a decline in the celebration and practices of cults was inevitable in the later </w:t>
      </w:r>
      <w:proofErr w:type="gramStart"/>
      <w:r w:rsidRPr="00BA2BF2">
        <w:rPr>
          <w:rFonts w:ascii="Arial Narrow" w:hAnsi="Arial Narrow"/>
        </w:rPr>
        <w:t>Middle</w:t>
      </w:r>
      <w:proofErr w:type="gramEnd"/>
      <w:r w:rsidRPr="00BA2BF2">
        <w:rPr>
          <w:rFonts w:ascii="Arial Narrow" w:hAnsi="Arial Narrow"/>
        </w:rPr>
        <w:t xml:space="preserve"> Ages.</w:t>
      </w:r>
      <w:r w:rsidRPr="00BA2BF2">
        <w:rPr>
          <w:rFonts w:ascii="Arial Narrow" w:hAnsi="Arial Narrow"/>
          <w:vertAlign w:val="superscript"/>
        </w:rPr>
        <w:footnoteReference w:id="38"/>
      </w:r>
      <w:r w:rsidRPr="00BA2BF2">
        <w:rPr>
          <w:rFonts w:ascii="Arial Narrow" w:hAnsi="Arial Narrow"/>
        </w:rPr>
        <w:t xml:space="preserve"> </w:t>
      </w:r>
    </w:p>
    <w:p w:rsidR="00BA2BF2" w:rsidRDefault="00BA2BF2"/>
    <w:p w:rsidR="0043187B" w:rsidRDefault="0043187B"/>
    <w:p w:rsidR="0043187B" w:rsidRDefault="0043187B"/>
    <w:p w:rsidR="0043187B" w:rsidRDefault="0043187B"/>
    <w:p w:rsidR="0043187B" w:rsidRDefault="0043187B"/>
    <w:p w:rsidR="0043187B" w:rsidRDefault="0043187B"/>
    <w:p w:rsidR="0043187B" w:rsidRDefault="0043187B"/>
    <w:p w:rsidR="0043187B" w:rsidRDefault="0043187B"/>
    <w:p w:rsidR="0043187B" w:rsidRPr="0043187B" w:rsidRDefault="0043187B" w:rsidP="0043187B">
      <w:pPr>
        <w:jc w:val="center"/>
        <w:rPr>
          <w:rFonts w:ascii="Arial Narrow" w:hAnsi="Arial Narrow"/>
          <w:u w:val="single"/>
        </w:rPr>
      </w:pPr>
      <w:r w:rsidRPr="0043187B">
        <w:rPr>
          <w:rFonts w:ascii="Arial Narrow" w:hAnsi="Arial Narrow"/>
          <w:u w:val="single"/>
        </w:rPr>
        <w:lastRenderedPageBreak/>
        <w:t>An analysis on the significance of your chosen saint in relation to one of the themes of the module</w:t>
      </w:r>
    </w:p>
    <w:p w:rsidR="0043187B" w:rsidRPr="0043187B" w:rsidRDefault="0043187B" w:rsidP="0043187B">
      <w:pPr>
        <w:numPr>
          <w:ilvl w:val="0"/>
          <w:numId w:val="2"/>
        </w:numPr>
        <w:rPr>
          <w:rFonts w:ascii="Arial Narrow" w:hAnsi="Arial Narrow"/>
        </w:rPr>
      </w:pPr>
      <w:r w:rsidRPr="0043187B">
        <w:rPr>
          <w:rFonts w:ascii="Arial Narrow" w:hAnsi="Arial Narrow"/>
        </w:rPr>
        <w:t>The intern</w:t>
      </w:r>
      <w:r w:rsidR="00082549">
        <w:rPr>
          <w:rFonts w:ascii="Arial Narrow" w:hAnsi="Arial Narrow"/>
        </w:rPr>
        <w:t>ational significance of Thomas B</w:t>
      </w:r>
      <w:r w:rsidRPr="0043187B">
        <w:rPr>
          <w:rFonts w:ascii="Arial Narrow" w:hAnsi="Arial Narrow"/>
        </w:rPr>
        <w:t>ecket</w:t>
      </w:r>
      <w:r w:rsidR="00082549">
        <w:rPr>
          <w:rFonts w:ascii="Arial Narrow" w:hAnsi="Arial Narrow"/>
        </w:rPr>
        <w:t>’</w:t>
      </w:r>
      <w:r w:rsidRPr="0043187B">
        <w:rPr>
          <w:rFonts w:ascii="Arial Narrow" w:hAnsi="Arial Narrow"/>
        </w:rPr>
        <w:t>s killing/murder.</w:t>
      </w:r>
    </w:p>
    <w:p w:rsidR="0043187B" w:rsidRPr="0043187B" w:rsidRDefault="0043187B" w:rsidP="0043187B">
      <w:pPr>
        <w:rPr>
          <w:rFonts w:ascii="Arial Narrow" w:hAnsi="Arial Narrow"/>
        </w:rPr>
      </w:pPr>
      <w:r w:rsidRPr="0043187B">
        <w:rPr>
          <w:rFonts w:ascii="Arial Narrow" w:hAnsi="Arial Narrow"/>
        </w:rPr>
        <w:t>Throughout this enquiry, I will be exploring the surviving contemporary evidence relating to Thomas of Canterbury’s death at the hands of Henry II, and how this was of international significance to the laity, monarchy and papacy. Thomas is remembered to this day for his active involvement in matters of the church, often colliding with the opinions of the king because of this. However his death in 1170 within his own cath</w:t>
      </w:r>
      <w:r w:rsidR="00B16D89">
        <w:rPr>
          <w:rFonts w:ascii="Arial Narrow" w:hAnsi="Arial Narrow"/>
        </w:rPr>
        <w:t>edral has led to Thomas becoming</w:t>
      </w:r>
      <w:r w:rsidRPr="0043187B">
        <w:rPr>
          <w:rFonts w:ascii="Arial Narrow" w:hAnsi="Arial Narrow"/>
        </w:rPr>
        <w:t xml:space="preserve"> one of the most popular cults throughout medieval Europe, and his death was of international significance. The significance of the killing of Thomas of Canterbury shall be explored through the use of surviving contemporary evidence such as letters of correspondence, wills of individuals, and areas of commemoration, venerated in the following years after his death.</w:t>
      </w:r>
    </w:p>
    <w:p w:rsidR="0043187B" w:rsidRPr="0043187B" w:rsidRDefault="0043187B" w:rsidP="0043187B">
      <w:pPr>
        <w:rPr>
          <w:rFonts w:ascii="Arial Narrow" w:hAnsi="Arial Narrow"/>
        </w:rPr>
      </w:pPr>
      <w:r w:rsidRPr="0043187B">
        <w:rPr>
          <w:rFonts w:ascii="Arial Narrow" w:hAnsi="Arial Narrow"/>
        </w:rPr>
        <w:t>Contemporary letters of correspondence between important secular and ecclesiastical figures are a great insight into the personal opinions of certain individuals on a chosen topic. This can be further explored through the language that the curator of the letter uses. For example, in a letter addressed to Pope Alexander III in 1171, Louis VII expressed his deepest sorrow and retaliation in relation to the death of the ‘blessed Thomas’. ‘Let the sword of Saint Peter be unsheathed to avenge the martyr of Canterbury’.</w:t>
      </w:r>
      <w:r w:rsidRPr="0043187B">
        <w:rPr>
          <w:rFonts w:ascii="Arial Narrow" w:hAnsi="Arial Narrow"/>
          <w:vertAlign w:val="superscript"/>
        </w:rPr>
        <w:footnoteReference w:id="39"/>
      </w:r>
      <w:r w:rsidRPr="0043187B">
        <w:rPr>
          <w:rFonts w:ascii="Arial Narrow" w:hAnsi="Arial Narrow"/>
        </w:rPr>
        <w:t xml:space="preserve"> Louis’ reaction to the death of Thomas of Canterbury, which comes across with considerate anger, highlights the personal mental and physical torment that Louis VII is experiencing in reaction to what he perceives as a ‘murder’. It is not the persona of Thomas Becket that brings him such grief on the news of his death, but rather the ‘killing’ of an archbishop, irrespective of their nationality. We know that Thomas of Canterbury stayed in the land of the Franks during his exile, and not in Normandy, and so it is likely that Louis would have been aware of him during this time. It is also clear that Becket had an international influence during his lifetime, as he held the status of</w:t>
      </w:r>
      <w:r w:rsidR="00B16D89">
        <w:rPr>
          <w:rFonts w:ascii="Arial Narrow" w:hAnsi="Arial Narrow"/>
        </w:rPr>
        <w:t xml:space="preserve"> </w:t>
      </w:r>
      <w:r w:rsidRPr="0043187B">
        <w:rPr>
          <w:rFonts w:ascii="Arial Narrow" w:hAnsi="Arial Narrow"/>
        </w:rPr>
        <w:t>archbishop, and acted as an intercessor between the Pope in Rome and the king of England. This is further supported by the statement that ‘for the universal Church does his blood cry aloud’.</w:t>
      </w:r>
      <w:r w:rsidRPr="0043187B">
        <w:rPr>
          <w:rFonts w:ascii="Arial Narrow" w:hAnsi="Arial Narrow"/>
          <w:vertAlign w:val="superscript"/>
        </w:rPr>
        <w:footnoteReference w:id="40"/>
      </w:r>
      <w:r w:rsidRPr="0043187B">
        <w:rPr>
          <w:rFonts w:ascii="Arial Narrow" w:hAnsi="Arial Narrow"/>
        </w:rPr>
        <w:t xml:space="preserve"> This belief that St Thomas died for the universal church highlights the perceived act of one individual’ death for the sake of the lives of many. Therefore, it can be argued that this letter not only expresses the upset of one individual, but rather, the entire ecclesiastical network; with the church directly tied into the events of 1170 through the motives and status of the ‘blessed’ Thomas. It is also important to note the provenance of this letter, which is addressed to Pope Alexander III, dated to only a year after the killing took place. Letters of bereavement, in counsel to another, often mean that the feelings experienced by one are mutual. Louis, here, is recognising that any Catholic king should be enraged by this perceived murder.  Barlow states that ‘Thomas was an embarrassment to the pope, and Alexander aimed at keeping him secluded and quiet by supplying him with the minimum diet of encouragement’.</w:t>
      </w:r>
      <w:r w:rsidRPr="0043187B">
        <w:rPr>
          <w:rFonts w:ascii="Arial Narrow" w:hAnsi="Arial Narrow"/>
          <w:vertAlign w:val="superscript"/>
        </w:rPr>
        <w:footnoteReference w:id="41"/>
      </w:r>
      <w:r w:rsidRPr="0043187B">
        <w:rPr>
          <w:rFonts w:ascii="Arial Narrow" w:hAnsi="Arial Narrow"/>
        </w:rPr>
        <w:t xml:space="preserve"> Whilst it is entirely plausible that Alexander III was not fond of Thomas Becket because of issues such as his promotion from deacon to archbishop and his highly political background, it is clear that since Louis obviously sees this as a murder this distaste for Becket was not public</w:t>
      </w:r>
      <w:r w:rsidR="00B16D89">
        <w:rPr>
          <w:rFonts w:ascii="Arial Narrow" w:hAnsi="Arial Narrow"/>
        </w:rPr>
        <w:t>ly</w:t>
      </w:r>
      <w:r w:rsidRPr="0043187B">
        <w:rPr>
          <w:rFonts w:ascii="Arial Narrow" w:hAnsi="Arial Narrow"/>
        </w:rPr>
        <w:t xml:space="preserve"> spoken of. This letter, composed by and written to, two powerful figureheads of the </w:t>
      </w:r>
      <w:r w:rsidR="00B16D89">
        <w:rPr>
          <w:rFonts w:ascii="Arial Narrow" w:hAnsi="Arial Narrow"/>
        </w:rPr>
        <w:t>thirteenth century, demonstrates</w:t>
      </w:r>
      <w:r w:rsidRPr="0043187B">
        <w:rPr>
          <w:rFonts w:ascii="Arial Narrow" w:hAnsi="Arial Narrow"/>
        </w:rPr>
        <w:t xml:space="preserve"> the international impact and influence that the murder of the archbishop of Canterbury had throughout Europe. Here, it is not the individual that is at the centre of grievance, but rather the status that he held as an archbishop and what the circumstances of his death symbolised for the church and laity alike.</w:t>
      </w:r>
    </w:p>
    <w:p w:rsidR="0043187B" w:rsidRPr="0043187B" w:rsidRDefault="0043187B" w:rsidP="0043187B">
      <w:pPr>
        <w:rPr>
          <w:rFonts w:ascii="Arial Narrow" w:hAnsi="Arial Narrow"/>
        </w:rPr>
      </w:pPr>
      <w:r w:rsidRPr="0043187B">
        <w:rPr>
          <w:rFonts w:ascii="Arial Narrow" w:hAnsi="Arial Narrow"/>
        </w:rPr>
        <w:t>The death of the archbishop of Canterbury as a display of international significan</w:t>
      </w:r>
      <w:r w:rsidR="00B16D89">
        <w:rPr>
          <w:rFonts w:ascii="Arial Narrow" w:hAnsi="Arial Narrow"/>
        </w:rPr>
        <w:t xml:space="preserve">ce can be seen in the </w:t>
      </w:r>
      <w:r w:rsidRPr="0043187B">
        <w:rPr>
          <w:rFonts w:ascii="Arial Narrow" w:hAnsi="Arial Narrow"/>
        </w:rPr>
        <w:t xml:space="preserve">construction of </w:t>
      </w:r>
      <w:r w:rsidR="00B16D89">
        <w:rPr>
          <w:rFonts w:ascii="Arial Narrow" w:hAnsi="Arial Narrow"/>
        </w:rPr>
        <w:t xml:space="preserve">gold leaf mosaics at </w:t>
      </w:r>
      <w:r w:rsidRPr="0043187B">
        <w:rPr>
          <w:rFonts w:ascii="Arial Narrow" w:hAnsi="Arial Narrow"/>
        </w:rPr>
        <w:t xml:space="preserve">Monreale cathedral in the 1180s. (See Figure One) A decade after the death of St Thomas, the Monreale cathedral in Sicily exhibited the martyr amongst many other saints in Sicilian mosaics, and is an example of the international significance that the killing of the archbishop had across the Catholic world. The sanctuary displays the half figure of Christ, from which follows the ‘enthroned Madonna and </w:t>
      </w:r>
      <w:r w:rsidRPr="0043187B">
        <w:rPr>
          <w:rFonts w:ascii="Arial Narrow" w:hAnsi="Arial Narrow"/>
        </w:rPr>
        <w:lastRenderedPageBreak/>
        <w:t>Child between archangels and apostles’</w:t>
      </w:r>
      <w:r w:rsidRPr="0043187B">
        <w:rPr>
          <w:rFonts w:ascii="Arial Narrow" w:hAnsi="Arial Narrow"/>
          <w:vertAlign w:val="superscript"/>
        </w:rPr>
        <w:footnoteReference w:id="42"/>
      </w:r>
      <w:r w:rsidRPr="0043187B">
        <w:rPr>
          <w:rFonts w:ascii="Arial Narrow" w:hAnsi="Arial Narrow"/>
        </w:rPr>
        <w:t>, with the subsequent level down accommodating the iconography of the archbishop of Canterbury. Thomas of Canterbury is positioned in the panel beneath the Virgin Mary and the apostles; a visual display of his spirituality in regards to those considered the most pure and saintly. Placing St Thomas alongside these saints in this particular part of the cathedral is not only a religious statement but also a political one. It reflects the attitudes of Catholics in response to murder, with this mosaic acting as a constant and permanent reminder of the evil acts made by one Catholic against another. This act of commemoration, grand in gesture, demonstrates the global audience that the archbishop’s death encapsulated. Scully states that ‘As for Becket himself, the extraordinary circumstances of his death guaranteed for him a fame and influence greater than he had attained in life’.</w:t>
      </w:r>
      <w:r w:rsidR="00366A00">
        <w:rPr>
          <w:rStyle w:val="FootnoteReference"/>
          <w:rFonts w:ascii="Arial Narrow" w:hAnsi="Arial Narrow"/>
        </w:rPr>
        <w:footnoteReference w:id="43"/>
      </w:r>
      <w:r w:rsidRPr="0043187B">
        <w:rPr>
          <w:rFonts w:ascii="Arial Narrow" w:hAnsi="Arial Narrow"/>
        </w:rPr>
        <w:t xml:space="preserve"> Here it is the circumstances by which the individual died rather than the life that he followed with has given him such an international status. The positioning of St Thomas within the cathedral is also important, and allows us to understand the contemporary view of the martyr’s status in the few years after his death. Becket’s painting is displayed on the wall surrounding the altar, known as the sanctuary, one of the most holy places within the church itself as it is where mass and the taking of the Eucharist is performed. This highlights the significance that the circumstances of his death had on a global scale, and the need for the memorialisation of Becket as a martyr. It is important to note that the definition of a martyr as an individual who dies to protect their Christian faith, or as ‘person who is killed because of their religious or other beliefs’.</w:t>
      </w:r>
      <w:r w:rsidRPr="0043187B">
        <w:rPr>
          <w:rFonts w:ascii="Arial Narrow" w:hAnsi="Arial Narrow"/>
          <w:vertAlign w:val="superscript"/>
        </w:rPr>
        <w:footnoteReference w:id="44"/>
      </w:r>
      <w:r w:rsidRPr="0043187B">
        <w:rPr>
          <w:rFonts w:ascii="Arial Narrow" w:hAnsi="Arial Narrow"/>
        </w:rPr>
        <w:t xml:space="preserve"> Thomas of Canterbury is not killed by the hands of a pagan or heathen army, but rather by followers of his own faith, and the Catholic Church makes it clear here that this ‘murder’ was an act of martyrdom; ensuing that the monarchy are the greater evil. This signifies the importance which those in Sicily saw in the iconography of Becket’s martyrdom, further establishing his influence internationally as a martyr and highlighting the unique circumstances of his death and need for memorialisation. </w:t>
      </w:r>
    </w:p>
    <w:p w:rsidR="0043187B" w:rsidRPr="0043187B" w:rsidRDefault="0043187B" w:rsidP="0043187B">
      <w:pPr>
        <w:rPr>
          <w:rFonts w:ascii="Arial Narrow" w:hAnsi="Arial Narrow"/>
        </w:rPr>
      </w:pPr>
      <w:r w:rsidRPr="0043187B">
        <w:rPr>
          <w:rFonts w:ascii="Arial Narrow" w:hAnsi="Arial Narrow"/>
        </w:rPr>
        <w:t>Acts of commemoration such as this are also found in Jerusalem, where the bodies of the men who assassinated Thomas were buried, after their pilgrimage to Montenegro. The inscription on the tomb is as follows: ‘Here lie the wretched men who martyred the blessed Thomas, archbishop of Canterbury. It was in the year one thousand one hundred and seventy-one that the primate Thomas died by their swords’.</w:t>
      </w:r>
      <w:r w:rsidRPr="0043187B">
        <w:rPr>
          <w:rFonts w:ascii="Arial Narrow" w:hAnsi="Arial Narrow"/>
          <w:vertAlign w:val="superscript"/>
        </w:rPr>
        <w:footnoteReference w:id="45"/>
      </w:r>
      <w:r w:rsidRPr="0043187B">
        <w:rPr>
          <w:rFonts w:ascii="Arial Narrow" w:hAnsi="Arial Narrow"/>
        </w:rPr>
        <w:t xml:space="preserve"> This inscription, emotive and judgemental, highlights the international need to grieve and commemorate this perceived act of murder and the subsequent miracles that occurred henceforth, as well as finding a blame for such a deed. This is reinforced by the use of language such as ‘their swords’, as if the attack on Thomas Becket was a personal one on all Catholics across the Catholic world. The nature of language used in the text almost mimics the linguistic nature of the letter mentioned earlier that was written by Louis VII. This demonstrates a shared feeling of anger at Becket’s martyrdom across different nations and the need to commemorate such an act. The installation of this tomb outside the temple was recorded in 1171 by Roger de </w:t>
      </w:r>
      <w:proofErr w:type="spellStart"/>
      <w:r w:rsidRPr="0043187B">
        <w:rPr>
          <w:rFonts w:ascii="Arial Narrow" w:hAnsi="Arial Narrow"/>
        </w:rPr>
        <w:t>Hovedon</w:t>
      </w:r>
      <w:proofErr w:type="spellEnd"/>
      <w:r w:rsidRPr="0043187B">
        <w:rPr>
          <w:rFonts w:ascii="Arial Narrow" w:hAnsi="Arial Narrow"/>
        </w:rPr>
        <w:t xml:space="preserve">, just a year after the perceived murder of Becket. This quick response takes place almost three thousand miles away from Canterbury itself, demonstrating the significance of the event to Catholics across the world. </w:t>
      </w:r>
    </w:p>
    <w:p w:rsidR="0043187B" w:rsidRPr="0043187B" w:rsidRDefault="0043187B" w:rsidP="0043187B">
      <w:pPr>
        <w:rPr>
          <w:rFonts w:ascii="Arial Narrow" w:hAnsi="Arial Narrow"/>
        </w:rPr>
      </w:pPr>
      <w:r w:rsidRPr="0043187B">
        <w:rPr>
          <w:rFonts w:ascii="Arial Narrow" w:hAnsi="Arial Narrow"/>
        </w:rPr>
        <w:t>The translation of Thomas Becket’s relics from the crypt in Canterbury cathedral to his shrine in the east wing in 1220, was a significant event in symbolising Becket’s influence internationally.</w:t>
      </w:r>
      <w:r w:rsidRPr="0043187B">
        <w:rPr>
          <w:rFonts w:ascii="Arial Narrow" w:hAnsi="Arial Narrow"/>
          <w:vertAlign w:val="superscript"/>
        </w:rPr>
        <w:footnoteReference w:id="46"/>
      </w:r>
      <w:r w:rsidRPr="0043187B">
        <w:rPr>
          <w:rFonts w:ascii="Arial Narrow" w:hAnsi="Arial Narrow"/>
        </w:rPr>
        <w:t xml:space="preserve"> As stated by </w:t>
      </w:r>
      <w:proofErr w:type="spellStart"/>
      <w:r w:rsidRPr="0043187B">
        <w:rPr>
          <w:rFonts w:ascii="Arial Narrow" w:hAnsi="Arial Narrow"/>
        </w:rPr>
        <w:t>Reames</w:t>
      </w:r>
      <w:proofErr w:type="spellEnd"/>
      <w:r w:rsidRPr="0043187B">
        <w:rPr>
          <w:rFonts w:ascii="Arial Narrow" w:hAnsi="Arial Narrow"/>
        </w:rPr>
        <w:t>, the translation was ‘was one of the great symbolic events in the life of the medieval English church’.</w:t>
      </w:r>
      <w:r w:rsidRPr="0043187B">
        <w:rPr>
          <w:rFonts w:ascii="Arial Narrow" w:hAnsi="Arial Narrow"/>
          <w:vertAlign w:val="superscript"/>
        </w:rPr>
        <w:footnoteReference w:id="47"/>
      </w:r>
      <w:r w:rsidRPr="0043187B">
        <w:rPr>
          <w:rFonts w:ascii="Arial Narrow" w:hAnsi="Arial Narrow"/>
        </w:rPr>
        <w:t xml:space="preserve"> This event, which involved the moving the Becket’s relics to a more public location, attracted a great number of people, both from the local laity and clergy, but also pilgrims. Attendees to the ceremony included ‘the young king, Henry III; the chief </w:t>
      </w:r>
      <w:proofErr w:type="spellStart"/>
      <w:r w:rsidRPr="0043187B">
        <w:rPr>
          <w:rFonts w:ascii="Arial Narrow" w:hAnsi="Arial Narrow"/>
        </w:rPr>
        <w:t>justiciar</w:t>
      </w:r>
      <w:proofErr w:type="spellEnd"/>
      <w:r w:rsidRPr="0043187B">
        <w:rPr>
          <w:rFonts w:ascii="Arial Narrow" w:hAnsi="Arial Narrow"/>
        </w:rPr>
        <w:t xml:space="preserve">, Hubert de Burgh; the papal legate, </w:t>
      </w:r>
      <w:proofErr w:type="spellStart"/>
      <w:r w:rsidRPr="0043187B">
        <w:rPr>
          <w:rFonts w:ascii="Arial Narrow" w:hAnsi="Arial Narrow"/>
        </w:rPr>
        <w:t>Pandulf</w:t>
      </w:r>
      <w:proofErr w:type="spellEnd"/>
      <w:r w:rsidRPr="0043187B">
        <w:rPr>
          <w:rFonts w:ascii="Arial Narrow" w:hAnsi="Arial Narrow"/>
        </w:rPr>
        <w:t xml:space="preserve">; the archbishops of Canterbury, Reims, and an </w:t>
      </w:r>
      <w:r w:rsidRPr="0043187B">
        <w:rPr>
          <w:rFonts w:ascii="Arial Narrow" w:hAnsi="Arial Narrow"/>
        </w:rPr>
        <w:lastRenderedPageBreak/>
        <w:t>unidentified see in Hungary’.</w:t>
      </w:r>
      <w:r w:rsidRPr="0043187B">
        <w:rPr>
          <w:rFonts w:ascii="Arial Narrow" w:hAnsi="Arial Narrow"/>
          <w:vertAlign w:val="superscript"/>
        </w:rPr>
        <w:footnoteReference w:id="48"/>
      </w:r>
      <w:r w:rsidR="00500346">
        <w:rPr>
          <w:rFonts w:ascii="Arial Narrow" w:hAnsi="Arial Narrow"/>
        </w:rPr>
        <w:t xml:space="preserve"> This</w:t>
      </w:r>
      <w:r w:rsidRPr="0043187B">
        <w:rPr>
          <w:rFonts w:ascii="Arial Narrow" w:hAnsi="Arial Narrow"/>
        </w:rPr>
        <w:t xml:space="preserve"> popular event, which comes across quite the spectacle, is highlighted by the international diver</w:t>
      </w:r>
      <w:r w:rsidR="00500346">
        <w:rPr>
          <w:rFonts w:ascii="Arial Narrow" w:hAnsi="Arial Narrow"/>
        </w:rPr>
        <w:t>sity of its attendees</w:t>
      </w:r>
      <w:r w:rsidRPr="0043187B">
        <w:rPr>
          <w:rFonts w:ascii="Arial Narrow" w:hAnsi="Arial Narrow"/>
        </w:rPr>
        <w:t>. The ceremony also included the introduction of a new feast day. The dating of this event, fifty years after the death of Thomas, acts as evidence to the continual devotion to Becket from around the continent. It was not merely a phase of curiosity and interest; it remained a big part of people’s lives a lifetime after, enabling the cult of St Thomas of Canterbury to thrive for the next two hundred years, passed down through generations. Staunton states that ‘Canterbury became one of the most popular pilgrim shrines in Europe’</w:t>
      </w:r>
      <w:r w:rsidRPr="0043187B">
        <w:rPr>
          <w:rFonts w:ascii="Arial Narrow" w:hAnsi="Arial Narrow"/>
          <w:vertAlign w:val="superscript"/>
        </w:rPr>
        <w:footnoteReference w:id="49"/>
      </w:r>
      <w:r w:rsidRPr="0043187B">
        <w:rPr>
          <w:rFonts w:ascii="Arial Narrow" w:hAnsi="Arial Narrow"/>
        </w:rPr>
        <w:t xml:space="preserve"> and I believe that it is apparent that the site of Becket’s shrine became not just the final destination of a pilgrimage in memorium to Becket himself, but also </w:t>
      </w:r>
      <w:r w:rsidR="00500346">
        <w:rPr>
          <w:rFonts w:ascii="Arial Narrow" w:hAnsi="Arial Narrow"/>
        </w:rPr>
        <w:t xml:space="preserve">as </w:t>
      </w:r>
      <w:r w:rsidRPr="0043187B">
        <w:rPr>
          <w:rFonts w:ascii="Arial Narrow" w:hAnsi="Arial Narrow"/>
        </w:rPr>
        <w:t>a place of posthumous miracles, attracting once again a greater audience. Although this was an international event, the translation of relics took place in Canterbury, and this demonstrates that the shrine itself is of national significance, with the cult of St Thomas of Canterbury clearly being tied to the shrine’s location. However, mass pilgrimage from across the Catholic world demonstrates the cult’s international appeal and popularity.</w:t>
      </w:r>
    </w:p>
    <w:p w:rsidR="0043187B" w:rsidRPr="0043187B" w:rsidRDefault="0043187B" w:rsidP="0043187B">
      <w:pPr>
        <w:rPr>
          <w:rFonts w:ascii="Arial Narrow" w:hAnsi="Arial Narrow"/>
        </w:rPr>
      </w:pPr>
      <w:r w:rsidRPr="0043187B">
        <w:rPr>
          <w:rFonts w:ascii="Arial Narrow" w:hAnsi="Arial Narrow"/>
        </w:rPr>
        <w:t xml:space="preserve">It is clear that the figure of Becket had great international influence after his death. It can be argued that the cult of Becket had become part of England’s identity on a national level with the ‘myth’ of St Thomas impacting the landscape and community around his shrine and places of significance in his lifetime. Etymologies can be a key indicator of an individual’s impact on the landscape around them. An example of etymology can be found in the will of </w:t>
      </w:r>
      <w:proofErr w:type="spellStart"/>
      <w:r w:rsidRPr="0043187B">
        <w:rPr>
          <w:rFonts w:ascii="Arial Narrow" w:hAnsi="Arial Narrow"/>
        </w:rPr>
        <w:t>Rauff</w:t>
      </w:r>
      <w:proofErr w:type="spellEnd"/>
      <w:r w:rsidRPr="0043187B">
        <w:rPr>
          <w:rFonts w:ascii="Arial Narrow" w:hAnsi="Arial Narrow"/>
        </w:rPr>
        <w:t xml:space="preserve"> Shelton written in 1522. Shelton asks to be buried in the St Thomas of Acre church</w:t>
      </w:r>
      <w:r w:rsidRPr="0043187B">
        <w:rPr>
          <w:rFonts w:ascii="Arial Narrow" w:hAnsi="Arial Narrow"/>
          <w:vertAlign w:val="superscript"/>
        </w:rPr>
        <w:footnoteReference w:id="50"/>
      </w:r>
      <w:r w:rsidRPr="0043187B">
        <w:rPr>
          <w:rFonts w:ascii="Arial Narrow" w:hAnsi="Arial Narrow"/>
        </w:rPr>
        <w:t xml:space="preserve"> which coincidentally is the birthplace of Thomas Becket. He also goes on to ‘bequeath to Saint Thomas [presumably St Thomas Acres church] 20 shillings’.</w:t>
      </w:r>
      <w:r w:rsidRPr="0043187B">
        <w:rPr>
          <w:rFonts w:ascii="Arial Narrow" w:hAnsi="Arial Narrow"/>
          <w:vertAlign w:val="superscript"/>
        </w:rPr>
        <w:footnoteReference w:id="51"/>
      </w:r>
      <w:r w:rsidRPr="0043187B">
        <w:rPr>
          <w:rFonts w:ascii="Arial Narrow" w:hAnsi="Arial Narrow"/>
        </w:rPr>
        <w:t xml:space="preserve"> Although it is clear that twenty shillings was a small donation in terms of Shelton’s will, this want to donate three-hundred and fifty years later demonstrates the longevity of St Thomas’ cult in the fifteenth century as well as serving as an example of the cults popularity and success. It also serves to highlight the fact that there were many shrines, chapels and churches named after Thomas Becket throughout England. (See figure two).</w:t>
      </w:r>
      <w:r w:rsidRPr="0043187B">
        <w:rPr>
          <w:rFonts w:ascii="Arial Narrow" w:hAnsi="Arial Narrow"/>
          <w:vertAlign w:val="superscript"/>
        </w:rPr>
        <w:footnoteReference w:id="52"/>
      </w:r>
      <w:r w:rsidRPr="0043187B">
        <w:rPr>
          <w:rFonts w:ascii="Arial Narrow" w:hAnsi="Arial Narrow"/>
        </w:rPr>
        <w:t xml:space="preserve"> This demonstrates a clear resonance with the story of his martyrdom and posthumous miracles with Catholics across the nation. The St Thomas of Acre church, located in London, supposedly on the birthplace of Thomas Becket, is an example of naming an area or institution after an individual whose death impacted the society in which he once lived. Adaptations to the naming of geographical spaces across Britain, demonstrate the impact that St Thomas’ martyrdom and the subsequent formation of a cult, had on surrounding spaces. It is evident, then, that Becket’s posthumous international influence and identity was not only specific to areas outside of the British Isles, but flourished throughout the nation as well, as seen in the above examples of both etymology and the gifting ritual of individual’s to a saint’s place of significance.</w:t>
      </w:r>
    </w:p>
    <w:p w:rsidR="0043187B" w:rsidRPr="0043187B" w:rsidRDefault="0043187B" w:rsidP="0043187B">
      <w:pPr>
        <w:rPr>
          <w:rFonts w:ascii="Arial Narrow" w:hAnsi="Arial Narrow"/>
        </w:rPr>
      </w:pPr>
      <w:r w:rsidRPr="0043187B">
        <w:rPr>
          <w:rFonts w:ascii="Arial Narrow" w:hAnsi="Arial Narrow"/>
        </w:rPr>
        <w:t>To conclude, through the exploration of contemporary sources, surviving etymology and the work of chroniclers in the following years of Becket’s death, it is clear that the perceived murder of Thomas of Canterbury was of international significance. The ‘myth of St Thomas of Canterbury’ surrounding the cult of Thomas Becket, acts as an example of commemoration of Thomas not as an individual who was actively political and spoke out against the king, but rather the martyred archbishop of Canterbury and subsequent miracles.</w:t>
      </w:r>
      <w:r w:rsidRPr="0043187B">
        <w:rPr>
          <w:rFonts w:ascii="Arial Narrow" w:hAnsi="Arial Narrow"/>
          <w:vertAlign w:val="superscript"/>
        </w:rPr>
        <w:footnoteReference w:id="53"/>
      </w:r>
      <w:bookmarkStart w:id="0" w:name="_GoBack"/>
      <w:bookmarkEnd w:id="0"/>
      <w:r w:rsidRPr="0043187B">
        <w:rPr>
          <w:rFonts w:ascii="Arial Narrow" w:hAnsi="Arial Narrow"/>
        </w:rPr>
        <w:t xml:space="preserve"> It is this image of the martyred archbishop murdered at his own altar that reverberated across the Catholic world. Thus we see, it is a clear example of the international appeal not of the man, but of the myth.</w:t>
      </w:r>
    </w:p>
    <w:p w:rsidR="0043187B" w:rsidRPr="0043187B" w:rsidRDefault="0043187B" w:rsidP="0043187B">
      <w:pPr>
        <w:rPr>
          <w:rFonts w:ascii="Arial Narrow" w:hAnsi="Arial Narrow"/>
          <w:bCs/>
        </w:rPr>
      </w:pPr>
    </w:p>
    <w:p w:rsidR="0043187B" w:rsidRPr="0043187B" w:rsidRDefault="0043187B" w:rsidP="0043187B">
      <w:pPr>
        <w:rPr>
          <w:rFonts w:ascii="Arial Narrow" w:hAnsi="Arial Narrow"/>
          <w:bCs/>
        </w:rPr>
      </w:pPr>
    </w:p>
    <w:p w:rsidR="0043187B" w:rsidRPr="0043187B" w:rsidRDefault="0043187B" w:rsidP="0043187B">
      <w:pPr>
        <w:rPr>
          <w:rFonts w:ascii="Arial Narrow" w:hAnsi="Arial Narrow"/>
          <w:bCs/>
        </w:rPr>
      </w:pPr>
    </w:p>
    <w:p w:rsidR="0043187B" w:rsidRPr="0043187B" w:rsidRDefault="0043187B" w:rsidP="0043187B">
      <w:pPr>
        <w:rPr>
          <w:rFonts w:ascii="Arial Narrow" w:hAnsi="Arial Narrow"/>
          <w:bCs/>
          <w:u w:val="single"/>
        </w:rPr>
      </w:pPr>
      <w:r w:rsidRPr="0043187B">
        <w:rPr>
          <w:rFonts w:ascii="Arial Narrow" w:hAnsi="Arial Narrow"/>
          <w:bCs/>
        </w:rPr>
        <w:drawing>
          <wp:anchor distT="0" distB="0" distL="114300" distR="114300" simplePos="0" relativeHeight="251662336" behindDoc="1" locked="0" layoutInCell="1" allowOverlap="1" wp14:anchorId="6834D859" wp14:editId="4E5CB4AF">
            <wp:simplePos x="0" y="0"/>
            <wp:positionH relativeFrom="column">
              <wp:posOffset>3835400</wp:posOffset>
            </wp:positionH>
            <wp:positionV relativeFrom="paragraph">
              <wp:posOffset>279400</wp:posOffset>
            </wp:positionV>
            <wp:extent cx="1846580" cy="4076700"/>
            <wp:effectExtent l="0" t="0" r="1270" b="0"/>
            <wp:wrapTight wrapText="bothSides">
              <wp:wrapPolygon edited="0">
                <wp:start x="0" y="0"/>
                <wp:lineTo x="0" y="21499"/>
                <wp:lineTo x="21392" y="21499"/>
                <wp:lineTo x="2139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6580" cy="4076700"/>
                    </a:xfrm>
                    <a:prstGeom prst="rect">
                      <a:avLst/>
                    </a:prstGeom>
                    <a:noFill/>
                  </pic:spPr>
                </pic:pic>
              </a:graphicData>
            </a:graphic>
            <wp14:sizeRelH relativeFrom="margin">
              <wp14:pctWidth>0</wp14:pctWidth>
            </wp14:sizeRelH>
            <wp14:sizeRelV relativeFrom="margin">
              <wp14:pctHeight>0</wp14:pctHeight>
            </wp14:sizeRelV>
          </wp:anchor>
        </w:drawing>
      </w:r>
      <w:r w:rsidRPr="0043187B">
        <w:rPr>
          <w:rFonts w:ascii="Arial Narrow" w:hAnsi="Arial Narrow"/>
          <w:bCs/>
        </w:rPr>
        <w:drawing>
          <wp:anchor distT="0" distB="0" distL="114300" distR="114300" simplePos="0" relativeHeight="251661312" behindDoc="1" locked="0" layoutInCell="1" allowOverlap="1" wp14:anchorId="558C7C0F" wp14:editId="0980272A">
            <wp:simplePos x="0" y="0"/>
            <wp:positionH relativeFrom="column">
              <wp:posOffset>0</wp:posOffset>
            </wp:positionH>
            <wp:positionV relativeFrom="paragraph">
              <wp:posOffset>279400</wp:posOffset>
            </wp:positionV>
            <wp:extent cx="3655695" cy="4076700"/>
            <wp:effectExtent l="0" t="0" r="1905" b="0"/>
            <wp:wrapTight wrapText="bothSides">
              <wp:wrapPolygon edited="0">
                <wp:start x="0" y="0"/>
                <wp:lineTo x="0" y="21499"/>
                <wp:lineTo x="21499" y="21499"/>
                <wp:lineTo x="2149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5695" cy="4076700"/>
                    </a:xfrm>
                    <a:prstGeom prst="rect">
                      <a:avLst/>
                    </a:prstGeom>
                    <a:noFill/>
                  </pic:spPr>
                </pic:pic>
              </a:graphicData>
            </a:graphic>
            <wp14:sizeRelH relativeFrom="margin">
              <wp14:pctWidth>0</wp14:pctWidth>
            </wp14:sizeRelH>
            <wp14:sizeRelV relativeFrom="margin">
              <wp14:pctHeight>0</wp14:pctHeight>
            </wp14:sizeRelV>
          </wp:anchor>
        </w:drawing>
      </w:r>
      <w:r w:rsidRPr="0043187B">
        <w:rPr>
          <w:rFonts w:ascii="Arial Narrow" w:hAnsi="Arial Narrow"/>
          <w:bCs/>
          <w:u w:val="single"/>
        </w:rPr>
        <w:t>Figure One</w:t>
      </w:r>
    </w:p>
    <w:p w:rsidR="0043187B" w:rsidRPr="0043187B" w:rsidRDefault="0043187B" w:rsidP="0043187B">
      <w:pPr>
        <w:jc w:val="center"/>
        <w:rPr>
          <w:rFonts w:ascii="Arial Narrow" w:hAnsi="Arial Narrow"/>
          <w:bCs/>
        </w:rPr>
      </w:pPr>
      <w:r w:rsidRPr="0043187B">
        <w:rPr>
          <w:rFonts w:ascii="Arial Narrow" w:hAnsi="Arial Narrow"/>
          <w:bCs/>
        </w:rPr>
        <w:t>Sicilian mosaics in Monreale Cathedral, dated to the 1180s. Featuring the half-figure of Christ surrounded by the Virgin Mary, apostles and saints.</w:t>
      </w:r>
    </w:p>
    <w:p w:rsidR="0043187B" w:rsidRPr="0043187B" w:rsidRDefault="0043187B" w:rsidP="0043187B">
      <w:pPr>
        <w:rPr>
          <w:rFonts w:ascii="Arial Narrow" w:hAnsi="Arial Narrow"/>
          <w:bCs/>
          <w:u w:val="single"/>
        </w:rPr>
      </w:pPr>
      <w:r w:rsidRPr="0043187B">
        <w:rPr>
          <w:rFonts w:ascii="Arial Narrow" w:hAnsi="Arial Narrow"/>
        </w:rPr>
        <w:drawing>
          <wp:anchor distT="0" distB="0" distL="114300" distR="114300" simplePos="0" relativeHeight="251660288" behindDoc="1" locked="0" layoutInCell="1" allowOverlap="1" wp14:anchorId="146B3653" wp14:editId="700FCD3D">
            <wp:simplePos x="0" y="0"/>
            <wp:positionH relativeFrom="column">
              <wp:posOffset>2887345</wp:posOffset>
            </wp:positionH>
            <wp:positionV relativeFrom="paragraph">
              <wp:posOffset>687070</wp:posOffset>
            </wp:positionV>
            <wp:extent cx="3195320" cy="2958465"/>
            <wp:effectExtent l="0" t="0" r="5080" b="0"/>
            <wp:wrapTight wrapText="bothSides">
              <wp:wrapPolygon edited="0">
                <wp:start x="0" y="0"/>
                <wp:lineTo x="0" y="21419"/>
                <wp:lineTo x="21506" y="21419"/>
                <wp:lineTo x="2150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5320" cy="2958465"/>
                    </a:xfrm>
                    <a:prstGeom prst="rect">
                      <a:avLst/>
                    </a:prstGeom>
                  </pic:spPr>
                </pic:pic>
              </a:graphicData>
            </a:graphic>
            <wp14:sizeRelH relativeFrom="margin">
              <wp14:pctWidth>0</wp14:pctWidth>
            </wp14:sizeRelH>
            <wp14:sizeRelV relativeFrom="margin">
              <wp14:pctHeight>0</wp14:pctHeight>
            </wp14:sizeRelV>
          </wp:anchor>
        </w:drawing>
      </w:r>
      <w:r w:rsidRPr="0043187B">
        <w:rPr>
          <w:rFonts w:ascii="Arial Narrow" w:hAnsi="Arial Narrow"/>
        </w:rPr>
        <w:drawing>
          <wp:anchor distT="0" distB="0" distL="114300" distR="114300" simplePos="0" relativeHeight="251659264" behindDoc="1" locked="0" layoutInCell="1" allowOverlap="1" wp14:anchorId="29419B1E" wp14:editId="54E88E69">
            <wp:simplePos x="0" y="0"/>
            <wp:positionH relativeFrom="column">
              <wp:posOffset>-304800</wp:posOffset>
            </wp:positionH>
            <wp:positionV relativeFrom="paragraph">
              <wp:posOffset>685165</wp:posOffset>
            </wp:positionV>
            <wp:extent cx="3147060" cy="2940685"/>
            <wp:effectExtent l="0" t="0" r="0" b="0"/>
            <wp:wrapTight wrapText="bothSides">
              <wp:wrapPolygon edited="0">
                <wp:start x="0" y="0"/>
                <wp:lineTo x="0" y="21409"/>
                <wp:lineTo x="21443" y="21409"/>
                <wp:lineTo x="2144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147060" cy="2940685"/>
                    </a:xfrm>
                    <a:prstGeom prst="rect">
                      <a:avLst/>
                    </a:prstGeom>
                  </pic:spPr>
                </pic:pic>
              </a:graphicData>
            </a:graphic>
            <wp14:sizeRelH relativeFrom="margin">
              <wp14:pctWidth>0</wp14:pctWidth>
            </wp14:sizeRelH>
            <wp14:sizeRelV relativeFrom="margin">
              <wp14:pctHeight>0</wp14:pctHeight>
            </wp14:sizeRelV>
          </wp:anchor>
        </w:drawing>
      </w:r>
    </w:p>
    <w:p w:rsidR="0043187B" w:rsidRPr="0043187B" w:rsidRDefault="0043187B" w:rsidP="0043187B">
      <w:pPr>
        <w:rPr>
          <w:rFonts w:ascii="Arial Narrow" w:hAnsi="Arial Narrow"/>
          <w:u w:val="single"/>
        </w:rPr>
      </w:pPr>
      <w:r w:rsidRPr="0043187B">
        <w:rPr>
          <w:rFonts w:ascii="Arial Narrow" w:hAnsi="Arial Narrow"/>
          <w:u w:val="single"/>
        </w:rPr>
        <w:t>Figure Two</w:t>
      </w:r>
    </w:p>
    <w:p w:rsidR="0043187B" w:rsidRPr="0043187B" w:rsidRDefault="0043187B" w:rsidP="0043187B">
      <w:pPr>
        <w:jc w:val="center"/>
        <w:rPr>
          <w:rFonts w:ascii="Arial Narrow" w:hAnsi="Arial Narrow"/>
        </w:rPr>
      </w:pPr>
      <w:r w:rsidRPr="0043187B">
        <w:rPr>
          <w:rFonts w:ascii="Arial Narrow" w:hAnsi="Arial Narrow"/>
        </w:rPr>
        <w:lastRenderedPageBreak/>
        <w:t>A map of all the churches in England where the name ‘St Thomas’ is featured.</w:t>
      </w:r>
    </w:p>
    <w:p w:rsidR="005244DC" w:rsidRPr="005244DC" w:rsidRDefault="005244DC" w:rsidP="005244DC">
      <w:pPr>
        <w:jc w:val="center"/>
        <w:rPr>
          <w:rFonts w:ascii="Arial Narrow" w:hAnsi="Arial Narrow"/>
          <w:iCs/>
          <w:u w:val="single"/>
        </w:rPr>
      </w:pPr>
      <w:r w:rsidRPr="005244DC">
        <w:rPr>
          <w:rFonts w:ascii="Arial Narrow" w:hAnsi="Arial Narrow"/>
          <w:iCs/>
          <w:u w:val="single"/>
        </w:rPr>
        <w:t>Bibliography</w:t>
      </w:r>
    </w:p>
    <w:p w:rsidR="005244DC" w:rsidRPr="005244DC" w:rsidRDefault="005244DC" w:rsidP="005244DC">
      <w:pPr>
        <w:rPr>
          <w:rFonts w:ascii="Arial Narrow" w:hAnsi="Arial Narrow"/>
          <w:iCs/>
        </w:rPr>
      </w:pPr>
      <w:r w:rsidRPr="005244DC">
        <w:rPr>
          <w:rFonts w:ascii="Arial Narrow" w:hAnsi="Arial Narrow"/>
          <w:iCs/>
          <w:u w:val="single"/>
        </w:rPr>
        <w:t>Manuscript Illuminations</w:t>
      </w:r>
      <w:r w:rsidRPr="005244DC">
        <w:rPr>
          <w:rFonts w:ascii="Arial Narrow" w:hAnsi="Arial Narrow"/>
          <w:iCs/>
        </w:rPr>
        <w:t xml:space="preserve">: </w:t>
      </w:r>
    </w:p>
    <w:p w:rsidR="005244DC" w:rsidRPr="005244DC" w:rsidRDefault="005244DC" w:rsidP="005244DC">
      <w:pPr>
        <w:rPr>
          <w:rFonts w:ascii="Arial Narrow" w:hAnsi="Arial Narrow"/>
          <w:iCs/>
        </w:rPr>
      </w:pPr>
      <w:r w:rsidRPr="005244DC">
        <w:rPr>
          <w:rFonts w:ascii="Arial Narrow" w:hAnsi="Arial Narrow"/>
          <w:iCs/>
        </w:rPr>
        <w:t>Thomas Becket Martyrdom, in Book of Hours, France (Rouen), c. 1430 – 1440, Harley 2900, f. 56v, available from https://www.bl.uk/catalogues/illuminatedmanuscripts/record.asp?MSID=8485&amp;CollID=8&amp;NStart=2900, accessed on [07/04/2019].</w:t>
      </w:r>
    </w:p>
    <w:p w:rsidR="005244DC" w:rsidRPr="005244DC" w:rsidRDefault="005244DC" w:rsidP="005244DC">
      <w:pPr>
        <w:rPr>
          <w:rFonts w:ascii="Arial Narrow" w:hAnsi="Arial Narrow"/>
          <w:iCs/>
        </w:rPr>
      </w:pPr>
    </w:p>
    <w:p w:rsidR="005244DC" w:rsidRPr="005244DC" w:rsidRDefault="005244DC" w:rsidP="005244DC">
      <w:pPr>
        <w:rPr>
          <w:rFonts w:ascii="Arial Narrow" w:hAnsi="Arial Narrow"/>
          <w:iCs/>
          <w:u w:val="single"/>
        </w:rPr>
      </w:pPr>
      <w:r w:rsidRPr="005244DC">
        <w:rPr>
          <w:rFonts w:ascii="Arial Narrow" w:hAnsi="Arial Narrow"/>
          <w:iCs/>
          <w:u w:val="single"/>
        </w:rPr>
        <w:t>Figures</w:t>
      </w:r>
    </w:p>
    <w:p w:rsidR="005244DC" w:rsidRPr="005244DC" w:rsidRDefault="005244DC" w:rsidP="005244DC">
      <w:pPr>
        <w:rPr>
          <w:rFonts w:ascii="Arial Narrow" w:hAnsi="Arial Narrow"/>
          <w:iCs/>
        </w:rPr>
      </w:pPr>
      <w:r w:rsidRPr="005244DC">
        <w:rPr>
          <w:rFonts w:ascii="Arial Narrow" w:hAnsi="Arial Narrow"/>
          <w:iCs/>
        </w:rPr>
        <w:t>Sicilian Mosaics: The Whole Sanctuary, available from https://www.wga.hu/html_m/zgothic/mosaics/5monreal/index.html, accessed on [20/04/2019].</w:t>
      </w:r>
    </w:p>
    <w:p w:rsidR="005244DC" w:rsidRPr="005244DC" w:rsidRDefault="005244DC" w:rsidP="005244DC">
      <w:pPr>
        <w:rPr>
          <w:rFonts w:ascii="Arial Narrow" w:hAnsi="Arial Narrow"/>
          <w:iCs/>
        </w:rPr>
      </w:pPr>
      <w:r w:rsidRPr="005244DC">
        <w:rPr>
          <w:rFonts w:ascii="Arial Narrow" w:hAnsi="Arial Narrow"/>
          <w:iCs/>
        </w:rPr>
        <w:t xml:space="preserve">Photo of St Thomas of Canterbury Mosaic, available from http://www.bestofsicily.com/mag/art288.htm, access on [20/04/2019]. </w:t>
      </w:r>
    </w:p>
    <w:p w:rsidR="005244DC" w:rsidRPr="005244DC" w:rsidRDefault="005244DC" w:rsidP="005244DC">
      <w:pPr>
        <w:rPr>
          <w:rFonts w:ascii="Arial Narrow" w:hAnsi="Arial Narrow"/>
          <w:iCs/>
        </w:rPr>
      </w:pPr>
    </w:p>
    <w:p w:rsidR="005244DC" w:rsidRPr="005244DC" w:rsidRDefault="005244DC" w:rsidP="005244DC">
      <w:pPr>
        <w:rPr>
          <w:rFonts w:ascii="Arial Narrow" w:hAnsi="Arial Narrow"/>
          <w:iCs/>
        </w:rPr>
      </w:pPr>
      <w:r w:rsidRPr="005244DC">
        <w:rPr>
          <w:rFonts w:ascii="Arial Narrow" w:hAnsi="Arial Narrow"/>
          <w:iCs/>
          <w:u w:val="single"/>
        </w:rPr>
        <w:t>Maps</w:t>
      </w:r>
    </w:p>
    <w:p w:rsidR="005244DC" w:rsidRPr="005244DC" w:rsidRDefault="005244DC" w:rsidP="005244DC">
      <w:pPr>
        <w:rPr>
          <w:rFonts w:ascii="Arial Narrow" w:hAnsi="Arial Narrow"/>
          <w:iCs/>
        </w:rPr>
      </w:pPr>
      <w:r w:rsidRPr="005244DC">
        <w:rPr>
          <w:rFonts w:ascii="Arial Narrow" w:hAnsi="Arial Narrow"/>
          <w:iCs/>
        </w:rPr>
        <w:t>Maps featuring the locations of St Thomas and Thomas of Canterbury, available from https://www.google.co.uk/maps/search/thomas+of/@52.2256966,-13.0484932,5z, accessed on [20/04/2019].</w:t>
      </w:r>
    </w:p>
    <w:p w:rsidR="005244DC" w:rsidRPr="005244DC" w:rsidRDefault="005244DC" w:rsidP="005244DC">
      <w:pPr>
        <w:rPr>
          <w:rFonts w:ascii="Arial Narrow" w:hAnsi="Arial Narrow"/>
          <w:iCs/>
          <w:u w:val="single"/>
        </w:rPr>
      </w:pPr>
    </w:p>
    <w:p w:rsidR="005244DC" w:rsidRPr="005244DC" w:rsidRDefault="005244DC" w:rsidP="005244DC">
      <w:pPr>
        <w:rPr>
          <w:rFonts w:ascii="Arial Narrow" w:hAnsi="Arial Narrow"/>
          <w:iCs/>
        </w:rPr>
      </w:pPr>
      <w:r w:rsidRPr="005244DC">
        <w:rPr>
          <w:rFonts w:ascii="Arial Narrow" w:hAnsi="Arial Narrow"/>
          <w:iCs/>
          <w:u w:val="single"/>
        </w:rPr>
        <w:t>Primary Sources</w:t>
      </w:r>
      <w:r w:rsidRPr="005244DC">
        <w:rPr>
          <w:rFonts w:ascii="Arial Narrow" w:hAnsi="Arial Narrow"/>
          <w:iCs/>
        </w:rPr>
        <w:t xml:space="preserve">: </w:t>
      </w:r>
    </w:p>
    <w:p w:rsidR="005244DC" w:rsidRPr="005244DC" w:rsidRDefault="005244DC" w:rsidP="005244DC">
      <w:pPr>
        <w:rPr>
          <w:rFonts w:ascii="Arial Narrow" w:hAnsi="Arial Narrow"/>
          <w:iCs/>
        </w:rPr>
      </w:pPr>
      <w:r w:rsidRPr="005244DC">
        <w:rPr>
          <w:rFonts w:ascii="Arial Narrow" w:hAnsi="Arial Narrow"/>
          <w:iCs/>
        </w:rPr>
        <w:t xml:space="preserve">Edward Grim, </w:t>
      </w:r>
      <w:r w:rsidRPr="005244DC">
        <w:rPr>
          <w:rFonts w:ascii="Arial Narrow" w:hAnsi="Arial Narrow"/>
          <w:i/>
          <w:iCs/>
        </w:rPr>
        <w:t xml:space="preserve">Vita S. </w:t>
      </w:r>
      <w:proofErr w:type="spellStart"/>
      <w:r w:rsidRPr="005244DC">
        <w:rPr>
          <w:rFonts w:ascii="Arial Narrow" w:hAnsi="Arial Narrow"/>
          <w:i/>
          <w:iCs/>
        </w:rPr>
        <w:t>Thomae</w:t>
      </w:r>
      <w:proofErr w:type="spellEnd"/>
      <w:r w:rsidRPr="005244DC">
        <w:rPr>
          <w:rFonts w:ascii="Arial Narrow" w:hAnsi="Arial Narrow"/>
          <w:i/>
          <w:iCs/>
        </w:rPr>
        <w:t xml:space="preserve">, </w:t>
      </w:r>
      <w:proofErr w:type="spellStart"/>
      <w:r w:rsidRPr="005244DC">
        <w:rPr>
          <w:rFonts w:ascii="Arial Narrow" w:hAnsi="Arial Narrow"/>
          <w:i/>
          <w:iCs/>
        </w:rPr>
        <w:t>Cantuariensis</w:t>
      </w:r>
      <w:proofErr w:type="spellEnd"/>
      <w:r w:rsidRPr="005244DC">
        <w:rPr>
          <w:rFonts w:ascii="Arial Narrow" w:hAnsi="Arial Narrow"/>
          <w:i/>
          <w:iCs/>
        </w:rPr>
        <w:t xml:space="preserve"> </w:t>
      </w:r>
      <w:proofErr w:type="spellStart"/>
      <w:r w:rsidRPr="005244DC">
        <w:rPr>
          <w:rFonts w:ascii="Arial Narrow" w:hAnsi="Arial Narrow"/>
          <w:i/>
          <w:iCs/>
        </w:rPr>
        <w:t>Archepiscopi</w:t>
      </w:r>
      <w:proofErr w:type="spellEnd"/>
      <w:r w:rsidRPr="005244DC">
        <w:rPr>
          <w:rFonts w:ascii="Arial Narrow" w:hAnsi="Arial Narrow"/>
          <w:i/>
          <w:iCs/>
        </w:rPr>
        <w:t xml:space="preserve"> </w:t>
      </w:r>
      <w:proofErr w:type="gramStart"/>
      <w:r w:rsidRPr="005244DC">
        <w:rPr>
          <w:rFonts w:ascii="Arial Narrow" w:hAnsi="Arial Narrow"/>
          <w:i/>
          <w:iCs/>
        </w:rPr>
        <w:t>et</w:t>
      </w:r>
      <w:proofErr w:type="gramEnd"/>
      <w:r w:rsidRPr="005244DC">
        <w:rPr>
          <w:rFonts w:ascii="Arial Narrow" w:hAnsi="Arial Narrow"/>
          <w:i/>
          <w:iCs/>
        </w:rPr>
        <w:t xml:space="preserve"> </w:t>
      </w:r>
      <w:proofErr w:type="spellStart"/>
      <w:r w:rsidRPr="005244DC">
        <w:rPr>
          <w:rFonts w:ascii="Arial Narrow" w:hAnsi="Arial Narrow"/>
          <w:i/>
          <w:iCs/>
        </w:rPr>
        <w:t>Martyris</w:t>
      </w:r>
      <w:proofErr w:type="spellEnd"/>
      <w:r w:rsidRPr="005244DC">
        <w:rPr>
          <w:rFonts w:ascii="Arial Narrow" w:hAnsi="Arial Narrow"/>
          <w:iCs/>
        </w:rPr>
        <w:t xml:space="preserve">, trans. D.M. Hayes, cited </w:t>
      </w:r>
      <w:r w:rsidRPr="005244DC">
        <w:rPr>
          <w:rFonts w:ascii="Arial Narrow" w:hAnsi="Arial Narrow"/>
          <w:i/>
          <w:iCs/>
        </w:rPr>
        <w:t>in Materials for the Life of Thomas Becket,</w:t>
      </w:r>
      <w:r w:rsidRPr="005244DC">
        <w:rPr>
          <w:rFonts w:ascii="Arial Narrow" w:hAnsi="Arial Narrow"/>
          <w:iCs/>
        </w:rPr>
        <w:t xml:space="preserve"> </w:t>
      </w:r>
      <w:r w:rsidRPr="005244DC">
        <w:rPr>
          <w:rFonts w:ascii="Arial Narrow" w:hAnsi="Arial Narrow"/>
          <w:i/>
          <w:iCs/>
        </w:rPr>
        <w:t xml:space="preserve">ed. </w:t>
      </w:r>
      <w:r w:rsidRPr="005244DC">
        <w:rPr>
          <w:rFonts w:ascii="Arial Narrow" w:hAnsi="Arial Narrow"/>
          <w:iCs/>
        </w:rPr>
        <w:t>J. Robertson, vol.2 (London</w:t>
      </w:r>
      <w:r w:rsidRPr="005244DC">
        <w:rPr>
          <w:rFonts w:ascii="Arial Narrow" w:hAnsi="Arial Narrow"/>
          <w:i/>
          <w:iCs/>
        </w:rPr>
        <w:t xml:space="preserve">: </w:t>
      </w:r>
      <w:r w:rsidRPr="005244DC">
        <w:rPr>
          <w:rFonts w:ascii="Arial Narrow" w:hAnsi="Arial Narrow"/>
          <w:iCs/>
        </w:rPr>
        <w:t>Longman and Co., 1885</w:t>
      </w:r>
      <w:r w:rsidRPr="005244DC">
        <w:rPr>
          <w:rFonts w:ascii="Arial Narrow" w:hAnsi="Arial Narrow"/>
          <w:i/>
          <w:iCs/>
        </w:rPr>
        <w:t>).</w:t>
      </w:r>
    </w:p>
    <w:p w:rsidR="005244DC" w:rsidRPr="005244DC" w:rsidRDefault="005244DC" w:rsidP="005244DC">
      <w:pPr>
        <w:rPr>
          <w:rFonts w:ascii="Arial Narrow" w:hAnsi="Arial Narrow"/>
        </w:rPr>
      </w:pPr>
      <w:r w:rsidRPr="005244DC">
        <w:rPr>
          <w:rFonts w:ascii="Arial Narrow" w:hAnsi="Arial Narrow"/>
        </w:rPr>
        <w:t xml:space="preserve">‘The Letter of Louis king of the Franks, to Pope Alexander, on the death of the blessed Thomas’, in </w:t>
      </w:r>
      <w:r w:rsidRPr="005244DC">
        <w:rPr>
          <w:rFonts w:ascii="Arial Narrow" w:hAnsi="Arial Narrow"/>
          <w:i/>
        </w:rPr>
        <w:t xml:space="preserve">The Annals of Roger de </w:t>
      </w:r>
      <w:proofErr w:type="spellStart"/>
      <w:r w:rsidRPr="005244DC">
        <w:rPr>
          <w:rFonts w:ascii="Arial Narrow" w:hAnsi="Arial Narrow"/>
          <w:i/>
        </w:rPr>
        <w:t>Hoveden</w:t>
      </w:r>
      <w:proofErr w:type="spellEnd"/>
      <w:r w:rsidRPr="005244DC">
        <w:rPr>
          <w:rFonts w:ascii="Arial Narrow" w:hAnsi="Arial Narrow"/>
        </w:rPr>
        <w:t>, trans. H.T. Riley (London: Bohn, 1853).</w:t>
      </w:r>
    </w:p>
    <w:p w:rsidR="005244DC" w:rsidRPr="005244DC" w:rsidRDefault="005244DC" w:rsidP="005244DC">
      <w:pPr>
        <w:rPr>
          <w:rFonts w:ascii="Arial Narrow" w:hAnsi="Arial Narrow"/>
        </w:rPr>
      </w:pPr>
      <w:r w:rsidRPr="005244DC">
        <w:rPr>
          <w:rFonts w:ascii="Arial Narrow" w:hAnsi="Arial Narrow"/>
        </w:rPr>
        <w:t xml:space="preserve"> ‘The Life of St Nicholas’, </w:t>
      </w:r>
      <w:r w:rsidRPr="005244DC">
        <w:rPr>
          <w:rFonts w:ascii="Arial Narrow" w:hAnsi="Arial Narrow"/>
          <w:i/>
        </w:rPr>
        <w:t xml:space="preserve">Medieval Popular Religion 1000-1500, </w:t>
      </w:r>
      <w:r w:rsidRPr="005244DC">
        <w:rPr>
          <w:rFonts w:ascii="Arial Narrow" w:hAnsi="Arial Narrow"/>
        </w:rPr>
        <w:t>ed. J. Shinners (University of Toronto Press, 2006).</w:t>
      </w:r>
    </w:p>
    <w:p w:rsidR="005244DC" w:rsidRPr="005244DC" w:rsidRDefault="005244DC" w:rsidP="005244DC">
      <w:pPr>
        <w:rPr>
          <w:rFonts w:ascii="Arial Narrow" w:hAnsi="Arial Narrow"/>
        </w:rPr>
      </w:pPr>
      <w:r w:rsidRPr="005244DC">
        <w:rPr>
          <w:rFonts w:ascii="Arial Narrow" w:hAnsi="Arial Narrow"/>
        </w:rPr>
        <w:t>Guibert de Nogent on relics, cited in</w:t>
      </w:r>
      <w:r w:rsidRPr="005244DC">
        <w:rPr>
          <w:rFonts w:ascii="Arial Narrow" w:hAnsi="Arial Narrow"/>
          <w:i/>
        </w:rPr>
        <w:t xml:space="preserve"> Life in the </w:t>
      </w:r>
      <w:proofErr w:type="gramStart"/>
      <w:r w:rsidRPr="005244DC">
        <w:rPr>
          <w:rFonts w:ascii="Arial Narrow" w:hAnsi="Arial Narrow"/>
          <w:i/>
        </w:rPr>
        <w:t>Middle</w:t>
      </w:r>
      <w:proofErr w:type="gramEnd"/>
      <w:r w:rsidRPr="005244DC">
        <w:rPr>
          <w:rFonts w:ascii="Arial Narrow" w:hAnsi="Arial Narrow"/>
          <w:i/>
        </w:rPr>
        <w:t xml:space="preserve"> Ages,</w:t>
      </w:r>
      <w:r w:rsidRPr="005244DC">
        <w:rPr>
          <w:rFonts w:ascii="Arial Narrow" w:hAnsi="Arial Narrow"/>
        </w:rPr>
        <w:t xml:space="preserve"> ed. C.G. Coulton, vol.1 (New York: Macmillan, c.1910).</w:t>
      </w:r>
    </w:p>
    <w:p w:rsidR="005244DC" w:rsidRPr="005244DC" w:rsidRDefault="005244DC" w:rsidP="005244DC">
      <w:pPr>
        <w:rPr>
          <w:rFonts w:ascii="Arial Narrow" w:hAnsi="Arial Narrow"/>
        </w:rPr>
      </w:pPr>
      <w:r w:rsidRPr="005244DC">
        <w:rPr>
          <w:rFonts w:ascii="Arial Narrow" w:hAnsi="Arial Narrow"/>
        </w:rPr>
        <w:t xml:space="preserve">Luther on Genesis, found in Fraser, </w:t>
      </w:r>
      <w:r w:rsidRPr="005244DC">
        <w:rPr>
          <w:rFonts w:ascii="Arial Narrow" w:hAnsi="Arial Narrow"/>
          <w:i/>
        </w:rPr>
        <w:t>Atheism, Fundamentalism and the Protestant Reformation</w:t>
      </w:r>
      <w:r w:rsidRPr="005244DC">
        <w:rPr>
          <w:rFonts w:ascii="Arial Narrow" w:hAnsi="Arial Narrow"/>
        </w:rPr>
        <w:t xml:space="preserve">, p.20, cited in G.R. Evans, </w:t>
      </w:r>
      <w:r w:rsidRPr="005244DC">
        <w:rPr>
          <w:rFonts w:ascii="Arial Narrow" w:hAnsi="Arial Narrow"/>
          <w:i/>
        </w:rPr>
        <w:t xml:space="preserve">Problems of Authority in the Reformation Debates </w:t>
      </w:r>
      <w:r w:rsidRPr="005244DC">
        <w:rPr>
          <w:rFonts w:ascii="Arial Narrow" w:hAnsi="Arial Narrow"/>
        </w:rPr>
        <w:t>(Cambridge: Cambridge University Press, 1992).</w:t>
      </w:r>
    </w:p>
    <w:p w:rsidR="005244DC" w:rsidRPr="005244DC" w:rsidRDefault="005244DC" w:rsidP="005244DC">
      <w:pPr>
        <w:rPr>
          <w:rFonts w:ascii="Arial Narrow" w:hAnsi="Arial Narrow"/>
        </w:rPr>
      </w:pPr>
      <w:r w:rsidRPr="005244DC">
        <w:rPr>
          <w:rFonts w:ascii="Arial Narrow" w:hAnsi="Arial Narrow"/>
          <w:iCs/>
        </w:rPr>
        <w:t xml:space="preserve">Martin Luther, </w:t>
      </w:r>
      <w:r w:rsidRPr="005244DC">
        <w:rPr>
          <w:rFonts w:ascii="Arial Narrow" w:hAnsi="Arial Narrow"/>
          <w:i/>
          <w:iCs/>
        </w:rPr>
        <w:t>Letter to the Archbishop of Mainz: 1517</w:t>
      </w:r>
      <w:r w:rsidRPr="005244DC">
        <w:rPr>
          <w:rFonts w:ascii="Arial Narrow" w:hAnsi="Arial Narrow"/>
          <w:iCs/>
        </w:rPr>
        <w:t>, cited in</w:t>
      </w:r>
      <w:r w:rsidRPr="005244DC">
        <w:rPr>
          <w:rFonts w:ascii="Arial Narrow" w:hAnsi="Arial Narrow"/>
          <w:i/>
          <w:iCs/>
        </w:rPr>
        <w:t xml:space="preserve"> The Works of Martin Luther, </w:t>
      </w:r>
      <w:r w:rsidRPr="005244DC">
        <w:rPr>
          <w:rFonts w:ascii="Arial Narrow" w:hAnsi="Arial Narrow"/>
          <w:iCs/>
        </w:rPr>
        <w:t>ed</w:t>
      </w:r>
      <w:r w:rsidRPr="005244DC">
        <w:rPr>
          <w:rFonts w:ascii="Arial Narrow" w:hAnsi="Arial Narrow"/>
        </w:rPr>
        <w:t xml:space="preserve">. and trans. A. </w:t>
      </w:r>
      <w:proofErr w:type="spellStart"/>
      <w:r w:rsidRPr="005244DC">
        <w:rPr>
          <w:rFonts w:ascii="Arial Narrow" w:hAnsi="Arial Narrow"/>
        </w:rPr>
        <w:t>Spaeth</w:t>
      </w:r>
      <w:proofErr w:type="spellEnd"/>
      <w:r w:rsidRPr="005244DC">
        <w:rPr>
          <w:rFonts w:ascii="Arial Narrow" w:hAnsi="Arial Narrow"/>
        </w:rPr>
        <w:t>, L.D. Reed, H.E. Jacobs, vol.1 (Philadelphia: A. J. Holman Company</w:t>
      </w:r>
      <w:proofErr w:type="gramStart"/>
      <w:r w:rsidRPr="005244DC">
        <w:rPr>
          <w:rFonts w:ascii="Arial Narrow" w:hAnsi="Arial Narrow"/>
        </w:rPr>
        <w:t>,1915</w:t>
      </w:r>
      <w:proofErr w:type="gramEnd"/>
      <w:r w:rsidRPr="005244DC">
        <w:rPr>
          <w:rFonts w:ascii="Arial Narrow" w:hAnsi="Arial Narrow"/>
        </w:rPr>
        <w:t>).</w:t>
      </w:r>
    </w:p>
    <w:p w:rsidR="005244DC" w:rsidRPr="005244DC" w:rsidRDefault="005244DC" w:rsidP="005244DC">
      <w:pPr>
        <w:rPr>
          <w:rFonts w:ascii="Arial Narrow" w:hAnsi="Arial Narrow"/>
          <w:b/>
          <w:u w:val="single"/>
        </w:rPr>
      </w:pPr>
      <w:r w:rsidRPr="005244DC">
        <w:rPr>
          <w:rFonts w:ascii="Arial Narrow" w:hAnsi="Arial Narrow"/>
          <w:i/>
        </w:rPr>
        <w:t>The Constitution of Clarendon</w:t>
      </w:r>
      <w:r w:rsidRPr="005244DC">
        <w:rPr>
          <w:rFonts w:ascii="Arial Narrow" w:hAnsi="Arial Narrow"/>
        </w:rPr>
        <w:t xml:space="preserve">, </w:t>
      </w:r>
      <w:r w:rsidRPr="005244DC">
        <w:rPr>
          <w:rFonts w:ascii="Arial Narrow" w:hAnsi="Arial Narrow"/>
          <w:i/>
        </w:rPr>
        <w:t>1164</w:t>
      </w:r>
      <w:r w:rsidRPr="005244DC">
        <w:rPr>
          <w:rFonts w:ascii="Arial Narrow" w:hAnsi="Arial Narrow"/>
        </w:rPr>
        <w:t xml:space="preserve">, </w:t>
      </w:r>
      <w:r w:rsidRPr="005244DC">
        <w:rPr>
          <w:rFonts w:ascii="Arial Narrow" w:hAnsi="Arial Narrow"/>
          <w:i/>
        </w:rPr>
        <w:t>Select Historical Documents of the Middle Ages</w:t>
      </w:r>
      <w:r w:rsidRPr="005244DC">
        <w:rPr>
          <w:rFonts w:ascii="Arial Narrow" w:hAnsi="Arial Narrow"/>
        </w:rPr>
        <w:t xml:space="preserve"> (London: George Bell and Sons, 1896).</w:t>
      </w:r>
    </w:p>
    <w:p w:rsidR="005244DC" w:rsidRPr="005244DC" w:rsidRDefault="005244DC" w:rsidP="005244DC">
      <w:pPr>
        <w:rPr>
          <w:rFonts w:ascii="Arial Narrow" w:hAnsi="Arial Narrow"/>
          <w:iCs/>
        </w:rPr>
      </w:pPr>
      <w:r w:rsidRPr="005244DC">
        <w:rPr>
          <w:rFonts w:ascii="Arial Narrow" w:hAnsi="Arial Narrow"/>
          <w:iCs/>
        </w:rPr>
        <w:t xml:space="preserve">Will of </w:t>
      </w:r>
      <w:proofErr w:type="spellStart"/>
      <w:r w:rsidRPr="005244DC">
        <w:rPr>
          <w:rFonts w:ascii="Arial Narrow" w:hAnsi="Arial Narrow"/>
          <w:iCs/>
        </w:rPr>
        <w:t>Rauff</w:t>
      </w:r>
      <w:proofErr w:type="spellEnd"/>
      <w:r w:rsidRPr="005244DC">
        <w:rPr>
          <w:rFonts w:ascii="Arial Narrow" w:hAnsi="Arial Narrow"/>
          <w:iCs/>
        </w:rPr>
        <w:t xml:space="preserve"> Shelton, 7th March, 1522, f.89v, available from http://www.nationalarchives.gov.uk/education/resources/the-english-reformation-c1527-1590/pre-reformation-church/, accessed on [07/04/2019].</w:t>
      </w:r>
    </w:p>
    <w:p w:rsidR="005244DC" w:rsidRPr="005244DC" w:rsidRDefault="005244DC" w:rsidP="005244DC">
      <w:pPr>
        <w:rPr>
          <w:rFonts w:ascii="Arial Narrow" w:hAnsi="Arial Narrow"/>
        </w:rPr>
      </w:pPr>
      <w:r w:rsidRPr="005244DC">
        <w:rPr>
          <w:rFonts w:ascii="Arial Narrow" w:hAnsi="Arial Narrow"/>
        </w:rPr>
        <w:t xml:space="preserve">William of Canterbury, ‘Miracles at the Shrine of Thomas Becket’, in </w:t>
      </w:r>
      <w:r w:rsidRPr="005244DC">
        <w:rPr>
          <w:rFonts w:ascii="Arial Narrow" w:hAnsi="Arial Narrow"/>
          <w:i/>
        </w:rPr>
        <w:t xml:space="preserve">Pilgrimage in the </w:t>
      </w:r>
      <w:proofErr w:type="gramStart"/>
      <w:r w:rsidRPr="005244DC">
        <w:rPr>
          <w:rFonts w:ascii="Arial Narrow" w:hAnsi="Arial Narrow"/>
          <w:i/>
        </w:rPr>
        <w:t>Middle</w:t>
      </w:r>
      <w:proofErr w:type="gramEnd"/>
      <w:r w:rsidRPr="005244DC">
        <w:rPr>
          <w:rFonts w:ascii="Arial Narrow" w:hAnsi="Arial Narrow"/>
          <w:i/>
        </w:rPr>
        <w:t xml:space="preserve"> Ages: A Reader</w:t>
      </w:r>
      <w:r w:rsidRPr="005244DC">
        <w:rPr>
          <w:rFonts w:ascii="Arial Narrow" w:hAnsi="Arial Narrow"/>
        </w:rPr>
        <w:t>, ed. B.E. Whalen (University of Toronto Press, 2011).</w:t>
      </w:r>
    </w:p>
    <w:p w:rsidR="005244DC" w:rsidRPr="005244DC" w:rsidRDefault="005244DC" w:rsidP="005244DC">
      <w:pPr>
        <w:rPr>
          <w:rFonts w:ascii="Arial Narrow" w:hAnsi="Arial Narrow"/>
        </w:rPr>
      </w:pPr>
      <w:r w:rsidRPr="005244DC">
        <w:rPr>
          <w:rFonts w:ascii="Arial Narrow" w:hAnsi="Arial Narrow"/>
          <w:bCs/>
        </w:rPr>
        <w:lastRenderedPageBreak/>
        <w:t xml:space="preserve">William of Newburgh, </w:t>
      </w:r>
      <w:r w:rsidRPr="005244DC">
        <w:rPr>
          <w:rFonts w:ascii="Arial Narrow" w:hAnsi="Arial Narrow"/>
          <w:bCs/>
          <w:i/>
        </w:rPr>
        <w:t>The Church Historians of England</w:t>
      </w:r>
      <w:r w:rsidRPr="005244DC">
        <w:rPr>
          <w:rFonts w:ascii="Arial Narrow" w:hAnsi="Arial Narrow"/>
          <w:bCs/>
        </w:rPr>
        <w:t>, vol. IV, Book II, trans. J. Stevenson (London: Seeley’s, 1856).</w:t>
      </w:r>
    </w:p>
    <w:p w:rsidR="005244DC" w:rsidRPr="005244DC" w:rsidRDefault="005244DC" w:rsidP="005244DC">
      <w:pPr>
        <w:rPr>
          <w:rFonts w:ascii="Arial Narrow" w:hAnsi="Arial Narrow"/>
        </w:rPr>
      </w:pPr>
    </w:p>
    <w:p w:rsidR="005244DC" w:rsidRPr="005244DC" w:rsidRDefault="005244DC" w:rsidP="005244DC">
      <w:pPr>
        <w:rPr>
          <w:rFonts w:ascii="Arial Narrow" w:hAnsi="Arial Narrow"/>
          <w:u w:val="single"/>
        </w:rPr>
      </w:pPr>
      <w:r w:rsidRPr="005244DC">
        <w:rPr>
          <w:rFonts w:ascii="Arial Narrow" w:hAnsi="Arial Narrow"/>
          <w:u w:val="single"/>
        </w:rPr>
        <w:t xml:space="preserve">Secondary Sources: </w:t>
      </w:r>
    </w:p>
    <w:p w:rsidR="005244DC" w:rsidRPr="005244DC" w:rsidRDefault="005244DC" w:rsidP="005244DC">
      <w:pPr>
        <w:rPr>
          <w:rFonts w:ascii="Arial Narrow" w:hAnsi="Arial Narrow"/>
        </w:rPr>
      </w:pPr>
      <w:r w:rsidRPr="005244DC">
        <w:rPr>
          <w:rFonts w:ascii="Arial Narrow" w:hAnsi="Arial Narrow"/>
        </w:rPr>
        <w:t>Barlow, F., ‘Becket, Thomas [St Thomas of Canterbury, Thomas of London]’, Oxford Dictionary of National Biography (Sept., 2004).</w:t>
      </w:r>
    </w:p>
    <w:p w:rsidR="005244DC" w:rsidRPr="005244DC" w:rsidRDefault="005244DC" w:rsidP="005244DC">
      <w:pPr>
        <w:rPr>
          <w:rFonts w:ascii="Arial Narrow" w:hAnsi="Arial Narrow"/>
        </w:rPr>
      </w:pPr>
      <w:r w:rsidRPr="005244DC">
        <w:rPr>
          <w:rFonts w:ascii="Arial Narrow" w:hAnsi="Arial Narrow"/>
        </w:rPr>
        <w:t xml:space="preserve">Barlow, F., </w:t>
      </w:r>
      <w:r w:rsidRPr="005244DC">
        <w:rPr>
          <w:rFonts w:ascii="Arial Narrow" w:hAnsi="Arial Narrow"/>
          <w:i/>
        </w:rPr>
        <w:t>Thomas Becket</w:t>
      </w:r>
      <w:r w:rsidRPr="005244DC">
        <w:rPr>
          <w:rFonts w:ascii="Arial Narrow" w:hAnsi="Arial Narrow"/>
        </w:rPr>
        <w:t xml:space="preserve"> (Berkeley: University of California Press, 1990).</w:t>
      </w:r>
    </w:p>
    <w:p w:rsidR="005244DC" w:rsidRPr="005244DC" w:rsidRDefault="005244DC" w:rsidP="005244DC">
      <w:pPr>
        <w:rPr>
          <w:rFonts w:ascii="Arial Narrow" w:hAnsi="Arial Narrow"/>
        </w:rPr>
      </w:pPr>
      <w:r w:rsidRPr="005244DC">
        <w:rPr>
          <w:rFonts w:ascii="Arial Narrow" w:hAnsi="Arial Narrow"/>
        </w:rPr>
        <w:t xml:space="preserve">Barrow, J., </w:t>
      </w:r>
      <w:proofErr w:type="gramStart"/>
      <w:r w:rsidRPr="005244DC">
        <w:rPr>
          <w:rFonts w:ascii="Arial Narrow" w:hAnsi="Arial Narrow"/>
          <w:i/>
        </w:rPr>
        <w:t>The</w:t>
      </w:r>
      <w:proofErr w:type="gramEnd"/>
      <w:r w:rsidRPr="005244DC">
        <w:rPr>
          <w:rFonts w:ascii="Arial Narrow" w:hAnsi="Arial Narrow"/>
          <w:i/>
        </w:rPr>
        <w:t xml:space="preserve"> Clergy in the Medieval World: Secular Clerics, Their Families and Careers in North-Western Europe 800-1200</w:t>
      </w:r>
      <w:r w:rsidRPr="005244DC">
        <w:rPr>
          <w:rFonts w:ascii="Arial Narrow" w:hAnsi="Arial Narrow"/>
        </w:rPr>
        <w:t xml:space="preserve"> (Cambridge: Cambridge University Press, 2015).</w:t>
      </w:r>
    </w:p>
    <w:p w:rsidR="005244DC" w:rsidRPr="005244DC" w:rsidRDefault="005244DC" w:rsidP="005244DC">
      <w:pPr>
        <w:rPr>
          <w:rFonts w:ascii="Arial Narrow" w:hAnsi="Arial Narrow"/>
        </w:rPr>
      </w:pPr>
      <w:r w:rsidRPr="005244DC">
        <w:rPr>
          <w:rFonts w:ascii="Arial Narrow" w:hAnsi="Arial Narrow"/>
        </w:rPr>
        <w:t xml:space="preserve">Bernard, G., W., </w:t>
      </w:r>
      <w:r w:rsidRPr="005244DC">
        <w:rPr>
          <w:rFonts w:ascii="Arial Narrow" w:hAnsi="Arial Narrow"/>
          <w:i/>
        </w:rPr>
        <w:t>The King's Reformation: Henry VIII and the Remaking of the English Church</w:t>
      </w:r>
      <w:r w:rsidRPr="005244DC">
        <w:rPr>
          <w:rFonts w:ascii="Arial Narrow" w:hAnsi="Arial Narrow"/>
        </w:rPr>
        <w:t xml:space="preserve"> (New Haven: Yale University Press, 2005). </w:t>
      </w:r>
    </w:p>
    <w:p w:rsidR="005244DC" w:rsidRPr="005244DC" w:rsidRDefault="005244DC" w:rsidP="005244DC">
      <w:pPr>
        <w:rPr>
          <w:rFonts w:ascii="Arial Narrow" w:hAnsi="Arial Narrow"/>
        </w:rPr>
      </w:pPr>
      <w:r w:rsidRPr="005244DC">
        <w:rPr>
          <w:rFonts w:ascii="Arial Narrow" w:hAnsi="Arial Narrow"/>
        </w:rPr>
        <w:t>Bible Gateway, Matthew 25:35-40, Bible Gateway, available from https://www.biblegateway.com/passage/?search=Matthew+25%3A35-40&amp;version=NIV, accessed on [20/04/2019].</w:t>
      </w:r>
    </w:p>
    <w:p w:rsidR="005244DC" w:rsidRPr="005244DC" w:rsidRDefault="005244DC" w:rsidP="005244DC">
      <w:pPr>
        <w:rPr>
          <w:rFonts w:ascii="Arial Narrow" w:hAnsi="Arial Narrow"/>
        </w:rPr>
      </w:pPr>
      <w:r w:rsidRPr="005244DC">
        <w:rPr>
          <w:rFonts w:ascii="Arial Narrow" w:hAnsi="Arial Narrow"/>
        </w:rPr>
        <w:t xml:space="preserve">Brown, R., A., </w:t>
      </w:r>
      <w:proofErr w:type="gramStart"/>
      <w:r w:rsidRPr="005244DC">
        <w:rPr>
          <w:rFonts w:ascii="Arial Narrow" w:hAnsi="Arial Narrow"/>
          <w:i/>
        </w:rPr>
        <w:t>The</w:t>
      </w:r>
      <w:proofErr w:type="gramEnd"/>
      <w:r w:rsidRPr="005244DC">
        <w:rPr>
          <w:rFonts w:ascii="Arial Narrow" w:hAnsi="Arial Narrow"/>
          <w:i/>
        </w:rPr>
        <w:t xml:space="preserve"> Normans and the Norman Conquest </w:t>
      </w:r>
      <w:r w:rsidRPr="005244DC">
        <w:rPr>
          <w:rFonts w:ascii="Arial Narrow" w:hAnsi="Arial Narrow"/>
        </w:rPr>
        <w:t>(Woodbridge: Boydell Press, 1969).</w:t>
      </w:r>
    </w:p>
    <w:p w:rsidR="005244DC" w:rsidRPr="005244DC" w:rsidRDefault="005244DC" w:rsidP="005244DC">
      <w:pPr>
        <w:rPr>
          <w:rFonts w:ascii="Arial Narrow" w:hAnsi="Arial Narrow"/>
        </w:rPr>
      </w:pPr>
      <w:r w:rsidRPr="005244DC">
        <w:rPr>
          <w:rFonts w:ascii="Arial Narrow" w:hAnsi="Arial Narrow"/>
        </w:rPr>
        <w:t xml:space="preserve">Crook, J., </w:t>
      </w:r>
      <w:r w:rsidRPr="005244DC">
        <w:rPr>
          <w:rFonts w:ascii="Arial Narrow" w:hAnsi="Arial Narrow"/>
          <w:i/>
        </w:rPr>
        <w:t>English Medieval Shrines</w:t>
      </w:r>
      <w:r w:rsidRPr="005244DC">
        <w:rPr>
          <w:rFonts w:ascii="Arial Narrow" w:hAnsi="Arial Narrow"/>
        </w:rPr>
        <w:t xml:space="preserve"> (Woodbridge: The Boydell Press, 2011).</w:t>
      </w:r>
    </w:p>
    <w:p w:rsidR="005244DC" w:rsidRPr="005244DC" w:rsidRDefault="005244DC" w:rsidP="005244DC">
      <w:pPr>
        <w:rPr>
          <w:rFonts w:ascii="Arial Narrow" w:hAnsi="Arial Narrow"/>
        </w:rPr>
      </w:pPr>
      <w:r w:rsidRPr="005244DC">
        <w:rPr>
          <w:rFonts w:ascii="Arial Narrow" w:hAnsi="Arial Narrow"/>
        </w:rPr>
        <w:t>Erasing Becket, British Library, Digitalised Manuscripts, available from https://blogs.bl.uk/digitisedmanuscripts/2011/09/erasing-becket.html, accessed on [13/04/2019].</w:t>
      </w:r>
    </w:p>
    <w:p w:rsidR="005244DC" w:rsidRPr="005244DC" w:rsidRDefault="005244DC" w:rsidP="005244DC">
      <w:pPr>
        <w:rPr>
          <w:rFonts w:ascii="Arial Narrow" w:hAnsi="Arial Narrow"/>
        </w:rPr>
      </w:pPr>
      <w:r w:rsidRPr="005244DC">
        <w:rPr>
          <w:rFonts w:ascii="Arial Narrow" w:hAnsi="Arial Narrow"/>
        </w:rPr>
        <w:t xml:space="preserve">Finucane, R., C., </w:t>
      </w:r>
      <w:r w:rsidRPr="005244DC">
        <w:rPr>
          <w:rFonts w:ascii="Arial Narrow" w:hAnsi="Arial Narrow"/>
          <w:i/>
        </w:rPr>
        <w:t>Miracles and Pilgrims: Popular Beliefs in Medieval England</w:t>
      </w:r>
      <w:r w:rsidRPr="005244DC">
        <w:rPr>
          <w:rFonts w:ascii="Arial Narrow" w:hAnsi="Arial Narrow"/>
        </w:rPr>
        <w:t xml:space="preserve"> (Palgrave Macmillan, 1995).</w:t>
      </w:r>
    </w:p>
    <w:p w:rsidR="005244DC" w:rsidRPr="005244DC" w:rsidRDefault="005244DC" w:rsidP="005244DC">
      <w:pPr>
        <w:rPr>
          <w:rFonts w:ascii="Arial Narrow" w:hAnsi="Arial Narrow"/>
          <w:iCs/>
        </w:rPr>
      </w:pPr>
      <w:r w:rsidRPr="005244DC">
        <w:rPr>
          <w:rFonts w:ascii="Arial Narrow" w:hAnsi="Arial Narrow"/>
          <w:iCs/>
        </w:rPr>
        <w:t xml:space="preserve">Fraser, L., J., </w:t>
      </w:r>
      <w:r w:rsidRPr="005244DC">
        <w:rPr>
          <w:rFonts w:ascii="Arial Narrow" w:hAnsi="Arial Narrow"/>
          <w:i/>
          <w:iCs/>
        </w:rPr>
        <w:t>Atheism, Fundamentalism and the Protestant Reformation: Uncovering the Secret Sympathy</w:t>
      </w:r>
      <w:r w:rsidRPr="005244DC">
        <w:rPr>
          <w:rFonts w:ascii="Arial Narrow" w:hAnsi="Arial Narrow"/>
          <w:iCs/>
        </w:rPr>
        <w:t xml:space="preserve"> (Cambridge: Cambridge University Press, 2018).</w:t>
      </w:r>
    </w:p>
    <w:p w:rsidR="005244DC" w:rsidRPr="005244DC" w:rsidRDefault="005244DC" w:rsidP="005244DC">
      <w:pPr>
        <w:rPr>
          <w:rFonts w:ascii="Arial Narrow" w:hAnsi="Arial Narrow"/>
          <w:iCs/>
        </w:rPr>
      </w:pPr>
      <w:proofErr w:type="spellStart"/>
      <w:r w:rsidRPr="005244DC">
        <w:rPr>
          <w:rFonts w:ascii="Arial Narrow" w:hAnsi="Arial Narrow"/>
          <w:iCs/>
        </w:rPr>
        <w:t>Haugaard</w:t>
      </w:r>
      <w:proofErr w:type="spellEnd"/>
      <w:r w:rsidRPr="005244DC">
        <w:rPr>
          <w:rFonts w:ascii="Arial Narrow" w:hAnsi="Arial Narrow"/>
          <w:iCs/>
        </w:rPr>
        <w:t xml:space="preserve">, W., P., </w:t>
      </w:r>
      <w:r w:rsidRPr="005244DC">
        <w:rPr>
          <w:rFonts w:ascii="Arial Narrow" w:hAnsi="Arial Narrow"/>
          <w:i/>
          <w:iCs/>
        </w:rPr>
        <w:t>Elizabeth and the English Reformation: The Struggle for a Stable Settlement Religion</w:t>
      </w:r>
      <w:r w:rsidRPr="005244DC">
        <w:rPr>
          <w:rFonts w:ascii="Arial Narrow" w:hAnsi="Arial Narrow"/>
          <w:iCs/>
        </w:rPr>
        <w:t xml:space="preserve"> (Cambridge: Cambridge University Press, 1968).</w:t>
      </w:r>
    </w:p>
    <w:p w:rsidR="005244DC" w:rsidRPr="005244DC" w:rsidRDefault="005244DC" w:rsidP="005244DC">
      <w:pPr>
        <w:rPr>
          <w:rFonts w:ascii="Arial Narrow" w:hAnsi="Arial Narrow"/>
        </w:rPr>
      </w:pPr>
      <w:r w:rsidRPr="005244DC">
        <w:rPr>
          <w:rFonts w:ascii="Arial Narrow" w:hAnsi="Arial Narrow"/>
        </w:rPr>
        <w:t>Our Lady of Lourdes, Thomas Becket: his miracles and relics, OurLadynewsouthgate.org, available from https://www.ourladynewsouthgate.org.uk/19-weekly-column/281-thomas-becket-his-miracles-and-relics?fbclid=IwAR2s9EAR0PIOaJY0MrVAVRCBvPoqqaPkTHwPygLoFxlAada8mFH_AinHpAM, accessed on [13/04/2019].</w:t>
      </w:r>
    </w:p>
    <w:p w:rsidR="005244DC" w:rsidRPr="005244DC" w:rsidRDefault="005244DC" w:rsidP="005244DC">
      <w:pPr>
        <w:rPr>
          <w:rFonts w:ascii="Arial Narrow" w:hAnsi="Arial Narrow"/>
        </w:rPr>
      </w:pPr>
      <w:proofErr w:type="spellStart"/>
      <w:r w:rsidRPr="005244DC">
        <w:rPr>
          <w:rFonts w:ascii="Arial Narrow" w:hAnsi="Arial Narrow"/>
        </w:rPr>
        <w:t>Reames</w:t>
      </w:r>
      <w:proofErr w:type="spellEnd"/>
      <w:r w:rsidRPr="005244DC">
        <w:rPr>
          <w:rFonts w:ascii="Arial Narrow" w:hAnsi="Arial Narrow"/>
        </w:rPr>
        <w:t xml:space="preserve">, S., L., "Reconstructing and Interpreting a Thirteenth-Century Office for the Translation of Thomas Becket," </w:t>
      </w:r>
      <w:r w:rsidRPr="005244DC">
        <w:rPr>
          <w:rFonts w:ascii="Arial Narrow" w:hAnsi="Arial Narrow"/>
          <w:i/>
        </w:rPr>
        <w:t>Speculum</w:t>
      </w:r>
      <w:r w:rsidRPr="005244DC">
        <w:rPr>
          <w:rFonts w:ascii="Arial Narrow" w:hAnsi="Arial Narrow"/>
        </w:rPr>
        <w:t>, vol.80, no.1 (Jan., 2005).</w:t>
      </w:r>
    </w:p>
    <w:p w:rsidR="005244DC" w:rsidRPr="005244DC" w:rsidRDefault="005244DC" w:rsidP="005244DC">
      <w:pPr>
        <w:rPr>
          <w:rFonts w:ascii="Arial Narrow" w:hAnsi="Arial Narrow"/>
        </w:rPr>
      </w:pPr>
      <w:proofErr w:type="spellStart"/>
      <w:r w:rsidRPr="005244DC">
        <w:rPr>
          <w:rFonts w:ascii="Arial Narrow" w:hAnsi="Arial Narrow"/>
        </w:rPr>
        <w:t>Remirez</w:t>
      </w:r>
      <w:proofErr w:type="spellEnd"/>
      <w:r w:rsidRPr="005244DC">
        <w:rPr>
          <w:rFonts w:ascii="Arial Narrow" w:hAnsi="Arial Narrow"/>
        </w:rPr>
        <w:t xml:space="preserve">, J., </w:t>
      </w:r>
      <w:proofErr w:type="gramStart"/>
      <w:r w:rsidRPr="005244DC">
        <w:rPr>
          <w:rFonts w:ascii="Arial Narrow" w:hAnsi="Arial Narrow"/>
          <w:i/>
        </w:rPr>
        <w:t>The</w:t>
      </w:r>
      <w:proofErr w:type="gramEnd"/>
      <w:r w:rsidRPr="005244DC">
        <w:rPr>
          <w:rFonts w:ascii="Arial Narrow" w:hAnsi="Arial Narrow"/>
          <w:i/>
        </w:rPr>
        <w:t xml:space="preserve"> Private Lives of Saints</w:t>
      </w:r>
      <w:r w:rsidRPr="005244DC">
        <w:rPr>
          <w:rFonts w:ascii="Arial Narrow" w:hAnsi="Arial Narrow"/>
        </w:rPr>
        <w:t xml:space="preserve"> (London: WH Allen, 2015).</w:t>
      </w:r>
    </w:p>
    <w:p w:rsidR="005244DC" w:rsidRPr="005244DC" w:rsidRDefault="005244DC" w:rsidP="005244DC">
      <w:pPr>
        <w:rPr>
          <w:rFonts w:ascii="Arial Narrow" w:hAnsi="Arial Narrow"/>
        </w:rPr>
      </w:pPr>
      <w:r w:rsidRPr="005244DC">
        <w:rPr>
          <w:rFonts w:ascii="Arial Narrow" w:hAnsi="Arial Narrow"/>
        </w:rPr>
        <w:t xml:space="preserve">Scully, R., E., ‘The Unmaking of a Saint: Thomas Becket and the English Reformation’, </w:t>
      </w:r>
      <w:r w:rsidRPr="005244DC">
        <w:rPr>
          <w:rFonts w:ascii="Arial Narrow" w:hAnsi="Arial Narrow"/>
          <w:i/>
        </w:rPr>
        <w:t>Catholic Historical Review</w:t>
      </w:r>
      <w:r w:rsidRPr="005244DC">
        <w:rPr>
          <w:rFonts w:ascii="Arial Narrow" w:hAnsi="Arial Narrow"/>
        </w:rPr>
        <w:t>, vol.86, no.4 (Oct., 2000).</w:t>
      </w:r>
    </w:p>
    <w:p w:rsidR="005244DC" w:rsidRPr="005244DC" w:rsidRDefault="005244DC" w:rsidP="005244DC">
      <w:pPr>
        <w:rPr>
          <w:rFonts w:ascii="Arial Narrow" w:hAnsi="Arial Narrow"/>
          <w:iCs/>
        </w:rPr>
      </w:pPr>
      <w:r w:rsidRPr="005244DC">
        <w:rPr>
          <w:rFonts w:ascii="Arial Narrow" w:hAnsi="Arial Narrow"/>
          <w:iCs/>
        </w:rPr>
        <w:t xml:space="preserve">Somerville, B., A., </w:t>
      </w:r>
      <w:r w:rsidRPr="005244DC">
        <w:rPr>
          <w:rFonts w:ascii="Arial Narrow" w:hAnsi="Arial Narrow"/>
          <w:i/>
          <w:iCs/>
        </w:rPr>
        <w:t>Martin Luther: Father of the Reformation</w:t>
      </w:r>
      <w:r w:rsidRPr="005244DC">
        <w:rPr>
          <w:rFonts w:ascii="Arial Narrow" w:hAnsi="Arial Narrow"/>
          <w:iCs/>
        </w:rPr>
        <w:t xml:space="preserve"> (Compass Point Books, 2006).</w:t>
      </w:r>
    </w:p>
    <w:p w:rsidR="005244DC" w:rsidRPr="005244DC" w:rsidRDefault="005244DC" w:rsidP="005244DC">
      <w:pPr>
        <w:rPr>
          <w:rFonts w:ascii="Arial Narrow" w:hAnsi="Arial Narrow"/>
        </w:rPr>
      </w:pPr>
      <w:r w:rsidRPr="005244DC">
        <w:rPr>
          <w:rFonts w:ascii="Arial Narrow" w:hAnsi="Arial Narrow"/>
        </w:rPr>
        <w:t xml:space="preserve">Staunton, M., </w:t>
      </w:r>
      <w:r w:rsidRPr="005244DC">
        <w:rPr>
          <w:rFonts w:ascii="Arial Narrow" w:hAnsi="Arial Narrow"/>
          <w:i/>
        </w:rPr>
        <w:t>Thomas Becket and His Biographers</w:t>
      </w:r>
      <w:r w:rsidRPr="005244DC">
        <w:rPr>
          <w:rFonts w:ascii="Arial Narrow" w:hAnsi="Arial Narrow"/>
        </w:rPr>
        <w:t>, (Woodbridge: The Boydell Press, 2006).</w:t>
      </w:r>
    </w:p>
    <w:p w:rsidR="005244DC" w:rsidRPr="005244DC" w:rsidRDefault="005244DC" w:rsidP="005244DC">
      <w:pPr>
        <w:rPr>
          <w:rFonts w:ascii="Arial Narrow" w:hAnsi="Arial Narrow"/>
        </w:rPr>
      </w:pPr>
      <w:r w:rsidRPr="005244DC">
        <w:rPr>
          <w:rFonts w:ascii="Arial Narrow" w:hAnsi="Arial Narrow"/>
          <w:i/>
        </w:rPr>
        <w:t xml:space="preserve">The Lives of Thomas Becket, </w:t>
      </w:r>
      <w:r w:rsidRPr="005244DC">
        <w:rPr>
          <w:rFonts w:ascii="Arial Narrow" w:hAnsi="Arial Narrow"/>
        </w:rPr>
        <w:t>trans. and annotated by M. Staunton (Manchester: Manchester University Press, 2001).</w:t>
      </w:r>
    </w:p>
    <w:p w:rsidR="005244DC" w:rsidRPr="005244DC" w:rsidRDefault="005244DC" w:rsidP="005244DC">
      <w:pPr>
        <w:rPr>
          <w:rFonts w:ascii="Arial Narrow" w:hAnsi="Arial Narrow"/>
        </w:rPr>
      </w:pPr>
      <w:r w:rsidRPr="005244DC">
        <w:rPr>
          <w:rFonts w:ascii="Arial Narrow" w:hAnsi="Arial Narrow"/>
        </w:rPr>
        <w:t>Web Gallery of Art, Mosaic Artist (Italian), wga.hu, available from https://www.wga.hu/html_m/zgothic/mosaics/5monreal/1sanctu1.html, accessed on [15/04/2019].</w:t>
      </w:r>
    </w:p>
    <w:p w:rsidR="0043187B" w:rsidRPr="0043187B" w:rsidRDefault="005244DC">
      <w:pPr>
        <w:rPr>
          <w:rFonts w:ascii="Arial Narrow" w:hAnsi="Arial Narrow"/>
        </w:rPr>
      </w:pPr>
      <w:r w:rsidRPr="005244DC">
        <w:rPr>
          <w:rFonts w:ascii="Arial Narrow" w:hAnsi="Arial Narrow"/>
        </w:rPr>
        <w:lastRenderedPageBreak/>
        <w:t xml:space="preserve">Yarrow, S., </w:t>
      </w:r>
      <w:r w:rsidRPr="005244DC">
        <w:rPr>
          <w:rFonts w:ascii="Arial Narrow" w:hAnsi="Arial Narrow"/>
          <w:i/>
        </w:rPr>
        <w:t>Saints in their Communities: Miracle Stories in Twelfth Century England</w:t>
      </w:r>
      <w:r w:rsidRPr="005244DC">
        <w:rPr>
          <w:rFonts w:ascii="Arial Narrow" w:hAnsi="Arial Narrow"/>
        </w:rPr>
        <w:t xml:space="preserve"> (Oxford: Clarendon Press, 2006). </w:t>
      </w:r>
    </w:p>
    <w:sectPr w:rsidR="0043187B" w:rsidRPr="004318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53B4" w:rsidRDefault="006D53B4" w:rsidP="00136558">
      <w:pPr>
        <w:spacing w:after="0" w:line="240" w:lineRule="auto"/>
      </w:pPr>
      <w:r>
        <w:separator/>
      </w:r>
    </w:p>
  </w:endnote>
  <w:endnote w:type="continuationSeparator" w:id="0">
    <w:p w:rsidR="006D53B4" w:rsidRDefault="006D53B4" w:rsidP="00136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53B4" w:rsidRDefault="006D53B4" w:rsidP="00136558">
      <w:pPr>
        <w:spacing w:after="0" w:line="240" w:lineRule="auto"/>
      </w:pPr>
      <w:r>
        <w:separator/>
      </w:r>
    </w:p>
  </w:footnote>
  <w:footnote w:type="continuationSeparator" w:id="0">
    <w:p w:rsidR="006D53B4" w:rsidRDefault="006D53B4" w:rsidP="00136558">
      <w:pPr>
        <w:spacing w:after="0" w:line="240" w:lineRule="auto"/>
      </w:pPr>
      <w:r>
        <w:continuationSeparator/>
      </w:r>
    </w:p>
  </w:footnote>
  <w:footnote w:id="1">
    <w:p w:rsidR="00136558" w:rsidRPr="00A44EBC" w:rsidRDefault="00136558" w:rsidP="00136558">
      <w:pPr>
        <w:pStyle w:val="FootnoteText"/>
        <w:rPr>
          <w:rFonts w:ascii="Arial Narrow" w:hAnsi="Arial Narrow"/>
        </w:rPr>
      </w:pPr>
      <w:r w:rsidRPr="00A44EBC">
        <w:rPr>
          <w:rStyle w:val="FootnoteReference"/>
          <w:rFonts w:ascii="Arial Narrow" w:hAnsi="Arial Narrow"/>
          <w:sz w:val="18"/>
        </w:rPr>
        <w:footnoteRef/>
      </w:r>
      <w:r w:rsidRPr="00A44EBC">
        <w:rPr>
          <w:rFonts w:ascii="Arial Narrow" w:hAnsi="Arial Narrow"/>
          <w:sz w:val="18"/>
        </w:rPr>
        <w:t xml:space="preserve"> </w:t>
      </w:r>
      <w:r>
        <w:rPr>
          <w:rFonts w:ascii="Arial Narrow" w:hAnsi="Arial Narrow"/>
          <w:sz w:val="18"/>
        </w:rPr>
        <w:t xml:space="preserve">J. </w:t>
      </w:r>
      <w:proofErr w:type="spellStart"/>
      <w:r>
        <w:rPr>
          <w:rFonts w:ascii="Arial Narrow" w:hAnsi="Arial Narrow"/>
          <w:sz w:val="18"/>
        </w:rPr>
        <w:t>Remirez</w:t>
      </w:r>
      <w:proofErr w:type="spellEnd"/>
      <w:r>
        <w:rPr>
          <w:rFonts w:ascii="Arial Narrow" w:hAnsi="Arial Narrow"/>
          <w:sz w:val="18"/>
        </w:rPr>
        <w:t xml:space="preserve">, </w:t>
      </w:r>
      <w:proofErr w:type="gramStart"/>
      <w:r>
        <w:rPr>
          <w:rFonts w:ascii="Arial Narrow" w:hAnsi="Arial Narrow"/>
          <w:i/>
          <w:sz w:val="18"/>
        </w:rPr>
        <w:t>The</w:t>
      </w:r>
      <w:proofErr w:type="gramEnd"/>
      <w:r>
        <w:rPr>
          <w:rFonts w:ascii="Arial Narrow" w:hAnsi="Arial Narrow"/>
          <w:i/>
          <w:sz w:val="18"/>
        </w:rPr>
        <w:t xml:space="preserve"> Private Lives of Saints</w:t>
      </w:r>
      <w:r>
        <w:rPr>
          <w:rFonts w:ascii="Arial Narrow" w:hAnsi="Arial Narrow"/>
          <w:sz w:val="18"/>
        </w:rPr>
        <w:t xml:space="preserve"> (London: WH Allen, 2015), p.11. </w:t>
      </w:r>
    </w:p>
  </w:footnote>
  <w:footnote w:id="2">
    <w:p w:rsidR="00136558" w:rsidRPr="00027AD3" w:rsidRDefault="00136558" w:rsidP="00136558">
      <w:pPr>
        <w:pStyle w:val="FootnoteText"/>
        <w:rPr>
          <w:rFonts w:ascii="Arial Narrow" w:hAnsi="Arial Narrow"/>
          <w:sz w:val="18"/>
          <w:szCs w:val="18"/>
        </w:rPr>
      </w:pPr>
      <w:r w:rsidRPr="00027AD3">
        <w:rPr>
          <w:rStyle w:val="FootnoteReference"/>
          <w:rFonts w:ascii="Arial Narrow" w:hAnsi="Arial Narrow"/>
          <w:sz w:val="18"/>
          <w:szCs w:val="18"/>
        </w:rPr>
        <w:footnoteRef/>
      </w:r>
      <w:r w:rsidRPr="00027AD3">
        <w:rPr>
          <w:rFonts w:ascii="Arial Narrow" w:hAnsi="Arial Narrow"/>
          <w:sz w:val="18"/>
          <w:szCs w:val="18"/>
        </w:rPr>
        <w:t xml:space="preserve"> </w:t>
      </w:r>
      <w:r w:rsidRPr="00027AD3">
        <w:rPr>
          <w:rFonts w:ascii="Arial Narrow" w:hAnsi="Arial Narrow"/>
          <w:bCs/>
          <w:sz w:val="18"/>
          <w:szCs w:val="18"/>
        </w:rPr>
        <w:t xml:space="preserve">William of Newburgh, </w:t>
      </w:r>
      <w:r w:rsidRPr="00027AD3">
        <w:rPr>
          <w:rFonts w:ascii="Arial Narrow" w:hAnsi="Arial Narrow"/>
          <w:bCs/>
          <w:i/>
          <w:sz w:val="18"/>
          <w:szCs w:val="18"/>
        </w:rPr>
        <w:t>The Church Historians of England</w:t>
      </w:r>
      <w:r>
        <w:rPr>
          <w:rFonts w:ascii="Arial Narrow" w:hAnsi="Arial Narrow"/>
          <w:bCs/>
          <w:sz w:val="18"/>
          <w:szCs w:val="18"/>
        </w:rPr>
        <w:t>, vol. IV, Book II, t</w:t>
      </w:r>
      <w:r w:rsidRPr="00027AD3">
        <w:rPr>
          <w:rFonts w:ascii="Arial Narrow" w:hAnsi="Arial Narrow"/>
          <w:bCs/>
          <w:sz w:val="18"/>
          <w:szCs w:val="18"/>
        </w:rPr>
        <w:t>rans. J. Stevenson (London: Seeley’s, 1856).</w:t>
      </w:r>
    </w:p>
  </w:footnote>
  <w:footnote w:id="3">
    <w:p w:rsidR="00136558" w:rsidRPr="00FB521B" w:rsidRDefault="00136558" w:rsidP="00136558">
      <w:pPr>
        <w:pStyle w:val="FootnoteText"/>
        <w:rPr>
          <w:rFonts w:ascii="Arial Narrow" w:hAnsi="Arial Narrow"/>
          <w:b/>
          <w:sz w:val="16"/>
          <w:szCs w:val="18"/>
          <w:u w:val="single"/>
        </w:rPr>
      </w:pPr>
      <w:r w:rsidRPr="00027AD3">
        <w:rPr>
          <w:rStyle w:val="FootnoteReference"/>
          <w:rFonts w:ascii="Arial Narrow" w:hAnsi="Arial Narrow"/>
          <w:sz w:val="18"/>
        </w:rPr>
        <w:footnoteRef/>
      </w:r>
      <w:r w:rsidRPr="00027AD3">
        <w:rPr>
          <w:rFonts w:ascii="Arial Narrow" w:hAnsi="Arial Narrow"/>
          <w:sz w:val="18"/>
        </w:rPr>
        <w:t xml:space="preserve"> See </w:t>
      </w:r>
      <w:r>
        <w:rPr>
          <w:rFonts w:ascii="Arial Narrow" w:hAnsi="Arial Narrow"/>
          <w:i/>
          <w:sz w:val="18"/>
        </w:rPr>
        <w:t>The Constitution of Clarendon</w:t>
      </w:r>
      <w:r>
        <w:rPr>
          <w:rFonts w:ascii="Arial Narrow" w:hAnsi="Arial Narrow"/>
          <w:sz w:val="18"/>
        </w:rPr>
        <w:t xml:space="preserve">, </w:t>
      </w:r>
      <w:r>
        <w:rPr>
          <w:rFonts w:ascii="Arial Narrow" w:hAnsi="Arial Narrow"/>
          <w:i/>
          <w:sz w:val="18"/>
        </w:rPr>
        <w:t>1164</w:t>
      </w:r>
      <w:r>
        <w:rPr>
          <w:rFonts w:ascii="Arial Narrow" w:hAnsi="Arial Narrow"/>
          <w:sz w:val="18"/>
        </w:rPr>
        <w:t xml:space="preserve">, </w:t>
      </w:r>
      <w:r w:rsidRPr="00982802">
        <w:rPr>
          <w:rFonts w:ascii="Arial Narrow" w:hAnsi="Arial Narrow"/>
          <w:i/>
          <w:sz w:val="18"/>
          <w:szCs w:val="18"/>
        </w:rPr>
        <w:t xml:space="preserve">Select Historical Documents of the </w:t>
      </w:r>
      <w:proofErr w:type="gramStart"/>
      <w:r w:rsidRPr="00982802">
        <w:rPr>
          <w:rFonts w:ascii="Arial Narrow" w:hAnsi="Arial Narrow"/>
          <w:i/>
          <w:sz w:val="18"/>
          <w:szCs w:val="18"/>
        </w:rPr>
        <w:t>Middle</w:t>
      </w:r>
      <w:proofErr w:type="gramEnd"/>
      <w:r w:rsidRPr="00982802">
        <w:rPr>
          <w:rFonts w:ascii="Arial Narrow" w:hAnsi="Arial Narrow"/>
          <w:i/>
          <w:sz w:val="18"/>
          <w:szCs w:val="18"/>
        </w:rPr>
        <w:t xml:space="preserve"> Ages</w:t>
      </w:r>
      <w:r w:rsidRPr="00982802">
        <w:rPr>
          <w:rFonts w:ascii="Arial Narrow" w:hAnsi="Arial Narrow"/>
          <w:sz w:val="18"/>
          <w:szCs w:val="18"/>
        </w:rPr>
        <w:t xml:space="preserve"> (London: George Bell and Sons, 1896).</w:t>
      </w:r>
      <w:r>
        <w:rPr>
          <w:rFonts w:ascii="Arial Narrow" w:hAnsi="Arial Narrow"/>
          <w:sz w:val="18"/>
        </w:rPr>
        <w:t xml:space="preserve"> </w:t>
      </w:r>
      <w:r w:rsidRPr="00FB521B">
        <w:rPr>
          <w:rFonts w:ascii="Arial Narrow" w:hAnsi="Arial Narrow"/>
          <w:sz w:val="16"/>
        </w:rPr>
        <w:t>‘</w:t>
      </w:r>
      <w:proofErr w:type="gramStart"/>
      <w:r w:rsidRPr="00FB521B">
        <w:rPr>
          <w:rFonts w:ascii="Arial Narrow" w:hAnsi="Arial Narrow"/>
          <w:sz w:val="16"/>
        </w:rPr>
        <w:t>if</w:t>
      </w:r>
      <w:proofErr w:type="gramEnd"/>
      <w:r w:rsidRPr="00FB521B">
        <w:rPr>
          <w:rFonts w:ascii="Arial Narrow" w:hAnsi="Arial Narrow"/>
          <w:sz w:val="16"/>
        </w:rPr>
        <w:t xml:space="preserve"> the clerk shall be convicted, or shall confess, the church ought not to protect him further’</w:t>
      </w:r>
      <w:r>
        <w:rPr>
          <w:rFonts w:ascii="Arial Narrow" w:hAnsi="Arial Narrow"/>
          <w:sz w:val="16"/>
        </w:rPr>
        <w:t>.</w:t>
      </w:r>
    </w:p>
  </w:footnote>
  <w:footnote w:id="4">
    <w:p w:rsidR="00136558" w:rsidRPr="00982802" w:rsidRDefault="00136558" w:rsidP="00136558">
      <w:pPr>
        <w:pStyle w:val="FootnoteText"/>
        <w:rPr>
          <w:rFonts w:ascii="Arial Narrow" w:hAnsi="Arial Narrow"/>
          <w:sz w:val="18"/>
          <w:szCs w:val="18"/>
        </w:rPr>
      </w:pPr>
      <w:r w:rsidRPr="00982802">
        <w:rPr>
          <w:rStyle w:val="FootnoteReference"/>
          <w:rFonts w:ascii="Arial Narrow" w:hAnsi="Arial Narrow"/>
          <w:sz w:val="18"/>
          <w:szCs w:val="18"/>
        </w:rPr>
        <w:footnoteRef/>
      </w:r>
      <w:r w:rsidRPr="00982802">
        <w:rPr>
          <w:rFonts w:ascii="Arial Narrow" w:hAnsi="Arial Narrow"/>
          <w:sz w:val="18"/>
          <w:szCs w:val="18"/>
        </w:rPr>
        <w:t xml:space="preserve"> F. Barlow, ‘Becket, Thomas [St Thomas of Canterbury, Thomas of London]’, Oxford Dictionary of National Biography (Sept., 2004).</w:t>
      </w:r>
    </w:p>
  </w:footnote>
  <w:footnote w:id="5">
    <w:p w:rsidR="00136558" w:rsidRPr="00A40A32" w:rsidRDefault="00136558" w:rsidP="00136558">
      <w:pPr>
        <w:pStyle w:val="FootnoteText"/>
        <w:rPr>
          <w:rFonts w:ascii="Arial Narrow" w:hAnsi="Arial Narrow"/>
        </w:rPr>
      </w:pPr>
      <w:r w:rsidRPr="00A40A32">
        <w:rPr>
          <w:rStyle w:val="FootnoteReference"/>
          <w:rFonts w:ascii="Arial Narrow" w:hAnsi="Arial Narrow"/>
          <w:sz w:val="18"/>
        </w:rPr>
        <w:footnoteRef/>
      </w:r>
      <w:r w:rsidRPr="00A40A32">
        <w:rPr>
          <w:rFonts w:ascii="Arial Narrow" w:hAnsi="Arial Narrow"/>
          <w:sz w:val="18"/>
        </w:rPr>
        <w:t xml:space="preserve"> M. Staunton, </w:t>
      </w:r>
      <w:r w:rsidRPr="00A40A32">
        <w:rPr>
          <w:rFonts w:ascii="Arial Narrow" w:hAnsi="Arial Narrow"/>
          <w:i/>
          <w:sz w:val="18"/>
        </w:rPr>
        <w:t>Thomas Becket and His Biographers</w:t>
      </w:r>
      <w:r w:rsidRPr="00A40A32">
        <w:rPr>
          <w:rFonts w:ascii="Arial Narrow" w:hAnsi="Arial Narrow"/>
          <w:sz w:val="18"/>
        </w:rPr>
        <w:t>, (Woodbridge: The Boydell Press, 2006).</w:t>
      </w:r>
    </w:p>
  </w:footnote>
  <w:footnote w:id="6">
    <w:p w:rsidR="00136558" w:rsidRPr="00AC15A1" w:rsidRDefault="00136558" w:rsidP="00136558">
      <w:pPr>
        <w:pStyle w:val="FootnoteText"/>
        <w:rPr>
          <w:rFonts w:ascii="Arial Narrow" w:hAnsi="Arial Narrow"/>
          <w:sz w:val="18"/>
          <w:szCs w:val="18"/>
        </w:rPr>
      </w:pPr>
      <w:r w:rsidRPr="00AC15A1">
        <w:rPr>
          <w:rStyle w:val="FootnoteReference"/>
          <w:rFonts w:ascii="Arial Narrow" w:hAnsi="Arial Narrow"/>
          <w:sz w:val="18"/>
          <w:szCs w:val="18"/>
        </w:rPr>
        <w:footnoteRef/>
      </w:r>
      <w:r w:rsidRPr="00AC15A1">
        <w:rPr>
          <w:rFonts w:ascii="Arial Narrow" w:hAnsi="Arial Narrow"/>
          <w:sz w:val="18"/>
          <w:szCs w:val="18"/>
        </w:rPr>
        <w:t xml:space="preserve"> R.A. Brown, </w:t>
      </w:r>
      <w:r w:rsidRPr="00AC15A1">
        <w:rPr>
          <w:rFonts w:ascii="Arial Narrow" w:hAnsi="Arial Narrow"/>
          <w:i/>
          <w:sz w:val="18"/>
          <w:szCs w:val="18"/>
        </w:rPr>
        <w:t xml:space="preserve">The Normans and the Norman Conquest </w:t>
      </w:r>
      <w:r w:rsidRPr="00AC15A1">
        <w:rPr>
          <w:rFonts w:ascii="Arial Narrow" w:hAnsi="Arial Narrow"/>
          <w:sz w:val="18"/>
          <w:szCs w:val="18"/>
        </w:rPr>
        <w:t>(Woodbridge: Boydell Press</w:t>
      </w:r>
      <w:proofErr w:type="gramStart"/>
      <w:r w:rsidRPr="00AC15A1">
        <w:rPr>
          <w:rFonts w:ascii="Arial Narrow" w:hAnsi="Arial Narrow"/>
          <w:sz w:val="18"/>
          <w:szCs w:val="18"/>
        </w:rPr>
        <w:t>,1969</w:t>
      </w:r>
      <w:proofErr w:type="gramEnd"/>
      <w:r w:rsidRPr="00AC15A1">
        <w:rPr>
          <w:rFonts w:ascii="Arial Narrow" w:hAnsi="Arial Narrow"/>
          <w:sz w:val="18"/>
          <w:szCs w:val="18"/>
        </w:rPr>
        <w:t xml:space="preserve">), pp. 122-123. </w:t>
      </w:r>
    </w:p>
  </w:footnote>
  <w:footnote w:id="7">
    <w:p w:rsidR="00136558" w:rsidRPr="00AC15A1" w:rsidRDefault="00136558" w:rsidP="00136558">
      <w:pPr>
        <w:pStyle w:val="FootnoteText"/>
        <w:rPr>
          <w:rFonts w:ascii="Arial Narrow" w:hAnsi="Arial Narrow"/>
          <w:i/>
          <w:sz w:val="18"/>
        </w:rPr>
      </w:pPr>
      <w:r w:rsidRPr="00AC15A1">
        <w:rPr>
          <w:rStyle w:val="FootnoteReference"/>
          <w:rFonts w:ascii="Arial Narrow" w:hAnsi="Arial Narrow"/>
          <w:sz w:val="18"/>
          <w:szCs w:val="18"/>
        </w:rPr>
        <w:footnoteRef/>
      </w:r>
      <w:r>
        <w:t xml:space="preserve"> </w:t>
      </w:r>
      <w:r>
        <w:rPr>
          <w:rFonts w:ascii="Arial Narrow" w:hAnsi="Arial Narrow"/>
          <w:sz w:val="18"/>
        </w:rPr>
        <w:t>F. Barlow, ‘Becket, Thomas’.</w:t>
      </w:r>
    </w:p>
  </w:footnote>
  <w:footnote w:id="8">
    <w:p w:rsidR="00136558" w:rsidRPr="00787D70" w:rsidRDefault="00136558" w:rsidP="00136558">
      <w:pPr>
        <w:pStyle w:val="FootnoteText"/>
        <w:rPr>
          <w:rFonts w:ascii="Arial Narrow" w:hAnsi="Arial Narrow"/>
        </w:rPr>
      </w:pPr>
      <w:r w:rsidRPr="003859CB">
        <w:rPr>
          <w:rStyle w:val="FootnoteReference"/>
          <w:rFonts w:ascii="Arial Narrow" w:hAnsi="Arial Narrow"/>
          <w:sz w:val="18"/>
        </w:rPr>
        <w:footnoteRef/>
      </w:r>
      <w:r w:rsidRPr="003859CB">
        <w:rPr>
          <w:rFonts w:ascii="Arial Narrow" w:hAnsi="Arial Narrow"/>
          <w:sz w:val="18"/>
        </w:rPr>
        <w:t xml:space="preserve"> </w:t>
      </w:r>
      <w:proofErr w:type="gramStart"/>
      <w:r>
        <w:rPr>
          <w:rFonts w:ascii="Arial Narrow" w:hAnsi="Arial Narrow"/>
          <w:i/>
          <w:sz w:val="18"/>
        </w:rPr>
        <w:t>Ibid.,</w:t>
      </w:r>
      <w:proofErr w:type="gramEnd"/>
      <w:r>
        <w:rPr>
          <w:rFonts w:ascii="Arial Narrow" w:hAnsi="Arial Narrow"/>
          <w:i/>
          <w:sz w:val="18"/>
        </w:rPr>
        <w:t xml:space="preserve"> </w:t>
      </w:r>
      <w:r>
        <w:rPr>
          <w:rFonts w:ascii="Arial Narrow" w:hAnsi="Arial Narrow"/>
          <w:sz w:val="18"/>
        </w:rPr>
        <w:t>p.60.</w:t>
      </w:r>
    </w:p>
  </w:footnote>
  <w:footnote w:id="9">
    <w:p w:rsidR="00136558" w:rsidRPr="003859CB" w:rsidRDefault="00136558" w:rsidP="00136558">
      <w:pPr>
        <w:pStyle w:val="FootnoteText"/>
        <w:rPr>
          <w:rFonts w:ascii="Arial Narrow" w:hAnsi="Arial Narrow"/>
          <w:i/>
          <w:sz w:val="18"/>
        </w:rPr>
      </w:pPr>
      <w:r w:rsidRPr="003859CB">
        <w:rPr>
          <w:rStyle w:val="FootnoteReference"/>
          <w:rFonts w:ascii="Arial Narrow" w:hAnsi="Arial Narrow"/>
          <w:sz w:val="18"/>
        </w:rPr>
        <w:footnoteRef/>
      </w:r>
      <w:r w:rsidRPr="003859CB">
        <w:rPr>
          <w:rFonts w:ascii="Arial Narrow" w:hAnsi="Arial Narrow"/>
          <w:sz w:val="18"/>
        </w:rPr>
        <w:t xml:space="preserve"> </w:t>
      </w:r>
      <w:r>
        <w:rPr>
          <w:rFonts w:ascii="Arial Narrow" w:hAnsi="Arial Narrow"/>
          <w:sz w:val="18"/>
        </w:rPr>
        <w:t xml:space="preserve">See F. Barlow for more negative responses: </w:t>
      </w:r>
      <w:r w:rsidRPr="003859CB">
        <w:rPr>
          <w:rFonts w:ascii="Arial Narrow" w:hAnsi="Arial Narrow"/>
          <w:sz w:val="18"/>
        </w:rPr>
        <w:t>‘</w:t>
      </w:r>
      <w:r w:rsidRPr="003859CB">
        <w:rPr>
          <w:rFonts w:ascii="Arial Narrow" w:hAnsi="Arial Narrow"/>
          <w:sz w:val="16"/>
        </w:rPr>
        <w:t>Although the archdeacon's grandeur and military exploits were not necessarily abhorrent to the English church, the '</w:t>
      </w:r>
      <w:proofErr w:type="spellStart"/>
      <w:r w:rsidRPr="003859CB">
        <w:rPr>
          <w:rFonts w:ascii="Arial Narrow" w:hAnsi="Arial Narrow"/>
          <w:sz w:val="16"/>
        </w:rPr>
        <w:t>scutage</w:t>
      </w:r>
      <w:proofErr w:type="spellEnd"/>
      <w:r w:rsidRPr="003859CB">
        <w:rPr>
          <w:rFonts w:ascii="Arial Narrow" w:hAnsi="Arial Narrow"/>
          <w:sz w:val="16"/>
        </w:rPr>
        <w:t xml:space="preserve"> of Toulouse', the tax to pay for the war which fell heavily on the church, and for which Becket was held responsible, was never forgotten, even by his friends and apologists, such as John of Salisbury’</w:t>
      </w:r>
      <w:r>
        <w:rPr>
          <w:rFonts w:ascii="Arial Narrow" w:hAnsi="Arial Narrow"/>
          <w:sz w:val="16"/>
        </w:rPr>
        <w:t>.</w:t>
      </w:r>
    </w:p>
  </w:footnote>
  <w:footnote w:id="10">
    <w:p w:rsidR="00136558" w:rsidRPr="00D665FA" w:rsidRDefault="00136558" w:rsidP="00136558">
      <w:pPr>
        <w:pStyle w:val="FootnoteText"/>
        <w:rPr>
          <w:rFonts w:ascii="Arial Narrow" w:hAnsi="Arial Narrow"/>
          <w:sz w:val="16"/>
        </w:rPr>
      </w:pPr>
      <w:r w:rsidRPr="00910D78">
        <w:rPr>
          <w:rStyle w:val="FootnoteReference"/>
          <w:rFonts w:ascii="Arial Narrow" w:hAnsi="Arial Narrow"/>
          <w:sz w:val="18"/>
        </w:rPr>
        <w:footnoteRef/>
      </w:r>
      <w:r w:rsidRPr="00910D78">
        <w:rPr>
          <w:rFonts w:ascii="Arial Narrow" w:hAnsi="Arial Narrow"/>
          <w:sz w:val="18"/>
        </w:rPr>
        <w:t xml:space="preserve"> </w:t>
      </w:r>
      <w:r>
        <w:rPr>
          <w:rFonts w:ascii="Arial Narrow" w:hAnsi="Arial Narrow"/>
          <w:sz w:val="18"/>
        </w:rPr>
        <w:t>See analysis of work on Anonymous II: ‘</w:t>
      </w:r>
      <w:r w:rsidRPr="00D665FA">
        <w:rPr>
          <w:rFonts w:ascii="Arial Narrow" w:hAnsi="Arial Narrow"/>
          <w:sz w:val="16"/>
        </w:rPr>
        <w:t>He cites models of virtuous reluctance to accept high office from scripture and from the Lives of Ambrose, Martin and Gregory the Great</w:t>
      </w:r>
      <w:r>
        <w:rPr>
          <w:rFonts w:ascii="Arial Narrow" w:hAnsi="Arial Narrow"/>
          <w:sz w:val="16"/>
        </w:rPr>
        <w:t xml:space="preserve">’, </w:t>
      </w:r>
      <w:r>
        <w:rPr>
          <w:rFonts w:ascii="Arial Narrow" w:hAnsi="Arial Narrow"/>
          <w:sz w:val="18"/>
        </w:rPr>
        <w:t xml:space="preserve">cited in </w:t>
      </w:r>
      <w:r w:rsidRPr="00910D78">
        <w:rPr>
          <w:rFonts w:ascii="Arial Narrow" w:hAnsi="Arial Narrow"/>
          <w:sz w:val="18"/>
        </w:rPr>
        <w:t xml:space="preserve">M. Staunton, </w:t>
      </w:r>
      <w:r w:rsidRPr="00910D78">
        <w:rPr>
          <w:rFonts w:ascii="Arial Narrow" w:hAnsi="Arial Narrow"/>
          <w:i/>
          <w:sz w:val="18"/>
        </w:rPr>
        <w:t>Thomas Becket and His Biographers</w:t>
      </w:r>
      <w:r>
        <w:rPr>
          <w:rFonts w:ascii="Arial Narrow" w:hAnsi="Arial Narrow"/>
          <w:sz w:val="18"/>
        </w:rPr>
        <w:t>.</w:t>
      </w:r>
    </w:p>
  </w:footnote>
  <w:footnote w:id="11">
    <w:p w:rsidR="00136558" w:rsidRPr="00D665FA" w:rsidRDefault="00136558" w:rsidP="00136558">
      <w:pPr>
        <w:pStyle w:val="FootnoteText"/>
        <w:rPr>
          <w:rFonts w:ascii="Arial Narrow" w:hAnsi="Arial Narrow"/>
        </w:rPr>
      </w:pPr>
      <w:r w:rsidRPr="00D665FA">
        <w:rPr>
          <w:rStyle w:val="FootnoteReference"/>
          <w:sz w:val="18"/>
        </w:rPr>
        <w:footnoteRef/>
      </w:r>
      <w:r w:rsidRPr="00D665FA">
        <w:rPr>
          <w:sz w:val="18"/>
        </w:rPr>
        <w:t xml:space="preserve"> </w:t>
      </w:r>
      <w:r>
        <w:rPr>
          <w:rFonts w:ascii="Arial Narrow" w:hAnsi="Arial Narrow"/>
          <w:sz w:val="18"/>
        </w:rPr>
        <w:t xml:space="preserve">M. Staunton, </w:t>
      </w:r>
      <w:r>
        <w:rPr>
          <w:rFonts w:ascii="Arial Narrow" w:hAnsi="Arial Narrow"/>
          <w:i/>
          <w:sz w:val="18"/>
        </w:rPr>
        <w:t>Thomas Becket and His Biographers</w:t>
      </w:r>
      <w:r>
        <w:rPr>
          <w:rFonts w:ascii="Arial Narrow" w:hAnsi="Arial Narrow"/>
          <w:sz w:val="18"/>
        </w:rPr>
        <w:t>.</w:t>
      </w:r>
    </w:p>
  </w:footnote>
  <w:footnote w:id="12">
    <w:p w:rsidR="00136558" w:rsidRPr="00CC6F71" w:rsidRDefault="00136558" w:rsidP="00136558">
      <w:pPr>
        <w:pStyle w:val="FootnoteText"/>
        <w:rPr>
          <w:rFonts w:ascii="Arial Narrow" w:hAnsi="Arial Narrow"/>
        </w:rPr>
      </w:pPr>
      <w:r w:rsidRPr="00CC6F71">
        <w:rPr>
          <w:rStyle w:val="FootnoteReference"/>
          <w:rFonts w:ascii="Arial Narrow" w:hAnsi="Arial Narrow"/>
          <w:sz w:val="18"/>
        </w:rPr>
        <w:footnoteRef/>
      </w:r>
      <w:r w:rsidRPr="00CC6F71">
        <w:rPr>
          <w:rFonts w:ascii="Arial Narrow" w:hAnsi="Arial Narrow"/>
          <w:sz w:val="18"/>
        </w:rPr>
        <w:t xml:space="preserve"> F. Barlow, ‘Becket, Thomas’</w:t>
      </w:r>
    </w:p>
  </w:footnote>
  <w:footnote w:id="13">
    <w:p w:rsidR="00136558" w:rsidRPr="00BB6101" w:rsidRDefault="00136558" w:rsidP="00136558">
      <w:pPr>
        <w:pStyle w:val="FootnoteText"/>
        <w:rPr>
          <w:rFonts w:ascii="Arial Narrow" w:hAnsi="Arial Narrow"/>
          <w:sz w:val="18"/>
          <w:szCs w:val="18"/>
        </w:rPr>
      </w:pPr>
      <w:r w:rsidRPr="00BB6101">
        <w:rPr>
          <w:rStyle w:val="FootnoteReference"/>
          <w:rFonts w:ascii="Arial Narrow" w:hAnsi="Arial Narrow"/>
          <w:sz w:val="18"/>
          <w:szCs w:val="18"/>
        </w:rPr>
        <w:footnoteRef/>
      </w:r>
      <w:r w:rsidRPr="00BB6101">
        <w:rPr>
          <w:rFonts w:ascii="Arial Narrow" w:hAnsi="Arial Narrow"/>
          <w:sz w:val="18"/>
          <w:szCs w:val="18"/>
        </w:rPr>
        <w:t xml:space="preserve"> R.E. Scully, ‘The Unmaking of a Saint: Thomas Becket and the English Reformation’, </w:t>
      </w:r>
      <w:r w:rsidRPr="00BB6101">
        <w:rPr>
          <w:rFonts w:ascii="Arial Narrow" w:hAnsi="Arial Narrow"/>
          <w:i/>
          <w:sz w:val="18"/>
          <w:szCs w:val="18"/>
        </w:rPr>
        <w:t>Catholic Historical Review</w:t>
      </w:r>
      <w:r w:rsidRPr="00BB6101">
        <w:rPr>
          <w:rFonts w:ascii="Arial Narrow" w:hAnsi="Arial Narrow"/>
          <w:sz w:val="18"/>
          <w:szCs w:val="18"/>
        </w:rPr>
        <w:t>, vol.86, no.4 (Oct., 2000), pp</w:t>
      </w:r>
      <w:r>
        <w:rPr>
          <w:rFonts w:ascii="Arial Narrow" w:hAnsi="Arial Narrow"/>
          <w:sz w:val="18"/>
          <w:szCs w:val="18"/>
        </w:rPr>
        <w:t>. 580-581.</w:t>
      </w:r>
    </w:p>
  </w:footnote>
  <w:footnote w:id="14">
    <w:p w:rsidR="00136558" w:rsidRPr="007F2888" w:rsidRDefault="00136558" w:rsidP="00136558">
      <w:pPr>
        <w:pStyle w:val="FootnoteText"/>
        <w:rPr>
          <w:rFonts w:ascii="Arial Narrow" w:hAnsi="Arial Narrow"/>
          <w:sz w:val="18"/>
          <w:szCs w:val="18"/>
        </w:rPr>
      </w:pPr>
      <w:r w:rsidRPr="007F2888">
        <w:rPr>
          <w:rStyle w:val="FootnoteReference"/>
          <w:rFonts w:ascii="Arial Narrow" w:hAnsi="Arial Narrow"/>
          <w:sz w:val="18"/>
          <w:szCs w:val="18"/>
        </w:rPr>
        <w:footnoteRef/>
      </w:r>
      <w:r w:rsidRPr="007F2888">
        <w:rPr>
          <w:rFonts w:ascii="Arial Narrow" w:hAnsi="Arial Narrow"/>
          <w:sz w:val="18"/>
          <w:szCs w:val="18"/>
        </w:rPr>
        <w:t xml:space="preserve"> </w:t>
      </w:r>
      <w:r>
        <w:rPr>
          <w:rFonts w:ascii="Arial Narrow" w:hAnsi="Arial Narrow"/>
          <w:sz w:val="18"/>
          <w:szCs w:val="18"/>
        </w:rPr>
        <w:t>R.E. Scully, ‘The Unmaking of a Saint’, p.581.</w:t>
      </w:r>
    </w:p>
  </w:footnote>
  <w:footnote w:id="15">
    <w:p w:rsidR="00136558" w:rsidRPr="00AE3655" w:rsidRDefault="00136558" w:rsidP="00136558">
      <w:pPr>
        <w:pStyle w:val="FootnoteText"/>
        <w:rPr>
          <w:rFonts w:ascii="Arial Narrow" w:hAnsi="Arial Narrow"/>
        </w:rPr>
      </w:pPr>
      <w:r w:rsidRPr="00AE3655">
        <w:rPr>
          <w:rStyle w:val="FootnoteReference"/>
          <w:rFonts w:ascii="Arial Narrow" w:hAnsi="Arial Narrow"/>
          <w:sz w:val="18"/>
        </w:rPr>
        <w:footnoteRef/>
      </w:r>
      <w:r w:rsidRPr="00AE3655">
        <w:rPr>
          <w:rFonts w:ascii="Arial Narrow" w:hAnsi="Arial Narrow"/>
          <w:sz w:val="18"/>
        </w:rPr>
        <w:t xml:space="preserve"> </w:t>
      </w:r>
      <w:r>
        <w:rPr>
          <w:rFonts w:ascii="Arial Narrow" w:hAnsi="Arial Narrow"/>
          <w:sz w:val="18"/>
        </w:rPr>
        <w:t xml:space="preserve">M. Staunton, </w:t>
      </w:r>
      <w:r>
        <w:rPr>
          <w:rFonts w:ascii="Arial Narrow" w:hAnsi="Arial Narrow"/>
          <w:i/>
          <w:sz w:val="18"/>
        </w:rPr>
        <w:t>Thomas Becket and His Biographers</w:t>
      </w:r>
      <w:r>
        <w:rPr>
          <w:rFonts w:ascii="Arial Narrow" w:hAnsi="Arial Narrow"/>
          <w:sz w:val="18"/>
        </w:rPr>
        <w:t>.</w:t>
      </w:r>
    </w:p>
  </w:footnote>
  <w:footnote w:id="16">
    <w:p w:rsidR="00DA6455" w:rsidRPr="003536EB" w:rsidRDefault="00DA6455" w:rsidP="00DA6455">
      <w:pPr>
        <w:pStyle w:val="FootnoteText"/>
        <w:rPr>
          <w:rFonts w:ascii="Arial Narrow" w:hAnsi="Arial Narrow"/>
          <w:sz w:val="18"/>
          <w:szCs w:val="18"/>
        </w:rPr>
      </w:pPr>
      <w:r w:rsidRPr="003536EB">
        <w:rPr>
          <w:rStyle w:val="FootnoteReference"/>
          <w:rFonts w:ascii="Arial Narrow" w:hAnsi="Arial Narrow"/>
          <w:sz w:val="18"/>
          <w:szCs w:val="18"/>
        </w:rPr>
        <w:footnoteRef/>
      </w:r>
      <w:r w:rsidRPr="003536EB">
        <w:rPr>
          <w:rFonts w:ascii="Arial Narrow" w:hAnsi="Arial Narrow"/>
          <w:sz w:val="18"/>
          <w:szCs w:val="18"/>
        </w:rPr>
        <w:t xml:space="preserve"> M. Staunton, </w:t>
      </w:r>
      <w:r w:rsidRPr="003536EB">
        <w:rPr>
          <w:rFonts w:ascii="Arial Narrow" w:hAnsi="Arial Narrow"/>
          <w:i/>
          <w:sz w:val="18"/>
          <w:szCs w:val="18"/>
        </w:rPr>
        <w:t>Thomas Becket and His Biographers</w:t>
      </w:r>
      <w:r w:rsidRPr="003536EB">
        <w:rPr>
          <w:rFonts w:ascii="Arial Narrow" w:hAnsi="Arial Narrow"/>
          <w:sz w:val="18"/>
          <w:szCs w:val="18"/>
        </w:rPr>
        <w:t>, (Woodbridge: The Boydell Press, 2006), p.4.</w:t>
      </w:r>
    </w:p>
  </w:footnote>
  <w:footnote w:id="17">
    <w:p w:rsidR="00DA6455" w:rsidRPr="006D6631" w:rsidRDefault="00DA6455" w:rsidP="00DA6455">
      <w:pPr>
        <w:pStyle w:val="FootnoteText"/>
        <w:rPr>
          <w:rFonts w:ascii="Arial Narrow" w:hAnsi="Arial Narrow"/>
          <w:sz w:val="18"/>
        </w:rPr>
      </w:pPr>
      <w:r w:rsidRPr="006D6631">
        <w:rPr>
          <w:rStyle w:val="FootnoteReference"/>
          <w:sz w:val="18"/>
        </w:rPr>
        <w:footnoteRef/>
      </w:r>
      <w:r w:rsidRPr="006D6631">
        <w:rPr>
          <w:sz w:val="18"/>
        </w:rPr>
        <w:t xml:space="preserve"> </w:t>
      </w:r>
      <w:r w:rsidRPr="006D6631">
        <w:rPr>
          <w:rFonts w:ascii="Arial Narrow" w:hAnsi="Arial Narrow"/>
          <w:i/>
          <w:sz w:val="18"/>
        </w:rPr>
        <w:t xml:space="preserve">The Lives of Thomas Becket, </w:t>
      </w:r>
      <w:r w:rsidRPr="006D6631">
        <w:rPr>
          <w:rFonts w:ascii="Arial Narrow" w:hAnsi="Arial Narrow"/>
          <w:sz w:val="18"/>
        </w:rPr>
        <w:t>trans. and annotated by M. Staunton (Manchester: Manchester University Press, 2001),</w:t>
      </w:r>
      <w:r>
        <w:rPr>
          <w:rFonts w:ascii="Arial Narrow" w:hAnsi="Arial Narrow"/>
          <w:sz w:val="18"/>
        </w:rPr>
        <w:t xml:space="preserve"> p.8. </w:t>
      </w:r>
    </w:p>
  </w:footnote>
  <w:footnote w:id="18">
    <w:p w:rsidR="00DA6455" w:rsidRPr="003536EB" w:rsidRDefault="00DA6455" w:rsidP="00DA6455">
      <w:pPr>
        <w:pStyle w:val="FootnoteText"/>
        <w:rPr>
          <w:rFonts w:ascii="Arial Narrow" w:hAnsi="Arial Narrow"/>
          <w:sz w:val="18"/>
        </w:rPr>
      </w:pPr>
      <w:r w:rsidRPr="003536EB">
        <w:rPr>
          <w:rStyle w:val="FootnoteReference"/>
          <w:rFonts w:ascii="Arial Narrow" w:hAnsi="Arial Narrow"/>
          <w:sz w:val="18"/>
          <w:szCs w:val="18"/>
        </w:rPr>
        <w:footnoteRef/>
      </w:r>
      <w:r w:rsidRPr="003536EB">
        <w:t xml:space="preserve"> </w:t>
      </w:r>
      <w:r>
        <w:rPr>
          <w:rFonts w:ascii="Arial Narrow" w:hAnsi="Arial Narrow"/>
          <w:i/>
          <w:sz w:val="18"/>
        </w:rPr>
        <w:t xml:space="preserve">The Lives of Thomas Becket, </w:t>
      </w:r>
      <w:r>
        <w:rPr>
          <w:rFonts w:ascii="Arial Narrow" w:hAnsi="Arial Narrow"/>
          <w:sz w:val="18"/>
        </w:rPr>
        <w:t>Staunton, p.4.</w:t>
      </w:r>
    </w:p>
  </w:footnote>
  <w:footnote w:id="19">
    <w:p w:rsidR="00DA6455" w:rsidRPr="00900FE6" w:rsidRDefault="00DA6455" w:rsidP="00DA6455">
      <w:pPr>
        <w:pStyle w:val="FootnoteText"/>
        <w:rPr>
          <w:rFonts w:ascii="Arial Narrow" w:hAnsi="Arial Narrow"/>
        </w:rPr>
      </w:pPr>
      <w:r w:rsidRPr="00900FE6">
        <w:rPr>
          <w:rStyle w:val="FootnoteReference"/>
          <w:rFonts w:ascii="Arial Narrow" w:hAnsi="Arial Narrow"/>
          <w:sz w:val="18"/>
        </w:rPr>
        <w:footnoteRef/>
      </w:r>
      <w:r w:rsidRPr="00900FE6">
        <w:rPr>
          <w:rFonts w:ascii="Arial Narrow" w:hAnsi="Arial Narrow"/>
          <w:sz w:val="18"/>
        </w:rPr>
        <w:t xml:space="preserve"> </w:t>
      </w:r>
      <w:proofErr w:type="gramStart"/>
      <w:r>
        <w:rPr>
          <w:rFonts w:ascii="Arial Narrow" w:hAnsi="Arial Narrow"/>
          <w:i/>
          <w:sz w:val="18"/>
        </w:rPr>
        <w:t>Ibid.,</w:t>
      </w:r>
      <w:proofErr w:type="gramEnd"/>
      <w:r>
        <w:rPr>
          <w:rFonts w:ascii="Arial Narrow" w:hAnsi="Arial Narrow"/>
          <w:i/>
          <w:sz w:val="18"/>
        </w:rPr>
        <w:t xml:space="preserve"> </w:t>
      </w:r>
      <w:r>
        <w:rPr>
          <w:rFonts w:ascii="Arial Narrow" w:hAnsi="Arial Narrow"/>
          <w:sz w:val="18"/>
        </w:rPr>
        <w:t>p.8.</w:t>
      </w:r>
    </w:p>
  </w:footnote>
  <w:footnote w:id="20">
    <w:p w:rsidR="00DA6455" w:rsidRPr="00FA1F87" w:rsidRDefault="00DA6455" w:rsidP="00DA6455">
      <w:pPr>
        <w:pStyle w:val="FootnoteText"/>
        <w:rPr>
          <w:rFonts w:ascii="Arial Narrow" w:hAnsi="Arial Narrow"/>
          <w:sz w:val="18"/>
        </w:rPr>
      </w:pPr>
      <w:r>
        <w:rPr>
          <w:rStyle w:val="FootnoteReference"/>
        </w:rPr>
        <w:footnoteRef/>
      </w:r>
      <w:r>
        <w:t xml:space="preserve"> </w:t>
      </w:r>
      <w:r w:rsidRPr="00FA1F87">
        <w:rPr>
          <w:rFonts w:ascii="Arial Narrow" w:hAnsi="Arial Narrow"/>
          <w:sz w:val="18"/>
        </w:rPr>
        <w:t xml:space="preserve">Staunton, </w:t>
      </w:r>
      <w:r w:rsidRPr="00FA1F87">
        <w:rPr>
          <w:rFonts w:ascii="Arial Narrow" w:hAnsi="Arial Narrow"/>
          <w:i/>
          <w:sz w:val="18"/>
        </w:rPr>
        <w:t>Thomas Becket and His Biographers</w:t>
      </w:r>
      <w:r>
        <w:rPr>
          <w:rFonts w:ascii="Arial Narrow" w:hAnsi="Arial Narrow"/>
          <w:sz w:val="18"/>
        </w:rPr>
        <w:t>, p.5.</w:t>
      </w:r>
    </w:p>
  </w:footnote>
  <w:footnote w:id="21">
    <w:p w:rsidR="00DA6455" w:rsidRPr="00A75E82" w:rsidRDefault="00DA6455" w:rsidP="00DA6455">
      <w:pPr>
        <w:pStyle w:val="FootnoteText"/>
        <w:rPr>
          <w:rFonts w:ascii="Arial Narrow" w:hAnsi="Arial Narrow"/>
        </w:rPr>
      </w:pPr>
      <w:r w:rsidRPr="00A75E82">
        <w:rPr>
          <w:rStyle w:val="FootnoteReference"/>
          <w:rFonts w:ascii="Arial Narrow" w:hAnsi="Arial Narrow"/>
          <w:sz w:val="18"/>
        </w:rPr>
        <w:footnoteRef/>
      </w:r>
      <w:r w:rsidRPr="00A75E82">
        <w:rPr>
          <w:rFonts w:ascii="Arial Narrow" w:hAnsi="Arial Narrow"/>
          <w:sz w:val="18"/>
        </w:rPr>
        <w:t xml:space="preserve"> </w:t>
      </w:r>
      <w:r>
        <w:rPr>
          <w:rFonts w:ascii="Arial Narrow" w:hAnsi="Arial Narrow"/>
          <w:sz w:val="18"/>
        </w:rPr>
        <w:t xml:space="preserve">Our Lady of Lourdes, </w:t>
      </w:r>
      <w:r w:rsidRPr="00A75E82">
        <w:rPr>
          <w:rFonts w:ascii="Arial Narrow" w:hAnsi="Arial Narrow"/>
          <w:sz w:val="18"/>
        </w:rPr>
        <w:t>Thomas Becket: his miracles and relics</w:t>
      </w:r>
      <w:r>
        <w:rPr>
          <w:rFonts w:ascii="Arial Narrow" w:hAnsi="Arial Narrow"/>
          <w:sz w:val="18"/>
        </w:rPr>
        <w:t xml:space="preserve">, OurLadynewsouthgate.org, available from </w:t>
      </w:r>
      <w:r w:rsidRPr="00A75E82">
        <w:rPr>
          <w:rFonts w:ascii="Arial Narrow" w:hAnsi="Arial Narrow"/>
          <w:sz w:val="18"/>
        </w:rPr>
        <w:t>https://www.ourladynewsouthgate.org.uk/19-weekly-column/281-thomas-becket-his-miracles-and-relics?fbclid=IwAR2s9EAR0PIOaJY0MrVAVRCBvPoqqaPkTHwPygLoFxlAada8mFH_AinHpAM</w:t>
      </w:r>
      <w:r>
        <w:rPr>
          <w:rFonts w:ascii="Arial Narrow" w:hAnsi="Arial Narrow"/>
          <w:sz w:val="18"/>
        </w:rPr>
        <w:t>, accessed on [13/04/2019].</w:t>
      </w:r>
    </w:p>
  </w:footnote>
  <w:footnote w:id="22">
    <w:p w:rsidR="00DA6455" w:rsidRPr="00080F41" w:rsidRDefault="00DA6455" w:rsidP="00DA6455">
      <w:pPr>
        <w:pStyle w:val="FootnoteText"/>
        <w:rPr>
          <w:rFonts w:ascii="Arial Narrow" w:hAnsi="Arial Narrow"/>
        </w:rPr>
      </w:pPr>
      <w:r w:rsidRPr="00056A2C">
        <w:rPr>
          <w:rStyle w:val="FootnoteReference"/>
          <w:rFonts w:ascii="Arial Narrow" w:hAnsi="Arial Narrow"/>
          <w:sz w:val="18"/>
        </w:rPr>
        <w:footnoteRef/>
      </w:r>
      <w:r w:rsidRPr="00056A2C">
        <w:rPr>
          <w:rFonts w:ascii="Arial Narrow" w:hAnsi="Arial Narrow"/>
          <w:sz w:val="18"/>
        </w:rPr>
        <w:t xml:space="preserve"> </w:t>
      </w:r>
      <w:r>
        <w:rPr>
          <w:rFonts w:ascii="Arial Narrow" w:hAnsi="Arial Narrow"/>
          <w:sz w:val="18"/>
        </w:rPr>
        <w:t xml:space="preserve">J. Barrow, </w:t>
      </w:r>
      <w:proofErr w:type="gramStart"/>
      <w:r w:rsidRPr="00080F41">
        <w:rPr>
          <w:rFonts w:ascii="Arial Narrow" w:hAnsi="Arial Narrow"/>
          <w:i/>
          <w:sz w:val="18"/>
        </w:rPr>
        <w:t>The</w:t>
      </w:r>
      <w:proofErr w:type="gramEnd"/>
      <w:r w:rsidRPr="00080F41">
        <w:rPr>
          <w:rFonts w:ascii="Arial Narrow" w:hAnsi="Arial Narrow"/>
          <w:i/>
          <w:sz w:val="18"/>
        </w:rPr>
        <w:t xml:space="preserve"> Clergy in the Medieval World</w:t>
      </w:r>
      <w:r>
        <w:rPr>
          <w:rFonts w:ascii="Arial Narrow" w:hAnsi="Arial Narrow"/>
          <w:i/>
          <w:sz w:val="18"/>
        </w:rPr>
        <w:t>: Secular Clerics, Their Families and Careers in North-Western Europe 800-1200</w:t>
      </w:r>
      <w:r>
        <w:rPr>
          <w:rFonts w:ascii="Arial Narrow" w:hAnsi="Arial Narrow"/>
          <w:sz w:val="18"/>
        </w:rPr>
        <w:t xml:space="preserve"> (Cambridge: Cambridge University Press, 2015), p.15.</w:t>
      </w:r>
    </w:p>
  </w:footnote>
  <w:footnote w:id="23">
    <w:p w:rsidR="00DA6455" w:rsidRPr="00D05E46" w:rsidRDefault="00DA6455" w:rsidP="00DA6455">
      <w:pPr>
        <w:pStyle w:val="FootnoteText"/>
        <w:rPr>
          <w:rFonts w:ascii="Arial Narrow" w:hAnsi="Arial Narrow"/>
        </w:rPr>
      </w:pPr>
      <w:r w:rsidRPr="00D05E46">
        <w:rPr>
          <w:rStyle w:val="FootnoteReference"/>
          <w:rFonts w:ascii="Arial Narrow" w:hAnsi="Arial Narrow"/>
          <w:sz w:val="18"/>
        </w:rPr>
        <w:footnoteRef/>
      </w:r>
      <w:r w:rsidRPr="00D05E46">
        <w:rPr>
          <w:rFonts w:ascii="Arial Narrow" w:hAnsi="Arial Narrow"/>
          <w:sz w:val="18"/>
        </w:rPr>
        <w:t xml:space="preserve"> </w:t>
      </w:r>
      <w:r>
        <w:rPr>
          <w:rFonts w:ascii="Arial Narrow" w:hAnsi="Arial Narrow"/>
          <w:sz w:val="18"/>
        </w:rPr>
        <w:t>Guibert de Nogent on relics, cited in</w:t>
      </w:r>
      <w:r w:rsidRPr="008A4E7B">
        <w:rPr>
          <w:rFonts w:ascii="Arial Narrow" w:hAnsi="Arial Narrow"/>
          <w:i/>
          <w:sz w:val="18"/>
        </w:rPr>
        <w:t xml:space="preserve"> Life in the </w:t>
      </w:r>
      <w:proofErr w:type="gramStart"/>
      <w:r>
        <w:rPr>
          <w:rFonts w:ascii="Arial Narrow" w:hAnsi="Arial Narrow"/>
          <w:i/>
          <w:sz w:val="18"/>
        </w:rPr>
        <w:t>Middle</w:t>
      </w:r>
      <w:proofErr w:type="gramEnd"/>
      <w:r>
        <w:rPr>
          <w:rFonts w:ascii="Arial Narrow" w:hAnsi="Arial Narrow"/>
          <w:i/>
          <w:sz w:val="18"/>
        </w:rPr>
        <w:t xml:space="preserve"> Ages,</w:t>
      </w:r>
      <w:r w:rsidRPr="008A4E7B">
        <w:rPr>
          <w:rFonts w:ascii="Arial Narrow" w:hAnsi="Arial Narrow"/>
          <w:sz w:val="18"/>
        </w:rPr>
        <w:t xml:space="preserve"> </w:t>
      </w:r>
      <w:r>
        <w:rPr>
          <w:rFonts w:ascii="Arial Narrow" w:hAnsi="Arial Narrow"/>
          <w:sz w:val="18"/>
        </w:rPr>
        <w:t xml:space="preserve">ed. C.G. Coulton, vol.1 </w:t>
      </w:r>
      <w:r w:rsidRPr="008A4E7B">
        <w:rPr>
          <w:rFonts w:ascii="Arial Narrow" w:hAnsi="Arial Narrow"/>
          <w:sz w:val="18"/>
        </w:rPr>
        <w:t>(New</w:t>
      </w:r>
      <w:r>
        <w:rPr>
          <w:rFonts w:ascii="Arial Narrow" w:hAnsi="Arial Narrow"/>
          <w:sz w:val="18"/>
        </w:rPr>
        <w:t xml:space="preserve"> York: Macmillan, c.1910).</w:t>
      </w:r>
    </w:p>
  </w:footnote>
  <w:footnote w:id="24">
    <w:p w:rsidR="00DA6455" w:rsidRPr="00641C4B" w:rsidRDefault="00DA6455" w:rsidP="00DA6455">
      <w:pPr>
        <w:pStyle w:val="FootnoteText"/>
        <w:rPr>
          <w:rFonts w:ascii="Arial Narrow" w:hAnsi="Arial Narrow"/>
          <w:sz w:val="18"/>
        </w:rPr>
      </w:pPr>
      <w:r w:rsidRPr="00641C4B">
        <w:rPr>
          <w:rStyle w:val="FootnoteReference"/>
          <w:rFonts w:ascii="Arial Narrow" w:hAnsi="Arial Narrow"/>
          <w:sz w:val="18"/>
        </w:rPr>
        <w:footnoteRef/>
      </w:r>
      <w:r>
        <w:rPr>
          <w:rFonts w:ascii="Arial Narrow" w:hAnsi="Arial Narrow"/>
        </w:rPr>
        <w:t xml:space="preserve"> ‘</w:t>
      </w:r>
      <w:r>
        <w:rPr>
          <w:rFonts w:ascii="Arial Narrow" w:hAnsi="Arial Narrow"/>
          <w:sz w:val="18"/>
        </w:rPr>
        <w:t xml:space="preserve">The Life of St Nicholas’, </w:t>
      </w:r>
      <w:r>
        <w:rPr>
          <w:rFonts w:ascii="Arial Narrow" w:hAnsi="Arial Narrow"/>
          <w:i/>
          <w:sz w:val="18"/>
        </w:rPr>
        <w:t xml:space="preserve">Medieval Popular Religion 1000-1500, </w:t>
      </w:r>
      <w:r>
        <w:rPr>
          <w:rFonts w:ascii="Arial Narrow" w:hAnsi="Arial Narrow"/>
          <w:sz w:val="18"/>
        </w:rPr>
        <w:t xml:space="preserve">ed. J. Shinners (University of Toronto Press, 2006), p.195. </w:t>
      </w:r>
    </w:p>
  </w:footnote>
  <w:footnote w:id="25">
    <w:p w:rsidR="00DA6455" w:rsidRPr="00697569" w:rsidRDefault="00DA6455" w:rsidP="00DA6455">
      <w:pPr>
        <w:pStyle w:val="FootnoteText"/>
        <w:rPr>
          <w:rFonts w:ascii="Arial Narrow" w:hAnsi="Arial Narrow"/>
        </w:rPr>
      </w:pPr>
      <w:r w:rsidRPr="00697569">
        <w:rPr>
          <w:rStyle w:val="FootnoteReference"/>
          <w:sz w:val="18"/>
        </w:rPr>
        <w:footnoteRef/>
      </w:r>
      <w:r w:rsidRPr="00697569">
        <w:rPr>
          <w:sz w:val="18"/>
        </w:rPr>
        <w:t xml:space="preserve"> </w:t>
      </w:r>
      <w:r w:rsidRPr="00697569">
        <w:rPr>
          <w:rFonts w:ascii="Arial Narrow" w:hAnsi="Arial Narrow"/>
          <w:sz w:val="18"/>
        </w:rPr>
        <w:t xml:space="preserve">William of Canterbury, ‘Miracles at the Shrine of Thomas Becket’, in </w:t>
      </w:r>
      <w:r w:rsidRPr="00697569">
        <w:rPr>
          <w:rFonts w:ascii="Arial Narrow" w:hAnsi="Arial Narrow"/>
          <w:i/>
          <w:sz w:val="18"/>
        </w:rPr>
        <w:t xml:space="preserve">Pilgrimage in the </w:t>
      </w:r>
      <w:proofErr w:type="gramStart"/>
      <w:r>
        <w:rPr>
          <w:rFonts w:ascii="Arial Narrow" w:hAnsi="Arial Narrow"/>
          <w:i/>
          <w:sz w:val="18"/>
        </w:rPr>
        <w:t>Middle</w:t>
      </w:r>
      <w:proofErr w:type="gramEnd"/>
      <w:r>
        <w:rPr>
          <w:rFonts w:ascii="Arial Narrow" w:hAnsi="Arial Narrow"/>
          <w:i/>
          <w:sz w:val="18"/>
        </w:rPr>
        <w:t xml:space="preserve"> Ages</w:t>
      </w:r>
      <w:r w:rsidRPr="00697569">
        <w:rPr>
          <w:rFonts w:ascii="Arial Narrow" w:hAnsi="Arial Narrow"/>
          <w:i/>
          <w:sz w:val="18"/>
        </w:rPr>
        <w:t>: A Reader</w:t>
      </w:r>
      <w:r w:rsidRPr="00697569">
        <w:rPr>
          <w:rFonts w:ascii="Arial Narrow" w:hAnsi="Arial Narrow"/>
          <w:sz w:val="18"/>
        </w:rPr>
        <w:t>, ed. B.E. Whalen (University of Toronto Press, 2011).</w:t>
      </w:r>
    </w:p>
  </w:footnote>
  <w:footnote w:id="26">
    <w:p w:rsidR="00DA6455" w:rsidRPr="00B05C01" w:rsidRDefault="00DA6455" w:rsidP="00DA6455">
      <w:pPr>
        <w:pStyle w:val="FootnoteText"/>
        <w:rPr>
          <w:rFonts w:ascii="Arial Narrow" w:hAnsi="Arial Narrow"/>
          <w:sz w:val="18"/>
        </w:rPr>
      </w:pPr>
      <w:r>
        <w:rPr>
          <w:rStyle w:val="FootnoteReference"/>
        </w:rPr>
        <w:footnoteRef/>
      </w:r>
      <w:r>
        <w:t xml:space="preserve"> </w:t>
      </w:r>
      <w:r>
        <w:rPr>
          <w:rFonts w:ascii="Arial Narrow" w:hAnsi="Arial Narrow"/>
          <w:sz w:val="18"/>
        </w:rPr>
        <w:t>William of Canterbury, ‘Miracles at the Shrine of Thomas Becket’.</w:t>
      </w:r>
    </w:p>
  </w:footnote>
  <w:footnote w:id="27">
    <w:p w:rsidR="00BA2BF2" w:rsidRPr="003F4991" w:rsidRDefault="00BA2BF2" w:rsidP="00BA2BF2">
      <w:pPr>
        <w:pStyle w:val="FootnoteText"/>
        <w:rPr>
          <w:rFonts w:ascii="Arial Narrow" w:hAnsi="Arial Narrow"/>
        </w:rPr>
      </w:pPr>
      <w:r w:rsidRPr="003F4991">
        <w:rPr>
          <w:rStyle w:val="FootnoteReference"/>
          <w:sz w:val="18"/>
        </w:rPr>
        <w:footnoteRef/>
      </w:r>
      <w:r w:rsidRPr="003F4991">
        <w:rPr>
          <w:sz w:val="18"/>
        </w:rPr>
        <w:t xml:space="preserve"> </w:t>
      </w:r>
      <w:r>
        <w:rPr>
          <w:rFonts w:ascii="Arial Narrow" w:hAnsi="Arial Narrow"/>
          <w:sz w:val="18"/>
        </w:rPr>
        <w:t xml:space="preserve">L.J. Fraser, </w:t>
      </w:r>
      <w:r w:rsidRPr="003F4991">
        <w:rPr>
          <w:rFonts w:ascii="Arial Narrow" w:hAnsi="Arial Narrow"/>
          <w:i/>
          <w:sz w:val="18"/>
        </w:rPr>
        <w:t>Atheism, Fundamentalism and the Protestant Reformation: Uncovering the Secret Sympathy</w:t>
      </w:r>
      <w:r>
        <w:rPr>
          <w:rFonts w:ascii="Arial Narrow" w:hAnsi="Arial Narrow"/>
          <w:sz w:val="18"/>
        </w:rPr>
        <w:t xml:space="preserve"> (Cambridge: </w:t>
      </w:r>
      <w:r w:rsidRPr="00151B40">
        <w:rPr>
          <w:rFonts w:ascii="Arial Narrow" w:hAnsi="Arial Narrow"/>
          <w:sz w:val="18"/>
        </w:rPr>
        <w:t>Cambr</w:t>
      </w:r>
      <w:r>
        <w:rPr>
          <w:rFonts w:ascii="Arial Narrow" w:hAnsi="Arial Narrow"/>
          <w:sz w:val="18"/>
        </w:rPr>
        <w:t xml:space="preserve">idge University Press, </w:t>
      </w:r>
      <w:r w:rsidRPr="00151B40">
        <w:rPr>
          <w:rFonts w:ascii="Arial Narrow" w:hAnsi="Arial Narrow"/>
          <w:sz w:val="18"/>
        </w:rPr>
        <w:t>2018</w:t>
      </w:r>
      <w:r>
        <w:rPr>
          <w:rFonts w:ascii="Arial Narrow" w:hAnsi="Arial Narrow"/>
          <w:sz w:val="18"/>
        </w:rPr>
        <w:t>), p.20.</w:t>
      </w:r>
    </w:p>
  </w:footnote>
  <w:footnote w:id="28">
    <w:p w:rsidR="00BA2BF2" w:rsidRPr="00FA68D2" w:rsidRDefault="00BA2BF2" w:rsidP="00BA2BF2">
      <w:pPr>
        <w:pStyle w:val="FootnoteText"/>
        <w:rPr>
          <w:rFonts w:ascii="Arial Narrow" w:hAnsi="Arial Narrow"/>
          <w:sz w:val="18"/>
        </w:rPr>
      </w:pPr>
      <w:r w:rsidRPr="008473D2">
        <w:rPr>
          <w:rStyle w:val="FootnoteReference"/>
          <w:rFonts w:ascii="Arial Narrow" w:hAnsi="Arial Narrow"/>
          <w:sz w:val="18"/>
        </w:rPr>
        <w:footnoteRef/>
      </w:r>
      <w:r w:rsidRPr="008473D2">
        <w:rPr>
          <w:rFonts w:ascii="Arial Narrow" w:hAnsi="Arial Narrow"/>
          <w:sz w:val="18"/>
        </w:rPr>
        <w:t xml:space="preserve"> </w:t>
      </w:r>
      <w:r w:rsidRPr="008473D2">
        <w:rPr>
          <w:rFonts w:ascii="Arial Narrow" w:hAnsi="Arial Narrow"/>
          <w:sz w:val="16"/>
        </w:rPr>
        <w:t xml:space="preserve">‘The unhappy souls believe that…so soon as they cast their contributions into the money-box, souls fly out of purgatory’. </w:t>
      </w:r>
      <w:r w:rsidRPr="00FA68D2">
        <w:rPr>
          <w:rFonts w:ascii="Arial Narrow" w:hAnsi="Arial Narrow"/>
          <w:iCs/>
          <w:sz w:val="18"/>
        </w:rPr>
        <w:t xml:space="preserve">Martin Luther, </w:t>
      </w:r>
      <w:r w:rsidRPr="00FA68D2">
        <w:rPr>
          <w:rFonts w:ascii="Arial Narrow" w:hAnsi="Arial Narrow"/>
          <w:i/>
          <w:iCs/>
          <w:sz w:val="18"/>
        </w:rPr>
        <w:t>Letter to the Archbishop of Mainz: 1517</w:t>
      </w:r>
      <w:r w:rsidRPr="00FA68D2">
        <w:rPr>
          <w:rFonts w:ascii="Arial Narrow" w:hAnsi="Arial Narrow"/>
          <w:iCs/>
          <w:sz w:val="18"/>
        </w:rPr>
        <w:t>, cited in</w:t>
      </w:r>
      <w:r w:rsidRPr="00FA68D2">
        <w:rPr>
          <w:rFonts w:ascii="Arial Narrow" w:hAnsi="Arial Narrow"/>
          <w:i/>
          <w:iCs/>
          <w:sz w:val="18"/>
        </w:rPr>
        <w:t xml:space="preserve"> The Works of Martin Luther, </w:t>
      </w:r>
      <w:r w:rsidRPr="00FA68D2">
        <w:rPr>
          <w:rFonts w:ascii="Arial Narrow" w:hAnsi="Arial Narrow"/>
          <w:iCs/>
          <w:sz w:val="18"/>
        </w:rPr>
        <w:t>ed</w:t>
      </w:r>
      <w:r w:rsidRPr="00FA68D2">
        <w:rPr>
          <w:rFonts w:ascii="Arial Narrow" w:hAnsi="Arial Narrow"/>
          <w:sz w:val="18"/>
        </w:rPr>
        <w:t xml:space="preserve">. and trans. A. </w:t>
      </w:r>
      <w:proofErr w:type="spellStart"/>
      <w:r w:rsidRPr="00FA68D2">
        <w:rPr>
          <w:rFonts w:ascii="Arial Narrow" w:hAnsi="Arial Narrow"/>
          <w:sz w:val="18"/>
        </w:rPr>
        <w:t>Spaeth</w:t>
      </w:r>
      <w:proofErr w:type="spellEnd"/>
      <w:r w:rsidRPr="00FA68D2">
        <w:rPr>
          <w:rFonts w:ascii="Arial Narrow" w:hAnsi="Arial Narrow"/>
          <w:sz w:val="18"/>
        </w:rPr>
        <w:t>, L.D. Reed, H.E. Jacobs, vol.1 (Philadelphia: A. J. Holman Company</w:t>
      </w:r>
      <w:proofErr w:type="gramStart"/>
      <w:r w:rsidRPr="00FA68D2">
        <w:rPr>
          <w:rFonts w:ascii="Arial Narrow" w:hAnsi="Arial Narrow"/>
          <w:sz w:val="18"/>
        </w:rPr>
        <w:t>,1915</w:t>
      </w:r>
      <w:proofErr w:type="gramEnd"/>
      <w:r w:rsidRPr="00FA68D2">
        <w:rPr>
          <w:rFonts w:ascii="Arial Narrow" w:hAnsi="Arial Narrow"/>
          <w:sz w:val="18"/>
        </w:rPr>
        <w:t>).</w:t>
      </w:r>
    </w:p>
  </w:footnote>
  <w:footnote w:id="29">
    <w:p w:rsidR="00BA2BF2" w:rsidRPr="004B6C2E" w:rsidRDefault="00BA2BF2" w:rsidP="00BA2BF2">
      <w:pPr>
        <w:pStyle w:val="FootnoteText"/>
        <w:rPr>
          <w:rFonts w:ascii="Arial Narrow" w:hAnsi="Arial Narrow"/>
          <w:sz w:val="18"/>
        </w:rPr>
      </w:pPr>
      <w:r>
        <w:rPr>
          <w:rStyle w:val="FootnoteReference"/>
        </w:rPr>
        <w:footnoteRef/>
      </w:r>
      <w:r>
        <w:t xml:space="preserve"> </w:t>
      </w:r>
      <w:r>
        <w:rPr>
          <w:rFonts w:ascii="Arial Narrow" w:hAnsi="Arial Narrow"/>
          <w:sz w:val="18"/>
        </w:rPr>
        <w:t xml:space="preserve">See Matthew 25:35-40 </w:t>
      </w:r>
      <w:r w:rsidRPr="009F389F">
        <w:rPr>
          <w:rFonts w:ascii="Arial Narrow" w:hAnsi="Arial Narrow"/>
          <w:sz w:val="16"/>
        </w:rPr>
        <w:t xml:space="preserve">‘For I was hungry and you gave me something to eat, I was thirsty and you gave me something to drink, I was a stranger and you invited me in,  I needed clothes and you clothed me, I was sick and you looked after me, I was in prison and you came to visit me’. </w:t>
      </w:r>
      <w:r>
        <w:rPr>
          <w:rFonts w:ascii="Arial Narrow" w:hAnsi="Arial Narrow"/>
          <w:sz w:val="16"/>
        </w:rPr>
        <w:t xml:space="preserve"> </w:t>
      </w:r>
      <w:r>
        <w:rPr>
          <w:rFonts w:ascii="Arial Narrow" w:hAnsi="Arial Narrow"/>
          <w:sz w:val="18"/>
        </w:rPr>
        <w:t xml:space="preserve">Bible Gateway, Matthew 25:35-40, Bible Gateway, available from </w:t>
      </w:r>
      <w:r w:rsidRPr="004B6C2E">
        <w:rPr>
          <w:rFonts w:ascii="Arial Narrow" w:hAnsi="Arial Narrow"/>
          <w:sz w:val="18"/>
        </w:rPr>
        <w:t>https://www.biblegateway.com/passage/?search=Matthew+25%3A35-40&amp;version=NIV</w:t>
      </w:r>
      <w:r>
        <w:rPr>
          <w:rFonts w:ascii="Arial Narrow" w:hAnsi="Arial Narrow"/>
          <w:sz w:val="18"/>
        </w:rPr>
        <w:t>, accessed on [20/04/2019].</w:t>
      </w:r>
    </w:p>
  </w:footnote>
  <w:footnote w:id="30">
    <w:p w:rsidR="00BA2BF2" w:rsidRPr="00D007C4" w:rsidRDefault="00BA2BF2" w:rsidP="00BA2BF2">
      <w:pPr>
        <w:pStyle w:val="FootnoteText"/>
        <w:rPr>
          <w:rFonts w:ascii="Arial Narrow" w:hAnsi="Arial Narrow"/>
          <w:b/>
          <w:i/>
          <w:iCs/>
          <w:sz w:val="18"/>
          <w:u w:val="single"/>
        </w:rPr>
      </w:pPr>
      <w:r w:rsidRPr="00D007C4">
        <w:rPr>
          <w:rStyle w:val="FootnoteReference"/>
          <w:rFonts w:ascii="Arial Narrow" w:hAnsi="Arial Narrow"/>
          <w:sz w:val="18"/>
        </w:rPr>
        <w:footnoteRef/>
      </w:r>
      <w:r w:rsidRPr="00D007C4">
        <w:rPr>
          <w:rFonts w:ascii="Arial Narrow" w:hAnsi="Arial Narrow"/>
          <w:sz w:val="18"/>
        </w:rPr>
        <w:t xml:space="preserve"> Edward Grim, </w:t>
      </w:r>
      <w:r w:rsidRPr="00D007C4">
        <w:rPr>
          <w:rFonts w:ascii="Arial Narrow" w:hAnsi="Arial Narrow"/>
          <w:i/>
          <w:sz w:val="18"/>
        </w:rPr>
        <w:t xml:space="preserve">Vita S. </w:t>
      </w:r>
      <w:proofErr w:type="spellStart"/>
      <w:r w:rsidRPr="00D007C4">
        <w:rPr>
          <w:rFonts w:ascii="Arial Narrow" w:hAnsi="Arial Narrow"/>
          <w:i/>
          <w:sz w:val="18"/>
        </w:rPr>
        <w:t>Thomae</w:t>
      </w:r>
      <w:proofErr w:type="spellEnd"/>
      <w:r w:rsidRPr="00D007C4">
        <w:rPr>
          <w:rFonts w:ascii="Arial Narrow" w:hAnsi="Arial Narrow"/>
          <w:i/>
          <w:sz w:val="18"/>
        </w:rPr>
        <w:t xml:space="preserve">, </w:t>
      </w:r>
      <w:proofErr w:type="spellStart"/>
      <w:r w:rsidRPr="00D007C4">
        <w:rPr>
          <w:rFonts w:ascii="Arial Narrow" w:hAnsi="Arial Narrow"/>
          <w:i/>
          <w:sz w:val="18"/>
        </w:rPr>
        <w:t>Cantuariensis</w:t>
      </w:r>
      <w:proofErr w:type="spellEnd"/>
      <w:r w:rsidRPr="00D007C4">
        <w:rPr>
          <w:rFonts w:ascii="Arial Narrow" w:hAnsi="Arial Narrow"/>
          <w:i/>
          <w:sz w:val="18"/>
        </w:rPr>
        <w:t xml:space="preserve"> </w:t>
      </w:r>
      <w:proofErr w:type="spellStart"/>
      <w:r w:rsidRPr="00D007C4">
        <w:rPr>
          <w:rFonts w:ascii="Arial Narrow" w:hAnsi="Arial Narrow"/>
          <w:i/>
          <w:sz w:val="18"/>
        </w:rPr>
        <w:t>Archepiscopi</w:t>
      </w:r>
      <w:proofErr w:type="spellEnd"/>
      <w:r w:rsidRPr="00D007C4">
        <w:rPr>
          <w:rFonts w:ascii="Arial Narrow" w:hAnsi="Arial Narrow"/>
          <w:i/>
          <w:sz w:val="18"/>
        </w:rPr>
        <w:t xml:space="preserve"> </w:t>
      </w:r>
      <w:proofErr w:type="gramStart"/>
      <w:r w:rsidRPr="00D007C4">
        <w:rPr>
          <w:rFonts w:ascii="Arial Narrow" w:hAnsi="Arial Narrow"/>
          <w:i/>
          <w:sz w:val="18"/>
        </w:rPr>
        <w:t>et</w:t>
      </w:r>
      <w:proofErr w:type="gramEnd"/>
      <w:r w:rsidRPr="00D007C4">
        <w:rPr>
          <w:rFonts w:ascii="Arial Narrow" w:hAnsi="Arial Narrow"/>
          <w:i/>
          <w:sz w:val="18"/>
        </w:rPr>
        <w:t xml:space="preserve"> </w:t>
      </w:r>
      <w:proofErr w:type="spellStart"/>
      <w:r w:rsidRPr="00D007C4">
        <w:rPr>
          <w:rFonts w:ascii="Arial Narrow" w:hAnsi="Arial Narrow"/>
          <w:i/>
          <w:sz w:val="18"/>
        </w:rPr>
        <w:t>Martyris</w:t>
      </w:r>
      <w:proofErr w:type="spellEnd"/>
      <w:r w:rsidRPr="00D007C4">
        <w:rPr>
          <w:rFonts w:ascii="Arial Narrow" w:hAnsi="Arial Narrow"/>
          <w:sz w:val="18"/>
        </w:rPr>
        <w:t xml:space="preserve">, </w:t>
      </w:r>
      <w:r w:rsidRPr="00D007C4">
        <w:rPr>
          <w:rFonts w:ascii="Arial Narrow" w:hAnsi="Arial Narrow"/>
          <w:iCs/>
          <w:sz w:val="18"/>
        </w:rPr>
        <w:t xml:space="preserve">trans. D.M. Hayes, cited </w:t>
      </w:r>
      <w:r w:rsidRPr="00D007C4">
        <w:rPr>
          <w:rFonts w:ascii="Arial Narrow" w:hAnsi="Arial Narrow"/>
          <w:i/>
          <w:iCs/>
          <w:sz w:val="18"/>
        </w:rPr>
        <w:t xml:space="preserve">in </w:t>
      </w:r>
      <w:r w:rsidRPr="00D007C4">
        <w:rPr>
          <w:rFonts w:ascii="Arial Narrow" w:hAnsi="Arial Narrow"/>
          <w:i/>
          <w:sz w:val="18"/>
        </w:rPr>
        <w:t>Materials for the Life of Thomas Becket,</w:t>
      </w:r>
      <w:r w:rsidRPr="00D007C4">
        <w:rPr>
          <w:rFonts w:ascii="Arial Narrow" w:hAnsi="Arial Narrow"/>
          <w:sz w:val="18"/>
        </w:rPr>
        <w:t xml:space="preserve"> </w:t>
      </w:r>
      <w:r w:rsidRPr="00D007C4">
        <w:rPr>
          <w:rFonts w:ascii="Arial Narrow" w:hAnsi="Arial Narrow"/>
          <w:i/>
          <w:iCs/>
          <w:sz w:val="18"/>
        </w:rPr>
        <w:t xml:space="preserve">ed. </w:t>
      </w:r>
      <w:r w:rsidRPr="00D007C4">
        <w:rPr>
          <w:rFonts w:ascii="Arial Narrow" w:hAnsi="Arial Narrow"/>
          <w:iCs/>
          <w:sz w:val="18"/>
        </w:rPr>
        <w:t xml:space="preserve">J. Robertson, </w:t>
      </w:r>
      <w:r w:rsidRPr="00D007C4">
        <w:rPr>
          <w:rFonts w:ascii="Arial Narrow" w:hAnsi="Arial Narrow"/>
          <w:sz w:val="18"/>
        </w:rPr>
        <w:t xml:space="preserve">vol.2 </w:t>
      </w:r>
      <w:r w:rsidRPr="00D007C4">
        <w:rPr>
          <w:rFonts w:ascii="Arial Narrow" w:hAnsi="Arial Narrow"/>
          <w:iCs/>
          <w:sz w:val="18"/>
        </w:rPr>
        <w:t>(London</w:t>
      </w:r>
      <w:r w:rsidRPr="00D007C4">
        <w:rPr>
          <w:rFonts w:ascii="Arial Narrow" w:hAnsi="Arial Narrow"/>
          <w:i/>
          <w:iCs/>
          <w:sz w:val="18"/>
        </w:rPr>
        <w:t xml:space="preserve">: </w:t>
      </w:r>
      <w:r w:rsidRPr="00D007C4">
        <w:rPr>
          <w:rFonts w:ascii="Arial Narrow" w:hAnsi="Arial Narrow"/>
          <w:iCs/>
          <w:sz w:val="18"/>
        </w:rPr>
        <w:t>Longman and Co., 1885</w:t>
      </w:r>
      <w:r w:rsidRPr="00D007C4">
        <w:rPr>
          <w:rFonts w:ascii="Arial Narrow" w:hAnsi="Arial Narrow"/>
          <w:i/>
          <w:iCs/>
          <w:sz w:val="18"/>
        </w:rPr>
        <w:t>).</w:t>
      </w:r>
    </w:p>
  </w:footnote>
  <w:footnote w:id="31">
    <w:p w:rsidR="00BA2BF2" w:rsidRPr="005071A1" w:rsidRDefault="00BA2BF2" w:rsidP="00BA2BF2">
      <w:pPr>
        <w:pStyle w:val="FootnoteText"/>
        <w:rPr>
          <w:rFonts w:ascii="Arial Narrow" w:hAnsi="Arial Narrow"/>
          <w:sz w:val="18"/>
        </w:rPr>
      </w:pPr>
      <w:r w:rsidRPr="006B62C5">
        <w:rPr>
          <w:rStyle w:val="FootnoteReference"/>
          <w:rFonts w:ascii="Arial Narrow" w:hAnsi="Arial Narrow"/>
          <w:sz w:val="18"/>
          <w:szCs w:val="18"/>
        </w:rPr>
        <w:footnoteRef/>
      </w:r>
      <w:r>
        <w:t xml:space="preserve"> </w:t>
      </w:r>
      <w:r>
        <w:rPr>
          <w:rFonts w:ascii="Arial Narrow" w:hAnsi="Arial Narrow"/>
          <w:sz w:val="18"/>
        </w:rPr>
        <w:t xml:space="preserve">W.P. </w:t>
      </w:r>
      <w:proofErr w:type="spellStart"/>
      <w:r>
        <w:rPr>
          <w:rFonts w:ascii="Arial Narrow" w:hAnsi="Arial Narrow"/>
          <w:sz w:val="18"/>
        </w:rPr>
        <w:t>Haugaard</w:t>
      </w:r>
      <w:proofErr w:type="spellEnd"/>
      <w:r>
        <w:rPr>
          <w:rFonts w:ascii="Arial Narrow" w:hAnsi="Arial Narrow"/>
          <w:sz w:val="18"/>
        </w:rPr>
        <w:t xml:space="preserve">, </w:t>
      </w:r>
      <w:r w:rsidRPr="005071A1">
        <w:rPr>
          <w:rFonts w:ascii="Arial Narrow" w:hAnsi="Arial Narrow"/>
          <w:i/>
          <w:sz w:val="18"/>
        </w:rPr>
        <w:t>Elizabe</w:t>
      </w:r>
      <w:r>
        <w:rPr>
          <w:rFonts w:ascii="Arial Narrow" w:hAnsi="Arial Narrow"/>
          <w:i/>
          <w:sz w:val="18"/>
        </w:rPr>
        <w:t>th and the English Reformation: T</w:t>
      </w:r>
      <w:r w:rsidRPr="005071A1">
        <w:rPr>
          <w:rFonts w:ascii="Arial Narrow" w:hAnsi="Arial Narrow"/>
          <w:i/>
          <w:sz w:val="18"/>
        </w:rPr>
        <w:t>he Struggle for a Stable Settlement</w:t>
      </w:r>
      <w:r>
        <w:rPr>
          <w:rFonts w:ascii="Arial Narrow" w:hAnsi="Arial Narrow"/>
          <w:i/>
          <w:sz w:val="18"/>
        </w:rPr>
        <w:t xml:space="preserve"> Religion</w:t>
      </w:r>
      <w:r>
        <w:rPr>
          <w:rFonts w:ascii="Arial Narrow" w:hAnsi="Arial Narrow"/>
          <w:sz w:val="18"/>
        </w:rPr>
        <w:t xml:space="preserve"> (Cambridge: Cambridge University Press, 1968), p.140.</w:t>
      </w:r>
    </w:p>
  </w:footnote>
  <w:footnote w:id="32">
    <w:p w:rsidR="00BA2BF2" w:rsidRPr="00BD505C" w:rsidRDefault="00BA2BF2" w:rsidP="00BA2BF2">
      <w:pPr>
        <w:pStyle w:val="FootnoteText"/>
        <w:rPr>
          <w:rFonts w:ascii="Arial Narrow" w:hAnsi="Arial Narrow"/>
        </w:rPr>
      </w:pPr>
      <w:r w:rsidRPr="001115A8">
        <w:rPr>
          <w:rStyle w:val="FootnoteReference"/>
          <w:rFonts w:ascii="Arial Narrow" w:hAnsi="Arial Narrow"/>
          <w:sz w:val="18"/>
        </w:rPr>
        <w:footnoteRef/>
      </w:r>
      <w:r w:rsidRPr="001115A8">
        <w:rPr>
          <w:rFonts w:ascii="Arial Narrow" w:hAnsi="Arial Narrow"/>
          <w:sz w:val="18"/>
        </w:rPr>
        <w:t xml:space="preserve"> </w:t>
      </w:r>
      <w:r>
        <w:rPr>
          <w:rFonts w:ascii="Arial Narrow" w:hAnsi="Arial Narrow"/>
          <w:sz w:val="18"/>
        </w:rPr>
        <w:t>Bernard,</w:t>
      </w:r>
      <w:r>
        <w:t xml:space="preserve"> </w:t>
      </w:r>
      <w:r>
        <w:rPr>
          <w:i/>
        </w:rPr>
        <w:t>T</w:t>
      </w:r>
      <w:r w:rsidRPr="00BD505C">
        <w:rPr>
          <w:rFonts w:ascii="Arial Narrow" w:hAnsi="Arial Narrow"/>
          <w:i/>
          <w:sz w:val="18"/>
        </w:rPr>
        <w:t>he King's Reformation: Henry VIII and the Remaking of the English Church</w:t>
      </w:r>
      <w:r>
        <w:rPr>
          <w:rFonts w:ascii="Arial Narrow" w:hAnsi="Arial Narrow"/>
          <w:sz w:val="18"/>
        </w:rPr>
        <w:t>, p.453.</w:t>
      </w:r>
    </w:p>
  </w:footnote>
  <w:footnote w:id="33">
    <w:p w:rsidR="00BA2BF2" w:rsidRPr="008F4D84" w:rsidRDefault="00BA2BF2" w:rsidP="00BA2BF2">
      <w:pPr>
        <w:pStyle w:val="FootnoteText"/>
        <w:rPr>
          <w:rFonts w:ascii="Arial Narrow" w:hAnsi="Arial Narrow"/>
        </w:rPr>
      </w:pPr>
      <w:r w:rsidRPr="008F4D84">
        <w:rPr>
          <w:rStyle w:val="FootnoteReference"/>
          <w:rFonts w:ascii="Arial Narrow" w:hAnsi="Arial Narrow"/>
          <w:sz w:val="18"/>
        </w:rPr>
        <w:footnoteRef/>
      </w:r>
      <w:r w:rsidRPr="008F4D84">
        <w:rPr>
          <w:rFonts w:ascii="Arial Narrow" w:hAnsi="Arial Narrow"/>
          <w:sz w:val="18"/>
        </w:rPr>
        <w:t xml:space="preserve"> </w:t>
      </w:r>
      <w:r>
        <w:rPr>
          <w:rFonts w:ascii="Arial Narrow" w:hAnsi="Arial Narrow"/>
          <w:sz w:val="18"/>
        </w:rPr>
        <w:t xml:space="preserve">B.A. Somerville, </w:t>
      </w:r>
      <w:r w:rsidRPr="008F4D84">
        <w:rPr>
          <w:rFonts w:ascii="Arial Narrow" w:hAnsi="Arial Narrow"/>
          <w:i/>
          <w:sz w:val="18"/>
        </w:rPr>
        <w:t>Martin Luther: Father of the Reformation</w:t>
      </w:r>
      <w:r>
        <w:rPr>
          <w:rFonts w:ascii="Arial Narrow" w:hAnsi="Arial Narrow"/>
          <w:sz w:val="18"/>
        </w:rPr>
        <w:t xml:space="preserve"> (Compass Point Books, 2006)</w:t>
      </w:r>
      <w:r w:rsidRPr="008F4D84">
        <w:rPr>
          <w:rFonts w:ascii="Arial Narrow" w:hAnsi="Arial Narrow"/>
          <w:sz w:val="18"/>
        </w:rPr>
        <w:t xml:space="preserve"> </w:t>
      </w:r>
      <w:r>
        <w:rPr>
          <w:rFonts w:ascii="Arial Narrow" w:hAnsi="Arial Narrow"/>
          <w:sz w:val="18"/>
        </w:rPr>
        <w:t>p.11</w:t>
      </w:r>
    </w:p>
  </w:footnote>
  <w:footnote w:id="34">
    <w:p w:rsidR="00BA2BF2" w:rsidRPr="00BD505C" w:rsidRDefault="00BA2BF2" w:rsidP="00BA2BF2">
      <w:pPr>
        <w:pStyle w:val="FootnoteText"/>
        <w:rPr>
          <w:rFonts w:ascii="Arial Narrow" w:hAnsi="Arial Narrow"/>
          <w:iCs/>
          <w:sz w:val="18"/>
        </w:rPr>
      </w:pPr>
      <w:r w:rsidRPr="00BD505C">
        <w:rPr>
          <w:rStyle w:val="FootnoteReference"/>
          <w:rFonts w:ascii="Arial Narrow" w:hAnsi="Arial Narrow"/>
          <w:sz w:val="18"/>
        </w:rPr>
        <w:footnoteRef/>
      </w:r>
      <w:r w:rsidRPr="00BD505C">
        <w:rPr>
          <w:rFonts w:ascii="Arial Narrow" w:hAnsi="Arial Narrow"/>
          <w:sz w:val="18"/>
        </w:rPr>
        <w:t xml:space="preserve"> </w:t>
      </w:r>
      <w:r w:rsidRPr="00BD505C">
        <w:rPr>
          <w:rFonts w:ascii="Arial Narrow" w:hAnsi="Arial Narrow"/>
          <w:iCs/>
          <w:sz w:val="18"/>
        </w:rPr>
        <w:t xml:space="preserve">J. Crook, </w:t>
      </w:r>
      <w:r w:rsidRPr="00BD505C">
        <w:rPr>
          <w:rFonts w:ascii="Arial Narrow" w:hAnsi="Arial Narrow"/>
          <w:i/>
          <w:iCs/>
          <w:sz w:val="18"/>
        </w:rPr>
        <w:t>English Medieval Shrines</w:t>
      </w:r>
      <w:r w:rsidRPr="00BD505C">
        <w:rPr>
          <w:rFonts w:ascii="Arial Narrow" w:hAnsi="Arial Narrow"/>
          <w:iCs/>
          <w:sz w:val="18"/>
        </w:rPr>
        <w:t xml:space="preserve"> (Woodbridge: The Boydell Press, 2011), p.1. </w:t>
      </w:r>
    </w:p>
  </w:footnote>
  <w:footnote w:id="35">
    <w:p w:rsidR="00BA2BF2" w:rsidRPr="008F4D84" w:rsidRDefault="00BA2BF2" w:rsidP="00BA2BF2">
      <w:pPr>
        <w:pStyle w:val="FootnoteText"/>
        <w:rPr>
          <w:rFonts w:ascii="Arial Narrow" w:hAnsi="Arial Narrow"/>
          <w:iCs/>
          <w:sz w:val="18"/>
        </w:rPr>
      </w:pPr>
      <w:r w:rsidRPr="00C31DE5">
        <w:rPr>
          <w:rStyle w:val="FootnoteReference"/>
          <w:sz w:val="18"/>
        </w:rPr>
        <w:footnoteRef/>
      </w:r>
      <w:r w:rsidRPr="00C31DE5">
        <w:rPr>
          <w:sz w:val="18"/>
        </w:rPr>
        <w:t xml:space="preserve"> </w:t>
      </w:r>
      <w:r w:rsidRPr="00C31DE5">
        <w:rPr>
          <w:rFonts w:ascii="Arial Narrow" w:hAnsi="Arial Narrow"/>
          <w:iCs/>
          <w:sz w:val="18"/>
        </w:rPr>
        <w:t xml:space="preserve">Sherry L. </w:t>
      </w:r>
      <w:proofErr w:type="spellStart"/>
      <w:r w:rsidRPr="00C31DE5">
        <w:rPr>
          <w:rFonts w:ascii="Arial Narrow" w:hAnsi="Arial Narrow"/>
          <w:iCs/>
          <w:sz w:val="18"/>
        </w:rPr>
        <w:t>Reames</w:t>
      </w:r>
      <w:proofErr w:type="spellEnd"/>
      <w:r w:rsidRPr="00C31DE5">
        <w:rPr>
          <w:rFonts w:ascii="Arial Narrow" w:hAnsi="Arial Narrow"/>
          <w:iCs/>
          <w:sz w:val="18"/>
        </w:rPr>
        <w:t xml:space="preserve">, "Reconstructing and Interpreting a Thirteenth-Century Office for the Translation of Thomas Becket," </w:t>
      </w:r>
      <w:r w:rsidRPr="00C31DE5">
        <w:rPr>
          <w:rFonts w:ascii="Arial Narrow" w:hAnsi="Arial Narrow"/>
          <w:i/>
          <w:iCs/>
          <w:sz w:val="18"/>
        </w:rPr>
        <w:t>Speculum</w:t>
      </w:r>
      <w:r w:rsidRPr="00C31DE5">
        <w:rPr>
          <w:rFonts w:ascii="Arial Narrow" w:hAnsi="Arial Narrow"/>
          <w:iCs/>
          <w:sz w:val="18"/>
        </w:rPr>
        <w:t>,</w:t>
      </w:r>
      <w:r>
        <w:rPr>
          <w:rFonts w:ascii="Arial Narrow" w:hAnsi="Arial Narrow"/>
          <w:iCs/>
          <w:sz w:val="18"/>
        </w:rPr>
        <w:t xml:space="preserve"> vol.80, no.1 (Jan., 2005), p.120.</w:t>
      </w:r>
    </w:p>
  </w:footnote>
  <w:footnote w:id="36">
    <w:p w:rsidR="00BA2BF2" w:rsidRPr="008F4D84" w:rsidRDefault="00BA2BF2" w:rsidP="00BA2BF2">
      <w:pPr>
        <w:pStyle w:val="FootnoteText"/>
        <w:rPr>
          <w:rFonts w:ascii="Arial Narrow" w:hAnsi="Arial Narrow"/>
        </w:rPr>
      </w:pPr>
      <w:r w:rsidRPr="008F4D84">
        <w:rPr>
          <w:rStyle w:val="FootnoteReference"/>
          <w:rFonts w:ascii="Arial Narrow" w:hAnsi="Arial Narrow"/>
          <w:sz w:val="18"/>
        </w:rPr>
        <w:footnoteRef/>
      </w:r>
      <w:r w:rsidRPr="008F4D84">
        <w:rPr>
          <w:rFonts w:ascii="Arial Narrow" w:hAnsi="Arial Narrow"/>
          <w:sz w:val="18"/>
        </w:rPr>
        <w:t xml:space="preserve"> </w:t>
      </w:r>
      <w:r>
        <w:rPr>
          <w:rFonts w:ascii="Arial Narrow" w:hAnsi="Arial Narrow"/>
          <w:sz w:val="18"/>
        </w:rPr>
        <w:t xml:space="preserve">Luther on Genesis, found in </w:t>
      </w:r>
      <w:r w:rsidRPr="00026ADE">
        <w:rPr>
          <w:rFonts w:ascii="Arial Narrow" w:hAnsi="Arial Narrow"/>
          <w:sz w:val="18"/>
        </w:rPr>
        <w:t xml:space="preserve">Fraser, </w:t>
      </w:r>
      <w:r w:rsidRPr="00FD1713">
        <w:rPr>
          <w:rFonts w:ascii="Arial Narrow" w:hAnsi="Arial Narrow"/>
          <w:i/>
          <w:sz w:val="18"/>
        </w:rPr>
        <w:t>Atheism, Fundamentalism and the Protestant Reformation</w:t>
      </w:r>
      <w:r>
        <w:rPr>
          <w:rFonts w:ascii="Arial Narrow" w:hAnsi="Arial Narrow"/>
          <w:sz w:val="18"/>
        </w:rPr>
        <w:t xml:space="preserve">, p.20, cited in G.R. Evans, </w:t>
      </w:r>
      <w:r w:rsidRPr="008F4D84">
        <w:rPr>
          <w:rFonts w:ascii="Arial Narrow" w:hAnsi="Arial Narrow"/>
          <w:i/>
          <w:sz w:val="18"/>
        </w:rPr>
        <w:t>Problems of Authority in the Reformation Debates</w:t>
      </w:r>
      <w:r>
        <w:rPr>
          <w:rFonts w:ascii="Arial Narrow" w:hAnsi="Arial Narrow"/>
          <w:i/>
          <w:sz w:val="18"/>
        </w:rPr>
        <w:t xml:space="preserve"> </w:t>
      </w:r>
      <w:r>
        <w:rPr>
          <w:rFonts w:ascii="Arial Narrow" w:hAnsi="Arial Narrow"/>
          <w:sz w:val="18"/>
        </w:rPr>
        <w:t>(Cambridge: Cambridge University Press, 1992), p.84.</w:t>
      </w:r>
    </w:p>
  </w:footnote>
  <w:footnote w:id="37">
    <w:p w:rsidR="00BA2BF2" w:rsidRPr="00E95EDC" w:rsidRDefault="00BA2BF2" w:rsidP="00BA2BF2">
      <w:pPr>
        <w:pStyle w:val="FootnoteText"/>
        <w:rPr>
          <w:rFonts w:ascii="Arial Narrow" w:hAnsi="Arial Narrow"/>
          <w:sz w:val="18"/>
        </w:rPr>
      </w:pPr>
      <w:r w:rsidRPr="00E95EDC">
        <w:rPr>
          <w:rStyle w:val="FootnoteReference"/>
          <w:sz w:val="18"/>
        </w:rPr>
        <w:footnoteRef/>
      </w:r>
      <w:r w:rsidRPr="00E95EDC">
        <w:rPr>
          <w:sz w:val="18"/>
        </w:rPr>
        <w:t xml:space="preserve"> </w:t>
      </w:r>
      <w:r>
        <w:rPr>
          <w:rFonts w:ascii="Arial Narrow" w:hAnsi="Arial Narrow"/>
          <w:sz w:val="18"/>
        </w:rPr>
        <w:t xml:space="preserve">Erasing Becket, British Library, Digitalised Manuscripts, available from </w:t>
      </w:r>
      <w:r w:rsidRPr="00E95EDC">
        <w:rPr>
          <w:rFonts w:ascii="Arial Narrow" w:hAnsi="Arial Narrow"/>
          <w:sz w:val="18"/>
        </w:rPr>
        <w:t>https://blogs.bl.uk/digitisedmanuscripts/2011/09/erasing-becket.html</w:t>
      </w:r>
      <w:r>
        <w:rPr>
          <w:rFonts w:ascii="Arial Narrow" w:hAnsi="Arial Narrow"/>
          <w:sz w:val="18"/>
        </w:rPr>
        <w:t>, accessed on [13/04/2019].</w:t>
      </w:r>
    </w:p>
  </w:footnote>
  <w:footnote w:id="38">
    <w:p w:rsidR="00BA2BF2" w:rsidRPr="008359A7" w:rsidRDefault="00BA2BF2" w:rsidP="00BA2BF2">
      <w:pPr>
        <w:pStyle w:val="FootnoteText"/>
        <w:rPr>
          <w:rFonts w:ascii="Arial Narrow" w:hAnsi="Arial Narrow"/>
        </w:rPr>
      </w:pPr>
      <w:r w:rsidRPr="00324AE6">
        <w:rPr>
          <w:rStyle w:val="FootnoteReference"/>
          <w:rFonts w:ascii="Arial Narrow" w:hAnsi="Arial Narrow"/>
          <w:sz w:val="18"/>
        </w:rPr>
        <w:footnoteRef/>
      </w:r>
      <w:r w:rsidRPr="00324AE6">
        <w:rPr>
          <w:rFonts w:ascii="Arial Narrow" w:hAnsi="Arial Narrow"/>
          <w:sz w:val="18"/>
        </w:rPr>
        <w:t xml:space="preserve"> </w:t>
      </w:r>
      <w:r>
        <w:rPr>
          <w:rFonts w:ascii="Arial Narrow" w:hAnsi="Arial Narrow"/>
          <w:sz w:val="18"/>
        </w:rPr>
        <w:t xml:space="preserve">See R.C. Finucane, </w:t>
      </w:r>
      <w:r>
        <w:rPr>
          <w:rFonts w:ascii="Arial Narrow" w:hAnsi="Arial Narrow"/>
          <w:i/>
          <w:sz w:val="18"/>
        </w:rPr>
        <w:t>Miracles and Pilgrims: Popular Beliefs in Medieval England</w:t>
      </w:r>
      <w:r>
        <w:rPr>
          <w:rFonts w:ascii="Arial Narrow" w:hAnsi="Arial Narrow"/>
          <w:sz w:val="18"/>
        </w:rPr>
        <w:t xml:space="preserve"> (Palgrave Macmillan, 1995), pp. 173-188.</w:t>
      </w:r>
    </w:p>
  </w:footnote>
  <w:footnote w:id="39">
    <w:p w:rsidR="0043187B" w:rsidRPr="00DF468C" w:rsidRDefault="0043187B" w:rsidP="0043187B">
      <w:pPr>
        <w:pStyle w:val="FootnoteText"/>
        <w:rPr>
          <w:rFonts w:ascii="Arial Narrow" w:hAnsi="Arial Narrow"/>
          <w:sz w:val="18"/>
        </w:rPr>
      </w:pPr>
      <w:r w:rsidRPr="00DF468C">
        <w:rPr>
          <w:rStyle w:val="FootnoteReference"/>
          <w:rFonts w:ascii="Arial Narrow" w:hAnsi="Arial Narrow"/>
          <w:sz w:val="18"/>
        </w:rPr>
        <w:footnoteRef/>
      </w:r>
      <w:r w:rsidRPr="00DF468C">
        <w:rPr>
          <w:rFonts w:ascii="Arial Narrow" w:hAnsi="Arial Narrow"/>
          <w:sz w:val="18"/>
        </w:rPr>
        <w:t xml:space="preserve"> </w:t>
      </w:r>
      <w:r>
        <w:rPr>
          <w:rFonts w:ascii="Arial Narrow" w:hAnsi="Arial Narrow"/>
          <w:sz w:val="18"/>
        </w:rPr>
        <w:t>‘</w:t>
      </w:r>
      <w:r w:rsidRPr="00DF468C">
        <w:rPr>
          <w:rFonts w:ascii="Arial Narrow" w:hAnsi="Arial Narrow"/>
          <w:sz w:val="18"/>
        </w:rPr>
        <w:t>The Letter of Louis king of the Franks, to Pope Alexander, on the death of the blessed Thomas</w:t>
      </w:r>
      <w:r>
        <w:rPr>
          <w:rFonts w:ascii="Arial Narrow" w:hAnsi="Arial Narrow"/>
          <w:sz w:val="18"/>
        </w:rPr>
        <w:t xml:space="preserve">’, in </w:t>
      </w:r>
      <w:r w:rsidRPr="00DF468C">
        <w:rPr>
          <w:rFonts w:ascii="Arial Narrow" w:hAnsi="Arial Narrow"/>
          <w:i/>
          <w:sz w:val="18"/>
        </w:rPr>
        <w:t xml:space="preserve">The Annals of Roger de </w:t>
      </w:r>
      <w:proofErr w:type="spellStart"/>
      <w:r w:rsidRPr="00DF468C">
        <w:rPr>
          <w:rFonts w:ascii="Arial Narrow" w:hAnsi="Arial Narrow"/>
          <w:i/>
          <w:sz w:val="18"/>
        </w:rPr>
        <w:t>Hoveden</w:t>
      </w:r>
      <w:proofErr w:type="spellEnd"/>
      <w:r w:rsidRPr="00DF468C">
        <w:rPr>
          <w:rFonts w:ascii="Arial Narrow" w:hAnsi="Arial Narrow"/>
          <w:sz w:val="18"/>
        </w:rPr>
        <w:t>, trans. H.T. Riley (London: Bohn, 1853</w:t>
      </w:r>
      <w:r>
        <w:rPr>
          <w:rFonts w:ascii="Arial Narrow" w:hAnsi="Arial Narrow"/>
          <w:sz w:val="18"/>
        </w:rPr>
        <w:t>).</w:t>
      </w:r>
    </w:p>
  </w:footnote>
  <w:footnote w:id="40">
    <w:p w:rsidR="0043187B" w:rsidRPr="00BB6271" w:rsidRDefault="0043187B" w:rsidP="0043187B">
      <w:pPr>
        <w:pStyle w:val="FootnoteText"/>
        <w:rPr>
          <w:rFonts w:ascii="Arial Narrow" w:hAnsi="Arial Narrow"/>
        </w:rPr>
      </w:pPr>
      <w:r w:rsidRPr="00BB6271">
        <w:rPr>
          <w:rStyle w:val="FootnoteReference"/>
          <w:sz w:val="18"/>
        </w:rPr>
        <w:footnoteRef/>
      </w:r>
      <w:r w:rsidRPr="00BB6271">
        <w:rPr>
          <w:sz w:val="18"/>
        </w:rPr>
        <w:t xml:space="preserve"> </w:t>
      </w:r>
      <w:r w:rsidRPr="00BB6271">
        <w:rPr>
          <w:rFonts w:ascii="Arial Narrow" w:hAnsi="Arial Narrow"/>
          <w:sz w:val="18"/>
        </w:rPr>
        <w:t>The Letter of Louis king of the Franks</w:t>
      </w:r>
      <w:r>
        <w:rPr>
          <w:rFonts w:ascii="Arial Narrow" w:hAnsi="Arial Narrow"/>
          <w:sz w:val="18"/>
        </w:rPr>
        <w:t>’</w:t>
      </w:r>
      <w:r w:rsidRPr="00BB6271">
        <w:rPr>
          <w:rFonts w:ascii="Arial Narrow" w:hAnsi="Arial Narrow"/>
          <w:sz w:val="18"/>
        </w:rPr>
        <w:t xml:space="preserve">, in </w:t>
      </w:r>
      <w:r w:rsidRPr="00BB6271">
        <w:rPr>
          <w:rFonts w:ascii="Arial Narrow" w:hAnsi="Arial Narrow"/>
          <w:i/>
          <w:sz w:val="18"/>
        </w:rPr>
        <w:t xml:space="preserve">The Annals of Roger de </w:t>
      </w:r>
      <w:proofErr w:type="spellStart"/>
      <w:r w:rsidRPr="00BB6271">
        <w:rPr>
          <w:rFonts w:ascii="Arial Narrow" w:hAnsi="Arial Narrow"/>
          <w:i/>
          <w:sz w:val="18"/>
        </w:rPr>
        <w:t>Hoveden</w:t>
      </w:r>
      <w:proofErr w:type="spellEnd"/>
      <w:r>
        <w:rPr>
          <w:rFonts w:ascii="Arial Narrow" w:hAnsi="Arial Narrow"/>
          <w:sz w:val="18"/>
        </w:rPr>
        <w:t>.</w:t>
      </w:r>
    </w:p>
  </w:footnote>
  <w:footnote w:id="41">
    <w:p w:rsidR="0043187B" w:rsidRPr="00224990" w:rsidRDefault="0043187B" w:rsidP="0043187B">
      <w:pPr>
        <w:pStyle w:val="FootnoteText"/>
        <w:rPr>
          <w:rFonts w:ascii="Arial Narrow" w:hAnsi="Arial Narrow"/>
          <w:b/>
          <w:sz w:val="18"/>
          <w:szCs w:val="18"/>
          <w:u w:val="single"/>
        </w:rPr>
      </w:pPr>
      <w:r w:rsidRPr="00224990">
        <w:rPr>
          <w:rStyle w:val="FootnoteReference"/>
          <w:rFonts w:ascii="Arial Narrow" w:hAnsi="Arial Narrow"/>
          <w:sz w:val="18"/>
          <w:szCs w:val="18"/>
        </w:rPr>
        <w:footnoteRef/>
      </w:r>
      <w:r w:rsidRPr="00224990">
        <w:rPr>
          <w:rFonts w:ascii="Arial Narrow" w:hAnsi="Arial Narrow"/>
          <w:sz w:val="18"/>
          <w:szCs w:val="18"/>
        </w:rPr>
        <w:t xml:space="preserve"> F. Barlow, </w:t>
      </w:r>
      <w:r w:rsidRPr="00224990">
        <w:rPr>
          <w:rFonts w:ascii="Arial Narrow" w:hAnsi="Arial Narrow"/>
          <w:i/>
          <w:sz w:val="18"/>
          <w:szCs w:val="18"/>
        </w:rPr>
        <w:t>Thomas Becket</w:t>
      </w:r>
      <w:r w:rsidRPr="00224990">
        <w:rPr>
          <w:rFonts w:ascii="Arial Narrow" w:hAnsi="Arial Narrow"/>
          <w:sz w:val="18"/>
          <w:szCs w:val="18"/>
        </w:rPr>
        <w:t xml:space="preserve"> (Berkeley: University of California Press, 1990), pp.134-135.</w:t>
      </w:r>
    </w:p>
  </w:footnote>
  <w:footnote w:id="42">
    <w:p w:rsidR="0043187B" w:rsidRPr="00224990" w:rsidRDefault="0043187B" w:rsidP="0043187B">
      <w:pPr>
        <w:pStyle w:val="FootnoteText"/>
        <w:rPr>
          <w:rFonts w:ascii="Arial Narrow" w:hAnsi="Arial Narrow"/>
          <w:sz w:val="18"/>
        </w:rPr>
      </w:pPr>
      <w:r w:rsidRPr="00224990">
        <w:rPr>
          <w:rStyle w:val="FootnoteReference"/>
          <w:rFonts w:ascii="Arial Narrow" w:hAnsi="Arial Narrow"/>
          <w:sz w:val="18"/>
          <w:szCs w:val="18"/>
        </w:rPr>
        <w:footnoteRef/>
      </w:r>
      <w:r w:rsidRPr="00224990">
        <w:t xml:space="preserve"> </w:t>
      </w:r>
      <w:r>
        <w:rPr>
          <w:rFonts w:ascii="Arial Narrow" w:hAnsi="Arial Narrow"/>
          <w:sz w:val="18"/>
        </w:rPr>
        <w:t xml:space="preserve">Web Gallery of Art, Mosaic Artist (Italian), wga.hu, available from </w:t>
      </w:r>
      <w:r w:rsidRPr="00224990">
        <w:rPr>
          <w:rFonts w:ascii="Arial Narrow" w:hAnsi="Arial Narrow"/>
          <w:sz w:val="18"/>
        </w:rPr>
        <w:t>https://www.wga.hu/html_m/zgothic/mosaics/5monreal/1sanctu1.html</w:t>
      </w:r>
      <w:r>
        <w:rPr>
          <w:rFonts w:ascii="Arial Narrow" w:hAnsi="Arial Narrow"/>
          <w:sz w:val="18"/>
        </w:rPr>
        <w:t>, accessed on [15/04/2019].</w:t>
      </w:r>
    </w:p>
  </w:footnote>
  <w:footnote w:id="43">
    <w:p w:rsidR="00366A00" w:rsidRPr="00813269" w:rsidRDefault="00366A00">
      <w:pPr>
        <w:pStyle w:val="FootnoteText"/>
        <w:rPr>
          <w:rFonts w:ascii="Arial Narrow" w:hAnsi="Arial Narrow"/>
        </w:rPr>
      </w:pPr>
      <w:r w:rsidRPr="00813269">
        <w:rPr>
          <w:rStyle w:val="FootnoteReference"/>
          <w:rFonts w:ascii="Arial Narrow" w:hAnsi="Arial Narrow"/>
          <w:sz w:val="18"/>
        </w:rPr>
        <w:footnoteRef/>
      </w:r>
      <w:r w:rsidRPr="00813269">
        <w:rPr>
          <w:rFonts w:ascii="Arial Narrow" w:hAnsi="Arial Narrow"/>
          <w:sz w:val="18"/>
        </w:rPr>
        <w:t xml:space="preserve"> </w:t>
      </w:r>
      <w:r w:rsidR="00813269" w:rsidRPr="00813269">
        <w:rPr>
          <w:rFonts w:ascii="Arial Narrow" w:hAnsi="Arial Narrow"/>
          <w:sz w:val="18"/>
        </w:rPr>
        <w:t>R.E. Scully</w:t>
      </w:r>
      <w:r w:rsidR="00813269" w:rsidRPr="00813269">
        <w:rPr>
          <w:rFonts w:ascii="Arial Narrow" w:hAnsi="Arial Narrow"/>
          <w:i/>
          <w:sz w:val="18"/>
        </w:rPr>
        <w:t xml:space="preserve">, </w:t>
      </w:r>
      <w:r w:rsidR="00813269" w:rsidRPr="00813269">
        <w:rPr>
          <w:rFonts w:ascii="Arial Narrow" w:hAnsi="Arial Narrow"/>
          <w:sz w:val="18"/>
        </w:rPr>
        <w:t xml:space="preserve">‘The Unmaking of a Saint: Thomas Becket and the English Reformation’, </w:t>
      </w:r>
      <w:r w:rsidR="00813269" w:rsidRPr="00813269">
        <w:rPr>
          <w:rFonts w:ascii="Arial Narrow" w:hAnsi="Arial Narrow"/>
          <w:i/>
          <w:sz w:val="18"/>
        </w:rPr>
        <w:t>Catholic Historical Review</w:t>
      </w:r>
      <w:r w:rsidR="00813269" w:rsidRPr="00813269">
        <w:rPr>
          <w:rFonts w:ascii="Arial Narrow" w:hAnsi="Arial Narrow"/>
          <w:sz w:val="18"/>
        </w:rPr>
        <w:t>, vol.86, no.4 (Oct., 2000),</w:t>
      </w:r>
      <w:r w:rsidR="00813269">
        <w:rPr>
          <w:rFonts w:ascii="Arial Narrow" w:hAnsi="Arial Narrow"/>
          <w:sz w:val="18"/>
        </w:rPr>
        <w:t xml:space="preserve"> p.582.</w:t>
      </w:r>
    </w:p>
  </w:footnote>
  <w:footnote w:id="44">
    <w:p w:rsidR="0043187B" w:rsidRPr="00975B75" w:rsidRDefault="0043187B" w:rsidP="0043187B">
      <w:pPr>
        <w:pStyle w:val="FootnoteText"/>
        <w:rPr>
          <w:rFonts w:ascii="Arial Narrow" w:hAnsi="Arial Narrow"/>
          <w:sz w:val="18"/>
        </w:rPr>
      </w:pPr>
      <w:r w:rsidRPr="00975B75">
        <w:rPr>
          <w:rStyle w:val="FootnoteReference"/>
          <w:rFonts w:ascii="Arial Narrow" w:hAnsi="Arial Narrow"/>
          <w:sz w:val="18"/>
          <w:szCs w:val="18"/>
        </w:rPr>
        <w:footnoteRef/>
      </w:r>
      <w:r>
        <w:t xml:space="preserve"> </w:t>
      </w:r>
      <w:r>
        <w:rPr>
          <w:rFonts w:ascii="Arial Narrow" w:hAnsi="Arial Narrow"/>
          <w:sz w:val="18"/>
        </w:rPr>
        <w:t xml:space="preserve">Oxford Dictionaries, Martyr, Oxford Dictionaries.com, available from </w:t>
      </w:r>
      <w:r w:rsidRPr="00975B75">
        <w:rPr>
          <w:rFonts w:ascii="Arial Narrow" w:hAnsi="Arial Narrow"/>
          <w:sz w:val="18"/>
        </w:rPr>
        <w:t>https://en.oxforddictionaries.com/definition/martyr</w:t>
      </w:r>
      <w:r>
        <w:rPr>
          <w:rFonts w:ascii="Arial Narrow" w:hAnsi="Arial Narrow"/>
          <w:sz w:val="18"/>
        </w:rPr>
        <w:t>, accessed on [15/04/2019].</w:t>
      </w:r>
    </w:p>
  </w:footnote>
  <w:footnote w:id="45">
    <w:p w:rsidR="0043187B" w:rsidRPr="00CC290D" w:rsidRDefault="0043187B" w:rsidP="0043187B">
      <w:pPr>
        <w:pStyle w:val="FootnoteText"/>
        <w:rPr>
          <w:rFonts w:ascii="Arial Narrow" w:hAnsi="Arial Narrow"/>
          <w:sz w:val="18"/>
          <w:szCs w:val="18"/>
        </w:rPr>
      </w:pPr>
      <w:r w:rsidRPr="00CC290D">
        <w:rPr>
          <w:rStyle w:val="FootnoteReference"/>
          <w:rFonts w:ascii="Arial Narrow" w:hAnsi="Arial Narrow"/>
          <w:sz w:val="18"/>
          <w:szCs w:val="18"/>
        </w:rPr>
        <w:footnoteRef/>
      </w:r>
      <w:r w:rsidRPr="00CC290D">
        <w:rPr>
          <w:rFonts w:ascii="Arial Narrow" w:hAnsi="Arial Narrow"/>
          <w:sz w:val="18"/>
          <w:szCs w:val="18"/>
        </w:rPr>
        <w:t xml:space="preserve"> </w:t>
      </w:r>
      <w:r w:rsidRPr="00CC290D">
        <w:rPr>
          <w:rFonts w:ascii="Arial Narrow" w:hAnsi="Arial Narrow"/>
          <w:i/>
          <w:sz w:val="18"/>
          <w:szCs w:val="18"/>
        </w:rPr>
        <w:t xml:space="preserve">The Annals of Roger de </w:t>
      </w:r>
      <w:proofErr w:type="spellStart"/>
      <w:r w:rsidRPr="00CC290D">
        <w:rPr>
          <w:rFonts w:ascii="Arial Narrow" w:hAnsi="Arial Narrow"/>
          <w:i/>
          <w:sz w:val="18"/>
          <w:szCs w:val="18"/>
        </w:rPr>
        <w:t>Hoveden</w:t>
      </w:r>
      <w:proofErr w:type="spellEnd"/>
      <w:r w:rsidRPr="00CC290D">
        <w:rPr>
          <w:rFonts w:ascii="Arial Narrow" w:hAnsi="Arial Narrow"/>
          <w:sz w:val="18"/>
          <w:szCs w:val="18"/>
        </w:rPr>
        <w:t>, trans. H.T. Riley (London: Bohn, 1853).</w:t>
      </w:r>
    </w:p>
  </w:footnote>
  <w:footnote w:id="46">
    <w:p w:rsidR="0043187B" w:rsidRPr="00CC290D" w:rsidRDefault="0043187B" w:rsidP="0043187B">
      <w:pPr>
        <w:pStyle w:val="FootnoteText"/>
        <w:rPr>
          <w:rFonts w:ascii="Arial Narrow" w:hAnsi="Arial Narrow"/>
          <w:sz w:val="18"/>
        </w:rPr>
      </w:pPr>
      <w:r w:rsidRPr="00CC290D">
        <w:rPr>
          <w:rStyle w:val="FootnoteReference"/>
          <w:rFonts w:ascii="Arial Narrow" w:hAnsi="Arial Narrow"/>
          <w:sz w:val="18"/>
          <w:szCs w:val="18"/>
        </w:rPr>
        <w:footnoteRef/>
      </w:r>
      <w:r>
        <w:t xml:space="preserve"> </w:t>
      </w:r>
      <w:r w:rsidRPr="00CC290D">
        <w:rPr>
          <w:rFonts w:ascii="Arial Narrow" w:hAnsi="Arial Narrow"/>
          <w:sz w:val="18"/>
        </w:rPr>
        <w:t xml:space="preserve">Sherry L. </w:t>
      </w:r>
      <w:proofErr w:type="spellStart"/>
      <w:r w:rsidRPr="00CC290D">
        <w:rPr>
          <w:rFonts w:ascii="Arial Narrow" w:hAnsi="Arial Narrow"/>
          <w:sz w:val="18"/>
        </w:rPr>
        <w:t>Reames</w:t>
      </w:r>
      <w:proofErr w:type="spellEnd"/>
      <w:r w:rsidRPr="00CC290D">
        <w:rPr>
          <w:rFonts w:ascii="Arial Narrow" w:hAnsi="Arial Narrow"/>
          <w:sz w:val="18"/>
        </w:rPr>
        <w:t xml:space="preserve">, "Reconstructing and Interpreting a Thirteenth-Century Office for the Translation of Thomas Becket," </w:t>
      </w:r>
      <w:r w:rsidRPr="00CC290D">
        <w:rPr>
          <w:rFonts w:ascii="Arial Narrow" w:hAnsi="Arial Narrow"/>
          <w:i/>
          <w:sz w:val="18"/>
        </w:rPr>
        <w:t>Speculum</w:t>
      </w:r>
      <w:r w:rsidRPr="00CC290D">
        <w:rPr>
          <w:rFonts w:ascii="Arial Narrow" w:hAnsi="Arial Narrow"/>
          <w:sz w:val="18"/>
        </w:rPr>
        <w:t>, vol.80, no.1 (Jan., 2005),</w:t>
      </w:r>
      <w:r>
        <w:rPr>
          <w:rFonts w:ascii="Arial Narrow" w:hAnsi="Arial Narrow"/>
          <w:sz w:val="18"/>
        </w:rPr>
        <w:t xml:space="preserve"> p.118. </w:t>
      </w:r>
    </w:p>
  </w:footnote>
  <w:footnote w:id="47">
    <w:p w:rsidR="0043187B" w:rsidRPr="00086935" w:rsidRDefault="0043187B" w:rsidP="0043187B">
      <w:pPr>
        <w:pStyle w:val="FootnoteText"/>
        <w:rPr>
          <w:rFonts w:ascii="Arial Narrow" w:hAnsi="Arial Narrow"/>
          <w:sz w:val="18"/>
          <w:szCs w:val="18"/>
        </w:rPr>
      </w:pPr>
      <w:r w:rsidRPr="00086935">
        <w:rPr>
          <w:rStyle w:val="FootnoteReference"/>
          <w:rFonts w:ascii="Arial Narrow" w:hAnsi="Arial Narrow"/>
          <w:sz w:val="18"/>
          <w:szCs w:val="18"/>
        </w:rPr>
        <w:footnoteRef/>
      </w:r>
      <w:r w:rsidRPr="00086935">
        <w:rPr>
          <w:rFonts w:ascii="Arial Narrow" w:hAnsi="Arial Narrow"/>
          <w:sz w:val="18"/>
          <w:szCs w:val="18"/>
        </w:rPr>
        <w:t xml:space="preserve"> Sherry L. </w:t>
      </w:r>
      <w:proofErr w:type="spellStart"/>
      <w:r w:rsidRPr="00086935">
        <w:rPr>
          <w:rFonts w:ascii="Arial Narrow" w:hAnsi="Arial Narrow"/>
          <w:sz w:val="18"/>
          <w:szCs w:val="18"/>
        </w:rPr>
        <w:t>Reames</w:t>
      </w:r>
      <w:proofErr w:type="spellEnd"/>
      <w:r w:rsidRPr="00086935">
        <w:rPr>
          <w:rFonts w:ascii="Arial Narrow" w:hAnsi="Arial Narrow"/>
          <w:sz w:val="18"/>
          <w:szCs w:val="18"/>
        </w:rPr>
        <w:t xml:space="preserve">, ‘Translation of Thomas Becket’, p.118. </w:t>
      </w:r>
    </w:p>
  </w:footnote>
  <w:footnote w:id="48">
    <w:p w:rsidR="0043187B" w:rsidRPr="00086935" w:rsidRDefault="0043187B" w:rsidP="0043187B">
      <w:pPr>
        <w:pStyle w:val="FootnoteText"/>
        <w:rPr>
          <w:rFonts w:ascii="Arial Narrow" w:hAnsi="Arial Narrow"/>
          <w:sz w:val="18"/>
        </w:rPr>
      </w:pPr>
      <w:r w:rsidRPr="00086935">
        <w:rPr>
          <w:rStyle w:val="FootnoteReference"/>
          <w:rFonts w:ascii="Arial Narrow" w:hAnsi="Arial Narrow"/>
          <w:sz w:val="18"/>
          <w:szCs w:val="18"/>
        </w:rPr>
        <w:footnoteRef/>
      </w:r>
      <w:r>
        <w:t xml:space="preserve"> </w:t>
      </w:r>
      <w:r>
        <w:rPr>
          <w:rFonts w:ascii="Arial Narrow" w:hAnsi="Arial Narrow"/>
          <w:i/>
          <w:sz w:val="18"/>
        </w:rPr>
        <w:t>Ibid.,</w:t>
      </w:r>
    </w:p>
  </w:footnote>
  <w:footnote w:id="49">
    <w:p w:rsidR="0043187B" w:rsidRPr="00C605A8" w:rsidRDefault="0043187B" w:rsidP="0043187B">
      <w:pPr>
        <w:pStyle w:val="FootnoteText"/>
        <w:rPr>
          <w:rFonts w:ascii="Arial Narrow" w:hAnsi="Arial Narrow"/>
          <w:sz w:val="18"/>
          <w:szCs w:val="18"/>
        </w:rPr>
      </w:pPr>
      <w:r w:rsidRPr="00C605A8">
        <w:rPr>
          <w:rStyle w:val="FootnoteReference"/>
          <w:rFonts w:ascii="Arial Narrow" w:hAnsi="Arial Narrow"/>
          <w:sz w:val="18"/>
          <w:szCs w:val="18"/>
        </w:rPr>
        <w:footnoteRef/>
      </w:r>
      <w:r w:rsidRPr="00C605A8">
        <w:rPr>
          <w:rFonts w:ascii="Arial Narrow" w:hAnsi="Arial Narrow"/>
          <w:sz w:val="18"/>
          <w:szCs w:val="18"/>
        </w:rPr>
        <w:t xml:space="preserve"> M. Staunton, </w:t>
      </w:r>
      <w:r w:rsidRPr="00C605A8">
        <w:rPr>
          <w:rFonts w:ascii="Arial Narrow" w:hAnsi="Arial Narrow"/>
          <w:i/>
          <w:sz w:val="18"/>
          <w:szCs w:val="18"/>
        </w:rPr>
        <w:t>Thomas Becket and His Biographers</w:t>
      </w:r>
      <w:r w:rsidRPr="00C605A8">
        <w:rPr>
          <w:rFonts w:ascii="Arial Narrow" w:hAnsi="Arial Narrow"/>
          <w:sz w:val="18"/>
          <w:szCs w:val="18"/>
        </w:rPr>
        <w:t>, (Woodbridge: The Boydell Press, 2006), p.8.</w:t>
      </w:r>
    </w:p>
  </w:footnote>
  <w:footnote w:id="50">
    <w:p w:rsidR="0043187B" w:rsidRPr="00C605A8" w:rsidRDefault="0043187B" w:rsidP="0043187B">
      <w:pPr>
        <w:pStyle w:val="FootnoteText"/>
        <w:rPr>
          <w:rFonts w:ascii="Arial Narrow" w:hAnsi="Arial Narrow"/>
          <w:iCs/>
          <w:sz w:val="18"/>
          <w:szCs w:val="18"/>
        </w:rPr>
      </w:pPr>
      <w:r w:rsidRPr="00C605A8">
        <w:rPr>
          <w:rStyle w:val="FootnoteReference"/>
          <w:rFonts w:ascii="Arial Narrow" w:hAnsi="Arial Narrow"/>
          <w:sz w:val="18"/>
          <w:szCs w:val="18"/>
        </w:rPr>
        <w:footnoteRef/>
      </w:r>
      <w:r w:rsidRPr="00C605A8">
        <w:rPr>
          <w:rFonts w:ascii="Arial Narrow" w:hAnsi="Arial Narrow"/>
          <w:sz w:val="18"/>
          <w:szCs w:val="18"/>
        </w:rPr>
        <w:t xml:space="preserve"> </w:t>
      </w:r>
      <w:r w:rsidRPr="00C605A8">
        <w:rPr>
          <w:rFonts w:ascii="Arial Narrow" w:hAnsi="Arial Narrow"/>
          <w:iCs/>
          <w:sz w:val="18"/>
          <w:szCs w:val="18"/>
        </w:rPr>
        <w:t xml:space="preserve">Will of </w:t>
      </w:r>
      <w:proofErr w:type="spellStart"/>
      <w:r w:rsidRPr="00C605A8">
        <w:rPr>
          <w:rFonts w:ascii="Arial Narrow" w:hAnsi="Arial Narrow"/>
          <w:iCs/>
          <w:sz w:val="18"/>
          <w:szCs w:val="18"/>
        </w:rPr>
        <w:t>Rauff</w:t>
      </w:r>
      <w:proofErr w:type="spellEnd"/>
      <w:r w:rsidRPr="00C605A8">
        <w:rPr>
          <w:rFonts w:ascii="Arial Narrow" w:hAnsi="Arial Narrow"/>
          <w:iCs/>
          <w:sz w:val="18"/>
          <w:szCs w:val="18"/>
        </w:rPr>
        <w:t xml:space="preserve"> Shelton, 7th March, 1522, f.89v, available from http://www.nationalarchives.gov.uk/education/resources/the-english-reformation-c1527-1590/pre-reformation-church/, accessed on [07/04/2019].</w:t>
      </w:r>
    </w:p>
  </w:footnote>
  <w:footnote w:id="51">
    <w:p w:rsidR="0043187B" w:rsidRPr="00A47DC8" w:rsidRDefault="0043187B" w:rsidP="0043187B">
      <w:pPr>
        <w:pStyle w:val="FootnoteText"/>
        <w:rPr>
          <w:rFonts w:ascii="Arial Narrow" w:hAnsi="Arial Narrow"/>
        </w:rPr>
      </w:pPr>
      <w:r w:rsidRPr="00A47DC8">
        <w:rPr>
          <w:rStyle w:val="FootnoteReference"/>
          <w:rFonts w:ascii="Arial Narrow" w:hAnsi="Arial Narrow"/>
          <w:sz w:val="18"/>
        </w:rPr>
        <w:footnoteRef/>
      </w:r>
      <w:r w:rsidRPr="00A47DC8">
        <w:rPr>
          <w:rFonts w:ascii="Arial Narrow" w:hAnsi="Arial Narrow"/>
          <w:sz w:val="18"/>
        </w:rPr>
        <w:t xml:space="preserve"> </w:t>
      </w:r>
      <w:r>
        <w:rPr>
          <w:rFonts w:ascii="Arial Narrow" w:hAnsi="Arial Narrow"/>
          <w:sz w:val="18"/>
        </w:rPr>
        <w:t xml:space="preserve">Will of </w:t>
      </w:r>
      <w:proofErr w:type="spellStart"/>
      <w:r>
        <w:rPr>
          <w:rFonts w:ascii="Arial Narrow" w:hAnsi="Arial Narrow"/>
          <w:sz w:val="18"/>
        </w:rPr>
        <w:t>Rauff</w:t>
      </w:r>
      <w:proofErr w:type="spellEnd"/>
      <w:r>
        <w:rPr>
          <w:rFonts w:ascii="Arial Narrow" w:hAnsi="Arial Narrow"/>
          <w:sz w:val="18"/>
        </w:rPr>
        <w:t xml:space="preserve"> Shelton, National Archives.</w:t>
      </w:r>
    </w:p>
  </w:footnote>
  <w:footnote w:id="52">
    <w:p w:rsidR="0043187B" w:rsidRPr="002745AC" w:rsidRDefault="0043187B" w:rsidP="0043187B">
      <w:pPr>
        <w:pStyle w:val="FootnoteText"/>
        <w:rPr>
          <w:rFonts w:ascii="Arial Narrow" w:hAnsi="Arial Narrow"/>
        </w:rPr>
      </w:pPr>
      <w:r w:rsidRPr="002745AC">
        <w:rPr>
          <w:rStyle w:val="FootnoteReference"/>
          <w:rFonts w:ascii="Arial Narrow" w:hAnsi="Arial Narrow"/>
          <w:sz w:val="18"/>
        </w:rPr>
        <w:footnoteRef/>
      </w:r>
      <w:r w:rsidRPr="002745AC">
        <w:rPr>
          <w:rFonts w:ascii="Arial Narrow" w:hAnsi="Arial Narrow"/>
          <w:sz w:val="18"/>
        </w:rPr>
        <w:t xml:space="preserve"> </w:t>
      </w:r>
      <w:r>
        <w:rPr>
          <w:rFonts w:ascii="Arial Narrow" w:hAnsi="Arial Narrow"/>
          <w:sz w:val="18"/>
        </w:rPr>
        <w:t>It is important however to note that St Thomas may be referring to St Thomas the apostle, and not St Thomas of Canterbury.</w:t>
      </w:r>
    </w:p>
  </w:footnote>
  <w:footnote w:id="53">
    <w:p w:rsidR="0043187B" w:rsidRPr="007D6C7C" w:rsidRDefault="0043187B" w:rsidP="0043187B">
      <w:pPr>
        <w:pStyle w:val="FootnoteText"/>
        <w:rPr>
          <w:rFonts w:ascii="Arial Narrow" w:hAnsi="Arial Narrow"/>
          <w:sz w:val="18"/>
        </w:rPr>
      </w:pPr>
      <w:r w:rsidRPr="008C1056">
        <w:rPr>
          <w:rStyle w:val="FootnoteReference"/>
          <w:rFonts w:ascii="Arial Narrow" w:hAnsi="Arial Narrow"/>
          <w:sz w:val="18"/>
        </w:rPr>
        <w:footnoteRef/>
      </w:r>
      <w:r w:rsidRPr="008C1056">
        <w:rPr>
          <w:rFonts w:ascii="Arial Narrow" w:hAnsi="Arial Narrow"/>
          <w:sz w:val="18"/>
        </w:rPr>
        <w:t xml:space="preserve"> ‘</w:t>
      </w:r>
      <w:r w:rsidRPr="008C1056">
        <w:rPr>
          <w:rFonts w:ascii="Arial Narrow" w:hAnsi="Arial Narrow"/>
          <w:sz w:val="16"/>
        </w:rPr>
        <w:t>The miracles occurred at first “about his tomb, then through the whole crypt, then the whole church, then all of Canterbury, then England, then France, Normandy, Germany, [and the] whole world”.</w:t>
      </w:r>
      <w:r>
        <w:rPr>
          <w:rFonts w:ascii="Arial Narrow" w:hAnsi="Arial Narrow"/>
          <w:sz w:val="16"/>
        </w:rPr>
        <w:t xml:space="preserve"> </w:t>
      </w:r>
      <w:r w:rsidRPr="007D6C7C">
        <w:rPr>
          <w:rFonts w:ascii="Arial Narrow" w:hAnsi="Arial Narrow"/>
          <w:sz w:val="18"/>
        </w:rPr>
        <w:t>R.E. Scully</w:t>
      </w:r>
      <w:r w:rsidRPr="007D6C7C">
        <w:rPr>
          <w:rFonts w:ascii="Arial Narrow" w:hAnsi="Arial Narrow"/>
          <w:i/>
          <w:sz w:val="18"/>
        </w:rPr>
        <w:t xml:space="preserve">, </w:t>
      </w:r>
      <w:r w:rsidRPr="007D6C7C">
        <w:rPr>
          <w:rFonts w:ascii="Arial Narrow" w:hAnsi="Arial Narrow"/>
          <w:sz w:val="18"/>
        </w:rPr>
        <w:t xml:space="preserve">‘The Unmaking of a Saint: Thomas Becket and the English Reformation’, </w:t>
      </w:r>
      <w:r w:rsidRPr="007D6C7C">
        <w:rPr>
          <w:rFonts w:ascii="Arial Narrow" w:hAnsi="Arial Narrow"/>
          <w:i/>
          <w:sz w:val="18"/>
        </w:rPr>
        <w:t>Catholic Historical Review</w:t>
      </w:r>
      <w:r w:rsidRPr="007D6C7C">
        <w:rPr>
          <w:rFonts w:ascii="Arial Narrow" w:hAnsi="Arial Narrow"/>
          <w:sz w:val="18"/>
        </w:rPr>
        <w:t>, vol.86, no.4 (Oct., 2000)</w:t>
      </w:r>
      <w:r>
        <w:rPr>
          <w:rFonts w:ascii="Arial Narrow" w:hAnsi="Arial Narrow"/>
          <w:sz w:val="18"/>
        </w:rPr>
        <w:t>, p.582.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437252"/>
    <w:multiLevelType w:val="hybridMultilevel"/>
    <w:tmpl w:val="0CFA20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936D0C"/>
    <w:multiLevelType w:val="hybridMultilevel"/>
    <w:tmpl w:val="87FE8B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558"/>
    <w:rsid w:val="00082549"/>
    <w:rsid w:val="00136558"/>
    <w:rsid w:val="001B1272"/>
    <w:rsid w:val="002269EB"/>
    <w:rsid w:val="002C5F36"/>
    <w:rsid w:val="00366A00"/>
    <w:rsid w:val="003B1196"/>
    <w:rsid w:val="003F7EC8"/>
    <w:rsid w:val="0043187B"/>
    <w:rsid w:val="004B16EE"/>
    <w:rsid w:val="00500346"/>
    <w:rsid w:val="00507381"/>
    <w:rsid w:val="005244DC"/>
    <w:rsid w:val="005942F3"/>
    <w:rsid w:val="005F4582"/>
    <w:rsid w:val="00603F86"/>
    <w:rsid w:val="00644FA2"/>
    <w:rsid w:val="006757D7"/>
    <w:rsid w:val="006D53B4"/>
    <w:rsid w:val="006E4F1A"/>
    <w:rsid w:val="007C3149"/>
    <w:rsid w:val="007E743D"/>
    <w:rsid w:val="007F1371"/>
    <w:rsid w:val="00813269"/>
    <w:rsid w:val="00841B2B"/>
    <w:rsid w:val="00866B6F"/>
    <w:rsid w:val="008A4148"/>
    <w:rsid w:val="008E0302"/>
    <w:rsid w:val="00904C48"/>
    <w:rsid w:val="00950048"/>
    <w:rsid w:val="00950B52"/>
    <w:rsid w:val="00962A3C"/>
    <w:rsid w:val="009663BF"/>
    <w:rsid w:val="00A55C71"/>
    <w:rsid w:val="00A631DC"/>
    <w:rsid w:val="00A82961"/>
    <w:rsid w:val="00B16D89"/>
    <w:rsid w:val="00B2136A"/>
    <w:rsid w:val="00BA2BF2"/>
    <w:rsid w:val="00C24B1E"/>
    <w:rsid w:val="00C514B0"/>
    <w:rsid w:val="00CF2D0B"/>
    <w:rsid w:val="00D56B82"/>
    <w:rsid w:val="00DA6455"/>
    <w:rsid w:val="00DE6DC3"/>
    <w:rsid w:val="00F64CFA"/>
    <w:rsid w:val="00F7617E"/>
    <w:rsid w:val="00F77C7F"/>
    <w:rsid w:val="00FB2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6FACB5-AEA9-4285-94E2-3964AE628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365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6558"/>
    <w:rPr>
      <w:sz w:val="20"/>
      <w:szCs w:val="20"/>
    </w:rPr>
  </w:style>
  <w:style w:type="character" w:styleId="FootnoteReference">
    <w:name w:val="footnote reference"/>
    <w:basedOn w:val="DefaultParagraphFont"/>
    <w:uiPriority w:val="99"/>
    <w:semiHidden/>
    <w:unhideWhenUsed/>
    <w:rsid w:val="001365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FF9963-4A5E-4521-8B0F-B4E6CB779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7148</Words>
  <Characters>36028</Characters>
  <Application>Microsoft Office Word</Application>
  <DocSecurity>0</DocSecurity>
  <Lines>444</Lines>
  <Paragraphs>61</Paragraphs>
  <ScaleCrop>false</ScaleCrop>
  <Company/>
  <LinksUpToDate>false</LinksUpToDate>
  <CharactersWithSpaces>43115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McGowan</dc:creator>
  <cp:keywords/>
  <dc:description/>
  <cp:lastModifiedBy>Phoebe McGowan</cp:lastModifiedBy>
  <cp:revision>16</cp:revision>
  <dcterms:created xsi:type="dcterms:W3CDTF">2019-04-21T20:37:00Z</dcterms:created>
  <dcterms:modified xsi:type="dcterms:W3CDTF">2019-04-21T21:02:00Z</dcterms:modified>
</cp:coreProperties>
</file>