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84EAE" w14:textId="53E8C53E" w:rsidR="008B7095" w:rsidRPr="008D570E" w:rsidRDefault="008B7095" w:rsidP="008B7095">
      <w:pPr>
        <w:snapToGrid w:val="0"/>
        <w:spacing w:line="300" w:lineRule="auto"/>
        <w:rPr>
          <w:sz w:val="28"/>
          <w:szCs w:val="28"/>
        </w:rPr>
      </w:pPr>
      <w:r w:rsidRPr="008D570E">
        <w:rPr>
          <w:rFonts w:ascii="細明體" w:eastAsia="細明體" w:hAnsi="細明體" w:cs="新細明體" w:hint="eastAsia"/>
          <w:kern w:val="0"/>
          <w:sz w:val="28"/>
          <w:szCs w:val="28"/>
        </w:rPr>
        <w:t>老子道德</w:t>
      </w:r>
      <w:proofErr w:type="gramStart"/>
      <w:r w:rsidRPr="008D570E">
        <w:rPr>
          <w:rFonts w:ascii="細明體" w:eastAsia="細明體" w:hAnsi="細明體" w:cs="新細明體" w:hint="eastAsia"/>
          <w:kern w:val="0"/>
          <w:sz w:val="28"/>
          <w:szCs w:val="28"/>
        </w:rPr>
        <w:t>經解上篇</w:t>
      </w:r>
      <w:proofErr w:type="gramEnd"/>
      <w:r>
        <w:rPr>
          <w:rFonts w:ascii="細明體" w:eastAsia="細明體" w:hAnsi="細明體" w:cs="新細明體" w:hint="eastAsia"/>
          <w:kern w:val="0"/>
          <w:sz w:val="28"/>
          <w:szCs w:val="28"/>
        </w:rPr>
        <w:t xml:space="preserve"> </w:t>
      </w:r>
      <w:r>
        <w:rPr>
          <w:rFonts w:ascii="細明體" w:eastAsia="細明體" w:hAnsi="細明體" w:cs="新細明體"/>
          <w:kern w:val="0"/>
          <w:sz w:val="28"/>
          <w:szCs w:val="28"/>
        </w:rPr>
        <w:t xml:space="preserve">             </w:t>
      </w:r>
      <w:r w:rsidRPr="008D570E">
        <w:rPr>
          <w:rFonts w:ascii="細明體" w:eastAsia="細明體" w:hAnsi="細明體" w:cs="新細明體" w:hint="eastAsia"/>
          <w:kern w:val="0"/>
          <w:sz w:val="28"/>
          <w:szCs w:val="28"/>
        </w:rPr>
        <w:t>明建</w:t>
      </w:r>
      <w:proofErr w:type="gramStart"/>
      <w:r w:rsidRPr="008D570E">
        <w:rPr>
          <w:rFonts w:ascii="細明體" w:eastAsia="細明體" w:hAnsi="細明體" w:cs="新細明體" w:hint="eastAsia"/>
          <w:kern w:val="0"/>
          <w:sz w:val="28"/>
          <w:szCs w:val="28"/>
        </w:rPr>
        <w:t>鄴</w:t>
      </w:r>
      <w:proofErr w:type="gramEnd"/>
      <w:r w:rsidRPr="008D570E">
        <w:rPr>
          <w:rFonts w:ascii="細明體" w:eastAsia="細明體" w:hAnsi="細明體" w:cs="新細明體" w:hint="eastAsia"/>
          <w:kern w:val="0"/>
          <w:sz w:val="28"/>
          <w:szCs w:val="28"/>
        </w:rPr>
        <w:t>憨山道者德</w:t>
      </w:r>
      <w:proofErr w:type="gramStart"/>
      <w:r w:rsidRPr="008D570E">
        <w:rPr>
          <w:rFonts w:ascii="細明體" w:eastAsia="細明體" w:hAnsi="細明體" w:cs="新細明體" w:hint="eastAsia"/>
          <w:kern w:val="0"/>
          <w:sz w:val="28"/>
          <w:szCs w:val="28"/>
        </w:rPr>
        <w:t>清著</w:t>
      </w:r>
      <w:proofErr w:type="gramEnd"/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2147"/>
        <w:gridCol w:w="8372"/>
        <w:gridCol w:w="3463"/>
      </w:tblGrid>
      <w:tr w:rsidR="008B7095" w:rsidRPr="008D570E" w14:paraId="5B4FAD74" w14:textId="77777777" w:rsidTr="008B7095">
        <w:tc>
          <w:tcPr>
            <w:tcW w:w="2147" w:type="dxa"/>
          </w:tcPr>
          <w:p w14:paraId="3C5F1A84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</w:p>
        </w:tc>
        <w:tc>
          <w:tcPr>
            <w:tcW w:w="8372" w:type="dxa"/>
          </w:tcPr>
          <w:p w14:paraId="2789015D" w14:textId="6B009176" w:rsidR="008B7095" w:rsidRPr="008D570E" w:rsidRDefault="008B7095" w:rsidP="00EF4824">
            <w:pPr>
              <w:snapToGrid w:val="0"/>
              <w:spacing w:line="300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3463" w:type="dxa"/>
          </w:tcPr>
          <w:p w14:paraId="4E061B3C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</w:p>
        </w:tc>
      </w:tr>
      <w:tr w:rsidR="008B7095" w:rsidRPr="008D570E" w14:paraId="08B0C2F7" w14:textId="77777777" w:rsidTr="008B7095">
        <w:tc>
          <w:tcPr>
            <w:tcW w:w="2147" w:type="dxa"/>
          </w:tcPr>
          <w:p w14:paraId="1ABE211F" w14:textId="77777777" w:rsidR="008B7095" w:rsidRPr="008D570E" w:rsidRDefault="008B7095" w:rsidP="00EF4824">
            <w:pPr>
              <w:widowControl/>
              <w:shd w:val="clear" w:color="auto" w:fill="FFFFFF"/>
              <w:snapToGrid w:val="0"/>
              <w:spacing w:line="300" w:lineRule="auto"/>
              <w:rPr>
                <w:rFonts w:ascii="細明體" w:eastAsia="細明體" w:hAnsi="細明體" w:cs="新細明體"/>
                <w:b/>
                <w:bCs/>
                <w:kern w:val="0"/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/>
                <w:b/>
                <w:bCs/>
                <w:kern w:val="0"/>
                <w:sz w:val="28"/>
                <w:szCs w:val="28"/>
              </w:rPr>
              <w:t>一</w:t>
            </w:r>
          </w:p>
          <w:p w14:paraId="0723B14E" w14:textId="77777777" w:rsidR="008B7095" w:rsidRDefault="008B7095" w:rsidP="00EF4824">
            <w:pPr>
              <w:widowControl/>
              <w:shd w:val="clear" w:color="auto" w:fill="FFFFFF"/>
              <w:snapToGrid w:val="0"/>
              <w:spacing w:line="300" w:lineRule="auto"/>
              <w:rPr>
                <w:rFonts w:ascii="細明體" w:eastAsia="細明體" w:hAnsi="細明體" w:cs="新細明體"/>
                <w:b/>
                <w:bCs/>
                <w:kern w:val="0"/>
                <w:sz w:val="28"/>
                <w:szCs w:val="28"/>
              </w:rPr>
            </w:pPr>
          </w:p>
          <w:p w14:paraId="0164573D" w14:textId="7F55B408" w:rsidR="008B7095" w:rsidRPr="008B7095" w:rsidRDefault="008B7095" w:rsidP="008B7095">
            <w:pPr>
              <w:widowControl/>
              <w:shd w:val="clear" w:color="auto" w:fill="FFFFFF"/>
              <w:snapToGrid w:val="0"/>
              <w:spacing w:line="300" w:lineRule="auto"/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  <w:t>道，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  <w:t>可道</w:t>
            </w:r>
            <w:proofErr w:type="gramEnd"/>
            <w:r w:rsidRPr="008D570E"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  <w:t>，非常道。</w:t>
            </w:r>
          </w:p>
        </w:tc>
        <w:tc>
          <w:tcPr>
            <w:tcW w:w="8372" w:type="dxa"/>
          </w:tcPr>
          <w:p w14:paraId="01737D5B" w14:textId="77777777" w:rsidR="008B7095" w:rsidRPr="008D570E" w:rsidRDefault="008B7095" w:rsidP="00EF4824">
            <w:pPr>
              <w:widowControl/>
              <w:shd w:val="clear" w:color="auto" w:fill="FFFFFF"/>
              <w:snapToGrid w:val="0"/>
              <w:spacing w:line="300" w:lineRule="auto"/>
              <w:rPr>
                <w:rFonts w:ascii="細明體" w:eastAsia="細明體" w:hAnsi="細明體" w:cs="新細明體"/>
                <w:kern w:val="0"/>
                <w:sz w:val="28"/>
                <w:szCs w:val="28"/>
              </w:rPr>
            </w:pPr>
            <w:r w:rsidRPr="008D570E">
              <w:rPr>
                <w:rFonts w:hint="eastAsia"/>
                <w:sz w:val="28"/>
                <w:szCs w:val="28"/>
              </w:rPr>
              <w:t>★</w:t>
            </w:r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【註】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此章總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言道之體用，及入道工夫也。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老氏之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學，盡在於此。其五千餘言，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所敷演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者，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唯演此一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章而已。</w:t>
            </w:r>
          </w:p>
          <w:p w14:paraId="469CB665" w14:textId="77777777" w:rsidR="008B7095" w:rsidRPr="008D570E" w:rsidRDefault="008B7095" w:rsidP="00EF4824">
            <w:pPr>
              <w:widowControl/>
              <w:shd w:val="clear" w:color="auto" w:fill="FFFFFF"/>
              <w:snapToGrid w:val="0"/>
              <w:spacing w:line="300" w:lineRule="auto"/>
              <w:rPr>
                <w:rFonts w:ascii="細明體" w:eastAsia="細明體" w:hAnsi="細明體" w:cs="新細明體"/>
                <w:kern w:val="0"/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★所言道，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乃真常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之道。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可道之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道，猶言也。意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謂真常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之道，本無相無名，不可言說。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凡可言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者，則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非真常之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道矣，故非常道。</w:t>
            </w:r>
          </w:p>
        </w:tc>
        <w:tc>
          <w:tcPr>
            <w:tcW w:w="3463" w:type="dxa"/>
          </w:tcPr>
          <w:p w14:paraId="050E17B9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</w:p>
        </w:tc>
      </w:tr>
      <w:tr w:rsidR="008B7095" w:rsidRPr="008D570E" w14:paraId="149BA5F4" w14:textId="77777777" w:rsidTr="008B7095">
        <w:tc>
          <w:tcPr>
            <w:tcW w:w="2147" w:type="dxa"/>
          </w:tcPr>
          <w:p w14:paraId="00343E66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  <w:t>名，可名，非常名。</w:t>
            </w:r>
          </w:p>
        </w:tc>
        <w:tc>
          <w:tcPr>
            <w:tcW w:w="8372" w:type="dxa"/>
          </w:tcPr>
          <w:p w14:paraId="6F4A7929" w14:textId="77777777" w:rsidR="008B7095" w:rsidRPr="008D570E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kern w:val="0"/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★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且道本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無名，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今既強名曰道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，是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則凡可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名者，皆假名耳，故非常名。</w:t>
            </w:r>
          </w:p>
          <w:p w14:paraId="17171D40" w14:textId="15E887AD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  <w:proofErr w:type="gramStart"/>
            <w:r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‧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此二句，言道之體也。</w:t>
            </w:r>
          </w:p>
        </w:tc>
        <w:tc>
          <w:tcPr>
            <w:tcW w:w="3463" w:type="dxa"/>
          </w:tcPr>
          <w:p w14:paraId="6CC9CBC8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</w:p>
        </w:tc>
      </w:tr>
      <w:tr w:rsidR="008B7095" w:rsidRPr="008D570E" w14:paraId="237F3F10" w14:textId="77777777" w:rsidTr="008B7095">
        <w:tc>
          <w:tcPr>
            <w:tcW w:w="2147" w:type="dxa"/>
          </w:tcPr>
          <w:p w14:paraId="323A4381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  <w:t>無名，天地之始。有名，萬物之母。</w:t>
            </w:r>
          </w:p>
        </w:tc>
        <w:tc>
          <w:tcPr>
            <w:tcW w:w="8372" w:type="dxa"/>
          </w:tcPr>
          <w:p w14:paraId="003C78BE" w14:textId="77777777" w:rsidR="008B7095" w:rsidRPr="008D570E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kern w:val="0"/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★然無相無名之道，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其體至虛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，天地皆從此中變化而出，故為天地之始。</w:t>
            </w:r>
          </w:p>
          <w:p w14:paraId="2AF0D270" w14:textId="77777777" w:rsidR="008B7095" w:rsidRPr="008D570E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kern w:val="0"/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/>
                <w:kern w:val="0"/>
                <w:sz w:val="28"/>
                <w:szCs w:val="28"/>
              </w:rPr>
              <w:t>★</w:t>
            </w:r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斯則無相無名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之道體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，全成有相有名之天地，而萬物盡從天地陰陽造化而生成。此所謂一生二，二生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三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，三生萬物，故為萬物之母。</w:t>
            </w:r>
          </w:p>
          <w:p w14:paraId="73C5DC1E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/>
                <w:kern w:val="0"/>
                <w:sz w:val="28"/>
                <w:szCs w:val="28"/>
              </w:rPr>
              <w:t>★</w:t>
            </w:r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此二句，言道之用也。</w:t>
            </w:r>
          </w:p>
        </w:tc>
        <w:tc>
          <w:tcPr>
            <w:tcW w:w="3463" w:type="dxa"/>
          </w:tcPr>
          <w:p w14:paraId="089A536D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</w:p>
        </w:tc>
      </w:tr>
      <w:tr w:rsidR="008B7095" w:rsidRPr="008D570E" w14:paraId="25D146DB" w14:textId="77777777" w:rsidTr="008B7095">
        <w:trPr>
          <w:trHeight w:val="1512"/>
        </w:trPr>
        <w:tc>
          <w:tcPr>
            <w:tcW w:w="2147" w:type="dxa"/>
          </w:tcPr>
          <w:p w14:paraId="4E408840" w14:textId="77777777" w:rsidR="008B7095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b/>
                <w:bCs/>
                <w:kern w:val="0"/>
                <w:sz w:val="28"/>
                <w:szCs w:val="28"/>
              </w:rPr>
            </w:pPr>
          </w:p>
          <w:p w14:paraId="490A7502" w14:textId="05317F0F" w:rsidR="008B7095" w:rsidRPr="008B7095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  <w:t>故常無，欲以觀其妙。</w:t>
            </w:r>
          </w:p>
        </w:tc>
        <w:tc>
          <w:tcPr>
            <w:tcW w:w="8372" w:type="dxa"/>
          </w:tcPr>
          <w:p w14:paraId="3137AFF5" w14:textId="77777777" w:rsidR="008B7095" w:rsidRPr="008D570E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kern w:val="0"/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★此下二句，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乃入道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之工夫。</w:t>
            </w:r>
          </w:p>
          <w:p w14:paraId="199109CC" w14:textId="77777777" w:rsidR="008B7095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kern w:val="0"/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★常，猶尋常也。欲，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猶要也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。</w:t>
            </w:r>
          </w:p>
          <w:p w14:paraId="6C2DAC67" w14:textId="6C319200" w:rsidR="008B7095" w:rsidRPr="008B7095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</w:pPr>
            <w:proofErr w:type="gramStart"/>
            <w:r>
              <w:rPr>
                <w:rFonts w:ascii="細明體" w:eastAsia="細明體" w:hAnsi="細明體" w:cs="新細明體"/>
                <w:kern w:val="0"/>
                <w:sz w:val="28"/>
                <w:szCs w:val="28"/>
              </w:rPr>
              <w:t>‧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老子謂，我尋常日用安心於無，要以觀其道之妙處。</w:t>
            </w:r>
          </w:p>
        </w:tc>
        <w:tc>
          <w:tcPr>
            <w:tcW w:w="3463" w:type="dxa"/>
          </w:tcPr>
          <w:p w14:paraId="2F3BD7C4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</w:p>
        </w:tc>
      </w:tr>
      <w:tr w:rsidR="008B7095" w:rsidRPr="008D570E" w14:paraId="0A3E680D" w14:textId="77777777" w:rsidTr="008B7095">
        <w:trPr>
          <w:trHeight w:val="1224"/>
        </w:trPr>
        <w:tc>
          <w:tcPr>
            <w:tcW w:w="2147" w:type="dxa"/>
          </w:tcPr>
          <w:p w14:paraId="623F6E6E" w14:textId="77777777" w:rsidR="008B7095" w:rsidRPr="008D570E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b/>
                <w:bCs/>
                <w:kern w:val="0"/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  <w:lastRenderedPageBreak/>
              <w:t>常有，欲以觀其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  <w:t>徼</w:t>
            </w:r>
            <w:proofErr w:type="gramEnd"/>
            <w:r w:rsidRPr="008D570E"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  <w:t>。</w:t>
            </w:r>
          </w:p>
          <w:p w14:paraId="11DC2F9B" w14:textId="77777777" w:rsidR="008B7095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b/>
                <w:bCs/>
                <w:kern w:val="0"/>
                <w:sz w:val="28"/>
                <w:szCs w:val="28"/>
              </w:rPr>
            </w:pPr>
          </w:p>
        </w:tc>
        <w:tc>
          <w:tcPr>
            <w:tcW w:w="8372" w:type="dxa"/>
          </w:tcPr>
          <w:p w14:paraId="55300DE6" w14:textId="77777777" w:rsidR="008B7095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kern w:val="0"/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/>
                <w:kern w:val="0"/>
                <w:sz w:val="28"/>
                <w:szCs w:val="28"/>
              </w:rPr>
              <w:t>★</w:t>
            </w:r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我尋常日用安心於有，要以觀其道之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徼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處。</w:t>
            </w:r>
          </w:p>
          <w:p w14:paraId="5A43BFD5" w14:textId="2F92047A" w:rsidR="008B7095" w:rsidRPr="008D570E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kern w:val="0"/>
                <w:sz w:val="28"/>
                <w:szCs w:val="28"/>
              </w:rPr>
            </w:pPr>
            <w:proofErr w:type="gramStart"/>
            <w:r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‧</w:t>
            </w:r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徼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，猶邊際也。</w:t>
            </w:r>
          </w:p>
          <w:p w14:paraId="742331F5" w14:textId="77777777" w:rsidR="008B7095" w:rsidRPr="008D570E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kern w:val="0"/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/>
                <w:kern w:val="0"/>
                <w:sz w:val="28"/>
                <w:szCs w:val="28"/>
              </w:rPr>
              <w:t>★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意謂全虛無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之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道體，既全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成了有名之萬物。是則物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物皆道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之全體所在，正謂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物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一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太極。是則只在日用目前，事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事物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物上，就要見道之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實際，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所遇無往而非道之所在。故莊子曰，道在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稊稗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，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道在屎尿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。如此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深觀，纔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見道之妙處。</w:t>
            </w:r>
          </w:p>
          <w:p w14:paraId="471B1936" w14:textId="77777777" w:rsidR="008B7095" w:rsidRPr="008D570E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★此二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觀字最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要緊。</w:t>
            </w:r>
          </w:p>
        </w:tc>
        <w:tc>
          <w:tcPr>
            <w:tcW w:w="3463" w:type="dxa"/>
          </w:tcPr>
          <w:p w14:paraId="75A30687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</w:p>
        </w:tc>
      </w:tr>
      <w:tr w:rsidR="008B7095" w:rsidRPr="008D570E" w14:paraId="5FD7525F" w14:textId="77777777" w:rsidTr="008B7095">
        <w:tc>
          <w:tcPr>
            <w:tcW w:w="2147" w:type="dxa"/>
          </w:tcPr>
          <w:p w14:paraId="6898126D" w14:textId="77777777" w:rsidR="008B7095" w:rsidRPr="008D570E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b/>
                <w:bCs/>
                <w:kern w:val="0"/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  <w:t>此兩者同，</w:t>
            </w:r>
          </w:p>
          <w:p w14:paraId="2D07DBC1" w14:textId="77777777" w:rsidR="008B7095" w:rsidRPr="008D570E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b/>
                <w:bCs/>
                <w:kern w:val="0"/>
                <w:sz w:val="28"/>
                <w:szCs w:val="28"/>
              </w:rPr>
            </w:pPr>
          </w:p>
          <w:p w14:paraId="21865421" w14:textId="77777777" w:rsidR="008B7095" w:rsidRPr="008D570E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b/>
                <w:bCs/>
                <w:kern w:val="0"/>
                <w:sz w:val="28"/>
                <w:szCs w:val="28"/>
              </w:rPr>
            </w:pPr>
          </w:p>
          <w:p w14:paraId="395647BC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</w:p>
        </w:tc>
        <w:tc>
          <w:tcPr>
            <w:tcW w:w="8372" w:type="dxa"/>
          </w:tcPr>
          <w:p w14:paraId="3E0AD7A8" w14:textId="77777777" w:rsidR="008B7095" w:rsidRPr="008D570E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kern w:val="0"/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★此兩者同已下，乃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釋疑顯妙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。老子因上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說觀無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觀有，恐學人把有無二字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看做兩邊，故釋之曰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，此兩者同。</w:t>
            </w:r>
          </w:p>
          <w:p w14:paraId="41001223" w14:textId="77777777" w:rsidR="008B7095" w:rsidRPr="008D570E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kern w:val="0"/>
                <w:sz w:val="28"/>
                <w:szCs w:val="28"/>
              </w:rPr>
            </w:pPr>
            <w:proofErr w:type="gramStart"/>
            <w:r w:rsidRPr="008D570E">
              <w:rPr>
                <w:rFonts w:ascii="細明體" w:eastAsia="細明體" w:hAnsi="細明體" w:cs="新細明體"/>
                <w:kern w:val="0"/>
                <w:sz w:val="28"/>
                <w:szCs w:val="28"/>
              </w:rPr>
              <w:t>‧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意謂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我觀無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，不是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單單觀無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。以觀虛無體中，而含有造化生物之妙。</w:t>
            </w:r>
          </w:p>
          <w:p w14:paraId="3AC494D8" w14:textId="77777777" w:rsidR="008B7095" w:rsidRPr="008D570E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kern w:val="0"/>
                <w:sz w:val="28"/>
                <w:szCs w:val="28"/>
              </w:rPr>
            </w:pPr>
            <w:proofErr w:type="gramStart"/>
            <w:r w:rsidRPr="008D570E">
              <w:rPr>
                <w:rFonts w:ascii="細明體" w:eastAsia="細明體" w:hAnsi="細明體" w:cs="新細明體"/>
                <w:kern w:val="0"/>
                <w:sz w:val="28"/>
                <w:szCs w:val="28"/>
              </w:rPr>
              <w:t>‧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我觀有，不是單單觀有。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以觀萬物象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上，而全是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虛無妙道之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理。是則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有無並觀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，同是一體，故曰，此兩者同。</w:t>
            </w:r>
          </w:p>
        </w:tc>
        <w:tc>
          <w:tcPr>
            <w:tcW w:w="3463" w:type="dxa"/>
          </w:tcPr>
          <w:p w14:paraId="228EEAED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</w:p>
        </w:tc>
      </w:tr>
      <w:tr w:rsidR="008B7095" w:rsidRPr="008D570E" w14:paraId="4D0AEBD9" w14:textId="77777777" w:rsidTr="008B7095">
        <w:tc>
          <w:tcPr>
            <w:tcW w:w="2147" w:type="dxa"/>
          </w:tcPr>
          <w:p w14:paraId="62800344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  <w:t>出而異名，</w:t>
            </w:r>
            <w:r w:rsidRPr="008D570E">
              <w:rPr>
                <w:sz w:val="28"/>
                <w:szCs w:val="28"/>
              </w:rPr>
              <w:t xml:space="preserve"> </w:t>
            </w:r>
          </w:p>
        </w:tc>
        <w:tc>
          <w:tcPr>
            <w:tcW w:w="8372" w:type="dxa"/>
          </w:tcPr>
          <w:p w14:paraId="640A3219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/>
                <w:kern w:val="0"/>
                <w:sz w:val="28"/>
                <w:szCs w:val="28"/>
              </w:rPr>
              <w:t>★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恐人又疑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兩者既同，如何又立有無之名，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故釋之曰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，出而異名。意謂</w:t>
            </w:r>
            <w:proofErr w:type="gramStart"/>
            <w:r w:rsidRPr="0092409E"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  <w:t>虛無道體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，既</w:t>
            </w:r>
            <w:r w:rsidRPr="0092409E"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  <w:t>生出有形天地萬物</w:t>
            </w:r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。而有不能生有，必因無以生有。無不自無，因有以顯無。此乃有無相生，故二名不一，故曰，出而異名。</w:t>
            </w:r>
          </w:p>
        </w:tc>
        <w:tc>
          <w:tcPr>
            <w:tcW w:w="3463" w:type="dxa"/>
          </w:tcPr>
          <w:p w14:paraId="7630E695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</w:p>
        </w:tc>
      </w:tr>
      <w:tr w:rsidR="008B7095" w:rsidRPr="008D570E" w14:paraId="1168C98E" w14:textId="77777777" w:rsidTr="008B7095">
        <w:tc>
          <w:tcPr>
            <w:tcW w:w="2147" w:type="dxa"/>
          </w:tcPr>
          <w:p w14:paraId="3706B847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  <w:proofErr w:type="gramStart"/>
            <w:r w:rsidRPr="008D570E"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  <w:t>同謂之玄</w:t>
            </w:r>
            <w:proofErr w:type="gramEnd"/>
            <w:r w:rsidRPr="008D570E"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  <w:t>。</w:t>
            </w:r>
          </w:p>
        </w:tc>
        <w:tc>
          <w:tcPr>
            <w:tcW w:w="8372" w:type="dxa"/>
          </w:tcPr>
          <w:p w14:paraId="17D84A78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★至此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恐人又疑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既是有無對待，則不成一體，如何謂之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妙道，故釋之曰，同謂之玄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。斯則天地同根，萬物一體。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深觀至此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，豈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不妙哉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。</w:t>
            </w:r>
          </w:p>
        </w:tc>
        <w:tc>
          <w:tcPr>
            <w:tcW w:w="3463" w:type="dxa"/>
          </w:tcPr>
          <w:p w14:paraId="24CAC15D" w14:textId="05B16D1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</w:p>
        </w:tc>
      </w:tr>
      <w:tr w:rsidR="008B7095" w:rsidRPr="008D570E" w14:paraId="4158F6A6" w14:textId="77777777" w:rsidTr="008B7095">
        <w:tc>
          <w:tcPr>
            <w:tcW w:w="2147" w:type="dxa"/>
          </w:tcPr>
          <w:p w14:paraId="7C090BF9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  <w:lastRenderedPageBreak/>
              <w:t>玄之又玄，</w:t>
            </w:r>
            <w:r w:rsidRPr="008D570E">
              <w:rPr>
                <w:sz w:val="28"/>
                <w:szCs w:val="28"/>
              </w:rPr>
              <w:t xml:space="preserve"> </w:t>
            </w:r>
          </w:p>
        </w:tc>
        <w:tc>
          <w:tcPr>
            <w:tcW w:w="8372" w:type="dxa"/>
          </w:tcPr>
          <w:p w14:paraId="021D42ED" w14:textId="77777777" w:rsidR="008B7095" w:rsidRPr="008D570E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kern w:val="0"/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★老子又恐學人工夫到此，不能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滌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除玄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覽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，故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又遣之曰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，玄之又玄。</w:t>
            </w:r>
          </w:p>
          <w:p w14:paraId="379D2E21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  <w:proofErr w:type="gramStart"/>
            <w:r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‧</w:t>
            </w:r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意謂雖是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有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無同觀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，若不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忘心忘跡，雖妙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不妙。殊不知大道體中，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不但絕有無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之名，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抑且離玄妙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之跡，故曰，玄之又玄。</w:t>
            </w:r>
          </w:p>
        </w:tc>
        <w:tc>
          <w:tcPr>
            <w:tcW w:w="3463" w:type="dxa"/>
          </w:tcPr>
          <w:p w14:paraId="1806362C" w14:textId="02B2AEF3" w:rsidR="008B7095" w:rsidRPr="009D0735" w:rsidRDefault="008B7095" w:rsidP="00EF4824"/>
        </w:tc>
      </w:tr>
      <w:tr w:rsidR="008B7095" w:rsidRPr="008D570E" w14:paraId="7B133F50" w14:textId="77777777" w:rsidTr="008B7095">
        <w:tc>
          <w:tcPr>
            <w:tcW w:w="2147" w:type="dxa"/>
          </w:tcPr>
          <w:p w14:paraId="0CFB0EC8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  <w:proofErr w:type="gramStart"/>
            <w:r w:rsidRPr="008D570E"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  <w:t>眾妙之</w:t>
            </w:r>
            <w:proofErr w:type="gramEnd"/>
            <w:r w:rsidRPr="008D570E">
              <w:rPr>
                <w:rFonts w:ascii="細明體" w:eastAsia="細明體" w:hAnsi="細明體" w:cs="新細明體" w:hint="eastAsia"/>
                <w:b/>
                <w:bCs/>
                <w:kern w:val="0"/>
                <w:sz w:val="28"/>
                <w:szCs w:val="28"/>
              </w:rPr>
              <w:t>門。</w:t>
            </w:r>
          </w:p>
        </w:tc>
        <w:tc>
          <w:tcPr>
            <w:tcW w:w="8372" w:type="dxa"/>
          </w:tcPr>
          <w:p w14:paraId="1672C548" w14:textId="77777777" w:rsidR="008B7095" w:rsidRPr="008D570E" w:rsidRDefault="008B7095" w:rsidP="00EF4824">
            <w:pPr>
              <w:snapToGrid w:val="0"/>
              <w:spacing w:line="300" w:lineRule="auto"/>
              <w:rPr>
                <w:rFonts w:ascii="細明體" w:eastAsia="細明體" w:hAnsi="細明體" w:cs="新細明體"/>
                <w:kern w:val="0"/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★工夫到此，忘懷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泯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物，無往而不妙，故曰，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眾妙之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門。斯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乃造道之極也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。</w:t>
            </w:r>
          </w:p>
          <w:p w14:paraId="4C071E97" w14:textId="77777777" w:rsidR="008B7095" w:rsidRPr="008D570E" w:rsidRDefault="008B7095" w:rsidP="00EF4824">
            <w:pPr>
              <w:snapToGrid w:val="0"/>
              <w:spacing w:line="300" w:lineRule="auto"/>
              <w:rPr>
                <w:sz w:val="28"/>
                <w:szCs w:val="28"/>
              </w:rPr>
            </w:pPr>
            <w:r w:rsidRPr="008D570E">
              <w:rPr>
                <w:rFonts w:ascii="細明體" w:eastAsia="細明體" w:hAnsi="細明體" w:cs="新細明體"/>
                <w:kern w:val="0"/>
                <w:sz w:val="28"/>
                <w:szCs w:val="28"/>
              </w:rPr>
              <w:t>★</w:t>
            </w:r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似此一段工夫，豈可以區區文字者也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之乎而盡之哉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。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此愚所謂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須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是靜工純熟</w:t>
            </w:r>
            <w:proofErr w:type="gramEnd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，方見此中之</w:t>
            </w:r>
            <w:proofErr w:type="gramStart"/>
            <w:r w:rsidRPr="008D570E">
              <w:rPr>
                <w:rFonts w:ascii="細明體" w:eastAsia="細明體" w:hAnsi="細明體" w:cs="新細明體" w:hint="eastAsia"/>
                <w:kern w:val="0"/>
                <w:sz w:val="28"/>
                <w:szCs w:val="28"/>
              </w:rPr>
              <w:t>妙耳。</w:t>
            </w:r>
            <w:proofErr w:type="gramEnd"/>
          </w:p>
        </w:tc>
        <w:tc>
          <w:tcPr>
            <w:tcW w:w="3463" w:type="dxa"/>
          </w:tcPr>
          <w:p w14:paraId="6ED4F6F6" w14:textId="77777777" w:rsidR="008B7095" w:rsidRPr="009D0735" w:rsidRDefault="008B7095" w:rsidP="00EF4824"/>
        </w:tc>
      </w:tr>
    </w:tbl>
    <w:p w14:paraId="2C70DB52" w14:textId="77777777" w:rsidR="0039749C" w:rsidRDefault="0039749C"/>
    <w:sectPr w:rsidR="0039749C" w:rsidSect="008B7095">
      <w:pgSz w:w="16838" w:h="11906" w:orient="landscape"/>
      <w:pgMar w:top="851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095"/>
    <w:rsid w:val="00140533"/>
    <w:rsid w:val="002C6CCF"/>
    <w:rsid w:val="0039749C"/>
    <w:rsid w:val="00564138"/>
    <w:rsid w:val="00651EE5"/>
    <w:rsid w:val="006C25FD"/>
    <w:rsid w:val="008B7095"/>
    <w:rsid w:val="009736EA"/>
    <w:rsid w:val="00BC0902"/>
    <w:rsid w:val="00D044B9"/>
    <w:rsid w:val="00D6192C"/>
    <w:rsid w:val="00D65218"/>
    <w:rsid w:val="00DA479A"/>
    <w:rsid w:val="00DF2600"/>
    <w:rsid w:val="00F73B9E"/>
    <w:rsid w:val="00FC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D5E24"/>
  <w15:chartTrackingRefBased/>
  <w15:docId w15:val="{FDB59719-E5D2-4B02-BB6A-CAE89CFEF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709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70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8B709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157</Words>
  <Characters>898</Characters>
  <Application>Microsoft Office Word</Application>
  <DocSecurity>0</DocSecurity>
  <Lines>7</Lines>
  <Paragraphs>2</Paragraphs>
  <ScaleCrop>false</ScaleCrop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minlun 明倫月刊</dc:creator>
  <cp:keywords/>
  <dc:description/>
  <cp:lastModifiedBy>minlun 明倫月刊</cp:lastModifiedBy>
  <cp:revision>1</cp:revision>
  <dcterms:created xsi:type="dcterms:W3CDTF">2021-06-11T06:51:00Z</dcterms:created>
  <dcterms:modified xsi:type="dcterms:W3CDTF">2021-06-11T06:55:00Z</dcterms:modified>
</cp:coreProperties>
</file>