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DF839C" w14:textId="77777777" w:rsidR="00A54DCE" w:rsidRPr="004C5A58" w:rsidRDefault="00A54DCE" w:rsidP="00A54DCE">
      <w:pPr>
        <w:spacing w:before="100" w:beforeAutospacing="1" w:after="100" w:afterAutospacing="1" w:line="360" w:lineRule="auto"/>
        <w:rPr>
          <w:rFonts w:ascii="Arial" w:eastAsia="Times New Roman" w:hAnsi="Arial" w:cs="Arial"/>
          <w:kern w:val="0"/>
          <w:sz w:val="32"/>
          <w:szCs w:val="32"/>
          <w14:ligatures w14:val="none"/>
        </w:rPr>
      </w:pPr>
      <w:r w:rsidRPr="00526AA7">
        <w:rPr>
          <w:rFonts w:ascii="Arial" w:eastAsia="Times New Roman" w:hAnsi="Arial" w:cs="Arial"/>
          <w:kern w:val="0"/>
          <w:sz w:val="32"/>
          <w:szCs w:val="32"/>
          <w14:ligatures w14:val="none"/>
        </w:rPr>
        <w:t xml:space="preserve">Student Name: Esther </w:t>
      </w:r>
      <w:proofErr w:type="spellStart"/>
      <w:r w:rsidRPr="00526AA7">
        <w:rPr>
          <w:rFonts w:ascii="Arial" w:eastAsia="Times New Roman" w:hAnsi="Arial" w:cs="Arial"/>
          <w:kern w:val="0"/>
          <w:sz w:val="32"/>
          <w:szCs w:val="32"/>
          <w14:ligatures w14:val="none"/>
        </w:rPr>
        <w:t>Uyi</w:t>
      </w:r>
      <w:proofErr w:type="spellEnd"/>
      <w:r w:rsidRPr="00526AA7">
        <w:rPr>
          <w:rFonts w:ascii="Arial" w:eastAsia="Times New Roman" w:hAnsi="Arial" w:cs="Arial"/>
          <w:kern w:val="0"/>
          <w:sz w:val="32"/>
          <w:szCs w:val="32"/>
          <w14:ligatures w14:val="none"/>
        </w:rPr>
        <w:t xml:space="preserve"> </w:t>
      </w:r>
      <w:proofErr w:type="spellStart"/>
      <w:r w:rsidRPr="00526AA7">
        <w:rPr>
          <w:rFonts w:ascii="Arial" w:eastAsia="Times New Roman" w:hAnsi="Arial" w:cs="Arial"/>
          <w:kern w:val="0"/>
          <w:sz w:val="32"/>
          <w:szCs w:val="32"/>
          <w14:ligatures w14:val="none"/>
        </w:rPr>
        <w:t>Okhilu</w:t>
      </w:r>
      <w:proofErr w:type="spellEnd"/>
    </w:p>
    <w:p w14:paraId="44C8AF32" w14:textId="77777777" w:rsidR="00A54DCE" w:rsidRPr="004C5A58" w:rsidRDefault="00A54DCE" w:rsidP="00A54DCE">
      <w:pPr>
        <w:spacing w:before="100" w:beforeAutospacing="1" w:after="100" w:afterAutospacing="1" w:line="360" w:lineRule="auto"/>
        <w:rPr>
          <w:rFonts w:ascii="Arial" w:eastAsia="Times New Roman" w:hAnsi="Arial" w:cs="Arial"/>
          <w:kern w:val="0"/>
          <w:sz w:val="32"/>
          <w:szCs w:val="32"/>
          <w14:ligatures w14:val="none"/>
        </w:rPr>
      </w:pPr>
      <w:r w:rsidRPr="00526AA7">
        <w:rPr>
          <w:rFonts w:ascii="Arial" w:eastAsia="Times New Roman" w:hAnsi="Arial" w:cs="Arial"/>
          <w:kern w:val="0"/>
          <w:sz w:val="32"/>
          <w:szCs w:val="32"/>
          <w14:ligatures w14:val="none"/>
        </w:rPr>
        <w:br/>
        <w:t>Student ID</w:t>
      </w:r>
      <w:r w:rsidRPr="00526AA7">
        <w:rPr>
          <w:rFonts w:ascii="Arial" w:eastAsia="Times New Roman" w:hAnsi="Arial" w:cs="Arial"/>
          <w:b/>
          <w:bCs/>
          <w:kern w:val="0"/>
          <w:sz w:val="32"/>
          <w:szCs w:val="32"/>
          <w14:ligatures w14:val="none"/>
        </w:rPr>
        <w:t>:</w:t>
      </w:r>
      <w:r w:rsidRPr="00526AA7">
        <w:rPr>
          <w:rFonts w:ascii="Arial" w:eastAsia="Times New Roman" w:hAnsi="Arial" w:cs="Arial"/>
          <w:kern w:val="0"/>
          <w:sz w:val="32"/>
          <w:szCs w:val="32"/>
          <w14:ligatures w14:val="none"/>
        </w:rPr>
        <w:t xml:space="preserve"> </w:t>
      </w:r>
      <w:r w:rsidRPr="004C5A58">
        <w:rPr>
          <w:rFonts w:ascii="Arial" w:eastAsia="Times New Roman" w:hAnsi="Arial" w:cs="Arial"/>
          <w:kern w:val="0"/>
          <w:sz w:val="32"/>
          <w:szCs w:val="32"/>
          <w14:ligatures w14:val="none"/>
        </w:rPr>
        <w:t>2433459</w:t>
      </w:r>
    </w:p>
    <w:p w14:paraId="61F5DB7E" w14:textId="179C073F" w:rsidR="00A54DCE" w:rsidRPr="004C5A58" w:rsidRDefault="00A54DCE" w:rsidP="00A54DCE">
      <w:pPr>
        <w:spacing w:before="100" w:beforeAutospacing="1" w:after="100" w:afterAutospacing="1" w:line="360" w:lineRule="auto"/>
        <w:rPr>
          <w:rFonts w:ascii="Arial" w:eastAsia="Times New Roman" w:hAnsi="Arial" w:cs="Arial"/>
          <w:kern w:val="0"/>
          <w:sz w:val="32"/>
          <w:szCs w:val="32"/>
          <w14:ligatures w14:val="none"/>
        </w:rPr>
      </w:pPr>
      <w:r w:rsidRPr="00526AA7">
        <w:rPr>
          <w:rFonts w:ascii="Arial" w:eastAsia="Times New Roman" w:hAnsi="Arial" w:cs="Arial"/>
          <w:kern w:val="0"/>
          <w:sz w:val="32"/>
          <w:szCs w:val="32"/>
          <w14:ligatures w14:val="none"/>
        </w:rPr>
        <w:br/>
        <w:t xml:space="preserve">Module Code: </w:t>
      </w:r>
      <w:r w:rsidRPr="002207CF">
        <w:rPr>
          <w:rFonts w:ascii="Arial" w:hAnsi="Arial" w:cs="Arial"/>
          <w:sz w:val="32"/>
          <w:szCs w:val="32"/>
          <w:lang w:val="en-GB"/>
        </w:rPr>
        <w:t>BMHP5023</w:t>
      </w:r>
    </w:p>
    <w:p w14:paraId="2FF251CF" w14:textId="69D27007" w:rsidR="00A54DCE" w:rsidRPr="00A54DCE" w:rsidRDefault="00A54DCE" w:rsidP="00A54DCE">
      <w:pPr>
        <w:spacing w:before="100" w:beforeAutospacing="1" w:after="100" w:afterAutospacing="1" w:line="360" w:lineRule="auto"/>
        <w:rPr>
          <w:rFonts w:ascii="Arial" w:hAnsi="Arial" w:cs="Arial"/>
        </w:rPr>
      </w:pPr>
      <w:r w:rsidRPr="00526AA7">
        <w:rPr>
          <w:rFonts w:ascii="Arial" w:eastAsia="Times New Roman" w:hAnsi="Arial" w:cs="Arial"/>
          <w:kern w:val="0"/>
          <w:sz w:val="32"/>
          <w:szCs w:val="32"/>
          <w14:ligatures w14:val="none"/>
        </w:rPr>
        <w:br/>
        <w:t>Module Title</w:t>
      </w:r>
      <w:r w:rsidRPr="00526AA7">
        <w:rPr>
          <w:rFonts w:ascii="Arial" w:eastAsia="Times New Roman" w:hAnsi="Arial" w:cs="Arial"/>
          <w:b/>
          <w:bCs/>
          <w:kern w:val="0"/>
          <w:sz w:val="32"/>
          <w:szCs w:val="32"/>
          <w14:ligatures w14:val="none"/>
        </w:rPr>
        <w:t>:</w:t>
      </w:r>
      <w:r w:rsidRPr="00526AA7">
        <w:rPr>
          <w:rFonts w:ascii="Arial" w:eastAsia="Times New Roman" w:hAnsi="Arial" w:cs="Arial"/>
          <w:kern w:val="0"/>
          <w:sz w:val="32"/>
          <w:szCs w:val="32"/>
          <w14:ligatures w14:val="none"/>
        </w:rPr>
        <w:t xml:space="preserve"> </w:t>
      </w:r>
      <w:r w:rsidRPr="00A54DCE">
        <w:rPr>
          <w:rFonts w:ascii="Arial" w:hAnsi="Arial" w:cs="Arial"/>
        </w:rPr>
        <w:t>Case Study Report: Type 2 Diabetes</w:t>
      </w:r>
    </w:p>
    <w:p w14:paraId="7E392E4A" w14:textId="65D72CDC" w:rsidR="00A54DCE" w:rsidRPr="004C5A58" w:rsidRDefault="00A54DCE" w:rsidP="00A54DCE">
      <w:pPr>
        <w:spacing w:before="100" w:beforeAutospacing="1" w:after="100" w:afterAutospacing="1" w:line="360" w:lineRule="auto"/>
        <w:rPr>
          <w:rFonts w:ascii="Arial" w:eastAsia="Times New Roman" w:hAnsi="Arial" w:cs="Arial"/>
          <w:kern w:val="0"/>
          <w:sz w:val="32"/>
          <w:szCs w:val="32"/>
          <w14:ligatures w14:val="none"/>
        </w:rPr>
      </w:pPr>
      <w:r w:rsidRPr="00526AA7">
        <w:rPr>
          <w:rFonts w:ascii="Arial" w:eastAsia="Times New Roman" w:hAnsi="Arial" w:cs="Arial"/>
          <w:kern w:val="0"/>
          <w:sz w:val="32"/>
          <w:szCs w:val="32"/>
          <w14:ligatures w14:val="none"/>
        </w:rPr>
        <w:br/>
        <w:t xml:space="preserve">Lecturer: </w:t>
      </w:r>
      <w:r w:rsidR="002207CF" w:rsidRPr="002207CF">
        <w:rPr>
          <w:rFonts w:ascii="Arial" w:eastAsia="Times New Roman" w:hAnsi="Arial" w:cs="Arial"/>
          <w:kern w:val="0"/>
          <w:sz w:val="24"/>
          <w:szCs w:val="24"/>
          <w14:ligatures w14:val="none"/>
        </w:rPr>
        <w:t>ROBERT NARTOWSKI</w:t>
      </w:r>
    </w:p>
    <w:p w14:paraId="11CE4D33" w14:textId="77777777" w:rsidR="00A54DCE" w:rsidRDefault="00A54DCE" w:rsidP="00D85F2A">
      <w:pPr>
        <w:rPr>
          <w:rFonts w:ascii="Times New Roman" w:hAnsi="Times New Roman" w:cs="Times New Roman"/>
          <w:sz w:val="28"/>
          <w:szCs w:val="28"/>
        </w:rPr>
      </w:pPr>
    </w:p>
    <w:p w14:paraId="3584EBD1" w14:textId="77777777" w:rsidR="00A54DCE" w:rsidRDefault="00A54DCE" w:rsidP="00D85F2A">
      <w:pPr>
        <w:rPr>
          <w:rFonts w:ascii="Times New Roman" w:hAnsi="Times New Roman" w:cs="Times New Roman"/>
          <w:sz w:val="28"/>
          <w:szCs w:val="28"/>
        </w:rPr>
      </w:pPr>
    </w:p>
    <w:p w14:paraId="04AFB02A" w14:textId="77777777" w:rsidR="00A54DCE" w:rsidRDefault="00A54DCE" w:rsidP="00D85F2A">
      <w:pPr>
        <w:rPr>
          <w:rFonts w:ascii="Times New Roman" w:hAnsi="Times New Roman" w:cs="Times New Roman"/>
          <w:sz w:val="28"/>
          <w:szCs w:val="28"/>
        </w:rPr>
      </w:pPr>
    </w:p>
    <w:p w14:paraId="741AA5AF" w14:textId="77777777" w:rsidR="00A54DCE" w:rsidRDefault="00A54DCE" w:rsidP="00D85F2A">
      <w:pPr>
        <w:rPr>
          <w:rFonts w:ascii="Times New Roman" w:hAnsi="Times New Roman" w:cs="Times New Roman"/>
          <w:sz w:val="28"/>
          <w:szCs w:val="28"/>
        </w:rPr>
      </w:pPr>
    </w:p>
    <w:p w14:paraId="38EAD97E" w14:textId="77777777" w:rsidR="00A54DCE" w:rsidRDefault="00A54DCE" w:rsidP="00D85F2A">
      <w:pPr>
        <w:rPr>
          <w:rFonts w:ascii="Times New Roman" w:hAnsi="Times New Roman" w:cs="Times New Roman"/>
          <w:sz w:val="28"/>
          <w:szCs w:val="28"/>
        </w:rPr>
      </w:pPr>
    </w:p>
    <w:p w14:paraId="263A3ADF" w14:textId="77777777" w:rsidR="00A54DCE" w:rsidRDefault="00A54DCE" w:rsidP="00D85F2A">
      <w:pPr>
        <w:rPr>
          <w:rFonts w:ascii="Times New Roman" w:hAnsi="Times New Roman" w:cs="Times New Roman"/>
          <w:sz w:val="28"/>
          <w:szCs w:val="28"/>
        </w:rPr>
      </w:pPr>
    </w:p>
    <w:p w14:paraId="1CB53C5D" w14:textId="77777777" w:rsidR="00A54DCE" w:rsidRDefault="00A54DCE" w:rsidP="00D85F2A">
      <w:pPr>
        <w:rPr>
          <w:rFonts w:ascii="Times New Roman" w:hAnsi="Times New Roman" w:cs="Times New Roman"/>
          <w:sz w:val="28"/>
          <w:szCs w:val="28"/>
        </w:rPr>
      </w:pPr>
    </w:p>
    <w:p w14:paraId="08371958" w14:textId="77777777" w:rsidR="00A54DCE" w:rsidRDefault="00A54DCE" w:rsidP="00D85F2A">
      <w:pPr>
        <w:rPr>
          <w:rFonts w:ascii="Times New Roman" w:hAnsi="Times New Roman" w:cs="Times New Roman"/>
          <w:sz w:val="28"/>
          <w:szCs w:val="28"/>
        </w:rPr>
      </w:pPr>
    </w:p>
    <w:p w14:paraId="154AA3EE" w14:textId="77777777" w:rsidR="00A54DCE" w:rsidRDefault="00A54DCE" w:rsidP="00D85F2A">
      <w:pPr>
        <w:rPr>
          <w:rFonts w:ascii="Times New Roman" w:hAnsi="Times New Roman" w:cs="Times New Roman"/>
          <w:sz w:val="28"/>
          <w:szCs w:val="28"/>
        </w:rPr>
      </w:pPr>
    </w:p>
    <w:p w14:paraId="1AF9F069" w14:textId="77777777" w:rsidR="00A54DCE" w:rsidRDefault="00A54DCE" w:rsidP="00D85F2A">
      <w:pPr>
        <w:rPr>
          <w:rFonts w:ascii="Times New Roman" w:hAnsi="Times New Roman" w:cs="Times New Roman"/>
          <w:sz w:val="28"/>
          <w:szCs w:val="28"/>
        </w:rPr>
      </w:pPr>
    </w:p>
    <w:p w14:paraId="737150A3" w14:textId="77777777" w:rsidR="00A54DCE" w:rsidRDefault="00A54DCE" w:rsidP="00D85F2A">
      <w:pPr>
        <w:rPr>
          <w:rFonts w:ascii="Times New Roman" w:hAnsi="Times New Roman" w:cs="Times New Roman"/>
          <w:sz w:val="28"/>
          <w:szCs w:val="28"/>
        </w:rPr>
      </w:pPr>
    </w:p>
    <w:p w14:paraId="7D7342A0" w14:textId="77777777" w:rsidR="00A54DCE" w:rsidRDefault="00A54DCE" w:rsidP="00D85F2A">
      <w:pPr>
        <w:rPr>
          <w:rFonts w:ascii="Times New Roman" w:hAnsi="Times New Roman" w:cs="Times New Roman"/>
          <w:sz w:val="28"/>
          <w:szCs w:val="28"/>
        </w:rPr>
      </w:pPr>
    </w:p>
    <w:p w14:paraId="4944B331" w14:textId="77777777" w:rsidR="00A54DCE" w:rsidRDefault="00A54DCE" w:rsidP="00D85F2A">
      <w:pPr>
        <w:rPr>
          <w:rFonts w:ascii="Times New Roman" w:hAnsi="Times New Roman" w:cs="Times New Roman"/>
          <w:sz w:val="28"/>
          <w:szCs w:val="28"/>
        </w:rPr>
      </w:pPr>
    </w:p>
    <w:p w14:paraId="68F2E39E" w14:textId="7C65D433" w:rsidR="00D85F2A" w:rsidRPr="00A54DCE" w:rsidRDefault="00D85F2A" w:rsidP="00A54DCE">
      <w:pPr>
        <w:spacing w:line="360" w:lineRule="auto"/>
        <w:rPr>
          <w:rFonts w:ascii="Arial" w:hAnsi="Arial" w:cs="Arial"/>
          <w:sz w:val="28"/>
          <w:szCs w:val="28"/>
        </w:rPr>
      </w:pPr>
      <w:r w:rsidRPr="00A54DCE">
        <w:rPr>
          <w:rFonts w:ascii="Arial" w:hAnsi="Arial" w:cs="Arial"/>
          <w:sz w:val="28"/>
          <w:szCs w:val="28"/>
        </w:rPr>
        <w:lastRenderedPageBreak/>
        <w:t>Type 2 Diabetes Mellitus</w:t>
      </w:r>
      <w:r w:rsidR="00A54DCE" w:rsidRPr="00A54DCE">
        <w:rPr>
          <w:rFonts w:ascii="Arial" w:hAnsi="Arial" w:cs="Arial"/>
          <w:sz w:val="28"/>
          <w:szCs w:val="28"/>
        </w:rPr>
        <w:t xml:space="preserve">: </w:t>
      </w:r>
      <w:r w:rsidRPr="00A54DCE">
        <w:rPr>
          <w:rFonts w:ascii="Arial" w:hAnsi="Arial" w:cs="Arial"/>
          <w:sz w:val="28"/>
          <w:szCs w:val="28"/>
        </w:rPr>
        <w:t xml:space="preserve"> Understanding Blood Glucose Regulation and the Role of Lifestyle Management</w:t>
      </w:r>
    </w:p>
    <w:p w14:paraId="2CD932DB" w14:textId="77777777" w:rsidR="00D85F2A" w:rsidRPr="00A54DCE" w:rsidRDefault="00D85F2A" w:rsidP="00A54DCE">
      <w:pPr>
        <w:spacing w:line="360" w:lineRule="auto"/>
        <w:rPr>
          <w:rFonts w:ascii="Arial" w:hAnsi="Arial" w:cs="Arial"/>
        </w:rPr>
      </w:pPr>
    </w:p>
    <w:p w14:paraId="49131BE9" w14:textId="77777777" w:rsidR="00D85F2A" w:rsidRPr="00A54DCE" w:rsidRDefault="00D85F2A" w:rsidP="00A54DCE">
      <w:pPr>
        <w:spacing w:line="360" w:lineRule="auto"/>
        <w:rPr>
          <w:rFonts w:ascii="Arial" w:hAnsi="Arial" w:cs="Arial"/>
        </w:rPr>
      </w:pPr>
      <w:r w:rsidRPr="00A54DCE">
        <w:rPr>
          <w:rFonts w:ascii="Arial" w:hAnsi="Arial" w:cs="Arial"/>
        </w:rPr>
        <w:t>Introduction</w:t>
      </w:r>
    </w:p>
    <w:p w14:paraId="4C106F7E" w14:textId="2FD645D2" w:rsidR="00D85F2A" w:rsidRPr="00D85F2A" w:rsidRDefault="00D85F2A" w:rsidP="00A54DCE">
      <w:pPr>
        <w:spacing w:before="100" w:beforeAutospacing="1" w:after="100" w:afterAutospacing="1" w:line="360" w:lineRule="auto"/>
        <w:rPr>
          <w:rFonts w:ascii="Arial" w:eastAsia="Times New Roman" w:hAnsi="Arial" w:cs="Arial"/>
          <w:kern w:val="0"/>
          <w14:ligatures w14:val="none"/>
        </w:rPr>
      </w:pPr>
      <w:r w:rsidRPr="00D85F2A">
        <w:rPr>
          <w:rFonts w:ascii="Arial" w:eastAsia="Times New Roman" w:hAnsi="Arial" w:cs="Arial"/>
          <w:kern w:val="0"/>
          <w14:ligatures w14:val="none"/>
        </w:rPr>
        <w:t xml:space="preserve">Type 2 diabetes mellitus (T2DM) is a chronic metabolic disorder </w:t>
      </w:r>
      <w:proofErr w:type="spellStart"/>
      <w:r w:rsidRPr="00D85F2A">
        <w:rPr>
          <w:rFonts w:ascii="Arial" w:eastAsia="Times New Roman" w:hAnsi="Arial" w:cs="Arial"/>
          <w:kern w:val="0"/>
          <w14:ligatures w14:val="none"/>
        </w:rPr>
        <w:t>characterised</w:t>
      </w:r>
      <w:proofErr w:type="spellEnd"/>
      <w:r w:rsidRPr="00D85F2A">
        <w:rPr>
          <w:rFonts w:ascii="Arial" w:eastAsia="Times New Roman" w:hAnsi="Arial" w:cs="Arial"/>
          <w:kern w:val="0"/>
          <w14:ligatures w14:val="none"/>
        </w:rPr>
        <w:t xml:space="preserve"> by persistent </w:t>
      </w:r>
      <w:proofErr w:type="spellStart"/>
      <w:r w:rsidRPr="00D85F2A">
        <w:rPr>
          <w:rFonts w:ascii="Arial" w:eastAsia="Times New Roman" w:hAnsi="Arial" w:cs="Arial"/>
          <w:kern w:val="0"/>
          <w14:ligatures w14:val="none"/>
        </w:rPr>
        <w:t>hyperglycaemia</w:t>
      </w:r>
      <w:proofErr w:type="spellEnd"/>
      <w:r w:rsidRPr="00D85F2A">
        <w:rPr>
          <w:rFonts w:ascii="Arial" w:eastAsia="Times New Roman" w:hAnsi="Arial" w:cs="Arial"/>
          <w:kern w:val="0"/>
          <w14:ligatures w14:val="none"/>
        </w:rPr>
        <w:t xml:space="preserve"> resulting from insulin resistance and progressive dysfunction of pancreatic β-cells, leading to insufficient insulin production. Insulin is a hormone produced by the pancreas that enables glucose to enter body cells for energy production. When insulin does not function effectively or is produced in inadequate amounts, glucose accumulates in the bloodstream, increasing the risk of both acute and long-term complications. T2DM accounts for approximately 90–95% of all diabetes cases worldwide and represents a major public health challenge due to its increasing prevalence and associated healthcare burden (American Diabetes Association, 2025; World Health Organization, 2025).</w:t>
      </w:r>
      <w:r w:rsidR="00F26A88" w:rsidRPr="00A54DCE">
        <w:rPr>
          <w:rFonts w:ascii="Arial" w:eastAsia="Times New Roman" w:hAnsi="Arial" w:cs="Arial"/>
          <w:kern w:val="0"/>
          <w14:ligatures w14:val="none"/>
        </w:rPr>
        <w:br/>
      </w:r>
      <w:r w:rsidRPr="00D85F2A">
        <w:rPr>
          <w:rFonts w:ascii="Arial" w:eastAsia="Times New Roman" w:hAnsi="Arial" w:cs="Arial"/>
          <w:kern w:val="0"/>
          <w14:ligatures w14:val="none"/>
        </w:rPr>
        <w:t xml:space="preserve">The development of Type 2 diabetes is influenced by both modifiable and non-modifiable risk factors. Non-modifiable factors include advancing age, family history, </w:t>
      </w:r>
      <w:proofErr w:type="gramStart"/>
      <w:r w:rsidRPr="00D85F2A">
        <w:rPr>
          <w:rFonts w:ascii="Arial" w:eastAsia="Times New Roman" w:hAnsi="Arial" w:cs="Arial"/>
          <w:kern w:val="0"/>
          <w14:ligatures w14:val="none"/>
        </w:rPr>
        <w:t>ethnicity</w:t>
      </w:r>
      <w:proofErr w:type="gramEnd"/>
      <w:r w:rsidRPr="00D85F2A">
        <w:rPr>
          <w:rFonts w:ascii="Arial" w:eastAsia="Times New Roman" w:hAnsi="Arial" w:cs="Arial"/>
          <w:kern w:val="0"/>
          <w14:ligatures w14:val="none"/>
        </w:rPr>
        <w:t xml:space="preserve"> and genetic predisposition, while modifiable factors such as obesity, physical inactivity, unhealthy dietary habits, smoking and excessive alcohol consumption significantly increase the likelihood of developing the condition (NICE, 2022; World Health Organization, 2025). These factors contribute to reduced insulin sensitivity and impaired glucose metabolism.</w:t>
      </w:r>
      <w:r w:rsidR="00F26A88" w:rsidRPr="00A54DCE">
        <w:rPr>
          <w:rFonts w:ascii="Arial" w:eastAsia="Times New Roman" w:hAnsi="Arial" w:cs="Arial"/>
          <w:kern w:val="0"/>
          <w14:ligatures w14:val="none"/>
        </w:rPr>
        <w:br/>
      </w:r>
      <w:r w:rsidRPr="00D85F2A">
        <w:rPr>
          <w:rFonts w:ascii="Arial" w:eastAsia="Times New Roman" w:hAnsi="Arial" w:cs="Arial"/>
          <w:kern w:val="0"/>
          <w14:ligatures w14:val="none"/>
        </w:rPr>
        <w:t xml:space="preserve">Understanding how blood glucose is regulated and how lifestyle choices influence this process is essential for effective diabetes management. This report explains the physiological mechanisms involved in blood glucose regulation, demonstrates how oxygen and glucose produce energy through cellular metabolism, examines the importance of monitoring blood sugar levels and provides evidence-based lifestyle recommendations to improve </w:t>
      </w:r>
      <w:proofErr w:type="spellStart"/>
      <w:r w:rsidRPr="00D85F2A">
        <w:rPr>
          <w:rFonts w:ascii="Arial" w:eastAsia="Times New Roman" w:hAnsi="Arial" w:cs="Arial"/>
          <w:kern w:val="0"/>
          <w14:ligatures w14:val="none"/>
        </w:rPr>
        <w:t>glycaemic</w:t>
      </w:r>
      <w:proofErr w:type="spellEnd"/>
      <w:r w:rsidRPr="00D85F2A">
        <w:rPr>
          <w:rFonts w:ascii="Arial" w:eastAsia="Times New Roman" w:hAnsi="Arial" w:cs="Arial"/>
          <w:kern w:val="0"/>
          <w14:ligatures w14:val="none"/>
        </w:rPr>
        <w:t xml:space="preserve"> control and reduce the risk of complications.</w:t>
      </w:r>
    </w:p>
    <w:p w14:paraId="5EEE8B22" w14:textId="0EAB2D5C" w:rsidR="00D85F2A" w:rsidRPr="00A54DCE" w:rsidRDefault="00D85F2A" w:rsidP="00A54DCE">
      <w:pPr>
        <w:spacing w:before="100" w:beforeAutospacing="1" w:after="100" w:afterAutospacing="1" w:line="360" w:lineRule="auto"/>
        <w:rPr>
          <w:rFonts w:ascii="Arial" w:hAnsi="Arial" w:cs="Arial"/>
        </w:rPr>
      </w:pPr>
      <w:r w:rsidRPr="00A54DCE">
        <w:rPr>
          <w:rFonts w:ascii="Arial" w:hAnsi="Arial" w:cs="Arial"/>
        </w:rPr>
        <w:t>Blood Sugar Regulation and Homeostasis</w:t>
      </w:r>
    </w:p>
    <w:p w14:paraId="5570C807" w14:textId="701B02C1" w:rsidR="00F26A88" w:rsidRPr="00A54DCE" w:rsidRDefault="00F26A88" w:rsidP="00A54DCE">
      <w:pPr>
        <w:pStyle w:val="NormalWeb"/>
        <w:spacing w:line="360" w:lineRule="auto"/>
        <w:rPr>
          <w:rFonts w:ascii="Arial" w:hAnsi="Arial" w:cs="Arial"/>
          <w:sz w:val="22"/>
          <w:szCs w:val="22"/>
        </w:rPr>
      </w:pPr>
      <w:r w:rsidRPr="00A54DCE">
        <w:rPr>
          <w:rFonts w:ascii="Arial" w:hAnsi="Arial" w:cs="Arial"/>
          <w:sz w:val="22"/>
          <w:szCs w:val="22"/>
        </w:rPr>
        <w:t xml:space="preserve">Blood glucose homeostasis is the process by which the body maintains blood sugar within a narrow physiological range to provide cells with a continuous source of energy while preventing </w:t>
      </w:r>
      <w:proofErr w:type="spellStart"/>
      <w:r w:rsidRPr="00A54DCE">
        <w:rPr>
          <w:rFonts w:ascii="Arial" w:hAnsi="Arial" w:cs="Arial"/>
          <w:sz w:val="22"/>
          <w:szCs w:val="22"/>
        </w:rPr>
        <w:t>hyperglycaemia</w:t>
      </w:r>
      <w:proofErr w:type="spellEnd"/>
      <w:r w:rsidRPr="00A54DCE">
        <w:rPr>
          <w:rFonts w:ascii="Arial" w:hAnsi="Arial" w:cs="Arial"/>
          <w:sz w:val="22"/>
          <w:szCs w:val="22"/>
        </w:rPr>
        <w:t xml:space="preserve"> and </w:t>
      </w:r>
      <w:proofErr w:type="spellStart"/>
      <w:r w:rsidRPr="00A54DCE">
        <w:rPr>
          <w:rFonts w:ascii="Arial" w:hAnsi="Arial" w:cs="Arial"/>
          <w:sz w:val="22"/>
          <w:szCs w:val="22"/>
        </w:rPr>
        <w:t>hypoglycaemia</w:t>
      </w:r>
      <w:proofErr w:type="spellEnd"/>
      <w:r w:rsidRPr="00A54DCE">
        <w:rPr>
          <w:rFonts w:ascii="Arial" w:hAnsi="Arial" w:cs="Arial"/>
          <w:sz w:val="22"/>
          <w:szCs w:val="22"/>
        </w:rPr>
        <w:t xml:space="preserve">. This regulation is controlled primarily by the </w:t>
      </w:r>
      <w:proofErr w:type="gramStart"/>
      <w:r w:rsidRPr="00A54DCE">
        <w:rPr>
          <w:rFonts w:ascii="Arial" w:hAnsi="Arial" w:cs="Arial"/>
          <w:sz w:val="22"/>
          <w:szCs w:val="22"/>
        </w:rPr>
        <w:t>hormones</w:t>
      </w:r>
      <w:proofErr w:type="gramEnd"/>
      <w:r w:rsidRPr="00A54DCE">
        <w:rPr>
          <w:rFonts w:ascii="Arial" w:hAnsi="Arial" w:cs="Arial"/>
          <w:sz w:val="22"/>
          <w:szCs w:val="22"/>
        </w:rPr>
        <w:t xml:space="preserve"> insulin and glucagon, which are secreted by the pancreas and operate through a negative </w:t>
      </w:r>
      <w:r w:rsidRPr="00A54DCE">
        <w:rPr>
          <w:rFonts w:ascii="Arial" w:hAnsi="Arial" w:cs="Arial"/>
          <w:sz w:val="22"/>
          <w:szCs w:val="22"/>
        </w:rPr>
        <w:lastRenderedPageBreak/>
        <w:t>feedback mechanism (Hall and Hall, 202</w:t>
      </w:r>
      <w:r w:rsidR="004846AD" w:rsidRPr="00A54DCE">
        <w:rPr>
          <w:rFonts w:ascii="Arial" w:hAnsi="Arial" w:cs="Arial"/>
          <w:sz w:val="22"/>
          <w:szCs w:val="22"/>
        </w:rPr>
        <w:t>0</w:t>
      </w:r>
      <w:r w:rsidRPr="00A54DCE">
        <w:rPr>
          <w:rFonts w:ascii="Arial" w:hAnsi="Arial" w:cs="Arial"/>
          <w:sz w:val="22"/>
          <w:szCs w:val="22"/>
        </w:rPr>
        <w:t>). Maintaining stable blood glucose levels is essential because glucose is the body's primary source of energy, particularly for the brain, which relies almost exclusively on glucose to function normally. If blood glucose levels become too high or too low, normal cellular activities are disrupted and serious health consequences may occur.</w:t>
      </w:r>
      <w:r w:rsidRPr="00A54DCE">
        <w:rPr>
          <w:rFonts w:ascii="Arial" w:hAnsi="Arial" w:cs="Arial"/>
          <w:sz w:val="22"/>
          <w:szCs w:val="22"/>
        </w:rPr>
        <w:br/>
      </w:r>
      <w:r w:rsidRPr="00A54DCE">
        <w:rPr>
          <w:rFonts w:ascii="Arial" w:hAnsi="Arial" w:cs="Arial"/>
          <w:sz w:val="22"/>
          <w:szCs w:val="22"/>
        </w:rPr>
        <w:t xml:space="preserve">Following the consumption of carbohydrates, digestive enzymes break them down into glucose, which is absorbed through the walls of the small intestine into the bloodstream. As blood glucose levels rise after a meal, β-cells located in the islets of Langerhans in the pancreas detect this increase and release insulin into the circulation. Insulin acts as a key that enables glucose to enter muscle, </w:t>
      </w:r>
      <w:proofErr w:type="gramStart"/>
      <w:r w:rsidRPr="00A54DCE">
        <w:rPr>
          <w:rFonts w:ascii="Arial" w:hAnsi="Arial" w:cs="Arial"/>
          <w:sz w:val="22"/>
          <w:szCs w:val="22"/>
        </w:rPr>
        <w:t>liver</w:t>
      </w:r>
      <w:proofErr w:type="gramEnd"/>
      <w:r w:rsidRPr="00A54DCE">
        <w:rPr>
          <w:rFonts w:ascii="Arial" w:hAnsi="Arial" w:cs="Arial"/>
          <w:sz w:val="22"/>
          <w:szCs w:val="22"/>
        </w:rPr>
        <w:t xml:space="preserve"> and adipose cells, where it can be used immediately for energy production or stored for future use. It also stimulates the liver and skeletal muscles to convert excess glucose into glycogen through a process known as glycogenesis, preventing blood glucose concentrations from rising to harmful levels (Tortora and Derrickson, 20</w:t>
      </w:r>
      <w:r w:rsidR="004846AD" w:rsidRPr="00A54DCE">
        <w:rPr>
          <w:rFonts w:ascii="Arial" w:hAnsi="Arial" w:cs="Arial"/>
          <w:sz w:val="22"/>
          <w:szCs w:val="22"/>
        </w:rPr>
        <w:t>18</w:t>
      </w:r>
      <w:r w:rsidRPr="00A54DCE">
        <w:rPr>
          <w:rFonts w:ascii="Arial" w:hAnsi="Arial" w:cs="Arial"/>
          <w:sz w:val="22"/>
          <w:szCs w:val="22"/>
        </w:rPr>
        <w:t>). This coordinated response ensures that cells receive adequate fuel while maintaining blood sugar within a healthy range.</w:t>
      </w:r>
      <w:r w:rsidR="00A54DCE">
        <w:rPr>
          <w:rFonts w:ascii="Arial" w:hAnsi="Arial" w:cs="Arial"/>
          <w:sz w:val="22"/>
          <w:szCs w:val="22"/>
        </w:rPr>
        <w:br/>
      </w:r>
      <w:r w:rsidRPr="00A54DCE">
        <w:rPr>
          <w:rFonts w:ascii="Arial" w:hAnsi="Arial" w:cs="Arial"/>
          <w:sz w:val="22"/>
          <w:szCs w:val="22"/>
        </w:rPr>
        <w:t>When blood glucose falls during fasting, prolonged exercise or between meals, α-cells of the pancreas release glucagon to counteract the effects of insulin. Glucagon stimulates the liver to break down stored glycogen into glucose through glycogenolysis and to produce new glucose from non-carbohydrate sources such as amino acids and glycerol through gluconeogenesis (Silverthorn, 201</w:t>
      </w:r>
      <w:r w:rsidR="004846AD" w:rsidRPr="00A54DCE">
        <w:rPr>
          <w:rFonts w:ascii="Arial" w:hAnsi="Arial" w:cs="Arial"/>
          <w:sz w:val="22"/>
          <w:szCs w:val="22"/>
        </w:rPr>
        <w:t>0</w:t>
      </w:r>
      <w:r w:rsidRPr="00A54DCE">
        <w:rPr>
          <w:rFonts w:ascii="Arial" w:hAnsi="Arial" w:cs="Arial"/>
          <w:sz w:val="22"/>
          <w:szCs w:val="22"/>
        </w:rPr>
        <w:t>). The glucose released into the bloodstream restores normal blood sugar concentrations and provides a continuous energy supply to vital organs, particularly the brain and nervous system. The liver therefore functions as an important glucose reservoir, storing excess glucose after meals and releasing it whenever the body requires additional energy.</w:t>
      </w:r>
      <w:r w:rsidRPr="00A54DCE">
        <w:rPr>
          <w:rFonts w:ascii="Arial" w:hAnsi="Arial" w:cs="Arial"/>
          <w:sz w:val="22"/>
          <w:szCs w:val="22"/>
        </w:rPr>
        <w:t xml:space="preserve"> </w:t>
      </w:r>
      <w:r w:rsidRPr="00A54DCE">
        <w:rPr>
          <w:rFonts w:ascii="Arial" w:hAnsi="Arial" w:cs="Arial"/>
          <w:sz w:val="22"/>
          <w:szCs w:val="22"/>
        </w:rPr>
        <w:t>The interaction between insulin and glucagon demonstrates the body's negative feedback system, whereby hormone secretion changes according to blood glucose levels to maintain internal balance. When glucose levels increase, insulin secretion rises and glucagon production decreases. Conversely, when glucose levels fall, insulin secretion is reduced while glucagon release increases. This finely regulated mechanism allows the body to adapt to changing energy demands throughout the day while preserving metabolic stability (Hall and Hall, 202</w:t>
      </w:r>
      <w:r w:rsidR="004846AD" w:rsidRPr="00A54DCE">
        <w:rPr>
          <w:rFonts w:ascii="Arial" w:hAnsi="Arial" w:cs="Arial"/>
          <w:sz w:val="22"/>
          <w:szCs w:val="22"/>
        </w:rPr>
        <w:t>0</w:t>
      </w:r>
      <w:r w:rsidRPr="00A54DCE">
        <w:rPr>
          <w:rFonts w:ascii="Arial" w:hAnsi="Arial" w:cs="Arial"/>
          <w:sz w:val="22"/>
          <w:szCs w:val="22"/>
        </w:rPr>
        <w:t>).</w:t>
      </w:r>
    </w:p>
    <w:p w14:paraId="116CCCAC" w14:textId="504AFAE7" w:rsidR="00F26A88" w:rsidRPr="00A54DCE" w:rsidRDefault="00F26A88" w:rsidP="00A54DCE">
      <w:pPr>
        <w:pStyle w:val="NormalWeb"/>
        <w:spacing w:line="360" w:lineRule="auto"/>
        <w:rPr>
          <w:rFonts w:ascii="Arial" w:hAnsi="Arial" w:cs="Arial"/>
          <w:sz w:val="22"/>
          <w:szCs w:val="22"/>
        </w:rPr>
      </w:pPr>
      <w:r w:rsidRPr="00A54DCE">
        <w:rPr>
          <w:rFonts w:ascii="Arial" w:hAnsi="Arial" w:cs="Arial"/>
          <w:sz w:val="22"/>
          <w:szCs w:val="22"/>
        </w:rPr>
        <w:t xml:space="preserve">In individuals with Type 2 diabetes, this homeostatic process becomes disrupted because body tissues become resistant to the effects of insulin and the pancreas is gradually unable to produce </w:t>
      </w:r>
      <w:proofErr w:type="gramStart"/>
      <w:r w:rsidRPr="00A54DCE">
        <w:rPr>
          <w:rFonts w:ascii="Arial" w:hAnsi="Arial" w:cs="Arial"/>
          <w:sz w:val="22"/>
          <w:szCs w:val="22"/>
        </w:rPr>
        <w:t>sufficient amounts</w:t>
      </w:r>
      <w:proofErr w:type="gramEnd"/>
      <w:r w:rsidRPr="00A54DCE">
        <w:rPr>
          <w:rFonts w:ascii="Arial" w:hAnsi="Arial" w:cs="Arial"/>
          <w:sz w:val="22"/>
          <w:szCs w:val="22"/>
        </w:rPr>
        <w:t xml:space="preserve"> of the hormone. As a result, glucose remains in the bloodstream rather than entering cells efficiently, leading to persistent </w:t>
      </w:r>
      <w:proofErr w:type="spellStart"/>
      <w:r w:rsidRPr="00A54DCE">
        <w:rPr>
          <w:rFonts w:ascii="Arial" w:hAnsi="Arial" w:cs="Arial"/>
          <w:sz w:val="22"/>
          <w:szCs w:val="22"/>
        </w:rPr>
        <w:t>hyperglycaemia</w:t>
      </w:r>
      <w:proofErr w:type="spellEnd"/>
      <w:r w:rsidRPr="00A54DCE">
        <w:rPr>
          <w:rFonts w:ascii="Arial" w:hAnsi="Arial" w:cs="Arial"/>
          <w:sz w:val="22"/>
          <w:szCs w:val="22"/>
        </w:rPr>
        <w:t xml:space="preserve">. Despite the abundance of glucose in circulation, cells may effectively be deprived of usable energy because </w:t>
      </w:r>
      <w:r w:rsidRPr="00A54DCE">
        <w:rPr>
          <w:rFonts w:ascii="Arial" w:hAnsi="Arial" w:cs="Arial"/>
          <w:sz w:val="22"/>
          <w:szCs w:val="22"/>
        </w:rPr>
        <w:lastRenderedPageBreak/>
        <w:t xml:space="preserve">they cannot access it adequately. Over time, prolonged </w:t>
      </w:r>
      <w:proofErr w:type="spellStart"/>
      <w:r w:rsidRPr="00A54DCE">
        <w:rPr>
          <w:rFonts w:ascii="Arial" w:hAnsi="Arial" w:cs="Arial"/>
          <w:sz w:val="22"/>
          <w:szCs w:val="22"/>
        </w:rPr>
        <w:t>hyperglycaemia</w:t>
      </w:r>
      <w:proofErr w:type="spellEnd"/>
      <w:r w:rsidRPr="00A54DCE">
        <w:rPr>
          <w:rFonts w:ascii="Arial" w:hAnsi="Arial" w:cs="Arial"/>
          <w:sz w:val="22"/>
          <w:szCs w:val="22"/>
        </w:rPr>
        <w:t xml:space="preserve"> damages blood vessels and nerves, increasing the risk of complications such as cardiovascular disease, kidney damage, diabetic </w:t>
      </w:r>
      <w:proofErr w:type="gramStart"/>
      <w:r w:rsidRPr="00A54DCE">
        <w:rPr>
          <w:rFonts w:ascii="Arial" w:hAnsi="Arial" w:cs="Arial"/>
          <w:sz w:val="22"/>
          <w:szCs w:val="22"/>
        </w:rPr>
        <w:t>retinopathy</w:t>
      </w:r>
      <w:proofErr w:type="gramEnd"/>
      <w:r w:rsidRPr="00A54DCE">
        <w:rPr>
          <w:rFonts w:ascii="Arial" w:hAnsi="Arial" w:cs="Arial"/>
          <w:sz w:val="22"/>
          <w:szCs w:val="22"/>
        </w:rPr>
        <w:t xml:space="preserve"> and peripheral neuropathy. These complications can significantly reduce quality of life and increase healthcare needs if blood glucose is not effectively managed (American Diabetes Association, 2025; NICE, 2022).</w:t>
      </w:r>
      <w:r w:rsidRPr="00A54DCE">
        <w:rPr>
          <w:rFonts w:ascii="Arial" w:hAnsi="Arial" w:cs="Arial"/>
          <w:sz w:val="22"/>
          <w:szCs w:val="22"/>
        </w:rPr>
        <w:br/>
      </w:r>
      <w:r w:rsidRPr="00A54DCE">
        <w:rPr>
          <w:rFonts w:ascii="Arial" w:hAnsi="Arial" w:cs="Arial"/>
          <w:sz w:val="22"/>
          <w:szCs w:val="22"/>
        </w:rPr>
        <w:t xml:space="preserve">Therefore, maintaining blood glucose homeostasis is fundamental to overall health and well-being. Understanding the roles of insulin, glucagon and the liver in regulating blood sugar highlights why regular monitoring, appropriate medication and healthy lifestyle </w:t>
      </w:r>
      <w:proofErr w:type="spellStart"/>
      <w:r w:rsidRPr="00A54DCE">
        <w:rPr>
          <w:rFonts w:ascii="Arial" w:hAnsi="Arial" w:cs="Arial"/>
          <w:sz w:val="22"/>
          <w:szCs w:val="22"/>
        </w:rPr>
        <w:t>behaviours</w:t>
      </w:r>
      <w:proofErr w:type="spellEnd"/>
      <w:r w:rsidRPr="00A54DCE">
        <w:rPr>
          <w:rFonts w:ascii="Arial" w:hAnsi="Arial" w:cs="Arial"/>
          <w:sz w:val="22"/>
          <w:szCs w:val="22"/>
        </w:rPr>
        <w:t xml:space="preserve"> are essential components of effective Type 2 diabetes management.</w:t>
      </w:r>
    </w:p>
    <w:p w14:paraId="5A76D436" w14:textId="6731839E" w:rsidR="00D85F2A" w:rsidRPr="00D85F2A" w:rsidRDefault="00F26A88" w:rsidP="00A54DCE">
      <w:pPr>
        <w:spacing w:after="0" w:line="360" w:lineRule="auto"/>
        <w:rPr>
          <w:rFonts w:ascii="Arial" w:eastAsia="Times New Roman" w:hAnsi="Arial" w:cs="Arial"/>
          <w:kern w:val="0"/>
          <w:sz w:val="28"/>
          <w:szCs w:val="28"/>
          <w14:ligatures w14:val="none"/>
        </w:rPr>
      </w:pPr>
      <w:r w:rsidRPr="00A54DCE">
        <w:rPr>
          <w:rFonts w:ascii="Arial" w:hAnsi="Arial" w:cs="Arial"/>
        </w:rPr>
        <w:br/>
      </w:r>
      <w:r w:rsidR="00AC6729" w:rsidRPr="00A54DCE">
        <w:rPr>
          <w:rFonts w:ascii="Arial" w:hAnsi="Arial" w:cs="Arial"/>
          <w:sz w:val="28"/>
          <w:szCs w:val="28"/>
        </w:rPr>
        <w:t>The Role of Oxygen and Glucose in Cellular Energy Production</w:t>
      </w:r>
    </w:p>
    <w:p w14:paraId="3125B609" w14:textId="25B50F5F" w:rsidR="00AC6729" w:rsidRPr="00A54DCE" w:rsidRDefault="00AC6729" w:rsidP="00A54DCE">
      <w:pPr>
        <w:pStyle w:val="NormalWeb"/>
        <w:spacing w:line="360" w:lineRule="auto"/>
        <w:rPr>
          <w:rFonts w:ascii="Arial" w:hAnsi="Arial" w:cs="Arial"/>
          <w:sz w:val="22"/>
          <w:szCs w:val="22"/>
        </w:rPr>
      </w:pPr>
      <w:r w:rsidRPr="00A54DCE">
        <w:rPr>
          <w:rFonts w:ascii="Arial" w:hAnsi="Arial" w:cs="Arial"/>
          <w:sz w:val="22"/>
          <w:szCs w:val="22"/>
        </w:rPr>
        <w:t>Cells require energy to carry out essential functions such as muscle contraction, nerve transmission, protein synthesis and the maintenance of normal body processes. This energy is produced in the form of adenosine triphosphate (ATP) through cellular respiration, which uses glucose and oxygen as its primary substrates (Hall and Hall, 202</w:t>
      </w:r>
      <w:r w:rsidR="004846AD" w:rsidRPr="00A54DCE">
        <w:rPr>
          <w:rFonts w:ascii="Arial" w:hAnsi="Arial" w:cs="Arial"/>
          <w:sz w:val="22"/>
          <w:szCs w:val="22"/>
        </w:rPr>
        <w:t>0</w:t>
      </w:r>
      <w:r w:rsidRPr="00A54DCE">
        <w:rPr>
          <w:rFonts w:ascii="Arial" w:hAnsi="Arial" w:cs="Arial"/>
          <w:sz w:val="22"/>
          <w:szCs w:val="22"/>
        </w:rPr>
        <w:t xml:space="preserve">). ATP acts as the body's main energy currency, providing the power needed for cells to perform their </w:t>
      </w:r>
      <w:proofErr w:type="spellStart"/>
      <w:r w:rsidRPr="00A54DCE">
        <w:rPr>
          <w:rFonts w:ascii="Arial" w:hAnsi="Arial" w:cs="Arial"/>
          <w:sz w:val="22"/>
          <w:szCs w:val="22"/>
        </w:rPr>
        <w:t>specialised</w:t>
      </w:r>
      <w:proofErr w:type="spellEnd"/>
      <w:r w:rsidRPr="00A54DCE">
        <w:rPr>
          <w:rFonts w:ascii="Arial" w:hAnsi="Arial" w:cs="Arial"/>
          <w:sz w:val="22"/>
          <w:szCs w:val="22"/>
        </w:rPr>
        <w:t xml:space="preserve"> functions and maintain homeostasis. Without a continuous supply of ATP, cells would be unable to function effectively, leading to impaired organ performance and ultimately threatening survival.</w:t>
      </w:r>
      <w:r w:rsidR="00A54DCE">
        <w:rPr>
          <w:rFonts w:ascii="Arial" w:hAnsi="Arial" w:cs="Arial"/>
          <w:sz w:val="22"/>
          <w:szCs w:val="22"/>
        </w:rPr>
        <w:br/>
      </w:r>
      <w:r w:rsidRPr="00A54DCE">
        <w:rPr>
          <w:rFonts w:ascii="Arial" w:hAnsi="Arial" w:cs="Arial"/>
          <w:sz w:val="22"/>
          <w:szCs w:val="22"/>
        </w:rPr>
        <w:t>Once glucose enters cells with the help of insulin, it undergoes glycolysis in the cytoplasm, where it is broken down into pyruvate and produces a small amount of ATP. Glycolysis represents the first stage of cellular respiration and provides the foundation for further energy production. In the presence of oxygen, pyruvate is transported into the mitochondria, often referred to as the "powerhouse" of the cell, where it participates in the citric acid (Krebs) cycle and the electron transport chain. During these processes, oxygen acts as the final electron acceptor in oxidative phosphorylation, enabling the efficient production of large amounts of ATP while generating carbon dioxide and water as metabolic waste products (Silverthorn, 201</w:t>
      </w:r>
      <w:r w:rsidR="004846AD" w:rsidRPr="00A54DCE">
        <w:rPr>
          <w:rFonts w:ascii="Arial" w:hAnsi="Arial" w:cs="Arial"/>
          <w:sz w:val="22"/>
          <w:szCs w:val="22"/>
        </w:rPr>
        <w:t>0</w:t>
      </w:r>
      <w:r w:rsidRPr="00A54DCE">
        <w:rPr>
          <w:rFonts w:ascii="Arial" w:hAnsi="Arial" w:cs="Arial"/>
          <w:sz w:val="22"/>
          <w:szCs w:val="22"/>
        </w:rPr>
        <w:t>; Tortora and Derrickson, 20</w:t>
      </w:r>
      <w:r w:rsidR="004846AD" w:rsidRPr="00A54DCE">
        <w:rPr>
          <w:rFonts w:ascii="Arial" w:hAnsi="Arial" w:cs="Arial"/>
          <w:sz w:val="22"/>
          <w:szCs w:val="22"/>
        </w:rPr>
        <w:t>18</w:t>
      </w:r>
      <w:r w:rsidRPr="00A54DCE">
        <w:rPr>
          <w:rFonts w:ascii="Arial" w:hAnsi="Arial" w:cs="Arial"/>
          <w:sz w:val="22"/>
          <w:szCs w:val="22"/>
        </w:rPr>
        <w:t xml:space="preserve">). The carbon dioxide produced is transported to the lungs and removed from the body through exhalation, while water is either </w:t>
      </w:r>
      <w:proofErr w:type="spellStart"/>
      <w:r w:rsidRPr="00A54DCE">
        <w:rPr>
          <w:rFonts w:ascii="Arial" w:hAnsi="Arial" w:cs="Arial"/>
          <w:sz w:val="22"/>
          <w:szCs w:val="22"/>
        </w:rPr>
        <w:t>utilised</w:t>
      </w:r>
      <w:proofErr w:type="spellEnd"/>
      <w:r w:rsidRPr="00A54DCE">
        <w:rPr>
          <w:rFonts w:ascii="Arial" w:hAnsi="Arial" w:cs="Arial"/>
          <w:sz w:val="22"/>
          <w:szCs w:val="22"/>
        </w:rPr>
        <w:t xml:space="preserve"> by the body or excreted.</w:t>
      </w:r>
    </w:p>
    <w:p w14:paraId="4F19312F" w14:textId="24B9F261" w:rsidR="00AC6729" w:rsidRPr="00A54DCE" w:rsidRDefault="00AC6729" w:rsidP="00A54DCE">
      <w:pPr>
        <w:pStyle w:val="NormalWeb"/>
        <w:spacing w:line="360" w:lineRule="auto"/>
        <w:rPr>
          <w:rFonts w:ascii="Arial" w:hAnsi="Arial" w:cs="Arial"/>
          <w:sz w:val="22"/>
          <w:szCs w:val="22"/>
        </w:rPr>
      </w:pPr>
      <w:r w:rsidRPr="00A54DCE">
        <w:rPr>
          <w:rFonts w:ascii="Arial" w:hAnsi="Arial" w:cs="Arial"/>
          <w:sz w:val="22"/>
          <w:szCs w:val="22"/>
        </w:rPr>
        <w:t xml:space="preserve">Aerobic respiration is highly efficient because it produces significantly more ATP than anaerobic metabolism, allowing cells to meet the body's constant energy demands. Organs such as the brain, heart and skeletal muscles rely heavily on this process to sustain normal function. </w:t>
      </w:r>
      <w:r w:rsidRPr="00A54DCE">
        <w:rPr>
          <w:rFonts w:ascii="Arial" w:hAnsi="Arial" w:cs="Arial"/>
          <w:sz w:val="22"/>
          <w:szCs w:val="22"/>
        </w:rPr>
        <w:lastRenderedPageBreak/>
        <w:t>However, when oxygen availability is insufficient, cells switch to anaerobic metabolism, which generates considerably less ATP and results in the accumulation of lactate. This alternative pathway can only provide energy for short periods and is less efficient, often leading to muscle fatigue and reduced physical performance if prolonged (OpenStax, 2022).</w:t>
      </w:r>
      <w:r w:rsidR="00A54DCE">
        <w:rPr>
          <w:rFonts w:ascii="Arial" w:hAnsi="Arial" w:cs="Arial"/>
          <w:sz w:val="22"/>
          <w:szCs w:val="22"/>
        </w:rPr>
        <w:br/>
      </w:r>
      <w:r w:rsidRPr="00A54DCE">
        <w:rPr>
          <w:rFonts w:ascii="Arial" w:hAnsi="Arial" w:cs="Arial"/>
          <w:sz w:val="22"/>
          <w:szCs w:val="22"/>
        </w:rPr>
        <w:t xml:space="preserve">In people with Type 2 diabetes, insulin resistance limits the ability of glucose to enter cells effectively, reducing its availability for ATP production despite elevated blood glucose levels. As a result, glucose remains in the bloodstream rather than being </w:t>
      </w:r>
      <w:proofErr w:type="spellStart"/>
      <w:r w:rsidRPr="00A54DCE">
        <w:rPr>
          <w:rFonts w:ascii="Arial" w:hAnsi="Arial" w:cs="Arial"/>
          <w:sz w:val="22"/>
          <w:szCs w:val="22"/>
        </w:rPr>
        <w:t>utilised</w:t>
      </w:r>
      <w:proofErr w:type="spellEnd"/>
      <w:r w:rsidRPr="00A54DCE">
        <w:rPr>
          <w:rFonts w:ascii="Arial" w:hAnsi="Arial" w:cs="Arial"/>
          <w:sz w:val="22"/>
          <w:szCs w:val="22"/>
        </w:rPr>
        <w:t xml:space="preserve"> by tissues that require energy. This impaired energy metabolism contributes to symptoms such as fatigue, </w:t>
      </w:r>
      <w:proofErr w:type="gramStart"/>
      <w:r w:rsidRPr="00A54DCE">
        <w:rPr>
          <w:rFonts w:ascii="Arial" w:hAnsi="Arial" w:cs="Arial"/>
          <w:sz w:val="22"/>
          <w:szCs w:val="22"/>
        </w:rPr>
        <w:t>weakness</w:t>
      </w:r>
      <w:proofErr w:type="gramEnd"/>
      <w:r w:rsidRPr="00A54DCE">
        <w:rPr>
          <w:rFonts w:ascii="Arial" w:hAnsi="Arial" w:cs="Arial"/>
          <w:sz w:val="22"/>
          <w:szCs w:val="22"/>
        </w:rPr>
        <w:t xml:space="preserve"> and reduced exercise tolerance, which are commonly experienced by individuals with poorly controlled diabetes. Furthermore, prolonged </w:t>
      </w:r>
      <w:proofErr w:type="spellStart"/>
      <w:r w:rsidRPr="00A54DCE">
        <w:rPr>
          <w:rFonts w:ascii="Arial" w:hAnsi="Arial" w:cs="Arial"/>
          <w:sz w:val="22"/>
          <w:szCs w:val="22"/>
        </w:rPr>
        <w:t>hyperglycaemia</w:t>
      </w:r>
      <w:proofErr w:type="spellEnd"/>
      <w:r w:rsidRPr="00A54DCE">
        <w:rPr>
          <w:rFonts w:ascii="Arial" w:hAnsi="Arial" w:cs="Arial"/>
          <w:sz w:val="22"/>
          <w:szCs w:val="22"/>
        </w:rPr>
        <w:t xml:space="preserve"> promotes oxidative stress and tissue damage, increasing the risk of complications affecting the kidneys, eyes, </w:t>
      </w:r>
      <w:proofErr w:type="gramStart"/>
      <w:r w:rsidRPr="00A54DCE">
        <w:rPr>
          <w:rFonts w:ascii="Arial" w:hAnsi="Arial" w:cs="Arial"/>
          <w:sz w:val="22"/>
          <w:szCs w:val="22"/>
        </w:rPr>
        <w:t>nerves</w:t>
      </w:r>
      <w:proofErr w:type="gramEnd"/>
      <w:r w:rsidRPr="00A54DCE">
        <w:rPr>
          <w:rFonts w:ascii="Arial" w:hAnsi="Arial" w:cs="Arial"/>
          <w:sz w:val="22"/>
          <w:szCs w:val="22"/>
        </w:rPr>
        <w:t xml:space="preserve"> and cardiovascular system (American Diabetes Association, 2025).</w:t>
      </w:r>
      <w:r w:rsidR="00063B09" w:rsidRPr="00A54DCE">
        <w:rPr>
          <w:rFonts w:ascii="Arial" w:hAnsi="Arial" w:cs="Arial"/>
          <w:sz w:val="22"/>
          <w:szCs w:val="22"/>
        </w:rPr>
        <w:br/>
      </w:r>
      <w:r w:rsidRPr="00A54DCE">
        <w:rPr>
          <w:rFonts w:ascii="Arial" w:hAnsi="Arial" w:cs="Arial"/>
          <w:sz w:val="22"/>
          <w:szCs w:val="22"/>
        </w:rPr>
        <w:t>Maintaining effective blood glucose control is therefore essential for ensuring that glucose can enter cells and be combined with oxygen during aerobic respiration to produce adequate amounts of ATP. This not only supports normal cellular function but also helps reduce the metabolic disturbances associated with Type 2 diabetes and improves overall health and quality of life.</w:t>
      </w:r>
    </w:p>
    <w:p w14:paraId="7882623A" w14:textId="59711DFD" w:rsidR="00D85F2A" w:rsidRPr="00D85F2A" w:rsidRDefault="00D85F2A" w:rsidP="00A54DCE">
      <w:pPr>
        <w:spacing w:after="0" w:line="360" w:lineRule="auto"/>
        <w:rPr>
          <w:rFonts w:ascii="Arial" w:eastAsia="Times New Roman" w:hAnsi="Arial" w:cs="Arial"/>
          <w:kern w:val="0"/>
          <w14:ligatures w14:val="none"/>
        </w:rPr>
      </w:pPr>
    </w:p>
    <w:p w14:paraId="121142CF" w14:textId="77777777" w:rsidR="00AC6729" w:rsidRPr="00A54DCE" w:rsidRDefault="00AC6729" w:rsidP="00A54DCE">
      <w:pPr>
        <w:spacing w:line="360" w:lineRule="auto"/>
        <w:rPr>
          <w:rFonts w:ascii="Arial" w:hAnsi="Arial" w:cs="Arial"/>
          <w:sz w:val="28"/>
          <w:szCs w:val="28"/>
        </w:rPr>
      </w:pPr>
      <w:r w:rsidRPr="00A54DCE">
        <w:rPr>
          <w:rFonts w:ascii="Arial" w:hAnsi="Arial" w:cs="Arial"/>
          <w:sz w:val="28"/>
          <w:szCs w:val="28"/>
        </w:rPr>
        <w:t>The Importance of Monitoring Blood Glucose Levels</w:t>
      </w:r>
    </w:p>
    <w:p w14:paraId="661AB8BC" w14:textId="2FE7EF3E" w:rsidR="00D85F2A" w:rsidRPr="00D85F2A" w:rsidRDefault="00D85F2A" w:rsidP="00A54DCE">
      <w:pPr>
        <w:spacing w:before="100" w:beforeAutospacing="1" w:after="100" w:afterAutospacing="1" w:line="360" w:lineRule="auto"/>
        <w:rPr>
          <w:rFonts w:ascii="Arial" w:eastAsia="Times New Roman" w:hAnsi="Arial" w:cs="Arial"/>
          <w:kern w:val="0"/>
          <w14:ligatures w14:val="none"/>
        </w:rPr>
      </w:pPr>
      <w:r w:rsidRPr="00D85F2A">
        <w:rPr>
          <w:rFonts w:ascii="Arial" w:eastAsia="Times New Roman" w:hAnsi="Arial" w:cs="Arial"/>
          <w:kern w:val="0"/>
          <w14:ligatures w14:val="none"/>
        </w:rPr>
        <w:t xml:space="preserve">Regular monitoring and recording of blood glucose levels is a fundamental component of Type 2 diabetes management because it enables individuals and healthcare professionals to assess how effectively blood sugar is being controlled over time. Self-monitoring of blood glucose (SMBG) provides immediate information about current glucose levels, while glycated </w:t>
      </w:r>
      <w:proofErr w:type="spellStart"/>
      <w:r w:rsidRPr="00D85F2A">
        <w:rPr>
          <w:rFonts w:ascii="Arial" w:eastAsia="Times New Roman" w:hAnsi="Arial" w:cs="Arial"/>
          <w:kern w:val="0"/>
          <w14:ligatures w14:val="none"/>
        </w:rPr>
        <w:t>haemoglobin</w:t>
      </w:r>
      <w:proofErr w:type="spellEnd"/>
      <w:r w:rsidRPr="00D85F2A">
        <w:rPr>
          <w:rFonts w:ascii="Arial" w:eastAsia="Times New Roman" w:hAnsi="Arial" w:cs="Arial"/>
          <w:kern w:val="0"/>
          <w14:ligatures w14:val="none"/>
        </w:rPr>
        <w:t xml:space="preserve"> (HbA1c) testing offers an indication of average blood glucose control over the previous two to three months (NICE, 2022; American Diabetes Association, 2025).</w:t>
      </w:r>
      <w:r w:rsidR="00A54DCE">
        <w:rPr>
          <w:rFonts w:ascii="Arial" w:eastAsia="Times New Roman" w:hAnsi="Arial" w:cs="Arial"/>
          <w:kern w:val="0"/>
          <w14:ligatures w14:val="none"/>
        </w:rPr>
        <w:br/>
      </w:r>
      <w:r w:rsidRPr="00D85F2A">
        <w:rPr>
          <w:rFonts w:ascii="Arial" w:eastAsia="Times New Roman" w:hAnsi="Arial" w:cs="Arial"/>
          <w:kern w:val="0"/>
          <w14:ligatures w14:val="none"/>
        </w:rPr>
        <w:t xml:space="preserve">Tracking blood sugar readings allows individuals to identify patterns and understand how factors such as meals, physical activity, medication adherence, </w:t>
      </w:r>
      <w:proofErr w:type="gramStart"/>
      <w:r w:rsidRPr="00D85F2A">
        <w:rPr>
          <w:rFonts w:ascii="Arial" w:eastAsia="Times New Roman" w:hAnsi="Arial" w:cs="Arial"/>
          <w:kern w:val="0"/>
          <w14:ligatures w14:val="none"/>
        </w:rPr>
        <w:t>illness</w:t>
      </w:r>
      <w:proofErr w:type="gramEnd"/>
      <w:r w:rsidRPr="00D85F2A">
        <w:rPr>
          <w:rFonts w:ascii="Arial" w:eastAsia="Times New Roman" w:hAnsi="Arial" w:cs="Arial"/>
          <w:kern w:val="0"/>
          <w14:ligatures w14:val="none"/>
        </w:rPr>
        <w:t xml:space="preserve"> and stress influence glucose concentrations. This information can be used to make informed decisions about diet, </w:t>
      </w:r>
      <w:proofErr w:type="gramStart"/>
      <w:r w:rsidRPr="00D85F2A">
        <w:rPr>
          <w:rFonts w:ascii="Arial" w:eastAsia="Times New Roman" w:hAnsi="Arial" w:cs="Arial"/>
          <w:kern w:val="0"/>
          <w14:ligatures w14:val="none"/>
        </w:rPr>
        <w:t>exercise</w:t>
      </w:r>
      <w:proofErr w:type="gramEnd"/>
      <w:r w:rsidRPr="00D85F2A">
        <w:rPr>
          <w:rFonts w:ascii="Arial" w:eastAsia="Times New Roman" w:hAnsi="Arial" w:cs="Arial"/>
          <w:kern w:val="0"/>
          <w14:ligatures w14:val="none"/>
        </w:rPr>
        <w:t xml:space="preserve"> and medication, reducing the likelihood of prolonged </w:t>
      </w:r>
      <w:proofErr w:type="spellStart"/>
      <w:r w:rsidRPr="00D85F2A">
        <w:rPr>
          <w:rFonts w:ascii="Arial" w:eastAsia="Times New Roman" w:hAnsi="Arial" w:cs="Arial"/>
          <w:kern w:val="0"/>
          <w14:ligatures w14:val="none"/>
        </w:rPr>
        <w:t>hyperglycaemia</w:t>
      </w:r>
      <w:proofErr w:type="spellEnd"/>
      <w:r w:rsidRPr="00D85F2A">
        <w:rPr>
          <w:rFonts w:ascii="Arial" w:eastAsia="Times New Roman" w:hAnsi="Arial" w:cs="Arial"/>
          <w:kern w:val="0"/>
          <w14:ligatures w14:val="none"/>
        </w:rPr>
        <w:t xml:space="preserve"> or episodes of </w:t>
      </w:r>
      <w:proofErr w:type="spellStart"/>
      <w:r w:rsidRPr="00D85F2A">
        <w:rPr>
          <w:rFonts w:ascii="Arial" w:eastAsia="Times New Roman" w:hAnsi="Arial" w:cs="Arial"/>
          <w:kern w:val="0"/>
          <w14:ligatures w14:val="none"/>
        </w:rPr>
        <w:t>hypoglycaemia</w:t>
      </w:r>
      <w:proofErr w:type="spellEnd"/>
      <w:r w:rsidRPr="00D85F2A">
        <w:rPr>
          <w:rFonts w:ascii="Arial" w:eastAsia="Times New Roman" w:hAnsi="Arial" w:cs="Arial"/>
          <w:kern w:val="0"/>
          <w14:ligatures w14:val="none"/>
        </w:rPr>
        <w:t>. Consistently elevated readings may indicate the need for dietary modifications or treatment adjustments, while low readings may suggest excessive medication or inadequate carbohydrate intake (Diabetes UK, 2024).</w:t>
      </w:r>
    </w:p>
    <w:p w14:paraId="2A2DE0FC" w14:textId="77777777" w:rsidR="00D85F2A" w:rsidRPr="00D85F2A" w:rsidRDefault="00D85F2A" w:rsidP="00A54DCE">
      <w:pPr>
        <w:spacing w:before="100" w:beforeAutospacing="1" w:after="100" w:afterAutospacing="1" w:line="360" w:lineRule="auto"/>
        <w:rPr>
          <w:rFonts w:ascii="Arial" w:eastAsia="Times New Roman" w:hAnsi="Arial" w:cs="Arial"/>
          <w:kern w:val="0"/>
          <w14:ligatures w14:val="none"/>
        </w:rPr>
      </w:pPr>
      <w:r w:rsidRPr="00D85F2A">
        <w:rPr>
          <w:rFonts w:ascii="Arial" w:eastAsia="Times New Roman" w:hAnsi="Arial" w:cs="Arial"/>
          <w:kern w:val="0"/>
          <w14:ligatures w14:val="none"/>
        </w:rPr>
        <w:lastRenderedPageBreak/>
        <w:t xml:space="preserve">Routine blood glucose records also enable healthcare professionals to evaluate disease progression and tailor interventions to individual needs. Early identification of poor </w:t>
      </w:r>
      <w:proofErr w:type="spellStart"/>
      <w:r w:rsidRPr="00D85F2A">
        <w:rPr>
          <w:rFonts w:ascii="Arial" w:eastAsia="Times New Roman" w:hAnsi="Arial" w:cs="Arial"/>
          <w:kern w:val="0"/>
          <w14:ligatures w14:val="none"/>
        </w:rPr>
        <w:t>glycaemic</w:t>
      </w:r>
      <w:proofErr w:type="spellEnd"/>
      <w:r w:rsidRPr="00D85F2A">
        <w:rPr>
          <w:rFonts w:ascii="Arial" w:eastAsia="Times New Roman" w:hAnsi="Arial" w:cs="Arial"/>
          <w:kern w:val="0"/>
          <w14:ligatures w14:val="none"/>
        </w:rPr>
        <w:t xml:space="preserve"> control allows timely action, reducing the risk of complications such as retinopathy, </w:t>
      </w:r>
      <w:proofErr w:type="gramStart"/>
      <w:r w:rsidRPr="00D85F2A">
        <w:rPr>
          <w:rFonts w:ascii="Arial" w:eastAsia="Times New Roman" w:hAnsi="Arial" w:cs="Arial"/>
          <w:kern w:val="0"/>
          <w14:ligatures w14:val="none"/>
        </w:rPr>
        <w:t>nephropathy</w:t>
      </w:r>
      <w:proofErr w:type="gramEnd"/>
      <w:r w:rsidRPr="00D85F2A">
        <w:rPr>
          <w:rFonts w:ascii="Arial" w:eastAsia="Times New Roman" w:hAnsi="Arial" w:cs="Arial"/>
          <w:kern w:val="0"/>
          <w14:ligatures w14:val="none"/>
        </w:rPr>
        <w:t xml:space="preserve"> and cardiovascular disease (World Health Organization, 2025). Furthermore, involving patients in monitoring their condition promotes self-management, improves adherence to treatment plans and encourages healthier lifestyle choices, ultimately supporting better long-term outcomes.</w:t>
      </w:r>
    </w:p>
    <w:p w14:paraId="3D1CF179" w14:textId="63985271" w:rsidR="00D85F2A" w:rsidRPr="00D85F2A" w:rsidRDefault="00D85F2A" w:rsidP="00A54DCE">
      <w:pPr>
        <w:spacing w:after="0" w:line="360" w:lineRule="auto"/>
        <w:rPr>
          <w:rFonts w:ascii="Arial" w:eastAsia="Times New Roman" w:hAnsi="Arial" w:cs="Arial"/>
          <w:kern w:val="0"/>
          <w14:ligatures w14:val="none"/>
        </w:rPr>
      </w:pPr>
    </w:p>
    <w:p w14:paraId="3939FF51" w14:textId="5B232FF6" w:rsidR="00AC6729" w:rsidRPr="00A54DCE" w:rsidRDefault="00AC6729" w:rsidP="00A54DCE">
      <w:pPr>
        <w:spacing w:before="100" w:beforeAutospacing="1" w:after="100" w:afterAutospacing="1" w:line="360" w:lineRule="auto"/>
        <w:rPr>
          <w:rFonts w:ascii="Arial" w:eastAsia="Times New Roman" w:hAnsi="Arial" w:cs="Arial"/>
          <w:kern w:val="0"/>
          <w:sz w:val="28"/>
          <w:szCs w:val="28"/>
          <w14:ligatures w14:val="none"/>
        </w:rPr>
      </w:pPr>
      <w:r w:rsidRPr="00A54DCE">
        <w:rPr>
          <w:rFonts w:ascii="Arial" w:hAnsi="Arial" w:cs="Arial"/>
          <w:sz w:val="28"/>
          <w:szCs w:val="28"/>
        </w:rPr>
        <w:t>Evidence-Based Lifestyle Recommendations for Type 2 Diabetes Management</w:t>
      </w:r>
    </w:p>
    <w:p w14:paraId="1DE6B64C" w14:textId="20017628" w:rsidR="00D85F2A" w:rsidRPr="00D85F2A" w:rsidRDefault="00D85F2A" w:rsidP="00A54DCE">
      <w:pPr>
        <w:spacing w:before="100" w:beforeAutospacing="1" w:after="100" w:afterAutospacing="1" w:line="360" w:lineRule="auto"/>
        <w:rPr>
          <w:rFonts w:ascii="Arial" w:eastAsia="Times New Roman" w:hAnsi="Arial" w:cs="Arial"/>
          <w:kern w:val="0"/>
          <w14:ligatures w14:val="none"/>
        </w:rPr>
      </w:pPr>
      <w:r w:rsidRPr="00D85F2A">
        <w:rPr>
          <w:rFonts w:ascii="Arial" w:eastAsia="Times New Roman" w:hAnsi="Arial" w:cs="Arial"/>
          <w:kern w:val="0"/>
          <w14:ligatures w14:val="none"/>
        </w:rPr>
        <w:t xml:space="preserve">Lifestyle modification is one of the most effective strategies for preventing and managing Type 2 diabetes, as it directly targets many of the modifiable risk factors associated with poor </w:t>
      </w:r>
      <w:proofErr w:type="spellStart"/>
      <w:r w:rsidRPr="00D85F2A">
        <w:rPr>
          <w:rFonts w:ascii="Arial" w:eastAsia="Times New Roman" w:hAnsi="Arial" w:cs="Arial"/>
          <w:kern w:val="0"/>
          <w14:ligatures w14:val="none"/>
        </w:rPr>
        <w:t>glycaemic</w:t>
      </w:r>
      <w:proofErr w:type="spellEnd"/>
      <w:r w:rsidRPr="00D85F2A">
        <w:rPr>
          <w:rFonts w:ascii="Arial" w:eastAsia="Times New Roman" w:hAnsi="Arial" w:cs="Arial"/>
          <w:kern w:val="0"/>
          <w14:ligatures w14:val="none"/>
        </w:rPr>
        <w:t xml:space="preserve"> control. Evidence indicates that adopting healthier </w:t>
      </w:r>
      <w:proofErr w:type="spellStart"/>
      <w:r w:rsidRPr="00D85F2A">
        <w:rPr>
          <w:rFonts w:ascii="Arial" w:eastAsia="Times New Roman" w:hAnsi="Arial" w:cs="Arial"/>
          <w:kern w:val="0"/>
          <w14:ligatures w14:val="none"/>
        </w:rPr>
        <w:t>behaviours</w:t>
      </w:r>
      <w:proofErr w:type="spellEnd"/>
      <w:r w:rsidRPr="00D85F2A">
        <w:rPr>
          <w:rFonts w:ascii="Arial" w:eastAsia="Times New Roman" w:hAnsi="Arial" w:cs="Arial"/>
          <w:kern w:val="0"/>
          <w14:ligatures w14:val="none"/>
        </w:rPr>
        <w:t xml:space="preserve"> can improve insulin sensitivity, reduce blood glucose </w:t>
      </w:r>
      <w:proofErr w:type="gramStart"/>
      <w:r w:rsidRPr="00D85F2A">
        <w:rPr>
          <w:rFonts w:ascii="Arial" w:eastAsia="Times New Roman" w:hAnsi="Arial" w:cs="Arial"/>
          <w:kern w:val="0"/>
          <w14:ligatures w14:val="none"/>
        </w:rPr>
        <w:t>levels</w:t>
      </w:r>
      <w:proofErr w:type="gramEnd"/>
      <w:r w:rsidRPr="00D85F2A">
        <w:rPr>
          <w:rFonts w:ascii="Arial" w:eastAsia="Times New Roman" w:hAnsi="Arial" w:cs="Arial"/>
          <w:kern w:val="0"/>
          <w14:ligatures w14:val="none"/>
        </w:rPr>
        <w:t xml:space="preserve"> and lower the risk of long-term complications, often alongside prescribed medication (NICE, 2022; American Diabetes Association, 2025).</w:t>
      </w:r>
      <w:r w:rsidR="00063B09" w:rsidRPr="00A54DCE">
        <w:rPr>
          <w:rFonts w:ascii="Arial" w:eastAsia="Times New Roman" w:hAnsi="Arial" w:cs="Arial"/>
          <w:kern w:val="0"/>
          <w14:ligatures w14:val="none"/>
        </w:rPr>
        <w:br/>
      </w:r>
      <w:r w:rsidRPr="00D85F2A">
        <w:rPr>
          <w:rFonts w:ascii="Arial" w:eastAsia="Times New Roman" w:hAnsi="Arial" w:cs="Arial"/>
          <w:kern w:val="0"/>
          <w14:ligatures w14:val="none"/>
        </w:rPr>
        <w:t xml:space="preserve">A balanced diet is fundamental to diabetes management. Individuals should consume whole grains, vegetables, fruits, lean </w:t>
      </w:r>
      <w:proofErr w:type="gramStart"/>
      <w:r w:rsidRPr="00D85F2A">
        <w:rPr>
          <w:rFonts w:ascii="Arial" w:eastAsia="Times New Roman" w:hAnsi="Arial" w:cs="Arial"/>
          <w:kern w:val="0"/>
          <w14:ligatures w14:val="none"/>
        </w:rPr>
        <w:t>proteins</w:t>
      </w:r>
      <w:proofErr w:type="gramEnd"/>
      <w:r w:rsidRPr="00D85F2A">
        <w:rPr>
          <w:rFonts w:ascii="Arial" w:eastAsia="Times New Roman" w:hAnsi="Arial" w:cs="Arial"/>
          <w:kern w:val="0"/>
          <w14:ligatures w14:val="none"/>
        </w:rPr>
        <w:t xml:space="preserve"> and healthy fats while reducing refined sugars and saturated fats. Foods with a low </w:t>
      </w:r>
      <w:proofErr w:type="spellStart"/>
      <w:r w:rsidRPr="00D85F2A">
        <w:rPr>
          <w:rFonts w:ascii="Arial" w:eastAsia="Times New Roman" w:hAnsi="Arial" w:cs="Arial"/>
          <w:kern w:val="0"/>
          <w14:ligatures w14:val="none"/>
        </w:rPr>
        <w:t>glycaemic</w:t>
      </w:r>
      <w:proofErr w:type="spellEnd"/>
      <w:r w:rsidRPr="00D85F2A">
        <w:rPr>
          <w:rFonts w:ascii="Arial" w:eastAsia="Times New Roman" w:hAnsi="Arial" w:cs="Arial"/>
          <w:kern w:val="0"/>
          <w14:ligatures w14:val="none"/>
        </w:rPr>
        <w:t xml:space="preserve"> index release glucose more slowly, helping to prevent sudden increases in blood sugar levels. Portion control and reducing sugar-sweetened beverages also support weight management and metabolic health (Diabetes UK, 2024).</w:t>
      </w:r>
    </w:p>
    <w:p w14:paraId="200DAF89" w14:textId="222C6990" w:rsidR="00D85F2A" w:rsidRPr="00D85F2A" w:rsidRDefault="00D85F2A" w:rsidP="00A54DCE">
      <w:pPr>
        <w:spacing w:before="100" w:beforeAutospacing="1" w:after="100" w:afterAutospacing="1" w:line="360" w:lineRule="auto"/>
        <w:rPr>
          <w:rFonts w:ascii="Arial" w:eastAsia="Times New Roman" w:hAnsi="Arial" w:cs="Arial"/>
          <w:kern w:val="0"/>
          <w14:ligatures w14:val="none"/>
        </w:rPr>
      </w:pPr>
      <w:r w:rsidRPr="00D85F2A">
        <w:rPr>
          <w:rFonts w:ascii="Arial" w:eastAsia="Times New Roman" w:hAnsi="Arial" w:cs="Arial"/>
          <w:kern w:val="0"/>
          <w14:ligatures w14:val="none"/>
        </w:rPr>
        <w:t xml:space="preserve">Regular physical activity improves insulin sensitivity and increases glucose uptake by skeletal muscles. Adults are encouraged to complete at least 150 minutes of moderate-intensity exercise each week alongside muscle-strengthening activities. Exercise lowers HbA1c levels, improves cardiovascular </w:t>
      </w:r>
      <w:r w:rsidR="00063B09" w:rsidRPr="00A54DCE">
        <w:rPr>
          <w:rFonts w:ascii="Arial" w:eastAsia="Times New Roman" w:hAnsi="Arial" w:cs="Arial"/>
          <w:kern w:val="0"/>
          <w14:ligatures w14:val="none"/>
        </w:rPr>
        <w:t>fitness,</w:t>
      </w:r>
      <w:r w:rsidRPr="00D85F2A">
        <w:rPr>
          <w:rFonts w:ascii="Arial" w:eastAsia="Times New Roman" w:hAnsi="Arial" w:cs="Arial"/>
          <w:kern w:val="0"/>
          <w14:ligatures w14:val="none"/>
        </w:rPr>
        <w:t xml:space="preserve"> and reduces the risk of diabetes-related complications (World Health Organization, 2020).</w:t>
      </w:r>
      <w:r w:rsidR="00063B09" w:rsidRPr="00A54DCE">
        <w:rPr>
          <w:rFonts w:ascii="Arial" w:eastAsia="Times New Roman" w:hAnsi="Arial" w:cs="Arial"/>
          <w:kern w:val="0"/>
          <w14:ligatures w14:val="none"/>
        </w:rPr>
        <w:t xml:space="preserve"> </w:t>
      </w:r>
      <w:r w:rsidRPr="00D85F2A">
        <w:rPr>
          <w:rFonts w:ascii="Arial" w:eastAsia="Times New Roman" w:hAnsi="Arial" w:cs="Arial"/>
          <w:kern w:val="0"/>
          <w14:ligatures w14:val="none"/>
        </w:rPr>
        <w:t xml:space="preserve">Weight management is equally important because excess body fat contributes significantly to insulin resistance. Even modest weight loss of 5–10% can improve insulin sensitivity and </w:t>
      </w:r>
      <w:proofErr w:type="spellStart"/>
      <w:r w:rsidRPr="00D85F2A">
        <w:rPr>
          <w:rFonts w:ascii="Arial" w:eastAsia="Times New Roman" w:hAnsi="Arial" w:cs="Arial"/>
          <w:kern w:val="0"/>
          <w14:ligatures w14:val="none"/>
        </w:rPr>
        <w:t>glycaemic</w:t>
      </w:r>
      <w:proofErr w:type="spellEnd"/>
      <w:r w:rsidRPr="00D85F2A">
        <w:rPr>
          <w:rFonts w:ascii="Arial" w:eastAsia="Times New Roman" w:hAnsi="Arial" w:cs="Arial"/>
          <w:kern w:val="0"/>
          <w14:ligatures w14:val="none"/>
        </w:rPr>
        <w:t xml:space="preserve"> control while reducing cardiovascular risk (Lean et al., 2019). Combining healthy eating with regular exercise offers the greatest benefits.</w:t>
      </w:r>
    </w:p>
    <w:p w14:paraId="3D461CC1" w14:textId="03B185DE" w:rsidR="00D85F2A" w:rsidRPr="00D85F2A" w:rsidRDefault="00D85F2A" w:rsidP="00A54DCE">
      <w:pPr>
        <w:spacing w:before="100" w:beforeAutospacing="1" w:after="100" w:afterAutospacing="1" w:line="360" w:lineRule="auto"/>
        <w:rPr>
          <w:rFonts w:ascii="Arial" w:eastAsia="Times New Roman" w:hAnsi="Arial" w:cs="Arial"/>
          <w:kern w:val="0"/>
          <w14:ligatures w14:val="none"/>
        </w:rPr>
      </w:pPr>
      <w:r w:rsidRPr="00D85F2A">
        <w:rPr>
          <w:rFonts w:ascii="Arial" w:eastAsia="Times New Roman" w:hAnsi="Arial" w:cs="Arial"/>
          <w:kern w:val="0"/>
          <w14:ligatures w14:val="none"/>
        </w:rPr>
        <w:t xml:space="preserve">Smoking cessation should be </w:t>
      </w:r>
      <w:proofErr w:type="spellStart"/>
      <w:r w:rsidRPr="00D85F2A">
        <w:rPr>
          <w:rFonts w:ascii="Arial" w:eastAsia="Times New Roman" w:hAnsi="Arial" w:cs="Arial"/>
          <w:kern w:val="0"/>
          <w14:ligatures w14:val="none"/>
        </w:rPr>
        <w:t>prioritised</w:t>
      </w:r>
      <w:proofErr w:type="spellEnd"/>
      <w:r w:rsidRPr="00D85F2A">
        <w:rPr>
          <w:rFonts w:ascii="Arial" w:eastAsia="Times New Roman" w:hAnsi="Arial" w:cs="Arial"/>
          <w:kern w:val="0"/>
          <w14:ligatures w14:val="none"/>
        </w:rPr>
        <w:t xml:space="preserve"> because smoking increases insulin resistance and accelerates vascular damage, thereby increasing the likelihood of cardiovascular disease and </w:t>
      </w:r>
      <w:r w:rsidRPr="00D85F2A">
        <w:rPr>
          <w:rFonts w:ascii="Arial" w:eastAsia="Times New Roman" w:hAnsi="Arial" w:cs="Arial"/>
          <w:kern w:val="0"/>
          <w14:ligatures w14:val="none"/>
        </w:rPr>
        <w:lastRenderedPageBreak/>
        <w:t>other diabetic complications (World Health Organization, 2024). Alcohol intake should also be moderated, as excessive consumption can disrupt glucose regulation and interfere with diabetes medication (NHS, 2023).</w:t>
      </w:r>
      <w:r w:rsidR="00063B09" w:rsidRPr="00A54DCE">
        <w:rPr>
          <w:rFonts w:ascii="Arial" w:eastAsia="Times New Roman" w:hAnsi="Arial" w:cs="Arial"/>
          <w:kern w:val="0"/>
          <w14:ligatures w14:val="none"/>
        </w:rPr>
        <w:br/>
      </w:r>
      <w:r w:rsidRPr="00D85F2A">
        <w:rPr>
          <w:rFonts w:ascii="Arial" w:eastAsia="Times New Roman" w:hAnsi="Arial" w:cs="Arial"/>
          <w:kern w:val="0"/>
          <w14:ligatures w14:val="none"/>
        </w:rPr>
        <w:t xml:space="preserve">Finally, structured diabetes education and regular follow-up with healthcare professionals empower individuals to understand their condition, adhere to treatment and adopt sustainable </w:t>
      </w:r>
      <w:proofErr w:type="spellStart"/>
      <w:r w:rsidRPr="00D85F2A">
        <w:rPr>
          <w:rFonts w:ascii="Arial" w:eastAsia="Times New Roman" w:hAnsi="Arial" w:cs="Arial"/>
          <w:kern w:val="0"/>
          <w14:ligatures w14:val="none"/>
        </w:rPr>
        <w:t>behavioural</w:t>
      </w:r>
      <w:proofErr w:type="spellEnd"/>
      <w:r w:rsidRPr="00D85F2A">
        <w:rPr>
          <w:rFonts w:ascii="Arial" w:eastAsia="Times New Roman" w:hAnsi="Arial" w:cs="Arial"/>
          <w:kern w:val="0"/>
          <w14:ligatures w14:val="none"/>
        </w:rPr>
        <w:t xml:space="preserve"> changes. These interventions improve self-management and contribute to better long-term health outcomes (NICE, 2022). Therefore, lifestyle modification should be viewed as an essential component of comprehensive diabetes care rather than an alternative to medical treatment.</w:t>
      </w:r>
    </w:p>
    <w:p w14:paraId="45C9EDD5" w14:textId="3B5D1E36" w:rsidR="00D85F2A" w:rsidRPr="00D85F2A" w:rsidRDefault="00D85F2A" w:rsidP="00A54DCE">
      <w:pPr>
        <w:spacing w:after="0" w:line="360" w:lineRule="auto"/>
        <w:rPr>
          <w:rFonts w:ascii="Arial" w:eastAsia="Times New Roman" w:hAnsi="Arial" w:cs="Arial"/>
          <w:kern w:val="0"/>
          <w14:ligatures w14:val="none"/>
        </w:rPr>
      </w:pPr>
    </w:p>
    <w:p w14:paraId="6EB5D66C" w14:textId="2F01E6CC" w:rsidR="00D85F2A" w:rsidRPr="00A54DCE" w:rsidRDefault="00D85F2A" w:rsidP="00A54DCE">
      <w:pPr>
        <w:spacing w:line="360" w:lineRule="auto"/>
        <w:rPr>
          <w:rFonts w:ascii="Arial" w:hAnsi="Arial" w:cs="Arial"/>
          <w:sz w:val="28"/>
          <w:szCs w:val="28"/>
        </w:rPr>
      </w:pPr>
      <w:r w:rsidRPr="00A54DCE">
        <w:rPr>
          <w:rFonts w:ascii="Arial" w:hAnsi="Arial" w:cs="Arial"/>
          <w:sz w:val="28"/>
          <w:szCs w:val="28"/>
        </w:rPr>
        <w:t>Conclusion</w:t>
      </w:r>
    </w:p>
    <w:p w14:paraId="06837D5A" w14:textId="6E73048A" w:rsidR="00D85F2A" w:rsidRPr="00A54DCE" w:rsidRDefault="00D85F2A" w:rsidP="00A54DCE">
      <w:pPr>
        <w:spacing w:before="100" w:beforeAutospacing="1" w:after="100" w:afterAutospacing="1" w:line="360" w:lineRule="auto"/>
        <w:rPr>
          <w:rFonts w:ascii="Arial" w:eastAsia="Times New Roman" w:hAnsi="Arial" w:cs="Arial"/>
          <w:kern w:val="0"/>
          <w14:ligatures w14:val="none"/>
        </w:rPr>
      </w:pPr>
      <w:r w:rsidRPr="00D85F2A">
        <w:rPr>
          <w:rFonts w:ascii="Arial" w:eastAsia="Times New Roman" w:hAnsi="Arial" w:cs="Arial"/>
          <w:kern w:val="0"/>
          <w14:ligatures w14:val="none"/>
        </w:rPr>
        <w:t>Type 2 diabetes mellitus is a chronic metabolic disorder that develops when insulin resistance and impaired insulin secretion disrupt normal blood glucose regulation. Maintaining glucose homeostasis depends on the coordinated actions of insulin and glucagon, while effective cellular metabolism requires both glucose and oxygen to generate ATP for normal physiological function.</w:t>
      </w:r>
      <w:r w:rsidR="00063B09" w:rsidRPr="00A54DCE">
        <w:rPr>
          <w:rFonts w:ascii="Arial" w:eastAsia="Times New Roman" w:hAnsi="Arial" w:cs="Arial"/>
          <w:kern w:val="0"/>
          <w14:ligatures w14:val="none"/>
        </w:rPr>
        <w:br/>
      </w:r>
      <w:r w:rsidRPr="00D85F2A">
        <w:rPr>
          <w:rFonts w:ascii="Arial" w:eastAsia="Times New Roman" w:hAnsi="Arial" w:cs="Arial"/>
          <w:kern w:val="0"/>
          <w14:ligatures w14:val="none"/>
        </w:rPr>
        <w:t xml:space="preserve">Regular monitoring of blood glucose levels enables individuals and healthcare professionals to evaluate </w:t>
      </w:r>
      <w:proofErr w:type="spellStart"/>
      <w:r w:rsidRPr="00D85F2A">
        <w:rPr>
          <w:rFonts w:ascii="Arial" w:eastAsia="Times New Roman" w:hAnsi="Arial" w:cs="Arial"/>
          <w:kern w:val="0"/>
          <w14:ligatures w14:val="none"/>
        </w:rPr>
        <w:t>glycaemic</w:t>
      </w:r>
      <w:proofErr w:type="spellEnd"/>
      <w:r w:rsidRPr="00D85F2A">
        <w:rPr>
          <w:rFonts w:ascii="Arial" w:eastAsia="Times New Roman" w:hAnsi="Arial" w:cs="Arial"/>
          <w:kern w:val="0"/>
          <w14:ligatures w14:val="none"/>
        </w:rPr>
        <w:t xml:space="preserve"> control, identify trends and make timely adjustments to treatment and lifestyle </w:t>
      </w:r>
      <w:r w:rsidR="00063B09" w:rsidRPr="00A54DCE">
        <w:rPr>
          <w:rFonts w:ascii="Arial" w:eastAsia="Times New Roman" w:hAnsi="Arial" w:cs="Arial"/>
          <w:kern w:val="0"/>
          <w14:ligatures w14:val="none"/>
        </w:rPr>
        <w:t>behaviors</w:t>
      </w:r>
      <w:r w:rsidRPr="00D85F2A">
        <w:rPr>
          <w:rFonts w:ascii="Arial" w:eastAsia="Times New Roman" w:hAnsi="Arial" w:cs="Arial"/>
          <w:kern w:val="0"/>
          <w14:ligatures w14:val="none"/>
        </w:rPr>
        <w:t>. Combined with evidence-based interventions such as healthy eating, regular physical activity, weight management, smoking cessation and responsible alcohol consumption, monitoring plays a key role in reducing complications and improving quality of life.</w:t>
      </w:r>
      <w:r w:rsidR="00A54DCE" w:rsidRPr="00A54DCE">
        <w:rPr>
          <w:rFonts w:ascii="Arial" w:eastAsia="Times New Roman" w:hAnsi="Arial" w:cs="Arial"/>
          <w:kern w:val="0"/>
          <w14:ligatures w14:val="none"/>
        </w:rPr>
        <w:br/>
      </w:r>
      <w:r w:rsidRPr="00D85F2A">
        <w:rPr>
          <w:rFonts w:ascii="Arial" w:eastAsia="Times New Roman" w:hAnsi="Arial" w:cs="Arial"/>
          <w:kern w:val="0"/>
          <w14:ligatures w14:val="none"/>
        </w:rPr>
        <w:t>Ultimately, understanding the physiological processes underlying Type 2 diabetes and adopting sustainable lifestyle changes empowers individuals to take an active role in managing their condition and achieving better long-term health outcomes.</w:t>
      </w:r>
    </w:p>
    <w:p w14:paraId="6249C925" w14:textId="77777777" w:rsidR="00A54DCE" w:rsidRDefault="00A54DCE" w:rsidP="00D85F2A">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49F5485C" w14:textId="77777777" w:rsidR="00A54DCE" w:rsidRDefault="00A54DCE" w:rsidP="00D85F2A">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489990AA" w14:textId="77777777" w:rsidR="00A54DCE" w:rsidRDefault="00A54DCE" w:rsidP="00D85F2A">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7A889C20" w14:textId="77777777" w:rsidR="00A54DCE" w:rsidRDefault="00A54DCE" w:rsidP="00D85F2A">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6A1F2569" w14:textId="77777777" w:rsidR="00A54DCE" w:rsidRDefault="00A54DCE" w:rsidP="00D85F2A">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596FE143" w14:textId="374195DE" w:rsidR="00063B09" w:rsidRDefault="00063B09" w:rsidP="00D85F2A">
      <w:pPr>
        <w:spacing w:before="100" w:beforeAutospacing="1" w:after="100" w:afterAutospacing="1" w:line="240" w:lineRule="auto"/>
        <w:rPr>
          <w:rFonts w:ascii="Times New Roman" w:eastAsia="Times New Roman" w:hAnsi="Times New Roman" w:cs="Times New Roman"/>
          <w:b/>
          <w:bCs/>
          <w:kern w:val="0"/>
          <w:sz w:val="24"/>
          <w:szCs w:val="24"/>
          <w14:ligatures w14:val="none"/>
        </w:rPr>
      </w:pPr>
      <w:r w:rsidRPr="00063B09">
        <w:rPr>
          <w:rFonts w:ascii="Times New Roman" w:eastAsia="Times New Roman" w:hAnsi="Times New Roman" w:cs="Times New Roman"/>
          <w:b/>
          <w:bCs/>
          <w:kern w:val="0"/>
          <w:sz w:val="24"/>
          <w:szCs w:val="24"/>
          <w14:ligatures w14:val="none"/>
        </w:rPr>
        <w:lastRenderedPageBreak/>
        <w:t>References</w:t>
      </w:r>
    </w:p>
    <w:p w14:paraId="12A3BD8B" w14:textId="77777777" w:rsidR="00E53A4F" w:rsidRPr="00A54DCE" w:rsidRDefault="00E53A4F" w:rsidP="004846AD">
      <w:pPr>
        <w:spacing w:line="360" w:lineRule="auto"/>
        <w:rPr>
          <w:rFonts w:ascii="Aptos" w:hAnsi="Aptos" w:cs="Arial"/>
        </w:rPr>
      </w:pPr>
      <w:r w:rsidRPr="00A54DCE">
        <w:rPr>
          <w:rFonts w:ascii="Aptos" w:hAnsi="Aptos" w:cs="Arial"/>
        </w:rPr>
        <w:t xml:space="preserve">American Diabetes Association (2025) </w:t>
      </w:r>
      <w:r w:rsidRPr="00A54DCE">
        <w:rPr>
          <w:rStyle w:val="Emphasis"/>
          <w:rFonts w:ascii="Aptos" w:hAnsi="Aptos" w:cs="Arial"/>
        </w:rPr>
        <w:t>Standards of care in diabetes—2025</w:t>
      </w:r>
      <w:r w:rsidRPr="00A54DCE">
        <w:rPr>
          <w:rFonts w:ascii="Aptos" w:hAnsi="Aptos" w:cs="Arial"/>
        </w:rPr>
        <w:t xml:space="preserve">. Diabetes Care, 48(Suppl. 1). Available at: </w:t>
      </w:r>
      <w:hyperlink r:id="rId4" w:history="1">
        <w:r w:rsidRPr="00A54DCE">
          <w:rPr>
            <w:rStyle w:val="Hyperlink"/>
            <w:rFonts w:ascii="Aptos" w:hAnsi="Aptos" w:cs="Arial"/>
          </w:rPr>
          <w:t>https://diabetesjournals.org/care/issue/48/Supplement_1</w:t>
        </w:r>
      </w:hyperlink>
      <w:r w:rsidRPr="00A54DCE">
        <w:rPr>
          <w:rFonts w:ascii="Aptos" w:hAnsi="Aptos" w:cs="Arial"/>
        </w:rPr>
        <w:t xml:space="preserve"> (Accessed: 12 June 2026).</w:t>
      </w:r>
    </w:p>
    <w:p w14:paraId="1A518BE7" w14:textId="77777777" w:rsidR="00E53A4F" w:rsidRPr="00A54DCE" w:rsidRDefault="00E53A4F" w:rsidP="004846AD">
      <w:pPr>
        <w:spacing w:line="360" w:lineRule="auto"/>
        <w:rPr>
          <w:rFonts w:ascii="Aptos" w:hAnsi="Aptos" w:cs="Arial"/>
        </w:rPr>
      </w:pPr>
      <w:r w:rsidRPr="00A54DCE">
        <w:rPr>
          <w:rFonts w:ascii="Aptos" w:hAnsi="Aptos" w:cs="Arial"/>
        </w:rPr>
        <w:t xml:space="preserve">Diabetes UK (2024) </w:t>
      </w:r>
      <w:r w:rsidRPr="00A54DCE">
        <w:rPr>
          <w:rStyle w:val="Emphasis"/>
          <w:rFonts w:ascii="Aptos" w:hAnsi="Aptos" w:cs="Arial"/>
        </w:rPr>
        <w:t>Type 2 diabetes</w:t>
      </w:r>
      <w:r w:rsidRPr="00A54DCE">
        <w:rPr>
          <w:rFonts w:ascii="Aptos" w:hAnsi="Aptos" w:cs="Arial"/>
        </w:rPr>
        <w:t xml:space="preserve">. Available at: </w:t>
      </w:r>
      <w:hyperlink r:id="rId5" w:history="1">
        <w:r w:rsidRPr="00A54DCE">
          <w:rPr>
            <w:rStyle w:val="Hyperlink"/>
            <w:rFonts w:ascii="Aptos" w:hAnsi="Aptos" w:cs="Arial"/>
          </w:rPr>
          <w:t>https://www.diabetes.org.uk/about-diabetes/type-2-diabetes</w:t>
        </w:r>
      </w:hyperlink>
      <w:r w:rsidRPr="00A54DCE">
        <w:rPr>
          <w:rFonts w:ascii="Aptos" w:hAnsi="Aptos" w:cs="Arial"/>
        </w:rPr>
        <w:t xml:space="preserve"> (Accessed: 12 June 2026).</w:t>
      </w:r>
    </w:p>
    <w:p w14:paraId="0B06DA99" w14:textId="3DDDA194" w:rsidR="00E53A4F" w:rsidRPr="00A54DCE" w:rsidRDefault="00E53A4F" w:rsidP="004846AD">
      <w:pPr>
        <w:spacing w:line="360" w:lineRule="auto"/>
        <w:rPr>
          <w:rFonts w:ascii="Aptos" w:hAnsi="Aptos" w:cs="Arial"/>
        </w:rPr>
      </w:pPr>
      <w:r w:rsidRPr="00A54DCE">
        <w:rPr>
          <w:rFonts w:ascii="Aptos" w:hAnsi="Aptos" w:cs="Arial"/>
          <w:color w:val="222222"/>
          <w:shd w:val="clear" w:color="auto" w:fill="FFFFFF"/>
        </w:rPr>
        <w:t>Hall, J.E. and Hall, M.E.</w:t>
      </w:r>
      <w:r w:rsidRPr="00A54DCE">
        <w:rPr>
          <w:rFonts w:ascii="Aptos" w:hAnsi="Aptos" w:cs="Arial"/>
          <w:color w:val="222222"/>
          <w:shd w:val="clear" w:color="auto" w:fill="FFFFFF"/>
        </w:rPr>
        <w:t xml:space="preserve"> (</w:t>
      </w:r>
      <w:r w:rsidRPr="00A54DCE">
        <w:rPr>
          <w:rFonts w:ascii="Aptos" w:hAnsi="Aptos" w:cs="Arial"/>
          <w:color w:val="222222"/>
          <w:shd w:val="clear" w:color="auto" w:fill="FFFFFF"/>
        </w:rPr>
        <w:t>2020</w:t>
      </w:r>
      <w:r w:rsidRPr="00A54DCE">
        <w:rPr>
          <w:rFonts w:ascii="Aptos" w:hAnsi="Aptos" w:cs="Arial"/>
          <w:color w:val="222222"/>
          <w:shd w:val="clear" w:color="auto" w:fill="FFFFFF"/>
        </w:rPr>
        <w:t>)</w:t>
      </w:r>
      <w:r w:rsidRPr="00A54DCE">
        <w:rPr>
          <w:rFonts w:ascii="Aptos" w:hAnsi="Aptos" w:cs="Arial"/>
          <w:color w:val="222222"/>
          <w:shd w:val="clear" w:color="auto" w:fill="FFFFFF"/>
        </w:rPr>
        <w:t> </w:t>
      </w:r>
      <w:r w:rsidRPr="00A54DCE">
        <w:rPr>
          <w:rFonts w:ascii="Aptos" w:hAnsi="Aptos" w:cs="Arial"/>
          <w:i/>
          <w:iCs/>
          <w:color w:val="222222"/>
          <w:shd w:val="clear" w:color="auto" w:fill="FFFFFF"/>
        </w:rPr>
        <w:t>Guyton and Hall textbook of medical physiology e-book: Guyton and Hall textbook of medical physiology e-book</w:t>
      </w:r>
      <w:r w:rsidRPr="00A54DCE">
        <w:rPr>
          <w:rFonts w:ascii="Aptos" w:hAnsi="Aptos" w:cs="Arial"/>
          <w:color w:val="222222"/>
          <w:shd w:val="clear" w:color="auto" w:fill="FFFFFF"/>
        </w:rPr>
        <w:t>. Elsevier Health Sciences.</w:t>
      </w:r>
    </w:p>
    <w:p w14:paraId="3D2BB24F" w14:textId="723EAC6F" w:rsidR="00E53A4F" w:rsidRPr="00A54DCE" w:rsidRDefault="00E53A4F" w:rsidP="004846AD">
      <w:pPr>
        <w:spacing w:line="360" w:lineRule="auto"/>
        <w:rPr>
          <w:rFonts w:ascii="Aptos" w:hAnsi="Aptos" w:cs="Arial"/>
        </w:rPr>
      </w:pPr>
      <w:r w:rsidRPr="00A54DCE">
        <w:rPr>
          <w:rFonts w:ascii="Aptos" w:hAnsi="Aptos" w:cs="Arial"/>
          <w:color w:val="222222"/>
          <w:shd w:val="clear" w:color="auto" w:fill="FFFFFF"/>
        </w:rPr>
        <w:t xml:space="preserve">Lean, M.E., Leslie, W.S., Barnes, A.C., Brosnahan, N., Thom, G., McCombie, L., Peters, C., </w:t>
      </w:r>
      <w:proofErr w:type="spellStart"/>
      <w:r w:rsidRPr="00A54DCE">
        <w:rPr>
          <w:rFonts w:ascii="Aptos" w:hAnsi="Aptos" w:cs="Arial"/>
          <w:color w:val="222222"/>
          <w:shd w:val="clear" w:color="auto" w:fill="FFFFFF"/>
        </w:rPr>
        <w:t>Zhyzhneuskaya</w:t>
      </w:r>
      <w:proofErr w:type="spellEnd"/>
      <w:r w:rsidRPr="00A54DCE">
        <w:rPr>
          <w:rFonts w:ascii="Aptos" w:hAnsi="Aptos" w:cs="Arial"/>
          <w:color w:val="222222"/>
          <w:shd w:val="clear" w:color="auto" w:fill="FFFFFF"/>
        </w:rPr>
        <w:t>, S., Al-</w:t>
      </w:r>
      <w:proofErr w:type="spellStart"/>
      <w:r w:rsidRPr="00A54DCE">
        <w:rPr>
          <w:rFonts w:ascii="Aptos" w:hAnsi="Aptos" w:cs="Arial"/>
          <w:color w:val="222222"/>
          <w:shd w:val="clear" w:color="auto" w:fill="FFFFFF"/>
        </w:rPr>
        <w:t>Mrabeh</w:t>
      </w:r>
      <w:proofErr w:type="spellEnd"/>
      <w:r w:rsidRPr="00A54DCE">
        <w:rPr>
          <w:rFonts w:ascii="Aptos" w:hAnsi="Aptos" w:cs="Arial"/>
          <w:color w:val="222222"/>
          <w:shd w:val="clear" w:color="auto" w:fill="FFFFFF"/>
        </w:rPr>
        <w:t xml:space="preserve">, A., Hollingsworth, K.G. and Rodrigues, A.M. </w:t>
      </w:r>
      <w:r w:rsidRPr="00A54DCE">
        <w:rPr>
          <w:rFonts w:ascii="Aptos" w:hAnsi="Aptos" w:cs="Arial"/>
          <w:color w:val="222222"/>
          <w:shd w:val="clear" w:color="auto" w:fill="FFFFFF"/>
        </w:rPr>
        <w:t>(</w:t>
      </w:r>
      <w:r w:rsidRPr="00A54DCE">
        <w:rPr>
          <w:rFonts w:ascii="Aptos" w:hAnsi="Aptos" w:cs="Arial"/>
          <w:color w:val="222222"/>
          <w:shd w:val="clear" w:color="auto" w:fill="FFFFFF"/>
        </w:rPr>
        <w:t>2019</w:t>
      </w:r>
      <w:r w:rsidRPr="00A54DCE">
        <w:rPr>
          <w:rFonts w:ascii="Aptos" w:hAnsi="Aptos" w:cs="Arial"/>
          <w:color w:val="222222"/>
          <w:shd w:val="clear" w:color="auto" w:fill="FFFFFF"/>
        </w:rPr>
        <w:t>)</w:t>
      </w:r>
      <w:r w:rsidRPr="00A54DCE">
        <w:rPr>
          <w:rFonts w:ascii="Aptos" w:hAnsi="Aptos" w:cs="Arial"/>
          <w:color w:val="222222"/>
          <w:shd w:val="clear" w:color="auto" w:fill="FFFFFF"/>
        </w:rPr>
        <w:t xml:space="preserve">. </w:t>
      </w:r>
      <w:r w:rsidRPr="00A54DCE">
        <w:rPr>
          <w:rFonts w:ascii="Aptos" w:hAnsi="Aptos" w:cs="Arial"/>
          <w:color w:val="222222"/>
          <w:shd w:val="clear" w:color="auto" w:fill="FFFFFF"/>
        </w:rPr>
        <w:t>‘</w:t>
      </w:r>
      <w:r w:rsidRPr="00A54DCE">
        <w:rPr>
          <w:rFonts w:ascii="Aptos" w:hAnsi="Aptos" w:cs="Arial"/>
          <w:color w:val="222222"/>
          <w:shd w:val="clear" w:color="auto" w:fill="FFFFFF"/>
        </w:rPr>
        <w:t xml:space="preserve">Durability of a primary care-led weight-management intervention for remission of type 2 diabetes: 2-year results of the </w:t>
      </w:r>
      <w:proofErr w:type="spellStart"/>
      <w:r w:rsidRPr="00A54DCE">
        <w:rPr>
          <w:rFonts w:ascii="Aptos" w:hAnsi="Aptos" w:cs="Arial"/>
          <w:color w:val="222222"/>
          <w:shd w:val="clear" w:color="auto" w:fill="FFFFFF"/>
        </w:rPr>
        <w:t>DiRECT</w:t>
      </w:r>
      <w:proofErr w:type="spellEnd"/>
      <w:r w:rsidRPr="00A54DCE">
        <w:rPr>
          <w:rFonts w:ascii="Aptos" w:hAnsi="Aptos" w:cs="Arial"/>
          <w:color w:val="222222"/>
          <w:shd w:val="clear" w:color="auto" w:fill="FFFFFF"/>
        </w:rPr>
        <w:t xml:space="preserve"> open-label, cluster-</w:t>
      </w:r>
      <w:proofErr w:type="spellStart"/>
      <w:r w:rsidRPr="00A54DCE">
        <w:rPr>
          <w:rFonts w:ascii="Aptos" w:hAnsi="Aptos" w:cs="Arial"/>
          <w:color w:val="222222"/>
          <w:shd w:val="clear" w:color="auto" w:fill="FFFFFF"/>
        </w:rPr>
        <w:t>randomised</w:t>
      </w:r>
      <w:proofErr w:type="spellEnd"/>
      <w:r w:rsidRPr="00A54DCE">
        <w:rPr>
          <w:rFonts w:ascii="Aptos" w:hAnsi="Aptos" w:cs="Arial"/>
          <w:color w:val="222222"/>
          <w:shd w:val="clear" w:color="auto" w:fill="FFFFFF"/>
        </w:rPr>
        <w:t xml:space="preserve"> trial</w:t>
      </w:r>
      <w:r w:rsidRPr="00A54DCE">
        <w:rPr>
          <w:rFonts w:ascii="Aptos" w:hAnsi="Aptos" w:cs="Arial"/>
          <w:color w:val="222222"/>
          <w:shd w:val="clear" w:color="auto" w:fill="FFFFFF"/>
        </w:rPr>
        <w:t>’,</w:t>
      </w:r>
      <w:r w:rsidRPr="00A54DCE">
        <w:rPr>
          <w:rFonts w:ascii="Aptos" w:hAnsi="Aptos" w:cs="Arial"/>
          <w:color w:val="222222"/>
          <w:shd w:val="clear" w:color="auto" w:fill="FFFFFF"/>
        </w:rPr>
        <w:t> </w:t>
      </w:r>
      <w:r w:rsidRPr="00A54DCE">
        <w:rPr>
          <w:rFonts w:ascii="Aptos" w:hAnsi="Aptos" w:cs="Arial"/>
          <w:i/>
          <w:iCs/>
          <w:color w:val="222222"/>
          <w:shd w:val="clear" w:color="auto" w:fill="FFFFFF"/>
        </w:rPr>
        <w:t xml:space="preserve">The lancet Diabetes &amp; </w:t>
      </w:r>
      <w:r w:rsidR="00D560D3" w:rsidRPr="00A54DCE">
        <w:rPr>
          <w:rFonts w:ascii="Aptos" w:hAnsi="Aptos" w:cs="Arial"/>
          <w:i/>
          <w:iCs/>
          <w:color w:val="222222"/>
          <w:shd w:val="clear" w:color="auto" w:fill="FFFFFF"/>
        </w:rPr>
        <w:t>E</w:t>
      </w:r>
      <w:r w:rsidRPr="00A54DCE">
        <w:rPr>
          <w:rFonts w:ascii="Aptos" w:hAnsi="Aptos" w:cs="Arial"/>
          <w:i/>
          <w:iCs/>
          <w:color w:val="222222"/>
          <w:shd w:val="clear" w:color="auto" w:fill="FFFFFF"/>
        </w:rPr>
        <w:t>ndocrinology</w:t>
      </w:r>
      <w:r w:rsidRPr="00A54DCE">
        <w:rPr>
          <w:rFonts w:ascii="Aptos" w:hAnsi="Aptos" w:cs="Arial"/>
          <w:color w:val="222222"/>
          <w:shd w:val="clear" w:color="auto" w:fill="FFFFFF"/>
        </w:rPr>
        <w:t>, </w:t>
      </w:r>
      <w:r w:rsidRPr="00A54DCE">
        <w:rPr>
          <w:rFonts w:ascii="Aptos" w:hAnsi="Aptos" w:cs="Arial"/>
          <w:i/>
          <w:iCs/>
          <w:color w:val="222222"/>
          <w:shd w:val="clear" w:color="auto" w:fill="FFFFFF"/>
        </w:rPr>
        <w:t>7</w:t>
      </w:r>
      <w:r w:rsidRPr="00A54DCE">
        <w:rPr>
          <w:rFonts w:ascii="Aptos" w:hAnsi="Aptos" w:cs="Arial"/>
          <w:color w:val="222222"/>
          <w:shd w:val="clear" w:color="auto" w:fill="FFFFFF"/>
        </w:rPr>
        <w:t>(5), pp.344-355.</w:t>
      </w:r>
    </w:p>
    <w:p w14:paraId="6E6FE397" w14:textId="77777777" w:rsidR="00E53A4F" w:rsidRPr="00A54DCE" w:rsidRDefault="00E53A4F" w:rsidP="004846AD">
      <w:pPr>
        <w:spacing w:line="360" w:lineRule="auto"/>
        <w:rPr>
          <w:rFonts w:ascii="Aptos" w:hAnsi="Aptos" w:cs="Arial"/>
        </w:rPr>
      </w:pPr>
      <w:r w:rsidRPr="00A54DCE">
        <w:rPr>
          <w:rFonts w:ascii="Aptos" w:hAnsi="Aptos" w:cs="Arial"/>
        </w:rPr>
        <w:t xml:space="preserve">National Health Service (2023) </w:t>
      </w:r>
      <w:r w:rsidRPr="00A54DCE">
        <w:rPr>
          <w:rStyle w:val="Emphasis"/>
          <w:rFonts w:ascii="Aptos" w:hAnsi="Aptos" w:cs="Arial"/>
        </w:rPr>
        <w:t>Living with Type 2 diabetes</w:t>
      </w:r>
      <w:r w:rsidRPr="00A54DCE">
        <w:rPr>
          <w:rFonts w:ascii="Aptos" w:hAnsi="Aptos" w:cs="Arial"/>
        </w:rPr>
        <w:t xml:space="preserve">. Available at: </w:t>
      </w:r>
      <w:hyperlink r:id="rId6" w:history="1">
        <w:r w:rsidRPr="00A54DCE">
          <w:rPr>
            <w:rStyle w:val="Hyperlink"/>
            <w:rFonts w:ascii="Aptos" w:hAnsi="Aptos" w:cs="Arial"/>
          </w:rPr>
          <w:t>https://www.nhs.uk/conditions/type-2-diabetes/living-with/</w:t>
        </w:r>
      </w:hyperlink>
      <w:r w:rsidRPr="00A54DCE">
        <w:rPr>
          <w:rFonts w:ascii="Aptos" w:hAnsi="Aptos" w:cs="Arial"/>
        </w:rPr>
        <w:t xml:space="preserve"> (Accessed: 12 June 2026).</w:t>
      </w:r>
    </w:p>
    <w:p w14:paraId="557B15F5" w14:textId="77777777" w:rsidR="00E53A4F" w:rsidRPr="00A54DCE" w:rsidRDefault="00E53A4F" w:rsidP="004846AD">
      <w:pPr>
        <w:spacing w:line="360" w:lineRule="auto"/>
        <w:rPr>
          <w:rFonts w:ascii="Aptos" w:hAnsi="Aptos" w:cs="Arial"/>
        </w:rPr>
      </w:pPr>
      <w:r w:rsidRPr="00A54DCE">
        <w:rPr>
          <w:rFonts w:ascii="Aptos" w:hAnsi="Aptos" w:cs="Arial"/>
        </w:rPr>
        <w:t xml:space="preserve">National Institute for Health and Care Excellence (2022) </w:t>
      </w:r>
      <w:r w:rsidRPr="00A54DCE">
        <w:rPr>
          <w:rStyle w:val="Emphasis"/>
          <w:rFonts w:ascii="Aptos" w:hAnsi="Aptos" w:cs="Arial"/>
        </w:rPr>
        <w:t>Type 2 diabetes in adults: Management (NG28)</w:t>
      </w:r>
      <w:r w:rsidRPr="00A54DCE">
        <w:rPr>
          <w:rFonts w:ascii="Aptos" w:hAnsi="Aptos" w:cs="Arial"/>
        </w:rPr>
        <w:t xml:space="preserve">. Available at: </w:t>
      </w:r>
      <w:hyperlink r:id="rId7" w:history="1">
        <w:r w:rsidRPr="00A54DCE">
          <w:rPr>
            <w:rStyle w:val="Hyperlink"/>
            <w:rFonts w:ascii="Aptos" w:hAnsi="Aptos" w:cs="Arial"/>
          </w:rPr>
          <w:t>https://www.nice.org.uk/guidance/ng28</w:t>
        </w:r>
      </w:hyperlink>
      <w:r w:rsidRPr="00A54DCE">
        <w:rPr>
          <w:rFonts w:ascii="Aptos" w:hAnsi="Aptos" w:cs="Arial"/>
        </w:rPr>
        <w:t xml:space="preserve"> (Accessed: 12 June 2026).</w:t>
      </w:r>
    </w:p>
    <w:p w14:paraId="6E064CD1" w14:textId="77777777" w:rsidR="00E53A4F" w:rsidRPr="00A54DCE" w:rsidRDefault="00E53A4F" w:rsidP="004846AD">
      <w:pPr>
        <w:spacing w:line="360" w:lineRule="auto"/>
        <w:rPr>
          <w:rFonts w:ascii="Aptos" w:hAnsi="Aptos" w:cs="Arial"/>
        </w:rPr>
      </w:pPr>
      <w:r w:rsidRPr="00A54DCE">
        <w:rPr>
          <w:rFonts w:ascii="Aptos" w:hAnsi="Aptos" w:cs="Arial"/>
        </w:rPr>
        <w:t xml:space="preserve">OpenStax (2022) </w:t>
      </w:r>
      <w:r w:rsidRPr="00A54DCE">
        <w:rPr>
          <w:rStyle w:val="Emphasis"/>
          <w:rFonts w:ascii="Aptos" w:hAnsi="Aptos" w:cs="Arial"/>
        </w:rPr>
        <w:t>Anatomy and physiology 2e</w:t>
      </w:r>
      <w:r w:rsidRPr="00A54DCE">
        <w:rPr>
          <w:rFonts w:ascii="Aptos" w:hAnsi="Aptos" w:cs="Arial"/>
        </w:rPr>
        <w:t xml:space="preserve">. Houston, TX: OpenStax, Rice University. Available at: </w:t>
      </w:r>
      <w:hyperlink r:id="rId8" w:history="1">
        <w:r w:rsidRPr="00A54DCE">
          <w:rPr>
            <w:rStyle w:val="Hyperlink"/>
            <w:rFonts w:ascii="Aptos" w:hAnsi="Aptos" w:cs="Arial"/>
          </w:rPr>
          <w:t>https://openstax.org/details/books/anatomy-and-physiology-2e</w:t>
        </w:r>
      </w:hyperlink>
      <w:r w:rsidRPr="00A54DCE">
        <w:rPr>
          <w:rFonts w:ascii="Aptos" w:hAnsi="Aptos" w:cs="Arial"/>
        </w:rPr>
        <w:t xml:space="preserve"> (Accessed: 12 June 2026).</w:t>
      </w:r>
    </w:p>
    <w:p w14:paraId="2A5E3E2A" w14:textId="658591AB" w:rsidR="00D560D3" w:rsidRPr="00A54DCE" w:rsidRDefault="00D560D3" w:rsidP="004846AD">
      <w:pPr>
        <w:spacing w:line="360" w:lineRule="auto"/>
        <w:rPr>
          <w:rFonts w:ascii="Aptos" w:hAnsi="Aptos" w:cs="Arial"/>
        </w:rPr>
      </w:pPr>
      <w:r w:rsidRPr="00A54DCE">
        <w:rPr>
          <w:rFonts w:ascii="Aptos" w:hAnsi="Aptos" w:cs="Arial"/>
          <w:color w:val="222222"/>
          <w:shd w:val="clear" w:color="auto" w:fill="FFFFFF"/>
        </w:rPr>
        <w:t xml:space="preserve">Silverthorn, D.U. </w:t>
      </w:r>
      <w:r w:rsidRPr="00A54DCE">
        <w:rPr>
          <w:rFonts w:ascii="Aptos" w:hAnsi="Aptos" w:cs="Arial"/>
          <w:color w:val="222222"/>
          <w:shd w:val="clear" w:color="auto" w:fill="FFFFFF"/>
        </w:rPr>
        <w:t>(</w:t>
      </w:r>
      <w:r w:rsidRPr="00A54DCE">
        <w:rPr>
          <w:rFonts w:ascii="Aptos" w:hAnsi="Aptos" w:cs="Arial"/>
          <w:color w:val="222222"/>
          <w:shd w:val="clear" w:color="auto" w:fill="FFFFFF"/>
        </w:rPr>
        <w:t>2010</w:t>
      </w:r>
      <w:r w:rsidRPr="00A54DCE">
        <w:rPr>
          <w:rFonts w:ascii="Aptos" w:hAnsi="Aptos" w:cs="Arial"/>
          <w:color w:val="222222"/>
          <w:shd w:val="clear" w:color="auto" w:fill="FFFFFF"/>
        </w:rPr>
        <w:t xml:space="preserve">) </w:t>
      </w:r>
      <w:r w:rsidRPr="00A54DCE">
        <w:rPr>
          <w:rFonts w:ascii="Aptos" w:hAnsi="Aptos" w:cs="Arial"/>
          <w:color w:val="222222"/>
          <w:shd w:val="clear" w:color="auto" w:fill="FFFFFF"/>
        </w:rPr>
        <w:t xml:space="preserve">Human </w:t>
      </w:r>
      <w:proofErr w:type="spellStart"/>
      <w:r w:rsidRPr="00A54DCE">
        <w:rPr>
          <w:rFonts w:ascii="Aptos" w:hAnsi="Aptos" w:cs="Arial"/>
          <w:color w:val="222222"/>
          <w:shd w:val="clear" w:color="auto" w:fill="FFFFFF"/>
        </w:rPr>
        <w:t>P</w:t>
      </w:r>
      <w:r w:rsidRPr="00A54DCE">
        <w:rPr>
          <w:rFonts w:ascii="Aptos" w:hAnsi="Aptos" w:cs="Arial"/>
          <w:color w:val="222222"/>
          <w:shd w:val="clear" w:color="auto" w:fill="FFFFFF"/>
        </w:rPr>
        <w:t>hysiology:</w:t>
      </w:r>
      <w:proofErr w:type="gramStart"/>
      <w:r w:rsidRPr="00A54DCE">
        <w:rPr>
          <w:rFonts w:ascii="Aptos" w:hAnsi="Aptos" w:cs="Arial"/>
          <w:color w:val="222222"/>
          <w:shd w:val="clear" w:color="auto" w:fill="FFFFFF"/>
        </w:rPr>
        <w:t>an</w:t>
      </w:r>
      <w:proofErr w:type="spellEnd"/>
      <w:proofErr w:type="gramEnd"/>
      <w:r w:rsidRPr="00A54DCE">
        <w:rPr>
          <w:rFonts w:ascii="Aptos" w:hAnsi="Aptos" w:cs="Arial"/>
          <w:color w:val="222222"/>
          <w:shd w:val="clear" w:color="auto" w:fill="FFFFFF"/>
        </w:rPr>
        <w:t xml:space="preserve"> </w:t>
      </w:r>
      <w:r w:rsidRPr="00A54DCE">
        <w:rPr>
          <w:rFonts w:ascii="Aptos" w:hAnsi="Aptos" w:cs="Arial"/>
          <w:color w:val="222222"/>
          <w:shd w:val="clear" w:color="auto" w:fill="FFFFFF"/>
        </w:rPr>
        <w:t>I</w:t>
      </w:r>
      <w:r w:rsidRPr="00A54DCE">
        <w:rPr>
          <w:rFonts w:ascii="Aptos" w:hAnsi="Aptos" w:cs="Arial"/>
          <w:color w:val="222222"/>
          <w:shd w:val="clear" w:color="auto" w:fill="FFFFFF"/>
        </w:rPr>
        <w:t xml:space="preserve">ntegrated </w:t>
      </w:r>
      <w:r w:rsidRPr="00A54DCE">
        <w:rPr>
          <w:rFonts w:ascii="Aptos" w:hAnsi="Aptos" w:cs="Arial"/>
          <w:color w:val="222222"/>
          <w:shd w:val="clear" w:color="auto" w:fill="FFFFFF"/>
        </w:rPr>
        <w:t>A</w:t>
      </w:r>
      <w:r w:rsidRPr="00A54DCE">
        <w:rPr>
          <w:rFonts w:ascii="Aptos" w:hAnsi="Aptos" w:cs="Arial"/>
          <w:color w:val="222222"/>
          <w:shd w:val="clear" w:color="auto" w:fill="FFFFFF"/>
        </w:rPr>
        <w:t>pproach.</w:t>
      </w:r>
      <w:r w:rsidRPr="00A54DCE">
        <w:rPr>
          <w:rFonts w:ascii="Aptos" w:hAnsi="Aptos" w:cs="Arial"/>
          <w:color w:val="222222"/>
          <w:shd w:val="clear" w:color="auto" w:fill="FFFFFF"/>
        </w:rPr>
        <w:t xml:space="preserve"> 8</w:t>
      </w:r>
      <w:r w:rsidRPr="00A54DCE">
        <w:rPr>
          <w:rFonts w:ascii="Aptos" w:hAnsi="Aptos" w:cs="Arial"/>
          <w:color w:val="222222"/>
          <w:shd w:val="clear" w:color="auto" w:fill="FFFFFF"/>
          <w:vertAlign w:val="superscript"/>
        </w:rPr>
        <w:t>th</w:t>
      </w:r>
      <w:r w:rsidRPr="00A54DCE">
        <w:rPr>
          <w:rFonts w:ascii="Aptos" w:hAnsi="Aptos" w:cs="Arial"/>
          <w:color w:val="222222"/>
          <w:shd w:val="clear" w:color="auto" w:fill="FFFFFF"/>
        </w:rPr>
        <w:t xml:space="preserve"> </w:t>
      </w:r>
      <w:proofErr w:type="spellStart"/>
      <w:r w:rsidRPr="00A54DCE">
        <w:rPr>
          <w:rFonts w:ascii="Aptos" w:hAnsi="Aptos" w:cs="Arial"/>
          <w:color w:val="222222"/>
          <w:shd w:val="clear" w:color="auto" w:fill="FFFFFF"/>
        </w:rPr>
        <w:t>edn</w:t>
      </w:r>
      <w:proofErr w:type="spellEnd"/>
      <w:r w:rsidRPr="00A54DCE">
        <w:rPr>
          <w:rFonts w:ascii="Aptos" w:hAnsi="Aptos" w:cs="Arial"/>
          <w:color w:val="222222"/>
          <w:shd w:val="clear" w:color="auto" w:fill="FFFFFF"/>
        </w:rPr>
        <w:t>. Harlow: Pearson</w:t>
      </w:r>
      <w:r w:rsidR="00DD3848">
        <w:rPr>
          <w:rFonts w:ascii="Aptos" w:hAnsi="Aptos" w:cs="Arial"/>
          <w:color w:val="222222"/>
          <w:shd w:val="clear" w:color="auto" w:fill="FFFFFF"/>
        </w:rPr>
        <w:t>.</w:t>
      </w:r>
    </w:p>
    <w:p w14:paraId="33B945C6" w14:textId="2BE329FF" w:rsidR="00D560D3" w:rsidRPr="00A54DCE" w:rsidRDefault="00D560D3" w:rsidP="004846AD">
      <w:pPr>
        <w:spacing w:line="360" w:lineRule="auto"/>
        <w:rPr>
          <w:rFonts w:ascii="Aptos" w:hAnsi="Aptos" w:cs="Arial"/>
        </w:rPr>
      </w:pPr>
      <w:r w:rsidRPr="00A54DCE">
        <w:rPr>
          <w:rFonts w:ascii="Aptos" w:hAnsi="Aptos" w:cs="Arial"/>
          <w:color w:val="222222"/>
          <w:shd w:val="clear" w:color="auto" w:fill="FFFFFF"/>
        </w:rPr>
        <w:t>Tortora, G.J. and Derrickson, B.H.</w:t>
      </w:r>
      <w:r w:rsidRPr="00A54DCE">
        <w:rPr>
          <w:rFonts w:ascii="Aptos" w:hAnsi="Aptos" w:cs="Arial"/>
          <w:color w:val="222222"/>
          <w:shd w:val="clear" w:color="auto" w:fill="FFFFFF"/>
        </w:rPr>
        <w:t xml:space="preserve"> (</w:t>
      </w:r>
      <w:r w:rsidRPr="00A54DCE">
        <w:rPr>
          <w:rFonts w:ascii="Aptos" w:hAnsi="Aptos" w:cs="Arial"/>
          <w:color w:val="222222"/>
          <w:shd w:val="clear" w:color="auto" w:fill="FFFFFF"/>
        </w:rPr>
        <w:t>2018</w:t>
      </w:r>
      <w:r w:rsidRPr="00A54DCE">
        <w:rPr>
          <w:rFonts w:ascii="Aptos" w:hAnsi="Aptos" w:cs="Arial"/>
          <w:color w:val="222222"/>
          <w:shd w:val="clear" w:color="auto" w:fill="FFFFFF"/>
        </w:rPr>
        <w:t xml:space="preserve">) </w:t>
      </w:r>
      <w:r w:rsidRPr="00A54DCE">
        <w:rPr>
          <w:rFonts w:ascii="Aptos" w:hAnsi="Aptos" w:cs="Arial"/>
          <w:i/>
          <w:iCs/>
          <w:color w:val="222222"/>
          <w:shd w:val="clear" w:color="auto" w:fill="FFFFFF"/>
        </w:rPr>
        <w:t>Principles of anatomy and physiology</w:t>
      </w:r>
      <w:r w:rsidRPr="00A54DCE">
        <w:rPr>
          <w:rFonts w:ascii="Aptos" w:hAnsi="Aptos" w:cs="Arial"/>
          <w:color w:val="222222"/>
          <w:shd w:val="clear" w:color="auto" w:fill="FFFFFF"/>
        </w:rPr>
        <w:t xml:space="preserve">. John </w:t>
      </w:r>
      <w:proofErr w:type="spellStart"/>
      <w:r w:rsidRPr="00A54DCE">
        <w:rPr>
          <w:rFonts w:ascii="Aptos" w:hAnsi="Aptos" w:cs="Arial"/>
          <w:color w:val="222222"/>
          <w:shd w:val="clear" w:color="auto" w:fill="FFFFFF"/>
        </w:rPr>
        <w:t>wiley</w:t>
      </w:r>
      <w:proofErr w:type="spellEnd"/>
      <w:r w:rsidRPr="00A54DCE">
        <w:rPr>
          <w:rFonts w:ascii="Aptos" w:hAnsi="Aptos" w:cs="Arial"/>
          <w:color w:val="222222"/>
          <w:shd w:val="clear" w:color="auto" w:fill="FFFFFF"/>
        </w:rPr>
        <w:t xml:space="preserve"> &amp; sons.</w:t>
      </w:r>
    </w:p>
    <w:p w14:paraId="2B9B7D8F" w14:textId="77777777" w:rsidR="00E53A4F" w:rsidRPr="00A54DCE" w:rsidRDefault="00E53A4F" w:rsidP="004846AD">
      <w:pPr>
        <w:spacing w:line="360" w:lineRule="auto"/>
        <w:rPr>
          <w:rFonts w:ascii="Aptos" w:hAnsi="Aptos" w:cs="Arial"/>
        </w:rPr>
      </w:pPr>
      <w:r w:rsidRPr="00A54DCE">
        <w:rPr>
          <w:rFonts w:ascii="Aptos" w:hAnsi="Aptos" w:cs="Arial"/>
        </w:rPr>
        <w:t xml:space="preserve">World Health Organization (2020) </w:t>
      </w:r>
      <w:r w:rsidRPr="00A54DCE">
        <w:rPr>
          <w:rStyle w:val="Emphasis"/>
          <w:rFonts w:ascii="Aptos" w:hAnsi="Aptos" w:cs="Arial"/>
        </w:rPr>
        <w:t xml:space="preserve">WHO guidelines on physical activity and sedentary </w:t>
      </w:r>
      <w:proofErr w:type="spellStart"/>
      <w:r w:rsidRPr="00A54DCE">
        <w:rPr>
          <w:rStyle w:val="Emphasis"/>
          <w:rFonts w:ascii="Aptos" w:hAnsi="Aptos" w:cs="Arial"/>
        </w:rPr>
        <w:t>behaviour</w:t>
      </w:r>
      <w:proofErr w:type="spellEnd"/>
      <w:r w:rsidRPr="00A54DCE">
        <w:rPr>
          <w:rFonts w:ascii="Aptos" w:hAnsi="Aptos" w:cs="Arial"/>
        </w:rPr>
        <w:t xml:space="preserve">. Geneva: World Health Organization. Available at: </w:t>
      </w:r>
      <w:hyperlink r:id="rId9" w:history="1">
        <w:r w:rsidRPr="00A54DCE">
          <w:rPr>
            <w:rStyle w:val="Hyperlink"/>
            <w:rFonts w:ascii="Aptos" w:hAnsi="Aptos" w:cs="Arial"/>
          </w:rPr>
          <w:t>https://www.who.int/publications/i/item/9789240015128</w:t>
        </w:r>
      </w:hyperlink>
      <w:r w:rsidRPr="00A54DCE">
        <w:rPr>
          <w:rFonts w:ascii="Aptos" w:hAnsi="Aptos" w:cs="Arial"/>
        </w:rPr>
        <w:t xml:space="preserve"> (Accessed: 12 June 2026).</w:t>
      </w:r>
    </w:p>
    <w:p w14:paraId="072CAFAB" w14:textId="7C4EB09A" w:rsidR="00E53A4F" w:rsidRPr="00A54DCE" w:rsidRDefault="00E53A4F" w:rsidP="004846AD">
      <w:pPr>
        <w:spacing w:line="360" w:lineRule="auto"/>
        <w:rPr>
          <w:rFonts w:ascii="Aptos" w:hAnsi="Aptos" w:cs="Arial"/>
        </w:rPr>
      </w:pPr>
      <w:r w:rsidRPr="00A54DCE">
        <w:rPr>
          <w:rFonts w:ascii="Aptos" w:hAnsi="Aptos" w:cs="Arial"/>
        </w:rPr>
        <w:t xml:space="preserve">World Health Organization (2024) </w:t>
      </w:r>
      <w:r w:rsidRPr="00A54DCE">
        <w:rPr>
          <w:rStyle w:val="Emphasis"/>
          <w:rFonts w:ascii="Aptos" w:hAnsi="Aptos" w:cs="Arial"/>
        </w:rPr>
        <w:t>Tobacco</w:t>
      </w:r>
      <w:r w:rsidRPr="00A54DCE">
        <w:rPr>
          <w:rFonts w:ascii="Aptos" w:hAnsi="Aptos" w:cs="Arial"/>
        </w:rPr>
        <w:t xml:space="preserve">. Available at: </w:t>
      </w:r>
      <w:hyperlink r:id="rId10" w:history="1">
        <w:r w:rsidRPr="00A54DCE">
          <w:rPr>
            <w:rStyle w:val="Hyperlink"/>
            <w:rFonts w:ascii="Aptos" w:hAnsi="Aptos" w:cs="Arial"/>
          </w:rPr>
          <w:t>https://www.who.int/news-room/fact-sheets/detail/tobacco</w:t>
        </w:r>
      </w:hyperlink>
      <w:r w:rsidRPr="00A54DCE">
        <w:rPr>
          <w:rFonts w:ascii="Aptos" w:hAnsi="Aptos" w:cs="Arial"/>
        </w:rPr>
        <w:t xml:space="preserve"> (Accessed: 12 June 2026).</w:t>
      </w:r>
    </w:p>
    <w:p w14:paraId="585BE8FE" w14:textId="77777777" w:rsidR="00E53A4F" w:rsidRPr="00A54DCE" w:rsidRDefault="00E53A4F" w:rsidP="004846AD">
      <w:pPr>
        <w:spacing w:line="360" w:lineRule="auto"/>
        <w:rPr>
          <w:rFonts w:ascii="Aptos" w:hAnsi="Aptos" w:cs="Arial"/>
        </w:rPr>
      </w:pPr>
      <w:r w:rsidRPr="00A54DCE">
        <w:rPr>
          <w:rFonts w:ascii="Aptos" w:hAnsi="Aptos" w:cs="Arial"/>
        </w:rPr>
        <w:lastRenderedPageBreak/>
        <w:t xml:space="preserve">World Health Organization (2025) </w:t>
      </w:r>
      <w:r w:rsidRPr="00A54DCE">
        <w:rPr>
          <w:rStyle w:val="Emphasis"/>
          <w:rFonts w:ascii="Aptos" w:hAnsi="Aptos" w:cs="Arial"/>
        </w:rPr>
        <w:t>Diabetes</w:t>
      </w:r>
      <w:r w:rsidRPr="00A54DCE">
        <w:rPr>
          <w:rFonts w:ascii="Aptos" w:hAnsi="Aptos" w:cs="Arial"/>
        </w:rPr>
        <w:t xml:space="preserve">. Available at: </w:t>
      </w:r>
      <w:hyperlink r:id="rId11" w:history="1">
        <w:r w:rsidRPr="00A54DCE">
          <w:rPr>
            <w:rStyle w:val="Hyperlink"/>
            <w:rFonts w:ascii="Aptos" w:hAnsi="Aptos" w:cs="Arial"/>
          </w:rPr>
          <w:t>https://www.who.int/news-room/fact-sheets/detail/diabetes</w:t>
        </w:r>
      </w:hyperlink>
      <w:r w:rsidRPr="00A54DCE">
        <w:rPr>
          <w:rFonts w:ascii="Aptos" w:hAnsi="Aptos" w:cs="Arial"/>
        </w:rPr>
        <w:t xml:space="preserve"> (Accessed: 12 June 2026).</w:t>
      </w:r>
    </w:p>
    <w:p w14:paraId="7510AE8D" w14:textId="77777777" w:rsidR="00E53A4F" w:rsidRPr="00D85F2A" w:rsidRDefault="00E53A4F" w:rsidP="00D85F2A">
      <w:pPr>
        <w:spacing w:before="100" w:beforeAutospacing="1" w:after="100" w:afterAutospacing="1" w:line="240" w:lineRule="auto"/>
        <w:rPr>
          <w:rFonts w:ascii="Times New Roman" w:eastAsia="Times New Roman" w:hAnsi="Times New Roman" w:cs="Times New Roman"/>
          <w:b/>
          <w:bCs/>
          <w:kern w:val="0"/>
          <w:sz w:val="24"/>
          <w:szCs w:val="24"/>
          <w14:ligatures w14:val="none"/>
        </w:rPr>
      </w:pPr>
    </w:p>
    <w:p w14:paraId="7192BF1D" w14:textId="77777777" w:rsidR="008108A3" w:rsidRDefault="008108A3"/>
    <w:sectPr w:rsidR="008108A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F2A"/>
    <w:rsid w:val="00063B09"/>
    <w:rsid w:val="002207CF"/>
    <w:rsid w:val="004846AD"/>
    <w:rsid w:val="008108A3"/>
    <w:rsid w:val="00A54DCE"/>
    <w:rsid w:val="00AC6729"/>
    <w:rsid w:val="00D560D3"/>
    <w:rsid w:val="00D85F2A"/>
    <w:rsid w:val="00DD3848"/>
    <w:rsid w:val="00E53A4F"/>
    <w:rsid w:val="00F26A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F685D"/>
  <w15:chartTrackingRefBased/>
  <w15:docId w15:val="{6850B837-0C1B-40F6-AC73-31B12F6A1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85F2A"/>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2">
    <w:name w:val="heading 2"/>
    <w:basedOn w:val="Normal"/>
    <w:link w:val="Heading2Char"/>
    <w:uiPriority w:val="9"/>
    <w:qFormat/>
    <w:rsid w:val="00D85F2A"/>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paragraph" w:styleId="Heading3">
    <w:name w:val="heading 3"/>
    <w:basedOn w:val="Normal"/>
    <w:next w:val="Normal"/>
    <w:link w:val="Heading3Char"/>
    <w:uiPriority w:val="9"/>
    <w:semiHidden/>
    <w:unhideWhenUsed/>
    <w:qFormat/>
    <w:rsid w:val="00AC672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5F2A"/>
    <w:rPr>
      <w:rFonts w:ascii="Times New Roman" w:eastAsia="Times New Roman" w:hAnsi="Times New Roman" w:cs="Times New Roman"/>
      <w:b/>
      <w:bCs/>
      <w:kern w:val="36"/>
      <w:sz w:val="48"/>
      <w:szCs w:val="48"/>
      <w14:ligatures w14:val="none"/>
    </w:rPr>
  </w:style>
  <w:style w:type="character" w:customStyle="1" w:styleId="Heading2Char">
    <w:name w:val="Heading 2 Char"/>
    <w:basedOn w:val="DefaultParagraphFont"/>
    <w:link w:val="Heading2"/>
    <w:uiPriority w:val="9"/>
    <w:rsid w:val="00D85F2A"/>
    <w:rPr>
      <w:rFonts w:ascii="Times New Roman" w:eastAsia="Times New Roman" w:hAnsi="Times New Roman" w:cs="Times New Roman"/>
      <w:b/>
      <w:bCs/>
      <w:kern w:val="0"/>
      <w:sz w:val="36"/>
      <w:szCs w:val="36"/>
      <w14:ligatures w14:val="none"/>
    </w:rPr>
  </w:style>
  <w:style w:type="paragraph" w:styleId="NormalWeb">
    <w:name w:val="Normal (Web)"/>
    <w:basedOn w:val="Normal"/>
    <w:uiPriority w:val="99"/>
    <w:semiHidden/>
    <w:unhideWhenUsed/>
    <w:rsid w:val="00D85F2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3Char">
    <w:name w:val="Heading 3 Char"/>
    <w:basedOn w:val="DefaultParagraphFont"/>
    <w:link w:val="Heading3"/>
    <w:uiPriority w:val="9"/>
    <w:semiHidden/>
    <w:rsid w:val="00AC6729"/>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E53A4F"/>
    <w:rPr>
      <w:i/>
      <w:iCs/>
    </w:rPr>
  </w:style>
  <w:style w:type="character" w:styleId="Hyperlink">
    <w:name w:val="Hyperlink"/>
    <w:basedOn w:val="DefaultParagraphFont"/>
    <w:uiPriority w:val="99"/>
    <w:semiHidden/>
    <w:unhideWhenUsed/>
    <w:rsid w:val="00E53A4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236399">
      <w:bodyDiv w:val="1"/>
      <w:marLeft w:val="0"/>
      <w:marRight w:val="0"/>
      <w:marTop w:val="0"/>
      <w:marBottom w:val="0"/>
      <w:divBdr>
        <w:top w:val="none" w:sz="0" w:space="0" w:color="auto"/>
        <w:left w:val="none" w:sz="0" w:space="0" w:color="auto"/>
        <w:bottom w:val="none" w:sz="0" w:space="0" w:color="auto"/>
        <w:right w:val="none" w:sz="0" w:space="0" w:color="auto"/>
      </w:divBdr>
    </w:div>
    <w:div w:id="646520747">
      <w:bodyDiv w:val="1"/>
      <w:marLeft w:val="0"/>
      <w:marRight w:val="0"/>
      <w:marTop w:val="0"/>
      <w:marBottom w:val="0"/>
      <w:divBdr>
        <w:top w:val="none" w:sz="0" w:space="0" w:color="auto"/>
        <w:left w:val="none" w:sz="0" w:space="0" w:color="auto"/>
        <w:bottom w:val="none" w:sz="0" w:space="0" w:color="auto"/>
        <w:right w:val="none" w:sz="0" w:space="0" w:color="auto"/>
      </w:divBdr>
    </w:div>
    <w:div w:id="1058819545">
      <w:bodyDiv w:val="1"/>
      <w:marLeft w:val="0"/>
      <w:marRight w:val="0"/>
      <w:marTop w:val="0"/>
      <w:marBottom w:val="0"/>
      <w:divBdr>
        <w:top w:val="none" w:sz="0" w:space="0" w:color="auto"/>
        <w:left w:val="none" w:sz="0" w:space="0" w:color="auto"/>
        <w:bottom w:val="none" w:sz="0" w:space="0" w:color="auto"/>
        <w:right w:val="none" w:sz="0" w:space="0" w:color="auto"/>
      </w:divBdr>
    </w:div>
    <w:div w:id="1619532824">
      <w:bodyDiv w:val="1"/>
      <w:marLeft w:val="0"/>
      <w:marRight w:val="0"/>
      <w:marTop w:val="0"/>
      <w:marBottom w:val="0"/>
      <w:divBdr>
        <w:top w:val="none" w:sz="0" w:space="0" w:color="auto"/>
        <w:left w:val="none" w:sz="0" w:space="0" w:color="auto"/>
        <w:bottom w:val="none" w:sz="0" w:space="0" w:color="auto"/>
        <w:right w:val="none" w:sz="0" w:space="0" w:color="auto"/>
      </w:divBdr>
    </w:div>
    <w:div w:id="1861433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penstax.org/details/books/anatomy-and-physiology-2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ice.org.uk/guidance/ng28"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conditions/type-2-diabetes/living-with/" TargetMode="External"/><Relationship Id="rId11" Type="http://schemas.openxmlformats.org/officeDocument/2006/relationships/hyperlink" Target="https://www.who.int/news-room/fact-sheets/detail/diabetes" TargetMode="External"/><Relationship Id="rId5" Type="http://schemas.openxmlformats.org/officeDocument/2006/relationships/hyperlink" Target="https://www.diabetes.org.uk/about-diabetes/type-2-diabetes" TargetMode="External"/><Relationship Id="rId10" Type="http://schemas.openxmlformats.org/officeDocument/2006/relationships/hyperlink" Target="https://www.who.int/news-room/fact-sheets/detail/tobacco" TargetMode="External"/><Relationship Id="rId4" Type="http://schemas.openxmlformats.org/officeDocument/2006/relationships/hyperlink" Target="https://diabetesjournals.org/care/issue/48/Supplement_1" TargetMode="External"/><Relationship Id="rId9" Type="http://schemas.openxmlformats.org/officeDocument/2006/relationships/hyperlink" Target="https://www.who.int/publications/i/item/97892400151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9</Pages>
  <Words>2644</Words>
  <Characters>15075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Omoregie Famous</dc:creator>
  <cp:keywords/>
  <dc:description/>
  <cp:lastModifiedBy>Omoregie Famous</cp:lastModifiedBy>
  <cp:revision>2</cp:revision>
  <dcterms:created xsi:type="dcterms:W3CDTF">2026-06-12T00:22:00Z</dcterms:created>
  <dcterms:modified xsi:type="dcterms:W3CDTF">2026-06-12T11:25:00Z</dcterms:modified>
</cp:coreProperties>
</file>