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B0D67" w14:textId="77777777" w:rsidR="00977283" w:rsidRDefault="00977283" w:rsidP="00D05290">
      <w:pPr>
        <w:spacing w:line="360" w:lineRule="auto"/>
      </w:pPr>
    </w:p>
    <w:p w14:paraId="1DCDF512" w14:textId="7D143FEF" w:rsidR="00977283" w:rsidRDefault="00977283" w:rsidP="00D05290">
      <w:pPr>
        <w:spacing w:line="360" w:lineRule="auto"/>
        <w:jc w:val="center"/>
        <w:rPr>
          <w:b/>
          <w:bCs/>
          <w:sz w:val="44"/>
          <w:szCs w:val="40"/>
        </w:rPr>
      </w:pPr>
      <w:r w:rsidRPr="00977283">
        <w:rPr>
          <w:b/>
          <w:bCs/>
          <w:sz w:val="44"/>
          <w:szCs w:val="40"/>
        </w:rPr>
        <w:t>Financial Management for the Hotel Industry</w:t>
      </w:r>
    </w:p>
    <w:p w14:paraId="0CE5B335" w14:textId="6318AF2D" w:rsidR="00977283" w:rsidRDefault="00977283" w:rsidP="00D05290">
      <w:pPr>
        <w:spacing w:line="360" w:lineRule="auto"/>
      </w:pPr>
    </w:p>
    <w:p w14:paraId="450530A8" w14:textId="732878AA" w:rsidR="00977283" w:rsidRDefault="00977283" w:rsidP="00D05290">
      <w:pPr>
        <w:spacing w:line="360" w:lineRule="auto"/>
      </w:pPr>
    </w:p>
    <w:p w14:paraId="72AA1794" w14:textId="0257727E" w:rsidR="00977283" w:rsidRDefault="00977283" w:rsidP="00D05290">
      <w:pPr>
        <w:spacing w:line="360" w:lineRule="auto"/>
      </w:pPr>
    </w:p>
    <w:p w14:paraId="6FD00AA3" w14:textId="1B34F845" w:rsidR="00977283" w:rsidRDefault="00977283" w:rsidP="00D05290">
      <w:pPr>
        <w:spacing w:line="360" w:lineRule="auto"/>
      </w:pPr>
    </w:p>
    <w:p w14:paraId="5A252C95" w14:textId="5F2C2ED6" w:rsidR="00977283" w:rsidRDefault="00977283" w:rsidP="00D05290">
      <w:pPr>
        <w:spacing w:line="360" w:lineRule="auto"/>
      </w:pPr>
    </w:p>
    <w:p w14:paraId="3D0DB85C" w14:textId="52667B7C" w:rsidR="00977283" w:rsidRDefault="00977283" w:rsidP="00D05290">
      <w:pPr>
        <w:spacing w:line="360" w:lineRule="auto"/>
      </w:pPr>
    </w:p>
    <w:p w14:paraId="409C2AA0" w14:textId="421C0927" w:rsidR="00977283" w:rsidRDefault="00977283" w:rsidP="00D05290">
      <w:pPr>
        <w:spacing w:line="360" w:lineRule="auto"/>
      </w:pPr>
    </w:p>
    <w:p w14:paraId="4897EC84" w14:textId="07596B82" w:rsidR="00977283" w:rsidRDefault="00977283" w:rsidP="00D05290">
      <w:pPr>
        <w:spacing w:line="360" w:lineRule="auto"/>
      </w:pPr>
    </w:p>
    <w:p w14:paraId="0C7E0EC1" w14:textId="5B08C240" w:rsidR="00977283" w:rsidRDefault="00977283" w:rsidP="00D05290">
      <w:pPr>
        <w:spacing w:line="360" w:lineRule="auto"/>
      </w:pPr>
    </w:p>
    <w:p w14:paraId="5330936C" w14:textId="2372ED3E" w:rsidR="00977283" w:rsidRDefault="00977283" w:rsidP="00D05290">
      <w:pPr>
        <w:spacing w:line="360" w:lineRule="auto"/>
      </w:pPr>
    </w:p>
    <w:p w14:paraId="0B042012" w14:textId="384EFD06" w:rsidR="00D05290" w:rsidRDefault="00D05290" w:rsidP="00D05290">
      <w:pPr>
        <w:spacing w:line="360" w:lineRule="auto"/>
      </w:pPr>
    </w:p>
    <w:p w14:paraId="494DA8A5" w14:textId="434B9723" w:rsidR="00D05290" w:rsidRDefault="00D05290" w:rsidP="00D05290">
      <w:pPr>
        <w:spacing w:line="360" w:lineRule="auto"/>
      </w:pPr>
    </w:p>
    <w:p w14:paraId="45F1E159" w14:textId="6B5EDFAF" w:rsidR="00D05290" w:rsidRDefault="00D05290" w:rsidP="00D05290">
      <w:pPr>
        <w:spacing w:line="360" w:lineRule="auto"/>
      </w:pPr>
    </w:p>
    <w:p w14:paraId="31B819F0" w14:textId="7EC7CC3F" w:rsidR="00D05290" w:rsidRDefault="00D05290" w:rsidP="00D05290">
      <w:pPr>
        <w:spacing w:line="360" w:lineRule="auto"/>
      </w:pPr>
    </w:p>
    <w:p w14:paraId="51F398B4" w14:textId="09360923" w:rsidR="00D05290" w:rsidRDefault="00D05290" w:rsidP="00D05290">
      <w:pPr>
        <w:spacing w:line="360" w:lineRule="auto"/>
      </w:pPr>
    </w:p>
    <w:p w14:paraId="79092BB9" w14:textId="6FDF5842" w:rsidR="00D05290" w:rsidRDefault="00D05290" w:rsidP="00D05290">
      <w:pPr>
        <w:spacing w:line="360" w:lineRule="auto"/>
      </w:pPr>
    </w:p>
    <w:p w14:paraId="6649C626" w14:textId="77777777" w:rsidR="00D05290" w:rsidRDefault="00D05290" w:rsidP="00D05290">
      <w:pPr>
        <w:spacing w:line="360" w:lineRule="auto"/>
      </w:pPr>
    </w:p>
    <w:p w14:paraId="20CCE15C" w14:textId="6EEE3B78" w:rsidR="00977283" w:rsidRDefault="00977283" w:rsidP="00D05290">
      <w:pPr>
        <w:spacing w:line="360" w:lineRule="auto"/>
      </w:pPr>
    </w:p>
    <w:p w14:paraId="446C5B83" w14:textId="6AAD7BA6" w:rsidR="00977283" w:rsidRDefault="00E15E9C" w:rsidP="00D05290">
      <w:pPr>
        <w:spacing w:line="360" w:lineRule="auto"/>
      </w:pPr>
      <w:r>
        <w:t>Lecturer Name: Dale Clarke</w:t>
      </w:r>
    </w:p>
    <w:p w14:paraId="7F7FBF57" w14:textId="4FCEF0ED" w:rsidR="00977283" w:rsidRDefault="00977283" w:rsidP="00D05290">
      <w:pPr>
        <w:spacing w:line="360" w:lineRule="auto"/>
      </w:pPr>
      <w:r>
        <w:t>Student Name:</w:t>
      </w:r>
      <w:r w:rsidR="00E15E9C">
        <w:t xml:space="preserve"> Ramona Mihaela Deca</w:t>
      </w:r>
    </w:p>
    <w:p w14:paraId="0FF162E4" w14:textId="298DF66D" w:rsidR="00977283" w:rsidRDefault="00977283" w:rsidP="00D05290">
      <w:pPr>
        <w:spacing w:line="360" w:lineRule="auto"/>
      </w:pPr>
      <w:r>
        <w:t>Student ID:</w:t>
      </w:r>
      <w:r w:rsidR="00E15E9C">
        <w:t xml:space="preserve"> 2022132</w:t>
      </w:r>
    </w:p>
    <w:sdt>
      <w:sdtPr>
        <w:rPr>
          <w:rFonts w:ascii="Times New Roman" w:eastAsiaTheme="minorHAnsi" w:hAnsi="Times New Roman" w:cstheme="minorBidi"/>
          <w:color w:val="auto"/>
          <w:sz w:val="24"/>
          <w:szCs w:val="22"/>
          <w:lang w:val="en-GB"/>
        </w:rPr>
        <w:id w:val="-2090079199"/>
        <w:docPartObj>
          <w:docPartGallery w:val="Table of Contents"/>
          <w:docPartUnique/>
        </w:docPartObj>
      </w:sdtPr>
      <w:sdtEndPr>
        <w:rPr>
          <w:b/>
          <w:bCs/>
          <w:noProof/>
        </w:rPr>
      </w:sdtEndPr>
      <w:sdtContent>
        <w:p w14:paraId="4E469883" w14:textId="4C7EFC36" w:rsidR="00977283" w:rsidRDefault="00977283" w:rsidP="00D05290">
          <w:pPr>
            <w:pStyle w:val="TOCHeading"/>
            <w:spacing w:line="360" w:lineRule="auto"/>
            <w:jc w:val="center"/>
          </w:pPr>
          <w:r>
            <w:t>Table of Contents</w:t>
          </w:r>
        </w:p>
        <w:p w14:paraId="18062C24" w14:textId="00E78A79" w:rsidR="00252F59" w:rsidRDefault="00977283">
          <w:pPr>
            <w:pStyle w:val="TOC1"/>
            <w:tabs>
              <w:tab w:val="right" w:leader="dot" w:pos="9016"/>
            </w:tabs>
            <w:rPr>
              <w:noProof/>
            </w:rPr>
          </w:pPr>
          <w:r>
            <w:fldChar w:fldCharType="begin"/>
          </w:r>
          <w:r>
            <w:instrText xml:space="preserve"> TOC \o "1-3" \h \z \u </w:instrText>
          </w:r>
          <w:r>
            <w:fldChar w:fldCharType="separate"/>
          </w:r>
          <w:hyperlink w:anchor="_Toc104224903" w:history="1">
            <w:r w:rsidR="00252F59" w:rsidRPr="00920266">
              <w:rPr>
                <w:rStyle w:val="Hyperlink"/>
                <w:noProof/>
              </w:rPr>
              <w:t>Introduction</w:t>
            </w:r>
            <w:r w:rsidR="00252F59">
              <w:rPr>
                <w:noProof/>
                <w:webHidden/>
              </w:rPr>
              <w:tab/>
            </w:r>
            <w:r w:rsidR="00252F59">
              <w:rPr>
                <w:noProof/>
                <w:webHidden/>
              </w:rPr>
              <w:fldChar w:fldCharType="begin"/>
            </w:r>
            <w:r w:rsidR="00252F59">
              <w:rPr>
                <w:noProof/>
                <w:webHidden/>
              </w:rPr>
              <w:instrText xml:space="preserve"> PAGEREF _Toc104224903 \h </w:instrText>
            </w:r>
            <w:r w:rsidR="00252F59">
              <w:rPr>
                <w:noProof/>
                <w:webHidden/>
              </w:rPr>
            </w:r>
            <w:r w:rsidR="00252F59">
              <w:rPr>
                <w:noProof/>
                <w:webHidden/>
              </w:rPr>
              <w:fldChar w:fldCharType="separate"/>
            </w:r>
            <w:r w:rsidR="00252F59">
              <w:rPr>
                <w:noProof/>
                <w:webHidden/>
              </w:rPr>
              <w:t>3</w:t>
            </w:r>
            <w:r w:rsidR="00252F59">
              <w:rPr>
                <w:noProof/>
                <w:webHidden/>
              </w:rPr>
              <w:fldChar w:fldCharType="end"/>
            </w:r>
          </w:hyperlink>
        </w:p>
        <w:p w14:paraId="4DB800F3" w14:textId="5A561D9A" w:rsidR="00DB1FF0" w:rsidRPr="00DB1FF0" w:rsidRDefault="00DB1FF0" w:rsidP="00DB1FF0">
          <w:r>
            <w:t>Financial Analys</w:t>
          </w:r>
          <w:r w:rsidR="005335E2">
            <w:t>i</w:t>
          </w:r>
          <w:r w:rsidR="00C73622">
            <w:t>s</w:t>
          </w:r>
          <w:r>
            <w:t xml:space="preserve"> ……………………………………………………………………</w:t>
          </w:r>
          <w:r w:rsidR="004459FC">
            <w:t>…</w:t>
          </w:r>
          <w:r>
            <w:t>……..</w:t>
          </w:r>
          <w:r w:rsidR="00C73622">
            <w:t>3</w:t>
          </w:r>
        </w:p>
        <w:p w14:paraId="3FD82FD4" w14:textId="62059B6A" w:rsidR="00252F59" w:rsidRDefault="00EF1995">
          <w:pPr>
            <w:pStyle w:val="TOC1"/>
            <w:tabs>
              <w:tab w:val="right" w:leader="dot" w:pos="9016"/>
            </w:tabs>
            <w:rPr>
              <w:rFonts w:asciiTheme="minorHAnsi" w:eastAsiaTheme="minorEastAsia" w:hAnsiTheme="minorHAnsi"/>
              <w:noProof/>
              <w:sz w:val="22"/>
              <w:szCs w:val="28"/>
              <w:lang w:eastAsia="en-GB" w:bidi="bn-BD"/>
            </w:rPr>
          </w:pPr>
          <w:hyperlink w:anchor="_Toc104224904" w:history="1">
            <w:r w:rsidR="00252F59" w:rsidRPr="00920266">
              <w:rPr>
                <w:rStyle w:val="Hyperlink"/>
                <w:noProof/>
              </w:rPr>
              <w:t>Financial ratios of Hilton Hotel for 2019 and 2020</w:t>
            </w:r>
            <w:r w:rsidR="00252F59">
              <w:rPr>
                <w:noProof/>
                <w:webHidden/>
              </w:rPr>
              <w:tab/>
            </w:r>
            <w:r w:rsidR="005335E2">
              <w:rPr>
                <w:noProof/>
                <w:webHidden/>
              </w:rPr>
              <w:t>9</w:t>
            </w:r>
          </w:hyperlink>
        </w:p>
        <w:p w14:paraId="63AFAE2E" w14:textId="3FF0E202" w:rsidR="00252F59" w:rsidRDefault="00EF1995">
          <w:pPr>
            <w:pStyle w:val="TOC1"/>
            <w:tabs>
              <w:tab w:val="right" w:leader="dot" w:pos="9016"/>
            </w:tabs>
            <w:rPr>
              <w:rFonts w:asciiTheme="minorHAnsi" w:eastAsiaTheme="minorEastAsia" w:hAnsiTheme="minorHAnsi"/>
              <w:noProof/>
              <w:sz w:val="22"/>
              <w:szCs w:val="28"/>
              <w:lang w:eastAsia="en-GB" w:bidi="bn-BD"/>
            </w:rPr>
          </w:pPr>
          <w:hyperlink w:anchor="_Toc104224905" w:history="1">
            <w:r w:rsidR="00252F59" w:rsidRPr="00920266">
              <w:rPr>
                <w:rStyle w:val="Hyperlink"/>
                <w:noProof/>
              </w:rPr>
              <w:t>Importance of the usage of ratio analysis for decision making</w:t>
            </w:r>
            <w:r w:rsidR="00252F59">
              <w:rPr>
                <w:noProof/>
                <w:webHidden/>
              </w:rPr>
              <w:tab/>
            </w:r>
            <w:r w:rsidR="0004481F">
              <w:rPr>
                <w:noProof/>
                <w:webHidden/>
              </w:rPr>
              <w:t>12</w:t>
            </w:r>
          </w:hyperlink>
        </w:p>
        <w:p w14:paraId="65BA1691" w14:textId="7E52E4CD" w:rsidR="00252F59" w:rsidRDefault="00EF1995">
          <w:pPr>
            <w:pStyle w:val="TOC1"/>
            <w:tabs>
              <w:tab w:val="right" w:leader="dot" w:pos="9016"/>
            </w:tabs>
            <w:rPr>
              <w:rFonts w:asciiTheme="minorHAnsi" w:eastAsiaTheme="minorEastAsia" w:hAnsiTheme="minorHAnsi"/>
              <w:noProof/>
              <w:sz w:val="22"/>
              <w:szCs w:val="28"/>
              <w:lang w:eastAsia="en-GB" w:bidi="bn-BD"/>
            </w:rPr>
          </w:pPr>
          <w:hyperlink w:anchor="_Toc104224906" w:history="1">
            <w:r w:rsidR="00252F59" w:rsidRPr="00920266">
              <w:rPr>
                <w:rStyle w:val="Hyperlink"/>
                <w:noProof/>
              </w:rPr>
              <w:t>Limitations of ratio analysis</w:t>
            </w:r>
            <w:r w:rsidR="00252F59">
              <w:rPr>
                <w:noProof/>
                <w:webHidden/>
              </w:rPr>
              <w:tab/>
            </w:r>
            <w:r w:rsidR="005A5298">
              <w:rPr>
                <w:noProof/>
                <w:webHidden/>
              </w:rPr>
              <w:t>13</w:t>
            </w:r>
          </w:hyperlink>
        </w:p>
        <w:p w14:paraId="2F009C2F" w14:textId="6816093E" w:rsidR="00252F59" w:rsidRDefault="00EF1995">
          <w:pPr>
            <w:pStyle w:val="TOC1"/>
            <w:tabs>
              <w:tab w:val="right" w:leader="dot" w:pos="9016"/>
            </w:tabs>
            <w:rPr>
              <w:rFonts w:asciiTheme="minorHAnsi" w:eastAsiaTheme="minorEastAsia" w:hAnsiTheme="minorHAnsi"/>
              <w:noProof/>
              <w:sz w:val="22"/>
              <w:szCs w:val="28"/>
              <w:lang w:eastAsia="en-GB" w:bidi="bn-BD"/>
            </w:rPr>
          </w:pPr>
          <w:hyperlink w:anchor="_Toc104224907" w:history="1">
            <w:r w:rsidR="00252F59" w:rsidRPr="00920266">
              <w:rPr>
                <w:rStyle w:val="Hyperlink"/>
                <w:noProof/>
              </w:rPr>
              <w:t>Conclusion</w:t>
            </w:r>
            <w:r w:rsidR="00252F59">
              <w:rPr>
                <w:noProof/>
                <w:webHidden/>
              </w:rPr>
              <w:tab/>
            </w:r>
            <w:r w:rsidR="00252F59">
              <w:rPr>
                <w:noProof/>
                <w:webHidden/>
              </w:rPr>
              <w:fldChar w:fldCharType="begin"/>
            </w:r>
            <w:r w:rsidR="00252F59">
              <w:rPr>
                <w:noProof/>
                <w:webHidden/>
              </w:rPr>
              <w:instrText xml:space="preserve"> PAGEREF _Toc104224907 \h </w:instrText>
            </w:r>
            <w:r w:rsidR="00252F59">
              <w:rPr>
                <w:noProof/>
                <w:webHidden/>
              </w:rPr>
            </w:r>
            <w:r w:rsidR="00252F59">
              <w:rPr>
                <w:noProof/>
                <w:webHidden/>
              </w:rPr>
              <w:fldChar w:fldCharType="separate"/>
            </w:r>
            <w:r w:rsidR="00252F59">
              <w:rPr>
                <w:noProof/>
                <w:webHidden/>
              </w:rPr>
              <w:t>1</w:t>
            </w:r>
            <w:r w:rsidR="00DC6382">
              <w:rPr>
                <w:noProof/>
                <w:webHidden/>
              </w:rPr>
              <w:t>4</w:t>
            </w:r>
            <w:r w:rsidR="00252F59">
              <w:rPr>
                <w:noProof/>
                <w:webHidden/>
              </w:rPr>
              <w:fldChar w:fldCharType="end"/>
            </w:r>
          </w:hyperlink>
        </w:p>
        <w:p w14:paraId="457472F1" w14:textId="716CDB13" w:rsidR="00252F59" w:rsidRDefault="00EF1995">
          <w:pPr>
            <w:pStyle w:val="TOC1"/>
            <w:tabs>
              <w:tab w:val="right" w:leader="dot" w:pos="9016"/>
            </w:tabs>
            <w:rPr>
              <w:rFonts w:asciiTheme="minorHAnsi" w:eastAsiaTheme="minorEastAsia" w:hAnsiTheme="minorHAnsi"/>
              <w:noProof/>
              <w:sz w:val="22"/>
              <w:szCs w:val="28"/>
              <w:lang w:eastAsia="en-GB" w:bidi="bn-BD"/>
            </w:rPr>
          </w:pPr>
          <w:hyperlink w:anchor="_Toc104224908" w:history="1">
            <w:r w:rsidR="00252F59" w:rsidRPr="00920266">
              <w:rPr>
                <w:rStyle w:val="Hyperlink"/>
                <w:noProof/>
              </w:rPr>
              <w:t>References</w:t>
            </w:r>
            <w:r w:rsidR="00252F59">
              <w:rPr>
                <w:noProof/>
                <w:webHidden/>
              </w:rPr>
              <w:tab/>
            </w:r>
            <w:r w:rsidR="00252F59">
              <w:rPr>
                <w:noProof/>
                <w:webHidden/>
              </w:rPr>
              <w:fldChar w:fldCharType="begin"/>
            </w:r>
            <w:r w:rsidR="00252F59">
              <w:rPr>
                <w:noProof/>
                <w:webHidden/>
              </w:rPr>
              <w:instrText xml:space="preserve"> PAGEREF _Toc104224908 \h </w:instrText>
            </w:r>
            <w:r w:rsidR="00252F59">
              <w:rPr>
                <w:noProof/>
                <w:webHidden/>
              </w:rPr>
            </w:r>
            <w:r w:rsidR="00252F59">
              <w:rPr>
                <w:noProof/>
                <w:webHidden/>
              </w:rPr>
              <w:fldChar w:fldCharType="separate"/>
            </w:r>
            <w:r w:rsidR="00252F59">
              <w:rPr>
                <w:noProof/>
                <w:webHidden/>
              </w:rPr>
              <w:t>1</w:t>
            </w:r>
            <w:r w:rsidR="00DC6382">
              <w:rPr>
                <w:noProof/>
                <w:webHidden/>
              </w:rPr>
              <w:t>5</w:t>
            </w:r>
            <w:r w:rsidR="00252F59">
              <w:rPr>
                <w:noProof/>
                <w:webHidden/>
              </w:rPr>
              <w:fldChar w:fldCharType="end"/>
            </w:r>
          </w:hyperlink>
        </w:p>
        <w:p w14:paraId="0555C02C" w14:textId="1F6A666A" w:rsidR="00977283" w:rsidRDefault="00977283" w:rsidP="00D05290">
          <w:pPr>
            <w:spacing w:line="360" w:lineRule="auto"/>
          </w:pPr>
          <w:r>
            <w:rPr>
              <w:b/>
              <w:bCs/>
              <w:noProof/>
            </w:rPr>
            <w:fldChar w:fldCharType="end"/>
          </w:r>
        </w:p>
      </w:sdtContent>
    </w:sdt>
    <w:p w14:paraId="5FECF5D9" w14:textId="77777777" w:rsidR="00977283" w:rsidRDefault="00977283" w:rsidP="00D05290">
      <w:pPr>
        <w:spacing w:line="360" w:lineRule="auto"/>
      </w:pPr>
    </w:p>
    <w:p w14:paraId="4337D2AC" w14:textId="77777777" w:rsidR="00977283" w:rsidRDefault="00977283" w:rsidP="00D05290">
      <w:pPr>
        <w:spacing w:line="360" w:lineRule="auto"/>
      </w:pPr>
    </w:p>
    <w:p w14:paraId="3670442C" w14:textId="0BF42A53" w:rsidR="00977283" w:rsidRDefault="00977283" w:rsidP="00D05290">
      <w:pPr>
        <w:spacing w:line="360" w:lineRule="auto"/>
      </w:pPr>
    </w:p>
    <w:p w14:paraId="31085991" w14:textId="2860D7FC" w:rsidR="00977283" w:rsidRDefault="00977283" w:rsidP="00D05290">
      <w:pPr>
        <w:spacing w:line="360" w:lineRule="auto"/>
      </w:pPr>
    </w:p>
    <w:p w14:paraId="264A9CE4" w14:textId="77777777" w:rsidR="00977283" w:rsidRPr="00977283" w:rsidRDefault="00977283" w:rsidP="00D05290">
      <w:pPr>
        <w:spacing w:line="360" w:lineRule="auto"/>
      </w:pPr>
    </w:p>
    <w:p w14:paraId="6419DA59" w14:textId="3E9E88D9" w:rsidR="00AA2D52" w:rsidRDefault="00AA2D52" w:rsidP="00D05290">
      <w:pPr>
        <w:spacing w:line="360" w:lineRule="auto"/>
      </w:pPr>
    </w:p>
    <w:p w14:paraId="62F4AF84" w14:textId="5FFE4E1E" w:rsidR="00977283" w:rsidRDefault="00977283" w:rsidP="00D05290">
      <w:pPr>
        <w:spacing w:line="360" w:lineRule="auto"/>
      </w:pPr>
    </w:p>
    <w:p w14:paraId="3A07B5B5" w14:textId="54D2AE4E" w:rsidR="00977283" w:rsidRDefault="00977283" w:rsidP="00D05290">
      <w:pPr>
        <w:spacing w:line="360" w:lineRule="auto"/>
      </w:pPr>
    </w:p>
    <w:p w14:paraId="3175C01A" w14:textId="0D577027" w:rsidR="00977283" w:rsidRDefault="00977283" w:rsidP="00D05290">
      <w:pPr>
        <w:spacing w:line="360" w:lineRule="auto"/>
      </w:pPr>
    </w:p>
    <w:p w14:paraId="6E763F50" w14:textId="4967D447" w:rsidR="00977283" w:rsidRDefault="00977283" w:rsidP="00D05290">
      <w:pPr>
        <w:spacing w:line="360" w:lineRule="auto"/>
      </w:pPr>
    </w:p>
    <w:p w14:paraId="2F477725" w14:textId="63B287A1" w:rsidR="00977283" w:rsidRDefault="00977283" w:rsidP="00D05290">
      <w:pPr>
        <w:spacing w:line="360" w:lineRule="auto"/>
      </w:pPr>
    </w:p>
    <w:p w14:paraId="530A0660" w14:textId="42A37761" w:rsidR="00977283" w:rsidRDefault="00977283" w:rsidP="00D05290">
      <w:pPr>
        <w:spacing w:line="360" w:lineRule="auto"/>
      </w:pPr>
    </w:p>
    <w:p w14:paraId="14278A4D" w14:textId="4BF15914" w:rsidR="00977283" w:rsidRDefault="00977283" w:rsidP="00D05290">
      <w:pPr>
        <w:spacing w:line="360" w:lineRule="auto"/>
      </w:pPr>
    </w:p>
    <w:p w14:paraId="04F33B72" w14:textId="023C3C77" w:rsidR="00977283" w:rsidRDefault="00977283" w:rsidP="00D05290">
      <w:pPr>
        <w:spacing w:line="360" w:lineRule="auto"/>
      </w:pPr>
    </w:p>
    <w:p w14:paraId="5BE84F9C" w14:textId="7A42FE38" w:rsidR="00977283" w:rsidRDefault="00977283" w:rsidP="00D05290">
      <w:pPr>
        <w:spacing w:line="360" w:lineRule="auto"/>
      </w:pPr>
    </w:p>
    <w:p w14:paraId="771FA66C" w14:textId="144075A6" w:rsidR="00977283" w:rsidRDefault="00977283" w:rsidP="00D05290">
      <w:pPr>
        <w:spacing w:line="360" w:lineRule="auto"/>
      </w:pPr>
    </w:p>
    <w:p w14:paraId="07EE10E3" w14:textId="530A950D" w:rsidR="00977283" w:rsidRDefault="00977283" w:rsidP="00D05290">
      <w:pPr>
        <w:spacing w:line="360" w:lineRule="auto"/>
      </w:pPr>
    </w:p>
    <w:p w14:paraId="58050397" w14:textId="536798F6" w:rsidR="00977283" w:rsidRDefault="00977283" w:rsidP="00D05290">
      <w:pPr>
        <w:spacing w:line="360" w:lineRule="auto"/>
      </w:pPr>
    </w:p>
    <w:p w14:paraId="43B595D5" w14:textId="299DAA3D" w:rsidR="00977283" w:rsidRDefault="00977283" w:rsidP="00D05290">
      <w:pPr>
        <w:pStyle w:val="Heading1"/>
        <w:spacing w:line="360" w:lineRule="auto"/>
      </w:pPr>
      <w:bookmarkStart w:id="0" w:name="_Toc104224903"/>
      <w:r>
        <w:t>Introduction</w:t>
      </w:r>
      <w:bookmarkEnd w:id="0"/>
    </w:p>
    <w:p w14:paraId="2098B91C" w14:textId="6BFF735F" w:rsidR="00977283" w:rsidRDefault="00091F9D" w:rsidP="00D05290">
      <w:pPr>
        <w:spacing w:line="360" w:lineRule="auto"/>
      </w:pPr>
      <w:bookmarkStart w:id="1" w:name="_Hlk104222761"/>
      <w:r>
        <w:t xml:space="preserve">The report aims to provide an understanding of financial ratios with an analysis of the financial ratios of Hilton </w:t>
      </w:r>
      <w:r w:rsidRPr="00091F9D">
        <w:t>Worldwide Holdings Inc</w:t>
      </w:r>
      <w:bookmarkEnd w:id="1"/>
      <w:r>
        <w:t>. The hotel industry faced a downturn in 2020 due to the pandemic and the report focuses on the financial ratios of the hotel for 2019 and 2020</w:t>
      </w:r>
      <w:r w:rsidR="00D05290" w:rsidRPr="00D05290">
        <w:t xml:space="preserve"> (Alameri et al., 2021)</w:t>
      </w:r>
      <w:r>
        <w:t>. The understanding of the ratios and the explanation for the ratios are the discussion topics of the report. The report also discusses the importance</w:t>
      </w:r>
      <w:r w:rsidR="000B5ABA">
        <w:t xml:space="preserve"> of </w:t>
      </w:r>
      <w:r w:rsidR="00152EEB">
        <w:t xml:space="preserve"> horizontal ratios</w:t>
      </w:r>
      <w:r>
        <w:t xml:space="preserve"> </w:t>
      </w:r>
      <w:r w:rsidR="00152EEB">
        <w:t xml:space="preserve">and </w:t>
      </w:r>
      <w:r>
        <w:t xml:space="preserve">understanding ratios for better decision making of the stakeholders of a company. In the end, it also discusses the limitations of the ratio analysis that the organisations should keep in mind while using ratio analysis. </w:t>
      </w:r>
    </w:p>
    <w:tbl>
      <w:tblPr>
        <w:tblpPr w:leftFromText="180" w:rightFromText="180" w:vertAnchor="text" w:horzAnchor="margin" w:tblpY="636"/>
        <w:tblW w:w="7707" w:type="dxa"/>
        <w:tblLook w:val="04A0" w:firstRow="1" w:lastRow="0" w:firstColumn="1" w:lastColumn="0" w:noHBand="0" w:noVBand="1"/>
      </w:tblPr>
      <w:tblGrid>
        <w:gridCol w:w="2798"/>
        <w:gridCol w:w="1361"/>
        <w:gridCol w:w="1361"/>
        <w:gridCol w:w="1107"/>
        <w:gridCol w:w="1080"/>
      </w:tblGrid>
      <w:tr w:rsidR="00283FAF" w:rsidRPr="004C3389" w14:paraId="2800A93C" w14:textId="77777777" w:rsidTr="00E2672F">
        <w:trPr>
          <w:trHeight w:val="915"/>
        </w:trPr>
        <w:tc>
          <w:tcPr>
            <w:tcW w:w="7707" w:type="dxa"/>
            <w:gridSpan w:val="5"/>
            <w:tcBorders>
              <w:top w:val="nil"/>
              <w:left w:val="nil"/>
              <w:right w:val="nil"/>
            </w:tcBorders>
            <w:shd w:val="clear" w:color="auto" w:fill="auto"/>
            <w:noWrap/>
            <w:vAlign w:val="bottom"/>
          </w:tcPr>
          <w:p w14:paraId="570CFADC" w14:textId="40CEC2D9" w:rsidR="00283FAF" w:rsidRPr="004C3389" w:rsidRDefault="00283FAF" w:rsidP="00E2672F">
            <w:pPr>
              <w:spacing w:after="0" w:line="240" w:lineRule="auto"/>
              <w:jc w:val="left"/>
              <w:rPr>
                <w:rFonts w:eastAsia="Times New Roman" w:cs="Times New Roman"/>
                <w:sz w:val="20"/>
                <w:szCs w:val="20"/>
                <w:lang w:eastAsia="en-GB"/>
              </w:rPr>
            </w:pPr>
            <w:r w:rsidRPr="004C3389">
              <w:rPr>
                <w:rFonts w:ascii="Calibri" w:eastAsia="Times New Roman" w:hAnsi="Calibri" w:cs="Calibri"/>
                <w:b/>
                <w:bCs/>
                <w:color w:val="000000"/>
                <w:sz w:val="22"/>
                <w:lang w:eastAsia="en-GB"/>
              </w:rPr>
              <w:t>Income statement Hilton Worldwide Holdings Inc. (HLT)</w:t>
            </w:r>
          </w:p>
        </w:tc>
      </w:tr>
      <w:tr w:rsidR="00283FAF" w:rsidRPr="004C3389" w14:paraId="0072109D" w14:textId="77777777" w:rsidTr="00283FAF">
        <w:trPr>
          <w:trHeight w:val="315"/>
        </w:trPr>
        <w:tc>
          <w:tcPr>
            <w:tcW w:w="2798"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17F86199" w14:textId="77777777" w:rsidR="00283FAF" w:rsidRPr="004C3389" w:rsidRDefault="00283FAF" w:rsidP="00283FAF">
            <w:pPr>
              <w:spacing w:after="0" w:line="240" w:lineRule="auto"/>
              <w:jc w:val="center"/>
              <w:rPr>
                <w:rFonts w:ascii="Calibri" w:eastAsia="Times New Roman" w:hAnsi="Calibri" w:cs="Calibri"/>
                <w:b/>
                <w:bCs/>
                <w:color w:val="000000"/>
                <w:sz w:val="22"/>
                <w:lang w:eastAsia="en-GB"/>
              </w:rPr>
            </w:pPr>
          </w:p>
        </w:tc>
        <w:tc>
          <w:tcPr>
            <w:tcW w:w="1361" w:type="dxa"/>
            <w:tcBorders>
              <w:top w:val="single" w:sz="8" w:space="0" w:color="auto"/>
              <w:left w:val="nil"/>
              <w:bottom w:val="single" w:sz="8" w:space="0" w:color="auto"/>
              <w:right w:val="single" w:sz="8" w:space="0" w:color="auto"/>
            </w:tcBorders>
            <w:shd w:val="clear" w:color="auto" w:fill="auto"/>
            <w:noWrap/>
            <w:vAlign w:val="bottom"/>
            <w:hideMark/>
          </w:tcPr>
          <w:p w14:paraId="2EC4F044" w14:textId="77777777" w:rsidR="00283FAF" w:rsidRPr="004C3389" w:rsidRDefault="00283FAF" w:rsidP="00283FAF">
            <w:pPr>
              <w:spacing w:after="0" w:line="240" w:lineRule="auto"/>
              <w:jc w:val="center"/>
              <w:rPr>
                <w:rFonts w:ascii="Calibri" w:eastAsia="Times New Roman" w:hAnsi="Calibri" w:cs="Calibri"/>
                <w:b/>
                <w:bCs/>
                <w:color w:val="000000"/>
                <w:sz w:val="22"/>
                <w:lang w:eastAsia="en-GB"/>
              </w:rPr>
            </w:pPr>
          </w:p>
        </w:tc>
        <w:tc>
          <w:tcPr>
            <w:tcW w:w="1361" w:type="dxa"/>
            <w:tcBorders>
              <w:top w:val="single" w:sz="8" w:space="0" w:color="auto"/>
              <w:left w:val="nil"/>
              <w:bottom w:val="single" w:sz="8" w:space="0" w:color="auto"/>
              <w:right w:val="single" w:sz="8" w:space="0" w:color="auto"/>
            </w:tcBorders>
            <w:shd w:val="clear" w:color="auto" w:fill="auto"/>
            <w:noWrap/>
            <w:vAlign w:val="bottom"/>
            <w:hideMark/>
          </w:tcPr>
          <w:p w14:paraId="544237B2" w14:textId="77777777" w:rsidR="00283FAF" w:rsidRPr="004C3389" w:rsidRDefault="00283FAF" w:rsidP="00283FAF">
            <w:pPr>
              <w:spacing w:after="0" w:line="240" w:lineRule="auto"/>
              <w:jc w:val="center"/>
              <w:rPr>
                <w:rFonts w:ascii="Calibri" w:eastAsia="Times New Roman" w:hAnsi="Calibri" w:cs="Calibri"/>
                <w:b/>
                <w:bCs/>
                <w:color w:val="000000"/>
                <w:sz w:val="22"/>
                <w:lang w:eastAsia="en-GB"/>
              </w:rPr>
            </w:pPr>
          </w:p>
        </w:tc>
        <w:tc>
          <w:tcPr>
            <w:tcW w:w="1107"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0B5F7D16" w14:textId="77777777" w:rsidR="00283FAF" w:rsidRPr="004C3389" w:rsidRDefault="00283FAF" w:rsidP="00283FAF">
            <w:pPr>
              <w:spacing w:after="0" w:line="240" w:lineRule="auto"/>
              <w:jc w:val="center"/>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Change</w:t>
            </w:r>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94E6B2A" w14:textId="77777777" w:rsidR="00283FAF" w:rsidRPr="004C3389" w:rsidRDefault="00283FAF" w:rsidP="00283FAF">
            <w:pPr>
              <w:spacing w:after="0" w:line="240" w:lineRule="auto"/>
              <w:jc w:val="center"/>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 Change</w:t>
            </w:r>
          </w:p>
        </w:tc>
      </w:tr>
      <w:tr w:rsidR="00283FAF" w:rsidRPr="004C3389" w14:paraId="2335648E" w14:textId="77777777" w:rsidTr="00283FAF">
        <w:trPr>
          <w:trHeight w:val="315"/>
        </w:trPr>
        <w:tc>
          <w:tcPr>
            <w:tcW w:w="2798" w:type="dxa"/>
            <w:vMerge/>
            <w:tcBorders>
              <w:top w:val="single" w:sz="8" w:space="0" w:color="auto"/>
              <w:left w:val="single" w:sz="8" w:space="0" w:color="auto"/>
              <w:bottom w:val="single" w:sz="8" w:space="0" w:color="000000"/>
              <w:right w:val="single" w:sz="8" w:space="0" w:color="auto"/>
            </w:tcBorders>
            <w:vAlign w:val="center"/>
            <w:hideMark/>
          </w:tcPr>
          <w:p w14:paraId="32F40F28"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p>
        </w:tc>
        <w:tc>
          <w:tcPr>
            <w:tcW w:w="1361" w:type="dxa"/>
            <w:tcBorders>
              <w:top w:val="nil"/>
              <w:left w:val="nil"/>
              <w:bottom w:val="single" w:sz="8" w:space="0" w:color="auto"/>
              <w:right w:val="single" w:sz="8" w:space="0" w:color="auto"/>
            </w:tcBorders>
            <w:shd w:val="clear" w:color="auto" w:fill="auto"/>
            <w:noWrap/>
            <w:vAlign w:val="center"/>
            <w:hideMark/>
          </w:tcPr>
          <w:p w14:paraId="57F64D3E" w14:textId="77777777" w:rsidR="00283FAF" w:rsidRPr="004C3389" w:rsidRDefault="00283FAF" w:rsidP="00283FAF">
            <w:pPr>
              <w:spacing w:after="0" w:line="240" w:lineRule="auto"/>
              <w:jc w:val="center"/>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31/12/2021</w:t>
            </w:r>
          </w:p>
        </w:tc>
        <w:tc>
          <w:tcPr>
            <w:tcW w:w="1361" w:type="dxa"/>
            <w:tcBorders>
              <w:top w:val="nil"/>
              <w:left w:val="nil"/>
              <w:bottom w:val="single" w:sz="8" w:space="0" w:color="auto"/>
              <w:right w:val="nil"/>
            </w:tcBorders>
            <w:shd w:val="clear" w:color="auto" w:fill="auto"/>
            <w:noWrap/>
            <w:vAlign w:val="center"/>
            <w:hideMark/>
          </w:tcPr>
          <w:p w14:paraId="1EFE3574" w14:textId="77777777" w:rsidR="00283FAF" w:rsidRPr="004C3389" w:rsidRDefault="00283FAF" w:rsidP="00283FAF">
            <w:pPr>
              <w:spacing w:after="0" w:line="240" w:lineRule="auto"/>
              <w:jc w:val="center"/>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31/12/2020</w:t>
            </w:r>
          </w:p>
        </w:tc>
        <w:tc>
          <w:tcPr>
            <w:tcW w:w="1107" w:type="dxa"/>
            <w:vMerge/>
            <w:tcBorders>
              <w:top w:val="single" w:sz="8" w:space="0" w:color="auto"/>
              <w:left w:val="single" w:sz="8" w:space="0" w:color="auto"/>
              <w:bottom w:val="single" w:sz="8" w:space="0" w:color="000000"/>
              <w:right w:val="nil"/>
            </w:tcBorders>
            <w:vAlign w:val="center"/>
            <w:hideMark/>
          </w:tcPr>
          <w:p w14:paraId="195570EB"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14:paraId="7DD9AFAC"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p>
        </w:tc>
      </w:tr>
      <w:tr w:rsidR="00283FAF" w:rsidRPr="004C3389" w14:paraId="0418A0D5" w14:textId="77777777" w:rsidTr="00283FAF">
        <w:trPr>
          <w:trHeight w:val="300"/>
        </w:trPr>
        <w:tc>
          <w:tcPr>
            <w:tcW w:w="2798" w:type="dxa"/>
            <w:tcBorders>
              <w:top w:val="nil"/>
              <w:left w:val="single" w:sz="8" w:space="0" w:color="auto"/>
              <w:bottom w:val="single" w:sz="4" w:space="0" w:color="auto"/>
              <w:right w:val="single" w:sz="4" w:space="0" w:color="auto"/>
            </w:tcBorders>
            <w:shd w:val="clear" w:color="auto" w:fill="auto"/>
            <w:noWrap/>
            <w:vAlign w:val="bottom"/>
            <w:hideMark/>
          </w:tcPr>
          <w:p w14:paraId="525F53DB"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Sales</w:t>
            </w:r>
          </w:p>
        </w:tc>
        <w:tc>
          <w:tcPr>
            <w:tcW w:w="1361" w:type="dxa"/>
            <w:tcBorders>
              <w:top w:val="nil"/>
              <w:left w:val="nil"/>
              <w:bottom w:val="single" w:sz="4" w:space="0" w:color="auto"/>
              <w:right w:val="single" w:sz="4" w:space="0" w:color="auto"/>
            </w:tcBorders>
            <w:shd w:val="clear" w:color="auto" w:fill="auto"/>
            <w:noWrap/>
            <w:vAlign w:val="center"/>
            <w:hideMark/>
          </w:tcPr>
          <w:p w14:paraId="2E20E235"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4,307,000</w:t>
            </w:r>
          </w:p>
        </w:tc>
        <w:tc>
          <w:tcPr>
            <w:tcW w:w="1361" w:type="dxa"/>
            <w:tcBorders>
              <w:top w:val="nil"/>
              <w:left w:val="nil"/>
              <w:bottom w:val="single" w:sz="4" w:space="0" w:color="auto"/>
              <w:right w:val="single" w:sz="4" w:space="0" w:color="auto"/>
            </w:tcBorders>
            <w:shd w:val="clear" w:color="auto" w:fill="auto"/>
            <w:noWrap/>
            <w:vAlign w:val="center"/>
            <w:hideMark/>
          </w:tcPr>
          <w:p w14:paraId="3E92E970"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9,452,000</w:t>
            </w:r>
          </w:p>
        </w:tc>
        <w:tc>
          <w:tcPr>
            <w:tcW w:w="1107" w:type="dxa"/>
            <w:tcBorders>
              <w:top w:val="nil"/>
              <w:left w:val="nil"/>
              <w:bottom w:val="single" w:sz="4" w:space="0" w:color="auto"/>
              <w:right w:val="single" w:sz="4" w:space="0" w:color="auto"/>
            </w:tcBorders>
            <w:shd w:val="clear" w:color="auto" w:fill="auto"/>
            <w:noWrap/>
            <w:vAlign w:val="center"/>
            <w:hideMark/>
          </w:tcPr>
          <w:p w14:paraId="251253E4"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-5,145,000</w:t>
            </w:r>
          </w:p>
        </w:tc>
        <w:tc>
          <w:tcPr>
            <w:tcW w:w="1080" w:type="dxa"/>
            <w:tcBorders>
              <w:top w:val="nil"/>
              <w:left w:val="nil"/>
              <w:bottom w:val="single" w:sz="4" w:space="0" w:color="auto"/>
              <w:right w:val="single" w:sz="8" w:space="0" w:color="auto"/>
            </w:tcBorders>
            <w:shd w:val="clear" w:color="auto" w:fill="auto"/>
            <w:noWrap/>
            <w:vAlign w:val="center"/>
            <w:hideMark/>
          </w:tcPr>
          <w:p w14:paraId="4B292260"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-54</w:t>
            </w:r>
          </w:p>
        </w:tc>
      </w:tr>
      <w:tr w:rsidR="00283FAF" w:rsidRPr="004C3389" w14:paraId="15B2C4F9" w14:textId="77777777" w:rsidTr="00283FAF">
        <w:trPr>
          <w:trHeight w:val="300"/>
        </w:trPr>
        <w:tc>
          <w:tcPr>
            <w:tcW w:w="2798" w:type="dxa"/>
            <w:tcBorders>
              <w:top w:val="nil"/>
              <w:left w:val="single" w:sz="8" w:space="0" w:color="auto"/>
              <w:bottom w:val="single" w:sz="4" w:space="0" w:color="auto"/>
              <w:right w:val="single" w:sz="4" w:space="0" w:color="auto"/>
            </w:tcBorders>
            <w:shd w:val="clear" w:color="auto" w:fill="auto"/>
            <w:noWrap/>
            <w:vAlign w:val="bottom"/>
            <w:hideMark/>
          </w:tcPr>
          <w:p w14:paraId="3FDECAB2"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Cost of goods sold</w:t>
            </w:r>
          </w:p>
        </w:tc>
        <w:tc>
          <w:tcPr>
            <w:tcW w:w="1361" w:type="dxa"/>
            <w:tcBorders>
              <w:top w:val="nil"/>
              <w:left w:val="nil"/>
              <w:bottom w:val="single" w:sz="4" w:space="0" w:color="auto"/>
              <w:right w:val="single" w:sz="4" w:space="0" w:color="auto"/>
            </w:tcBorders>
            <w:shd w:val="clear" w:color="auto" w:fill="auto"/>
            <w:noWrap/>
            <w:vAlign w:val="center"/>
            <w:hideMark/>
          </w:tcPr>
          <w:p w14:paraId="6112D4CC"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3,742,000</w:t>
            </w:r>
          </w:p>
        </w:tc>
        <w:tc>
          <w:tcPr>
            <w:tcW w:w="1361" w:type="dxa"/>
            <w:tcBorders>
              <w:top w:val="nil"/>
              <w:left w:val="nil"/>
              <w:bottom w:val="single" w:sz="4" w:space="0" w:color="auto"/>
              <w:right w:val="single" w:sz="4" w:space="0" w:color="auto"/>
            </w:tcBorders>
            <w:shd w:val="clear" w:color="auto" w:fill="auto"/>
            <w:noWrap/>
            <w:vAlign w:val="center"/>
            <w:hideMark/>
          </w:tcPr>
          <w:p w14:paraId="2A7A708D"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7,017,000</w:t>
            </w:r>
          </w:p>
        </w:tc>
        <w:tc>
          <w:tcPr>
            <w:tcW w:w="1107" w:type="dxa"/>
            <w:tcBorders>
              <w:top w:val="nil"/>
              <w:left w:val="nil"/>
              <w:bottom w:val="single" w:sz="4" w:space="0" w:color="auto"/>
              <w:right w:val="single" w:sz="4" w:space="0" w:color="auto"/>
            </w:tcBorders>
            <w:shd w:val="clear" w:color="auto" w:fill="auto"/>
            <w:noWrap/>
            <w:vAlign w:val="center"/>
            <w:hideMark/>
          </w:tcPr>
          <w:p w14:paraId="363C8DEA"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-3,275,000</w:t>
            </w:r>
          </w:p>
        </w:tc>
        <w:tc>
          <w:tcPr>
            <w:tcW w:w="1080" w:type="dxa"/>
            <w:tcBorders>
              <w:top w:val="nil"/>
              <w:left w:val="nil"/>
              <w:bottom w:val="single" w:sz="4" w:space="0" w:color="auto"/>
              <w:right w:val="single" w:sz="8" w:space="0" w:color="auto"/>
            </w:tcBorders>
            <w:shd w:val="clear" w:color="auto" w:fill="auto"/>
            <w:noWrap/>
            <w:vAlign w:val="center"/>
            <w:hideMark/>
          </w:tcPr>
          <w:p w14:paraId="4C1D28CB"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-47</w:t>
            </w:r>
          </w:p>
        </w:tc>
      </w:tr>
      <w:tr w:rsidR="00283FAF" w:rsidRPr="004C3389" w14:paraId="1DEEAA22" w14:textId="77777777" w:rsidTr="00283FAF">
        <w:trPr>
          <w:trHeight w:val="300"/>
        </w:trPr>
        <w:tc>
          <w:tcPr>
            <w:tcW w:w="2798" w:type="dxa"/>
            <w:tcBorders>
              <w:top w:val="nil"/>
              <w:left w:val="single" w:sz="8" w:space="0" w:color="auto"/>
              <w:bottom w:val="single" w:sz="4" w:space="0" w:color="auto"/>
              <w:right w:val="single" w:sz="4" w:space="0" w:color="auto"/>
            </w:tcBorders>
            <w:shd w:val="clear" w:color="auto" w:fill="auto"/>
            <w:noWrap/>
            <w:vAlign w:val="bottom"/>
            <w:hideMark/>
          </w:tcPr>
          <w:p w14:paraId="063B340A"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Gross profit</w:t>
            </w:r>
          </w:p>
        </w:tc>
        <w:tc>
          <w:tcPr>
            <w:tcW w:w="1361" w:type="dxa"/>
            <w:tcBorders>
              <w:top w:val="nil"/>
              <w:left w:val="nil"/>
              <w:bottom w:val="single" w:sz="4" w:space="0" w:color="auto"/>
              <w:right w:val="single" w:sz="4" w:space="0" w:color="auto"/>
            </w:tcBorders>
            <w:shd w:val="clear" w:color="auto" w:fill="auto"/>
            <w:noWrap/>
            <w:vAlign w:val="center"/>
            <w:hideMark/>
          </w:tcPr>
          <w:p w14:paraId="28482439"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583,000</w:t>
            </w:r>
          </w:p>
        </w:tc>
        <w:tc>
          <w:tcPr>
            <w:tcW w:w="1361" w:type="dxa"/>
            <w:tcBorders>
              <w:top w:val="nil"/>
              <w:left w:val="nil"/>
              <w:bottom w:val="single" w:sz="4" w:space="0" w:color="auto"/>
              <w:right w:val="single" w:sz="4" w:space="0" w:color="auto"/>
            </w:tcBorders>
            <w:shd w:val="clear" w:color="auto" w:fill="auto"/>
            <w:noWrap/>
            <w:vAlign w:val="center"/>
            <w:hideMark/>
          </w:tcPr>
          <w:p w14:paraId="72A26835"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2,435,000</w:t>
            </w:r>
          </w:p>
        </w:tc>
        <w:tc>
          <w:tcPr>
            <w:tcW w:w="1107" w:type="dxa"/>
            <w:tcBorders>
              <w:top w:val="nil"/>
              <w:left w:val="nil"/>
              <w:bottom w:val="single" w:sz="4" w:space="0" w:color="auto"/>
              <w:right w:val="single" w:sz="4" w:space="0" w:color="auto"/>
            </w:tcBorders>
            <w:shd w:val="clear" w:color="auto" w:fill="auto"/>
            <w:noWrap/>
            <w:vAlign w:val="center"/>
            <w:hideMark/>
          </w:tcPr>
          <w:p w14:paraId="5B84C0B9"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-1,852,000</w:t>
            </w:r>
          </w:p>
        </w:tc>
        <w:tc>
          <w:tcPr>
            <w:tcW w:w="1080" w:type="dxa"/>
            <w:tcBorders>
              <w:top w:val="nil"/>
              <w:left w:val="nil"/>
              <w:bottom w:val="single" w:sz="4" w:space="0" w:color="auto"/>
              <w:right w:val="single" w:sz="8" w:space="0" w:color="auto"/>
            </w:tcBorders>
            <w:shd w:val="clear" w:color="auto" w:fill="auto"/>
            <w:noWrap/>
            <w:vAlign w:val="center"/>
            <w:hideMark/>
          </w:tcPr>
          <w:p w14:paraId="0EE262A2"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-76</w:t>
            </w:r>
          </w:p>
        </w:tc>
      </w:tr>
      <w:tr w:rsidR="00283FAF" w:rsidRPr="004C3389" w14:paraId="58DE3165" w14:textId="77777777" w:rsidTr="00283FAF">
        <w:trPr>
          <w:trHeight w:val="300"/>
        </w:trPr>
        <w:tc>
          <w:tcPr>
            <w:tcW w:w="2798" w:type="dxa"/>
            <w:tcBorders>
              <w:top w:val="nil"/>
              <w:left w:val="single" w:sz="8" w:space="0" w:color="auto"/>
              <w:bottom w:val="single" w:sz="4" w:space="0" w:color="auto"/>
              <w:right w:val="single" w:sz="4" w:space="0" w:color="auto"/>
            </w:tcBorders>
            <w:shd w:val="clear" w:color="auto" w:fill="auto"/>
            <w:noWrap/>
            <w:vAlign w:val="bottom"/>
            <w:hideMark/>
          </w:tcPr>
          <w:p w14:paraId="6801A68D"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Operating Expenses</w:t>
            </w:r>
          </w:p>
        </w:tc>
        <w:tc>
          <w:tcPr>
            <w:tcW w:w="1361" w:type="dxa"/>
            <w:tcBorders>
              <w:top w:val="nil"/>
              <w:left w:val="nil"/>
              <w:bottom w:val="single" w:sz="4" w:space="0" w:color="auto"/>
              <w:right w:val="single" w:sz="4" w:space="0" w:color="auto"/>
            </w:tcBorders>
            <w:shd w:val="clear" w:color="auto" w:fill="auto"/>
            <w:noWrap/>
            <w:vAlign w:val="center"/>
            <w:hideMark/>
          </w:tcPr>
          <w:p w14:paraId="225F6503"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702,000</w:t>
            </w:r>
          </w:p>
        </w:tc>
        <w:tc>
          <w:tcPr>
            <w:tcW w:w="1361" w:type="dxa"/>
            <w:tcBorders>
              <w:top w:val="nil"/>
              <w:left w:val="nil"/>
              <w:bottom w:val="single" w:sz="4" w:space="0" w:color="auto"/>
              <w:right w:val="single" w:sz="4" w:space="0" w:color="auto"/>
            </w:tcBorders>
            <w:shd w:val="clear" w:color="auto" w:fill="auto"/>
            <w:noWrap/>
            <w:vAlign w:val="center"/>
            <w:hideMark/>
          </w:tcPr>
          <w:p w14:paraId="40B2EC3F"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859,000</w:t>
            </w:r>
          </w:p>
        </w:tc>
        <w:tc>
          <w:tcPr>
            <w:tcW w:w="1107" w:type="dxa"/>
            <w:tcBorders>
              <w:top w:val="nil"/>
              <w:left w:val="nil"/>
              <w:bottom w:val="single" w:sz="4" w:space="0" w:color="auto"/>
              <w:right w:val="single" w:sz="4" w:space="0" w:color="auto"/>
            </w:tcBorders>
            <w:shd w:val="clear" w:color="auto" w:fill="auto"/>
            <w:noWrap/>
            <w:vAlign w:val="center"/>
            <w:hideMark/>
          </w:tcPr>
          <w:p w14:paraId="2B1E03A8"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-157,000</w:t>
            </w:r>
          </w:p>
        </w:tc>
        <w:tc>
          <w:tcPr>
            <w:tcW w:w="1080" w:type="dxa"/>
            <w:tcBorders>
              <w:top w:val="nil"/>
              <w:left w:val="nil"/>
              <w:bottom w:val="single" w:sz="4" w:space="0" w:color="auto"/>
              <w:right w:val="single" w:sz="8" w:space="0" w:color="auto"/>
            </w:tcBorders>
            <w:shd w:val="clear" w:color="auto" w:fill="auto"/>
            <w:noWrap/>
            <w:vAlign w:val="center"/>
            <w:hideMark/>
          </w:tcPr>
          <w:p w14:paraId="397F048C"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-18</w:t>
            </w:r>
          </w:p>
        </w:tc>
      </w:tr>
      <w:tr w:rsidR="00283FAF" w:rsidRPr="004C3389" w14:paraId="45A98B95" w14:textId="77777777" w:rsidTr="00283FAF">
        <w:trPr>
          <w:trHeight w:val="300"/>
        </w:trPr>
        <w:tc>
          <w:tcPr>
            <w:tcW w:w="2798" w:type="dxa"/>
            <w:tcBorders>
              <w:top w:val="nil"/>
              <w:left w:val="single" w:sz="8" w:space="0" w:color="auto"/>
              <w:bottom w:val="single" w:sz="4" w:space="0" w:color="auto"/>
              <w:right w:val="single" w:sz="4" w:space="0" w:color="auto"/>
            </w:tcBorders>
            <w:shd w:val="clear" w:color="auto" w:fill="auto"/>
            <w:noWrap/>
            <w:vAlign w:val="bottom"/>
            <w:hideMark/>
          </w:tcPr>
          <w:p w14:paraId="5F19D4EB"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Operating Income</w:t>
            </w:r>
          </w:p>
        </w:tc>
        <w:tc>
          <w:tcPr>
            <w:tcW w:w="1361" w:type="dxa"/>
            <w:tcBorders>
              <w:top w:val="nil"/>
              <w:left w:val="nil"/>
              <w:bottom w:val="single" w:sz="4" w:space="0" w:color="auto"/>
              <w:right w:val="single" w:sz="4" w:space="0" w:color="auto"/>
            </w:tcBorders>
            <w:shd w:val="clear" w:color="auto" w:fill="auto"/>
            <w:noWrap/>
            <w:vAlign w:val="center"/>
            <w:hideMark/>
          </w:tcPr>
          <w:p w14:paraId="7D0A246B"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-119,000</w:t>
            </w:r>
          </w:p>
        </w:tc>
        <w:tc>
          <w:tcPr>
            <w:tcW w:w="1361" w:type="dxa"/>
            <w:tcBorders>
              <w:top w:val="nil"/>
              <w:left w:val="nil"/>
              <w:bottom w:val="single" w:sz="4" w:space="0" w:color="auto"/>
              <w:right w:val="single" w:sz="4" w:space="0" w:color="auto"/>
            </w:tcBorders>
            <w:shd w:val="clear" w:color="auto" w:fill="auto"/>
            <w:noWrap/>
            <w:vAlign w:val="center"/>
            <w:hideMark/>
          </w:tcPr>
          <w:p w14:paraId="0924100A"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1,576,000</w:t>
            </w:r>
          </w:p>
        </w:tc>
        <w:tc>
          <w:tcPr>
            <w:tcW w:w="1107" w:type="dxa"/>
            <w:tcBorders>
              <w:top w:val="nil"/>
              <w:left w:val="nil"/>
              <w:bottom w:val="single" w:sz="4" w:space="0" w:color="auto"/>
              <w:right w:val="single" w:sz="4" w:space="0" w:color="auto"/>
            </w:tcBorders>
            <w:shd w:val="clear" w:color="auto" w:fill="auto"/>
            <w:noWrap/>
            <w:vAlign w:val="center"/>
            <w:hideMark/>
          </w:tcPr>
          <w:p w14:paraId="47880A27"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-1,695,000</w:t>
            </w:r>
          </w:p>
        </w:tc>
        <w:tc>
          <w:tcPr>
            <w:tcW w:w="1080" w:type="dxa"/>
            <w:tcBorders>
              <w:top w:val="nil"/>
              <w:left w:val="nil"/>
              <w:bottom w:val="single" w:sz="4" w:space="0" w:color="auto"/>
              <w:right w:val="single" w:sz="8" w:space="0" w:color="auto"/>
            </w:tcBorders>
            <w:shd w:val="clear" w:color="auto" w:fill="auto"/>
            <w:noWrap/>
            <w:vAlign w:val="center"/>
            <w:hideMark/>
          </w:tcPr>
          <w:p w14:paraId="48FA4EB0"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-108</w:t>
            </w:r>
          </w:p>
        </w:tc>
      </w:tr>
      <w:tr w:rsidR="00283FAF" w:rsidRPr="004C3389" w14:paraId="180CBA08" w14:textId="77777777" w:rsidTr="00283FAF">
        <w:trPr>
          <w:trHeight w:val="300"/>
        </w:trPr>
        <w:tc>
          <w:tcPr>
            <w:tcW w:w="2798" w:type="dxa"/>
            <w:tcBorders>
              <w:top w:val="nil"/>
              <w:left w:val="single" w:sz="8" w:space="0" w:color="auto"/>
              <w:bottom w:val="single" w:sz="4" w:space="0" w:color="auto"/>
              <w:right w:val="single" w:sz="4" w:space="0" w:color="auto"/>
            </w:tcBorders>
            <w:shd w:val="clear" w:color="auto" w:fill="auto"/>
            <w:noWrap/>
            <w:vAlign w:val="bottom"/>
            <w:hideMark/>
          </w:tcPr>
          <w:p w14:paraId="145C9E36"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Interest Expense</w:t>
            </w:r>
          </w:p>
        </w:tc>
        <w:tc>
          <w:tcPr>
            <w:tcW w:w="1361" w:type="dxa"/>
            <w:tcBorders>
              <w:top w:val="nil"/>
              <w:left w:val="nil"/>
              <w:bottom w:val="single" w:sz="4" w:space="0" w:color="auto"/>
              <w:right w:val="single" w:sz="4" w:space="0" w:color="auto"/>
            </w:tcBorders>
            <w:shd w:val="clear" w:color="auto" w:fill="auto"/>
            <w:noWrap/>
            <w:vAlign w:val="center"/>
            <w:hideMark/>
          </w:tcPr>
          <w:p w14:paraId="402E313E"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429,000</w:t>
            </w:r>
          </w:p>
        </w:tc>
        <w:tc>
          <w:tcPr>
            <w:tcW w:w="1361" w:type="dxa"/>
            <w:tcBorders>
              <w:top w:val="nil"/>
              <w:left w:val="nil"/>
              <w:bottom w:val="single" w:sz="4" w:space="0" w:color="auto"/>
              <w:right w:val="single" w:sz="4" w:space="0" w:color="auto"/>
            </w:tcBorders>
            <w:shd w:val="clear" w:color="auto" w:fill="auto"/>
            <w:noWrap/>
            <w:vAlign w:val="center"/>
            <w:hideMark/>
          </w:tcPr>
          <w:p w14:paraId="4723F722"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414,000</w:t>
            </w:r>
          </w:p>
        </w:tc>
        <w:tc>
          <w:tcPr>
            <w:tcW w:w="1107" w:type="dxa"/>
            <w:tcBorders>
              <w:top w:val="nil"/>
              <w:left w:val="nil"/>
              <w:bottom w:val="single" w:sz="4" w:space="0" w:color="auto"/>
              <w:right w:val="single" w:sz="4" w:space="0" w:color="auto"/>
            </w:tcBorders>
            <w:shd w:val="clear" w:color="auto" w:fill="auto"/>
            <w:noWrap/>
            <w:vAlign w:val="center"/>
            <w:hideMark/>
          </w:tcPr>
          <w:p w14:paraId="49CCA480"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15,000</w:t>
            </w:r>
          </w:p>
        </w:tc>
        <w:tc>
          <w:tcPr>
            <w:tcW w:w="1080" w:type="dxa"/>
            <w:tcBorders>
              <w:top w:val="nil"/>
              <w:left w:val="nil"/>
              <w:bottom w:val="single" w:sz="4" w:space="0" w:color="auto"/>
              <w:right w:val="single" w:sz="8" w:space="0" w:color="auto"/>
            </w:tcBorders>
            <w:shd w:val="clear" w:color="auto" w:fill="auto"/>
            <w:noWrap/>
            <w:vAlign w:val="center"/>
            <w:hideMark/>
          </w:tcPr>
          <w:p w14:paraId="4ACF9179"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4</w:t>
            </w:r>
          </w:p>
        </w:tc>
      </w:tr>
      <w:tr w:rsidR="00283FAF" w:rsidRPr="004C3389" w14:paraId="24D5E7B2" w14:textId="77777777" w:rsidTr="00283FAF">
        <w:trPr>
          <w:trHeight w:val="600"/>
        </w:trPr>
        <w:tc>
          <w:tcPr>
            <w:tcW w:w="2798" w:type="dxa"/>
            <w:tcBorders>
              <w:top w:val="nil"/>
              <w:left w:val="single" w:sz="8" w:space="0" w:color="auto"/>
              <w:bottom w:val="single" w:sz="4" w:space="0" w:color="auto"/>
              <w:right w:val="single" w:sz="4" w:space="0" w:color="auto"/>
            </w:tcBorders>
            <w:shd w:val="clear" w:color="auto" w:fill="auto"/>
            <w:vAlign w:val="bottom"/>
            <w:hideMark/>
          </w:tcPr>
          <w:p w14:paraId="3B498E09"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Total Other income/ expenses net</w:t>
            </w:r>
          </w:p>
        </w:tc>
        <w:tc>
          <w:tcPr>
            <w:tcW w:w="1361" w:type="dxa"/>
            <w:tcBorders>
              <w:top w:val="nil"/>
              <w:left w:val="nil"/>
              <w:bottom w:val="single" w:sz="4" w:space="0" w:color="auto"/>
              <w:right w:val="single" w:sz="4" w:space="0" w:color="auto"/>
            </w:tcBorders>
            <w:shd w:val="clear" w:color="auto" w:fill="auto"/>
            <w:noWrap/>
            <w:vAlign w:val="center"/>
            <w:hideMark/>
          </w:tcPr>
          <w:p w14:paraId="0FDAD3E7"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-376,000</w:t>
            </w:r>
          </w:p>
        </w:tc>
        <w:tc>
          <w:tcPr>
            <w:tcW w:w="1361" w:type="dxa"/>
            <w:tcBorders>
              <w:top w:val="nil"/>
              <w:left w:val="nil"/>
              <w:bottom w:val="single" w:sz="4" w:space="0" w:color="auto"/>
              <w:right w:val="single" w:sz="4" w:space="0" w:color="auto"/>
            </w:tcBorders>
            <w:shd w:val="clear" w:color="auto" w:fill="auto"/>
            <w:noWrap/>
            <w:vAlign w:val="center"/>
            <w:hideMark/>
          </w:tcPr>
          <w:p w14:paraId="58FFF638"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82,000</w:t>
            </w:r>
          </w:p>
        </w:tc>
        <w:tc>
          <w:tcPr>
            <w:tcW w:w="1107" w:type="dxa"/>
            <w:tcBorders>
              <w:top w:val="nil"/>
              <w:left w:val="nil"/>
              <w:bottom w:val="single" w:sz="4" w:space="0" w:color="auto"/>
              <w:right w:val="single" w:sz="4" w:space="0" w:color="auto"/>
            </w:tcBorders>
            <w:shd w:val="clear" w:color="auto" w:fill="auto"/>
            <w:noWrap/>
            <w:vAlign w:val="center"/>
            <w:hideMark/>
          </w:tcPr>
          <w:p w14:paraId="6E95B01C"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-458,000</w:t>
            </w:r>
          </w:p>
        </w:tc>
        <w:tc>
          <w:tcPr>
            <w:tcW w:w="1080" w:type="dxa"/>
            <w:tcBorders>
              <w:top w:val="nil"/>
              <w:left w:val="nil"/>
              <w:bottom w:val="single" w:sz="4" w:space="0" w:color="auto"/>
              <w:right w:val="single" w:sz="8" w:space="0" w:color="auto"/>
            </w:tcBorders>
            <w:shd w:val="clear" w:color="auto" w:fill="auto"/>
            <w:noWrap/>
            <w:vAlign w:val="center"/>
            <w:hideMark/>
          </w:tcPr>
          <w:p w14:paraId="7F922658"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-559</w:t>
            </w:r>
          </w:p>
        </w:tc>
      </w:tr>
      <w:tr w:rsidR="00283FAF" w:rsidRPr="004C3389" w14:paraId="4FA02768" w14:textId="77777777" w:rsidTr="00283FAF">
        <w:trPr>
          <w:trHeight w:val="300"/>
        </w:trPr>
        <w:tc>
          <w:tcPr>
            <w:tcW w:w="2798" w:type="dxa"/>
            <w:tcBorders>
              <w:top w:val="nil"/>
              <w:left w:val="single" w:sz="8" w:space="0" w:color="auto"/>
              <w:bottom w:val="single" w:sz="4" w:space="0" w:color="auto"/>
              <w:right w:val="single" w:sz="4" w:space="0" w:color="auto"/>
            </w:tcBorders>
            <w:shd w:val="clear" w:color="auto" w:fill="auto"/>
            <w:noWrap/>
            <w:vAlign w:val="bottom"/>
            <w:hideMark/>
          </w:tcPr>
          <w:p w14:paraId="3D265688"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Income tax expense</w:t>
            </w:r>
          </w:p>
        </w:tc>
        <w:tc>
          <w:tcPr>
            <w:tcW w:w="1361" w:type="dxa"/>
            <w:tcBorders>
              <w:top w:val="nil"/>
              <w:left w:val="nil"/>
              <w:bottom w:val="single" w:sz="4" w:space="0" w:color="auto"/>
              <w:right w:val="single" w:sz="4" w:space="0" w:color="auto"/>
            </w:tcBorders>
            <w:shd w:val="clear" w:color="auto" w:fill="auto"/>
            <w:noWrap/>
            <w:vAlign w:val="center"/>
            <w:hideMark/>
          </w:tcPr>
          <w:p w14:paraId="02D26219"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-924,000</w:t>
            </w:r>
          </w:p>
        </w:tc>
        <w:tc>
          <w:tcPr>
            <w:tcW w:w="1361" w:type="dxa"/>
            <w:tcBorders>
              <w:top w:val="nil"/>
              <w:left w:val="nil"/>
              <w:bottom w:val="single" w:sz="4" w:space="0" w:color="auto"/>
              <w:right w:val="single" w:sz="4" w:space="0" w:color="auto"/>
            </w:tcBorders>
            <w:shd w:val="clear" w:color="auto" w:fill="auto"/>
            <w:noWrap/>
            <w:vAlign w:val="center"/>
            <w:hideMark/>
          </w:tcPr>
          <w:p w14:paraId="5C09FF85"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1,244,000</w:t>
            </w:r>
          </w:p>
        </w:tc>
        <w:tc>
          <w:tcPr>
            <w:tcW w:w="1107" w:type="dxa"/>
            <w:tcBorders>
              <w:top w:val="nil"/>
              <w:left w:val="nil"/>
              <w:bottom w:val="single" w:sz="4" w:space="0" w:color="auto"/>
              <w:right w:val="single" w:sz="4" w:space="0" w:color="auto"/>
            </w:tcBorders>
            <w:shd w:val="clear" w:color="auto" w:fill="auto"/>
            <w:noWrap/>
            <w:vAlign w:val="center"/>
            <w:hideMark/>
          </w:tcPr>
          <w:p w14:paraId="069C7221"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-2,168,000</w:t>
            </w:r>
          </w:p>
        </w:tc>
        <w:tc>
          <w:tcPr>
            <w:tcW w:w="1080" w:type="dxa"/>
            <w:tcBorders>
              <w:top w:val="nil"/>
              <w:left w:val="nil"/>
              <w:bottom w:val="single" w:sz="4" w:space="0" w:color="auto"/>
              <w:right w:val="single" w:sz="8" w:space="0" w:color="auto"/>
            </w:tcBorders>
            <w:shd w:val="clear" w:color="auto" w:fill="auto"/>
            <w:noWrap/>
            <w:vAlign w:val="center"/>
            <w:hideMark/>
          </w:tcPr>
          <w:p w14:paraId="3AD31A2E"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-174</w:t>
            </w:r>
          </w:p>
        </w:tc>
      </w:tr>
      <w:tr w:rsidR="00283FAF" w:rsidRPr="004C3389" w14:paraId="0747C32D" w14:textId="77777777" w:rsidTr="00283FAF">
        <w:trPr>
          <w:trHeight w:val="315"/>
        </w:trPr>
        <w:tc>
          <w:tcPr>
            <w:tcW w:w="2798" w:type="dxa"/>
            <w:tcBorders>
              <w:top w:val="nil"/>
              <w:left w:val="single" w:sz="8" w:space="0" w:color="auto"/>
              <w:bottom w:val="single" w:sz="8" w:space="0" w:color="auto"/>
              <w:right w:val="single" w:sz="4" w:space="0" w:color="auto"/>
            </w:tcBorders>
            <w:shd w:val="clear" w:color="auto" w:fill="auto"/>
            <w:noWrap/>
            <w:vAlign w:val="bottom"/>
            <w:hideMark/>
          </w:tcPr>
          <w:p w14:paraId="4E14B2AC" w14:textId="77777777" w:rsidR="00283FAF" w:rsidRPr="004C3389" w:rsidRDefault="00283FAF" w:rsidP="00283FAF">
            <w:pPr>
              <w:spacing w:after="0" w:line="240" w:lineRule="auto"/>
              <w:jc w:val="left"/>
              <w:rPr>
                <w:rFonts w:ascii="Calibri" w:eastAsia="Times New Roman" w:hAnsi="Calibri" w:cs="Calibri"/>
                <w:b/>
                <w:bCs/>
                <w:color w:val="000000"/>
                <w:sz w:val="22"/>
                <w:lang w:eastAsia="en-GB"/>
              </w:rPr>
            </w:pPr>
            <w:r w:rsidRPr="004C3389">
              <w:rPr>
                <w:rFonts w:ascii="Calibri" w:eastAsia="Times New Roman" w:hAnsi="Calibri" w:cs="Calibri"/>
                <w:b/>
                <w:bCs/>
                <w:color w:val="000000"/>
                <w:sz w:val="22"/>
                <w:lang w:eastAsia="en-GB"/>
              </w:rPr>
              <w:t xml:space="preserve">Profit  </w:t>
            </w:r>
          </w:p>
        </w:tc>
        <w:tc>
          <w:tcPr>
            <w:tcW w:w="1361" w:type="dxa"/>
            <w:tcBorders>
              <w:top w:val="nil"/>
              <w:left w:val="nil"/>
              <w:bottom w:val="single" w:sz="8" w:space="0" w:color="auto"/>
              <w:right w:val="single" w:sz="4" w:space="0" w:color="auto"/>
            </w:tcBorders>
            <w:shd w:val="clear" w:color="auto" w:fill="auto"/>
            <w:noWrap/>
            <w:vAlign w:val="center"/>
            <w:hideMark/>
          </w:tcPr>
          <w:p w14:paraId="0B174DEC"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-715,000</w:t>
            </w:r>
          </w:p>
        </w:tc>
        <w:tc>
          <w:tcPr>
            <w:tcW w:w="1361" w:type="dxa"/>
            <w:tcBorders>
              <w:top w:val="nil"/>
              <w:left w:val="nil"/>
              <w:bottom w:val="single" w:sz="8" w:space="0" w:color="auto"/>
              <w:right w:val="single" w:sz="4" w:space="0" w:color="auto"/>
            </w:tcBorders>
            <w:shd w:val="clear" w:color="auto" w:fill="auto"/>
            <w:noWrap/>
            <w:vAlign w:val="center"/>
            <w:hideMark/>
          </w:tcPr>
          <w:p w14:paraId="18151D9F"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881,000</w:t>
            </w:r>
          </w:p>
        </w:tc>
        <w:tc>
          <w:tcPr>
            <w:tcW w:w="1107" w:type="dxa"/>
            <w:tcBorders>
              <w:top w:val="nil"/>
              <w:left w:val="nil"/>
              <w:bottom w:val="single" w:sz="8" w:space="0" w:color="auto"/>
              <w:right w:val="single" w:sz="4" w:space="0" w:color="auto"/>
            </w:tcBorders>
            <w:shd w:val="clear" w:color="auto" w:fill="auto"/>
            <w:noWrap/>
            <w:vAlign w:val="center"/>
            <w:hideMark/>
          </w:tcPr>
          <w:p w14:paraId="7D1E09CA"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-1,596,000</w:t>
            </w:r>
          </w:p>
        </w:tc>
        <w:tc>
          <w:tcPr>
            <w:tcW w:w="1080" w:type="dxa"/>
            <w:tcBorders>
              <w:top w:val="nil"/>
              <w:left w:val="nil"/>
              <w:bottom w:val="single" w:sz="8" w:space="0" w:color="auto"/>
              <w:right w:val="single" w:sz="8" w:space="0" w:color="auto"/>
            </w:tcBorders>
            <w:shd w:val="clear" w:color="auto" w:fill="auto"/>
            <w:noWrap/>
            <w:vAlign w:val="center"/>
            <w:hideMark/>
          </w:tcPr>
          <w:p w14:paraId="046A90F5" w14:textId="77777777" w:rsidR="00283FAF" w:rsidRPr="004C3389" w:rsidRDefault="00283FAF" w:rsidP="00283FAF">
            <w:pPr>
              <w:spacing w:after="0" w:line="240" w:lineRule="auto"/>
              <w:jc w:val="center"/>
              <w:rPr>
                <w:rFonts w:ascii="Calibri" w:eastAsia="Times New Roman" w:hAnsi="Calibri" w:cs="Calibri"/>
                <w:color w:val="000000"/>
                <w:sz w:val="22"/>
                <w:lang w:eastAsia="en-GB"/>
              </w:rPr>
            </w:pPr>
            <w:r w:rsidRPr="004C3389">
              <w:rPr>
                <w:rFonts w:ascii="Calibri" w:eastAsia="Times New Roman" w:hAnsi="Calibri" w:cs="Calibri"/>
                <w:color w:val="000000"/>
                <w:sz w:val="22"/>
                <w:lang w:eastAsia="en-GB"/>
              </w:rPr>
              <w:t>-181</w:t>
            </w:r>
          </w:p>
        </w:tc>
      </w:tr>
    </w:tbl>
    <w:p w14:paraId="779864FD" w14:textId="7BBEC187" w:rsidR="00861411" w:rsidRDefault="00322266" w:rsidP="00BC7974">
      <w:pPr>
        <w:pStyle w:val="Heading1"/>
        <w:spacing w:line="360" w:lineRule="auto"/>
      </w:pPr>
      <w:r>
        <w:t>Financial Analysis</w:t>
      </w:r>
    </w:p>
    <w:p w14:paraId="60135B9E" w14:textId="4F486D27" w:rsidR="00BC7974" w:rsidRDefault="00BC7974" w:rsidP="00BC7974"/>
    <w:p w14:paraId="2890453D" w14:textId="7434EF7D" w:rsidR="00036738" w:rsidRDefault="00036738" w:rsidP="00BC7974">
      <w:r>
        <w:rPr>
          <w:noProof/>
        </w:rPr>
        <w:lastRenderedPageBreak/>
        <w:drawing>
          <wp:inline distT="0" distB="0" distL="0" distR="0" wp14:anchorId="2DD48240" wp14:editId="2ABC15DF">
            <wp:extent cx="5731510" cy="8096374"/>
            <wp:effectExtent l="0" t="0" r="254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BD011DE" w14:textId="21C4FD8C" w:rsidR="00036738" w:rsidRDefault="00036738" w:rsidP="00BC7974"/>
    <w:p w14:paraId="1D3FB4C9" w14:textId="30073D17" w:rsidR="00036738" w:rsidRDefault="00036738" w:rsidP="00BC7974"/>
    <w:p w14:paraId="20BF6C6E" w14:textId="7C4D210A" w:rsidR="00036738" w:rsidRDefault="00457B22" w:rsidP="00BC7974">
      <w:r>
        <w:rPr>
          <w:noProof/>
        </w:rPr>
        <w:lastRenderedPageBreak/>
        <w:drawing>
          <wp:inline distT="0" distB="0" distL="0" distR="0" wp14:anchorId="35F96AC7" wp14:editId="7EC549FD">
            <wp:extent cx="5731510" cy="3585633"/>
            <wp:effectExtent l="0" t="0" r="2540" b="1524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CD15EC" w14:textId="2F38BDCA" w:rsidR="00036738" w:rsidRDefault="00036738" w:rsidP="00BC7974"/>
    <w:p w14:paraId="2ED5BF9B" w14:textId="1369E988" w:rsidR="001A20EC" w:rsidRDefault="00C65C0D" w:rsidP="00BC7974">
      <w:r>
        <w:rPr>
          <w:noProof/>
        </w:rPr>
        <w:drawing>
          <wp:inline distT="0" distB="0" distL="0" distR="0" wp14:anchorId="6130CE8F" wp14:editId="0D028D13">
            <wp:extent cx="5731510" cy="3929661"/>
            <wp:effectExtent l="0" t="0" r="2540" b="1397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5D97D5F" w14:textId="77777777" w:rsidR="00457B22" w:rsidRDefault="00457B22" w:rsidP="00BC7974"/>
    <w:p w14:paraId="66664533" w14:textId="7C79A564" w:rsidR="001A20EC" w:rsidRDefault="001A20EC" w:rsidP="00BC7974"/>
    <w:p w14:paraId="61CAF4CC" w14:textId="77777777" w:rsidR="001A20EC" w:rsidRPr="00BC7974" w:rsidRDefault="001A20EC" w:rsidP="00BC7974"/>
    <w:tbl>
      <w:tblPr>
        <w:tblpPr w:leftFromText="180" w:rightFromText="180" w:horzAnchor="margin" w:tblpY="-675"/>
        <w:tblW w:w="8027" w:type="dxa"/>
        <w:tblLook w:val="04A0" w:firstRow="1" w:lastRow="0" w:firstColumn="1" w:lastColumn="0" w:noHBand="0" w:noVBand="1"/>
      </w:tblPr>
      <w:tblGrid>
        <w:gridCol w:w="3162"/>
        <w:gridCol w:w="1218"/>
        <w:gridCol w:w="1218"/>
        <w:gridCol w:w="1145"/>
        <w:gridCol w:w="1062"/>
        <w:gridCol w:w="222"/>
      </w:tblGrid>
      <w:tr w:rsidR="002219EF" w:rsidRPr="002219EF" w14:paraId="6B99CBA2" w14:textId="77777777" w:rsidTr="00814E2A">
        <w:trPr>
          <w:gridAfter w:val="1"/>
          <w:wAfter w:w="222" w:type="dxa"/>
          <w:trHeight w:val="408"/>
        </w:trPr>
        <w:tc>
          <w:tcPr>
            <w:tcW w:w="7805"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E011BF1" w14:textId="77777777" w:rsidR="002219EF" w:rsidRPr="002219EF" w:rsidRDefault="002219EF" w:rsidP="00814E2A">
            <w:pPr>
              <w:spacing w:after="0" w:line="240" w:lineRule="auto"/>
              <w:jc w:val="left"/>
              <w:rPr>
                <w:rFonts w:ascii="Calibri" w:eastAsia="Times New Roman" w:hAnsi="Calibri" w:cs="Calibri"/>
                <w:b/>
                <w:bCs/>
                <w:color w:val="000000"/>
                <w:sz w:val="22"/>
                <w:lang w:eastAsia="en-GB"/>
              </w:rPr>
            </w:pPr>
            <w:r w:rsidRPr="002219EF">
              <w:rPr>
                <w:rFonts w:ascii="Calibri" w:eastAsia="Times New Roman" w:hAnsi="Calibri" w:cs="Calibri"/>
                <w:b/>
                <w:bCs/>
                <w:color w:val="000000"/>
                <w:sz w:val="22"/>
                <w:lang w:eastAsia="en-GB"/>
              </w:rPr>
              <w:lastRenderedPageBreak/>
              <w:t>Balance Sheet   Hilton Worldwide Holdings Inc. (HLT)</w:t>
            </w:r>
          </w:p>
        </w:tc>
      </w:tr>
      <w:tr w:rsidR="002219EF" w:rsidRPr="002219EF" w14:paraId="2E7629C0" w14:textId="77777777" w:rsidTr="00814E2A">
        <w:trPr>
          <w:trHeight w:val="315"/>
        </w:trPr>
        <w:tc>
          <w:tcPr>
            <w:tcW w:w="7805" w:type="dxa"/>
            <w:gridSpan w:val="5"/>
            <w:vMerge/>
            <w:tcBorders>
              <w:top w:val="single" w:sz="8" w:space="0" w:color="auto"/>
              <w:left w:val="single" w:sz="8" w:space="0" w:color="auto"/>
              <w:bottom w:val="single" w:sz="8" w:space="0" w:color="000000"/>
              <w:right w:val="single" w:sz="8" w:space="0" w:color="000000"/>
            </w:tcBorders>
            <w:vAlign w:val="center"/>
            <w:hideMark/>
          </w:tcPr>
          <w:p w14:paraId="0625F2F3" w14:textId="77777777" w:rsidR="002219EF" w:rsidRPr="002219EF" w:rsidRDefault="002219EF" w:rsidP="00814E2A">
            <w:pPr>
              <w:spacing w:after="0" w:line="240" w:lineRule="auto"/>
              <w:jc w:val="left"/>
              <w:rPr>
                <w:rFonts w:ascii="Calibri" w:eastAsia="Times New Roman" w:hAnsi="Calibri" w:cs="Calibri"/>
                <w:b/>
                <w:bCs/>
                <w:color w:val="000000"/>
                <w:sz w:val="22"/>
                <w:lang w:eastAsia="en-GB"/>
              </w:rPr>
            </w:pPr>
          </w:p>
        </w:tc>
        <w:tc>
          <w:tcPr>
            <w:tcW w:w="222" w:type="dxa"/>
            <w:tcBorders>
              <w:top w:val="nil"/>
              <w:left w:val="nil"/>
              <w:bottom w:val="nil"/>
              <w:right w:val="nil"/>
            </w:tcBorders>
            <w:shd w:val="clear" w:color="auto" w:fill="auto"/>
            <w:noWrap/>
            <w:vAlign w:val="bottom"/>
            <w:hideMark/>
          </w:tcPr>
          <w:p w14:paraId="78E619BC" w14:textId="77777777" w:rsidR="002219EF" w:rsidRPr="002219EF" w:rsidRDefault="002219EF" w:rsidP="00814E2A">
            <w:pPr>
              <w:spacing w:after="0" w:line="240" w:lineRule="auto"/>
              <w:jc w:val="left"/>
              <w:rPr>
                <w:rFonts w:ascii="Calibri" w:eastAsia="Times New Roman" w:hAnsi="Calibri" w:cs="Calibri"/>
                <w:b/>
                <w:bCs/>
                <w:color w:val="000000"/>
                <w:sz w:val="22"/>
                <w:lang w:eastAsia="en-GB"/>
              </w:rPr>
            </w:pPr>
          </w:p>
        </w:tc>
      </w:tr>
      <w:tr w:rsidR="002219EF" w:rsidRPr="002219EF" w14:paraId="6EE6BCCB" w14:textId="77777777" w:rsidTr="00814E2A">
        <w:trPr>
          <w:trHeight w:val="315"/>
        </w:trPr>
        <w:tc>
          <w:tcPr>
            <w:tcW w:w="3162" w:type="dxa"/>
            <w:tcBorders>
              <w:top w:val="nil"/>
              <w:left w:val="single" w:sz="8" w:space="0" w:color="auto"/>
              <w:bottom w:val="single" w:sz="8" w:space="0" w:color="auto"/>
              <w:right w:val="single" w:sz="4" w:space="0" w:color="auto"/>
            </w:tcBorders>
            <w:shd w:val="clear" w:color="auto" w:fill="auto"/>
            <w:noWrap/>
            <w:vAlign w:val="bottom"/>
            <w:hideMark/>
          </w:tcPr>
          <w:p w14:paraId="062C6652"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 </w:t>
            </w:r>
          </w:p>
        </w:tc>
        <w:tc>
          <w:tcPr>
            <w:tcW w:w="1218" w:type="dxa"/>
            <w:tcBorders>
              <w:top w:val="nil"/>
              <w:left w:val="nil"/>
              <w:bottom w:val="single" w:sz="8" w:space="0" w:color="auto"/>
              <w:right w:val="single" w:sz="4" w:space="0" w:color="auto"/>
            </w:tcBorders>
            <w:shd w:val="clear" w:color="auto" w:fill="auto"/>
            <w:noWrap/>
            <w:vAlign w:val="bottom"/>
            <w:hideMark/>
          </w:tcPr>
          <w:p w14:paraId="705E1AC6" w14:textId="77777777" w:rsidR="002219EF" w:rsidRPr="002219EF" w:rsidRDefault="002219EF" w:rsidP="00814E2A">
            <w:pPr>
              <w:spacing w:after="0" w:line="240" w:lineRule="auto"/>
              <w:jc w:val="center"/>
              <w:rPr>
                <w:rFonts w:ascii="Calibri" w:eastAsia="Times New Roman" w:hAnsi="Calibri" w:cs="Calibri"/>
                <w:b/>
                <w:bCs/>
                <w:color w:val="000000"/>
                <w:sz w:val="22"/>
                <w:lang w:eastAsia="en-GB"/>
              </w:rPr>
            </w:pPr>
            <w:r w:rsidRPr="002219EF">
              <w:rPr>
                <w:rFonts w:ascii="Calibri" w:eastAsia="Times New Roman" w:hAnsi="Calibri" w:cs="Calibri"/>
                <w:b/>
                <w:bCs/>
                <w:color w:val="000000"/>
                <w:sz w:val="22"/>
                <w:lang w:eastAsia="en-GB"/>
              </w:rPr>
              <w:t>2020</w:t>
            </w:r>
          </w:p>
        </w:tc>
        <w:tc>
          <w:tcPr>
            <w:tcW w:w="1218" w:type="dxa"/>
            <w:tcBorders>
              <w:top w:val="nil"/>
              <w:left w:val="nil"/>
              <w:bottom w:val="single" w:sz="8" w:space="0" w:color="auto"/>
              <w:right w:val="single" w:sz="4" w:space="0" w:color="auto"/>
            </w:tcBorders>
            <w:shd w:val="clear" w:color="auto" w:fill="auto"/>
            <w:noWrap/>
            <w:vAlign w:val="bottom"/>
            <w:hideMark/>
          </w:tcPr>
          <w:p w14:paraId="6536069A" w14:textId="77777777" w:rsidR="002219EF" w:rsidRPr="002219EF" w:rsidRDefault="002219EF" w:rsidP="00814E2A">
            <w:pPr>
              <w:spacing w:after="0" w:line="240" w:lineRule="auto"/>
              <w:jc w:val="center"/>
              <w:rPr>
                <w:rFonts w:ascii="Calibri" w:eastAsia="Times New Roman" w:hAnsi="Calibri" w:cs="Calibri"/>
                <w:b/>
                <w:bCs/>
                <w:color w:val="000000"/>
                <w:sz w:val="22"/>
                <w:lang w:eastAsia="en-GB"/>
              </w:rPr>
            </w:pPr>
            <w:r w:rsidRPr="002219EF">
              <w:rPr>
                <w:rFonts w:ascii="Calibri" w:eastAsia="Times New Roman" w:hAnsi="Calibri" w:cs="Calibri"/>
                <w:b/>
                <w:bCs/>
                <w:color w:val="000000"/>
                <w:sz w:val="22"/>
                <w:lang w:eastAsia="en-GB"/>
              </w:rPr>
              <w:t>2019</w:t>
            </w:r>
          </w:p>
        </w:tc>
        <w:tc>
          <w:tcPr>
            <w:tcW w:w="1145" w:type="dxa"/>
            <w:tcBorders>
              <w:top w:val="nil"/>
              <w:left w:val="nil"/>
              <w:bottom w:val="single" w:sz="8" w:space="0" w:color="auto"/>
              <w:right w:val="single" w:sz="4" w:space="0" w:color="auto"/>
            </w:tcBorders>
            <w:shd w:val="clear" w:color="auto" w:fill="auto"/>
            <w:noWrap/>
            <w:vAlign w:val="bottom"/>
            <w:hideMark/>
          </w:tcPr>
          <w:p w14:paraId="64A838B4" w14:textId="77777777" w:rsidR="002219EF" w:rsidRPr="002219EF" w:rsidRDefault="002219EF" w:rsidP="00814E2A">
            <w:pPr>
              <w:spacing w:after="0" w:line="240" w:lineRule="auto"/>
              <w:jc w:val="center"/>
              <w:rPr>
                <w:rFonts w:ascii="Calibri" w:eastAsia="Times New Roman" w:hAnsi="Calibri" w:cs="Calibri"/>
                <w:b/>
                <w:bCs/>
                <w:color w:val="000000"/>
                <w:sz w:val="22"/>
                <w:lang w:eastAsia="en-GB"/>
              </w:rPr>
            </w:pPr>
            <w:r w:rsidRPr="002219EF">
              <w:rPr>
                <w:rFonts w:ascii="Calibri" w:eastAsia="Times New Roman" w:hAnsi="Calibri" w:cs="Calibri"/>
                <w:b/>
                <w:bCs/>
                <w:color w:val="000000"/>
                <w:sz w:val="22"/>
                <w:lang w:eastAsia="en-GB"/>
              </w:rPr>
              <w:t>Change</w:t>
            </w:r>
          </w:p>
        </w:tc>
        <w:tc>
          <w:tcPr>
            <w:tcW w:w="1062" w:type="dxa"/>
            <w:tcBorders>
              <w:top w:val="nil"/>
              <w:left w:val="nil"/>
              <w:bottom w:val="single" w:sz="8" w:space="0" w:color="auto"/>
              <w:right w:val="single" w:sz="8" w:space="0" w:color="auto"/>
            </w:tcBorders>
            <w:shd w:val="clear" w:color="auto" w:fill="auto"/>
            <w:noWrap/>
            <w:vAlign w:val="bottom"/>
            <w:hideMark/>
          </w:tcPr>
          <w:p w14:paraId="24944DC6" w14:textId="77777777" w:rsidR="002219EF" w:rsidRPr="002219EF" w:rsidRDefault="002219EF" w:rsidP="00814E2A">
            <w:pPr>
              <w:spacing w:after="0" w:line="240" w:lineRule="auto"/>
              <w:jc w:val="center"/>
              <w:rPr>
                <w:rFonts w:ascii="Calibri" w:eastAsia="Times New Roman" w:hAnsi="Calibri" w:cs="Calibri"/>
                <w:b/>
                <w:bCs/>
                <w:color w:val="000000"/>
                <w:sz w:val="22"/>
                <w:lang w:eastAsia="en-GB"/>
              </w:rPr>
            </w:pPr>
            <w:r w:rsidRPr="002219EF">
              <w:rPr>
                <w:rFonts w:ascii="Calibri" w:eastAsia="Times New Roman" w:hAnsi="Calibri" w:cs="Calibri"/>
                <w:b/>
                <w:bCs/>
                <w:color w:val="000000"/>
                <w:sz w:val="22"/>
                <w:lang w:eastAsia="en-GB"/>
              </w:rPr>
              <w:t>% Change</w:t>
            </w:r>
          </w:p>
        </w:tc>
        <w:tc>
          <w:tcPr>
            <w:tcW w:w="222" w:type="dxa"/>
            <w:vAlign w:val="center"/>
            <w:hideMark/>
          </w:tcPr>
          <w:p w14:paraId="68786C7C"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4A20F28E"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24E5993B"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Current assets</w:t>
            </w:r>
          </w:p>
        </w:tc>
        <w:tc>
          <w:tcPr>
            <w:tcW w:w="1218" w:type="dxa"/>
            <w:tcBorders>
              <w:top w:val="nil"/>
              <w:left w:val="nil"/>
              <w:bottom w:val="single" w:sz="4" w:space="0" w:color="auto"/>
              <w:right w:val="single" w:sz="4" w:space="0" w:color="auto"/>
            </w:tcBorders>
            <w:shd w:val="clear" w:color="000000" w:fill="FFFFFF"/>
            <w:noWrap/>
            <w:vAlign w:val="bottom"/>
            <w:hideMark/>
          </w:tcPr>
          <w:p w14:paraId="17342C0D"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4,202,000</w:t>
            </w:r>
          </w:p>
        </w:tc>
        <w:tc>
          <w:tcPr>
            <w:tcW w:w="1218" w:type="dxa"/>
            <w:tcBorders>
              <w:top w:val="nil"/>
              <w:left w:val="nil"/>
              <w:bottom w:val="single" w:sz="4" w:space="0" w:color="auto"/>
              <w:right w:val="single" w:sz="4" w:space="0" w:color="auto"/>
            </w:tcBorders>
            <w:shd w:val="clear" w:color="auto" w:fill="auto"/>
            <w:noWrap/>
            <w:vAlign w:val="bottom"/>
            <w:hideMark/>
          </w:tcPr>
          <w:p w14:paraId="478AAA5E"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2,093,000</w:t>
            </w:r>
          </w:p>
        </w:tc>
        <w:tc>
          <w:tcPr>
            <w:tcW w:w="1145" w:type="dxa"/>
            <w:tcBorders>
              <w:top w:val="nil"/>
              <w:left w:val="nil"/>
              <w:bottom w:val="single" w:sz="4" w:space="0" w:color="auto"/>
              <w:right w:val="single" w:sz="4" w:space="0" w:color="auto"/>
            </w:tcBorders>
            <w:shd w:val="clear" w:color="000000" w:fill="FFFFFF"/>
            <w:noWrap/>
            <w:vAlign w:val="bottom"/>
            <w:hideMark/>
          </w:tcPr>
          <w:p w14:paraId="2DB6A21B"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2,109,000</w:t>
            </w:r>
          </w:p>
        </w:tc>
        <w:tc>
          <w:tcPr>
            <w:tcW w:w="1062" w:type="dxa"/>
            <w:tcBorders>
              <w:top w:val="nil"/>
              <w:left w:val="nil"/>
              <w:bottom w:val="single" w:sz="4" w:space="0" w:color="auto"/>
              <w:right w:val="single" w:sz="8" w:space="0" w:color="auto"/>
            </w:tcBorders>
            <w:shd w:val="clear" w:color="000000" w:fill="FFFFFF"/>
            <w:noWrap/>
            <w:vAlign w:val="bottom"/>
            <w:hideMark/>
          </w:tcPr>
          <w:p w14:paraId="5275A400"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101</w:t>
            </w:r>
          </w:p>
        </w:tc>
        <w:tc>
          <w:tcPr>
            <w:tcW w:w="222" w:type="dxa"/>
            <w:vAlign w:val="center"/>
            <w:hideMark/>
          </w:tcPr>
          <w:p w14:paraId="062164B4"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27796C0B"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6D060F05"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Not current Asset</w:t>
            </w:r>
          </w:p>
        </w:tc>
        <w:tc>
          <w:tcPr>
            <w:tcW w:w="1218" w:type="dxa"/>
            <w:tcBorders>
              <w:top w:val="nil"/>
              <w:left w:val="nil"/>
              <w:bottom w:val="single" w:sz="4" w:space="0" w:color="auto"/>
              <w:right w:val="single" w:sz="4" w:space="0" w:color="auto"/>
            </w:tcBorders>
            <w:shd w:val="clear" w:color="auto" w:fill="auto"/>
            <w:noWrap/>
            <w:vAlign w:val="bottom"/>
            <w:hideMark/>
          </w:tcPr>
          <w:p w14:paraId="1C7B2010"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15,810,000</w:t>
            </w:r>
          </w:p>
        </w:tc>
        <w:tc>
          <w:tcPr>
            <w:tcW w:w="1218" w:type="dxa"/>
            <w:tcBorders>
              <w:top w:val="nil"/>
              <w:left w:val="nil"/>
              <w:bottom w:val="single" w:sz="4" w:space="0" w:color="auto"/>
              <w:right w:val="single" w:sz="4" w:space="0" w:color="auto"/>
            </w:tcBorders>
            <w:shd w:val="clear" w:color="auto" w:fill="auto"/>
            <w:noWrap/>
            <w:vAlign w:val="bottom"/>
            <w:hideMark/>
          </w:tcPr>
          <w:p w14:paraId="3A89D95C"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12,558,000</w:t>
            </w:r>
          </w:p>
        </w:tc>
        <w:tc>
          <w:tcPr>
            <w:tcW w:w="1145" w:type="dxa"/>
            <w:tcBorders>
              <w:top w:val="nil"/>
              <w:left w:val="nil"/>
              <w:bottom w:val="single" w:sz="4" w:space="0" w:color="auto"/>
              <w:right w:val="single" w:sz="4" w:space="0" w:color="auto"/>
            </w:tcBorders>
            <w:shd w:val="clear" w:color="000000" w:fill="FFFFFF"/>
            <w:noWrap/>
            <w:vAlign w:val="bottom"/>
            <w:hideMark/>
          </w:tcPr>
          <w:p w14:paraId="55646634"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3,252,000</w:t>
            </w:r>
          </w:p>
        </w:tc>
        <w:tc>
          <w:tcPr>
            <w:tcW w:w="1062" w:type="dxa"/>
            <w:tcBorders>
              <w:top w:val="nil"/>
              <w:left w:val="nil"/>
              <w:bottom w:val="single" w:sz="4" w:space="0" w:color="auto"/>
              <w:right w:val="single" w:sz="8" w:space="0" w:color="auto"/>
            </w:tcBorders>
            <w:shd w:val="clear" w:color="000000" w:fill="FFFFFF"/>
            <w:noWrap/>
            <w:vAlign w:val="bottom"/>
            <w:hideMark/>
          </w:tcPr>
          <w:p w14:paraId="07B1B32F"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26</w:t>
            </w:r>
          </w:p>
        </w:tc>
        <w:tc>
          <w:tcPr>
            <w:tcW w:w="222" w:type="dxa"/>
            <w:vAlign w:val="center"/>
            <w:hideMark/>
          </w:tcPr>
          <w:p w14:paraId="4733C0D4"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2D124435"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7832B277"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 xml:space="preserve">Total assets </w:t>
            </w:r>
          </w:p>
        </w:tc>
        <w:tc>
          <w:tcPr>
            <w:tcW w:w="1218" w:type="dxa"/>
            <w:tcBorders>
              <w:top w:val="nil"/>
              <w:left w:val="nil"/>
              <w:bottom w:val="single" w:sz="4" w:space="0" w:color="auto"/>
              <w:right w:val="single" w:sz="4" w:space="0" w:color="auto"/>
            </w:tcBorders>
            <w:shd w:val="clear" w:color="auto" w:fill="auto"/>
            <w:noWrap/>
            <w:vAlign w:val="bottom"/>
            <w:hideMark/>
          </w:tcPr>
          <w:p w14:paraId="4BF58294"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16,755,000</w:t>
            </w:r>
          </w:p>
        </w:tc>
        <w:tc>
          <w:tcPr>
            <w:tcW w:w="1218" w:type="dxa"/>
            <w:tcBorders>
              <w:top w:val="nil"/>
              <w:left w:val="nil"/>
              <w:bottom w:val="single" w:sz="4" w:space="0" w:color="auto"/>
              <w:right w:val="single" w:sz="4" w:space="0" w:color="auto"/>
            </w:tcBorders>
            <w:shd w:val="clear" w:color="auto" w:fill="auto"/>
            <w:noWrap/>
            <w:vAlign w:val="bottom"/>
            <w:hideMark/>
          </w:tcPr>
          <w:p w14:paraId="249F51A4"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14,957,000</w:t>
            </w:r>
          </w:p>
        </w:tc>
        <w:tc>
          <w:tcPr>
            <w:tcW w:w="1145" w:type="dxa"/>
            <w:tcBorders>
              <w:top w:val="nil"/>
              <w:left w:val="nil"/>
              <w:bottom w:val="single" w:sz="4" w:space="0" w:color="auto"/>
              <w:right w:val="single" w:sz="4" w:space="0" w:color="auto"/>
            </w:tcBorders>
            <w:shd w:val="clear" w:color="000000" w:fill="FFFFFF"/>
            <w:noWrap/>
            <w:vAlign w:val="bottom"/>
            <w:hideMark/>
          </w:tcPr>
          <w:p w14:paraId="0F0BCD4F"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1,798,000</w:t>
            </w:r>
          </w:p>
        </w:tc>
        <w:tc>
          <w:tcPr>
            <w:tcW w:w="1062" w:type="dxa"/>
            <w:tcBorders>
              <w:top w:val="nil"/>
              <w:left w:val="nil"/>
              <w:bottom w:val="single" w:sz="4" w:space="0" w:color="auto"/>
              <w:right w:val="single" w:sz="8" w:space="0" w:color="auto"/>
            </w:tcBorders>
            <w:shd w:val="clear" w:color="000000" w:fill="FFFFFF"/>
            <w:noWrap/>
            <w:vAlign w:val="bottom"/>
            <w:hideMark/>
          </w:tcPr>
          <w:p w14:paraId="52D0032D"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12</w:t>
            </w:r>
          </w:p>
        </w:tc>
        <w:tc>
          <w:tcPr>
            <w:tcW w:w="222" w:type="dxa"/>
            <w:vAlign w:val="center"/>
            <w:hideMark/>
          </w:tcPr>
          <w:p w14:paraId="1116A706"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294199A6"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30CF737B"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 xml:space="preserve">Current Liabilities </w:t>
            </w:r>
          </w:p>
        </w:tc>
        <w:tc>
          <w:tcPr>
            <w:tcW w:w="1218" w:type="dxa"/>
            <w:tcBorders>
              <w:top w:val="nil"/>
              <w:left w:val="nil"/>
              <w:bottom w:val="single" w:sz="4" w:space="0" w:color="auto"/>
              <w:right w:val="single" w:sz="4" w:space="0" w:color="auto"/>
            </w:tcBorders>
            <w:shd w:val="clear" w:color="auto" w:fill="auto"/>
            <w:noWrap/>
            <w:vAlign w:val="bottom"/>
            <w:hideMark/>
          </w:tcPr>
          <w:p w14:paraId="218E0170"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2,431,000</w:t>
            </w:r>
          </w:p>
        </w:tc>
        <w:tc>
          <w:tcPr>
            <w:tcW w:w="1218" w:type="dxa"/>
            <w:tcBorders>
              <w:top w:val="nil"/>
              <w:left w:val="nil"/>
              <w:bottom w:val="single" w:sz="4" w:space="0" w:color="auto"/>
              <w:right w:val="single" w:sz="4" w:space="0" w:color="auto"/>
            </w:tcBorders>
            <w:shd w:val="clear" w:color="auto" w:fill="auto"/>
            <w:noWrap/>
            <w:vAlign w:val="bottom"/>
            <w:hideMark/>
          </w:tcPr>
          <w:p w14:paraId="5FD9F1AA"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2,871,000</w:t>
            </w:r>
          </w:p>
        </w:tc>
        <w:tc>
          <w:tcPr>
            <w:tcW w:w="1145" w:type="dxa"/>
            <w:tcBorders>
              <w:top w:val="nil"/>
              <w:left w:val="nil"/>
              <w:bottom w:val="single" w:sz="4" w:space="0" w:color="auto"/>
              <w:right w:val="single" w:sz="4" w:space="0" w:color="auto"/>
            </w:tcBorders>
            <w:shd w:val="clear" w:color="000000" w:fill="FFFFFF"/>
            <w:noWrap/>
            <w:vAlign w:val="bottom"/>
            <w:hideMark/>
          </w:tcPr>
          <w:p w14:paraId="4718E7A4"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-440,000</w:t>
            </w:r>
          </w:p>
        </w:tc>
        <w:tc>
          <w:tcPr>
            <w:tcW w:w="1062" w:type="dxa"/>
            <w:tcBorders>
              <w:top w:val="nil"/>
              <w:left w:val="nil"/>
              <w:bottom w:val="single" w:sz="4" w:space="0" w:color="auto"/>
              <w:right w:val="single" w:sz="8" w:space="0" w:color="auto"/>
            </w:tcBorders>
            <w:shd w:val="clear" w:color="000000" w:fill="FFFFFF"/>
            <w:noWrap/>
            <w:vAlign w:val="bottom"/>
            <w:hideMark/>
          </w:tcPr>
          <w:p w14:paraId="217B5319"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-15</w:t>
            </w:r>
          </w:p>
        </w:tc>
        <w:tc>
          <w:tcPr>
            <w:tcW w:w="222" w:type="dxa"/>
            <w:vAlign w:val="center"/>
            <w:hideMark/>
          </w:tcPr>
          <w:p w14:paraId="132FBBBA"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41BB532B"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54B04F4B"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Not Current Liabilities</w:t>
            </w:r>
          </w:p>
        </w:tc>
        <w:tc>
          <w:tcPr>
            <w:tcW w:w="1218" w:type="dxa"/>
            <w:tcBorders>
              <w:top w:val="nil"/>
              <w:left w:val="nil"/>
              <w:bottom w:val="single" w:sz="4" w:space="0" w:color="auto"/>
              <w:right w:val="single" w:sz="4" w:space="0" w:color="auto"/>
            </w:tcBorders>
            <w:shd w:val="clear" w:color="auto" w:fill="auto"/>
            <w:noWrap/>
            <w:vAlign w:val="bottom"/>
            <w:hideMark/>
          </w:tcPr>
          <w:p w14:paraId="0ADECFDC"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15,810,000</w:t>
            </w:r>
          </w:p>
        </w:tc>
        <w:tc>
          <w:tcPr>
            <w:tcW w:w="1218" w:type="dxa"/>
            <w:tcBorders>
              <w:top w:val="nil"/>
              <w:left w:val="nil"/>
              <w:bottom w:val="single" w:sz="4" w:space="0" w:color="auto"/>
              <w:right w:val="single" w:sz="4" w:space="0" w:color="auto"/>
            </w:tcBorders>
            <w:shd w:val="clear" w:color="auto" w:fill="auto"/>
            <w:noWrap/>
            <w:vAlign w:val="bottom"/>
            <w:hideMark/>
          </w:tcPr>
          <w:p w14:paraId="20D8D5B5"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12,558,000</w:t>
            </w:r>
          </w:p>
        </w:tc>
        <w:tc>
          <w:tcPr>
            <w:tcW w:w="1145" w:type="dxa"/>
            <w:tcBorders>
              <w:top w:val="nil"/>
              <w:left w:val="nil"/>
              <w:bottom w:val="single" w:sz="4" w:space="0" w:color="auto"/>
              <w:right w:val="single" w:sz="4" w:space="0" w:color="auto"/>
            </w:tcBorders>
            <w:shd w:val="clear" w:color="000000" w:fill="FFFFFF"/>
            <w:noWrap/>
            <w:vAlign w:val="bottom"/>
            <w:hideMark/>
          </w:tcPr>
          <w:p w14:paraId="398B4FBB"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3,252,000</w:t>
            </w:r>
          </w:p>
        </w:tc>
        <w:tc>
          <w:tcPr>
            <w:tcW w:w="1062" w:type="dxa"/>
            <w:tcBorders>
              <w:top w:val="nil"/>
              <w:left w:val="nil"/>
              <w:bottom w:val="single" w:sz="4" w:space="0" w:color="auto"/>
              <w:right w:val="single" w:sz="8" w:space="0" w:color="auto"/>
            </w:tcBorders>
            <w:shd w:val="clear" w:color="000000" w:fill="FFFFFF"/>
            <w:noWrap/>
            <w:vAlign w:val="bottom"/>
            <w:hideMark/>
          </w:tcPr>
          <w:p w14:paraId="307E7DA5"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26</w:t>
            </w:r>
          </w:p>
        </w:tc>
        <w:tc>
          <w:tcPr>
            <w:tcW w:w="222" w:type="dxa"/>
            <w:vAlign w:val="center"/>
            <w:hideMark/>
          </w:tcPr>
          <w:p w14:paraId="7FA6EC11"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77091171"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4A72705D"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Total Liabilities</w:t>
            </w:r>
          </w:p>
        </w:tc>
        <w:tc>
          <w:tcPr>
            <w:tcW w:w="1218" w:type="dxa"/>
            <w:tcBorders>
              <w:top w:val="nil"/>
              <w:left w:val="nil"/>
              <w:bottom w:val="single" w:sz="4" w:space="0" w:color="auto"/>
              <w:right w:val="single" w:sz="4" w:space="0" w:color="auto"/>
            </w:tcBorders>
            <w:shd w:val="clear" w:color="auto" w:fill="auto"/>
            <w:noWrap/>
            <w:vAlign w:val="bottom"/>
            <w:hideMark/>
          </w:tcPr>
          <w:p w14:paraId="234D6E2A"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18,241,000</w:t>
            </w:r>
          </w:p>
        </w:tc>
        <w:tc>
          <w:tcPr>
            <w:tcW w:w="1218" w:type="dxa"/>
            <w:tcBorders>
              <w:top w:val="nil"/>
              <w:left w:val="nil"/>
              <w:bottom w:val="single" w:sz="4" w:space="0" w:color="auto"/>
              <w:right w:val="single" w:sz="4" w:space="0" w:color="auto"/>
            </w:tcBorders>
            <w:shd w:val="clear" w:color="auto" w:fill="auto"/>
            <w:noWrap/>
            <w:vAlign w:val="bottom"/>
            <w:hideMark/>
          </w:tcPr>
          <w:p w14:paraId="6C87F495"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15,429,000</w:t>
            </w:r>
          </w:p>
        </w:tc>
        <w:tc>
          <w:tcPr>
            <w:tcW w:w="1145" w:type="dxa"/>
            <w:tcBorders>
              <w:top w:val="nil"/>
              <w:left w:val="nil"/>
              <w:bottom w:val="single" w:sz="4" w:space="0" w:color="auto"/>
              <w:right w:val="single" w:sz="4" w:space="0" w:color="auto"/>
            </w:tcBorders>
            <w:shd w:val="clear" w:color="000000" w:fill="FFFFFF"/>
            <w:noWrap/>
            <w:vAlign w:val="bottom"/>
            <w:hideMark/>
          </w:tcPr>
          <w:p w14:paraId="36BEE23A"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2,812,000</w:t>
            </w:r>
          </w:p>
        </w:tc>
        <w:tc>
          <w:tcPr>
            <w:tcW w:w="1062" w:type="dxa"/>
            <w:tcBorders>
              <w:top w:val="nil"/>
              <w:left w:val="nil"/>
              <w:bottom w:val="single" w:sz="4" w:space="0" w:color="auto"/>
              <w:right w:val="single" w:sz="8" w:space="0" w:color="auto"/>
            </w:tcBorders>
            <w:shd w:val="clear" w:color="000000" w:fill="FFFFFF"/>
            <w:noWrap/>
            <w:vAlign w:val="bottom"/>
            <w:hideMark/>
          </w:tcPr>
          <w:p w14:paraId="53F9ACB3"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18</w:t>
            </w:r>
          </w:p>
        </w:tc>
        <w:tc>
          <w:tcPr>
            <w:tcW w:w="222" w:type="dxa"/>
            <w:vAlign w:val="center"/>
            <w:hideMark/>
          </w:tcPr>
          <w:p w14:paraId="2C6342DE"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1FFC43E4"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31EF113D"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 xml:space="preserve">Common stock </w:t>
            </w:r>
          </w:p>
        </w:tc>
        <w:tc>
          <w:tcPr>
            <w:tcW w:w="1218" w:type="dxa"/>
            <w:tcBorders>
              <w:top w:val="nil"/>
              <w:left w:val="nil"/>
              <w:bottom w:val="single" w:sz="4" w:space="0" w:color="auto"/>
              <w:right w:val="single" w:sz="4" w:space="0" w:color="auto"/>
            </w:tcBorders>
            <w:shd w:val="clear" w:color="auto" w:fill="auto"/>
            <w:noWrap/>
            <w:vAlign w:val="bottom"/>
            <w:hideMark/>
          </w:tcPr>
          <w:p w14:paraId="3B752E4C"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3,000</w:t>
            </w:r>
          </w:p>
        </w:tc>
        <w:tc>
          <w:tcPr>
            <w:tcW w:w="1218" w:type="dxa"/>
            <w:tcBorders>
              <w:top w:val="nil"/>
              <w:left w:val="nil"/>
              <w:bottom w:val="single" w:sz="4" w:space="0" w:color="auto"/>
              <w:right w:val="single" w:sz="4" w:space="0" w:color="auto"/>
            </w:tcBorders>
            <w:shd w:val="clear" w:color="auto" w:fill="auto"/>
            <w:noWrap/>
            <w:vAlign w:val="bottom"/>
            <w:hideMark/>
          </w:tcPr>
          <w:p w14:paraId="197DEAFC"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3,000</w:t>
            </w:r>
          </w:p>
        </w:tc>
        <w:tc>
          <w:tcPr>
            <w:tcW w:w="1145" w:type="dxa"/>
            <w:tcBorders>
              <w:top w:val="nil"/>
              <w:left w:val="nil"/>
              <w:bottom w:val="single" w:sz="4" w:space="0" w:color="auto"/>
              <w:right w:val="single" w:sz="4" w:space="0" w:color="auto"/>
            </w:tcBorders>
            <w:shd w:val="clear" w:color="000000" w:fill="FFFFFF"/>
            <w:noWrap/>
            <w:vAlign w:val="bottom"/>
            <w:hideMark/>
          </w:tcPr>
          <w:p w14:paraId="0EAC8311"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0</w:t>
            </w:r>
          </w:p>
        </w:tc>
        <w:tc>
          <w:tcPr>
            <w:tcW w:w="1062" w:type="dxa"/>
            <w:tcBorders>
              <w:top w:val="nil"/>
              <w:left w:val="nil"/>
              <w:bottom w:val="single" w:sz="4" w:space="0" w:color="auto"/>
              <w:right w:val="single" w:sz="8" w:space="0" w:color="auto"/>
            </w:tcBorders>
            <w:shd w:val="clear" w:color="000000" w:fill="FFFFFF"/>
            <w:noWrap/>
            <w:vAlign w:val="bottom"/>
            <w:hideMark/>
          </w:tcPr>
          <w:p w14:paraId="0B2CDB87"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0</w:t>
            </w:r>
          </w:p>
        </w:tc>
        <w:tc>
          <w:tcPr>
            <w:tcW w:w="222" w:type="dxa"/>
            <w:vAlign w:val="center"/>
            <w:hideMark/>
          </w:tcPr>
          <w:p w14:paraId="52EE6DEF"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42B2371F"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2BC5420B"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Retained Earnings</w:t>
            </w:r>
          </w:p>
        </w:tc>
        <w:tc>
          <w:tcPr>
            <w:tcW w:w="1218" w:type="dxa"/>
            <w:tcBorders>
              <w:top w:val="nil"/>
              <w:left w:val="nil"/>
              <w:bottom w:val="single" w:sz="4" w:space="0" w:color="auto"/>
              <w:right w:val="single" w:sz="4" w:space="0" w:color="auto"/>
            </w:tcBorders>
            <w:shd w:val="clear" w:color="000000" w:fill="FFFFFF"/>
            <w:noWrap/>
            <w:vAlign w:val="bottom"/>
            <w:hideMark/>
          </w:tcPr>
          <w:p w14:paraId="49836D06"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-6,732,000</w:t>
            </w:r>
          </w:p>
        </w:tc>
        <w:tc>
          <w:tcPr>
            <w:tcW w:w="1218" w:type="dxa"/>
            <w:tcBorders>
              <w:top w:val="nil"/>
              <w:left w:val="nil"/>
              <w:bottom w:val="single" w:sz="4" w:space="0" w:color="auto"/>
              <w:right w:val="single" w:sz="4" w:space="0" w:color="auto"/>
            </w:tcBorders>
            <w:shd w:val="clear" w:color="auto" w:fill="auto"/>
            <w:noWrap/>
            <w:vAlign w:val="bottom"/>
            <w:hideMark/>
          </w:tcPr>
          <w:p w14:paraId="51FA4E87"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-5,965,000</w:t>
            </w:r>
          </w:p>
        </w:tc>
        <w:tc>
          <w:tcPr>
            <w:tcW w:w="1145" w:type="dxa"/>
            <w:tcBorders>
              <w:top w:val="nil"/>
              <w:left w:val="nil"/>
              <w:bottom w:val="single" w:sz="4" w:space="0" w:color="auto"/>
              <w:right w:val="single" w:sz="4" w:space="0" w:color="auto"/>
            </w:tcBorders>
            <w:shd w:val="clear" w:color="000000" w:fill="FFFFFF"/>
            <w:noWrap/>
            <w:vAlign w:val="bottom"/>
            <w:hideMark/>
          </w:tcPr>
          <w:p w14:paraId="0AA37899"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-767,000</w:t>
            </w:r>
          </w:p>
        </w:tc>
        <w:tc>
          <w:tcPr>
            <w:tcW w:w="1062" w:type="dxa"/>
            <w:tcBorders>
              <w:top w:val="nil"/>
              <w:left w:val="nil"/>
              <w:bottom w:val="single" w:sz="4" w:space="0" w:color="auto"/>
              <w:right w:val="single" w:sz="8" w:space="0" w:color="auto"/>
            </w:tcBorders>
            <w:shd w:val="clear" w:color="000000" w:fill="FFFFFF"/>
            <w:noWrap/>
            <w:vAlign w:val="bottom"/>
            <w:hideMark/>
          </w:tcPr>
          <w:p w14:paraId="3C563A1B"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13</w:t>
            </w:r>
          </w:p>
        </w:tc>
        <w:tc>
          <w:tcPr>
            <w:tcW w:w="222" w:type="dxa"/>
            <w:vAlign w:val="center"/>
            <w:hideMark/>
          </w:tcPr>
          <w:p w14:paraId="5300044F"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2077240A" w14:textId="77777777" w:rsidTr="00814E2A">
        <w:trPr>
          <w:trHeight w:val="300"/>
        </w:trPr>
        <w:tc>
          <w:tcPr>
            <w:tcW w:w="3162" w:type="dxa"/>
            <w:tcBorders>
              <w:top w:val="nil"/>
              <w:left w:val="single" w:sz="8" w:space="0" w:color="auto"/>
              <w:bottom w:val="single" w:sz="4" w:space="0" w:color="auto"/>
              <w:right w:val="single" w:sz="4" w:space="0" w:color="auto"/>
            </w:tcBorders>
            <w:shd w:val="clear" w:color="auto" w:fill="auto"/>
            <w:noWrap/>
            <w:vAlign w:val="bottom"/>
            <w:hideMark/>
          </w:tcPr>
          <w:p w14:paraId="49F973BB"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 xml:space="preserve">Total </w:t>
            </w:r>
            <w:proofErr w:type="spellStart"/>
            <w:r w:rsidRPr="002219EF">
              <w:rPr>
                <w:rFonts w:ascii="Calibri" w:eastAsia="Times New Roman" w:hAnsi="Calibri" w:cs="Calibri"/>
                <w:color w:val="000000"/>
                <w:sz w:val="22"/>
                <w:lang w:eastAsia="en-GB"/>
              </w:rPr>
              <w:t>stockholders</w:t>
            </w:r>
            <w:proofErr w:type="spellEnd"/>
            <w:r w:rsidRPr="002219EF">
              <w:rPr>
                <w:rFonts w:ascii="Calibri" w:eastAsia="Times New Roman" w:hAnsi="Calibri" w:cs="Calibri"/>
                <w:color w:val="000000"/>
                <w:sz w:val="22"/>
                <w:lang w:eastAsia="en-GB"/>
              </w:rPr>
              <w:t xml:space="preserve"> equity</w:t>
            </w:r>
          </w:p>
        </w:tc>
        <w:tc>
          <w:tcPr>
            <w:tcW w:w="1218" w:type="dxa"/>
            <w:tcBorders>
              <w:top w:val="nil"/>
              <w:left w:val="nil"/>
              <w:bottom w:val="single" w:sz="4" w:space="0" w:color="auto"/>
              <w:right w:val="single" w:sz="4" w:space="0" w:color="auto"/>
            </w:tcBorders>
            <w:shd w:val="clear" w:color="000000" w:fill="FFFFFF"/>
            <w:noWrap/>
            <w:vAlign w:val="bottom"/>
            <w:hideMark/>
          </w:tcPr>
          <w:p w14:paraId="01D9B41D" w14:textId="77777777" w:rsidR="002219EF" w:rsidRPr="002219EF" w:rsidRDefault="002219EF" w:rsidP="00814E2A">
            <w:pPr>
              <w:spacing w:after="0" w:line="240" w:lineRule="auto"/>
              <w:jc w:val="right"/>
              <w:rPr>
                <w:rFonts w:ascii="Calibri" w:eastAsia="Times New Roman" w:hAnsi="Calibri" w:cs="Calibri"/>
                <w:sz w:val="22"/>
                <w:lang w:eastAsia="en-GB"/>
              </w:rPr>
            </w:pPr>
            <w:r w:rsidRPr="002219EF">
              <w:rPr>
                <w:rFonts w:ascii="Calibri" w:eastAsia="Times New Roman" w:hAnsi="Calibri" w:cs="Calibri"/>
                <w:sz w:val="22"/>
                <w:lang w:eastAsia="en-GB"/>
              </w:rPr>
              <w:t>-1,490,000</w:t>
            </w:r>
          </w:p>
        </w:tc>
        <w:tc>
          <w:tcPr>
            <w:tcW w:w="1218" w:type="dxa"/>
            <w:tcBorders>
              <w:top w:val="nil"/>
              <w:left w:val="nil"/>
              <w:bottom w:val="single" w:sz="4" w:space="0" w:color="auto"/>
              <w:right w:val="single" w:sz="4" w:space="0" w:color="auto"/>
            </w:tcBorders>
            <w:shd w:val="clear" w:color="auto" w:fill="auto"/>
            <w:noWrap/>
            <w:vAlign w:val="bottom"/>
            <w:hideMark/>
          </w:tcPr>
          <w:p w14:paraId="17DF7496"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-482,000</w:t>
            </w:r>
          </w:p>
        </w:tc>
        <w:tc>
          <w:tcPr>
            <w:tcW w:w="1145" w:type="dxa"/>
            <w:tcBorders>
              <w:top w:val="nil"/>
              <w:left w:val="nil"/>
              <w:bottom w:val="single" w:sz="4" w:space="0" w:color="auto"/>
              <w:right w:val="single" w:sz="4" w:space="0" w:color="auto"/>
            </w:tcBorders>
            <w:shd w:val="clear" w:color="000000" w:fill="FFFFFF"/>
            <w:noWrap/>
            <w:vAlign w:val="bottom"/>
            <w:hideMark/>
          </w:tcPr>
          <w:p w14:paraId="72884CDF"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-1,008,000</w:t>
            </w:r>
          </w:p>
        </w:tc>
        <w:tc>
          <w:tcPr>
            <w:tcW w:w="1062" w:type="dxa"/>
            <w:tcBorders>
              <w:top w:val="nil"/>
              <w:left w:val="nil"/>
              <w:bottom w:val="single" w:sz="4" w:space="0" w:color="auto"/>
              <w:right w:val="single" w:sz="8" w:space="0" w:color="auto"/>
            </w:tcBorders>
            <w:shd w:val="clear" w:color="000000" w:fill="FFFFFF"/>
            <w:noWrap/>
            <w:vAlign w:val="bottom"/>
            <w:hideMark/>
          </w:tcPr>
          <w:p w14:paraId="71FA088F"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209</w:t>
            </w:r>
          </w:p>
        </w:tc>
        <w:tc>
          <w:tcPr>
            <w:tcW w:w="222" w:type="dxa"/>
            <w:vAlign w:val="center"/>
            <w:hideMark/>
          </w:tcPr>
          <w:p w14:paraId="20275867" w14:textId="77777777" w:rsidR="002219EF" w:rsidRPr="002219EF" w:rsidRDefault="002219EF" w:rsidP="00814E2A">
            <w:pPr>
              <w:spacing w:after="0" w:line="240" w:lineRule="auto"/>
              <w:jc w:val="left"/>
              <w:rPr>
                <w:rFonts w:eastAsia="Times New Roman" w:cs="Times New Roman"/>
                <w:sz w:val="20"/>
                <w:szCs w:val="20"/>
                <w:lang w:eastAsia="en-GB"/>
              </w:rPr>
            </w:pPr>
          </w:p>
        </w:tc>
      </w:tr>
      <w:tr w:rsidR="002219EF" w:rsidRPr="002219EF" w14:paraId="1843BF93" w14:textId="77777777" w:rsidTr="00814E2A">
        <w:trPr>
          <w:trHeight w:val="315"/>
        </w:trPr>
        <w:tc>
          <w:tcPr>
            <w:tcW w:w="3162" w:type="dxa"/>
            <w:tcBorders>
              <w:top w:val="nil"/>
              <w:left w:val="single" w:sz="8" w:space="0" w:color="auto"/>
              <w:bottom w:val="single" w:sz="8" w:space="0" w:color="auto"/>
              <w:right w:val="single" w:sz="4" w:space="0" w:color="auto"/>
            </w:tcBorders>
            <w:shd w:val="clear" w:color="auto" w:fill="auto"/>
            <w:noWrap/>
            <w:vAlign w:val="bottom"/>
            <w:hideMark/>
          </w:tcPr>
          <w:p w14:paraId="15AE4517" w14:textId="77777777" w:rsidR="002219EF" w:rsidRPr="002219EF" w:rsidRDefault="002219EF" w:rsidP="00814E2A">
            <w:pPr>
              <w:spacing w:after="0" w:line="240" w:lineRule="auto"/>
              <w:jc w:val="lef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 xml:space="preserve">Total liabilities &amp; Stockholders </w:t>
            </w:r>
          </w:p>
        </w:tc>
        <w:tc>
          <w:tcPr>
            <w:tcW w:w="1218" w:type="dxa"/>
            <w:tcBorders>
              <w:top w:val="nil"/>
              <w:left w:val="nil"/>
              <w:bottom w:val="single" w:sz="8" w:space="0" w:color="auto"/>
              <w:right w:val="single" w:sz="4" w:space="0" w:color="auto"/>
            </w:tcBorders>
            <w:shd w:val="clear" w:color="auto" w:fill="auto"/>
            <w:noWrap/>
            <w:vAlign w:val="bottom"/>
            <w:hideMark/>
          </w:tcPr>
          <w:p w14:paraId="599D3256"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16,755,000</w:t>
            </w:r>
          </w:p>
        </w:tc>
        <w:tc>
          <w:tcPr>
            <w:tcW w:w="1218" w:type="dxa"/>
            <w:tcBorders>
              <w:top w:val="nil"/>
              <w:left w:val="nil"/>
              <w:bottom w:val="single" w:sz="8" w:space="0" w:color="auto"/>
              <w:right w:val="single" w:sz="4" w:space="0" w:color="auto"/>
            </w:tcBorders>
            <w:shd w:val="clear" w:color="auto" w:fill="auto"/>
            <w:noWrap/>
            <w:vAlign w:val="bottom"/>
            <w:hideMark/>
          </w:tcPr>
          <w:p w14:paraId="7EA0E2CF"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14,957,000</w:t>
            </w:r>
          </w:p>
        </w:tc>
        <w:tc>
          <w:tcPr>
            <w:tcW w:w="1145" w:type="dxa"/>
            <w:tcBorders>
              <w:top w:val="nil"/>
              <w:left w:val="nil"/>
              <w:bottom w:val="single" w:sz="8" w:space="0" w:color="auto"/>
              <w:right w:val="single" w:sz="4" w:space="0" w:color="auto"/>
            </w:tcBorders>
            <w:shd w:val="clear" w:color="000000" w:fill="FFFFFF"/>
            <w:noWrap/>
            <w:vAlign w:val="bottom"/>
            <w:hideMark/>
          </w:tcPr>
          <w:p w14:paraId="7D2A09AB"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1,798,000</w:t>
            </w:r>
          </w:p>
        </w:tc>
        <w:tc>
          <w:tcPr>
            <w:tcW w:w="1062" w:type="dxa"/>
            <w:tcBorders>
              <w:top w:val="nil"/>
              <w:left w:val="nil"/>
              <w:bottom w:val="single" w:sz="8" w:space="0" w:color="auto"/>
              <w:right w:val="single" w:sz="8" w:space="0" w:color="auto"/>
            </w:tcBorders>
            <w:shd w:val="clear" w:color="000000" w:fill="FFFFFF"/>
            <w:noWrap/>
            <w:vAlign w:val="bottom"/>
            <w:hideMark/>
          </w:tcPr>
          <w:p w14:paraId="50C1E9AB" w14:textId="77777777" w:rsidR="002219EF" w:rsidRPr="002219EF" w:rsidRDefault="002219EF" w:rsidP="00814E2A">
            <w:pPr>
              <w:spacing w:after="0" w:line="240" w:lineRule="auto"/>
              <w:jc w:val="right"/>
              <w:rPr>
                <w:rFonts w:ascii="Calibri" w:eastAsia="Times New Roman" w:hAnsi="Calibri" w:cs="Calibri"/>
                <w:color w:val="000000"/>
                <w:sz w:val="22"/>
                <w:lang w:eastAsia="en-GB"/>
              </w:rPr>
            </w:pPr>
            <w:r w:rsidRPr="002219EF">
              <w:rPr>
                <w:rFonts w:ascii="Calibri" w:eastAsia="Times New Roman" w:hAnsi="Calibri" w:cs="Calibri"/>
                <w:color w:val="000000"/>
                <w:sz w:val="22"/>
                <w:lang w:eastAsia="en-GB"/>
              </w:rPr>
              <w:t>12</w:t>
            </w:r>
          </w:p>
        </w:tc>
        <w:tc>
          <w:tcPr>
            <w:tcW w:w="222" w:type="dxa"/>
            <w:vAlign w:val="center"/>
            <w:hideMark/>
          </w:tcPr>
          <w:p w14:paraId="3A2E2B66" w14:textId="77777777" w:rsidR="002219EF" w:rsidRPr="002219EF" w:rsidRDefault="002219EF" w:rsidP="00814E2A">
            <w:pPr>
              <w:spacing w:after="0" w:line="240" w:lineRule="auto"/>
              <w:jc w:val="left"/>
              <w:rPr>
                <w:rFonts w:eastAsia="Times New Roman" w:cs="Times New Roman"/>
                <w:sz w:val="20"/>
                <w:szCs w:val="20"/>
                <w:lang w:eastAsia="en-GB"/>
              </w:rPr>
            </w:pPr>
          </w:p>
        </w:tc>
      </w:tr>
    </w:tbl>
    <w:p w14:paraId="392719ED" w14:textId="4FAE7CEC" w:rsidR="00322266" w:rsidRDefault="00322266" w:rsidP="00D05290">
      <w:pPr>
        <w:spacing w:line="360" w:lineRule="auto"/>
        <w:jc w:val="center"/>
      </w:pPr>
    </w:p>
    <w:p w14:paraId="74C73E07" w14:textId="49F1C6A1" w:rsidR="009A7A79" w:rsidRDefault="009A7A79" w:rsidP="00D05290">
      <w:pPr>
        <w:spacing w:line="360" w:lineRule="auto"/>
        <w:jc w:val="center"/>
      </w:pPr>
    </w:p>
    <w:p w14:paraId="0C9934CF" w14:textId="51139FF2" w:rsidR="00861411" w:rsidRDefault="00861411" w:rsidP="00D05290">
      <w:pPr>
        <w:spacing w:line="360" w:lineRule="auto"/>
        <w:jc w:val="center"/>
      </w:pPr>
    </w:p>
    <w:p w14:paraId="630DCD5C" w14:textId="238C1FA2" w:rsidR="00C65C0D" w:rsidRDefault="00C65C0D" w:rsidP="00D05290">
      <w:pPr>
        <w:spacing w:line="360" w:lineRule="auto"/>
        <w:jc w:val="center"/>
      </w:pPr>
    </w:p>
    <w:p w14:paraId="51A66231" w14:textId="77777777" w:rsidR="00C65C0D" w:rsidRDefault="00C65C0D" w:rsidP="00D05290">
      <w:pPr>
        <w:spacing w:line="360" w:lineRule="auto"/>
        <w:jc w:val="center"/>
      </w:pPr>
    </w:p>
    <w:p w14:paraId="08B6ADE2" w14:textId="63396541" w:rsidR="006A2512" w:rsidRDefault="006A2512" w:rsidP="00D05290">
      <w:pPr>
        <w:spacing w:line="360" w:lineRule="auto"/>
        <w:jc w:val="center"/>
      </w:pPr>
    </w:p>
    <w:p w14:paraId="2BEE6A9F" w14:textId="747D20D6" w:rsidR="006A2512" w:rsidRDefault="006A2512" w:rsidP="00D05290">
      <w:pPr>
        <w:spacing w:line="360" w:lineRule="auto"/>
        <w:jc w:val="center"/>
      </w:pPr>
    </w:p>
    <w:p w14:paraId="454270C9" w14:textId="11D5BBD7" w:rsidR="00861411" w:rsidRDefault="00022F68" w:rsidP="00D05290">
      <w:pPr>
        <w:spacing w:line="360" w:lineRule="auto"/>
        <w:jc w:val="center"/>
      </w:pPr>
      <w:r>
        <w:rPr>
          <w:noProof/>
        </w:rPr>
        <w:lastRenderedPageBreak/>
        <w:drawing>
          <wp:inline distT="0" distB="0" distL="0" distR="0" wp14:anchorId="14D0EFEF" wp14:editId="00E89978">
            <wp:extent cx="5731510" cy="8324336"/>
            <wp:effectExtent l="0" t="0" r="2540" b="63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63E546" w14:textId="77777777" w:rsidR="006A295D" w:rsidRDefault="00F83890" w:rsidP="00D05290">
      <w:pPr>
        <w:spacing w:line="360" w:lineRule="auto"/>
        <w:jc w:val="center"/>
      </w:pPr>
      <w:r>
        <w:rPr>
          <w:noProof/>
        </w:rPr>
        <w:lastRenderedPageBreak/>
        <w:drawing>
          <wp:inline distT="0" distB="0" distL="0" distR="0" wp14:anchorId="6125D5D5" wp14:editId="6EB9BD7F">
            <wp:extent cx="5731510" cy="2713236"/>
            <wp:effectExtent l="0" t="0" r="2540" b="1143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6A295D">
        <w:rPr>
          <w:noProof/>
        </w:rPr>
        <w:drawing>
          <wp:inline distT="0" distB="0" distL="0" distR="0" wp14:anchorId="7E90444B" wp14:editId="4EB3C67E">
            <wp:extent cx="5731510" cy="3603354"/>
            <wp:effectExtent l="0" t="0" r="2540" b="1651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E1E3AB2" w14:textId="77777777" w:rsidR="006A295D" w:rsidRDefault="006A295D" w:rsidP="00D05290">
      <w:pPr>
        <w:spacing w:line="360" w:lineRule="auto"/>
        <w:jc w:val="center"/>
      </w:pPr>
    </w:p>
    <w:p w14:paraId="446BAD56" w14:textId="77777777" w:rsidR="006A295D" w:rsidRDefault="006A295D" w:rsidP="00D05290">
      <w:pPr>
        <w:spacing w:line="360" w:lineRule="auto"/>
        <w:jc w:val="center"/>
      </w:pPr>
    </w:p>
    <w:p w14:paraId="0E0688F6" w14:textId="77777777" w:rsidR="006A295D" w:rsidRDefault="006A295D" w:rsidP="00D05290">
      <w:pPr>
        <w:spacing w:line="360" w:lineRule="auto"/>
        <w:jc w:val="center"/>
      </w:pPr>
    </w:p>
    <w:p w14:paraId="26EEB2EF" w14:textId="77777777" w:rsidR="006A295D" w:rsidRDefault="006A295D" w:rsidP="00D05290">
      <w:pPr>
        <w:spacing w:line="360" w:lineRule="auto"/>
        <w:jc w:val="center"/>
      </w:pPr>
    </w:p>
    <w:p w14:paraId="4A463913" w14:textId="77777777" w:rsidR="006A295D" w:rsidRDefault="006A295D" w:rsidP="00D05290">
      <w:pPr>
        <w:spacing w:line="360" w:lineRule="auto"/>
        <w:jc w:val="center"/>
      </w:pPr>
    </w:p>
    <w:p w14:paraId="7213D1A0" w14:textId="77777777" w:rsidR="006A295D" w:rsidRDefault="006A295D" w:rsidP="00D05290">
      <w:pPr>
        <w:spacing w:line="360" w:lineRule="auto"/>
        <w:jc w:val="center"/>
      </w:pPr>
    </w:p>
    <w:p w14:paraId="179A1D85" w14:textId="77777777" w:rsidR="006A295D" w:rsidRDefault="006A295D" w:rsidP="00D05290">
      <w:pPr>
        <w:spacing w:line="360" w:lineRule="auto"/>
        <w:jc w:val="center"/>
      </w:pPr>
    </w:p>
    <w:p w14:paraId="563AAB33" w14:textId="7D5DEEAB" w:rsidR="00861411" w:rsidRDefault="00022F68" w:rsidP="00D05290">
      <w:pPr>
        <w:spacing w:line="360" w:lineRule="auto"/>
        <w:jc w:val="center"/>
      </w:pPr>
      <w:r w:rsidRPr="00D05290">
        <w:rPr>
          <w:noProof/>
        </w:rPr>
        <w:drawing>
          <wp:inline distT="0" distB="0" distL="0" distR="0" wp14:anchorId="4A145CDF" wp14:editId="0A3BBDBE">
            <wp:extent cx="1219200" cy="411991"/>
            <wp:effectExtent l="0" t="0" r="0" b="0"/>
            <wp:docPr id="1" name="Picture 1" descr="Hilton Logo, history, meaning, symbol,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Logo, history, meaning, symbol, 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1316" cy="422843"/>
                    </a:xfrm>
                    <a:prstGeom prst="rect">
                      <a:avLst/>
                    </a:prstGeom>
                    <a:noFill/>
                    <a:ln>
                      <a:noFill/>
                    </a:ln>
                  </pic:spPr>
                </pic:pic>
              </a:graphicData>
            </a:graphic>
          </wp:inline>
        </w:drawing>
      </w:r>
    </w:p>
    <w:p w14:paraId="730775CE" w14:textId="20ED9A06" w:rsidR="00977283" w:rsidRDefault="00D05290" w:rsidP="00D05290">
      <w:pPr>
        <w:spacing w:line="360" w:lineRule="auto"/>
        <w:jc w:val="center"/>
      </w:pPr>
      <w:r>
        <w:t xml:space="preserve">Figure 1: Hilton worldwide </w:t>
      </w:r>
      <w:r w:rsidRPr="00D05290">
        <w:t>(Alieva, 2019)</w:t>
      </w:r>
    </w:p>
    <w:p w14:paraId="16747E13" w14:textId="48998AA6" w:rsidR="00977283" w:rsidRDefault="00977283" w:rsidP="00D05290">
      <w:pPr>
        <w:pStyle w:val="Heading1"/>
        <w:spacing w:line="360" w:lineRule="auto"/>
      </w:pPr>
      <w:bookmarkStart w:id="2" w:name="_Toc104224904"/>
      <w:r>
        <w:t>Financial ratios of Hilton Hotel for 2019 and 2020</w:t>
      </w:r>
      <w:bookmarkEnd w:id="2"/>
    </w:p>
    <w:p w14:paraId="07209FFD" w14:textId="7F62A8BA" w:rsidR="00977283" w:rsidRDefault="00977283" w:rsidP="00D05290">
      <w:pPr>
        <w:spacing w:line="360" w:lineRule="auto"/>
      </w:pPr>
      <w:r>
        <w:t xml:space="preserve">Hilton </w:t>
      </w:r>
      <w:bookmarkStart w:id="3" w:name="_Hlk104222520"/>
      <w:r>
        <w:t>Worldwide Holdings Inc</w:t>
      </w:r>
      <w:bookmarkEnd w:id="3"/>
      <w:r>
        <w:t xml:space="preserve">., manages and franchises a diverse selection of hotels and resorts </w:t>
      </w:r>
      <w:r w:rsidR="00C70C23">
        <w:t>I</w:t>
      </w:r>
      <w:r>
        <w:t xml:space="preserve">n May 1919 Conrad Hilton founded the company. There are 690 managed properties and </w:t>
      </w:r>
      <w:r w:rsidR="00ED2D18">
        <w:t xml:space="preserve">close to </w:t>
      </w:r>
      <w:r>
        <w:t>5,40</w:t>
      </w:r>
      <w:r w:rsidR="00ED2D18">
        <w:t>0</w:t>
      </w:r>
      <w:r>
        <w:t xml:space="preserve"> franchised properties in 118 countries and territories, with a total of almost 954,000 rooms</w:t>
      </w:r>
      <w:r w:rsidR="00ED2D18" w:rsidRPr="00ED2D18">
        <w:t xml:space="preserve"> (Kourtis et al., 2019)</w:t>
      </w:r>
      <w:r>
        <w:t xml:space="preserve">. </w:t>
      </w:r>
    </w:p>
    <w:tbl>
      <w:tblPr>
        <w:tblStyle w:val="TableGrid"/>
        <w:tblW w:w="0" w:type="auto"/>
        <w:tblLook w:val="04A0" w:firstRow="1" w:lastRow="0" w:firstColumn="1" w:lastColumn="0" w:noHBand="0" w:noVBand="1"/>
      </w:tblPr>
      <w:tblGrid>
        <w:gridCol w:w="3017"/>
        <w:gridCol w:w="2996"/>
        <w:gridCol w:w="3003"/>
      </w:tblGrid>
      <w:tr w:rsidR="00977283" w:rsidRPr="00977283" w14:paraId="78B95987" w14:textId="77777777" w:rsidTr="00977283">
        <w:trPr>
          <w:trHeight w:val="516"/>
        </w:trPr>
        <w:tc>
          <w:tcPr>
            <w:tcW w:w="3116" w:type="dxa"/>
            <w:shd w:val="clear" w:color="auto" w:fill="5B9BD5" w:themeFill="accent5"/>
            <w:vAlign w:val="center"/>
          </w:tcPr>
          <w:p w14:paraId="74E9E9A0" w14:textId="2C3CD6C9" w:rsidR="00977283" w:rsidRPr="00977283" w:rsidRDefault="00977283" w:rsidP="00D05290">
            <w:pPr>
              <w:spacing w:after="160" w:line="360" w:lineRule="auto"/>
              <w:jc w:val="center"/>
              <w:rPr>
                <w:b/>
                <w:bCs/>
                <w:lang w:val="en-US"/>
              </w:rPr>
            </w:pPr>
            <w:r>
              <w:rPr>
                <w:b/>
                <w:bCs/>
                <w:lang w:val="en-US"/>
              </w:rPr>
              <w:t xml:space="preserve">Financial </w:t>
            </w:r>
            <w:r w:rsidRPr="00977283">
              <w:rPr>
                <w:b/>
                <w:bCs/>
                <w:lang w:val="en-US"/>
              </w:rPr>
              <w:t>Ratio</w:t>
            </w:r>
            <w:r>
              <w:rPr>
                <w:b/>
                <w:bCs/>
                <w:lang w:val="en-US"/>
              </w:rPr>
              <w:t>s</w:t>
            </w:r>
          </w:p>
        </w:tc>
        <w:tc>
          <w:tcPr>
            <w:tcW w:w="3117" w:type="dxa"/>
            <w:shd w:val="clear" w:color="auto" w:fill="5B9BD5" w:themeFill="accent5"/>
            <w:vAlign w:val="center"/>
          </w:tcPr>
          <w:p w14:paraId="4CB4A0E6" w14:textId="4FEB2F85" w:rsidR="00977283" w:rsidRPr="00977283" w:rsidRDefault="00977283" w:rsidP="00D05290">
            <w:pPr>
              <w:spacing w:after="160" w:line="360" w:lineRule="auto"/>
              <w:jc w:val="center"/>
              <w:rPr>
                <w:b/>
                <w:bCs/>
                <w:lang w:val="en-US"/>
              </w:rPr>
            </w:pPr>
            <w:r>
              <w:rPr>
                <w:b/>
                <w:bCs/>
                <w:lang w:val="en-US"/>
              </w:rPr>
              <w:t xml:space="preserve">For </w:t>
            </w:r>
            <w:r w:rsidRPr="00977283">
              <w:rPr>
                <w:b/>
                <w:bCs/>
                <w:lang w:val="en-US"/>
              </w:rPr>
              <w:t>2020</w:t>
            </w:r>
          </w:p>
        </w:tc>
        <w:tc>
          <w:tcPr>
            <w:tcW w:w="3117" w:type="dxa"/>
            <w:shd w:val="clear" w:color="auto" w:fill="5B9BD5" w:themeFill="accent5"/>
            <w:vAlign w:val="center"/>
          </w:tcPr>
          <w:p w14:paraId="488D8879" w14:textId="669278D6" w:rsidR="00977283" w:rsidRPr="00977283" w:rsidRDefault="00977283" w:rsidP="00D05290">
            <w:pPr>
              <w:spacing w:after="160" w:line="360" w:lineRule="auto"/>
              <w:jc w:val="center"/>
              <w:rPr>
                <w:b/>
                <w:bCs/>
                <w:lang w:val="en-US"/>
              </w:rPr>
            </w:pPr>
            <w:r>
              <w:rPr>
                <w:b/>
                <w:bCs/>
                <w:lang w:val="en-US"/>
              </w:rPr>
              <w:t xml:space="preserve">For </w:t>
            </w:r>
            <w:r w:rsidRPr="00977283">
              <w:rPr>
                <w:b/>
                <w:bCs/>
                <w:lang w:val="en-US"/>
              </w:rPr>
              <w:t>2019</w:t>
            </w:r>
          </w:p>
        </w:tc>
      </w:tr>
      <w:tr w:rsidR="00977283" w:rsidRPr="00977283" w14:paraId="288BE488" w14:textId="77777777" w:rsidTr="00977283">
        <w:trPr>
          <w:trHeight w:val="516"/>
        </w:trPr>
        <w:tc>
          <w:tcPr>
            <w:tcW w:w="3116" w:type="dxa"/>
            <w:shd w:val="clear" w:color="auto" w:fill="D9E2F3" w:themeFill="accent1" w:themeFillTint="33"/>
          </w:tcPr>
          <w:p w14:paraId="79AC8C7F" w14:textId="65F9B88A" w:rsidR="00977283" w:rsidRPr="00977283" w:rsidRDefault="00977283" w:rsidP="00D05290">
            <w:pPr>
              <w:spacing w:after="160" w:line="360" w:lineRule="auto"/>
              <w:jc w:val="center"/>
              <w:rPr>
                <w:lang w:val="en-US"/>
              </w:rPr>
            </w:pPr>
            <w:bookmarkStart w:id="4" w:name="_Hlk104214931"/>
            <w:r w:rsidRPr="00977283">
              <w:rPr>
                <w:lang w:val="en-US"/>
              </w:rPr>
              <w:t>Current Ratio</w:t>
            </w:r>
          </w:p>
        </w:tc>
        <w:tc>
          <w:tcPr>
            <w:tcW w:w="3117" w:type="dxa"/>
            <w:shd w:val="clear" w:color="auto" w:fill="D9E2F3" w:themeFill="accent1" w:themeFillTint="33"/>
            <w:vAlign w:val="center"/>
          </w:tcPr>
          <w:p w14:paraId="6B96D919" w14:textId="77777777" w:rsidR="00977283" w:rsidRPr="00977283" w:rsidRDefault="00977283" w:rsidP="00D05290">
            <w:pPr>
              <w:spacing w:after="160" w:line="360" w:lineRule="auto"/>
              <w:jc w:val="center"/>
              <w:rPr>
                <w:lang w:val="en-US"/>
              </w:rPr>
            </w:pPr>
            <w:r w:rsidRPr="00977283">
              <w:rPr>
                <w:lang w:val="en-US"/>
              </w:rPr>
              <w:t>1.73</w:t>
            </w:r>
          </w:p>
        </w:tc>
        <w:tc>
          <w:tcPr>
            <w:tcW w:w="3117" w:type="dxa"/>
            <w:shd w:val="clear" w:color="auto" w:fill="D9E2F3" w:themeFill="accent1" w:themeFillTint="33"/>
            <w:vAlign w:val="center"/>
          </w:tcPr>
          <w:p w14:paraId="151382C1" w14:textId="77777777" w:rsidR="00977283" w:rsidRPr="00977283" w:rsidRDefault="00977283" w:rsidP="00D05290">
            <w:pPr>
              <w:spacing w:after="160" w:line="360" w:lineRule="auto"/>
              <w:jc w:val="center"/>
              <w:rPr>
                <w:lang w:val="en-US"/>
              </w:rPr>
            </w:pPr>
            <w:r w:rsidRPr="00977283">
              <w:rPr>
                <w:lang w:val="en-US"/>
              </w:rPr>
              <w:t>0.73</w:t>
            </w:r>
          </w:p>
        </w:tc>
      </w:tr>
      <w:tr w:rsidR="00977283" w:rsidRPr="00977283" w14:paraId="6D2787D9" w14:textId="77777777" w:rsidTr="00977283">
        <w:trPr>
          <w:trHeight w:val="516"/>
        </w:trPr>
        <w:tc>
          <w:tcPr>
            <w:tcW w:w="3116" w:type="dxa"/>
            <w:shd w:val="clear" w:color="auto" w:fill="D9E2F3" w:themeFill="accent1" w:themeFillTint="33"/>
          </w:tcPr>
          <w:p w14:paraId="19CAF4A6" w14:textId="02AF8985" w:rsidR="00977283" w:rsidRPr="00977283" w:rsidRDefault="00977283" w:rsidP="00D05290">
            <w:pPr>
              <w:spacing w:after="160" w:line="360" w:lineRule="auto"/>
              <w:jc w:val="center"/>
              <w:rPr>
                <w:lang w:val="en-US"/>
              </w:rPr>
            </w:pPr>
            <w:bookmarkStart w:id="5" w:name="_Hlk104215007"/>
            <w:bookmarkStart w:id="6" w:name="_Hlk104215125"/>
            <w:bookmarkEnd w:id="4"/>
            <w:r w:rsidRPr="00977283">
              <w:rPr>
                <w:lang w:val="en-US"/>
              </w:rPr>
              <w:t>Debt to Equity Ratio</w:t>
            </w:r>
            <w:bookmarkEnd w:id="5"/>
          </w:p>
        </w:tc>
        <w:tc>
          <w:tcPr>
            <w:tcW w:w="3117" w:type="dxa"/>
            <w:shd w:val="clear" w:color="auto" w:fill="D9E2F3" w:themeFill="accent1" w:themeFillTint="33"/>
            <w:vAlign w:val="center"/>
          </w:tcPr>
          <w:p w14:paraId="1A184379" w14:textId="77777777" w:rsidR="00977283" w:rsidRPr="00977283" w:rsidRDefault="00977283" w:rsidP="00D05290">
            <w:pPr>
              <w:spacing w:after="160" w:line="360" w:lineRule="auto"/>
              <w:jc w:val="center"/>
              <w:rPr>
                <w:lang w:val="en-US"/>
              </w:rPr>
            </w:pPr>
            <w:r w:rsidRPr="00977283">
              <w:rPr>
                <w:lang w:val="en-US"/>
              </w:rPr>
              <w:t>-7.06</w:t>
            </w:r>
          </w:p>
        </w:tc>
        <w:tc>
          <w:tcPr>
            <w:tcW w:w="3117" w:type="dxa"/>
            <w:shd w:val="clear" w:color="auto" w:fill="D9E2F3" w:themeFill="accent1" w:themeFillTint="33"/>
            <w:vAlign w:val="center"/>
          </w:tcPr>
          <w:p w14:paraId="2FE13128" w14:textId="77777777" w:rsidR="00977283" w:rsidRPr="00977283" w:rsidRDefault="00977283" w:rsidP="00D05290">
            <w:pPr>
              <w:spacing w:after="160" w:line="360" w:lineRule="auto"/>
              <w:jc w:val="center"/>
              <w:rPr>
                <w:lang w:val="en-US"/>
              </w:rPr>
            </w:pPr>
            <w:r w:rsidRPr="00977283">
              <w:rPr>
                <w:lang w:val="en-US"/>
              </w:rPr>
              <w:t>-16.93</w:t>
            </w:r>
          </w:p>
        </w:tc>
      </w:tr>
      <w:bookmarkEnd w:id="6"/>
      <w:tr w:rsidR="00977283" w:rsidRPr="00977283" w14:paraId="411012DF" w14:textId="77777777" w:rsidTr="00977283">
        <w:trPr>
          <w:trHeight w:val="494"/>
        </w:trPr>
        <w:tc>
          <w:tcPr>
            <w:tcW w:w="3116" w:type="dxa"/>
            <w:shd w:val="clear" w:color="auto" w:fill="D9E2F3" w:themeFill="accent1" w:themeFillTint="33"/>
          </w:tcPr>
          <w:p w14:paraId="20937224" w14:textId="77777777" w:rsidR="00977283" w:rsidRPr="00977283" w:rsidRDefault="00977283" w:rsidP="00D05290">
            <w:pPr>
              <w:spacing w:after="160" w:line="360" w:lineRule="auto"/>
              <w:jc w:val="center"/>
              <w:rPr>
                <w:lang w:val="en-US"/>
              </w:rPr>
            </w:pPr>
            <w:r w:rsidRPr="00977283">
              <w:rPr>
                <w:lang w:val="en-US"/>
              </w:rPr>
              <w:t>Long Term Debt to capital</w:t>
            </w:r>
          </w:p>
        </w:tc>
        <w:tc>
          <w:tcPr>
            <w:tcW w:w="3117" w:type="dxa"/>
            <w:shd w:val="clear" w:color="auto" w:fill="D9E2F3" w:themeFill="accent1" w:themeFillTint="33"/>
            <w:vAlign w:val="center"/>
          </w:tcPr>
          <w:p w14:paraId="538E8E8B" w14:textId="77777777" w:rsidR="00977283" w:rsidRPr="00977283" w:rsidRDefault="00977283" w:rsidP="00D05290">
            <w:pPr>
              <w:spacing w:after="160" w:line="360" w:lineRule="auto"/>
              <w:jc w:val="center"/>
              <w:rPr>
                <w:lang w:val="en-US"/>
              </w:rPr>
            </w:pPr>
            <w:bookmarkStart w:id="7" w:name="_Hlk104215450"/>
            <w:r w:rsidRPr="00977283">
              <w:rPr>
                <w:lang w:val="en-US"/>
              </w:rPr>
              <w:t>1.17</w:t>
            </w:r>
            <w:bookmarkEnd w:id="7"/>
          </w:p>
        </w:tc>
        <w:tc>
          <w:tcPr>
            <w:tcW w:w="3117" w:type="dxa"/>
            <w:shd w:val="clear" w:color="auto" w:fill="D9E2F3" w:themeFill="accent1" w:themeFillTint="33"/>
            <w:vAlign w:val="center"/>
          </w:tcPr>
          <w:p w14:paraId="1EFF3E91" w14:textId="77777777" w:rsidR="00977283" w:rsidRPr="00977283" w:rsidRDefault="00977283" w:rsidP="00D05290">
            <w:pPr>
              <w:spacing w:after="160" w:line="360" w:lineRule="auto"/>
              <w:jc w:val="center"/>
              <w:rPr>
                <w:lang w:val="en-US"/>
              </w:rPr>
            </w:pPr>
            <w:bookmarkStart w:id="8" w:name="_Hlk104215438"/>
            <w:r w:rsidRPr="00977283">
              <w:rPr>
                <w:lang w:val="en-US"/>
              </w:rPr>
              <w:t>1.06</w:t>
            </w:r>
            <w:bookmarkEnd w:id="8"/>
          </w:p>
        </w:tc>
      </w:tr>
      <w:tr w:rsidR="00977283" w:rsidRPr="00977283" w14:paraId="078F40D4" w14:textId="77777777" w:rsidTr="00977283">
        <w:trPr>
          <w:trHeight w:val="516"/>
        </w:trPr>
        <w:tc>
          <w:tcPr>
            <w:tcW w:w="3116" w:type="dxa"/>
            <w:shd w:val="clear" w:color="auto" w:fill="D9E2F3" w:themeFill="accent1" w:themeFillTint="33"/>
          </w:tcPr>
          <w:p w14:paraId="20B0D8D2" w14:textId="77777777" w:rsidR="00977283" w:rsidRPr="00977283" w:rsidRDefault="00977283" w:rsidP="00D05290">
            <w:pPr>
              <w:spacing w:after="160" w:line="360" w:lineRule="auto"/>
              <w:jc w:val="center"/>
              <w:rPr>
                <w:lang w:val="en-US"/>
              </w:rPr>
            </w:pPr>
            <w:bookmarkStart w:id="9" w:name="_Hlk104215705"/>
            <w:r w:rsidRPr="00977283">
              <w:rPr>
                <w:lang w:val="en-US"/>
              </w:rPr>
              <w:t>Gross Margin</w:t>
            </w:r>
          </w:p>
        </w:tc>
        <w:tc>
          <w:tcPr>
            <w:tcW w:w="3117" w:type="dxa"/>
            <w:shd w:val="clear" w:color="auto" w:fill="D9E2F3" w:themeFill="accent1" w:themeFillTint="33"/>
            <w:vAlign w:val="center"/>
          </w:tcPr>
          <w:p w14:paraId="3B7AA1AB" w14:textId="77777777" w:rsidR="00977283" w:rsidRPr="00977283" w:rsidRDefault="00977283" w:rsidP="00D05290">
            <w:pPr>
              <w:spacing w:after="160" w:line="360" w:lineRule="auto"/>
              <w:jc w:val="center"/>
              <w:rPr>
                <w:lang w:val="en-US"/>
              </w:rPr>
            </w:pPr>
            <w:r w:rsidRPr="00977283">
              <w:rPr>
                <w:lang w:val="en-US"/>
              </w:rPr>
              <w:t>85.60</w:t>
            </w:r>
          </w:p>
        </w:tc>
        <w:tc>
          <w:tcPr>
            <w:tcW w:w="3117" w:type="dxa"/>
            <w:shd w:val="clear" w:color="auto" w:fill="D9E2F3" w:themeFill="accent1" w:themeFillTint="33"/>
            <w:vAlign w:val="center"/>
          </w:tcPr>
          <w:p w14:paraId="6A98EB7E" w14:textId="77777777" w:rsidR="00977283" w:rsidRPr="00977283" w:rsidRDefault="00977283" w:rsidP="00D05290">
            <w:pPr>
              <w:spacing w:after="160" w:line="360" w:lineRule="auto"/>
              <w:jc w:val="center"/>
              <w:rPr>
                <w:lang w:val="en-US"/>
              </w:rPr>
            </w:pPr>
            <w:r w:rsidRPr="00977283">
              <w:rPr>
                <w:lang w:val="en-US"/>
              </w:rPr>
              <w:t>86.73</w:t>
            </w:r>
          </w:p>
        </w:tc>
      </w:tr>
      <w:tr w:rsidR="00977283" w:rsidRPr="00977283" w14:paraId="6E6B420F" w14:textId="77777777" w:rsidTr="00977283">
        <w:trPr>
          <w:trHeight w:val="516"/>
        </w:trPr>
        <w:tc>
          <w:tcPr>
            <w:tcW w:w="3116" w:type="dxa"/>
            <w:shd w:val="clear" w:color="auto" w:fill="D9E2F3" w:themeFill="accent1" w:themeFillTint="33"/>
          </w:tcPr>
          <w:p w14:paraId="1DB6C8C1" w14:textId="77777777" w:rsidR="00977283" w:rsidRPr="00977283" w:rsidRDefault="00977283" w:rsidP="00D05290">
            <w:pPr>
              <w:spacing w:after="160" w:line="360" w:lineRule="auto"/>
              <w:jc w:val="center"/>
              <w:rPr>
                <w:lang w:val="en-US"/>
              </w:rPr>
            </w:pPr>
            <w:bookmarkStart w:id="10" w:name="_Hlk104215792"/>
            <w:bookmarkStart w:id="11" w:name="_Hlk104215927"/>
            <w:bookmarkEnd w:id="9"/>
            <w:r w:rsidRPr="00977283">
              <w:rPr>
                <w:lang w:val="en-US"/>
              </w:rPr>
              <w:t>EBITDA margin</w:t>
            </w:r>
            <w:bookmarkEnd w:id="10"/>
          </w:p>
        </w:tc>
        <w:tc>
          <w:tcPr>
            <w:tcW w:w="3117" w:type="dxa"/>
            <w:shd w:val="clear" w:color="auto" w:fill="D9E2F3" w:themeFill="accent1" w:themeFillTint="33"/>
            <w:vAlign w:val="center"/>
          </w:tcPr>
          <w:p w14:paraId="08404F63" w14:textId="77777777" w:rsidR="00977283" w:rsidRPr="00977283" w:rsidRDefault="00977283" w:rsidP="00D05290">
            <w:pPr>
              <w:spacing w:after="160" w:line="360" w:lineRule="auto"/>
              <w:jc w:val="center"/>
              <w:rPr>
                <w:lang w:val="en-US"/>
              </w:rPr>
            </w:pPr>
            <w:r w:rsidRPr="00977283">
              <w:rPr>
                <w:lang w:val="en-US"/>
              </w:rPr>
              <w:t>-0.95</w:t>
            </w:r>
          </w:p>
        </w:tc>
        <w:tc>
          <w:tcPr>
            <w:tcW w:w="3117" w:type="dxa"/>
            <w:shd w:val="clear" w:color="auto" w:fill="D9E2F3" w:themeFill="accent1" w:themeFillTint="33"/>
            <w:vAlign w:val="center"/>
          </w:tcPr>
          <w:p w14:paraId="26323014" w14:textId="77777777" w:rsidR="00977283" w:rsidRPr="00977283" w:rsidRDefault="00977283" w:rsidP="00D05290">
            <w:pPr>
              <w:spacing w:after="160" w:line="360" w:lineRule="auto"/>
              <w:jc w:val="center"/>
              <w:rPr>
                <w:lang w:val="en-US"/>
              </w:rPr>
            </w:pPr>
            <w:r w:rsidRPr="00977283">
              <w:rPr>
                <w:lang w:val="en-US"/>
              </w:rPr>
              <w:t>21.66</w:t>
            </w:r>
          </w:p>
        </w:tc>
      </w:tr>
      <w:tr w:rsidR="00977283" w:rsidRPr="00977283" w14:paraId="3A25C60E" w14:textId="77777777" w:rsidTr="00977283">
        <w:trPr>
          <w:trHeight w:val="516"/>
        </w:trPr>
        <w:tc>
          <w:tcPr>
            <w:tcW w:w="3116" w:type="dxa"/>
            <w:shd w:val="clear" w:color="auto" w:fill="D9E2F3" w:themeFill="accent1" w:themeFillTint="33"/>
          </w:tcPr>
          <w:p w14:paraId="23D22EA4" w14:textId="233B77CE" w:rsidR="00977283" w:rsidRPr="00977283" w:rsidRDefault="00977283" w:rsidP="00D05290">
            <w:pPr>
              <w:spacing w:after="160" w:line="360" w:lineRule="auto"/>
              <w:jc w:val="center"/>
              <w:rPr>
                <w:lang w:val="en-US"/>
              </w:rPr>
            </w:pPr>
            <w:bookmarkStart w:id="12" w:name="_Hlk104216018"/>
            <w:bookmarkEnd w:id="11"/>
            <w:r w:rsidRPr="00977283">
              <w:rPr>
                <w:lang w:val="en-US"/>
              </w:rPr>
              <w:t>Asset Turnover</w:t>
            </w:r>
            <w:r w:rsidR="00BB4BC2">
              <w:rPr>
                <w:lang w:val="en-US"/>
              </w:rPr>
              <w:t xml:space="preserve"> </w:t>
            </w:r>
          </w:p>
        </w:tc>
        <w:tc>
          <w:tcPr>
            <w:tcW w:w="3117" w:type="dxa"/>
            <w:shd w:val="clear" w:color="auto" w:fill="D9E2F3" w:themeFill="accent1" w:themeFillTint="33"/>
            <w:vAlign w:val="center"/>
          </w:tcPr>
          <w:p w14:paraId="5154005A" w14:textId="77777777" w:rsidR="00977283" w:rsidRPr="00977283" w:rsidRDefault="00977283" w:rsidP="00D05290">
            <w:pPr>
              <w:spacing w:after="160" w:line="360" w:lineRule="auto"/>
              <w:jc w:val="center"/>
              <w:rPr>
                <w:lang w:val="en-US"/>
              </w:rPr>
            </w:pPr>
            <w:r w:rsidRPr="00977283">
              <w:rPr>
                <w:lang w:val="en-US"/>
              </w:rPr>
              <w:t>0.26</w:t>
            </w:r>
          </w:p>
        </w:tc>
        <w:tc>
          <w:tcPr>
            <w:tcW w:w="3117" w:type="dxa"/>
            <w:shd w:val="clear" w:color="auto" w:fill="D9E2F3" w:themeFill="accent1" w:themeFillTint="33"/>
            <w:vAlign w:val="center"/>
          </w:tcPr>
          <w:p w14:paraId="1E9E4E12" w14:textId="77777777" w:rsidR="00977283" w:rsidRPr="00977283" w:rsidRDefault="00977283" w:rsidP="00D05290">
            <w:pPr>
              <w:spacing w:after="160" w:line="360" w:lineRule="auto"/>
              <w:jc w:val="center"/>
              <w:rPr>
                <w:lang w:val="en-US"/>
              </w:rPr>
            </w:pPr>
            <w:r w:rsidRPr="00977283">
              <w:rPr>
                <w:lang w:val="en-US"/>
              </w:rPr>
              <w:t>0.63</w:t>
            </w:r>
          </w:p>
        </w:tc>
      </w:tr>
      <w:tr w:rsidR="00977283" w:rsidRPr="00977283" w14:paraId="22792590" w14:textId="77777777" w:rsidTr="00977283">
        <w:trPr>
          <w:trHeight w:val="516"/>
        </w:trPr>
        <w:tc>
          <w:tcPr>
            <w:tcW w:w="3116" w:type="dxa"/>
            <w:shd w:val="clear" w:color="auto" w:fill="D9E2F3" w:themeFill="accent1" w:themeFillTint="33"/>
          </w:tcPr>
          <w:p w14:paraId="562BE5CB" w14:textId="3B6FCE10" w:rsidR="00977283" w:rsidRPr="00977283" w:rsidRDefault="00977283" w:rsidP="00D05290">
            <w:pPr>
              <w:spacing w:after="160" w:line="360" w:lineRule="auto"/>
              <w:jc w:val="center"/>
              <w:rPr>
                <w:lang w:val="en-US"/>
              </w:rPr>
            </w:pPr>
            <w:bookmarkStart w:id="13" w:name="_Hlk104220917"/>
            <w:bookmarkEnd w:id="12"/>
            <w:r w:rsidRPr="00977283">
              <w:rPr>
                <w:lang w:val="en-US"/>
              </w:rPr>
              <w:t>ROE</w:t>
            </w:r>
            <w:r w:rsidR="006A3C74">
              <w:rPr>
                <w:lang w:val="en-US"/>
              </w:rPr>
              <w:t xml:space="preserve"> </w:t>
            </w:r>
          </w:p>
        </w:tc>
        <w:tc>
          <w:tcPr>
            <w:tcW w:w="3117" w:type="dxa"/>
            <w:shd w:val="clear" w:color="auto" w:fill="D9E2F3" w:themeFill="accent1" w:themeFillTint="33"/>
            <w:vAlign w:val="center"/>
          </w:tcPr>
          <w:p w14:paraId="6D1B8D5C" w14:textId="77777777" w:rsidR="00977283" w:rsidRPr="00977283" w:rsidRDefault="00977283" w:rsidP="00D05290">
            <w:pPr>
              <w:spacing w:after="160" w:line="360" w:lineRule="auto"/>
              <w:jc w:val="center"/>
              <w:rPr>
                <w:lang w:val="en-US"/>
              </w:rPr>
            </w:pPr>
            <w:r w:rsidRPr="00977283">
              <w:rPr>
                <w:lang w:val="en-US"/>
              </w:rPr>
              <w:t>48.45</w:t>
            </w:r>
          </w:p>
        </w:tc>
        <w:tc>
          <w:tcPr>
            <w:tcW w:w="3117" w:type="dxa"/>
            <w:shd w:val="clear" w:color="auto" w:fill="D9E2F3" w:themeFill="accent1" w:themeFillTint="33"/>
            <w:vAlign w:val="center"/>
          </w:tcPr>
          <w:p w14:paraId="550B02D9" w14:textId="77777777" w:rsidR="00977283" w:rsidRPr="00977283" w:rsidRDefault="00977283" w:rsidP="00D05290">
            <w:pPr>
              <w:spacing w:after="160" w:line="360" w:lineRule="auto"/>
              <w:jc w:val="center"/>
              <w:rPr>
                <w:lang w:val="en-US"/>
              </w:rPr>
            </w:pPr>
            <w:r w:rsidRPr="00977283">
              <w:rPr>
                <w:lang w:val="en-US"/>
              </w:rPr>
              <w:t>-187.71</w:t>
            </w:r>
          </w:p>
        </w:tc>
      </w:tr>
      <w:tr w:rsidR="00977283" w:rsidRPr="00977283" w14:paraId="7DAF5A95" w14:textId="77777777" w:rsidTr="00977283">
        <w:trPr>
          <w:trHeight w:val="516"/>
        </w:trPr>
        <w:tc>
          <w:tcPr>
            <w:tcW w:w="3116" w:type="dxa"/>
            <w:shd w:val="clear" w:color="auto" w:fill="D9E2F3" w:themeFill="accent1" w:themeFillTint="33"/>
          </w:tcPr>
          <w:p w14:paraId="1CA2B9EA" w14:textId="3AF6E59E" w:rsidR="00977283" w:rsidRPr="00977283" w:rsidRDefault="00977283" w:rsidP="00D05290">
            <w:pPr>
              <w:spacing w:after="160" w:line="360" w:lineRule="auto"/>
              <w:jc w:val="center"/>
              <w:rPr>
                <w:lang w:val="en-US"/>
              </w:rPr>
            </w:pPr>
            <w:bookmarkStart w:id="14" w:name="_Hlk104221030"/>
            <w:bookmarkEnd w:id="13"/>
            <w:r w:rsidRPr="00977283">
              <w:rPr>
                <w:lang w:val="en-US"/>
              </w:rPr>
              <w:t>ROA</w:t>
            </w:r>
            <w:r w:rsidR="0068636F">
              <w:rPr>
                <w:lang w:val="en-US"/>
              </w:rPr>
              <w:t xml:space="preserve"> </w:t>
            </w:r>
          </w:p>
        </w:tc>
        <w:tc>
          <w:tcPr>
            <w:tcW w:w="3117" w:type="dxa"/>
            <w:shd w:val="clear" w:color="auto" w:fill="D9E2F3" w:themeFill="accent1" w:themeFillTint="33"/>
            <w:vAlign w:val="center"/>
          </w:tcPr>
          <w:p w14:paraId="29C30D1E" w14:textId="77777777" w:rsidR="00977283" w:rsidRPr="00977283" w:rsidRDefault="00977283" w:rsidP="00D05290">
            <w:pPr>
              <w:spacing w:after="160" w:line="360" w:lineRule="auto"/>
              <w:jc w:val="center"/>
              <w:rPr>
                <w:lang w:val="en-US"/>
              </w:rPr>
            </w:pPr>
            <w:r w:rsidRPr="00977283">
              <w:rPr>
                <w:lang w:val="en-US"/>
              </w:rPr>
              <w:t>-4.29</w:t>
            </w:r>
          </w:p>
        </w:tc>
        <w:tc>
          <w:tcPr>
            <w:tcW w:w="3117" w:type="dxa"/>
            <w:shd w:val="clear" w:color="auto" w:fill="D9E2F3" w:themeFill="accent1" w:themeFillTint="33"/>
            <w:vAlign w:val="center"/>
          </w:tcPr>
          <w:p w14:paraId="3ADAF9D6" w14:textId="77777777" w:rsidR="00977283" w:rsidRPr="00977283" w:rsidRDefault="00977283" w:rsidP="00D05290">
            <w:pPr>
              <w:spacing w:after="160" w:line="360" w:lineRule="auto"/>
              <w:jc w:val="center"/>
              <w:rPr>
                <w:lang w:val="en-US"/>
              </w:rPr>
            </w:pPr>
            <w:r w:rsidRPr="00977283">
              <w:rPr>
                <w:lang w:val="en-US"/>
              </w:rPr>
              <w:t>5.92</w:t>
            </w:r>
          </w:p>
        </w:tc>
      </w:tr>
      <w:tr w:rsidR="00977283" w:rsidRPr="00977283" w14:paraId="6BC7A19A" w14:textId="77777777" w:rsidTr="00977283">
        <w:trPr>
          <w:trHeight w:val="516"/>
        </w:trPr>
        <w:tc>
          <w:tcPr>
            <w:tcW w:w="3116" w:type="dxa"/>
            <w:shd w:val="clear" w:color="auto" w:fill="D9E2F3" w:themeFill="accent1" w:themeFillTint="33"/>
          </w:tcPr>
          <w:p w14:paraId="4B331025" w14:textId="43999515" w:rsidR="00977283" w:rsidRPr="00977283" w:rsidRDefault="00977283" w:rsidP="00D05290">
            <w:pPr>
              <w:spacing w:after="160" w:line="360" w:lineRule="auto"/>
              <w:jc w:val="center"/>
              <w:rPr>
                <w:lang w:val="en-US"/>
              </w:rPr>
            </w:pPr>
            <w:bookmarkStart w:id="15" w:name="_Hlk104221242"/>
            <w:bookmarkEnd w:id="14"/>
            <w:r w:rsidRPr="00977283">
              <w:rPr>
                <w:lang w:val="en-US"/>
              </w:rPr>
              <w:t>ROI</w:t>
            </w:r>
            <w:r w:rsidR="006064E1">
              <w:rPr>
                <w:lang w:val="en-US"/>
              </w:rPr>
              <w:t xml:space="preserve"> </w:t>
            </w:r>
          </w:p>
        </w:tc>
        <w:tc>
          <w:tcPr>
            <w:tcW w:w="3117" w:type="dxa"/>
            <w:shd w:val="clear" w:color="auto" w:fill="D9E2F3" w:themeFill="accent1" w:themeFillTint="33"/>
            <w:vAlign w:val="center"/>
          </w:tcPr>
          <w:p w14:paraId="00FF4BC3" w14:textId="77777777" w:rsidR="00977283" w:rsidRPr="00977283" w:rsidRDefault="00977283" w:rsidP="00D05290">
            <w:pPr>
              <w:spacing w:after="160" w:line="360" w:lineRule="auto"/>
              <w:jc w:val="center"/>
              <w:rPr>
                <w:lang w:val="en-US"/>
              </w:rPr>
            </w:pPr>
            <w:r w:rsidRPr="00977283">
              <w:rPr>
                <w:lang w:val="en-US"/>
              </w:rPr>
              <w:t>-8.04</w:t>
            </w:r>
          </w:p>
        </w:tc>
        <w:tc>
          <w:tcPr>
            <w:tcW w:w="3117" w:type="dxa"/>
            <w:shd w:val="clear" w:color="auto" w:fill="D9E2F3" w:themeFill="accent1" w:themeFillTint="33"/>
            <w:vAlign w:val="center"/>
          </w:tcPr>
          <w:p w14:paraId="5D0A3607" w14:textId="77777777" w:rsidR="00977283" w:rsidRPr="00977283" w:rsidRDefault="00977283" w:rsidP="00D05290">
            <w:pPr>
              <w:spacing w:after="160" w:line="360" w:lineRule="auto"/>
              <w:jc w:val="center"/>
              <w:rPr>
                <w:lang w:val="en-US"/>
              </w:rPr>
            </w:pPr>
            <w:r w:rsidRPr="00977283">
              <w:rPr>
                <w:lang w:val="en-US"/>
              </w:rPr>
              <w:t>11.83</w:t>
            </w:r>
          </w:p>
        </w:tc>
      </w:tr>
      <w:bookmarkEnd w:id="15"/>
      <w:tr w:rsidR="00977283" w:rsidRPr="00977283" w14:paraId="51A54387" w14:textId="77777777" w:rsidTr="00977283">
        <w:trPr>
          <w:trHeight w:val="516"/>
        </w:trPr>
        <w:tc>
          <w:tcPr>
            <w:tcW w:w="3116" w:type="dxa"/>
            <w:shd w:val="clear" w:color="auto" w:fill="D9E2F3" w:themeFill="accent1" w:themeFillTint="33"/>
          </w:tcPr>
          <w:p w14:paraId="648F8E4C" w14:textId="77777777" w:rsidR="00977283" w:rsidRPr="00977283" w:rsidRDefault="00977283" w:rsidP="00D05290">
            <w:pPr>
              <w:spacing w:after="160" w:line="360" w:lineRule="auto"/>
              <w:jc w:val="center"/>
              <w:rPr>
                <w:lang w:val="en-US"/>
              </w:rPr>
            </w:pPr>
            <w:r w:rsidRPr="00977283">
              <w:rPr>
                <w:lang w:val="en-US"/>
              </w:rPr>
              <w:t>Book Value per Share</w:t>
            </w:r>
          </w:p>
        </w:tc>
        <w:tc>
          <w:tcPr>
            <w:tcW w:w="3117" w:type="dxa"/>
            <w:shd w:val="clear" w:color="auto" w:fill="D9E2F3" w:themeFill="accent1" w:themeFillTint="33"/>
            <w:vAlign w:val="center"/>
          </w:tcPr>
          <w:p w14:paraId="7252F577" w14:textId="77777777" w:rsidR="00977283" w:rsidRPr="00977283" w:rsidRDefault="00977283" w:rsidP="00D05290">
            <w:pPr>
              <w:spacing w:after="160" w:line="360" w:lineRule="auto"/>
              <w:jc w:val="center"/>
              <w:rPr>
                <w:lang w:val="en-US"/>
              </w:rPr>
            </w:pPr>
            <w:r w:rsidRPr="00977283">
              <w:rPr>
                <w:lang w:val="en-US"/>
              </w:rPr>
              <w:t>-5.35</w:t>
            </w:r>
          </w:p>
        </w:tc>
        <w:tc>
          <w:tcPr>
            <w:tcW w:w="3117" w:type="dxa"/>
            <w:shd w:val="clear" w:color="auto" w:fill="D9E2F3" w:themeFill="accent1" w:themeFillTint="33"/>
            <w:vAlign w:val="center"/>
          </w:tcPr>
          <w:p w14:paraId="739FB9BB" w14:textId="77777777" w:rsidR="00977283" w:rsidRPr="00977283" w:rsidRDefault="00977283" w:rsidP="00D05290">
            <w:pPr>
              <w:spacing w:after="160" w:line="360" w:lineRule="auto"/>
              <w:jc w:val="center"/>
              <w:rPr>
                <w:lang w:val="en-US"/>
              </w:rPr>
            </w:pPr>
            <w:r w:rsidRPr="00977283">
              <w:rPr>
                <w:lang w:val="en-US"/>
              </w:rPr>
              <w:t>-1.69</w:t>
            </w:r>
          </w:p>
        </w:tc>
      </w:tr>
    </w:tbl>
    <w:p w14:paraId="080A8AD6" w14:textId="1676EBE2" w:rsidR="00977283" w:rsidRDefault="006448FA" w:rsidP="00D05290">
      <w:pPr>
        <w:spacing w:line="360" w:lineRule="auto"/>
        <w:jc w:val="center"/>
      </w:pPr>
      <w:r>
        <w:t>Table 1: Financial ratios of Hilton Hotel (Prepared by author)</w:t>
      </w:r>
      <w:r w:rsidR="00ED2D18">
        <w:t xml:space="preserve"> </w:t>
      </w:r>
      <w:r w:rsidR="00ED2D18" w:rsidRPr="00ED2D18">
        <w:t>(</w:t>
      </w:r>
      <w:proofErr w:type="spellStart"/>
      <w:r w:rsidR="00ED2D18" w:rsidRPr="00ED2D18">
        <w:t>Linxi</w:t>
      </w:r>
      <w:proofErr w:type="spellEnd"/>
      <w:r w:rsidR="00ED2D18" w:rsidRPr="00ED2D18">
        <w:t>, 2021)</w:t>
      </w:r>
    </w:p>
    <w:p w14:paraId="2D5A858B" w14:textId="1675EC9A" w:rsidR="00977283" w:rsidRDefault="006448FA" w:rsidP="00D05290">
      <w:pPr>
        <w:spacing w:line="360" w:lineRule="auto"/>
      </w:pPr>
      <w:r>
        <w:t>The financial ratios of Hilton Hotels for 2019 and 2020 show the financial situations of the company in two years</w:t>
      </w:r>
      <w:r w:rsidR="00ED2D18" w:rsidRPr="00ED2D18">
        <w:t xml:space="preserve"> (Scarantino, 2018)</w:t>
      </w:r>
      <w:r>
        <w:t>. The differences in these ratios demonstrate the improvement or underperformance of the company in two years. Below is the discussion on the ratios and the results of those at Hilton Hotels.</w:t>
      </w:r>
    </w:p>
    <w:p w14:paraId="45029E18" w14:textId="77777777" w:rsidR="00061270" w:rsidRDefault="00061270" w:rsidP="00D05290">
      <w:pPr>
        <w:spacing w:line="360" w:lineRule="auto"/>
      </w:pPr>
    </w:p>
    <w:p w14:paraId="2D92F193" w14:textId="682BA778" w:rsidR="006448FA" w:rsidRPr="006448FA" w:rsidRDefault="006448FA" w:rsidP="00D05290">
      <w:pPr>
        <w:spacing w:line="360" w:lineRule="auto"/>
        <w:rPr>
          <w:b/>
          <w:bCs/>
        </w:rPr>
      </w:pPr>
      <w:r w:rsidRPr="006448FA">
        <w:rPr>
          <w:b/>
          <w:bCs/>
        </w:rPr>
        <w:lastRenderedPageBreak/>
        <w:t>Current Ratio</w:t>
      </w:r>
    </w:p>
    <w:p w14:paraId="1FFA8899" w14:textId="244EC176" w:rsidR="00977283" w:rsidRDefault="006448FA" w:rsidP="00D05290">
      <w:pPr>
        <w:spacing w:line="360" w:lineRule="auto"/>
      </w:pPr>
      <w:r w:rsidRPr="006448FA">
        <w:t>Th</w:t>
      </w:r>
      <w:r w:rsidR="00C70C23">
        <w:t>is</w:t>
      </w:r>
      <w:r w:rsidRPr="006448FA">
        <w:t xml:space="preserve"> ratio is one of the most reliable indications of </w:t>
      </w:r>
      <w:r>
        <w:t>Hilton Hotel</w:t>
      </w:r>
      <w:r w:rsidR="00164788">
        <w:t>s</w:t>
      </w:r>
      <w:r>
        <w:t xml:space="preserve"> to measure the </w:t>
      </w:r>
      <w:r w:rsidRPr="006448FA">
        <w:t>ability to meet its short-term financial obligations</w:t>
      </w:r>
      <w:r w:rsidR="00ED2D18" w:rsidRPr="00ED2D18">
        <w:t xml:space="preserve"> (Alieva, 2019)</w:t>
      </w:r>
      <w:r w:rsidRPr="006448FA">
        <w:t>. It shows investors and analysts how a company may use its current assets to pay down existing debt and other commitments.</w:t>
      </w:r>
      <w:r>
        <w:t xml:space="preserve"> Businesses need to keep it on a higher level to stay in a safer position. The Hilton hotel had a current ratio of</w:t>
      </w:r>
      <w:r w:rsidRPr="006448FA">
        <w:tab/>
      </w:r>
      <w:r w:rsidR="00951364">
        <w:t xml:space="preserve"> </w:t>
      </w:r>
      <w:r w:rsidRPr="006448FA">
        <w:t>0.73</w:t>
      </w:r>
      <w:r>
        <w:t xml:space="preserve"> in 2019 and </w:t>
      </w:r>
      <w:r w:rsidRPr="006448FA">
        <w:t>1.73</w:t>
      </w:r>
      <w:r>
        <w:t xml:space="preserve"> in 2020. Therefore, it shows that the organisation has increased its performance and assets and decreased its liabilities in 2020 to reach this position. </w:t>
      </w:r>
    </w:p>
    <w:p w14:paraId="30298F9E" w14:textId="0A2877C4" w:rsidR="006448FA" w:rsidRDefault="006448FA" w:rsidP="00D05290">
      <w:pPr>
        <w:spacing w:line="360" w:lineRule="auto"/>
        <w:rPr>
          <w:b/>
          <w:bCs/>
        </w:rPr>
      </w:pPr>
      <w:r w:rsidRPr="006448FA">
        <w:rPr>
          <w:b/>
          <w:bCs/>
        </w:rPr>
        <w:t>Debt to Equity Ratio</w:t>
      </w:r>
    </w:p>
    <w:p w14:paraId="4D874822" w14:textId="28B25F76" w:rsidR="006448FA" w:rsidRDefault="006448FA" w:rsidP="00D05290">
      <w:pPr>
        <w:spacing w:line="360" w:lineRule="auto"/>
      </w:pPr>
      <w:r>
        <w:t xml:space="preserve">Several indicators, such as the debt-to-equity ratio, can be used to evaluate the degree of leverage utilised by a firm. A firm or stock with a higher leverage ratio is likely to provide shareholders with larger risk. Hilton hotels had a negative ratio in both years but the positive side is it was </w:t>
      </w:r>
      <w:r w:rsidRPr="006448FA">
        <w:t>-16.93</w:t>
      </w:r>
      <w:r w:rsidR="00ED01F6">
        <w:t xml:space="preserve"> in 2019</w:t>
      </w:r>
      <w:r>
        <w:t xml:space="preserve"> and </w:t>
      </w:r>
      <w:r w:rsidR="00ED01F6" w:rsidRPr="00ED01F6">
        <w:t>-7.06</w:t>
      </w:r>
      <w:r w:rsidR="00ED01F6">
        <w:t xml:space="preserve"> in 2020 which shows the organisation's efforts to evolve from a bad situation to a better situation gradually in 2020</w:t>
      </w:r>
      <w:r w:rsidR="00ED2D18" w:rsidRPr="00ED2D18">
        <w:t xml:space="preserve"> (Bourke et al., 2020)</w:t>
      </w:r>
      <w:r w:rsidR="00ED01F6">
        <w:t>.</w:t>
      </w:r>
      <w:r w:rsidR="00433E2D">
        <w:t xml:space="preserve"> The hotel industry faced an existential crisis amongst the pandemic and that also increased their loan taking and increasing interests resulting in a negative debt to equity ratio that Hilton Hotels are recovering from the year 2019 to 2020.</w:t>
      </w:r>
    </w:p>
    <w:p w14:paraId="62F48DCD" w14:textId="48A22A6D" w:rsidR="00433E2D" w:rsidRDefault="00991861" w:rsidP="00D05290">
      <w:pPr>
        <w:spacing w:line="360" w:lineRule="auto"/>
        <w:rPr>
          <w:b/>
          <w:bCs/>
        </w:rPr>
      </w:pPr>
      <w:r w:rsidRPr="00991861">
        <w:rPr>
          <w:b/>
          <w:bCs/>
        </w:rPr>
        <w:t>Long Term Debt to capital</w:t>
      </w:r>
    </w:p>
    <w:p w14:paraId="10426C0C" w14:textId="1EC3B2A3" w:rsidR="00991861" w:rsidRPr="00CB2CEA" w:rsidRDefault="00CB2CEA" w:rsidP="00D05290">
      <w:pPr>
        <w:spacing w:line="360" w:lineRule="auto"/>
      </w:pPr>
      <w:r w:rsidRPr="00CB2CEA">
        <w:t>Th</w:t>
      </w:r>
      <w:r w:rsidR="00164788">
        <w:t xml:space="preserve">is </w:t>
      </w:r>
      <w:r w:rsidRPr="00CB2CEA">
        <w:t>ratio quantifies a company's capacity to incur debt. Long-term debt to equity ratios indicate</w:t>
      </w:r>
      <w:r>
        <w:t>s</w:t>
      </w:r>
      <w:r w:rsidRPr="00CB2CEA">
        <w:t xml:space="preserve"> how much a company borrows to finance its assets compared to how much it owns</w:t>
      </w:r>
      <w:r w:rsidR="00ED2D18" w:rsidRPr="00ED2D18">
        <w:t xml:space="preserve"> (Kourtis et al., 2019)</w:t>
      </w:r>
      <w:r w:rsidRPr="00CB2CEA">
        <w:t>.</w:t>
      </w:r>
      <w:r>
        <w:t xml:space="preserve"> Hilton Hotels had a ratio of </w:t>
      </w:r>
      <w:r w:rsidRPr="00CB2CEA">
        <w:t>1.06</w:t>
      </w:r>
      <w:r>
        <w:t xml:space="preserve"> in 2019 and </w:t>
      </w:r>
      <w:r w:rsidRPr="00CB2CEA">
        <w:t>1.17</w:t>
      </w:r>
      <w:r>
        <w:t xml:space="preserve"> in 2020 which shows that the capacity increased in 2020.</w:t>
      </w:r>
    </w:p>
    <w:p w14:paraId="05D3055F" w14:textId="2A42B8CB" w:rsidR="00977283" w:rsidRDefault="00CB2CEA" w:rsidP="00D05290">
      <w:pPr>
        <w:spacing w:line="360" w:lineRule="auto"/>
        <w:rPr>
          <w:b/>
          <w:bCs/>
        </w:rPr>
      </w:pPr>
      <w:r>
        <w:rPr>
          <w:b/>
          <w:bCs/>
        </w:rPr>
        <w:t>Gross margin</w:t>
      </w:r>
    </w:p>
    <w:p w14:paraId="5CB8066E" w14:textId="540E362C" w:rsidR="00CB2CEA" w:rsidRDefault="00CB2CEA" w:rsidP="00D05290">
      <w:pPr>
        <w:spacing w:line="360" w:lineRule="auto"/>
      </w:pPr>
      <w:r w:rsidRPr="00CB2CEA">
        <w:t xml:space="preserve">Gross margins are equal to net revenue </w:t>
      </w:r>
      <w:r>
        <w:t xml:space="preserve">and </w:t>
      </w:r>
      <w:r w:rsidR="00164788">
        <w:t>elimination of</w:t>
      </w:r>
      <w:r w:rsidRPr="00CB2CEA">
        <w:t xml:space="preserve"> </w:t>
      </w:r>
      <w:r w:rsidR="00164788">
        <w:t xml:space="preserve">the </w:t>
      </w:r>
      <w:r w:rsidRPr="00CB2CEA">
        <w:t>cost of goods sold</w:t>
      </w:r>
      <w:r w:rsidR="00164788">
        <w:t xml:space="preserve"> from the income statement</w:t>
      </w:r>
      <w:r w:rsidRPr="00CB2CEA">
        <w:t xml:space="preserve">. It is the amount of money left over after </w:t>
      </w:r>
      <w:r w:rsidR="009F3126">
        <w:t>Hilton Hotel</w:t>
      </w:r>
      <w:r w:rsidR="00164788">
        <w:t>s</w:t>
      </w:r>
      <w:r w:rsidR="009F3126" w:rsidRPr="0070008B">
        <w:t xml:space="preserve"> </w:t>
      </w:r>
      <w:r w:rsidRPr="00CB2CEA">
        <w:t>pays for the direct costs of producing the goods and services it sells and provides</w:t>
      </w:r>
      <w:r w:rsidR="00ED2D18" w:rsidRPr="00ED2D18">
        <w:t xml:space="preserve"> (</w:t>
      </w:r>
      <w:proofErr w:type="spellStart"/>
      <w:r w:rsidR="00ED2D18" w:rsidRPr="00ED2D18">
        <w:t>Pié</w:t>
      </w:r>
      <w:proofErr w:type="spellEnd"/>
      <w:r w:rsidR="00ED2D18" w:rsidRPr="00ED2D18">
        <w:t xml:space="preserve"> Dols et al., 2019)</w:t>
      </w:r>
      <w:r w:rsidR="00407060">
        <w:t xml:space="preserve">. Hotels like Hilton have a higher amount of fixed expenses and direct expenses and a gross margin of </w:t>
      </w:r>
      <w:r w:rsidR="00407060" w:rsidRPr="00407060">
        <w:t>86.73</w:t>
      </w:r>
      <w:r w:rsidR="00407060">
        <w:t xml:space="preserve"> can be seen in 2019 and a decreased gross margin can be seen in </w:t>
      </w:r>
      <w:r w:rsidR="00407060" w:rsidRPr="00407060">
        <w:t>85.6</w:t>
      </w:r>
      <w:r w:rsidR="00407060">
        <w:t>0 that showing that the Hilton Hotel was unable to increase revenue in 2020 compared to the direct expenses occurred that year.</w:t>
      </w:r>
    </w:p>
    <w:p w14:paraId="40411033" w14:textId="77777777" w:rsidR="005E0DA1" w:rsidRDefault="005E0DA1" w:rsidP="00D05290">
      <w:pPr>
        <w:spacing w:line="360" w:lineRule="auto"/>
      </w:pPr>
    </w:p>
    <w:p w14:paraId="7DD8889E" w14:textId="1F58084F" w:rsidR="00407060" w:rsidRPr="00407060" w:rsidRDefault="00407060" w:rsidP="00D05290">
      <w:pPr>
        <w:spacing w:line="360" w:lineRule="auto"/>
        <w:rPr>
          <w:b/>
          <w:bCs/>
        </w:rPr>
      </w:pPr>
      <w:r w:rsidRPr="00977283">
        <w:rPr>
          <w:b/>
          <w:bCs/>
          <w:lang w:val="en-US"/>
        </w:rPr>
        <w:lastRenderedPageBreak/>
        <w:t>EBITDA margin</w:t>
      </w:r>
    </w:p>
    <w:p w14:paraId="0920BAC1" w14:textId="71D3EA8E" w:rsidR="00977283" w:rsidRDefault="00407060" w:rsidP="00D05290">
      <w:pPr>
        <w:spacing w:line="360" w:lineRule="auto"/>
      </w:pPr>
      <w:r w:rsidRPr="00407060">
        <w:t xml:space="preserve">Using the EBITDA margin, an organization's operational profit as a percentage of sales is determined. Knowing the EBITDA margin of </w:t>
      </w:r>
      <w:r w:rsidR="009F3126">
        <w:t>Hilton Hotel</w:t>
      </w:r>
      <w:r w:rsidR="00164788">
        <w:t>s</w:t>
      </w:r>
      <w:r w:rsidR="009F3126" w:rsidRPr="0070008B">
        <w:t xml:space="preserve"> </w:t>
      </w:r>
      <w:r w:rsidRPr="00407060">
        <w:t>helps it to compare its real performance to that of its rivals</w:t>
      </w:r>
      <w:r w:rsidR="00ED2D18" w:rsidRPr="00ED2D18">
        <w:t xml:space="preserve"> (Scarantino, 2018)</w:t>
      </w:r>
      <w:r w:rsidRPr="00407060">
        <w:t>.</w:t>
      </w:r>
      <w:r>
        <w:t xml:space="preserve"> Hilton hotel had a</w:t>
      </w:r>
      <w:r w:rsidR="00BE62D8">
        <w:t xml:space="preserve"> very significant ratio in 2019 which is </w:t>
      </w:r>
      <w:r w:rsidR="00BE62D8" w:rsidRPr="00BE62D8">
        <w:t>21.66</w:t>
      </w:r>
      <w:r w:rsidR="00BE62D8">
        <w:t xml:space="preserve"> and a poor ratio of </w:t>
      </w:r>
      <w:r w:rsidR="00BE62D8" w:rsidRPr="00BE62D8">
        <w:t>-0.95</w:t>
      </w:r>
      <w:r w:rsidR="00BE62D8">
        <w:t xml:space="preserve"> in 2020 which shows a dramatic change of events for Hilton Hotel that made the organisation occur a sudden downfall in its EBITDA margin. It shows the effects of the pandemic upon the hotel.</w:t>
      </w:r>
    </w:p>
    <w:p w14:paraId="3345A154" w14:textId="77777777" w:rsidR="00594F63" w:rsidRDefault="00594F63" w:rsidP="00D05290">
      <w:pPr>
        <w:spacing w:line="360" w:lineRule="auto"/>
      </w:pPr>
      <w:r w:rsidRPr="00594F63">
        <w:rPr>
          <w:b/>
          <w:bCs/>
        </w:rPr>
        <w:t>Asset Turnover</w:t>
      </w:r>
      <w:r w:rsidRPr="00594F63">
        <w:rPr>
          <w:b/>
          <w:bCs/>
        </w:rPr>
        <w:tab/>
      </w:r>
    </w:p>
    <w:p w14:paraId="402B27AD" w14:textId="3A3E148A" w:rsidR="00977283" w:rsidRDefault="00164788" w:rsidP="00D05290">
      <w:pPr>
        <w:spacing w:line="360" w:lineRule="auto"/>
      </w:pPr>
      <w:r>
        <w:t>This</w:t>
      </w:r>
      <w:r w:rsidR="004B5A9D" w:rsidRPr="004B5A9D">
        <w:t xml:space="preserve"> ratio evaluates revenues relative to the value of the organization's assets. The asset turnover ratio </w:t>
      </w:r>
      <w:r>
        <w:t>is</w:t>
      </w:r>
      <w:r w:rsidR="004B5A9D" w:rsidRPr="004B5A9D">
        <w:t xml:space="preserve"> used as a measure of </w:t>
      </w:r>
      <w:r w:rsidR="009F3126">
        <w:t xml:space="preserve">Hilton Hotel’s </w:t>
      </w:r>
      <w:r w:rsidR="004B5A9D" w:rsidRPr="004B5A9D">
        <w:t>capacity to produce income from its assets</w:t>
      </w:r>
      <w:r w:rsidR="00ED2D18" w:rsidRPr="00ED2D18">
        <w:t xml:space="preserve"> (</w:t>
      </w:r>
      <w:proofErr w:type="spellStart"/>
      <w:r w:rsidR="00ED2D18" w:rsidRPr="00ED2D18">
        <w:t>Stylos</w:t>
      </w:r>
      <w:proofErr w:type="spellEnd"/>
      <w:r w:rsidR="00ED2D18" w:rsidRPr="00ED2D18">
        <w:t xml:space="preserve"> &amp; Vassiliadis, 2015)</w:t>
      </w:r>
      <w:r w:rsidR="004B5A9D" w:rsidRPr="004B5A9D">
        <w:t>.</w:t>
      </w:r>
      <w:r w:rsidR="004B5A9D">
        <w:t xml:space="preserve"> Hilton hotels had a </w:t>
      </w:r>
      <w:r w:rsidR="004B5A9D" w:rsidRPr="00594F63">
        <w:t>0.63</w:t>
      </w:r>
      <w:r w:rsidR="004B5A9D">
        <w:t xml:space="preserve"> ratio for its asset turnover in 2019 which declined to </w:t>
      </w:r>
      <w:r w:rsidR="00594F63" w:rsidRPr="00594F63">
        <w:t>0.26</w:t>
      </w:r>
      <w:r w:rsidR="004B5A9D">
        <w:t xml:space="preserve"> in 2020 showing an underperformance of the company in making revenues compared to its assets.</w:t>
      </w:r>
    </w:p>
    <w:p w14:paraId="47D4E693" w14:textId="2FBA4C43" w:rsidR="004C60CE" w:rsidRDefault="004C60CE" w:rsidP="00D05290">
      <w:pPr>
        <w:spacing w:line="360" w:lineRule="auto"/>
        <w:rPr>
          <w:b/>
          <w:bCs/>
        </w:rPr>
      </w:pPr>
      <w:r w:rsidRPr="004C60CE">
        <w:rPr>
          <w:b/>
          <w:bCs/>
        </w:rPr>
        <w:t>ROE (Return on Equity)</w:t>
      </w:r>
    </w:p>
    <w:p w14:paraId="190C7159" w14:textId="63188213" w:rsidR="004C60CE" w:rsidRDefault="00164788" w:rsidP="00D05290">
      <w:pPr>
        <w:spacing w:line="360" w:lineRule="auto"/>
      </w:pPr>
      <w:r>
        <w:t>This</w:t>
      </w:r>
      <w:r w:rsidR="004C60CE" w:rsidRPr="004C60CE">
        <w:t xml:space="preserve"> is a financial performance indicator based on net income and shareholder equity. </w:t>
      </w:r>
      <w:r w:rsidRPr="00164788">
        <w:t>Net asset returns have been taken into account since shareholders' equity equals net assets minus liabilities. Revenue and profitability are evaluated using Hilton Hotels' return on equity</w:t>
      </w:r>
      <w:r w:rsidR="004C60CE" w:rsidRPr="004C60CE">
        <w:t>.</w:t>
      </w:r>
      <w:r w:rsidR="0070008B" w:rsidRPr="0070008B">
        <w:t xml:space="preserve"> </w:t>
      </w:r>
      <w:r w:rsidR="0070008B">
        <w:t xml:space="preserve">The business had </w:t>
      </w:r>
      <w:r w:rsidR="0070008B" w:rsidRPr="0070008B">
        <w:t>-187.71</w:t>
      </w:r>
      <w:r w:rsidR="0070008B">
        <w:t xml:space="preserve"> ROE in 2019 and </w:t>
      </w:r>
      <w:r w:rsidR="0070008B" w:rsidRPr="0070008B">
        <w:t>48.45</w:t>
      </w:r>
      <w:r w:rsidR="0070008B">
        <w:t xml:space="preserve"> ROE in 2020 which showed a positive outcome for Hilton Hotels in 2020</w:t>
      </w:r>
      <w:r w:rsidR="00ED2D18" w:rsidRPr="00ED2D18">
        <w:t xml:space="preserve"> (Alameri et al., 2021)</w:t>
      </w:r>
      <w:r w:rsidR="0070008B">
        <w:t>. The organisation made an outstanding return within a year which can be seen from the ratios. However, Hilton hotels have done some customer service improvements to create this return increase which is beneficial for the shareholders.</w:t>
      </w:r>
    </w:p>
    <w:p w14:paraId="218E3BA3" w14:textId="30B1FA49" w:rsidR="0070008B" w:rsidRPr="0070008B" w:rsidRDefault="0070008B" w:rsidP="00D05290">
      <w:pPr>
        <w:spacing w:line="360" w:lineRule="auto"/>
        <w:rPr>
          <w:b/>
          <w:bCs/>
        </w:rPr>
      </w:pPr>
      <w:r w:rsidRPr="0070008B">
        <w:rPr>
          <w:b/>
          <w:bCs/>
        </w:rPr>
        <w:t>ROA (Return on Asset</w:t>
      </w:r>
      <w:r>
        <w:rPr>
          <w:b/>
          <w:bCs/>
        </w:rPr>
        <w:t>)</w:t>
      </w:r>
    </w:p>
    <w:p w14:paraId="6FA2A82B" w14:textId="03C959AB" w:rsidR="0070008B" w:rsidRDefault="0070008B" w:rsidP="00D05290">
      <w:pPr>
        <w:spacing w:line="360" w:lineRule="auto"/>
      </w:pPr>
      <w:r w:rsidRPr="0070008B">
        <w:t>I</w:t>
      </w:r>
      <w:r>
        <w:t>t</w:t>
      </w:r>
      <w:r w:rsidRPr="0070008B">
        <w:t xml:space="preserve"> represents the overall profitability of a firm as a proportion of its total asset value. ROA may be used by management, analysts, and investors to determine how efficiently </w:t>
      </w:r>
      <w:r w:rsidR="009F3126">
        <w:t>Hilton Hotel</w:t>
      </w:r>
      <w:r w:rsidRPr="0070008B">
        <w:t xml:space="preserve"> uses its assets to generate profits</w:t>
      </w:r>
      <w:r w:rsidR="00ED2D18" w:rsidRPr="00ED2D18">
        <w:t xml:space="preserve"> (Bourke et al., 2020)</w:t>
      </w:r>
      <w:r w:rsidRPr="0070008B">
        <w:t>.</w:t>
      </w:r>
      <w:r>
        <w:t xml:space="preserve"> Hilton hotels made a ROA of 5.92 in 2019 and jumped below to  -4.92 in 2020. This shows that the hotel was unable to make a good profit compared to the assets it had. This happened as the organisation was unable to do the expected amount of business due to the pandemic compared to the business it does usually every year.</w:t>
      </w:r>
    </w:p>
    <w:p w14:paraId="5E819D82" w14:textId="77777777" w:rsidR="00BB5CCE" w:rsidRDefault="00BB5CCE" w:rsidP="00D05290">
      <w:pPr>
        <w:spacing w:line="360" w:lineRule="auto"/>
      </w:pPr>
    </w:p>
    <w:p w14:paraId="112C251F" w14:textId="42C65215" w:rsidR="0070008B" w:rsidRPr="0070008B" w:rsidRDefault="0070008B" w:rsidP="00D05290">
      <w:pPr>
        <w:spacing w:line="360" w:lineRule="auto"/>
        <w:rPr>
          <w:b/>
          <w:bCs/>
        </w:rPr>
      </w:pPr>
      <w:r w:rsidRPr="0070008B">
        <w:rPr>
          <w:b/>
          <w:bCs/>
        </w:rPr>
        <w:lastRenderedPageBreak/>
        <w:t>ROI</w:t>
      </w:r>
      <w:r>
        <w:rPr>
          <w:b/>
          <w:bCs/>
        </w:rPr>
        <w:t xml:space="preserve"> (Return on Investment)</w:t>
      </w:r>
    </w:p>
    <w:p w14:paraId="0FFD0F74" w14:textId="78B56CB2" w:rsidR="0070008B" w:rsidRDefault="0070008B" w:rsidP="00D05290">
      <w:pPr>
        <w:spacing w:line="360" w:lineRule="auto"/>
      </w:pPr>
      <w:r w:rsidRPr="0070008B">
        <w:t>It is a financial indicator often used to measure the possibility of investment profitability. Profit or loss on an investment is expressed as a percentage of the initial investment cost. As a standalone assessment tool for investments, it is equally useful for evaluating the returns of several assets</w:t>
      </w:r>
      <w:r>
        <w:t xml:space="preserve"> for Hilton Hotels</w:t>
      </w:r>
      <w:r w:rsidR="00ED2D18" w:rsidRPr="00ED2D18">
        <w:t xml:space="preserve"> (Alieva, 2019)</w:t>
      </w:r>
      <w:r w:rsidRPr="0070008B">
        <w:t>.</w:t>
      </w:r>
      <w:r>
        <w:t xml:space="preserve"> The hotel had an ROI ratio of 11.83 in 2019 and dropped to -8.04 in 2020. The negative return on investment is bad for the business and the shareholders and a continuous drop in ROI can cause the closing of any business.</w:t>
      </w:r>
    </w:p>
    <w:p w14:paraId="18680B88" w14:textId="77777777" w:rsidR="009F3126" w:rsidRPr="009F3126" w:rsidRDefault="009F3126" w:rsidP="00D05290">
      <w:pPr>
        <w:spacing w:line="360" w:lineRule="auto"/>
        <w:rPr>
          <w:b/>
          <w:bCs/>
        </w:rPr>
      </w:pPr>
      <w:bookmarkStart w:id="16" w:name="_Hlk104222889"/>
      <w:r w:rsidRPr="009F3126">
        <w:rPr>
          <w:b/>
          <w:bCs/>
        </w:rPr>
        <w:t>Book Value per Share</w:t>
      </w:r>
      <w:r w:rsidRPr="009F3126">
        <w:rPr>
          <w:b/>
          <w:bCs/>
        </w:rPr>
        <w:tab/>
      </w:r>
    </w:p>
    <w:bookmarkEnd w:id="16"/>
    <w:p w14:paraId="0EE36C4D" w14:textId="1B7FAC97" w:rsidR="009F3126" w:rsidRDefault="00164788" w:rsidP="00D05290">
      <w:pPr>
        <w:spacing w:line="360" w:lineRule="auto"/>
      </w:pPr>
      <w:r w:rsidRPr="00164788">
        <w:t>To calculate this ratio, divide total capital by the number of outstanding shares. Because it reflects the lowest possible share price, it evaluates Hilton Hotels' book value</w:t>
      </w:r>
      <w:r w:rsidR="009F3126" w:rsidRPr="009F3126">
        <w:t>.</w:t>
      </w:r>
      <w:r w:rsidR="009F3126">
        <w:t xml:space="preserve"> The Hilton hotel had a -1.69 Book value per share in 2019 and decreased to -5.35 in 2020. The drop was the result of the closing of hotels for the pandemic and no movement of tourists amidst it</w:t>
      </w:r>
      <w:r w:rsidR="00ED2D18" w:rsidRPr="00ED2D18">
        <w:t xml:space="preserve"> (Alameri et al., 2021)</w:t>
      </w:r>
      <w:r w:rsidR="009F3126">
        <w:t xml:space="preserve">. It was also on the negative side in 2019 showing that the business was not in a good position before the hit of the pandemic.  </w:t>
      </w:r>
    </w:p>
    <w:p w14:paraId="421CBE3D" w14:textId="1859F7BC" w:rsidR="009F3126" w:rsidRDefault="009F3126" w:rsidP="00D05290">
      <w:pPr>
        <w:pStyle w:val="Heading1"/>
        <w:spacing w:line="360" w:lineRule="auto"/>
      </w:pPr>
      <w:bookmarkStart w:id="17" w:name="_Toc104224905"/>
      <w:r>
        <w:t>Importance of the usage of ratio analysis for decision making</w:t>
      </w:r>
      <w:bookmarkEnd w:id="17"/>
    </w:p>
    <w:p w14:paraId="4E819D18" w14:textId="46460A15" w:rsidR="009F3126" w:rsidRPr="009F3126" w:rsidRDefault="00042CE1" w:rsidP="00D05290">
      <w:pPr>
        <w:spacing w:line="360" w:lineRule="auto"/>
      </w:pPr>
      <w:r>
        <w:t>People</w:t>
      </w:r>
      <w:r w:rsidR="00164788" w:rsidRPr="00164788">
        <w:t xml:space="preserve"> can understand how a company's financial performance has changed over time by analysing the ratios and their analyses</w:t>
      </w:r>
      <w:r w:rsidR="005302F6" w:rsidRPr="005302F6">
        <w:t xml:space="preserve">. It is particularly crucial to </w:t>
      </w:r>
      <w:r w:rsidR="005302F6">
        <w:t xml:space="preserve">Hilton Hotel’s </w:t>
      </w:r>
      <w:r w:rsidR="005302F6" w:rsidRPr="005302F6">
        <w:t>stakeholders such as investors, suppliers, and creditors since it serves as a measurable measure of the company's performance</w:t>
      </w:r>
      <w:r w:rsidR="005302F6">
        <w:t xml:space="preserve"> to decide whether to further increase the investments or modify the business or close it</w:t>
      </w:r>
      <w:r w:rsidR="00ED2D18" w:rsidRPr="00ED2D18">
        <w:t xml:space="preserve"> (</w:t>
      </w:r>
      <w:proofErr w:type="spellStart"/>
      <w:r w:rsidR="00ED2D18" w:rsidRPr="00ED2D18">
        <w:t>Stylos</w:t>
      </w:r>
      <w:proofErr w:type="spellEnd"/>
      <w:r w:rsidR="00ED2D18" w:rsidRPr="00ED2D18">
        <w:t xml:space="preserve"> &amp; Vassiliadis, 2015)</w:t>
      </w:r>
      <w:r w:rsidR="005302F6" w:rsidRPr="005302F6">
        <w:t xml:space="preserve">. Ratios are an effective method for measuring </w:t>
      </w:r>
      <w:r w:rsidR="005302F6">
        <w:t xml:space="preserve">businesses like Hilton Hotel’s </w:t>
      </w:r>
      <w:r w:rsidR="005302F6" w:rsidRPr="005302F6">
        <w:t xml:space="preserve">progress over time. Using ratios also allows one to compare a </w:t>
      </w:r>
      <w:r w:rsidR="0031640A">
        <w:t xml:space="preserve">Hilton’s </w:t>
      </w:r>
      <w:r w:rsidR="005302F6" w:rsidRPr="005302F6">
        <w:t>performance to that of other companies in its industry.</w:t>
      </w:r>
    </w:p>
    <w:p w14:paraId="63652FC5" w14:textId="0B66423D" w:rsidR="0031640A" w:rsidRDefault="0031640A" w:rsidP="00D05290">
      <w:pPr>
        <w:spacing w:line="360" w:lineRule="auto"/>
      </w:pPr>
      <w:r w:rsidRPr="0031640A">
        <w:t xml:space="preserve">The accounting data of </w:t>
      </w:r>
      <w:r>
        <w:t xml:space="preserve">Hilton Hotel </w:t>
      </w:r>
      <w:r w:rsidRPr="0031640A">
        <w:t>is enormous</w:t>
      </w:r>
      <w:r>
        <w:t xml:space="preserve"> due to its larger size and global operations</w:t>
      </w:r>
      <w:r w:rsidRPr="0031640A">
        <w:t xml:space="preserve">. Ratios </w:t>
      </w:r>
      <w:r>
        <w:t>can</w:t>
      </w:r>
      <w:r w:rsidRPr="0031640A">
        <w:t xml:space="preserve"> be used to summarise the financial position of </w:t>
      </w:r>
      <w:r>
        <w:t>Hilton company and to understand its global operations of it in a better and simple way</w:t>
      </w:r>
      <w:r w:rsidR="00ED2D18" w:rsidRPr="00ED2D18">
        <w:t xml:space="preserve"> (</w:t>
      </w:r>
      <w:proofErr w:type="spellStart"/>
      <w:r w:rsidR="00ED2D18" w:rsidRPr="00ED2D18">
        <w:t>Linxi</w:t>
      </w:r>
      <w:proofErr w:type="spellEnd"/>
      <w:r w:rsidR="00ED2D18" w:rsidRPr="00ED2D18">
        <w:t>, 2021)</w:t>
      </w:r>
      <w:r w:rsidRPr="0031640A">
        <w:t xml:space="preserve">. Those that use these reports do not have to study the comprehensive financial accounts again. They are capable of calculating and analysing ratios and acting accordingly. They will supply a lot of information on the overall efficiency and financial health of the </w:t>
      </w:r>
      <w:r>
        <w:t>Hilton Hotel</w:t>
      </w:r>
      <w:r w:rsidRPr="0031640A">
        <w:t xml:space="preserve">. </w:t>
      </w:r>
    </w:p>
    <w:p w14:paraId="21ABF512" w14:textId="5D725960" w:rsidR="0031640A" w:rsidRDefault="00041D37" w:rsidP="00ED2D18">
      <w:pPr>
        <w:spacing w:line="360" w:lineRule="auto"/>
      </w:pPr>
      <w:r>
        <w:t>T</w:t>
      </w:r>
      <w:r w:rsidRPr="00041D37">
        <w:t xml:space="preserve">o assess a company's ability to profit from its assets, the return on assets, the return on equity, and other ratios are used (Alieva, 2019). </w:t>
      </w:r>
      <w:r>
        <w:t>T</w:t>
      </w:r>
      <w:r w:rsidRPr="00041D37">
        <w:t xml:space="preserve">o measure a company's profitability, the gross margin </w:t>
      </w:r>
      <w:r w:rsidRPr="00041D37">
        <w:lastRenderedPageBreak/>
        <w:t>ratio is used.</w:t>
      </w:r>
      <w:r>
        <w:t xml:space="preserve"> </w:t>
      </w:r>
      <w:r w:rsidR="0031640A" w:rsidRPr="0031640A">
        <w:t>The operating margin summarises the operational effectiveness of a company. Additionally, the account receivables turnover ratio, inventory turnover ratio, and other efficiency ratios reveal the firm's efficiency.</w:t>
      </w:r>
    </w:p>
    <w:p w14:paraId="38EC8F70" w14:textId="6F23A8E7" w:rsidR="009F3126" w:rsidRDefault="0031640A" w:rsidP="00D05290">
      <w:pPr>
        <w:spacing w:line="360" w:lineRule="auto"/>
      </w:pPr>
      <w:r>
        <w:t>Therefore, an investor or a creditor can decide from the ratios about the overall progress of the company and predict if Hilton hotels will be able to return or repay the investments within their expected time</w:t>
      </w:r>
      <w:r w:rsidR="00ED2D18" w:rsidRPr="00ED2D18">
        <w:t xml:space="preserve"> (Hasanaj &amp; Kuqi, 2019)</w:t>
      </w:r>
      <w:r>
        <w:t xml:space="preserve">. It is an easy method to overview years of performance with a single look and a person without extensive knowledge of finance or accounting can easily assess the company. </w:t>
      </w:r>
      <w:r w:rsidR="00542EDC">
        <w:t>Hilton hotel needs experts who can assess the organisation's ratios to decide what financial decisions should be made next to get the most out of the organisation. It will help them to stay out of disaster by forecasting and taking the right decision to stay on the good side of the financial performance.</w:t>
      </w:r>
    </w:p>
    <w:p w14:paraId="01BA7356" w14:textId="1BC58CD1" w:rsidR="0070008B" w:rsidRDefault="0031640A" w:rsidP="00D05290">
      <w:pPr>
        <w:pStyle w:val="Heading1"/>
        <w:spacing w:line="360" w:lineRule="auto"/>
      </w:pPr>
      <w:bookmarkStart w:id="18" w:name="_Toc104224906"/>
      <w:r>
        <w:t>L</w:t>
      </w:r>
      <w:r w:rsidRPr="0031640A">
        <w:t>imitation</w:t>
      </w:r>
      <w:r w:rsidR="00B417B6">
        <w:t xml:space="preserve">s </w:t>
      </w:r>
      <w:r w:rsidRPr="0031640A">
        <w:t>of ratio analysis</w:t>
      </w:r>
      <w:bookmarkEnd w:id="18"/>
    </w:p>
    <w:p w14:paraId="079127BD" w14:textId="0A957487" w:rsidR="00B417B6" w:rsidRDefault="00B417B6" w:rsidP="00D05290">
      <w:pPr>
        <w:spacing w:line="360" w:lineRule="auto"/>
      </w:pPr>
      <w:r>
        <w:t>There are several limitations to ratio analysis. The notable ones are discussed here.</w:t>
      </w:r>
    </w:p>
    <w:p w14:paraId="4A0B4ED2" w14:textId="355541A1" w:rsidR="00B417B6" w:rsidRDefault="00B417B6" w:rsidP="00D05290">
      <w:pPr>
        <w:spacing w:line="360" w:lineRule="auto"/>
      </w:pPr>
      <w:r>
        <w:t>If the rate of inflation changed during any of the periods being looked into, it may be hard to compare the statistics. If the inflation rate reached 100% in a given year, it would look like sales doubled from the year before, but they did not. If a company's operations have changed a lot over the years, comparing a ratio from a few years ago with a ratio from today could lead to a false conclusion</w:t>
      </w:r>
      <w:r w:rsidR="00ED2D18" w:rsidRPr="00ED2D18">
        <w:t xml:space="preserve"> (Kourtis et al., 2019)</w:t>
      </w:r>
      <w:r>
        <w:t xml:space="preserve">. </w:t>
      </w:r>
      <w:r w:rsidR="00042CE1" w:rsidRPr="00042CE1">
        <w:t>For example, ratio analysis of the company's fixed asset base may suggest that it is overly outdated.</w:t>
      </w:r>
      <w:r>
        <w:t xml:space="preserve"> Depending on the type of business, there are different ways to record accounting transactions. Since no two businesses are the same, it might be hard to compare their ratios. Companies may use accelerated depreciation instead of straight-line depreciation or gross sales recording instead of net sales recording.</w:t>
      </w:r>
    </w:p>
    <w:p w14:paraId="08178440" w14:textId="4B1279AD" w:rsidR="0031640A" w:rsidRDefault="00B417B6" w:rsidP="00D05290">
      <w:pPr>
        <w:spacing w:line="360" w:lineRule="auto"/>
      </w:pPr>
      <w:r>
        <w:t>It is important to look at ratio analysis from the perspective of the whole organisation. Sales receivables with a days-to-pay balance of 60 days may be seen as bad when sales are growing quickly, but they may be seen as good when the economy is bad and people can't pay their bills. It could be dangerous to use ratio analysis to compare two companies with different business models</w:t>
      </w:r>
      <w:r w:rsidR="00ED2D18" w:rsidRPr="00ED2D18">
        <w:t xml:space="preserve"> (Alameri et al., 2021)</w:t>
      </w:r>
      <w:r>
        <w:t>. So, a company with a low-cost strategy might be willing to trade a lower gross margin for a bigger market share. One company in the same field is charging higher prices and making more money than its competitor because it focuses on customer service. However, the second company will never be as profitable as the first.</w:t>
      </w:r>
    </w:p>
    <w:p w14:paraId="0B6B5023" w14:textId="361DD7FA" w:rsidR="00091F9D" w:rsidRDefault="00091F9D" w:rsidP="00D05290">
      <w:pPr>
        <w:pStyle w:val="Heading1"/>
        <w:spacing w:line="360" w:lineRule="auto"/>
      </w:pPr>
      <w:bookmarkStart w:id="19" w:name="_Toc104224907"/>
      <w:r>
        <w:lastRenderedPageBreak/>
        <w:t>Conclusion</w:t>
      </w:r>
      <w:bookmarkEnd w:id="19"/>
    </w:p>
    <w:p w14:paraId="31F36571" w14:textId="0217E1EF" w:rsidR="00091F9D" w:rsidRDefault="00091F9D" w:rsidP="00D05290">
      <w:pPr>
        <w:spacing w:line="360" w:lineRule="auto"/>
      </w:pPr>
      <w:r w:rsidRPr="00091F9D">
        <w:t>The report aim</w:t>
      </w:r>
      <w:r>
        <w:t>ed</w:t>
      </w:r>
      <w:r w:rsidRPr="00091F9D">
        <w:t xml:space="preserve"> to provide an understanding of financial ratios with an analysis of the financial ratios of Hilton Worldwide Holdings Inc</w:t>
      </w:r>
      <w:r>
        <w:t xml:space="preserve">. The report </w:t>
      </w:r>
      <w:proofErr w:type="spellStart"/>
      <w:r>
        <w:t>founds</w:t>
      </w:r>
      <w:proofErr w:type="spellEnd"/>
      <w:r>
        <w:t xml:space="preserve"> that Hilton Hotels had a good position in some ratios and bad in some ratios in the later years. The cause of the situation was the pandemic. However, the business was seen to gradually recover from the loss condition towards a profitable one. Hilton hotels had a bad </w:t>
      </w:r>
      <w:r w:rsidRPr="00091F9D">
        <w:t>Book Value per Shar</w:t>
      </w:r>
      <w:r>
        <w:t>e before the pandemic and within it too. The organisation should focus on it along with the importance and limitations of the ratio analysis.</w:t>
      </w:r>
    </w:p>
    <w:p w14:paraId="69433CF1" w14:textId="5385E42A" w:rsidR="00091F9D" w:rsidRDefault="00091F9D" w:rsidP="00D05290">
      <w:pPr>
        <w:spacing w:line="360" w:lineRule="auto"/>
      </w:pPr>
    </w:p>
    <w:p w14:paraId="528EF773" w14:textId="51B7C899" w:rsidR="00091F9D" w:rsidRDefault="00091F9D" w:rsidP="00D05290">
      <w:pPr>
        <w:spacing w:line="360" w:lineRule="auto"/>
      </w:pPr>
    </w:p>
    <w:p w14:paraId="12977CE9" w14:textId="589FBCA0" w:rsidR="00091F9D" w:rsidRDefault="00091F9D" w:rsidP="00D05290">
      <w:pPr>
        <w:spacing w:line="360" w:lineRule="auto"/>
      </w:pPr>
    </w:p>
    <w:p w14:paraId="031438FE" w14:textId="39DB2D35" w:rsidR="00091F9D" w:rsidRDefault="00091F9D" w:rsidP="00D05290">
      <w:pPr>
        <w:spacing w:line="360" w:lineRule="auto"/>
      </w:pPr>
    </w:p>
    <w:p w14:paraId="2862284B" w14:textId="58B08E26" w:rsidR="00091F9D" w:rsidRDefault="00091F9D" w:rsidP="00D05290">
      <w:pPr>
        <w:spacing w:line="360" w:lineRule="auto"/>
      </w:pPr>
    </w:p>
    <w:p w14:paraId="084A3DE5" w14:textId="233537DC" w:rsidR="00091F9D" w:rsidRDefault="00091F9D" w:rsidP="00D05290">
      <w:pPr>
        <w:spacing w:line="360" w:lineRule="auto"/>
      </w:pPr>
    </w:p>
    <w:p w14:paraId="4BACB934" w14:textId="3C49E844" w:rsidR="00091F9D" w:rsidRDefault="00091F9D" w:rsidP="00D05290">
      <w:pPr>
        <w:spacing w:line="360" w:lineRule="auto"/>
      </w:pPr>
    </w:p>
    <w:p w14:paraId="7A605383" w14:textId="5C70CE7C" w:rsidR="00091F9D" w:rsidRDefault="00091F9D" w:rsidP="00D05290">
      <w:pPr>
        <w:spacing w:line="360" w:lineRule="auto"/>
      </w:pPr>
    </w:p>
    <w:p w14:paraId="6EAE5BA9" w14:textId="31FF62D3" w:rsidR="00091F9D" w:rsidRDefault="00091F9D" w:rsidP="00D05290">
      <w:pPr>
        <w:spacing w:line="360" w:lineRule="auto"/>
      </w:pPr>
    </w:p>
    <w:p w14:paraId="2D7EF904" w14:textId="7B23E96A" w:rsidR="00091F9D" w:rsidRDefault="00091F9D" w:rsidP="00D05290">
      <w:pPr>
        <w:spacing w:line="360" w:lineRule="auto"/>
      </w:pPr>
    </w:p>
    <w:p w14:paraId="2BBE74FB" w14:textId="449A8332" w:rsidR="00091F9D" w:rsidRDefault="00091F9D" w:rsidP="00D05290">
      <w:pPr>
        <w:spacing w:line="360" w:lineRule="auto"/>
      </w:pPr>
    </w:p>
    <w:p w14:paraId="3ABAE630" w14:textId="2F1D9EF9" w:rsidR="00091F9D" w:rsidRDefault="00091F9D" w:rsidP="00D05290">
      <w:pPr>
        <w:spacing w:line="360" w:lineRule="auto"/>
      </w:pPr>
    </w:p>
    <w:p w14:paraId="05AD8167" w14:textId="73DB8F36" w:rsidR="00091F9D" w:rsidRDefault="00091F9D" w:rsidP="00D05290">
      <w:pPr>
        <w:spacing w:line="360" w:lineRule="auto"/>
      </w:pPr>
    </w:p>
    <w:p w14:paraId="4911FB75" w14:textId="57821BEA" w:rsidR="00252F59" w:rsidRDefault="00252F59" w:rsidP="00D05290">
      <w:pPr>
        <w:spacing w:line="360" w:lineRule="auto"/>
      </w:pPr>
    </w:p>
    <w:p w14:paraId="3575CBE8" w14:textId="4F5DE5B5" w:rsidR="00252F59" w:rsidRDefault="00252F59" w:rsidP="00D05290">
      <w:pPr>
        <w:spacing w:line="360" w:lineRule="auto"/>
      </w:pPr>
    </w:p>
    <w:p w14:paraId="60422ECA" w14:textId="77777777" w:rsidR="00252F59" w:rsidRDefault="00252F59" w:rsidP="00D05290">
      <w:pPr>
        <w:spacing w:line="360" w:lineRule="auto"/>
      </w:pPr>
    </w:p>
    <w:p w14:paraId="38C24B8F" w14:textId="367F9FFF" w:rsidR="00091F9D" w:rsidRDefault="00091F9D" w:rsidP="00D05290">
      <w:pPr>
        <w:pStyle w:val="Heading1"/>
        <w:spacing w:line="360" w:lineRule="auto"/>
      </w:pPr>
      <w:bookmarkStart w:id="20" w:name="_Toc104224908"/>
      <w:r>
        <w:lastRenderedPageBreak/>
        <w:t>References</w:t>
      </w:r>
      <w:bookmarkEnd w:id="20"/>
    </w:p>
    <w:p w14:paraId="22D0790E" w14:textId="77777777" w:rsidR="009B61AA" w:rsidRDefault="009B61AA" w:rsidP="00D05290">
      <w:pPr>
        <w:spacing w:line="360" w:lineRule="auto"/>
      </w:pPr>
      <w:r w:rsidRPr="00091F9D">
        <w:t xml:space="preserve">Alameri, M., </w:t>
      </w:r>
      <w:proofErr w:type="spellStart"/>
      <w:r w:rsidRPr="00091F9D">
        <w:t>Alshamsi</w:t>
      </w:r>
      <w:proofErr w:type="spellEnd"/>
      <w:r w:rsidRPr="00091F9D">
        <w:t xml:space="preserve">, F., Alsaedi, S., Alkaabi, A., Alamri, R., </w:t>
      </w:r>
      <w:proofErr w:type="spellStart"/>
      <w:r w:rsidRPr="00091F9D">
        <w:t>Alshamsi</w:t>
      </w:r>
      <w:proofErr w:type="spellEnd"/>
      <w:r w:rsidRPr="00091F9D">
        <w:t xml:space="preserve">, M. and </w:t>
      </w:r>
      <w:proofErr w:type="spellStart"/>
      <w:r w:rsidRPr="00091F9D">
        <w:t>Nobanee</w:t>
      </w:r>
      <w:proofErr w:type="spellEnd"/>
      <w:r w:rsidRPr="00091F9D">
        <w:t>, H., 2021. Financial Analysis of Hilton Holdings. </w:t>
      </w:r>
      <w:r w:rsidRPr="00220396">
        <w:rPr>
          <w:i/>
          <w:iCs/>
        </w:rPr>
        <w:t>Available at SSRN</w:t>
      </w:r>
      <w:r w:rsidRPr="00091F9D">
        <w:t>.</w:t>
      </w:r>
    </w:p>
    <w:p w14:paraId="32C0CC5A" w14:textId="77777777" w:rsidR="009B61AA" w:rsidRDefault="009B61AA" w:rsidP="00D05290">
      <w:pPr>
        <w:spacing w:line="360" w:lineRule="auto"/>
      </w:pPr>
      <w:r w:rsidRPr="00091F9D">
        <w:t>Alieva, S.S., 2019. Modern Interpretation of Essence of Profit as a Source for Forming Financial Resources. </w:t>
      </w:r>
      <w:r w:rsidRPr="00220396">
        <w:rPr>
          <w:i/>
          <w:iCs/>
        </w:rPr>
        <w:t>Indonesian Journal of Innovation Studies</w:t>
      </w:r>
      <w:r w:rsidRPr="00091F9D">
        <w:t>, </w:t>
      </w:r>
      <w:r w:rsidRPr="00220396">
        <w:rPr>
          <w:i/>
          <w:iCs/>
        </w:rPr>
        <w:t>8</w:t>
      </w:r>
      <w:r w:rsidRPr="00091F9D">
        <w:t>.</w:t>
      </w:r>
    </w:p>
    <w:p w14:paraId="296C705D" w14:textId="77777777" w:rsidR="009B61AA" w:rsidRDefault="009B61AA" w:rsidP="00D05290">
      <w:pPr>
        <w:spacing w:line="360" w:lineRule="auto"/>
      </w:pPr>
      <w:r w:rsidRPr="00220396">
        <w:t>Bourke, J.G., Izadi, J. and Olya, H.G., 2020. Failure of play on asset disposals and share buybacks: application of game theory in the international hotel market. </w:t>
      </w:r>
      <w:r w:rsidRPr="00220396">
        <w:rPr>
          <w:i/>
          <w:iCs/>
        </w:rPr>
        <w:t>Tourism Management</w:t>
      </w:r>
      <w:r w:rsidRPr="00220396">
        <w:t>, </w:t>
      </w:r>
      <w:r w:rsidRPr="00220396">
        <w:rPr>
          <w:i/>
          <w:iCs/>
        </w:rPr>
        <w:t>77</w:t>
      </w:r>
      <w:r w:rsidRPr="00220396">
        <w:t>, p.103984.</w:t>
      </w:r>
    </w:p>
    <w:p w14:paraId="401F6731" w14:textId="77777777" w:rsidR="009B61AA" w:rsidRPr="00091F9D" w:rsidRDefault="009B61AA" w:rsidP="00D05290">
      <w:pPr>
        <w:spacing w:line="360" w:lineRule="auto"/>
      </w:pPr>
      <w:r w:rsidRPr="00091F9D">
        <w:t>Elly, D., 2018. Interpretation of Financial Statements (SEMIs).</w:t>
      </w:r>
    </w:p>
    <w:p w14:paraId="0FC6A09D" w14:textId="77777777" w:rsidR="009B61AA" w:rsidRDefault="009B61AA" w:rsidP="00D05290">
      <w:pPr>
        <w:spacing w:line="360" w:lineRule="auto"/>
      </w:pPr>
      <w:r w:rsidRPr="00091F9D">
        <w:t>Hasanaj, P. and Kuqi, B., 2019. Analysis of financial statements. </w:t>
      </w:r>
      <w:r w:rsidRPr="00220396">
        <w:rPr>
          <w:i/>
          <w:iCs/>
        </w:rPr>
        <w:t>Humanities and Social Science Research</w:t>
      </w:r>
      <w:r w:rsidRPr="00091F9D">
        <w:t>, </w:t>
      </w:r>
      <w:r w:rsidRPr="00220396">
        <w:rPr>
          <w:i/>
          <w:iCs/>
        </w:rPr>
        <w:t>2</w:t>
      </w:r>
      <w:r w:rsidRPr="00091F9D">
        <w:t>(2), pp.p17-p17.</w:t>
      </w:r>
    </w:p>
    <w:p w14:paraId="520C6A65" w14:textId="77777777" w:rsidR="009B61AA" w:rsidRDefault="009B61AA" w:rsidP="00D05290">
      <w:pPr>
        <w:spacing w:line="360" w:lineRule="auto"/>
      </w:pPr>
      <w:r w:rsidRPr="00091F9D">
        <w:t xml:space="preserve">Kourtis, E., Kourtis, G. and Curtis, P., 2019. </w:t>
      </w:r>
      <w:r>
        <w:t>I</w:t>
      </w:r>
      <w:r w:rsidRPr="00091F9D">
        <w:t>ntegrated financial ratio analysis as a navigation compass through the fraudulent reporting conundrum: a case study.</w:t>
      </w:r>
    </w:p>
    <w:p w14:paraId="415A89D8" w14:textId="77777777" w:rsidR="009B61AA" w:rsidRDefault="009B61AA" w:rsidP="00D05290">
      <w:pPr>
        <w:spacing w:line="360" w:lineRule="auto"/>
      </w:pPr>
      <w:proofErr w:type="spellStart"/>
      <w:r w:rsidRPr="00220396">
        <w:t>Linxi</w:t>
      </w:r>
      <w:proofErr w:type="spellEnd"/>
      <w:r w:rsidRPr="00220396">
        <w:t>, X., 2021, September. The Digital Transformation Strategy of Hilton During COVID-19. In </w:t>
      </w:r>
      <w:r w:rsidRPr="00220396">
        <w:rPr>
          <w:i/>
          <w:iCs/>
        </w:rPr>
        <w:t>2021 International Conference on Financial Management and Economic Transition (FMET 2021)</w:t>
      </w:r>
      <w:r w:rsidRPr="00220396">
        <w:t> (pp. 317-321). Atlantis Press.</w:t>
      </w:r>
    </w:p>
    <w:p w14:paraId="4967058D" w14:textId="77777777" w:rsidR="009B61AA" w:rsidRDefault="009B61AA" w:rsidP="00D05290">
      <w:pPr>
        <w:spacing w:line="360" w:lineRule="auto"/>
      </w:pPr>
      <w:proofErr w:type="spellStart"/>
      <w:r w:rsidRPr="00091F9D">
        <w:t>Pié</w:t>
      </w:r>
      <w:proofErr w:type="spellEnd"/>
      <w:r w:rsidRPr="00091F9D">
        <w:t xml:space="preserve"> Dols, L., Bonillo </w:t>
      </w:r>
      <w:proofErr w:type="spellStart"/>
      <w:r w:rsidRPr="00091F9D">
        <w:t>Alcaina</w:t>
      </w:r>
      <w:proofErr w:type="spellEnd"/>
      <w:r w:rsidRPr="00091F9D">
        <w:t xml:space="preserve">, I., </w:t>
      </w:r>
      <w:proofErr w:type="spellStart"/>
      <w:r w:rsidRPr="00091F9D">
        <w:t>Ribas</w:t>
      </w:r>
      <w:proofErr w:type="spellEnd"/>
      <w:r w:rsidRPr="00091F9D">
        <w:t xml:space="preserve"> Barceló, J. and </w:t>
      </w:r>
      <w:proofErr w:type="spellStart"/>
      <w:r w:rsidRPr="00091F9D">
        <w:t>Fabregat</w:t>
      </w:r>
      <w:proofErr w:type="spellEnd"/>
      <w:r w:rsidRPr="00091F9D">
        <w:t xml:space="preserve"> Aibar, L., 2019. Analysis of some economic-financial ratios to analyse the financial crisis in five-star hotels in Barcelona and Madrid. </w:t>
      </w:r>
      <w:r w:rsidRPr="00220396">
        <w:rPr>
          <w:i/>
          <w:iCs/>
        </w:rPr>
        <w:t>Intangible Capital</w:t>
      </w:r>
      <w:r w:rsidRPr="00091F9D">
        <w:t>, </w:t>
      </w:r>
      <w:r w:rsidRPr="00220396">
        <w:rPr>
          <w:i/>
          <w:iCs/>
        </w:rPr>
        <w:t>15</w:t>
      </w:r>
      <w:r w:rsidRPr="00091F9D">
        <w:t>(2), pp.99-113.</w:t>
      </w:r>
    </w:p>
    <w:p w14:paraId="104CC326" w14:textId="77777777" w:rsidR="009B61AA" w:rsidRDefault="009B61AA" w:rsidP="00D05290">
      <w:pPr>
        <w:spacing w:line="360" w:lineRule="auto"/>
      </w:pPr>
      <w:r w:rsidRPr="00220396">
        <w:t>Scarantino, F., 2018. Leveraged buyout in the hotel sector: the analysis of the Hilton Hotels acquisition made by the Blackstone group.</w:t>
      </w:r>
    </w:p>
    <w:p w14:paraId="6BE742DF" w14:textId="77777777" w:rsidR="009B61AA" w:rsidRPr="00091F9D" w:rsidRDefault="009B61AA" w:rsidP="00D05290">
      <w:pPr>
        <w:spacing w:line="360" w:lineRule="auto"/>
      </w:pPr>
      <w:proofErr w:type="spellStart"/>
      <w:r w:rsidRPr="00220396">
        <w:t>Stylos</w:t>
      </w:r>
      <w:proofErr w:type="spellEnd"/>
      <w:r w:rsidRPr="00220396">
        <w:t>, N. and Vassiliadis, C., 2015. Differences in sustainable management between four-and five-star hotels regarding the perceptions of three-pillar sustainability. </w:t>
      </w:r>
      <w:r w:rsidRPr="00220396">
        <w:rPr>
          <w:i/>
          <w:iCs/>
        </w:rPr>
        <w:t>Journal of Hospitality Marketing &amp; Management</w:t>
      </w:r>
      <w:r w:rsidRPr="00220396">
        <w:t>, </w:t>
      </w:r>
      <w:r w:rsidRPr="00220396">
        <w:rPr>
          <w:i/>
          <w:iCs/>
        </w:rPr>
        <w:t>24</w:t>
      </w:r>
      <w:r w:rsidRPr="00220396">
        <w:t>(8), pp.791-825.</w:t>
      </w:r>
    </w:p>
    <w:sectPr w:rsidR="009B61AA" w:rsidRPr="00091F9D" w:rsidSect="0074700F">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1341D" w14:textId="77777777" w:rsidR="00EF1995" w:rsidRDefault="00EF1995" w:rsidP="00977283">
      <w:pPr>
        <w:spacing w:after="0" w:line="240" w:lineRule="auto"/>
      </w:pPr>
      <w:r>
        <w:separator/>
      </w:r>
    </w:p>
  </w:endnote>
  <w:endnote w:type="continuationSeparator" w:id="0">
    <w:p w14:paraId="545DD958" w14:textId="77777777" w:rsidR="00EF1995" w:rsidRDefault="00EF1995" w:rsidP="00977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966077"/>
      <w:docPartObj>
        <w:docPartGallery w:val="Page Numbers (Bottom of Page)"/>
        <w:docPartUnique/>
      </w:docPartObj>
    </w:sdtPr>
    <w:sdtEndPr>
      <w:rPr>
        <w:noProof/>
      </w:rPr>
    </w:sdtEndPr>
    <w:sdtContent>
      <w:p w14:paraId="5D5CF56F" w14:textId="0EE9279D" w:rsidR="00977283" w:rsidRDefault="009772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71174D" w14:textId="77777777" w:rsidR="00977283" w:rsidRDefault="00977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DA3C7" w14:textId="77777777" w:rsidR="00EF1995" w:rsidRDefault="00EF1995" w:rsidP="00977283">
      <w:pPr>
        <w:spacing w:after="0" w:line="240" w:lineRule="auto"/>
      </w:pPr>
      <w:r>
        <w:separator/>
      </w:r>
    </w:p>
  </w:footnote>
  <w:footnote w:type="continuationSeparator" w:id="0">
    <w:p w14:paraId="16EF0CF1" w14:textId="77777777" w:rsidR="00EF1995" w:rsidRDefault="00EF1995" w:rsidP="00977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077906"/>
    <w:multiLevelType w:val="hybridMultilevel"/>
    <w:tmpl w:val="3594C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4188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3NzY1N7YwMjcwMDNS0lEKTi0uzszPAykwqQUAAli8+SwAAAA="/>
  </w:docVars>
  <w:rsids>
    <w:rsidRoot w:val="00D92E6C"/>
    <w:rsid w:val="0001216D"/>
    <w:rsid w:val="000165BC"/>
    <w:rsid w:val="00022F68"/>
    <w:rsid w:val="00030C27"/>
    <w:rsid w:val="00036738"/>
    <w:rsid w:val="00041D37"/>
    <w:rsid w:val="00042CE1"/>
    <w:rsid w:val="0004481F"/>
    <w:rsid w:val="00061270"/>
    <w:rsid w:val="00091F9D"/>
    <w:rsid w:val="000B5ABA"/>
    <w:rsid w:val="00134D00"/>
    <w:rsid w:val="00144E23"/>
    <w:rsid w:val="00152EEB"/>
    <w:rsid w:val="00164788"/>
    <w:rsid w:val="001A20EC"/>
    <w:rsid w:val="001C3173"/>
    <w:rsid w:val="001F44BE"/>
    <w:rsid w:val="00204FFA"/>
    <w:rsid w:val="00220396"/>
    <w:rsid w:val="002219EF"/>
    <w:rsid w:val="00252F59"/>
    <w:rsid w:val="00283FAF"/>
    <w:rsid w:val="0030289C"/>
    <w:rsid w:val="0031640A"/>
    <w:rsid w:val="00322266"/>
    <w:rsid w:val="00407060"/>
    <w:rsid w:val="0042767A"/>
    <w:rsid w:val="00433E2D"/>
    <w:rsid w:val="004459FC"/>
    <w:rsid w:val="00457B22"/>
    <w:rsid w:val="004B5A9D"/>
    <w:rsid w:val="004C3389"/>
    <w:rsid w:val="004C60CE"/>
    <w:rsid w:val="005302F6"/>
    <w:rsid w:val="005335E2"/>
    <w:rsid w:val="00542EDC"/>
    <w:rsid w:val="0057640B"/>
    <w:rsid w:val="00594F63"/>
    <w:rsid w:val="005A5298"/>
    <w:rsid w:val="005E0DA1"/>
    <w:rsid w:val="005F2F1C"/>
    <w:rsid w:val="006064E1"/>
    <w:rsid w:val="00626597"/>
    <w:rsid w:val="006448FA"/>
    <w:rsid w:val="0068636F"/>
    <w:rsid w:val="006A2512"/>
    <w:rsid w:val="006A295D"/>
    <w:rsid w:val="006A3C74"/>
    <w:rsid w:val="006F12E3"/>
    <w:rsid w:val="0070008B"/>
    <w:rsid w:val="0072659B"/>
    <w:rsid w:val="0074700F"/>
    <w:rsid w:val="00750EDD"/>
    <w:rsid w:val="007E7146"/>
    <w:rsid w:val="007F6E96"/>
    <w:rsid w:val="00811559"/>
    <w:rsid w:val="00814E2A"/>
    <w:rsid w:val="00861411"/>
    <w:rsid w:val="00861EFB"/>
    <w:rsid w:val="00874173"/>
    <w:rsid w:val="008E1992"/>
    <w:rsid w:val="00951364"/>
    <w:rsid w:val="00977283"/>
    <w:rsid w:val="00991861"/>
    <w:rsid w:val="009A7A79"/>
    <w:rsid w:val="009B61AA"/>
    <w:rsid w:val="009D697D"/>
    <w:rsid w:val="009F3126"/>
    <w:rsid w:val="00A51B30"/>
    <w:rsid w:val="00A66B66"/>
    <w:rsid w:val="00A67C07"/>
    <w:rsid w:val="00AA2D52"/>
    <w:rsid w:val="00AC28C3"/>
    <w:rsid w:val="00AE32EA"/>
    <w:rsid w:val="00B417B6"/>
    <w:rsid w:val="00BB4BC2"/>
    <w:rsid w:val="00BB5CCE"/>
    <w:rsid w:val="00BC7974"/>
    <w:rsid w:val="00BE62D8"/>
    <w:rsid w:val="00C3175C"/>
    <w:rsid w:val="00C65C0D"/>
    <w:rsid w:val="00C70C23"/>
    <w:rsid w:val="00C73622"/>
    <w:rsid w:val="00CB2CEA"/>
    <w:rsid w:val="00D05290"/>
    <w:rsid w:val="00D1163E"/>
    <w:rsid w:val="00D52E11"/>
    <w:rsid w:val="00D56FEE"/>
    <w:rsid w:val="00D87F3E"/>
    <w:rsid w:val="00D92E6C"/>
    <w:rsid w:val="00DB1FF0"/>
    <w:rsid w:val="00DC6382"/>
    <w:rsid w:val="00DD58CD"/>
    <w:rsid w:val="00DE179C"/>
    <w:rsid w:val="00E15E9C"/>
    <w:rsid w:val="00ED01F6"/>
    <w:rsid w:val="00ED2B87"/>
    <w:rsid w:val="00ED2D18"/>
    <w:rsid w:val="00EE7B9C"/>
    <w:rsid w:val="00EF1995"/>
    <w:rsid w:val="00F663CB"/>
    <w:rsid w:val="00F83890"/>
    <w:rsid w:val="00FD78C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F86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173"/>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E7146"/>
    <w:pPr>
      <w:keepNext/>
      <w:keepLines/>
      <w:spacing w:before="36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autoRedefine/>
    <w:uiPriority w:val="9"/>
    <w:unhideWhenUsed/>
    <w:qFormat/>
    <w:rsid w:val="007E7146"/>
    <w:pPr>
      <w:keepNext/>
      <w:keepLines/>
      <w:spacing w:before="16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7E7146"/>
    <w:pPr>
      <w:keepNext/>
      <w:keepLines/>
      <w:spacing w:before="4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146"/>
    <w:rPr>
      <w:rFonts w:ascii="Times New Roman" w:eastAsiaTheme="majorEastAsia" w:hAnsi="Times New Roman" w:cstheme="majorBidi"/>
      <w:b/>
      <w:color w:val="2F5496" w:themeColor="accent1" w:themeShade="BF"/>
      <w:sz w:val="24"/>
      <w:szCs w:val="32"/>
      <w:lang w:val="en-GB"/>
    </w:rPr>
  </w:style>
  <w:style w:type="character" w:customStyle="1" w:styleId="Heading2Char">
    <w:name w:val="Heading 2 Char"/>
    <w:basedOn w:val="DefaultParagraphFont"/>
    <w:link w:val="Heading2"/>
    <w:uiPriority w:val="9"/>
    <w:rsid w:val="007E7146"/>
    <w:rPr>
      <w:rFonts w:ascii="Times New Roman" w:eastAsiaTheme="majorEastAsia" w:hAnsi="Times New Roman" w:cstheme="majorBidi"/>
      <w:b/>
      <w:color w:val="2F5496" w:themeColor="accent1" w:themeShade="BF"/>
      <w:sz w:val="24"/>
      <w:szCs w:val="26"/>
      <w:lang w:val="en-GB"/>
    </w:rPr>
  </w:style>
  <w:style w:type="character" w:customStyle="1" w:styleId="Heading3Char">
    <w:name w:val="Heading 3 Char"/>
    <w:basedOn w:val="DefaultParagraphFont"/>
    <w:link w:val="Heading3"/>
    <w:uiPriority w:val="9"/>
    <w:rsid w:val="007E7146"/>
    <w:rPr>
      <w:rFonts w:ascii="Times New Roman" w:eastAsiaTheme="majorEastAsia" w:hAnsi="Times New Roman" w:cstheme="majorBidi"/>
      <w:b/>
      <w:color w:val="1F3763" w:themeColor="accent1" w:themeShade="7F"/>
      <w:sz w:val="24"/>
      <w:szCs w:val="24"/>
      <w:lang w:val="en-GB"/>
    </w:rPr>
  </w:style>
  <w:style w:type="paragraph" w:styleId="Header">
    <w:name w:val="header"/>
    <w:basedOn w:val="Normal"/>
    <w:link w:val="HeaderChar"/>
    <w:uiPriority w:val="99"/>
    <w:unhideWhenUsed/>
    <w:rsid w:val="009772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283"/>
    <w:rPr>
      <w:rFonts w:ascii="Times New Roman" w:hAnsi="Times New Roman"/>
      <w:sz w:val="24"/>
      <w:lang w:val="en-GB"/>
    </w:rPr>
  </w:style>
  <w:style w:type="paragraph" w:styleId="Footer">
    <w:name w:val="footer"/>
    <w:basedOn w:val="Normal"/>
    <w:link w:val="FooterChar"/>
    <w:uiPriority w:val="99"/>
    <w:unhideWhenUsed/>
    <w:rsid w:val="009772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283"/>
    <w:rPr>
      <w:rFonts w:ascii="Times New Roman" w:hAnsi="Times New Roman"/>
      <w:sz w:val="24"/>
      <w:lang w:val="en-GB"/>
    </w:rPr>
  </w:style>
  <w:style w:type="paragraph" w:styleId="TOCHeading">
    <w:name w:val="TOC Heading"/>
    <w:basedOn w:val="Heading1"/>
    <w:next w:val="Normal"/>
    <w:uiPriority w:val="39"/>
    <w:unhideWhenUsed/>
    <w:qFormat/>
    <w:rsid w:val="00977283"/>
    <w:pPr>
      <w:spacing w:before="240" w:after="0"/>
      <w:jc w:val="left"/>
      <w:outlineLvl w:val="9"/>
    </w:pPr>
    <w:rPr>
      <w:rFonts w:asciiTheme="majorHAnsi" w:hAnsiTheme="majorHAnsi"/>
      <w:b w:val="0"/>
      <w:sz w:val="32"/>
      <w:lang w:val="en-US"/>
    </w:rPr>
  </w:style>
  <w:style w:type="table" w:styleId="TableGrid">
    <w:name w:val="Table Grid"/>
    <w:basedOn w:val="TableNormal"/>
    <w:uiPriority w:val="39"/>
    <w:rsid w:val="00977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0396"/>
    <w:pPr>
      <w:ind w:left="720"/>
      <w:contextualSpacing/>
    </w:pPr>
  </w:style>
  <w:style w:type="paragraph" w:styleId="TOC1">
    <w:name w:val="toc 1"/>
    <w:basedOn w:val="Normal"/>
    <w:next w:val="Normal"/>
    <w:autoRedefine/>
    <w:uiPriority w:val="39"/>
    <w:unhideWhenUsed/>
    <w:rsid w:val="00D05290"/>
    <w:pPr>
      <w:spacing w:after="100"/>
    </w:pPr>
  </w:style>
  <w:style w:type="character" w:styleId="Hyperlink">
    <w:name w:val="Hyperlink"/>
    <w:basedOn w:val="DefaultParagraphFont"/>
    <w:uiPriority w:val="99"/>
    <w:unhideWhenUsed/>
    <w:rsid w:val="00D052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382819">
      <w:bodyDiv w:val="1"/>
      <w:marLeft w:val="0"/>
      <w:marRight w:val="0"/>
      <w:marTop w:val="0"/>
      <w:marBottom w:val="0"/>
      <w:divBdr>
        <w:top w:val="none" w:sz="0" w:space="0" w:color="auto"/>
        <w:left w:val="none" w:sz="0" w:space="0" w:color="auto"/>
        <w:bottom w:val="none" w:sz="0" w:space="0" w:color="auto"/>
        <w:right w:val="none" w:sz="0" w:space="0" w:color="auto"/>
      </w:divBdr>
    </w:div>
    <w:div w:id="182157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200" b="0" i="0" u="none" strike="noStrike" kern="1200" spc="0" baseline="0">
                <a:solidFill>
                  <a:schemeClr val="tx1">
                    <a:lumMod val="65000"/>
                    <a:lumOff val="35000"/>
                  </a:schemeClr>
                </a:solidFill>
                <a:latin typeface="+mn-lt"/>
                <a:ea typeface="+mn-ea"/>
                <a:cs typeface="+mn-cs"/>
              </a:defRPr>
            </a:pPr>
            <a:r>
              <a:rPr lang="en-GB" sz="1200" b="1" i="0" u="none" strike="noStrike" baseline="0">
                <a:effectLst/>
              </a:rPr>
              <a:t>Income statement in 2019 and 2020 Hilton</a:t>
            </a:r>
            <a:endParaRPr lang="en-GB" sz="1200"/>
          </a:p>
        </c:rich>
      </c:tx>
      <c:layout>
        <c:manualLayout>
          <c:xMode val="edge"/>
          <c:yMode val="edge"/>
          <c:x val="0.33028645774579035"/>
          <c:y val="1.0979646813925135E-2"/>
        </c:manualLayout>
      </c:layout>
      <c:overlay val="0"/>
      <c:spPr>
        <a:noFill/>
        <a:ln>
          <a:noFill/>
        </a:ln>
        <a:effectLst/>
      </c:spPr>
      <c:txPr>
        <a:bodyPr rot="0" spcFirstLastPara="1" vertOverflow="ellipsis" vert="horz" wrap="square" anchor="ctr" anchorCtr="1"/>
        <a:lstStyle/>
        <a:p>
          <a:pPr algn="ct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54114101571936"/>
          <c:y val="7.9230333899264288E-2"/>
          <c:w val="0.85457794374767115"/>
          <c:h val="0.80160184026840875"/>
        </c:manualLayout>
      </c:layout>
      <c:barChart>
        <c:barDir val="col"/>
        <c:grouping val="clustered"/>
        <c:varyColors val="0"/>
        <c:ser>
          <c:idx val="0"/>
          <c:order val="0"/>
          <c:tx>
            <c:strRef>
              <c:f>Sheet1!$B$1</c:f>
              <c:strCache>
                <c:ptCount val="1"/>
                <c:pt idx="0">
                  <c:v>2020</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Sheet1!$A$2:$A$10</c:f>
              <c:strCache>
                <c:ptCount val="9"/>
                <c:pt idx="0">
                  <c:v>Sales</c:v>
                </c:pt>
                <c:pt idx="1">
                  <c:v>Cost of goods sold</c:v>
                </c:pt>
                <c:pt idx="2">
                  <c:v>Gross profit</c:v>
                </c:pt>
                <c:pt idx="3">
                  <c:v>Operating Expenses</c:v>
                </c:pt>
                <c:pt idx="4">
                  <c:v>Operating Income</c:v>
                </c:pt>
                <c:pt idx="5">
                  <c:v>Interest Expense</c:v>
                </c:pt>
                <c:pt idx="6">
                  <c:v>Total Other income/ expenses net</c:v>
                </c:pt>
                <c:pt idx="7">
                  <c:v>Income tax expense</c:v>
                </c:pt>
                <c:pt idx="8">
                  <c:v>Profit  </c:v>
                </c:pt>
              </c:strCache>
            </c:strRef>
          </c:cat>
          <c:val>
            <c:numRef>
              <c:f>Sheet1!$B$2:$B$10</c:f>
              <c:numCache>
                <c:formatCode>#,##0</c:formatCode>
                <c:ptCount val="9"/>
                <c:pt idx="0">
                  <c:v>4307000</c:v>
                </c:pt>
                <c:pt idx="1">
                  <c:v>3742000</c:v>
                </c:pt>
                <c:pt idx="2">
                  <c:v>583000</c:v>
                </c:pt>
                <c:pt idx="3">
                  <c:v>702000</c:v>
                </c:pt>
                <c:pt idx="4">
                  <c:v>-119000</c:v>
                </c:pt>
                <c:pt idx="5">
                  <c:v>429000</c:v>
                </c:pt>
                <c:pt idx="6">
                  <c:v>-376000</c:v>
                </c:pt>
                <c:pt idx="7">
                  <c:v>-924000</c:v>
                </c:pt>
                <c:pt idx="8">
                  <c:v>-715000</c:v>
                </c:pt>
              </c:numCache>
            </c:numRef>
          </c:val>
          <c:extLst>
            <c:ext xmlns:c16="http://schemas.microsoft.com/office/drawing/2014/chart" uri="{C3380CC4-5D6E-409C-BE32-E72D297353CC}">
              <c16:uniqueId val="{00000000-9186-47C6-8603-DFBBA89C9403}"/>
            </c:ext>
          </c:extLst>
        </c:ser>
        <c:ser>
          <c:idx val="1"/>
          <c:order val="1"/>
          <c:tx>
            <c:strRef>
              <c:f>Sheet1!$C$1</c:f>
              <c:strCache>
                <c:ptCount val="1"/>
                <c:pt idx="0">
                  <c:v>2019</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Sales</c:v>
                </c:pt>
                <c:pt idx="1">
                  <c:v>Cost of goods sold</c:v>
                </c:pt>
                <c:pt idx="2">
                  <c:v>Gross profit</c:v>
                </c:pt>
                <c:pt idx="3">
                  <c:v>Operating Expenses</c:v>
                </c:pt>
                <c:pt idx="4">
                  <c:v>Operating Income</c:v>
                </c:pt>
                <c:pt idx="5">
                  <c:v>Interest Expense</c:v>
                </c:pt>
                <c:pt idx="6">
                  <c:v>Total Other income/ expenses net</c:v>
                </c:pt>
                <c:pt idx="7">
                  <c:v>Income tax expense</c:v>
                </c:pt>
                <c:pt idx="8">
                  <c:v>Profit  </c:v>
                </c:pt>
              </c:strCache>
            </c:strRef>
          </c:cat>
          <c:val>
            <c:numRef>
              <c:f>Sheet1!$C$2:$C$10</c:f>
              <c:numCache>
                <c:formatCode>#,##0</c:formatCode>
                <c:ptCount val="9"/>
                <c:pt idx="0">
                  <c:v>9452000</c:v>
                </c:pt>
                <c:pt idx="1">
                  <c:v>7017000</c:v>
                </c:pt>
                <c:pt idx="2">
                  <c:v>2435000</c:v>
                </c:pt>
                <c:pt idx="3">
                  <c:v>859000</c:v>
                </c:pt>
                <c:pt idx="4">
                  <c:v>1576000</c:v>
                </c:pt>
                <c:pt idx="5">
                  <c:v>414000</c:v>
                </c:pt>
                <c:pt idx="6">
                  <c:v>82000</c:v>
                </c:pt>
                <c:pt idx="7">
                  <c:v>1244000</c:v>
                </c:pt>
                <c:pt idx="8">
                  <c:v>881000</c:v>
                </c:pt>
              </c:numCache>
            </c:numRef>
          </c:val>
          <c:extLst>
            <c:ext xmlns:c16="http://schemas.microsoft.com/office/drawing/2014/chart" uri="{C3380CC4-5D6E-409C-BE32-E72D297353CC}">
              <c16:uniqueId val="{00000001-9186-47C6-8603-DFBBA89C9403}"/>
            </c:ext>
          </c:extLst>
        </c:ser>
        <c:dLbls>
          <c:dLblPos val="outEnd"/>
          <c:showLegendKey val="0"/>
          <c:showVal val="1"/>
          <c:showCatName val="0"/>
          <c:showSerName val="0"/>
          <c:showPercent val="0"/>
          <c:showBubbleSize val="0"/>
        </c:dLbls>
        <c:gapWidth val="219"/>
        <c:overlap val="-27"/>
        <c:axId val="549437712"/>
        <c:axId val="549432792"/>
      </c:barChart>
      <c:catAx>
        <c:axId val="549437712"/>
        <c:scaling>
          <c:orientation val="minMax"/>
        </c:scaling>
        <c:delete val="1"/>
        <c:axPos val="b"/>
        <c:numFmt formatCode="General" sourceLinked="1"/>
        <c:majorTickMark val="out"/>
        <c:minorTickMark val="none"/>
        <c:tickLblPos val="nextTo"/>
        <c:crossAx val="549432792"/>
        <c:crosses val="autoZero"/>
        <c:auto val="1"/>
        <c:lblAlgn val="ctr"/>
        <c:lblOffset val="100"/>
        <c:noMultiLvlLbl val="0"/>
      </c:catAx>
      <c:valAx>
        <c:axId val="549432792"/>
        <c:scaling>
          <c:orientation val="minMax"/>
        </c:scaling>
        <c:delete val="1"/>
        <c:axPos val="l"/>
        <c:numFmt formatCode="#,##0" sourceLinked="1"/>
        <c:majorTickMark val="out"/>
        <c:minorTickMark val="none"/>
        <c:tickLblPos val="nextTo"/>
        <c:crossAx val="5494377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layout>
        <c:manualLayout>
          <c:xMode val="edge"/>
          <c:yMode val="edge"/>
          <c:x val="0.85618918695335"/>
          <c:y val="0.46094935394738945"/>
          <c:w val="6.5491806360881102E-2"/>
          <c:h val="4.420671553986785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Arial Narrow" panose="020B0606020202030204" pitchFamily="34" charset="0"/>
                <a:ea typeface="+mn-ea"/>
                <a:cs typeface="+mn-cs"/>
              </a:defRPr>
            </a:pPr>
            <a:r>
              <a:rPr lang="en-US" sz="1200" b="1" i="0" baseline="0">
                <a:effectLst/>
                <a:latin typeface="Arial Narrow" panose="020B0606020202030204" pitchFamily="34" charset="0"/>
              </a:rPr>
              <a:t>Horizontal analysis of Income Statement for 2019 and 2020</a:t>
            </a:r>
            <a:endParaRPr lang="en-US" sz="1200" b="1">
              <a:latin typeface="Arial Narrow" panose="020B0606020202030204" pitchFamily="34"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Arial Narrow" panose="020B0606020202030204" pitchFamily="34" charset="0"/>
              <a:ea typeface="+mn-ea"/>
              <a:cs typeface="+mn-cs"/>
            </a:defRPr>
          </a:pPr>
          <a:endParaRPr lang="en-US"/>
        </a:p>
      </c:txPr>
    </c:title>
    <c:autoTitleDeleted val="0"/>
    <c:plotArea>
      <c:layout/>
      <c:pieChart>
        <c:varyColors val="1"/>
        <c:ser>
          <c:idx val="0"/>
          <c:order val="0"/>
          <c:tx>
            <c:strRef>
              <c:f>Sheet1!$B$1</c:f>
              <c:strCache>
                <c:ptCount val="1"/>
                <c:pt idx="0">
                  <c:v>INCOME Difference 2020-2019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3E9-492B-8208-0DF75504B9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E9-492B-8208-0DF75504B9B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3E9-492B-8208-0DF75504B9B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3E9-492B-8208-0DF75504B9B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3E9-492B-8208-0DF75504B9B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83E9-492B-8208-0DF75504B9B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83E9-492B-8208-0DF75504B9B5}"/>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83E9-492B-8208-0DF75504B9B5}"/>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83E9-492B-8208-0DF75504B9B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Sales</c:v>
                </c:pt>
                <c:pt idx="1">
                  <c:v>Cost of goods sold</c:v>
                </c:pt>
                <c:pt idx="2">
                  <c:v>Gross profit</c:v>
                </c:pt>
                <c:pt idx="3">
                  <c:v>Operating Expenses</c:v>
                </c:pt>
                <c:pt idx="4">
                  <c:v>Operating Income</c:v>
                </c:pt>
                <c:pt idx="5">
                  <c:v>Interest Expense</c:v>
                </c:pt>
                <c:pt idx="6">
                  <c:v>Total Other income/ expenses net</c:v>
                </c:pt>
                <c:pt idx="7">
                  <c:v>Income tax expense</c:v>
                </c:pt>
                <c:pt idx="8">
                  <c:v>Profit  </c:v>
                </c:pt>
              </c:strCache>
            </c:strRef>
          </c:cat>
          <c:val>
            <c:numRef>
              <c:f>Sheet1!$B$2:$B$10</c:f>
              <c:numCache>
                <c:formatCode>#,##0</c:formatCode>
                <c:ptCount val="9"/>
                <c:pt idx="0">
                  <c:v>-5145000</c:v>
                </c:pt>
                <c:pt idx="1">
                  <c:v>-3275000</c:v>
                </c:pt>
                <c:pt idx="2">
                  <c:v>-1852000</c:v>
                </c:pt>
                <c:pt idx="3">
                  <c:v>-157000</c:v>
                </c:pt>
                <c:pt idx="4">
                  <c:v>-1695000</c:v>
                </c:pt>
                <c:pt idx="5">
                  <c:v>15000</c:v>
                </c:pt>
                <c:pt idx="6">
                  <c:v>-458000</c:v>
                </c:pt>
                <c:pt idx="7">
                  <c:v>-2168000</c:v>
                </c:pt>
                <c:pt idx="8">
                  <c:v>-1596000</c:v>
                </c:pt>
              </c:numCache>
            </c:numRef>
          </c:val>
          <c:extLst>
            <c:ext xmlns:c16="http://schemas.microsoft.com/office/drawing/2014/chart" uri="{C3380CC4-5D6E-409C-BE32-E72D297353CC}">
              <c16:uniqueId val="{00000012-83E9-492B-8208-0DF75504B9B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1.3737658792650929E-2"/>
          <c:y val="0.73587798967584295"/>
          <c:w val="0.98532451443569558"/>
          <c:h val="0.240523054822750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Narrow" panose="020B0606020202030204" pitchFamily="34" charset="0"/>
                <a:ea typeface="+mn-ea"/>
                <a:cs typeface="+mn-cs"/>
              </a:defRPr>
            </a:pPr>
            <a:r>
              <a:rPr lang="en-US" sz="1200" b="1">
                <a:latin typeface="Arial Narrow" panose="020B0606020202030204" pitchFamily="34" charset="0"/>
              </a:rPr>
              <a:t>Horizontal</a:t>
            </a:r>
            <a:r>
              <a:rPr lang="en-US" sz="1200" b="1" baseline="0">
                <a:latin typeface="Arial Narrow" panose="020B0606020202030204" pitchFamily="34" charset="0"/>
              </a:rPr>
              <a:t> analysis of Income Statement for 2019 and 2020 in percentage</a:t>
            </a:r>
            <a:endParaRPr lang="en-US" sz="1200" b="1">
              <a:latin typeface="Arial Narrow" panose="020B0606020202030204" pitchFamily="34" charset="0"/>
            </a:endParaRPr>
          </a:p>
        </c:rich>
      </c:tx>
      <c:layout>
        <c:manualLayout>
          <c:xMode val="edge"/>
          <c:yMode val="edge"/>
          <c:x val="0.13997885335423119"/>
          <c:y val="2.7729201410145447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Arial Narrow" panose="020B0606020202030204" pitchFamily="34" charset="0"/>
              <a:ea typeface="+mn-ea"/>
              <a:cs typeface="+mn-cs"/>
            </a:defRPr>
          </a:pPr>
          <a:endParaRPr lang="en-US"/>
        </a:p>
      </c:txPr>
    </c:title>
    <c:autoTitleDeleted val="0"/>
    <c:plotArea>
      <c:layout/>
      <c:pieChart>
        <c:varyColors val="1"/>
        <c:ser>
          <c:idx val="0"/>
          <c:order val="0"/>
          <c:tx>
            <c:strRef>
              <c:f>Sheet1!$B$1</c:f>
              <c:strCache>
                <c:ptCount val="1"/>
                <c:pt idx="0">
                  <c:v>RATIO FOR INCOME STATEMENT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63B-41C9-B43B-736BBA1E89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63B-41C9-B43B-736BBA1E899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63B-41C9-B43B-736BBA1E899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63B-41C9-B43B-736BBA1E899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63B-41C9-B43B-736BBA1E899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63B-41C9-B43B-736BBA1E899C}"/>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63B-41C9-B43B-736BBA1E899C}"/>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63B-41C9-B43B-736BBA1E899C}"/>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363B-41C9-B43B-736BBA1E899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Sales</c:v>
                </c:pt>
                <c:pt idx="1">
                  <c:v>Cost of goods sold</c:v>
                </c:pt>
                <c:pt idx="2">
                  <c:v>Gross profit</c:v>
                </c:pt>
                <c:pt idx="3">
                  <c:v>Operating Expenses</c:v>
                </c:pt>
                <c:pt idx="4">
                  <c:v>Operating Income</c:v>
                </c:pt>
                <c:pt idx="5">
                  <c:v>Interest Expense</c:v>
                </c:pt>
                <c:pt idx="6">
                  <c:v>Total Other income/ expenses net</c:v>
                </c:pt>
                <c:pt idx="7">
                  <c:v>Income tax expense</c:v>
                </c:pt>
                <c:pt idx="8">
                  <c:v>Profit  </c:v>
                </c:pt>
              </c:strCache>
            </c:strRef>
          </c:cat>
          <c:val>
            <c:numRef>
              <c:f>Sheet1!$B$2:$B$10</c:f>
              <c:numCache>
                <c:formatCode>0</c:formatCode>
                <c:ptCount val="9"/>
                <c:pt idx="0">
                  <c:v>-54.432924248836223</c:v>
                </c:pt>
                <c:pt idx="1">
                  <c:v>-46.672367108450906</c:v>
                </c:pt>
                <c:pt idx="2">
                  <c:v>-76.05749486652978</c:v>
                </c:pt>
                <c:pt idx="3">
                  <c:v>-18.277066356228172</c:v>
                </c:pt>
                <c:pt idx="4">
                  <c:v>-107.55076142131981</c:v>
                </c:pt>
                <c:pt idx="5">
                  <c:v>3.6231884057971016</c:v>
                </c:pt>
                <c:pt idx="6">
                  <c:v>-558.53658536585363</c:v>
                </c:pt>
                <c:pt idx="7">
                  <c:v>-174.2765273311897</c:v>
                </c:pt>
                <c:pt idx="8">
                  <c:v>-181.15777525539161</c:v>
                </c:pt>
              </c:numCache>
            </c:numRef>
          </c:val>
          <c:extLst>
            <c:ext xmlns:c16="http://schemas.microsoft.com/office/drawing/2014/chart" uri="{C3380CC4-5D6E-409C-BE32-E72D297353CC}">
              <c16:uniqueId val="{00000012-363B-41C9-B43B-736BBA1E899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1.1121575489338337E-2"/>
          <c:y val="0.72285378536798184"/>
          <c:w val="0.98768359837373265"/>
          <c:h val="0.2771462146320181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Balance Sheet in 2019 and 2020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90"/>
      <c:hPercent val="100"/>
      <c:rotY val="90"/>
      <c:depthPercent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154936515288529"/>
          <c:y val="7.6433989627863533E-2"/>
          <c:w val="0.87668234918373111"/>
          <c:h val="0.8395592146423293"/>
        </c:manualLayout>
      </c:layout>
      <c:bar3DChart>
        <c:barDir val="col"/>
        <c:grouping val="clustered"/>
        <c:varyColors val="0"/>
        <c:ser>
          <c:idx val="0"/>
          <c:order val="0"/>
          <c:tx>
            <c:strRef>
              <c:f>Sheet1!$B$1</c:f>
              <c:strCache>
                <c:ptCount val="1"/>
                <c:pt idx="0">
                  <c:v>2020</c:v>
                </c:pt>
              </c:strCache>
            </c:strRef>
          </c:tx>
          <c:spPr>
            <a:solidFill>
              <a:schemeClr val="accent1"/>
            </a:solidFill>
            <a:ln>
              <a:noFill/>
            </a:ln>
            <a:effectLst/>
            <a:sp3d/>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Current assets</c:v>
                </c:pt>
                <c:pt idx="1">
                  <c:v>Not current Asset</c:v>
                </c:pt>
                <c:pt idx="2">
                  <c:v>Total assets </c:v>
                </c:pt>
                <c:pt idx="3">
                  <c:v>Current Liabilities </c:v>
                </c:pt>
                <c:pt idx="4">
                  <c:v>Not Current Liabilities</c:v>
                </c:pt>
                <c:pt idx="5">
                  <c:v>Total Liabilities</c:v>
                </c:pt>
                <c:pt idx="6">
                  <c:v>Common stock </c:v>
                </c:pt>
                <c:pt idx="7">
                  <c:v>Retained Earnings</c:v>
                </c:pt>
                <c:pt idx="8">
                  <c:v>Total stockholders equity</c:v>
                </c:pt>
                <c:pt idx="9">
                  <c:v>Total liabilities &amp; Stockholders </c:v>
                </c:pt>
              </c:strCache>
            </c:strRef>
          </c:cat>
          <c:val>
            <c:numRef>
              <c:f>Sheet1!$B$2:$B$11</c:f>
              <c:numCache>
                <c:formatCode>#,##0</c:formatCode>
                <c:ptCount val="10"/>
                <c:pt idx="0">
                  <c:v>4202000</c:v>
                </c:pt>
                <c:pt idx="1">
                  <c:v>15810000</c:v>
                </c:pt>
                <c:pt idx="2">
                  <c:v>16755000</c:v>
                </c:pt>
                <c:pt idx="3">
                  <c:v>2431000</c:v>
                </c:pt>
                <c:pt idx="4">
                  <c:v>15810000</c:v>
                </c:pt>
                <c:pt idx="5">
                  <c:v>18241000</c:v>
                </c:pt>
                <c:pt idx="6">
                  <c:v>3000</c:v>
                </c:pt>
                <c:pt idx="7">
                  <c:v>-6732000</c:v>
                </c:pt>
                <c:pt idx="8">
                  <c:v>-1490000</c:v>
                </c:pt>
                <c:pt idx="9">
                  <c:v>16755000</c:v>
                </c:pt>
              </c:numCache>
            </c:numRef>
          </c:val>
          <c:extLst>
            <c:ext xmlns:c16="http://schemas.microsoft.com/office/drawing/2014/chart" uri="{C3380CC4-5D6E-409C-BE32-E72D297353CC}">
              <c16:uniqueId val="{00000000-8A94-44C7-BAC9-28C5AD12DB04}"/>
            </c:ext>
          </c:extLst>
        </c:ser>
        <c:ser>
          <c:idx val="1"/>
          <c:order val="1"/>
          <c:tx>
            <c:strRef>
              <c:f>Sheet1!$C$1</c:f>
              <c:strCache>
                <c:ptCount val="1"/>
                <c:pt idx="0">
                  <c:v>2019</c:v>
                </c:pt>
              </c:strCache>
            </c:strRef>
          </c:tx>
          <c:spPr>
            <a:solidFill>
              <a:schemeClr val="accent2"/>
            </a:solidFill>
            <a:ln>
              <a:noFill/>
            </a:ln>
            <a:effectLst/>
            <a:sp3d/>
          </c:spPr>
          <c:invertIfNegative val="0"/>
          <c:dLbls>
            <c:spPr>
              <a:noFill/>
              <a:ln>
                <a:noFill/>
              </a:ln>
              <a:effectLst/>
            </c:spPr>
            <c:txPr>
              <a:bodyPr rot="5400000" spcFirstLastPara="1" vertOverflow="ellipsis" wrap="square" lIns="38100" tIns="19050" rIns="38100" bIns="19050" anchor="ctr"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Current assets</c:v>
                </c:pt>
                <c:pt idx="1">
                  <c:v>Not current Asset</c:v>
                </c:pt>
                <c:pt idx="2">
                  <c:v>Total assets </c:v>
                </c:pt>
                <c:pt idx="3">
                  <c:v>Current Liabilities </c:v>
                </c:pt>
                <c:pt idx="4">
                  <c:v>Not Current Liabilities</c:v>
                </c:pt>
                <c:pt idx="5">
                  <c:v>Total Liabilities</c:v>
                </c:pt>
                <c:pt idx="6">
                  <c:v>Common stock </c:v>
                </c:pt>
                <c:pt idx="7">
                  <c:v>Retained Earnings</c:v>
                </c:pt>
                <c:pt idx="8">
                  <c:v>Total stockholders equity</c:v>
                </c:pt>
                <c:pt idx="9">
                  <c:v>Total liabilities &amp; Stockholders </c:v>
                </c:pt>
              </c:strCache>
            </c:strRef>
          </c:cat>
          <c:val>
            <c:numRef>
              <c:f>Sheet1!$C$2:$C$11</c:f>
              <c:numCache>
                <c:formatCode>#,##0</c:formatCode>
                <c:ptCount val="10"/>
                <c:pt idx="0">
                  <c:v>2093000</c:v>
                </c:pt>
                <c:pt idx="1">
                  <c:v>12558000</c:v>
                </c:pt>
                <c:pt idx="2">
                  <c:v>14957000</c:v>
                </c:pt>
                <c:pt idx="3">
                  <c:v>2871000</c:v>
                </c:pt>
                <c:pt idx="4">
                  <c:v>12558000</c:v>
                </c:pt>
                <c:pt idx="5">
                  <c:v>15429000</c:v>
                </c:pt>
                <c:pt idx="6">
                  <c:v>3000</c:v>
                </c:pt>
                <c:pt idx="7">
                  <c:v>-5965000</c:v>
                </c:pt>
                <c:pt idx="8">
                  <c:v>-482000</c:v>
                </c:pt>
                <c:pt idx="9">
                  <c:v>14957000</c:v>
                </c:pt>
              </c:numCache>
            </c:numRef>
          </c:val>
          <c:extLst>
            <c:ext xmlns:c16="http://schemas.microsoft.com/office/drawing/2014/chart" uri="{C3380CC4-5D6E-409C-BE32-E72D297353CC}">
              <c16:uniqueId val="{00000001-8A94-44C7-BAC9-28C5AD12DB04}"/>
            </c:ext>
          </c:extLst>
        </c:ser>
        <c:dLbls>
          <c:showLegendKey val="0"/>
          <c:showVal val="1"/>
          <c:showCatName val="0"/>
          <c:showSerName val="0"/>
          <c:showPercent val="0"/>
          <c:showBubbleSize val="0"/>
        </c:dLbls>
        <c:gapWidth val="150"/>
        <c:shape val="box"/>
        <c:axId val="650339392"/>
        <c:axId val="650342344"/>
        <c:axId val="0"/>
      </c:bar3DChart>
      <c:catAx>
        <c:axId val="650339392"/>
        <c:scaling>
          <c:orientation val="minMax"/>
        </c:scaling>
        <c:delete val="1"/>
        <c:axPos val="b"/>
        <c:numFmt formatCode="General" sourceLinked="1"/>
        <c:majorTickMark val="none"/>
        <c:minorTickMark val="none"/>
        <c:tickLblPos val="nextTo"/>
        <c:crossAx val="650342344"/>
        <c:crosses val="autoZero"/>
        <c:auto val="1"/>
        <c:lblAlgn val="ctr"/>
        <c:lblOffset val="100"/>
        <c:noMultiLvlLbl val="0"/>
      </c:catAx>
      <c:valAx>
        <c:axId val="650342344"/>
        <c:scaling>
          <c:orientation val="minMax"/>
        </c:scaling>
        <c:delete val="1"/>
        <c:axPos val="l"/>
        <c:numFmt formatCode="#,##0" sourceLinked="1"/>
        <c:majorTickMark val="none"/>
        <c:minorTickMark val="none"/>
        <c:tickLblPos val="nextTo"/>
        <c:crossAx val="65033939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800" b="1" i="0" u="none" strike="noStrike" kern="1200" baseline="0">
                <a:solidFill>
                  <a:schemeClr val="tx1">
                    <a:lumMod val="65000"/>
                    <a:lumOff val="35000"/>
                  </a:schemeClr>
                </a:solidFill>
                <a:latin typeface="Arial Narrow" panose="020B0606020202030204" pitchFamily="34" charset="0"/>
                <a:ea typeface="+mn-ea"/>
                <a:cs typeface="Arial" panose="020B0604020202020204" pitchFamily="34" charset="0"/>
              </a:defRPr>
            </a:pPr>
            <a:endParaRPr lang="en-US"/>
          </a:p>
        </c:txPr>
      </c:dTable>
      <c:spPr>
        <a:noFill/>
        <a:ln>
          <a:noFill/>
        </a:ln>
        <a:effectLst/>
      </c:spPr>
    </c:plotArea>
    <c:legend>
      <c:legendPos val="b"/>
      <c:layout>
        <c:manualLayout>
          <c:xMode val="edge"/>
          <c:yMode val="edge"/>
          <c:x val="0.46516426825957091"/>
          <c:y val="0.60703332311381297"/>
          <c:w val="0.12484387727396144"/>
          <c:h val="2.069697128314801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Horizontal Analysis Balance Sheet in 2019 and 2020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Horizontal analysis Balance Sheet in 2019 and 2020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9ED-468D-889A-FD7A35389F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ED-468D-889A-FD7A35389F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9ED-468D-889A-FD7A35389F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9ED-468D-889A-FD7A35389FF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9ED-468D-889A-FD7A35389FF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9ED-468D-889A-FD7A35389FF2}"/>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79ED-468D-889A-FD7A35389FF2}"/>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79ED-468D-889A-FD7A35389FF2}"/>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79ED-468D-889A-FD7A35389FF2}"/>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79ED-468D-889A-FD7A35389F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Sheet1!$A$2:$A$11</c:f>
              <c:strCache>
                <c:ptCount val="10"/>
                <c:pt idx="0">
                  <c:v>Current assets</c:v>
                </c:pt>
                <c:pt idx="1">
                  <c:v>Not current Asset</c:v>
                </c:pt>
                <c:pt idx="2">
                  <c:v>Total assets </c:v>
                </c:pt>
                <c:pt idx="3">
                  <c:v>Current Liabilities </c:v>
                </c:pt>
                <c:pt idx="4">
                  <c:v>Not Current Liabilities</c:v>
                </c:pt>
                <c:pt idx="5">
                  <c:v>Total Liabilities</c:v>
                </c:pt>
                <c:pt idx="6">
                  <c:v>Common stock </c:v>
                </c:pt>
                <c:pt idx="7">
                  <c:v>Retained Earnings</c:v>
                </c:pt>
                <c:pt idx="8">
                  <c:v>Total stockholders equity</c:v>
                </c:pt>
                <c:pt idx="9">
                  <c:v>Total liabilities &amp; Stockholders </c:v>
                </c:pt>
              </c:strCache>
            </c:strRef>
          </c:cat>
          <c:val>
            <c:numRef>
              <c:f>Sheet1!$B$2:$B$11</c:f>
              <c:numCache>
                <c:formatCode>#,##0</c:formatCode>
                <c:ptCount val="10"/>
                <c:pt idx="0">
                  <c:v>2109000</c:v>
                </c:pt>
                <c:pt idx="1">
                  <c:v>3252000</c:v>
                </c:pt>
                <c:pt idx="2">
                  <c:v>1798000</c:v>
                </c:pt>
                <c:pt idx="3">
                  <c:v>-440000</c:v>
                </c:pt>
                <c:pt idx="4">
                  <c:v>3252000</c:v>
                </c:pt>
                <c:pt idx="5">
                  <c:v>2812000</c:v>
                </c:pt>
                <c:pt idx="6">
                  <c:v>0</c:v>
                </c:pt>
                <c:pt idx="7">
                  <c:v>-767000</c:v>
                </c:pt>
                <c:pt idx="8">
                  <c:v>-1008000</c:v>
                </c:pt>
                <c:pt idx="9">
                  <c:v>1798000</c:v>
                </c:pt>
              </c:numCache>
            </c:numRef>
          </c:val>
          <c:extLst>
            <c:ext xmlns:c16="http://schemas.microsoft.com/office/drawing/2014/chart" uri="{C3380CC4-5D6E-409C-BE32-E72D297353CC}">
              <c16:uniqueId val="{00000014-79ED-468D-889A-FD7A35389FF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Horizontal Analysis Balance Sheet in percentage for the years 2019-2020</a:t>
            </a:r>
          </a:p>
        </c:rich>
      </c:tx>
      <c:layout>
        <c:manualLayout>
          <c:xMode val="edge"/>
          <c:yMode val="edge"/>
          <c:x val="0.19057200128464952"/>
          <c:y val="5.246913580246913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Horizontal Analysis Balance Sheet in percentage for the year 2019-2020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B05-48B6-96D4-3C85E1B6578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B05-48B6-96D4-3C85E1B6578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B05-48B6-96D4-3C85E1B6578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B05-48B6-96D4-3C85E1B6578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B05-48B6-96D4-3C85E1B6578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B05-48B6-96D4-3C85E1B65786}"/>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B05-48B6-96D4-3C85E1B65786}"/>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EB05-48B6-96D4-3C85E1B65786}"/>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EB05-48B6-96D4-3C85E1B65786}"/>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EB05-48B6-96D4-3C85E1B6578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Sheet1!$A$2:$A$11</c:f>
              <c:strCache>
                <c:ptCount val="10"/>
                <c:pt idx="0">
                  <c:v>Current assets</c:v>
                </c:pt>
                <c:pt idx="1">
                  <c:v>Not current Asset</c:v>
                </c:pt>
                <c:pt idx="2">
                  <c:v>Total assets </c:v>
                </c:pt>
                <c:pt idx="3">
                  <c:v>Current Liabilities </c:v>
                </c:pt>
                <c:pt idx="4">
                  <c:v>Not Current Liabilities</c:v>
                </c:pt>
                <c:pt idx="5">
                  <c:v>Total Liabilities</c:v>
                </c:pt>
                <c:pt idx="6">
                  <c:v>Common stock </c:v>
                </c:pt>
                <c:pt idx="7">
                  <c:v>Retained Earnings</c:v>
                </c:pt>
                <c:pt idx="8">
                  <c:v>Total stockholders equity</c:v>
                </c:pt>
                <c:pt idx="9">
                  <c:v>Total liabilities &amp; Stockholders </c:v>
                </c:pt>
              </c:strCache>
            </c:strRef>
          </c:cat>
          <c:val>
            <c:numRef>
              <c:f>Sheet1!$B$2:$B$11</c:f>
              <c:numCache>
                <c:formatCode>#,##0</c:formatCode>
                <c:ptCount val="10"/>
                <c:pt idx="0">
                  <c:v>100.76445293836598</c:v>
                </c:pt>
                <c:pt idx="1">
                  <c:v>25.895843287147635</c:v>
                </c:pt>
                <c:pt idx="2">
                  <c:v>12.021127231396671</c:v>
                </c:pt>
                <c:pt idx="3">
                  <c:v>-15.325670498084291</c:v>
                </c:pt>
                <c:pt idx="4">
                  <c:v>25.895843287147635</c:v>
                </c:pt>
                <c:pt idx="5">
                  <c:v>18.225419664268586</c:v>
                </c:pt>
                <c:pt idx="6">
                  <c:v>0</c:v>
                </c:pt>
                <c:pt idx="7">
                  <c:v>12.858340318524727</c:v>
                </c:pt>
                <c:pt idx="8">
                  <c:v>209.12863070539422</c:v>
                </c:pt>
                <c:pt idx="9">
                  <c:v>12.021127231396671</c:v>
                </c:pt>
              </c:numCache>
            </c:numRef>
          </c:val>
          <c:extLst>
            <c:ext xmlns:c16="http://schemas.microsoft.com/office/drawing/2014/chart" uri="{C3380CC4-5D6E-409C-BE32-E72D297353CC}">
              <c16:uniqueId val="{00000014-EB05-48B6-96D4-3C85E1B6578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2237527271116427"/>
          <c:y val="0.7688835423349859"/>
          <c:w val="0.76650121266487259"/>
          <c:h val="0.197165840381063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cdr:x>
      <cdr:y>0</cdr:y>
    </cdr:from>
    <cdr:to>
      <cdr:x>0</cdr:x>
      <cdr:y>0</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flipV="1">
          <a:off x="-914400" y="-914400"/>
          <a:ext cx="0" cy="0"/>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59F85-E75D-4E06-B247-594A76E5A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2347</Words>
  <Characters>13381</Characters>
  <Application>Microsoft Office Word</Application>
  <DocSecurity>0</DocSecurity>
  <Lines>111</Lines>
  <Paragraphs>31</Paragraphs>
  <ScaleCrop>false</ScaleCrop>
  <Company/>
  <LinksUpToDate>false</LinksUpToDate>
  <CharactersWithSpaces>15697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2022-05-27T21:14:00Z</dcterms:created>
  <dcterms:modified xsi:type="dcterms:W3CDTF">2022-06-01T19:39:00Z</dcterms:modified>
</cp:coreProperties>
</file>