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1E5B3" w14:textId="77777777" w:rsidR="001C29E6" w:rsidRDefault="001C29E6" w:rsidP="001C29E6">
      <w:pPr>
        <w:jc w:val="center"/>
        <w:rPr>
          <w:u w:val="single"/>
        </w:rPr>
      </w:pPr>
      <w:r w:rsidRPr="001C29E6">
        <w:rPr>
          <w:u w:val="single"/>
        </w:rPr>
        <w:t>The Cult of the Dioscuri in Sparta - Wiki Reply</w:t>
      </w:r>
    </w:p>
    <w:p w14:paraId="3975BFF9" w14:textId="77777777" w:rsidR="001C29E6" w:rsidRDefault="001C29E6" w:rsidP="001C29E6"/>
    <w:p w14:paraId="755272EB" w14:textId="72D417BB" w:rsidR="007B5FED" w:rsidRDefault="007B5FED" w:rsidP="001C29E6">
      <w:r>
        <w:t>Th</w:t>
      </w:r>
      <w:r w:rsidR="00D10D3A">
        <w:t>is paper will focus</w:t>
      </w:r>
      <w:r w:rsidR="005C531D">
        <w:t xml:space="preserve"> upon the second section of th</w:t>
      </w:r>
      <w:r>
        <w:t>e wiki</w:t>
      </w:r>
      <w:r w:rsidR="005C531D">
        <w:t xml:space="preserve"> </w:t>
      </w:r>
      <w:r w:rsidR="00EC2327">
        <w:t>“</w:t>
      </w:r>
      <w:r w:rsidR="005C531D" w:rsidRPr="005C531D">
        <w:t>How were the children of Leda connected to Sparta?</w:t>
      </w:r>
      <w:r w:rsidR="00EC2327">
        <w:t xml:space="preserve">” </w:t>
      </w:r>
      <w:r w:rsidR="005C531D">
        <w:t>The section is on</w:t>
      </w:r>
      <w:r>
        <w:t xml:space="preserve"> the </w:t>
      </w:r>
      <w:r w:rsidR="0048767E">
        <w:t>Cult of the Dioscuri in Sparta</w:t>
      </w:r>
      <w:r w:rsidR="00C6015C">
        <w:t xml:space="preserve"> and argues that the cult played a significant part in Sparta society, notably, the </w:t>
      </w:r>
      <w:r w:rsidR="00AF54AA">
        <w:t>Agoge, military</w:t>
      </w:r>
      <w:r w:rsidR="008E3CCB">
        <w:t>,</w:t>
      </w:r>
      <w:r w:rsidR="00AF54AA">
        <w:t xml:space="preserve"> and kingship</w:t>
      </w:r>
      <w:r w:rsidR="001C63E9">
        <w:t>. However, improvements can be made in this piece as it is unclear in parts of h</w:t>
      </w:r>
      <w:r w:rsidR="00AF54AA">
        <w:t>ow the cult a</w:t>
      </w:r>
      <w:r w:rsidR="00BC493C">
        <w:t>ctually functioned</w:t>
      </w:r>
      <w:r w:rsidR="008E3CCB">
        <w:t>,</w:t>
      </w:r>
      <w:r w:rsidR="00BC493C">
        <w:t xml:space="preserve"> </w:t>
      </w:r>
      <w:r w:rsidR="008C43EF">
        <w:t xml:space="preserve">as the wiki section is missing the key element of how the cult came to be. This information is not mentioned </w:t>
      </w:r>
      <w:r w:rsidR="00BB29C6">
        <w:t xml:space="preserve">in </w:t>
      </w:r>
      <w:r w:rsidR="008C43EF">
        <w:t xml:space="preserve">other parts of the wiki so cannot be later linked or explained by further reading into the other wiki pieces. </w:t>
      </w:r>
      <w:r w:rsidR="00EC2327">
        <w:t>Therefore</w:t>
      </w:r>
      <w:r w:rsidR="000B639E">
        <w:t>,</w:t>
      </w:r>
      <w:r w:rsidR="00EC2327">
        <w:t xml:space="preserve"> these issues will be considered in this reply</w:t>
      </w:r>
      <w:r w:rsidR="00904E2B">
        <w:t xml:space="preserve"> that will be a negative reflection on the wiki as well as arguing the importance of how the Dioscuri came to be and the lack of specific detail given on how the cult actually functioned</w:t>
      </w:r>
      <w:bookmarkStart w:id="0" w:name="_GoBack"/>
      <w:bookmarkEnd w:id="0"/>
      <w:r w:rsidR="00EC2327">
        <w:t xml:space="preserve">. </w:t>
      </w:r>
    </w:p>
    <w:p w14:paraId="770F9BCD" w14:textId="4D12C711" w:rsidR="00C23D62" w:rsidRDefault="00C23D62" w:rsidP="001C29E6">
      <w:r>
        <w:t>The first part of the wiki gives the reader an overview of who the Dioscuri are</w:t>
      </w:r>
      <w:r w:rsidR="008E3CCB">
        <w:t>,</w:t>
      </w:r>
      <w:r>
        <w:t xml:space="preserve"> by mentioning that the Dioscuri are half-brothers, having the same mother (Leda) but different fathers. Pollux is the son of Zeus and Castor is the son of the Spartan King </w:t>
      </w:r>
      <w:r w:rsidRPr="00C23D62">
        <w:t>Tyndareus</w:t>
      </w:r>
      <w:r w:rsidR="005C2D42">
        <w:t>.</w:t>
      </w:r>
      <w:r w:rsidR="00581643">
        <w:rPr>
          <w:rStyle w:val="FootnoteReference"/>
        </w:rPr>
        <w:footnoteReference w:id="1"/>
      </w:r>
      <w:r w:rsidR="005C2D42">
        <w:t xml:space="preserve"> T</w:t>
      </w:r>
      <w:r w:rsidR="00A11FAA">
        <w:t xml:space="preserve">his </w:t>
      </w:r>
      <w:r w:rsidR="005C2D42">
        <w:t xml:space="preserve">statement is </w:t>
      </w:r>
      <w:r>
        <w:t>debatable</w:t>
      </w:r>
      <w:r w:rsidR="005C531D">
        <w:t>,</w:t>
      </w:r>
      <w:r>
        <w:t xml:space="preserve"> as two other myths put the brothers as full </w:t>
      </w:r>
      <w:r w:rsidR="005C2D42">
        <w:t>siblings</w:t>
      </w:r>
      <w:r>
        <w:t xml:space="preserve">, </w:t>
      </w:r>
      <w:r w:rsidR="00F527B0">
        <w:t>one myth states</w:t>
      </w:r>
      <w:r w:rsidR="005C2D42">
        <w:t xml:space="preserve"> that they were both fathered by Zeus</w:t>
      </w:r>
      <w:r w:rsidR="00581643">
        <w:rPr>
          <w:rStyle w:val="FootnoteReference"/>
        </w:rPr>
        <w:footnoteReference w:id="2"/>
      </w:r>
      <w:r w:rsidR="005C2D42">
        <w:t xml:space="preserve"> while another </w:t>
      </w:r>
      <w:r w:rsidR="00F527B0">
        <w:t>state</w:t>
      </w:r>
      <w:r w:rsidR="005C2D42">
        <w:t xml:space="preserve"> they were both fathered by Tyndareus (the brothers are sometimes referred to as the ‘Tyndarid’</w:t>
      </w:r>
      <w:r w:rsidR="00F527B0">
        <w:t xml:space="preserve"> the</w:t>
      </w:r>
      <w:r w:rsidR="005C2D42">
        <w:t xml:space="preserve"> sons of Tyndareus</w:t>
      </w:r>
      <w:r w:rsidR="001F2F51">
        <w:rPr>
          <w:rStyle w:val="FootnoteReference"/>
        </w:rPr>
        <w:footnoteReference w:id="3"/>
      </w:r>
      <w:r w:rsidR="005C2D42">
        <w:t xml:space="preserve"> opposed to the ‘Dioscuri’ the sons of Z</w:t>
      </w:r>
      <w:r w:rsidR="00F527B0">
        <w:t>eus</w:t>
      </w:r>
      <w:r w:rsidR="00581643">
        <w:rPr>
          <w:rStyle w:val="FootnoteReference"/>
        </w:rPr>
        <w:footnoteReference w:id="4"/>
      </w:r>
      <w:r w:rsidR="00F527B0">
        <w:t>)</w:t>
      </w:r>
      <w:r>
        <w:t>.</w:t>
      </w:r>
      <w:r w:rsidR="00581643">
        <w:rPr>
          <w:rStyle w:val="FootnoteReference"/>
        </w:rPr>
        <w:footnoteReference w:id="5"/>
      </w:r>
      <w:r>
        <w:t xml:space="preserve"> </w:t>
      </w:r>
      <w:r w:rsidR="00F527B0">
        <w:t xml:space="preserve">The first part of the wiki also explains that the brothers had other siblings, notably Helen of Troy, as well as mentioning what the brothers were famed for while they were still alive. </w:t>
      </w:r>
    </w:p>
    <w:p w14:paraId="2CD9002F" w14:textId="77777777" w:rsidR="00F527B0" w:rsidRDefault="00F527B0" w:rsidP="001C29E6">
      <w:r>
        <w:t xml:space="preserve">The third part of the wiki touches upon the cause of the Dioscuri deaths </w:t>
      </w:r>
      <w:r w:rsidR="00DC3114">
        <w:t>without mentioning that</w:t>
      </w:r>
      <w:r w:rsidR="00EC2327">
        <w:t>,</w:t>
      </w:r>
      <w:r w:rsidR="00DC3114">
        <w:t xml:space="preserve"> as a result of the conflict between Lynceus and Idas with the Dioscuri, both sets of siblings die. This is the key element that is missing in the wiki that needed to b</w:t>
      </w:r>
      <w:r w:rsidR="00EC2327">
        <w:t>e mentioned in the second section,</w:t>
      </w:r>
      <w:r w:rsidR="00DC3114">
        <w:t xml:space="preserve"> to make more sense </w:t>
      </w:r>
      <w:r w:rsidR="00EC2327">
        <w:t>of the subject for</w:t>
      </w:r>
      <w:r w:rsidR="00DC3114">
        <w:t xml:space="preserve"> the reader.  </w:t>
      </w:r>
    </w:p>
    <w:p w14:paraId="1BE8D688" w14:textId="508A9D1D" w:rsidR="00036535" w:rsidRDefault="008C43EF" w:rsidP="001C29E6">
      <w:r>
        <w:t>The Cult of the Dioscuri was formed</w:t>
      </w:r>
      <w:r w:rsidR="00DC3114">
        <w:t xml:space="preserve"> </w:t>
      </w:r>
      <w:r w:rsidR="008C442C" w:rsidRPr="008C442C">
        <w:t>by their sister Helen</w:t>
      </w:r>
      <w:r w:rsidR="008C442C">
        <w:t xml:space="preserve">, </w:t>
      </w:r>
      <w:r w:rsidR="00DC3114">
        <w:t>after the deaths of the Dioscuri</w:t>
      </w:r>
      <w:r w:rsidR="009F7D49">
        <w:t>.</w:t>
      </w:r>
      <w:r w:rsidR="00140814">
        <w:rPr>
          <w:rStyle w:val="FootnoteReference"/>
        </w:rPr>
        <w:footnoteReference w:id="6"/>
      </w:r>
      <w:r w:rsidR="00DC3114">
        <w:t xml:space="preserve"> Before th</w:t>
      </w:r>
      <w:r w:rsidR="005C2068">
        <w:t>is the Dioscuri were not de</w:t>
      </w:r>
      <w:r w:rsidR="00EC2327">
        <w:t>i</w:t>
      </w:r>
      <w:r w:rsidR="005C2068">
        <w:t xml:space="preserve">fied as they were still men and not </w:t>
      </w:r>
      <w:r w:rsidR="008C442C">
        <w:t>(</w:t>
      </w:r>
      <w:r w:rsidR="005E0495">
        <w:t>depending on which myth you chose to believe</w:t>
      </w:r>
      <w:r w:rsidR="00940AE4">
        <w:rPr>
          <w:rStyle w:val="FootnoteReference"/>
        </w:rPr>
        <w:footnoteReference w:id="7"/>
      </w:r>
      <w:r w:rsidR="005E0495">
        <w:t xml:space="preserve">) </w:t>
      </w:r>
      <w:r w:rsidR="008C442C">
        <w:t xml:space="preserve">both </w:t>
      </w:r>
      <w:r w:rsidR="005C2068">
        <w:t>immortal beings. This nee</w:t>
      </w:r>
      <w:r w:rsidR="00126BFA">
        <w:t>ded to be explained at the beginning</w:t>
      </w:r>
      <w:r w:rsidR="005C2068">
        <w:t xml:space="preserve"> of the second section</w:t>
      </w:r>
      <w:r w:rsidR="008C442C">
        <w:t>,</w:t>
      </w:r>
      <w:r w:rsidR="005C2068">
        <w:t xml:space="preserve"> because reading through the section </w:t>
      </w:r>
      <w:r w:rsidR="00126BFA">
        <w:t>it implies that the Dioscuri were</w:t>
      </w:r>
      <w:r w:rsidR="00E153E0">
        <w:t xml:space="preserve"> alive while</w:t>
      </w:r>
      <w:r w:rsidR="00126BFA">
        <w:t xml:space="preserve"> Spartan boys were going through</w:t>
      </w:r>
      <w:r w:rsidR="008C442C">
        <w:t xml:space="preserve"> the A</w:t>
      </w:r>
      <w:r w:rsidR="005E0495">
        <w:t>goge and</w:t>
      </w:r>
      <w:r w:rsidR="00126BFA">
        <w:t xml:space="preserve"> while the Spartan military were on campaign. However, this is not the case as it is o</w:t>
      </w:r>
      <w:r w:rsidR="00E153E0">
        <w:t>nly after their deaths that the Dioscuri</w:t>
      </w:r>
      <w:r w:rsidR="005E0495">
        <w:t xml:space="preserve"> beca</w:t>
      </w:r>
      <w:r w:rsidR="00126BFA">
        <w:t xml:space="preserve">me defied and figures to look up to and to seek help from. </w:t>
      </w:r>
      <w:r w:rsidR="00E153E0">
        <w:t>The confusion on whether the Dioscuri are alive or not comes from the first statement made in the section about ho</w:t>
      </w:r>
      <w:r w:rsidR="008C442C">
        <w:t>w the brothers live one day in M</w:t>
      </w:r>
      <w:r w:rsidR="00E153E0">
        <w:t>ount Therapne and the other in Olympus</w:t>
      </w:r>
      <w:r w:rsidR="008C442C">
        <w:t>. Upon the brother’</w:t>
      </w:r>
      <w:r w:rsidR="004615A1">
        <w:t>s deaths</w:t>
      </w:r>
      <w:r w:rsidR="008C442C">
        <w:t>,</w:t>
      </w:r>
      <w:r w:rsidR="004615A1">
        <w:t xml:space="preserve"> a deal was made with Zeus that Pollux </w:t>
      </w:r>
      <w:r w:rsidR="008C442C">
        <w:t xml:space="preserve">(the demi-god) </w:t>
      </w:r>
      <w:r w:rsidR="004615A1">
        <w:t xml:space="preserve">would be able to share his immortality with his brother Castor </w:t>
      </w:r>
      <w:r w:rsidR="008C442C">
        <w:t xml:space="preserve">(who was born entirely mortal) </w:t>
      </w:r>
      <w:r w:rsidR="004615A1">
        <w:t>as long as they altered from one day to the next between the realm of the dead (Hades domain) and Olympus</w:t>
      </w:r>
      <w:r w:rsidR="008C6627">
        <w:t>,</w:t>
      </w:r>
      <w:r w:rsidR="004615A1">
        <w:t xml:space="preserve"> with the gods.</w:t>
      </w:r>
      <w:r w:rsidR="006F5A56">
        <w:rPr>
          <w:rStyle w:val="FootnoteReference"/>
        </w:rPr>
        <w:footnoteReference w:id="8"/>
      </w:r>
      <w:r w:rsidR="004615A1">
        <w:t xml:space="preserve"> This myth contradicts what the wiki is stating</w:t>
      </w:r>
      <w:r w:rsidR="008C6627">
        <w:t>,</w:t>
      </w:r>
      <w:r w:rsidR="004615A1">
        <w:t xml:space="preserve"> but the myth does firmly </w:t>
      </w:r>
      <w:r w:rsidR="004615A1">
        <w:lastRenderedPageBreak/>
        <w:t xml:space="preserve">establish the brothers as passed over immortals rather than immortals that </w:t>
      </w:r>
      <w:r w:rsidR="008C6627">
        <w:t xml:space="preserve">are currently alive and </w:t>
      </w:r>
      <w:r w:rsidR="004615A1">
        <w:t>on earth.</w:t>
      </w:r>
    </w:p>
    <w:p w14:paraId="4E7ACF82" w14:textId="4DFE5A26" w:rsidR="008C6627" w:rsidRDefault="008C6627" w:rsidP="008C6627">
      <w:r>
        <w:t>With this in mind, another aspect which is missing from the wiki is that after their deification they become associated with the two brightest stars in the constellation of Gemini.</w:t>
      </w:r>
      <w:r w:rsidR="008309F3">
        <w:rPr>
          <w:rStyle w:val="FootnoteReference"/>
        </w:rPr>
        <w:footnoteReference w:id="9"/>
      </w:r>
      <w:r>
        <w:t xml:space="preserve"> This is significant as it explains how the Dioscuri were able to follow the Spartan kings into battle (at least in spirit) as they were watching from on high. The stars are important because the absence of the stars was seen as linked to the battles lost by Sparta,</w:t>
      </w:r>
      <w:r w:rsidR="00455D30">
        <w:rPr>
          <w:rStyle w:val="FootnoteReference"/>
        </w:rPr>
        <w:footnoteReference w:id="10"/>
      </w:r>
      <w:r>
        <w:t xml:space="preserve"> and at another time lights were seen in a storm, which was interpreted as Zeus sending the brothers as a sign that the troupes would be safe.</w:t>
      </w:r>
      <w:r w:rsidR="00EE3404">
        <w:rPr>
          <w:rStyle w:val="FootnoteReference"/>
        </w:rPr>
        <w:footnoteReference w:id="11"/>
      </w:r>
    </w:p>
    <w:p w14:paraId="00325D3E" w14:textId="403A3728" w:rsidR="003536DF" w:rsidRDefault="003536DF" w:rsidP="001C29E6">
      <w:r>
        <w:t xml:space="preserve">Having established that the </w:t>
      </w:r>
      <w:r w:rsidR="00C51DD7">
        <w:t>c</w:t>
      </w:r>
      <w:r>
        <w:t>ult was formed after their deification</w:t>
      </w:r>
      <w:r w:rsidR="008C6627">
        <w:t>,</w:t>
      </w:r>
      <w:r>
        <w:t xml:space="preserve"> the wiki can now be analysed </w:t>
      </w:r>
      <w:r w:rsidR="008C6627">
        <w:t xml:space="preserve">more clearly, </w:t>
      </w:r>
      <w:r>
        <w:t xml:space="preserve">to see how much the Dioscuri actually impacted </w:t>
      </w:r>
      <w:r w:rsidR="008C6627">
        <w:t xml:space="preserve">upon </w:t>
      </w:r>
      <w:r w:rsidR="00EB5B92">
        <w:t>Sparta’s society</w:t>
      </w:r>
      <w:r w:rsidR="000B639E">
        <w:t>. Insofar as the first part of the wiki, it would be fair to</w:t>
      </w:r>
      <w:r w:rsidR="00EB5B92">
        <w:t xml:space="preserve"> agree with the statement that the boys within the Agoge possibly looked up to the Dioscuri as role models</w:t>
      </w:r>
      <w:r w:rsidR="000B639E">
        <w:t xml:space="preserve">. However, this is not linked to previous information given in the first section of the wiki, which would make sense of this; </w:t>
      </w:r>
      <w:r w:rsidR="00EB5B92">
        <w:t>Castor was a strong warrior and Pollux was a great boxer, with both of them being master horse riders</w:t>
      </w:r>
      <w:r w:rsidR="000B639E">
        <w:t>, these would therefore be skills worth admiration</w:t>
      </w:r>
      <w:r w:rsidR="00EB5B92">
        <w:t xml:space="preserve">. </w:t>
      </w:r>
      <w:r w:rsidR="000B639E">
        <w:t xml:space="preserve">In addition, </w:t>
      </w:r>
      <w:r w:rsidR="00EB5B92">
        <w:t xml:space="preserve">the boys in the Agoge would possibly </w:t>
      </w:r>
      <w:r w:rsidR="00A0025D">
        <w:t xml:space="preserve">have </w:t>
      </w:r>
      <w:r w:rsidR="00C51DD7">
        <w:t>admired</w:t>
      </w:r>
      <w:r w:rsidR="00C8294F">
        <w:t xml:space="preserve"> the Dioscuri </w:t>
      </w:r>
      <w:r w:rsidR="00EB5B92">
        <w:t>because they were the deities that would follow the boys on military campaign with the Spartan kings</w:t>
      </w:r>
      <w:r w:rsidR="00A0025D">
        <w:t>, so they would be glad of their support</w:t>
      </w:r>
      <w:r w:rsidR="00EB5B92">
        <w:t>.</w:t>
      </w:r>
      <w:r w:rsidR="00EE3404">
        <w:rPr>
          <w:rStyle w:val="FootnoteReference"/>
        </w:rPr>
        <w:footnoteReference w:id="12"/>
      </w:r>
      <w:r w:rsidR="000B639E">
        <w:t xml:space="preserve"> </w:t>
      </w:r>
      <w:r w:rsidR="00EB5B92">
        <w:t xml:space="preserve"> </w:t>
      </w:r>
      <w:r>
        <w:t xml:space="preserve">   </w:t>
      </w:r>
    </w:p>
    <w:p w14:paraId="272FD0E4" w14:textId="0A228019" w:rsidR="00A0025D" w:rsidRDefault="00C51DD7" w:rsidP="001C29E6">
      <w:r>
        <w:t>Some evidence was missing on the differences between Castor and Pollux and how the cult perceived and worshiped them</w:t>
      </w:r>
      <w:r w:rsidR="00D10D3A">
        <w:t xml:space="preserve"> both differently and together</w:t>
      </w:r>
      <w:r>
        <w:t xml:space="preserve">. </w:t>
      </w:r>
      <w:r w:rsidR="00D10D3A">
        <w:t>In particular t</w:t>
      </w:r>
      <w:r>
        <w:t>here was no information on the different templ</w:t>
      </w:r>
      <w:r w:rsidR="00D10D3A">
        <w:t>es to the two different brothers, the festivals</w:t>
      </w:r>
      <w:r w:rsidR="00EE3404">
        <w:rPr>
          <w:rStyle w:val="FootnoteReference"/>
        </w:rPr>
        <w:footnoteReference w:id="13"/>
      </w:r>
      <w:r w:rsidR="00D10D3A">
        <w:t xml:space="preserve"> and other practices</w:t>
      </w:r>
      <w:r w:rsidR="00EE3404">
        <w:rPr>
          <w:rStyle w:val="FootnoteReference"/>
        </w:rPr>
        <w:footnoteReference w:id="14"/>
      </w:r>
      <w:r w:rsidR="00D10D3A">
        <w:t>, and no expanded explanations of the reasons why the playing of the flute is only attributed to Castor, and why the war dance was developed in the name of the Dioscuri.</w:t>
      </w:r>
      <w:r w:rsidR="009D3D43">
        <w:rPr>
          <w:rStyle w:val="FootnoteReference"/>
        </w:rPr>
        <w:footnoteReference w:id="15"/>
      </w:r>
      <w:r w:rsidR="00D10D3A">
        <w:t xml:space="preserve"> Therefore, some expansion and clarity on these points would be helpful.</w:t>
      </w:r>
    </w:p>
    <w:p w14:paraId="706D8B9A" w14:textId="77777777" w:rsidR="00195995" w:rsidRDefault="00A0025D" w:rsidP="001C29E6">
      <w:r>
        <w:t xml:space="preserve">In conclusion, whilst the wiki, as a whole was very informative, and section two did focus on the cult of Dioscuri in some detail, there was the need for clarity on the fact that the Dioscuri were dead prior to the cult being formed, and that this was integral to make sense of many of the other points put forward about the cult. It is particularly important to note that the idea of the two brothers being immortalised in the stars was omitted from this wiki entirely and yet this was central to the ongoing contact between the Spartans and the Dioscuri, so without this factor the cult could have just fizzled out. </w:t>
      </w:r>
      <w:r w:rsidR="00195995">
        <w:t xml:space="preserve">In addition, what the cult actually stands for is hard to make sense of, as the two brothers who are the Dioscuri are hard to differentiate between and yet they have different skills and strengths which are represented in different temples and traits which the cult looked to, so this could have been made more clear. On the whole this wiki section was somewhat confusing, and whilst points were put forward which were interesting and informative, they were not directly apparent or well connected to each other. </w:t>
      </w:r>
    </w:p>
    <w:p w14:paraId="359173D4" w14:textId="77777777" w:rsidR="00DF0D0B" w:rsidRDefault="00DF0D0B" w:rsidP="001C29E6"/>
    <w:p w14:paraId="0A936B74" w14:textId="77777777" w:rsidR="00D3346E" w:rsidRDefault="00D3346E" w:rsidP="001C29E6"/>
    <w:p w14:paraId="0CD0FE74" w14:textId="77777777" w:rsidR="00C93A9D" w:rsidRDefault="00C93A9D" w:rsidP="001C29E6"/>
    <w:p w14:paraId="42A63630" w14:textId="19F4EC09" w:rsidR="00FA5B11" w:rsidRDefault="00FA5B11" w:rsidP="001C29E6">
      <w:r>
        <w:t xml:space="preserve">Ancient Sources </w:t>
      </w:r>
    </w:p>
    <w:p w14:paraId="640FD09C" w14:textId="15EEF548" w:rsidR="007E5742" w:rsidRDefault="007E5742" w:rsidP="001C29E6">
      <w:r w:rsidRPr="007E5742">
        <w:t xml:space="preserve">Apollodorus. </w:t>
      </w:r>
      <w:r w:rsidRPr="00C1506D">
        <w:rPr>
          <w:i/>
        </w:rPr>
        <w:t>The Library</w:t>
      </w:r>
      <w:r w:rsidR="00C1506D">
        <w:t xml:space="preserve">. </w:t>
      </w:r>
      <w:r w:rsidRPr="007E5742">
        <w:t xml:space="preserve">Sir James </w:t>
      </w:r>
      <w:r w:rsidR="00C1506D">
        <w:t>George Frazer (trans).</w:t>
      </w:r>
      <w:r w:rsidRPr="007E5742">
        <w:t xml:space="preserve"> Harvard University Press</w:t>
      </w:r>
      <w:r w:rsidR="00C1506D">
        <w:t xml:space="preserve">: London 1921 </w:t>
      </w:r>
    </w:p>
    <w:p w14:paraId="0B4483CE" w14:textId="16C88417" w:rsidR="008A6FC2" w:rsidRDefault="008A6FC2" w:rsidP="001C29E6">
      <w:r w:rsidRPr="008A6FC2">
        <w:t>Diodorus Siculus</w:t>
      </w:r>
      <w:r>
        <w:rPr>
          <w:i/>
        </w:rPr>
        <w:t xml:space="preserve"> </w:t>
      </w:r>
      <w:r w:rsidRPr="008A6FC2">
        <w:rPr>
          <w:i/>
        </w:rPr>
        <w:t>Library of History</w:t>
      </w:r>
      <w:r>
        <w:t>.</w:t>
      </w:r>
      <w:r w:rsidRPr="008A6FC2">
        <w:t xml:space="preserve"> C. H. Oldfather</w:t>
      </w:r>
      <w:r>
        <w:t xml:space="preserve"> (trans) Harvard University Press: London 1933</w:t>
      </w:r>
    </w:p>
    <w:p w14:paraId="2B0AA4B4" w14:textId="0979AC6D" w:rsidR="005F7673" w:rsidRPr="00C1506D" w:rsidRDefault="005F7673" w:rsidP="001C29E6">
      <w:r>
        <w:t xml:space="preserve">Lucian. </w:t>
      </w:r>
      <w:r w:rsidR="00C1506D" w:rsidRPr="00C1506D">
        <w:rPr>
          <w:i/>
        </w:rPr>
        <w:t>Dialogues of the Gods</w:t>
      </w:r>
      <w:r w:rsidR="00C1506D">
        <w:rPr>
          <w:i/>
        </w:rPr>
        <w:t xml:space="preserve">. </w:t>
      </w:r>
      <w:r w:rsidR="00C1506D" w:rsidRPr="00C1506D">
        <w:t>M. D. Macleod</w:t>
      </w:r>
      <w:r w:rsidR="00C1506D">
        <w:t xml:space="preserve"> (trans). Harvard University Press: London 1913</w:t>
      </w:r>
    </w:p>
    <w:p w14:paraId="76FE00C4" w14:textId="616CB22E" w:rsidR="00FA5B11" w:rsidRDefault="00287BA8" w:rsidP="001C29E6">
      <w:r w:rsidRPr="00287BA8">
        <w:t xml:space="preserve">Plutarch. </w:t>
      </w:r>
      <w:r w:rsidRPr="005F7673">
        <w:rPr>
          <w:i/>
        </w:rPr>
        <w:t>Plutarch's Lives</w:t>
      </w:r>
      <w:r w:rsidRPr="00287BA8">
        <w:t>. B</w:t>
      </w:r>
      <w:r w:rsidR="005F7673">
        <w:t>ernadotte Perrin (trans)</w:t>
      </w:r>
      <w:r w:rsidR="00C1506D">
        <w:t>.</w:t>
      </w:r>
      <w:r w:rsidRPr="00287BA8">
        <w:t xml:space="preserve"> Harvard University P</w:t>
      </w:r>
      <w:r w:rsidR="00C1506D">
        <w:t>ress:</w:t>
      </w:r>
      <w:r w:rsidR="005F7673">
        <w:t xml:space="preserve"> London </w:t>
      </w:r>
      <w:r w:rsidRPr="00287BA8">
        <w:t>1916</w:t>
      </w:r>
      <w:r w:rsidR="005F7673">
        <w:t xml:space="preserve"> </w:t>
      </w:r>
      <w:r>
        <w:t xml:space="preserve"> </w:t>
      </w:r>
    </w:p>
    <w:p w14:paraId="37A1C106" w14:textId="043CFBED" w:rsidR="00287BA8" w:rsidRDefault="00D3346E" w:rsidP="001C29E6">
      <w:r w:rsidRPr="00D3346E">
        <w:t xml:space="preserve">Pausanias. </w:t>
      </w:r>
      <w:r w:rsidRPr="00C1506D">
        <w:rPr>
          <w:i/>
        </w:rPr>
        <w:t>Pausanias Description of Greece</w:t>
      </w:r>
      <w:r w:rsidR="00C1506D">
        <w:t xml:space="preserve">. </w:t>
      </w:r>
      <w:r w:rsidRPr="00D3346E">
        <w:t>W.H.S. Jones, L</w:t>
      </w:r>
      <w:r w:rsidR="00C1506D">
        <w:t>itt.D., and H.A. Ormerod, M.A. (trans). Harvard University Press:</w:t>
      </w:r>
      <w:r w:rsidRPr="00D3346E">
        <w:t xml:space="preserve"> London</w:t>
      </w:r>
      <w:r w:rsidR="00C1506D">
        <w:t xml:space="preserve"> 1918 </w:t>
      </w:r>
      <w:r>
        <w:t xml:space="preserve"> </w:t>
      </w:r>
    </w:p>
    <w:p w14:paraId="3808BEF2" w14:textId="42920DCD" w:rsidR="00FA5B11" w:rsidRDefault="00FA5B11" w:rsidP="001C29E6"/>
    <w:p w14:paraId="658BACB2" w14:textId="77777777" w:rsidR="005F28E5" w:rsidRDefault="005F28E5" w:rsidP="001C29E6">
      <w:r>
        <w:t>Modern Scholarship</w:t>
      </w:r>
    </w:p>
    <w:p w14:paraId="2A74F19C" w14:textId="6F00FA37" w:rsidR="005F28E5" w:rsidRPr="00A508DA" w:rsidRDefault="005F28E5" w:rsidP="001C29E6">
      <w:pPr>
        <w:rPr>
          <w:i/>
        </w:rPr>
      </w:pPr>
      <w:r w:rsidRPr="005F28E5">
        <w:t>Palagia</w:t>
      </w:r>
      <w:r w:rsidR="00A508DA">
        <w:t>,</w:t>
      </w:r>
      <w:r>
        <w:t xml:space="preserve"> O. </w:t>
      </w:r>
      <w:r w:rsidR="00A508DA">
        <w:t>2006. ‘Art and Royalty in Sparta of the 3</w:t>
      </w:r>
      <w:r w:rsidR="00A508DA" w:rsidRPr="00A508DA">
        <w:rPr>
          <w:vertAlign w:val="superscript"/>
        </w:rPr>
        <w:t>rd</w:t>
      </w:r>
      <w:r w:rsidR="00A508DA">
        <w:t xml:space="preserve"> Century B.C’ </w:t>
      </w:r>
      <w:r w:rsidR="00A508DA">
        <w:rPr>
          <w:i/>
        </w:rPr>
        <w:t xml:space="preserve">Hesperia: The Journal of the American School of Classical Studies at Athens, </w:t>
      </w:r>
      <w:r w:rsidR="00A508DA">
        <w:t>205-217</w:t>
      </w:r>
      <w:r w:rsidR="00A508DA">
        <w:rPr>
          <w:i/>
        </w:rPr>
        <w:t xml:space="preserve"> </w:t>
      </w:r>
    </w:p>
    <w:p w14:paraId="76649316" w14:textId="11BD0A28" w:rsidR="00FA5B11" w:rsidRDefault="00FA5B11" w:rsidP="001C29E6">
      <w:r w:rsidRPr="00FA5B11">
        <w:t>Vahanyan</w:t>
      </w:r>
      <w:r>
        <w:t xml:space="preserve"> G. ‘Academy and Cadmus: the Dwelling of God – the Temple of Knowledge in Armenia’ (not stated) </w:t>
      </w:r>
      <w:hyperlink r:id="rId7" w:history="1">
        <w:r w:rsidR="00BF77A6" w:rsidRPr="00C67315">
          <w:rPr>
            <w:rStyle w:val="Hyperlink"/>
          </w:rPr>
          <w:t>www.iatp.am/vahanyan/articles/academy-cadmos2016-en.pdf</w:t>
        </w:r>
      </w:hyperlink>
      <w:r w:rsidR="00A2004A">
        <w:t xml:space="preserve"> [accessed: 14/04</w:t>
      </w:r>
      <w:r w:rsidR="00BF77A6">
        <w:t xml:space="preserve">/2018] </w:t>
      </w:r>
    </w:p>
    <w:p w14:paraId="406C911D" w14:textId="1837EC3C" w:rsidR="00AA5AB9" w:rsidRDefault="00A2004A" w:rsidP="001C29E6">
      <w:r>
        <w:t xml:space="preserve">Krysztaf Witczak. ‘Dioscuri in the Mycenaean Times’ 2018. Academia. </w:t>
      </w:r>
      <w:hyperlink r:id="rId8" w:history="1">
        <w:r w:rsidRPr="00EB2CA5">
          <w:rPr>
            <w:rStyle w:val="Hyperlink"/>
          </w:rPr>
          <w:t>http://www.academia.edu/6878104/Dioscuri_in_the_Mycenaean_Times</w:t>
        </w:r>
      </w:hyperlink>
      <w:r>
        <w:t xml:space="preserve"> [accessed: 14/04/2018]</w:t>
      </w:r>
    </w:p>
    <w:p w14:paraId="346E70B8" w14:textId="1DA95C20" w:rsidR="00475961" w:rsidRDefault="00F97097" w:rsidP="001C29E6">
      <w:r>
        <w:t>Lykesas, G. and</w:t>
      </w:r>
      <w:r w:rsidR="00F416A7">
        <w:t xml:space="preserve"> Ioannis, M. </w:t>
      </w:r>
      <w:r w:rsidR="00F416A7" w:rsidRPr="00F416A7">
        <w:t>20</w:t>
      </w:r>
      <w:r w:rsidR="00F416A7">
        <w:t>05</w:t>
      </w:r>
      <w:r w:rsidR="00F416A7" w:rsidRPr="00F416A7">
        <w:t xml:space="preserve">. </w:t>
      </w:r>
      <w:r w:rsidR="00F416A7">
        <w:t>‘</w:t>
      </w:r>
      <w:r w:rsidR="00F416A7" w:rsidRPr="00F416A7">
        <w:t>Dance during the classical peri</w:t>
      </w:r>
      <w:r w:rsidR="00F416A7">
        <w:t>od in Greece, Athens and Sparta’,</w:t>
      </w:r>
      <w:r w:rsidR="00F416A7" w:rsidRPr="00F416A7">
        <w:t xml:space="preserve"> </w:t>
      </w:r>
      <w:r w:rsidR="00F416A7" w:rsidRPr="00F416A7">
        <w:rPr>
          <w:i/>
        </w:rPr>
        <w:t>Revista teoretico-metodica, Stiinta Sportului. Institutul National de Cercetare pentru Sport</w:t>
      </w:r>
      <w:r w:rsidR="00F416A7" w:rsidRPr="00F416A7">
        <w:t>. 3-21.</w:t>
      </w:r>
    </w:p>
    <w:p w14:paraId="41E8A502" w14:textId="77777777" w:rsidR="00F97097" w:rsidRDefault="00A03979" w:rsidP="001C29E6">
      <w:r>
        <w:t>Rozokokoi, A. 2011. ‘The Significance of the Ancestry and Eastern Origins of Helen of Sparta</w:t>
      </w:r>
      <w:r w:rsidR="00F97097">
        <w:t xml:space="preserve">’ </w:t>
      </w:r>
      <w:r w:rsidR="00F97097">
        <w:rPr>
          <w:i/>
        </w:rPr>
        <w:t xml:space="preserve">Quaderni Urbinati di Cultura Classica’, </w:t>
      </w:r>
      <w:r w:rsidR="00F97097">
        <w:t xml:space="preserve">35-69 </w:t>
      </w:r>
    </w:p>
    <w:p w14:paraId="55A5D31A" w14:textId="77777777" w:rsidR="00F97097" w:rsidRDefault="00F97097" w:rsidP="001C29E6">
      <w:r>
        <w:t xml:space="preserve">Poole, W. 1994. ‘Euripides and Sparta’, in A. Powell and S. Hodkinson (ed.), </w:t>
      </w:r>
      <w:r>
        <w:rPr>
          <w:i/>
        </w:rPr>
        <w:t xml:space="preserve">The Shadow of Sparta. </w:t>
      </w:r>
      <w:r>
        <w:t xml:space="preserve">London: Routledge, 1-34 </w:t>
      </w:r>
    </w:p>
    <w:p w14:paraId="54531505" w14:textId="205BAC90" w:rsidR="005F28E5" w:rsidRDefault="00F97097" w:rsidP="001C29E6">
      <w:r>
        <w:t>L</w:t>
      </w:r>
      <w:r w:rsidRPr="00F97097">
        <w:t>é</w:t>
      </w:r>
      <w:r>
        <w:t xml:space="preserve">toublon, F. 2011. ‘Homer’s Use of Myth’, in K. Dowden and N. Livingstone (ed.) </w:t>
      </w:r>
      <w:r>
        <w:rPr>
          <w:i/>
        </w:rPr>
        <w:t xml:space="preserve">A Companion to Greek Mythology. </w:t>
      </w:r>
      <w:r>
        <w:t>Chicester: Wiley</w:t>
      </w:r>
    </w:p>
    <w:p w14:paraId="77F7D71E" w14:textId="756751DB" w:rsidR="00F97097" w:rsidRDefault="00F97097" w:rsidP="001C29E6">
      <w:r>
        <w:t xml:space="preserve">Rovithis-Livaniou, E. and Rovithis, P. 2014. ‘Greek Myths for the Gemini Constellation’, </w:t>
      </w:r>
      <w:r>
        <w:rPr>
          <w:i/>
        </w:rPr>
        <w:t xml:space="preserve">Romanian Astronomical Journal, </w:t>
      </w:r>
      <w:r>
        <w:t xml:space="preserve">133-145 </w:t>
      </w:r>
    </w:p>
    <w:p w14:paraId="17BC327A" w14:textId="3CF242EF" w:rsidR="00F97097" w:rsidRDefault="00F97097" w:rsidP="001C29E6">
      <w:r>
        <w:t xml:space="preserve">Sahlins, M. ‘Twin-Born with Greatness: the Dual Kingship of Sparta’ </w:t>
      </w:r>
      <w:r w:rsidR="004B51E4">
        <w:rPr>
          <w:i/>
        </w:rPr>
        <w:t xml:space="preserve">Hau: Journal of Ethnographic Theory, </w:t>
      </w:r>
      <w:r w:rsidR="004B51E4">
        <w:t>63-101</w:t>
      </w:r>
    </w:p>
    <w:p w14:paraId="34FE8FE9" w14:textId="377309F3" w:rsidR="004B51E4" w:rsidRPr="004B51E4" w:rsidRDefault="004B51E4" w:rsidP="001C29E6">
      <w:r>
        <w:t xml:space="preserve">Farnell, L. R. 1921. </w:t>
      </w:r>
      <w:r>
        <w:rPr>
          <w:i/>
        </w:rPr>
        <w:t xml:space="preserve">Greek Hero Cults and Ideas of Immortality. </w:t>
      </w:r>
      <w:r>
        <w:t xml:space="preserve">Oxford: Clarendon Press </w:t>
      </w:r>
    </w:p>
    <w:sectPr w:rsidR="004B51E4" w:rsidRPr="004B51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AD3D7" w14:textId="77777777" w:rsidR="003A119A" w:rsidRDefault="003A119A" w:rsidP="001F2F51">
      <w:pPr>
        <w:spacing w:after="0" w:line="240" w:lineRule="auto"/>
      </w:pPr>
      <w:r>
        <w:separator/>
      </w:r>
    </w:p>
  </w:endnote>
  <w:endnote w:type="continuationSeparator" w:id="0">
    <w:p w14:paraId="0F1763C3" w14:textId="77777777" w:rsidR="003A119A" w:rsidRDefault="003A119A" w:rsidP="001F2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8F1E" w14:textId="77777777" w:rsidR="003A119A" w:rsidRDefault="003A119A" w:rsidP="001F2F51">
      <w:pPr>
        <w:spacing w:after="0" w:line="240" w:lineRule="auto"/>
      </w:pPr>
      <w:r>
        <w:separator/>
      </w:r>
    </w:p>
  </w:footnote>
  <w:footnote w:type="continuationSeparator" w:id="0">
    <w:p w14:paraId="667A56F9" w14:textId="77777777" w:rsidR="003A119A" w:rsidRDefault="003A119A" w:rsidP="001F2F51">
      <w:pPr>
        <w:spacing w:after="0" w:line="240" w:lineRule="auto"/>
      </w:pPr>
      <w:r>
        <w:continuationSeparator/>
      </w:r>
    </w:p>
  </w:footnote>
  <w:footnote w:id="1">
    <w:p w14:paraId="1510CA5A" w14:textId="120FA0B7" w:rsidR="00581643" w:rsidRDefault="00581643">
      <w:pPr>
        <w:pStyle w:val="FootnoteText"/>
      </w:pPr>
      <w:r>
        <w:rPr>
          <w:rStyle w:val="FootnoteReference"/>
        </w:rPr>
        <w:footnoteRef/>
      </w:r>
      <w:r>
        <w:t xml:space="preserve"> Witczak 2018: 58-59</w:t>
      </w:r>
      <w:r w:rsidR="00D768EF">
        <w:t xml:space="preserve">; </w:t>
      </w:r>
      <w:r w:rsidR="00D768EF" w:rsidRPr="00D768EF">
        <w:t>Apollod. 3.10.7</w:t>
      </w:r>
    </w:p>
  </w:footnote>
  <w:footnote w:id="2">
    <w:p w14:paraId="3A00CF2D" w14:textId="36C0149A" w:rsidR="00581643" w:rsidRDefault="00581643">
      <w:pPr>
        <w:pStyle w:val="FootnoteText"/>
      </w:pPr>
      <w:r>
        <w:rPr>
          <w:rStyle w:val="FootnoteReference"/>
        </w:rPr>
        <w:footnoteRef/>
      </w:r>
      <w:r>
        <w:t xml:space="preserve"> L</w:t>
      </w:r>
      <w:r w:rsidRPr="00581643">
        <w:t>é</w:t>
      </w:r>
      <w:r>
        <w:t>toublon 2011: 30</w:t>
      </w:r>
    </w:p>
  </w:footnote>
  <w:footnote w:id="3">
    <w:p w14:paraId="505E39CE" w14:textId="5847D997" w:rsidR="001F2F51" w:rsidRDefault="001F2F51">
      <w:pPr>
        <w:pStyle w:val="FootnoteText"/>
      </w:pPr>
      <w:r>
        <w:rPr>
          <w:rStyle w:val="FootnoteReference"/>
        </w:rPr>
        <w:footnoteRef/>
      </w:r>
      <w:r>
        <w:t xml:space="preserve"> </w:t>
      </w:r>
      <w:bookmarkStart w:id="1" w:name="_Hlk512369290"/>
      <w:r w:rsidR="00FA5B11">
        <w:t>Vahanyan</w:t>
      </w:r>
      <w:bookmarkEnd w:id="1"/>
      <w:r w:rsidR="005877DF">
        <w:t xml:space="preserve"> (date not stated):</w:t>
      </w:r>
      <w:r w:rsidR="00FA5B11">
        <w:t xml:space="preserve">3  </w:t>
      </w:r>
    </w:p>
  </w:footnote>
  <w:footnote w:id="4">
    <w:p w14:paraId="4473BA4D" w14:textId="117EEB3A" w:rsidR="00581643" w:rsidRDefault="00581643">
      <w:pPr>
        <w:pStyle w:val="FootnoteText"/>
      </w:pPr>
      <w:r>
        <w:rPr>
          <w:rStyle w:val="FootnoteReference"/>
        </w:rPr>
        <w:footnoteRef/>
      </w:r>
      <w:r>
        <w:t xml:space="preserve"> Eleni Rovithis-Livaniou and Petros Rovithis 2014: 134-135</w:t>
      </w:r>
    </w:p>
  </w:footnote>
  <w:footnote w:id="5">
    <w:p w14:paraId="646BBD73" w14:textId="2885D1CE" w:rsidR="00581643" w:rsidRDefault="00581643">
      <w:pPr>
        <w:pStyle w:val="FootnoteText"/>
      </w:pPr>
      <w:r>
        <w:rPr>
          <w:rStyle w:val="FootnoteReference"/>
        </w:rPr>
        <w:footnoteRef/>
      </w:r>
      <w:r>
        <w:t xml:space="preserve"> Witczak 2018: 58-59</w:t>
      </w:r>
    </w:p>
  </w:footnote>
  <w:footnote w:id="6">
    <w:p w14:paraId="769CFD81" w14:textId="56E58F5A" w:rsidR="00140814" w:rsidRDefault="00140814">
      <w:pPr>
        <w:pStyle w:val="FootnoteText"/>
      </w:pPr>
      <w:r>
        <w:rPr>
          <w:rStyle w:val="FootnoteReference"/>
        </w:rPr>
        <w:footnoteRef/>
      </w:r>
      <w:r>
        <w:t xml:space="preserve"> Alexandra Rozokokoi 2011: 65; Poole 1994: 32</w:t>
      </w:r>
    </w:p>
  </w:footnote>
  <w:footnote w:id="7">
    <w:p w14:paraId="023E9489" w14:textId="73FF56B6" w:rsidR="00940AE4" w:rsidRDefault="00940AE4" w:rsidP="00940AE4">
      <w:pPr>
        <w:pStyle w:val="FootnoteText"/>
      </w:pPr>
      <w:r>
        <w:rPr>
          <w:rStyle w:val="FootnoteReference"/>
        </w:rPr>
        <w:footnoteRef/>
      </w:r>
      <w:r>
        <w:t xml:space="preserve"> Létoublon 2011: 30; Vahanyan (date not stated):3; Eleni Rovithis-Livaniou and Petros Rovithis 2014: 134-135; Witczak 2018: 58-59</w:t>
      </w:r>
    </w:p>
  </w:footnote>
  <w:footnote w:id="8">
    <w:p w14:paraId="70BA365A" w14:textId="670ADC88" w:rsidR="006F5A56" w:rsidRDefault="006F5A56">
      <w:pPr>
        <w:pStyle w:val="FootnoteText"/>
      </w:pPr>
      <w:r>
        <w:rPr>
          <w:rStyle w:val="FootnoteReference"/>
        </w:rPr>
        <w:footnoteRef/>
      </w:r>
      <w:r>
        <w:t xml:space="preserve"> </w:t>
      </w:r>
      <w:r w:rsidR="00826BD2">
        <w:t>Lucian: 255</w:t>
      </w:r>
    </w:p>
  </w:footnote>
  <w:footnote w:id="9">
    <w:p w14:paraId="2DEFBED6" w14:textId="0F5231F7" w:rsidR="008309F3" w:rsidRDefault="008309F3">
      <w:pPr>
        <w:pStyle w:val="FootnoteText"/>
      </w:pPr>
      <w:r>
        <w:rPr>
          <w:rStyle w:val="FootnoteReference"/>
        </w:rPr>
        <w:footnoteRef/>
      </w:r>
      <w:r>
        <w:t xml:space="preserve"> Eleni Rovithis-Livaniou and Petros Rovithis 2014: 137-138</w:t>
      </w:r>
    </w:p>
  </w:footnote>
  <w:footnote w:id="10">
    <w:p w14:paraId="72509416" w14:textId="74D30294" w:rsidR="00455D30" w:rsidRDefault="00455D30">
      <w:pPr>
        <w:pStyle w:val="FootnoteText"/>
      </w:pPr>
      <w:r>
        <w:rPr>
          <w:rStyle w:val="FootnoteReference"/>
        </w:rPr>
        <w:footnoteRef/>
      </w:r>
      <w:r>
        <w:t xml:space="preserve"> </w:t>
      </w:r>
      <w:bookmarkStart w:id="2" w:name="_Hlk512438332"/>
      <w:r w:rsidR="003E01EB">
        <w:t>Olga</w:t>
      </w:r>
      <w:r w:rsidR="003E01EB" w:rsidRPr="003E01EB">
        <w:t xml:space="preserve"> </w:t>
      </w:r>
      <w:r w:rsidR="003E01EB">
        <w:t>Palagia</w:t>
      </w:r>
      <w:r>
        <w:t xml:space="preserve"> </w:t>
      </w:r>
      <w:bookmarkEnd w:id="2"/>
      <w:r>
        <w:t xml:space="preserve">2006: 207; Plut. Lys. 18.1 </w:t>
      </w:r>
    </w:p>
  </w:footnote>
  <w:footnote w:id="11">
    <w:p w14:paraId="31D55386" w14:textId="2CAD785B" w:rsidR="00EE3404" w:rsidRDefault="00EE3404">
      <w:pPr>
        <w:pStyle w:val="FootnoteText"/>
      </w:pPr>
      <w:r>
        <w:rPr>
          <w:rStyle w:val="FootnoteReference"/>
        </w:rPr>
        <w:footnoteRef/>
      </w:r>
      <w:r>
        <w:t xml:space="preserve"> Eleni Rovithis-Livaniou and Petros Rovithis 2014: 141</w:t>
      </w:r>
      <w:r w:rsidR="00A635CC">
        <w:t xml:space="preserve">; Diod </w:t>
      </w:r>
      <w:r w:rsidR="008A6FC2">
        <w:t>477-478</w:t>
      </w:r>
      <w:r>
        <w:t xml:space="preserve"> </w:t>
      </w:r>
    </w:p>
  </w:footnote>
  <w:footnote w:id="12">
    <w:p w14:paraId="48AD3A71" w14:textId="6EA974B1" w:rsidR="00EE3404" w:rsidRDefault="00EE3404">
      <w:pPr>
        <w:pStyle w:val="FootnoteText"/>
      </w:pPr>
      <w:r>
        <w:rPr>
          <w:rStyle w:val="FootnoteReference"/>
        </w:rPr>
        <w:footnoteRef/>
      </w:r>
      <w:r>
        <w:t xml:space="preserve"> Farnell 1921: 196; Marshall Sahlins 2011: 71-72</w:t>
      </w:r>
    </w:p>
  </w:footnote>
  <w:footnote w:id="13">
    <w:p w14:paraId="5CE54D14" w14:textId="7BD5EA58" w:rsidR="00EE3404" w:rsidRDefault="00EE3404">
      <w:pPr>
        <w:pStyle w:val="FootnoteText"/>
      </w:pPr>
      <w:r>
        <w:rPr>
          <w:rStyle w:val="FootnoteReference"/>
        </w:rPr>
        <w:footnoteRef/>
      </w:r>
      <w:r>
        <w:t xml:space="preserve"> Farnell 1921: 107; </w:t>
      </w:r>
      <w:bookmarkStart w:id="3" w:name="_Hlk512879075"/>
      <w:r>
        <w:t>Lykesas and Ioannis 2005: 14-16</w:t>
      </w:r>
      <w:r w:rsidR="00D3346E">
        <w:t xml:space="preserve">; </w:t>
      </w:r>
      <w:bookmarkEnd w:id="3"/>
      <w:r w:rsidR="00D3346E" w:rsidRPr="00D3346E">
        <w:t>Paus. 4.27.2</w:t>
      </w:r>
      <w:r w:rsidR="00D3346E">
        <w:t xml:space="preserve"> </w:t>
      </w:r>
    </w:p>
  </w:footnote>
  <w:footnote w:id="14">
    <w:p w14:paraId="7CDE2F46" w14:textId="646A3312" w:rsidR="00EE3404" w:rsidRDefault="00EE3404">
      <w:pPr>
        <w:pStyle w:val="FootnoteText"/>
      </w:pPr>
      <w:r>
        <w:rPr>
          <w:rStyle w:val="FootnoteReference"/>
        </w:rPr>
        <w:footnoteRef/>
      </w:r>
      <w:r>
        <w:t xml:space="preserve"> Marshall Sahlins 2011: 76</w:t>
      </w:r>
    </w:p>
  </w:footnote>
  <w:footnote w:id="15">
    <w:p w14:paraId="0CB70145" w14:textId="6F79936B" w:rsidR="009D3D43" w:rsidRDefault="009D3D43">
      <w:pPr>
        <w:pStyle w:val="FootnoteText"/>
      </w:pPr>
      <w:r>
        <w:rPr>
          <w:rStyle w:val="FootnoteReference"/>
        </w:rPr>
        <w:footnoteRef/>
      </w:r>
      <w:r>
        <w:t xml:space="preserve"> </w:t>
      </w:r>
      <w:r w:rsidR="00EE3404" w:rsidRPr="00EE3404">
        <w:t>Lykesas and Ioannis 2005: 14-16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9E6"/>
    <w:rsid w:val="000201B7"/>
    <w:rsid w:val="00036535"/>
    <w:rsid w:val="000B639E"/>
    <w:rsid w:val="000C7B5E"/>
    <w:rsid w:val="000E785C"/>
    <w:rsid w:val="00126BFA"/>
    <w:rsid w:val="00140814"/>
    <w:rsid w:val="00195995"/>
    <w:rsid w:val="001C29E6"/>
    <w:rsid w:val="001C63E9"/>
    <w:rsid w:val="001C71AA"/>
    <w:rsid w:val="001F2F51"/>
    <w:rsid w:val="00206629"/>
    <w:rsid w:val="00272A15"/>
    <w:rsid w:val="00287BA8"/>
    <w:rsid w:val="003536DF"/>
    <w:rsid w:val="003A119A"/>
    <w:rsid w:val="003A3EA7"/>
    <w:rsid w:val="003E01EB"/>
    <w:rsid w:val="00430D38"/>
    <w:rsid w:val="00455D30"/>
    <w:rsid w:val="004615A1"/>
    <w:rsid w:val="00475961"/>
    <w:rsid w:val="0048767E"/>
    <w:rsid w:val="004B51E4"/>
    <w:rsid w:val="004F74D6"/>
    <w:rsid w:val="00581643"/>
    <w:rsid w:val="005877DF"/>
    <w:rsid w:val="005C2068"/>
    <w:rsid w:val="005C2D42"/>
    <w:rsid w:val="005C521F"/>
    <w:rsid w:val="005C531D"/>
    <w:rsid w:val="005E0495"/>
    <w:rsid w:val="005F28E5"/>
    <w:rsid w:val="005F7673"/>
    <w:rsid w:val="006420BA"/>
    <w:rsid w:val="006F5A56"/>
    <w:rsid w:val="007B5FED"/>
    <w:rsid w:val="007D2CAD"/>
    <w:rsid w:val="007E5742"/>
    <w:rsid w:val="00816DB0"/>
    <w:rsid w:val="00826BD2"/>
    <w:rsid w:val="008309F3"/>
    <w:rsid w:val="008A6FC2"/>
    <w:rsid w:val="008C43EF"/>
    <w:rsid w:val="008C442C"/>
    <w:rsid w:val="008C6627"/>
    <w:rsid w:val="008E3CCB"/>
    <w:rsid w:val="00904E2B"/>
    <w:rsid w:val="00940AE4"/>
    <w:rsid w:val="009D3D43"/>
    <w:rsid w:val="009E5926"/>
    <w:rsid w:val="009F7D49"/>
    <w:rsid w:val="00A0025D"/>
    <w:rsid w:val="00A0323B"/>
    <w:rsid w:val="00A03979"/>
    <w:rsid w:val="00A11FAA"/>
    <w:rsid w:val="00A2004A"/>
    <w:rsid w:val="00A508DA"/>
    <w:rsid w:val="00A635CC"/>
    <w:rsid w:val="00A7148D"/>
    <w:rsid w:val="00AA5AB9"/>
    <w:rsid w:val="00AF54AA"/>
    <w:rsid w:val="00BA07DF"/>
    <w:rsid w:val="00BB29C6"/>
    <w:rsid w:val="00BC493C"/>
    <w:rsid w:val="00BF77A6"/>
    <w:rsid w:val="00C1506D"/>
    <w:rsid w:val="00C23D62"/>
    <w:rsid w:val="00C51DD7"/>
    <w:rsid w:val="00C6015C"/>
    <w:rsid w:val="00C8294F"/>
    <w:rsid w:val="00C93A9D"/>
    <w:rsid w:val="00CA548D"/>
    <w:rsid w:val="00D10D3A"/>
    <w:rsid w:val="00D3346E"/>
    <w:rsid w:val="00D63093"/>
    <w:rsid w:val="00D768EF"/>
    <w:rsid w:val="00DC3114"/>
    <w:rsid w:val="00DF0D0B"/>
    <w:rsid w:val="00E153E0"/>
    <w:rsid w:val="00E21FA7"/>
    <w:rsid w:val="00E72C9F"/>
    <w:rsid w:val="00EB5B92"/>
    <w:rsid w:val="00EC2327"/>
    <w:rsid w:val="00EE3404"/>
    <w:rsid w:val="00F416A7"/>
    <w:rsid w:val="00F527B0"/>
    <w:rsid w:val="00F97097"/>
    <w:rsid w:val="00FA5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A94C71"/>
  <w15:chartTrackingRefBased/>
  <w15:docId w15:val="{22B62553-B042-4178-A015-D9583AB38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C531D"/>
    <w:rPr>
      <w:sz w:val="16"/>
      <w:szCs w:val="16"/>
    </w:rPr>
  </w:style>
  <w:style w:type="paragraph" w:styleId="CommentText">
    <w:name w:val="annotation text"/>
    <w:basedOn w:val="Normal"/>
    <w:link w:val="CommentTextChar"/>
    <w:uiPriority w:val="99"/>
    <w:semiHidden/>
    <w:unhideWhenUsed/>
    <w:rsid w:val="005C531D"/>
    <w:pPr>
      <w:spacing w:line="240" w:lineRule="auto"/>
    </w:pPr>
    <w:rPr>
      <w:sz w:val="20"/>
      <w:szCs w:val="20"/>
    </w:rPr>
  </w:style>
  <w:style w:type="character" w:customStyle="1" w:styleId="CommentTextChar">
    <w:name w:val="Comment Text Char"/>
    <w:basedOn w:val="DefaultParagraphFont"/>
    <w:link w:val="CommentText"/>
    <w:uiPriority w:val="99"/>
    <w:semiHidden/>
    <w:rsid w:val="005C531D"/>
    <w:rPr>
      <w:sz w:val="20"/>
      <w:szCs w:val="20"/>
    </w:rPr>
  </w:style>
  <w:style w:type="paragraph" w:styleId="CommentSubject">
    <w:name w:val="annotation subject"/>
    <w:basedOn w:val="CommentText"/>
    <w:next w:val="CommentText"/>
    <w:link w:val="CommentSubjectChar"/>
    <w:uiPriority w:val="99"/>
    <w:semiHidden/>
    <w:unhideWhenUsed/>
    <w:rsid w:val="005C531D"/>
    <w:rPr>
      <w:b/>
      <w:bCs/>
    </w:rPr>
  </w:style>
  <w:style w:type="character" w:customStyle="1" w:styleId="CommentSubjectChar">
    <w:name w:val="Comment Subject Char"/>
    <w:basedOn w:val="CommentTextChar"/>
    <w:link w:val="CommentSubject"/>
    <w:uiPriority w:val="99"/>
    <w:semiHidden/>
    <w:rsid w:val="005C531D"/>
    <w:rPr>
      <w:b/>
      <w:bCs/>
      <w:sz w:val="20"/>
      <w:szCs w:val="20"/>
    </w:rPr>
  </w:style>
  <w:style w:type="paragraph" w:styleId="BalloonText">
    <w:name w:val="Balloon Text"/>
    <w:basedOn w:val="Normal"/>
    <w:link w:val="BalloonTextChar"/>
    <w:uiPriority w:val="99"/>
    <w:semiHidden/>
    <w:unhideWhenUsed/>
    <w:rsid w:val="005C53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31D"/>
    <w:rPr>
      <w:rFonts w:ascii="Segoe UI" w:hAnsi="Segoe UI" w:cs="Segoe UI"/>
      <w:sz w:val="18"/>
      <w:szCs w:val="18"/>
    </w:rPr>
  </w:style>
  <w:style w:type="paragraph" w:styleId="FootnoteText">
    <w:name w:val="footnote text"/>
    <w:basedOn w:val="Normal"/>
    <w:link w:val="FootnoteTextChar"/>
    <w:uiPriority w:val="99"/>
    <w:semiHidden/>
    <w:unhideWhenUsed/>
    <w:rsid w:val="001F2F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F51"/>
    <w:rPr>
      <w:sz w:val="20"/>
      <w:szCs w:val="20"/>
    </w:rPr>
  </w:style>
  <w:style w:type="character" w:styleId="FootnoteReference">
    <w:name w:val="footnote reference"/>
    <w:basedOn w:val="DefaultParagraphFont"/>
    <w:uiPriority w:val="99"/>
    <w:semiHidden/>
    <w:unhideWhenUsed/>
    <w:rsid w:val="001F2F51"/>
    <w:rPr>
      <w:vertAlign w:val="superscript"/>
    </w:rPr>
  </w:style>
  <w:style w:type="character" w:styleId="Hyperlink">
    <w:name w:val="Hyperlink"/>
    <w:basedOn w:val="DefaultParagraphFont"/>
    <w:uiPriority w:val="99"/>
    <w:unhideWhenUsed/>
    <w:rsid w:val="00BF77A6"/>
    <w:rPr>
      <w:color w:val="0563C1" w:themeColor="hyperlink"/>
      <w:u w:val="single"/>
    </w:rPr>
  </w:style>
  <w:style w:type="character" w:styleId="UnresolvedMention">
    <w:name w:val="Unresolved Mention"/>
    <w:basedOn w:val="DefaultParagraphFont"/>
    <w:uiPriority w:val="99"/>
    <w:semiHidden/>
    <w:unhideWhenUsed/>
    <w:rsid w:val="00BF77A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demia.edu/6878104/Dioscuri_in_the_Mycenaean_Times" TargetMode="External"/><Relationship Id="rId3" Type="http://schemas.openxmlformats.org/officeDocument/2006/relationships/settings" Target="settings.xml"/><Relationship Id="rId7" Type="http://schemas.openxmlformats.org/officeDocument/2006/relationships/hyperlink" Target="http://www.iatp.am/vahanyan/articles/academy-cadmos2016-en.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ABDC84-6F49-4010-A06B-C2B3D8B5E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3</Pages>
  <Words>1276</Words>
  <Characters>7277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Diamond</dc:creator>
  <cp:keywords/>
  <dc:description/>
  <cp:lastModifiedBy>Rebecca Diamond</cp:lastModifiedBy>
  <cp:revision>27</cp:revision>
  <dcterms:created xsi:type="dcterms:W3CDTF">2018-04-22T14:58:00Z</dcterms:created>
  <dcterms:modified xsi:type="dcterms:W3CDTF">2018-05-08T21:20:00Z</dcterms:modified>
</cp:coreProperties>
</file>