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B0279" w14:textId="77777777" w:rsidR="00837FB2" w:rsidRDefault="00837FB2" w:rsidP="00837FB2">
      <w:pPr>
        <w:jc w:val="center"/>
      </w:pPr>
    </w:p>
    <w:p w14:paraId="741ACF45" w14:textId="77777777" w:rsidR="00837FB2" w:rsidRDefault="00837FB2" w:rsidP="00837FB2">
      <w:pPr>
        <w:jc w:val="center"/>
      </w:pPr>
    </w:p>
    <w:p w14:paraId="438E78E3" w14:textId="77777777" w:rsidR="00837FB2" w:rsidRDefault="00837FB2" w:rsidP="00837FB2">
      <w:pPr>
        <w:jc w:val="center"/>
      </w:pPr>
    </w:p>
    <w:p w14:paraId="4BC068D1" w14:textId="77777777" w:rsidR="00837FB2" w:rsidRDefault="00837FB2" w:rsidP="00837FB2">
      <w:pPr>
        <w:jc w:val="center"/>
      </w:pPr>
    </w:p>
    <w:p w14:paraId="2F81F74A" w14:textId="77777777" w:rsidR="00837FB2" w:rsidRDefault="00837FB2" w:rsidP="00837FB2">
      <w:pPr>
        <w:jc w:val="center"/>
      </w:pPr>
    </w:p>
    <w:p w14:paraId="27F891CC" w14:textId="77777777" w:rsidR="00837FB2" w:rsidRDefault="00837FB2" w:rsidP="00837FB2">
      <w:pPr>
        <w:jc w:val="center"/>
      </w:pPr>
    </w:p>
    <w:p w14:paraId="05FE16A1" w14:textId="77777777" w:rsidR="00837FB2" w:rsidRDefault="00837FB2" w:rsidP="00837FB2">
      <w:pPr>
        <w:jc w:val="center"/>
      </w:pPr>
    </w:p>
    <w:p w14:paraId="7FB6D7F4" w14:textId="77777777" w:rsidR="00837FB2" w:rsidRDefault="00837FB2" w:rsidP="00837FB2">
      <w:pPr>
        <w:jc w:val="center"/>
      </w:pPr>
    </w:p>
    <w:p w14:paraId="2487B80F" w14:textId="77777777" w:rsidR="00837FB2" w:rsidRPr="00837FB2" w:rsidRDefault="00837FB2" w:rsidP="00837FB2">
      <w:pPr>
        <w:jc w:val="center"/>
        <w:rPr>
          <w:b/>
        </w:rPr>
      </w:pPr>
    </w:p>
    <w:p w14:paraId="05ACDA37" w14:textId="77777777" w:rsidR="00E95315" w:rsidRPr="003E4FFC" w:rsidRDefault="00837FB2" w:rsidP="00837FB2">
      <w:pPr>
        <w:jc w:val="center"/>
        <w:rPr>
          <w:rFonts w:ascii="Times New Roman" w:hAnsi="Times New Roman" w:cs="Times New Roman"/>
          <w:b/>
          <w:i/>
          <w:sz w:val="24"/>
          <w:u w:val="single"/>
        </w:rPr>
      </w:pPr>
      <w:r w:rsidRPr="003E4FFC">
        <w:rPr>
          <w:rFonts w:ascii="Times New Roman" w:hAnsi="Times New Roman" w:cs="Times New Roman"/>
          <w:b/>
          <w:i/>
          <w:sz w:val="24"/>
          <w:u w:val="single"/>
        </w:rPr>
        <w:t>Lloyds Banking Group plc and Barclays plc – financial analysis</w:t>
      </w:r>
    </w:p>
    <w:p w14:paraId="533C1D63" w14:textId="77777777" w:rsidR="00837FB2" w:rsidRPr="003E4FFC" w:rsidRDefault="00837FB2" w:rsidP="00837FB2">
      <w:pPr>
        <w:jc w:val="center"/>
        <w:rPr>
          <w:rFonts w:ascii="Times New Roman" w:hAnsi="Times New Roman" w:cs="Times New Roman"/>
          <w:sz w:val="24"/>
        </w:rPr>
      </w:pPr>
      <w:r w:rsidRPr="003E4FFC">
        <w:rPr>
          <w:rFonts w:ascii="Times New Roman" w:hAnsi="Times New Roman" w:cs="Times New Roman"/>
          <w:sz w:val="24"/>
        </w:rPr>
        <w:t xml:space="preserve">Marino Tatone (1812409), Banking Financial Management and Financial Markets, Isaiah </w:t>
      </w:r>
      <w:proofErr w:type="spellStart"/>
      <w:r w:rsidRPr="003E4FFC">
        <w:rPr>
          <w:rFonts w:ascii="Times New Roman" w:hAnsi="Times New Roman" w:cs="Times New Roman"/>
          <w:sz w:val="24"/>
        </w:rPr>
        <w:t>Oino</w:t>
      </w:r>
      <w:proofErr w:type="spellEnd"/>
      <w:r w:rsidRPr="003E4FFC">
        <w:rPr>
          <w:rFonts w:ascii="Times New Roman" w:hAnsi="Times New Roman" w:cs="Times New Roman"/>
          <w:sz w:val="24"/>
        </w:rPr>
        <w:t>.</w:t>
      </w:r>
    </w:p>
    <w:p w14:paraId="44403BA7" w14:textId="77777777" w:rsidR="00837FB2" w:rsidRPr="003E4FFC" w:rsidRDefault="00837FB2" w:rsidP="00837FB2">
      <w:pPr>
        <w:jc w:val="center"/>
        <w:rPr>
          <w:rFonts w:ascii="Times New Roman" w:hAnsi="Times New Roman" w:cs="Times New Roman"/>
          <w:sz w:val="24"/>
        </w:rPr>
      </w:pPr>
      <w:r w:rsidRPr="003E4FFC">
        <w:rPr>
          <w:rFonts w:ascii="Times New Roman" w:hAnsi="Times New Roman" w:cs="Times New Roman"/>
          <w:sz w:val="24"/>
        </w:rPr>
        <w:t>University of Wales Trinity Saint David – London.</w:t>
      </w:r>
    </w:p>
    <w:p w14:paraId="6F3D4397" w14:textId="22E66485" w:rsidR="00837FB2" w:rsidRPr="003E4FFC" w:rsidRDefault="00D749AF" w:rsidP="00837FB2">
      <w:pPr>
        <w:jc w:val="center"/>
        <w:rPr>
          <w:rFonts w:ascii="Times New Roman" w:hAnsi="Times New Roman" w:cs="Times New Roman"/>
          <w:sz w:val="24"/>
        </w:rPr>
      </w:pPr>
      <w:r w:rsidRPr="003E4FFC">
        <w:rPr>
          <w:rFonts w:ascii="Times New Roman" w:hAnsi="Times New Roman" w:cs="Times New Roman"/>
          <w:sz w:val="24"/>
        </w:rPr>
        <w:t>05</w:t>
      </w:r>
      <w:r w:rsidR="00837FB2" w:rsidRPr="003E4FFC">
        <w:rPr>
          <w:rFonts w:ascii="Times New Roman" w:hAnsi="Times New Roman" w:cs="Times New Roman"/>
          <w:sz w:val="24"/>
        </w:rPr>
        <w:t>/0</w:t>
      </w:r>
      <w:r w:rsidRPr="003E4FFC">
        <w:rPr>
          <w:rFonts w:ascii="Times New Roman" w:hAnsi="Times New Roman" w:cs="Times New Roman"/>
          <w:sz w:val="24"/>
        </w:rPr>
        <w:t>9</w:t>
      </w:r>
      <w:r w:rsidR="00837FB2" w:rsidRPr="003E4FFC">
        <w:rPr>
          <w:rFonts w:ascii="Times New Roman" w:hAnsi="Times New Roman" w:cs="Times New Roman"/>
          <w:sz w:val="24"/>
        </w:rPr>
        <w:t>/2019</w:t>
      </w:r>
    </w:p>
    <w:p w14:paraId="1C56F477" w14:textId="77777777" w:rsidR="00837FB2" w:rsidRPr="003E4FFC" w:rsidRDefault="00E968E5" w:rsidP="00837FB2">
      <w:pPr>
        <w:jc w:val="center"/>
        <w:rPr>
          <w:rFonts w:ascii="Times New Roman" w:hAnsi="Times New Roman" w:cs="Times New Roman"/>
          <w:sz w:val="24"/>
        </w:rPr>
      </w:pPr>
      <w:hyperlink r:id="rId6" w:history="1">
        <w:r w:rsidR="00837FB2" w:rsidRPr="003E4FFC">
          <w:rPr>
            <w:rStyle w:val="Hyperlink"/>
            <w:rFonts w:ascii="Times New Roman" w:hAnsi="Times New Roman" w:cs="Times New Roman"/>
            <w:sz w:val="24"/>
          </w:rPr>
          <w:t>1812409@student.uwtsd.ac.uk</w:t>
        </w:r>
      </w:hyperlink>
    </w:p>
    <w:p w14:paraId="4EED2F67" w14:textId="77777777" w:rsidR="00837FB2" w:rsidRDefault="00837FB2" w:rsidP="00837FB2">
      <w:pPr>
        <w:jc w:val="center"/>
      </w:pPr>
    </w:p>
    <w:p w14:paraId="7C4068C4" w14:textId="77777777" w:rsidR="00837FB2" w:rsidRDefault="00837FB2" w:rsidP="00837FB2">
      <w:pPr>
        <w:jc w:val="center"/>
      </w:pPr>
    </w:p>
    <w:p w14:paraId="4E002C0D" w14:textId="77777777" w:rsidR="00837FB2" w:rsidRDefault="00837FB2" w:rsidP="00837FB2">
      <w:pPr>
        <w:jc w:val="center"/>
      </w:pPr>
    </w:p>
    <w:p w14:paraId="77A6CA82" w14:textId="77777777" w:rsidR="00837FB2" w:rsidRDefault="00837FB2" w:rsidP="00837FB2">
      <w:pPr>
        <w:jc w:val="center"/>
      </w:pPr>
    </w:p>
    <w:p w14:paraId="54B3CA9F" w14:textId="77777777" w:rsidR="00837FB2" w:rsidRDefault="00837FB2" w:rsidP="00837FB2">
      <w:pPr>
        <w:jc w:val="center"/>
      </w:pPr>
    </w:p>
    <w:p w14:paraId="10711719" w14:textId="77777777" w:rsidR="00837FB2" w:rsidRDefault="00837FB2" w:rsidP="00837FB2">
      <w:pPr>
        <w:jc w:val="center"/>
      </w:pPr>
    </w:p>
    <w:p w14:paraId="5D8FCBAF" w14:textId="77777777" w:rsidR="00837FB2" w:rsidRDefault="00837FB2" w:rsidP="00837FB2">
      <w:pPr>
        <w:jc w:val="center"/>
      </w:pPr>
    </w:p>
    <w:p w14:paraId="7085DBDA" w14:textId="77777777" w:rsidR="00837FB2" w:rsidRDefault="00837FB2" w:rsidP="00837FB2">
      <w:pPr>
        <w:jc w:val="center"/>
      </w:pPr>
    </w:p>
    <w:p w14:paraId="5A502DE2" w14:textId="77777777" w:rsidR="00837FB2" w:rsidRDefault="00837FB2" w:rsidP="00837FB2">
      <w:pPr>
        <w:jc w:val="center"/>
      </w:pPr>
    </w:p>
    <w:p w14:paraId="50FD2253" w14:textId="77777777" w:rsidR="00837FB2" w:rsidRDefault="00837FB2" w:rsidP="00837FB2">
      <w:pPr>
        <w:jc w:val="center"/>
      </w:pPr>
    </w:p>
    <w:p w14:paraId="1A1AA139" w14:textId="77777777" w:rsidR="00837FB2" w:rsidRDefault="00837FB2" w:rsidP="00837FB2">
      <w:pPr>
        <w:jc w:val="center"/>
      </w:pPr>
    </w:p>
    <w:p w14:paraId="0AA7BDBC" w14:textId="77777777" w:rsidR="00837FB2" w:rsidRDefault="00837FB2" w:rsidP="00837FB2">
      <w:pPr>
        <w:jc w:val="center"/>
      </w:pPr>
    </w:p>
    <w:p w14:paraId="60268759" w14:textId="77777777" w:rsidR="00837FB2" w:rsidRDefault="00837FB2" w:rsidP="00837FB2">
      <w:pPr>
        <w:jc w:val="center"/>
      </w:pPr>
    </w:p>
    <w:p w14:paraId="4123480F" w14:textId="77777777" w:rsidR="00837FB2" w:rsidRDefault="00837FB2" w:rsidP="00837FB2">
      <w:pPr>
        <w:jc w:val="center"/>
      </w:pPr>
    </w:p>
    <w:p w14:paraId="0190426B" w14:textId="77777777" w:rsidR="00837FB2" w:rsidRDefault="00837FB2" w:rsidP="00837FB2">
      <w:pPr>
        <w:jc w:val="center"/>
      </w:pPr>
    </w:p>
    <w:p w14:paraId="1650A39E" w14:textId="77777777" w:rsidR="00837FB2" w:rsidRDefault="00837FB2" w:rsidP="00837FB2">
      <w:pPr>
        <w:jc w:val="center"/>
      </w:pPr>
    </w:p>
    <w:p w14:paraId="2EA1A657" w14:textId="77777777" w:rsidR="00837FB2" w:rsidRDefault="00837FB2" w:rsidP="00837FB2">
      <w:pPr>
        <w:jc w:val="center"/>
      </w:pPr>
    </w:p>
    <w:p w14:paraId="0A771098" w14:textId="15759015" w:rsidR="00837FB2" w:rsidRDefault="00837FB2" w:rsidP="00837FB2">
      <w:pPr>
        <w:jc w:val="center"/>
      </w:pPr>
    </w:p>
    <w:p w14:paraId="5A2532B2" w14:textId="6016B1ED" w:rsidR="00F80BFA" w:rsidRDefault="00F80BFA" w:rsidP="00837FB2">
      <w:pPr>
        <w:jc w:val="center"/>
      </w:pPr>
    </w:p>
    <w:p w14:paraId="61B4B414" w14:textId="77777777" w:rsidR="00F80BFA" w:rsidRDefault="00F80BFA" w:rsidP="00837FB2">
      <w:pPr>
        <w:jc w:val="center"/>
      </w:pPr>
    </w:p>
    <w:sdt>
      <w:sdtPr>
        <w:rPr>
          <w:rFonts w:ascii="Times New Roman" w:eastAsiaTheme="minorHAnsi" w:hAnsi="Times New Roman" w:cs="Times New Roman"/>
          <w:color w:val="auto"/>
          <w:sz w:val="24"/>
          <w:szCs w:val="24"/>
          <w:lang w:val="en-GB"/>
        </w:rPr>
        <w:id w:val="-1987780026"/>
        <w:docPartObj>
          <w:docPartGallery w:val="Table of Contents"/>
          <w:docPartUnique/>
        </w:docPartObj>
      </w:sdtPr>
      <w:sdtEndPr>
        <w:rPr>
          <w:b/>
          <w:bCs/>
          <w:noProof/>
        </w:rPr>
      </w:sdtEndPr>
      <w:sdtContent>
        <w:p w14:paraId="14C43CCC" w14:textId="77777777" w:rsidR="00837FB2" w:rsidRPr="003E4FFC" w:rsidRDefault="00837FB2">
          <w:pPr>
            <w:pStyle w:val="TOCHeading"/>
            <w:rPr>
              <w:rFonts w:ascii="Times New Roman" w:hAnsi="Times New Roman" w:cs="Times New Roman"/>
              <w:sz w:val="24"/>
              <w:szCs w:val="24"/>
            </w:rPr>
          </w:pPr>
          <w:r w:rsidRPr="003E4FFC">
            <w:rPr>
              <w:rFonts w:ascii="Times New Roman" w:hAnsi="Times New Roman" w:cs="Times New Roman"/>
              <w:sz w:val="24"/>
              <w:szCs w:val="24"/>
            </w:rPr>
            <w:t>Contents</w:t>
          </w:r>
        </w:p>
        <w:p w14:paraId="54BC8E1F" w14:textId="2F57B140" w:rsidR="00133181" w:rsidRDefault="0036416E">
          <w:pPr>
            <w:pStyle w:val="TOC1"/>
            <w:tabs>
              <w:tab w:val="right" w:leader="dot" w:pos="9628"/>
            </w:tabs>
            <w:rPr>
              <w:rFonts w:eastAsiaTheme="minorEastAsia"/>
              <w:noProof/>
              <w:lang w:eastAsia="en-GB"/>
            </w:rPr>
          </w:pPr>
          <w:r w:rsidRPr="003E4FFC">
            <w:rPr>
              <w:rFonts w:ascii="Times New Roman" w:hAnsi="Times New Roman" w:cs="Times New Roman"/>
              <w:sz w:val="24"/>
              <w:szCs w:val="24"/>
            </w:rPr>
            <w:fldChar w:fldCharType="begin"/>
          </w:r>
          <w:r w:rsidRPr="003E4FFC">
            <w:rPr>
              <w:rFonts w:ascii="Times New Roman" w:hAnsi="Times New Roman" w:cs="Times New Roman"/>
              <w:sz w:val="24"/>
              <w:szCs w:val="24"/>
            </w:rPr>
            <w:instrText xml:space="preserve"> TOC \o "1-3" \h \z \u </w:instrText>
          </w:r>
          <w:r w:rsidRPr="003E4FFC">
            <w:rPr>
              <w:rFonts w:ascii="Times New Roman" w:hAnsi="Times New Roman" w:cs="Times New Roman"/>
              <w:sz w:val="24"/>
              <w:szCs w:val="24"/>
            </w:rPr>
            <w:fldChar w:fldCharType="separate"/>
          </w:r>
          <w:hyperlink w:anchor="_Toc18488762" w:history="1">
            <w:r w:rsidR="00133181" w:rsidRPr="00D15E4E">
              <w:rPr>
                <w:rStyle w:val="Hyperlink"/>
                <w:rFonts w:ascii="Times New Roman" w:hAnsi="Times New Roman" w:cs="Times New Roman"/>
                <w:noProof/>
              </w:rPr>
              <w:t>Abstract</w:t>
            </w:r>
            <w:r w:rsidR="00133181">
              <w:rPr>
                <w:noProof/>
                <w:webHidden/>
              </w:rPr>
              <w:tab/>
            </w:r>
            <w:r w:rsidR="00133181">
              <w:rPr>
                <w:noProof/>
                <w:webHidden/>
              </w:rPr>
              <w:fldChar w:fldCharType="begin"/>
            </w:r>
            <w:r w:rsidR="00133181">
              <w:rPr>
                <w:noProof/>
                <w:webHidden/>
              </w:rPr>
              <w:instrText xml:space="preserve"> PAGEREF _Toc18488762 \h </w:instrText>
            </w:r>
            <w:r w:rsidR="00133181">
              <w:rPr>
                <w:noProof/>
                <w:webHidden/>
              </w:rPr>
            </w:r>
            <w:r w:rsidR="00133181">
              <w:rPr>
                <w:noProof/>
                <w:webHidden/>
              </w:rPr>
              <w:fldChar w:fldCharType="separate"/>
            </w:r>
            <w:r w:rsidR="00133181">
              <w:rPr>
                <w:noProof/>
                <w:webHidden/>
              </w:rPr>
              <w:t>2</w:t>
            </w:r>
            <w:r w:rsidR="00133181">
              <w:rPr>
                <w:noProof/>
                <w:webHidden/>
              </w:rPr>
              <w:fldChar w:fldCharType="end"/>
            </w:r>
          </w:hyperlink>
        </w:p>
        <w:p w14:paraId="60A52B94" w14:textId="116E72F5" w:rsidR="00133181" w:rsidRDefault="00E968E5">
          <w:pPr>
            <w:pStyle w:val="TOC1"/>
            <w:tabs>
              <w:tab w:val="right" w:leader="dot" w:pos="9628"/>
            </w:tabs>
            <w:rPr>
              <w:rFonts w:eastAsiaTheme="minorEastAsia"/>
              <w:noProof/>
              <w:lang w:eastAsia="en-GB"/>
            </w:rPr>
          </w:pPr>
          <w:hyperlink w:anchor="_Toc18488763" w:history="1">
            <w:r w:rsidR="00133181" w:rsidRPr="00D15E4E">
              <w:rPr>
                <w:rStyle w:val="Hyperlink"/>
                <w:rFonts w:ascii="Times New Roman" w:hAnsi="Times New Roman" w:cs="Times New Roman"/>
                <w:noProof/>
              </w:rPr>
              <w:t>About Lloyds Banking Group</w:t>
            </w:r>
            <w:r w:rsidR="00133181">
              <w:rPr>
                <w:noProof/>
                <w:webHidden/>
              </w:rPr>
              <w:tab/>
            </w:r>
            <w:r w:rsidR="00133181">
              <w:rPr>
                <w:noProof/>
                <w:webHidden/>
              </w:rPr>
              <w:fldChar w:fldCharType="begin"/>
            </w:r>
            <w:r w:rsidR="00133181">
              <w:rPr>
                <w:noProof/>
                <w:webHidden/>
              </w:rPr>
              <w:instrText xml:space="preserve"> PAGEREF _Toc18488763 \h </w:instrText>
            </w:r>
            <w:r w:rsidR="00133181">
              <w:rPr>
                <w:noProof/>
                <w:webHidden/>
              </w:rPr>
            </w:r>
            <w:r w:rsidR="00133181">
              <w:rPr>
                <w:noProof/>
                <w:webHidden/>
              </w:rPr>
              <w:fldChar w:fldCharType="separate"/>
            </w:r>
            <w:r w:rsidR="00133181">
              <w:rPr>
                <w:noProof/>
                <w:webHidden/>
              </w:rPr>
              <w:t>3</w:t>
            </w:r>
            <w:r w:rsidR="00133181">
              <w:rPr>
                <w:noProof/>
                <w:webHidden/>
              </w:rPr>
              <w:fldChar w:fldCharType="end"/>
            </w:r>
          </w:hyperlink>
        </w:p>
        <w:p w14:paraId="3B85B152" w14:textId="12C0E7E0" w:rsidR="00133181" w:rsidRDefault="00E968E5">
          <w:pPr>
            <w:pStyle w:val="TOC1"/>
            <w:tabs>
              <w:tab w:val="right" w:leader="dot" w:pos="9628"/>
            </w:tabs>
            <w:rPr>
              <w:rFonts w:eastAsiaTheme="minorEastAsia"/>
              <w:noProof/>
              <w:lang w:eastAsia="en-GB"/>
            </w:rPr>
          </w:pPr>
          <w:hyperlink w:anchor="_Toc18488764" w:history="1">
            <w:r w:rsidR="00133181" w:rsidRPr="00D15E4E">
              <w:rPr>
                <w:rStyle w:val="Hyperlink"/>
                <w:rFonts w:ascii="Times New Roman" w:hAnsi="Times New Roman" w:cs="Times New Roman"/>
                <w:noProof/>
              </w:rPr>
              <w:t>Ratios’ analysis – Lloyds vs. Barclays</w:t>
            </w:r>
            <w:r w:rsidR="00133181">
              <w:rPr>
                <w:noProof/>
                <w:webHidden/>
              </w:rPr>
              <w:tab/>
            </w:r>
            <w:r w:rsidR="00133181">
              <w:rPr>
                <w:noProof/>
                <w:webHidden/>
              </w:rPr>
              <w:fldChar w:fldCharType="begin"/>
            </w:r>
            <w:r w:rsidR="00133181">
              <w:rPr>
                <w:noProof/>
                <w:webHidden/>
              </w:rPr>
              <w:instrText xml:space="preserve"> PAGEREF _Toc18488764 \h </w:instrText>
            </w:r>
            <w:r w:rsidR="00133181">
              <w:rPr>
                <w:noProof/>
                <w:webHidden/>
              </w:rPr>
            </w:r>
            <w:r w:rsidR="00133181">
              <w:rPr>
                <w:noProof/>
                <w:webHidden/>
              </w:rPr>
              <w:fldChar w:fldCharType="separate"/>
            </w:r>
            <w:r w:rsidR="00133181">
              <w:rPr>
                <w:noProof/>
                <w:webHidden/>
              </w:rPr>
              <w:t>3</w:t>
            </w:r>
            <w:r w:rsidR="00133181">
              <w:rPr>
                <w:noProof/>
                <w:webHidden/>
              </w:rPr>
              <w:fldChar w:fldCharType="end"/>
            </w:r>
          </w:hyperlink>
        </w:p>
        <w:p w14:paraId="12F0677D" w14:textId="68CB3353" w:rsidR="00133181" w:rsidRDefault="00E968E5">
          <w:pPr>
            <w:pStyle w:val="TOC2"/>
            <w:tabs>
              <w:tab w:val="right" w:leader="dot" w:pos="9628"/>
            </w:tabs>
            <w:rPr>
              <w:rFonts w:eastAsiaTheme="minorEastAsia"/>
              <w:noProof/>
              <w:lang w:eastAsia="en-GB"/>
            </w:rPr>
          </w:pPr>
          <w:hyperlink w:anchor="_Toc18488765" w:history="1">
            <w:r w:rsidR="00133181" w:rsidRPr="00D15E4E">
              <w:rPr>
                <w:rStyle w:val="Hyperlink"/>
                <w:rFonts w:ascii="Times New Roman" w:hAnsi="Times New Roman" w:cs="Times New Roman"/>
                <w:noProof/>
              </w:rPr>
              <w:t>Capital adequacy ratio</w:t>
            </w:r>
            <w:r w:rsidR="00133181">
              <w:rPr>
                <w:noProof/>
                <w:webHidden/>
              </w:rPr>
              <w:tab/>
            </w:r>
            <w:r w:rsidR="00133181">
              <w:rPr>
                <w:noProof/>
                <w:webHidden/>
              </w:rPr>
              <w:fldChar w:fldCharType="begin"/>
            </w:r>
            <w:r w:rsidR="00133181">
              <w:rPr>
                <w:noProof/>
                <w:webHidden/>
              </w:rPr>
              <w:instrText xml:space="preserve"> PAGEREF _Toc18488765 \h </w:instrText>
            </w:r>
            <w:r w:rsidR="00133181">
              <w:rPr>
                <w:noProof/>
                <w:webHidden/>
              </w:rPr>
            </w:r>
            <w:r w:rsidR="00133181">
              <w:rPr>
                <w:noProof/>
                <w:webHidden/>
              </w:rPr>
              <w:fldChar w:fldCharType="separate"/>
            </w:r>
            <w:r w:rsidR="00133181">
              <w:rPr>
                <w:noProof/>
                <w:webHidden/>
              </w:rPr>
              <w:t>4</w:t>
            </w:r>
            <w:r w:rsidR="00133181">
              <w:rPr>
                <w:noProof/>
                <w:webHidden/>
              </w:rPr>
              <w:fldChar w:fldCharType="end"/>
            </w:r>
          </w:hyperlink>
        </w:p>
        <w:p w14:paraId="2BBEF1F0" w14:textId="284B248D" w:rsidR="00133181" w:rsidRDefault="00E968E5">
          <w:pPr>
            <w:pStyle w:val="TOC2"/>
            <w:tabs>
              <w:tab w:val="right" w:leader="dot" w:pos="9628"/>
            </w:tabs>
            <w:rPr>
              <w:rFonts w:eastAsiaTheme="minorEastAsia"/>
              <w:noProof/>
              <w:lang w:eastAsia="en-GB"/>
            </w:rPr>
          </w:pPr>
          <w:hyperlink w:anchor="_Toc18488766" w:history="1">
            <w:r w:rsidR="00133181" w:rsidRPr="00D15E4E">
              <w:rPr>
                <w:rStyle w:val="Hyperlink"/>
                <w:rFonts w:ascii="Times New Roman" w:hAnsi="Times New Roman" w:cs="Times New Roman"/>
                <w:noProof/>
              </w:rPr>
              <w:t>Liquidity coverage ratio</w:t>
            </w:r>
            <w:r w:rsidR="00133181">
              <w:rPr>
                <w:noProof/>
                <w:webHidden/>
              </w:rPr>
              <w:tab/>
            </w:r>
            <w:r w:rsidR="00133181">
              <w:rPr>
                <w:noProof/>
                <w:webHidden/>
              </w:rPr>
              <w:fldChar w:fldCharType="begin"/>
            </w:r>
            <w:r w:rsidR="00133181">
              <w:rPr>
                <w:noProof/>
                <w:webHidden/>
              </w:rPr>
              <w:instrText xml:space="preserve"> PAGEREF _Toc18488766 \h </w:instrText>
            </w:r>
            <w:r w:rsidR="00133181">
              <w:rPr>
                <w:noProof/>
                <w:webHidden/>
              </w:rPr>
            </w:r>
            <w:r w:rsidR="00133181">
              <w:rPr>
                <w:noProof/>
                <w:webHidden/>
              </w:rPr>
              <w:fldChar w:fldCharType="separate"/>
            </w:r>
            <w:r w:rsidR="00133181">
              <w:rPr>
                <w:noProof/>
                <w:webHidden/>
              </w:rPr>
              <w:t>6</w:t>
            </w:r>
            <w:r w:rsidR="00133181">
              <w:rPr>
                <w:noProof/>
                <w:webHidden/>
              </w:rPr>
              <w:fldChar w:fldCharType="end"/>
            </w:r>
          </w:hyperlink>
        </w:p>
        <w:p w14:paraId="5754619F" w14:textId="49728771" w:rsidR="00133181" w:rsidRDefault="00E968E5">
          <w:pPr>
            <w:pStyle w:val="TOC2"/>
            <w:tabs>
              <w:tab w:val="right" w:leader="dot" w:pos="9628"/>
            </w:tabs>
            <w:rPr>
              <w:rFonts w:eastAsiaTheme="minorEastAsia"/>
              <w:noProof/>
              <w:lang w:eastAsia="en-GB"/>
            </w:rPr>
          </w:pPr>
          <w:hyperlink w:anchor="_Toc18488767" w:history="1">
            <w:r w:rsidR="00133181" w:rsidRPr="00D15E4E">
              <w:rPr>
                <w:rStyle w:val="Hyperlink"/>
                <w:rFonts w:ascii="Times New Roman" w:hAnsi="Times New Roman" w:cs="Times New Roman"/>
                <w:noProof/>
              </w:rPr>
              <w:t>Asset quality ratio</w:t>
            </w:r>
            <w:r w:rsidR="00133181">
              <w:rPr>
                <w:noProof/>
                <w:webHidden/>
              </w:rPr>
              <w:tab/>
            </w:r>
            <w:r w:rsidR="00133181">
              <w:rPr>
                <w:noProof/>
                <w:webHidden/>
              </w:rPr>
              <w:fldChar w:fldCharType="begin"/>
            </w:r>
            <w:r w:rsidR="00133181">
              <w:rPr>
                <w:noProof/>
                <w:webHidden/>
              </w:rPr>
              <w:instrText xml:space="preserve"> PAGEREF _Toc18488767 \h </w:instrText>
            </w:r>
            <w:r w:rsidR="00133181">
              <w:rPr>
                <w:noProof/>
                <w:webHidden/>
              </w:rPr>
            </w:r>
            <w:r w:rsidR="00133181">
              <w:rPr>
                <w:noProof/>
                <w:webHidden/>
              </w:rPr>
              <w:fldChar w:fldCharType="separate"/>
            </w:r>
            <w:r w:rsidR="00133181">
              <w:rPr>
                <w:noProof/>
                <w:webHidden/>
              </w:rPr>
              <w:t>8</w:t>
            </w:r>
            <w:r w:rsidR="00133181">
              <w:rPr>
                <w:noProof/>
                <w:webHidden/>
              </w:rPr>
              <w:fldChar w:fldCharType="end"/>
            </w:r>
          </w:hyperlink>
        </w:p>
        <w:p w14:paraId="5B31FE01" w14:textId="3CA9F366" w:rsidR="00133181" w:rsidRDefault="00E968E5">
          <w:pPr>
            <w:pStyle w:val="TOC1"/>
            <w:tabs>
              <w:tab w:val="right" w:leader="dot" w:pos="9628"/>
            </w:tabs>
            <w:rPr>
              <w:rFonts w:eastAsiaTheme="minorEastAsia"/>
              <w:noProof/>
              <w:lang w:eastAsia="en-GB"/>
            </w:rPr>
          </w:pPr>
          <w:hyperlink w:anchor="_Toc18488768" w:history="1">
            <w:r w:rsidR="00133181" w:rsidRPr="00D15E4E">
              <w:rPr>
                <w:rStyle w:val="Hyperlink"/>
                <w:rFonts w:ascii="Times New Roman" w:hAnsi="Times New Roman" w:cs="Times New Roman"/>
                <w:noProof/>
              </w:rPr>
              <w:t>Risks</w:t>
            </w:r>
            <w:r w:rsidR="00133181">
              <w:rPr>
                <w:noProof/>
                <w:webHidden/>
              </w:rPr>
              <w:tab/>
            </w:r>
            <w:r w:rsidR="00133181">
              <w:rPr>
                <w:noProof/>
                <w:webHidden/>
              </w:rPr>
              <w:fldChar w:fldCharType="begin"/>
            </w:r>
            <w:r w:rsidR="00133181">
              <w:rPr>
                <w:noProof/>
                <w:webHidden/>
              </w:rPr>
              <w:instrText xml:space="preserve"> PAGEREF _Toc18488768 \h </w:instrText>
            </w:r>
            <w:r w:rsidR="00133181">
              <w:rPr>
                <w:noProof/>
                <w:webHidden/>
              </w:rPr>
            </w:r>
            <w:r w:rsidR="00133181">
              <w:rPr>
                <w:noProof/>
                <w:webHidden/>
              </w:rPr>
              <w:fldChar w:fldCharType="separate"/>
            </w:r>
            <w:r w:rsidR="00133181">
              <w:rPr>
                <w:noProof/>
                <w:webHidden/>
              </w:rPr>
              <w:t>9</w:t>
            </w:r>
            <w:r w:rsidR="00133181">
              <w:rPr>
                <w:noProof/>
                <w:webHidden/>
              </w:rPr>
              <w:fldChar w:fldCharType="end"/>
            </w:r>
          </w:hyperlink>
        </w:p>
        <w:p w14:paraId="27EA6620" w14:textId="523D6844" w:rsidR="00133181" w:rsidRDefault="00E968E5">
          <w:pPr>
            <w:pStyle w:val="TOC2"/>
            <w:tabs>
              <w:tab w:val="right" w:leader="dot" w:pos="9628"/>
            </w:tabs>
            <w:rPr>
              <w:rFonts w:eastAsiaTheme="minorEastAsia"/>
              <w:noProof/>
              <w:lang w:eastAsia="en-GB"/>
            </w:rPr>
          </w:pPr>
          <w:hyperlink w:anchor="_Toc18488769" w:history="1">
            <w:r w:rsidR="00133181" w:rsidRPr="00D15E4E">
              <w:rPr>
                <w:rStyle w:val="Hyperlink"/>
                <w:rFonts w:ascii="Times New Roman" w:hAnsi="Times New Roman" w:cs="Times New Roman"/>
                <w:noProof/>
              </w:rPr>
              <w:t>Credit risk</w:t>
            </w:r>
            <w:r w:rsidR="00133181">
              <w:rPr>
                <w:noProof/>
                <w:webHidden/>
              </w:rPr>
              <w:tab/>
            </w:r>
            <w:r w:rsidR="00133181">
              <w:rPr>
                <w:noProof/>
                <w:webHidden/>
              </w:rPr>
              <w:fldChar w:fldCharType="begin"/>
            </w:r>
            <w:r w:rsidR="00133181">
              <w:rPr>
                <w:noProof/>
                <w:webHidden/>
              </w:rPr>
              <w:instrText xml:space="preserve"> PAGEREF _Toc18488769 \h </w:instrText>
            </w:r>
            <w:r w:rsidR="00133181">
              <w:rPr>
                <w:noProof/>
                <w:webHidden/>
              </w:rPr>
            </w:r>
            <w:r w:rsidR="00133181">
              <w:rPr>
                <w:noProof/>
                <w:webHidden/>
              </w:rPr>
              <w:fldChar w:fldCharType="separate"/>
            </w:r>
            <w:r w:rsidR="00133181">
              <w:rPr>
                <w:noProof/>
                <w:webHidden/>
              </w:rPr>
              <w:t>10</w:t>
            </w:r>
            <w:r w:rsidR="00133181">
              <w:rPr>
                <w:noProof/>
                <w:webHidden/>
              </w:rPr>
              <w:fldChar w:fldCharType="end"/>
            </w:r>
          </w:hyperlink>
        </w:p>
        <w:p w14:paraId="665C9378" w14:textId="7E9A37D9" w:rsidR="00133181" w:rsidRDefault="00E968E5">
          <w:pPr>
            <w:pStyle w:val="TOC3"/>
            <w:tabs>
              <w:tab w:val="right" w:leader="dot" w:pos="9628"/>
            </w:tabs>
            <w:rPr>
              <w:rFonts w:eastAsiaTheme="minorEastAsia"/>
              <w:noProof/>
              <w:lang w:eastAsia="en-GB"/>
            </w:rPr>
          </w:pPr>
          <w:hyperlink w:anchor="_Toc18488770" w:history="1">
            <w:r w:rsidR="00133181" w:rsidRPr="00D15E4E">
              <w:rPr>
                <w:rStyle w:val="Hyperlink"/>
                <w:rFonts w:ascii="Times New Roman" w:hAnsi="Times New Roman" w:cs="Times New Roman"/>
                <w:noProof/>
              </w:rPr>
              <w:t>Credit risk mitigation</w:t>
            </w:r>
            <w:r w:rsidR="00133181">
              <w:rPr>
                <w:noProof/>
                <w:webHidden/>
              </w:rPr>
              <w:tab/>
            </w:r>
            <w:r w:rsidR="00133181">
              <w:rPr>
                <w:noProof/>
                <w:webHidden/>
              </w:rPr>
              <w:fldChar w:fldCharType="begin"/>
            </w:r>
            <w:r w:rsidR="00133181">
              <w:rPr>
                <w:noProof/>
                <w:webHidden/>
              </w:rPr>
              <w:instrText xml:space="preserve"> PAGEREF _Toc18488770 \h </w:instrText>
            </w:r>
            <w:r w:rsidR="00133181">
              <w:rPr>
                <w:noProof/>
                <w:webHidden/>
              </w:rPr>
            </w:r>
            <w:r w:rsidR="00133181">
              <w:rPr>
                <w:noProof/>
                <w:webHidden/>
              </w:rPr>
              <w:fldChar w:fldCharType="separate"/>
            </w:r>
            <w:r w:rsidR="00133181">
              <w:rPr>
                <w:noProof/>
                <w:webHidden/>
              </w:rPr>
              <w:t>10</w:t>
            </w:r>
            <w:r w:rsidR="00133181">
              <w:rPr>
                <w:noProof/>
                <w:webHidden/>
              </w:rPr>
              <w:fldChar w:fldCharType="end"/>
            </w:r>
          </w:hyperlink>
        </w:p>
        <w:p w14:paraId="08924521" w14:textId="1DB94C4C" w:rsidR="00133181" w:rsidRDefault="00E968E5">
          <w:pPr>
            <w:pStyle w:val="TOC2"/>
            <w:tabs>
              <w:tab w:val="right" w:leader="dot" w:pos="9628"/>
            </w:tabs>
            <w:rPr>
              <w:rFonts w:eastAsiaTheme="minorEastAsia"/>
              <w:noProof/>
              <w:lang w:eastAsia="en-GB"/>
            </w:rPr>
          </w:pPr>
          <w:hyperlink w:anchor="_Toc18488771" w:history="1">
            <w:r w:rsidR="00133181" w:rsidRPr="00D15E4E">
              <w:rPr>
                <w:rStyle w:val="Hyperlink"/>
                <w:rFonts w:ascii="Times New Roman" w:hAnsi="Times New Roman" w:cs="Times New Roman"/>
                <w:noProof/>
              </w:rPr>
              <w:t>Operational risk</w:t>
            </w:r>
            <w:r w:rsidR="00133181">
              <w:rPr>
                <w:noProof/>
                <w:webHidden/>
              </w:rPr>
              <w:tab/>
            </w:r>
            <w:r w:rsidR="00133181">
              <w:rPr>
                <w:noProof/>
                <w:webHidden/>
              </w:rPr>
              <w:fldChar w:fldCharType="begin"/>
            </w:r>
            <w:r w:rsidR="00133181">
              <w:rPr>
                <w:noProof/>
                <w:webHidden/>
              </w:rPr>
              <w:instrText xml:space="preserve"> PAGEREF _Toc18488771 \h </w:instrText>
            </w:r>
            <w:r w:rsidR="00133181">
              <w:rPr>
                <w:noProof/>
                <w:webHidden/>
              </w:rPr>
            </w:r>
            <w:r w:rsidR="00133181">
              <w:rPr>
                <w:noProof/>
                <w:webHidden/>
              </w:rPr>
              <w:fldChar w:fldCharType="separate"/>
            </w:r>
            <w:r w:rsidR="00133181">
              <w:rPr>
                <w:noProof/>
                <w:webHidden/>
              </w:rPr>
              <w:t>11</w:t>
            </w:r>
            <w:r w:rsidR="00133181">
              <w:rPr>
                <w:noProof/>
                <w:webHidden/>
              </w:rPr>
              <w:fldChar w:fldCharType="end"/>
            </w:r>
          </w:hyperlink>
        </w:p>
        <w:p w14:paraId="6E72B0FE" w14:textId="529E2251" w:rsidR="00133181" w:rsidRDefault="00E968E5">
          <w:pPr>
            <w:pStyle w:val="TOC3"/>
            <w:tabs>
              <w:tab w:val="right" w:leader="dot" w:pos="9628"/>
            </w:tabs>
            <w:rPr>
              <w:rFonts w:eastAsiaTheme="minorEastAsia"/>
              <w:noProof/>
              <w:lang w:eastAsia="en-GB"/>
            </w:rPr>
          </w:pPr>
          <w:hyperlink w:anchor="_Toc18488772" w:history="1">
            <w:r w:rsidR="00133181" w:rsidRPr="00D15E4E">
              <w:rPr>
                <w:rStyle w:val="Hyperlink"/>
                <w:rFonts w:ascii="Times New Roman" w:hAnsi="Times New Roman" w:cs="Times New Roman"/>
                <w:noProof/>
              </w:rPr>
              <w:t>Operational risk mitigation</w:t>
            </w:r>
            <w:r w:rsidR="00133181">
              <w:rPr>
                <w:noProof/>
                <w:webHidden/>
              </w:rPr>
              <w:tab/>
            </w:r>
            <w:r w:rsidR="00133181">
              <w:rPr>
                <w:noProof/>
                <w:webHidden/>
              </w:rPr>
              <w:fldChar w:fldCharType="begin"/>
            </w:r>
            <w:r w:rsidR="00133181">
              <w:rPr>
                <w:noProof/>
                <w:webHidden/>
              </w:rPr>
              <w:instrText xml:space="preserve"> PAGEREF _Toc18488772 \h </w:instrText>
            </w:r>
            <w:r w:rsidR="00133181">
              <w:rPr>
                <w:noProof/>
                <w:webHidden/>
              </w:rPr>
            </w:r>
            <w:r w:rsidR="00133181">
              <w:rPr>
                <w:noProof/>
                <w:webHidden/>
              </w:rPr>
              <w:fldChar w:fldCharType="separate"/>
            </w:r>
            <w:r w:rsidR="00133181">
              <w:rPr>
                <w:noProof/>
                <w:webHidden/>
              </w:rPr>
              <w:t>11</w:t>
            </w:r>
            <w:r w:rsidR="00133181">
              <w:rPr>
                <w:noProof/>
                <w:webHidden/>
              </w:rPr>
              <w:fldChar w:fldCharType="end"/>
            </w:r>
          </w:hyperlink>
        </w:p>
        <w:p w14:paraId="40FCEE58" w14:textId="310E1DD0" w:rsidR="00133181" w:rsidRDefault="00E968E5">
          <w:pPr>
            <w:pStyle w:val="TOC2"/>
            <w:tabs>
              <w:tab w:val="right" w:leader="dot" w:pos="9628"/>
            </w:tabs>
            <w:rPr>
              <w:rFonts w:eastAsiaTheme="minorEastAsia"/>
              <w:noProof/>
              <w:lang w:eastAsia="en-GB"/>
            </w:rPr>
          </w:pPr>
          <w:hyperlink w:anchor="_Toc18488773" w:history="1">
            <w:r w:rsidR="00133181" w:rsidRPr="00D15E4E">
              <w:rPr>
                <w:rStyle w:val="Hyperlink"/>
                <w:rFonts w:ascii="Times New Roman" w:hAnsi="Times New Roman" w:cs="Times New Roman"/>
                <w:noProof/>
              </w:rPr>
              <w:t>Market risk</w:t>
            </w:r>
            <w:r w:rsidR="00133181">
              <w:rPr>
                <w:noProof/>
                <w:webHidden/>
              </w:rPr>
              <w:tab/>
            </w:r>
            <w:r w:rsidR="00133181">
              <w:rPr>
                <w:noProof/>
                <w:webHidden/>
              </w:rPr>
              <w:fldChar w:fldCharType="begin"/>
            </w:r>
            <w:r w:rsidR="00133181">
              <w:rPr>
                <w:noProof/>
                <w:webHidden/>
              </w:rPr>
              <w:instrText xml:space="preserve"> PAGEREF _Toc18488773 \h </w:instrText>
            </w:r>
            <w:r w:rsidR="00133181">
              <w:rPr>
                <w:noProof/>
                <w:webHidden/>
              </w:rPr>
            </w:r>
            <w:r w:rsidR="00133181">
              <w:rPr>
                <w:noProof/>
                <w:webHidden/>
              </w:rPr>
              <w:fldChar w:fldCharType="separate"/>
            </w:r>
            <w:r w:rsidR="00133181">
              <w:rPr>
                <w:noProof/>
                <w:webHidden/>
              </w:rPr>
              <w:t>12</w:t>
            </w:r>
            <w:r w:rsidR="00133181">
              <w:rPr>
                <w:noProof/>
                <w:webHidden/>
              </w:rPr>
              <w:fldChar w:fldCharType="end"/>
            </w:r>
          </w:hyperlink>
        </w:p>
        <w:p w14:paraId="4250795D" w14:textId="45F3FD4F" w:rsidR="00133181" w:rsidRDefault="00E968E5">
          <w:pPr>
            <w:pStyle w:val="TOC3"/>
            <w:tabs>
              <w:tab w:val="right" w:leader="dot" w:pos="9628"/>
            </w:tabs>
            <w:rPr>
              <w:rFonts w:eastAsiaTheme="minorEastAsia"/>
              <w:noProof/>
              <w:lang w:eastAsia="en-GB"/>
            </w:rPr>
          </w:pPr>
          <w:hyperlink w:anchor="_Toc18488774" w:history="1">
            <w:r w:rsidR="00133181" w:rsidRPr="00D15E4E">
              <w:rPr>
                <w:rStyle w:val="Hyperlink"/>
                <w:rFonts w:ascii="Times New Roman" w:hAnsi="Times New Roman" w:cs="Times New Roman"/>
                <w:noProof/>
              </w:rPr>
              <w:t>Market risk mitigation</w:t>
            </w:r>
            <w:r w:rsidR="00133181">
              <w:rPr>
                <w:noProof/>
                <w:webHidden/>
              </w:rPr>
              <w:tab/>
            </w:r>
            <w:r w:rsidR="00133181">
              <w:rPr>
                <w:noProof/>
                <w:webHidden/>
              </w:rPr>
              <w:fldChar w:fldCharType="begin"/>
            </w:r>
            <w:r w:rsidR="00133181">
              <w:rPr>
                <w:noProof/>
                <w:webHidden/>
              </w:rPr>
              <w:instrText xml:space="preserve"> PAGEREF _Toc18488774 \h </w:instrText>
            </w:r>
            <w:r w:rsidR="00133181">
              <w:rPr>
                <w:noProof/>
                <w:webHidden/>
              </w:rPr>
            </w:r>
            <w:r w:rsidR="00133181">
              <w:rPr>
                <w:noProof/>
                <w:webHidden/>
              </w:rPr>
              <w:fldChar w:fldCharType="separate"/>
            </w:r>
            <w:r w:rsidR="00133181">
              <w:rPr>
                <w:noProof/>
                <w:webHidden/>
              </w:rPr>
              <w:t>12</w:t>
            </w:r>
            <w:r w:rsidR="00133181">
              <w:rPr>
                <w:noProof/>
                <w:webHidden/>
              </w:rPr>
              <w:fldChar w:fldCharType="end"/>
            </w:r>
          </w:hyperlink>
        </w:p>
        <w:p w14:paraId="244CC4FF" w14:textId="2DC31B63" w:rsidR="00133181" w:rsidRDefault="00E968E5">
          <w:pPr>
            <w:pStyle w:val="TOC1"/>
            <w:tabs>
              <w:tab w:val="right" w:leader="dot" w:pos="9628"/>
            </w:tabs>
            <w:rPr>
              <w:rFonts w:eastAsiaTheme="minorEastAsia"/>
              <w:noProof/>
              <w:lang w:eastAsia="en-GB"/>
            </w:rPr>
          </w:pPr>
          <w:hyperlink w:anchor="_Toc18488775" w:history="1">
            <w:r w:rsidR="00133181" w:rsidRPr="00D15E4E">
              <w:rPr>
                <w:rStyle w:val="Hyperlink"/>
                <w:noProof/>
              </w:rPr>
              <w:t>Efficient Market Hypothesis</w:t>
            </w:r>
            <w:r w:rsidR="00133181">
              <w:rPr>
                <w:noProof/>
                <w:webHidden/>
              </w:rPr>
              <w:tab/>
            </w:r>
            <w:r w:rsidR="00133181">
              <w:rPr>
                <w:noProof/>
                <w:webHidden/>
              </w:rPr>
              <w:fldChar w:fldCharType="begin"/>
            </w:r>
            <w:r w:rsidR="00133181">
              <w:rPr>
                <w:noProof/>
                <w:webHidden/>
              </w:rPr>
              <w:instrText xml:space="preserve"> PAGEREF _Toc18488775 \h </w:instrText>
            </w:r>
            <w:r w:rsidR="00133181">
              <w:rPr>
                <w:noProof/>
                <w:webHidden/>
              </w:rPr>
            </w:r>
            <w:r w:rsidR="00133181">
              <w:rPr>
                <w:noProof/>
                <w:webHidden/>
              </w:rPr>
              <w:fldChar w:fldCharType="separate"/>
            </w:r>
            <w:r w:rsidR="00133181">
              <w:rPr>
                <w:noProof/>
                <w:webHidden/>
              </w:rPr>
              <w:t>13</w:t>
            </w:r>
            <w:r w:rsidR="00133181">
              <w:rPr>
                <w:noProof/>
                <w:webHidden/>
              </w:rPr>
              <w:fldChar w:fldCharType="end"/>
            </w:r>
          </w:hyperlink>
        </w:p>
        <w:p w14:paraId="302E26CE" w14:textId="0F19EA7E" w:rsidR="00133181" w:rsidRDefault="00E968E5">
          <w:pPr>
            <w:pStyle w:val="TOC2"/>
            <w:tabs>
              <w:tab w:val="right" w:leader="dot" w:pos="9628"/>
            </w:tabs>
            <w:rPr>
              <w:rFonts w:eastAsiaTheme="minorEastAsia"/>
              <w:noProof/>
              <w:lang w:eastAsia="en-GB"/>
            </w:rPr>
          </w:pPr>
          <w:hyperlink w:anchor="_Toc18488776" w:history="1">
            <w:r w:rsidR="00133181" w:rsidRPr="00D15E4E">
              <w:rPr>
                <w:rStyle w:val="Hyperlink"/>
                <w:rFonts w:ascii="Times New Roman" w:eastAsia="Yu Gothic Light" w:hAnsi="Times New Roman" w:cs="Times New Roman"/>
                <w:noProof/>
                <w:lang w:eastAsia="ja-JP"/>
              </w:rPr>
              <w:t>Importance</w:t>
            </w:r>
            <w:r w:rsidR="00133181">
              <w:rPr>
                <w:noProof/>
                <w:webHidden/>
              </w:rPr>
              <w:tab/>
            </w:r>
            <w:r w:rsidR="00133181">
              <w:rPr>
                <w:noProof/>
                <w:webHidden/>
              </w:rPr>
              <w:fldChar w:fldCharType="begin"/>
            </w:r>
            <w:r w:rsidR="00133181">
              <w:rPr>
                <w:noProof/>
                <w:webHidden/>
              </w:rPr>
              <w:instrText xml:space="preserve"> PAGEREF _Toc18488776 \h </w:instrText>
            </w:r>
            <w:r w:rsidR="00133181">
              <w:rPr>
                <w:noProof/>
                <w:webHidden/>
              </w:rPr>
            </w:r>
            <w:r w:rsidR="00133181">
              <w:rPr>
                <w:noProof/>
                <w:webHidden/>
              </w:rPr>
              <w:fldChar w:fldCharType="separate"/>
            </w:r>
            <w:r w:rsidR="00133181">
              <w:rPr>
                <w:noProof/>
                <w:webHidden/>
              </w:rPr>
              <w:t>13</w:t>
            </w:r>
            <w:r w:rsidR="00133181">
              <w:rPr>
                <w:noProof/>
                <w:webHidden/>
              </w:rPr>
              <w:fldChar w:fldCharType="end"/>
            </w:r>
          </w:hyperlink>
        </w:p>
        <w:p w14:paraId="75938134" w14:textId="23235DC7" w:rsidR="00133181" w:rsidRDefault="00E968E5">
          <w:pPr>
            <w:pStyle w:val="TOC2"/>
            <w:tabs>
              <w:tab w:val="right" w:leader="dot" w:pos="9628"/>
            </w:tabs>
            <w:rPr>
              <w:rFonts w:eastAsiaTheme="minorEastAsia"/>
              <w:noProof/>
              <w:lang w:eastAsia="en-GB"/>
            </w:rPr>
          </w:pPr>
          <w:hyperlink w:anchor="_Toc18488777" w:history="1">
            <w:r w:rsidR="00133181" w:rsidRPr="00D15E4E">
              <w:rPr>
                <w:rStyle w:val="Hyperlink"/>
                <w:rFonts w:ascii="Times New Roman" w:eastAsia="Yu Gothic Light" w:hAnsi="Times New Roman" w:cs="Times New Roman"/>
                <w:noProof/>
                <w:lang w:eastAsia="ja-JP"/>
              </w:rPr>
              <w:t>Relevance in Banking</w:t>
            </w:r>
            <w:r w:rsidR="00133181">
              <w:rPr>
                <w:noProof/>
                <w:webHidden/>
              </w:rPr>
              <w:tab/>
            </w:r>
            <w:r w:rsidR="00133181">
              <w:rPr>
                <w:noProof/>
                <w:webHidden/>
              </w:rPr>
              <w:fldChar w:fldCharType="begin"/>
            </w:r>
            <w:r w:rsidR="00133181">
              <w:rPr>
                <w:noProof/>
                <w:webHidden/>
              </w:rPr>
              <w:instrText xml:space="preserve"> PAGEREF _Toc18488777 \h </w:instrText>
            </w:r>
            <w:r w:rsidR="00133181">
              <w:rPr>
                <w:noProof/>
                <w:webHidden/>
              </w:rPr>
            </w:r>
            <w:r w:rsidR="00133181">
              <w:rPr>
                <w:noProof/>
                <w:webHidden/>
              </w:rPr>
              <w:fldChar w:fldCharType="separate"/>
            </w:r>
            <w:r w:rsidR="00133181">
              <w:rPr>
                <w:noProof/>
                <w:webHidden/>
              </w:rPr>
              <w:t>13</w:t>
            </w:r>
            <w:r w:rsidR="00133181">
              <w:rPr>
                <w:noProof/>
                <w:webHidden/>
              </w:rPr>
              <w:fldChar w:fldCharType="end"/>
            </w:r>
          </w:hyperlink>
        </w:p>
        <w:p w14:paraId="36D095F6" w14:textId="7FA0517B" w:rsidR="00133181" w:rsidRDefault="00E968E5">
          <w:pPr>
            <w:pStyle w:val="TOC2"/>
            <w:tabs>
              <w:tab w:val="right" w:leader="dot" w:pos="9628"/>
            </w:tabs>
            <w:rPr>
              <w:rFonts w:eastAsiaTheme="minorEastAsia"/>
              <w:noProof/>
              <w:lang w:eastAsia="en-GB"/>
            </w:rPr>
          </w:pPr>
          <w:hyperlink w:anchor="_Toc18488778" w:history="1">
            <w:r w:rsidR="00133181" w:rsidRPr="00D15E4E">
              <w:rPr>
                <w:rStyle w:val="Hyperlink"/>
                <w:rFonts w:ascii="Times New Roman" w:eastAsia="Yu Gothic Light" w:hAnsi="Times New Roman" w:cs="Times New Roman"/>
                <w:noProof/>
                <w:lang w:eastAsia="ja-JP"/>
              </w:rPr>
              <w:t>Operational Risk</w:t>
            </w:r>
            <w:r w:rsidR="00133181">
              <w:rPr>
                <w:noProof/>
                <w:webHidden/>
              </w:rPr>
              <w:tab/>
            </w:r>
            <w:r w:rsidR="00133181">
              <w:rPr>
                <w:noProof/>
                <w:webHidden/>
              </w:rPr>
              <w:fldChar w:fldCharType="begin"/>
            </w:r>
            <w:r w:rsidR="00133181">
              <w:rPr>
                <w:noProof/>
                <w:webHidden/>
              </w:rPr>
              <w:instrText xml:space="preserve"> PAGEREF _Toc18488778 \h </w:instrText>
            </w:r>
            <w:r w:rsidR="00133181">
              <w:rPr>
                <w:noProof/>
                <w:webHidden/>
              </w:rPr>
            </w:r>
            <w:r w:rsidR="00133181">
              <w:rPr>
                <w:noProof/>
                <w:webHidden/>
              </w:rPr>
              <w:fldChar w:fldCharType="separate"/>
            </w:r>
            <w:r w:rsidR="00133181">
              <w:rPr>
                <w:noProof/>
                <w:webHidden/>
              </w:rPr>
              <w:t>14</w:t>
            </w:r>
            <w:r w:rsidR="00133181">
              <w:rPr>
                <w:noProof/>
                <w:webHidden/>
              </w:rPr>
              <w:fldChar w:fldCharType="end"/>
            </w:r>
          </w:hyperlink>
        </w:p>
        <w:p w14:paraId="7B15D1C2" w14:textId="21752339" w:rsidR="00133181" w:rsidRDefault="00E968E5">
          <w:pPr>
            <w:pStyle w:val="TOC1"/>
            <w:tabs>
              <w:tab w:val="right" w:leader="dot" w:pos="9628"/>
            </w:tabs>
            <w:rPr>
              <w:rFonts w:eastAsiaTheme="minorEastAsia"/>
              <w:noProof/>
              <w:lang w:eastAsia="en-GB"/>
            </w:rPr>
          </w:pPr>
          <w:hyperlink w:anchor="_Toc18488779" w:history="1">
            <w:r w:rsidR="00133181" w:rsidRPr="00D15E4E">
              <w:rPr>
                <w:rStyle w:val="Hyperlink"/>
                <w:rFonts w:ascii="Times New Roman" w:hAnsi="Times New Roman" w:cs="Times New Roman"/>
                <w:bCs/>
                <w:noProof/>
              </w:rPr>
              <w:t>Literature Review: Role of Regulators in Averting Future Banking Financial Crisis or Financial System Failure</w:t>
            </w:r>
            <w:r w:rsidR="00133181">
              <w:rPr>
                <w:noProof/>
                <w:webHidden/>
              </w:rPr>
              <w:tab/>
            </w:r>
            <w:r w:rsidR="00133181">
              <w:rPr>
                <w:noProof/>
                <w:webHidden/>
              </w:rPr>
              <w:fldChar w:fldCharType="begin"/>
            </w:r>
            <w:r w:rsidR="00133181">
              <w:rPr>
                <w:noProof/>
                <w:webHidden/>
              </w:rPr>
              <w:instrText xml:space="preserve"> PAGEREF _Toc18488779 \h </w:instrText>
            </w:r>
            <w:r w:rsidR="00133181">
              <w:rPr>
                <w:noProof/>
                <w:webHidden/>
              </w:rPr>
            </w:r>
            <w:r w:rsidR="00133181">
              <w:rPr>
                <w:noProof/>
                <w:webHidden/>
              </w:rPr>
              <w:fldChar w:fldCharType="separate"/>
            </w:r>
            <w:r w:rsidR="00133181">
              <w:rPr>
                <w:noProof/>
                <w:webHidden/>
              </w:rPr>
              <w:t>15</w:t>
            </w:r>
            <w:r w:rsidR="00133181">
              <w:rPr>
                <w:noProof/>
                <w:webHidden/>
              </w:rPr>
              <w:fldChar w:fldCharType="end"/>
            </w:r>
          </w:hyperlink>
        </w:p>
        <w:p w14:paraId="0F1D060D" w14:textId="0972581F" w:rsidR="00133181" w:rsidRDefault="00E968E5">
          <w:pPr>
            <w:pStyle w:val="TOC2"/>
            <w:tabs>
              <w:tab w:val="right" w:leader="dot" w:pos="9628"/>
            </w:tabs>
            <w:rPr>
              <w:rFonts w:eastAsiaTheme="minorEastAsia"/>
              <w:noProof/>
              <w:lang w:eastAsia="en-GB"/>
            </w:rPr>
          </w:pPr>
          <w:hyperlink w:anchor="_Toc18488780" w:history="1">
            <w:r w:rsidR="00133181" w:rsidRPr="00D15E4E">
              <w:rPr>
                <w:rStyle w:val="Hyperlink"/>
                <w:rFonts w:ascii="Times New Roman" w:hAnsi="Times New Roman" w:cs="Times New Roman"/>
                <w:noProof/>
              </w:rPr>
              <w:t>Role Played by Central Banks</w:t>
            </w:r>
            <w:r w:rsidR="00133181">
              <w:rPr>
                <w:noProof/>
                <w:webHidden/>
              </w:rPr>
              <w:tab/>
            </w:r>
            <w:r w:rsidR="00133181">
              <w:rPr>
                <w:noProof/>
                <w:webHidden/>
              </w:rPr>
              <w:fldChar w:fldCharType="begin"/>
            </w:r>
            <w:r w:rsidR="00133181">
              <w:rPr>
                <w:noProof/>
                <w:webHidden/>
              </w:rPr>
              <w:instrText xml:space="preserve"> PAGEREF _Toc18488780 \h </w:instrText>
            </w:r>
            <w:r w:rsidR="00133181">
              <w:rPr>
                <w:noProof/>
                <w:webHidden/>
              </w:rPr>
            </w:r>
            <w:r w:rsidR="00133181">
              <w:rPr>
                <w:noProof/>
                <w:webHidden/>
              </w:rPr>
              <w:fldChar w:fldCharType="separate"/>
            </w:r>
            <w:r w:rsidR="00133181">
              <w:rPr>
                <w:noProof/>
                <w:webHidden/>
              </w:rPr>
              <w:t>15</w:t>
            </w:r>
            <w:r w:rsidR="00133181">
              <w:rPr>
                <w:noProof/>
                <w:webHidden/>
              </w:rPr>
              <w:fldChar w:fldCharType="end"/>
            </w:r>
          </w:hyperlink>
        </w:p>
        <w:p w14:paraId="677DDCE3" w14:textId="4B5D89A8" w:rsidR="00133181" w:rsidRDefault="00E968E5">
          <w:pPr>
            <w:pStyle w:val="TOC2"/>
            <w:tabs>
              <w:tab w:val="right" w:leader="dot" w:pos="9628"/>
            </w:tabs>
            <w:rPr>
              <w:rFonts w:eastAsiaTheme="minorEastAsia"/>
              <w:noProof/>
              <w:lang w:eastAsia="en-GB"/>
            </w:rPr>
          </w:pPr>
          <w:hyperlink w:anchor="_Toc18488781" w:history="1">
            <w:r w:rsidR="00133181" w:rsidRPr="00D15E4E">
              <w:rPr>
                <w:rStyle w:val="Hyperlink"/>
                <w:rFonts w:ascii="Times New Roman" w:hAnsi="Times New Roman" w:cs="Times New Roman"/>
                <w:noProof/>
              </w:rPr>
              <w:t>Financial Regulation</w:t>
            </w:r>
            <w:r w:rsidR="00133181">
              <w:rPr>
                <w:noProof/>
                <w:webHidden/>
              </w:rPr>
              <w:tab/>
            </w:r>
            <w:r w:rsidR="00133181">
              <w:rPr>
                <w:noProof/>
                <w:webHidden/>
              </w:rPr>
              <w:fldChar w:fldCharType="begin"/>
            </w:r>
            <w:r w:rsidR="00133181">
              <w:rPr>
                <w:noProof/>
                <w:webHidden/>
              </w:rPr>
              <w:instrText xml:space="preserve"> PAGEREF _Toc18488781 \h </w:instrText>
            </w:r>
            <w:r w:rsidR="00133181">
              <w:rPr>
                <w:noProof/>
                <w:webHidden/>
              </w:rPr>
            </w:r>
            <w:r w:rsidR="00133181">
              <w:rPr>
                <w:noProof/>
                <w:webHidden/>
              </w:rPr>
              <w:fldChar w:fldCharType="separate"/>
            </w:r>
            <w:r w:rsidR="00133181">
              <w:rPr>
                <w:noProof/>
                <w:webHidden/>
              </w:rPr>
              <w:t>16</w:t>
            </w:r>
            <w:r w:rsidR="00133181">
              <w:rPr>
                <w:noProof/>
                <w:webHidden/>
              </w:rPr>
              <w:fldChar w:fldCharType="end"/>
            </w:r>
          </w:hyperlink>
        </w:p>
        <w:p w14:paraId="628FEB32" w14:textId="7357A0A5" w:rsidR="00133181" w:rsidRDefault="00E968E5">
          <w:pPr>
            <w:pStyle w:val="TOC2"/>
            <w:tabs>
              <w:tab w:val="right" w:leader="dot" w:pos="9628"/>
            </w:tabs>
            <w:rPr>
              <w:rFonts w:eastAsiaTheme="minorEastAsia"/>
              <w:noProof/>
              <w:lang w:eastAsia="en-GB"/>
            </w:rPr>
          </w:pPr>
          <w:hyperlink w:anchor="_Toc18488782" w:history="1">
            <w:r w:rsidR="00133181" w:rsidRPr="00D15E4E">
              <w:rPr>
                <w:rStyle w:val="Hyperlink"/>
                <w:rFonts w:ascii="Times New Roman" w:hAnsi="Times New Roman" w:cs="Times New Roman"/>
                <w:noProof/>
              </w:rPr>
              <w:t>Capital Requirements and Bank Supervision</w:t>
            </w:r>
            <w:r w:rsidR="00133181">
              <w:rPr>
                <w:noProof/>
                <w:webHidden/>
              </w:rPr>
              <w:tab/>
            </w:r>
            <w:r w:rsidR="00133181">
              <w:rPr>
                <w:noProof/>
                <w:webHidden/>
              </w:rPr>
              <w:fldChar w:fldCharType="begin"/>
            </w:r>
            <w:r w:rsidR="00133181">
              <w:rPr>
                <w:noProof/>
                <w:webHidden/>
              </w:rPr>
              <w:instrText xml:space="preserve"> PAGEREF _Toc18488782 \h </w:instrText>
            </w:r>
            <w:r w:rsidR="00133181">
              <w:rPr>
                <w:noProof/>
                <w:webHidden/>
              </w:rPr>
            </w:r>
            <w:r w:rsidR="00133181">
              <w:rPr>
                <w:noProof/>
                <w:webHidden/>
              </w:rPr>
              <w:fldChar w:fldCharType="separate"/>
            </w:r>
            <w:r w:rsidR="00133181">
              <w:rPr>
                <w:noProof/>
                <w:webHidden/>
              </w:rPr>
              <w:t>16</w:t>
            </w:r>
            <w:r w:rsidR="00133181">
              <w:rPr>
                <w:noProof/>
                <w:webHidden/>
              </w:rPr>
              <w:fldChar w:fldCharType="end"/>
            </w:r>
          </w:hyperlink>
        </w:p>
        <w:p w14:paraId="463ECB3C" w14:textId="0ADF863D" w:rsidR="00133181" w:rsidRDefault="00E968E5">
          <w:pPr>
            <w:pStyle w:val="TOC1"/>
            <w:tabs>
              <w:tab w:val="right" w:leader="dot" w:pos="9628"/>
            </w:tabs>
            <w:rPr>
              <w:rFonts w:eastAsiaTheme="minorEastAsia"/>
              <w:noProof/>
              <w:lang w:eastAsia="en-GB"/>
            </w:rPr>
          </w:pPr>
          <w:hyperlink w:anchor="_Toc18488783" w:history="1">
            <w:r w:rsidR="00133181" w:rsidRPr="00D15E4E">
              <w:rPr>
                <w:rStyle w:val="Hyperlink"/>
                <w:rFonts w:ascii="Times New Roman" w:hAnsi="Times New Roman" w:cs="Times New Roman"/>
                <w:noProof/>
              </w:rPr>
              <w:t>Conclusion</w:t>
            </w:r>
            <w:r w:rsidR="00133181">
              <w:rPr>
                <w:noProof/>
                <w:webHidden/>
              </w:rPr>
              <w:tab/>
            </w:r>
            <w:r w:rsidR="00133181">
              <w:rPr>
                <w:noProof/>
                <w:webHidden/>
              </w:rPr>
              <w:fldChar w:fldCharType="begin"/>
            </w:r>
            <w:r w:rsidR="00133181">
              <w:rPr>
                <w:noProof/>
                <w:webHidden/>
              </w:rPr>
              <w:instrText xml:space="preserve"> PAGEREF _Toc18488783 \h </w:instrText>
            </w:r>
            <w:r w:rsidR="00133181">
              <w:rPr>
                <w:noProof/>
                <w:webHidden/>
              </w:rPr>
            </w:r>
            <w:r w:rsidR="00133181">
              <w:rPr>
                <w:noProof/>
                <w:webHidden/>
              </w:rPr>
              <w:fldChar w:fldCharType="separate"/>
            </w:r>
            <w:r w:rsidR="00133181">
              <w:rPr>
                <w:noProof/>
                <w:webHidden/>
              </w:rPr>
              <w:t>17</w:t>
            </w:r>
            <w:r w:rsidR="00133181">
              <w:rPr>
                <w:noProof/>
                <w:webHidden/>
              </w:rPr>
              <w:fldChar w:fldCharType="end"/>
            </w:r>
          </w:hyperlink>
        </w:p>
        <w:p w14:paraId="7207901D" w14:textId="64B3D126" w:rsidR="00133181" w:rsidRDefault="00E968E5">
          <w:pPr>
            <w:pStyle w:val="TOC1"/>
            <w:tabs>
              <w:tab w:val="right" w:leader="dot" w:pos="9628"/>
            </w:tabs>
            <w:rPr>
              <w:rFonts w:eastAsiaTheme="minorEastAsia"/>
              <w:noProof/>
              <w:lang w:eastAsia="en-GB"/>
            </w:rPr>
          </w:pPr>
          <w:hyperlink w:anchor="_Toc18488784" w:history="1">
            <w:r w:rsidR="00133181" w:rsidRPr="00D15E4E">
              <w:rPr>
                <w:rStyle w:val="Hyperlink"/>
                <w:noProof/>
              </w:rPr>
              <w:t>References</w:t>
            </w:r>
            <w:r w:rsidR="00133181">
              <w:rPr>
                <w:noProof/>
                <w:webHidden/>
              </w:rPr>
              <w:tab/>
            </w:r>
            <w:r w:rsidR="00133181">
              <w:rPr>
                <w:noProof/>
                <w:webHidden/>
              </w:rPr>
              <w:fldChar w:fldCharType="begin"/>
            </w:r>
            <w:r w:rsidR="00133181">
              <w:rPr>
                <w:noProof/>
                <w:webHidden/>
              </w:rPr>
              <w:instrText xml:space="preserve"> PAGEREF _Toc18488784 \h </w:instrText>
            </w:r>
            <w:r w:rsidR="00133181">
              <w:rPr>
                <w:noProof/>
                <w:webHidden/>
              </w:rPr>
            </w:r>
            <w:r w:rsidR="00133181">
              <w:rPr>
                <w:noProof/>
                <w:webHidden/>
              </w:rPr>
              <w:fldChar w:fldCharType="separate"/>
            </w:r>
            <w:r w:rsidR="00133181">
              <w:rPr>
                <w:noProof/>
                <w:webHidden/>
              </w:rPr>
              <w:t>18</w:t>
            </w:r>
            <w:r w:rsidR="00133181">
              <w:rPr>
                <w:noProof/>
                <w:webHidden/>
              </w:rPr>
              <w:fldChar w:fldCharType="end"/>
            </w:r>
          </w:hyperlink>
        </w:p>
        <w:p w14:paraId="475D2853" w14:textId="5D139EB6" w:rsidR="00837FB2" w:rsidRPr="003E4FFC" w:rsidRDefault="0036416E">
          <w:pPr>
            <w:rPr>
              <w:rFonts w:ascii="Times New Roman" w:hAnsi="Times New Roman" w:cs="Times New Roman"/>
              <w:sz w:val="24"/>
              <w:szCs w:val="24"/>
            </w:rPr>
          </w:pPr>
          <w:r w:rsidRPr="003E4FFC">
            <w:rPr>
              <w:rFonts w:ascii="Times New Roman" w:hAnsi="Times New Roman" w:cs="Times New Roman"/>
              <w:b/>
              <w:bCs/>
              <w:noProof/>
              <w:sz w:val="24"/>
              <w:szCs w:val="24"/>
              <w:lang w:val="en-US"/>
            </w:rPr>
            <w:fldChar w:fldCharType="end"/>
          </w:r>
        </w:p>
      </w:sdtContent>
    </w:sdt>
    <w:p w14:paraId="5BE0E1EA" w14:textId="77777777" w:rsidR="00837FB2" w:rsidRPr="003E4FFC" w:rsidRDefault="00837FB2" w:rsidP="00837FB2">
      <w:pPr>
        <w:rPr>
          <w:rFonts w:ascii="Times New Roman" w:hAnsi="Times New Roman" w:cs="Times New Roman"/>
          <w:sz w:val="24"/>
          <w:szCs w:val="24"/>
        </w:rPr>
      </w:pPr>
    </w:p>
    <w:p w14:paraId="26A87519" w14:textId="77777777" w:rsidR="00837FB2" w:rsidRPr="0088515E" w:rsidRDefault="00837FB2" w:rsidP="00837FB2">
      <w:pPr>
        <w:pStyle w:val="Heading1"/>
        <w:rPr>
          <w:rFonts w:ascii="Times New Roman" w:hAnsi="Times New Roman" w:cs="Times New Roman"/>
          <w:sz w:val="28"/>
          <w:szCs w:val="28"/>
        </w:rPr>
      </w:pPr>
      <w:bookmarkStart w:id="0" w:name="_Toc18488762"/>
      <w:r w:rsidRPr="0088515E">
        <w:rPr>
          <w:rFonts w:ascii="Times New Roman" w:hAnsi="Times New Roman" w:cs="Times New Roman"/>
          <w:sz w:val="28"/>
          <w:szCs w:val="28"/>
        </w:rPr>
        <w:lastRenderedPageBreak/>
        <w:t>Abstract</w:t>
      </w:r>
      <w:bookmarkEnd w:id="0"/>
    </w:p>
    <w:p w14:paraId="4E41F479" w14:textId="496405E5" w:rsidR="00DA66DD" w:rsidRDefault="003B0C3E" w:rsidP="00202855">
      <w:pPr>
        <w:rPr>
          <w:rFonts w:ascii="Times New Roman" w:hAnsi="Times New Roman" w:cs="Times New Roman"/>
          <w:sz w:val="24"/>
          <w:szCs w:val="24"/>
        </w:rPr>
      </w:pPr>
      <w:r w:rsidRPr="00202855">
        <w:rPr>
          <w:rFonts w:ascii="Times New Roman" w:hAnsi="Times New Roman" w:cs="Times New Roman"/>
          <w:sz w:val="24"/>
          <w:szCs w:val="24"/>
        </w:rPr>
        <w:t xml:space="preserve">The purpose of this paper is to analyse Lloyds Banking Group </w:t>
      </w:r>
      <w:r w:rsidR="00BC2997">
        <w:rPr>
          <w:rFonts w:ascii="Times New Roman" w:hAnsi="Times New Roman" w:cs="Times New Roman"/>
          <w:sz w:val="24"/>
          <w:szCs w:val="24"/>
        </w:rPr>
        <w:t>plc</w:t>
      </w:r>
      <w:r w:rsidR="00F06AAD" w:rsidRPr="00202855">
        <w:rPr>
          <w:rFonts w:ascii="Times New Roman" w:hAnsi="Times New Roman" w:cs="Times New Roman"/>
          <w:sz w:val="24"/>
          <w:szCs w:val="24"/>
        </w:rPr>
        <w:t xml:space="preserve">, one of the </w:t>
      </w:r>
      <w:r w:rsidR="0033026D" w:rsidRPr="00202855">
        <w:rPr>
          <w:rFonts w:ascii="Times New Roman" w:hAnsi="Times New Roman" w:cs="Times New Roman"/>
          <w:sz w:val="24"/>
          <w:szCs w:val="24"/>
        </w:rPr>
        <w:t>main British financial institution</w:t>
      </w:r>
      <w:r w:rsidR="00D95B7D" w:rsidRPr="00202855">
        <w:rPr>
          <w:rFonts w:ascii="Times New Roman" w:hAnsi="Times New Roman" w:cs="Times New Roman"/>
          <w:sz w:val="24"/>
          <w:szCs w:val="24"/>
        </w:rPr>
        <w:t>. T</w:t>
      </w:r>
      <w:r w:rsidR="00BB15A8" w:rsidRPr="00202855">
        <w:rPr>
          <w:rFonts w:ascii="Times New Roman" w:hAnsi="Times New Roman" w:cs="Times New Roman"/>
          <w:sz w:val="24"/>
          <w:szCs w:val="24"/>
        </w:rPr>
        <w:t>o do that, a brief</w:t>
      </w:r>
      <w:r w:rsidR="003F6C65" w:rsidRPr="00202855">
        <w:rPr>
          <w:rFonts w:ascii="Times New Roman" w:hAnsi="Times New Roman" w:cs="Times New Roman"/>
          <w:sz w:val="24"/>
          <w:szCs w:val="24"/>
        </w:rPr>
        <w:t xml:space="preserve"> </w:t>
      </w:r>
      <w:r w:rsidR="00BB15A8" w:rsidRPr="00202855">
        <w:rPr>
          <w:rFonts w:ascii="Times New Roman" w:hAnsi="Times New Roman" w:cs="Times New Roman"/>
          <w:sz w:val="24"/>
          <w:szCs w:val="24"/>
        </w:rPr>
        <w:t xml:space="preserve">history </w:t>
      </w:r>
      <w:r w:rsidR="00240081">
        <w:rPr>
          <w:rFonts w:ascii="Times New Roman" w:hAnsi="Times New Roman" w:cs="Times New Roman"/>
          <w:sz w:val="24"/>
          <w:szCs w:val="24"/>
        </w:rPr>
        <w:t>of</w:t>
      </w:r>
      <w:r w:rsidR="00BB15A8" w:rsidRPr="00202855">
        <w:rPr>
          <w:rFonts w:ascii="Times New Roman" w:hAnsi="Times New Roman" w:cs="Times New Roman"/>
          <w:sz w:val="24"/>
          <w:szCs w:val="24"/>
        </w:rPr>
        <w:t xml:space="preserve"> the major eve</w:t>
      </w:r>
      <w:r w:rsidR="00C7513B" w:rsidRPr="00202855">
        <w:rPr>
          <w:rFonts w:ascii="Times New Roman" w:hAnsi="Times New Roman" w:cs="Times New Roman"/>
          <w:sz w:val="24"/>
          <w:szCs w:val="24"/>
        </w:rPr>
        <w:t xml:space="preserve">nts will be given. This assessment </w:t>
      </w:r>
      <w:r w:rsidR="006769BE" w:rsidRPr="00202855">
        <w:rPr>
          <w:rFonts w:ascii="Times New Roman" w:hAnsi="Times New Roman" w:cs="Times New Roman"/>
          <w:sz w:val="24"/>
          <w:szCs w:val="24"/>
        </w:rPr>
        <w:t>is divided in</w:t>
      </w:r>
      <w:r w:rsidR="00240081">
        <w:rPr>
          <w:rFonts w:ascii="Times New Roman" w:hAnsi="Times New Roman" w:cs="Times New Roman"/>
          <w:sz w:val="24"/>
          <w:szCs w:val="24"/>
        </w:rPr>
        <w:t xml:space="preserve">to </w:t>
      </w:r>
      <w:r w:rsidR="006769BE" w:rsidRPr="00202855">
        <w:rPr>
          <w:rFonts w:ascii="Times New Roman" w:hAnsi="Times New Roman" w:cs="Times New Roman"/>
          <w:sz w:val="24"/>
          <w:szCs w:val="24"/>
        </w:rPr>
        <w:t>four section</w:t>
      </w:r>
      <w:r w:rsidR="002109B4" w:rsidRPr="00202855">
        <w:rPr>
          <w:rFonts w:ascii="Times New Roman" w:hAnsi="Times New Roman" w:cs="Times New Roman"/>
          <w:sz w:val="24"/>
          <w:szCs w:val="24"/>
        </w:rPr>
        <w:t>s</w:t>
      </w:r>
      <w:r w:rsidR="006769BE" w:rsidRPr="00202855">
        <w:rPr>
          <w:rFonts w:ascii="Times New Roman" w:hAnsi="Times New Roman" w:cs="Times New Roman"/>
          <w:sz w:val="24"/>
          <w:szCs w:val="24"/>
        </w:rPr>
        <w:t xml:space="preserve">. </w:t>
      </w:r>
      <w:r w:rsidR="00DD771A" w:rsidRPr="00202855">
        <w:rPr>
          <w:rFonts w:ascii="Times New Roman" w:hAnsi="Times New Roman" w:cs="Times New Roman"/>
          <w:sz w:val="24"/>
          <w:szCs w:val="24"/>
        </w:rPr>
        <w:t xml:space="preserve">In the first one, capital adequacy, </w:t>
      </w:r>
      <w:r w:rsidR="0062238A" w:rsidRPr="00202855">
        <w:rPr>
          <w:rFonts w:ascii="Times New Roman" w:hAnsi="Times New Roman" w:cs="Times New Roman"/>
          <w:sz w:val="24"/>
          <w:szCs w:val="24"/>
        </w:rPr>
        <w:t>liquidity</w:t>
      </w:r>
      <w:r w:rsidR="002109B4" w:rsidRPr="00202855">
        <w:rPr>
          <w:rFonts w:ascii="Times New Roman" w:hAnsi="Times New Roman" w:cs="Times New Roman"/>
          <w:sz w:val="24"/>
          <w:szCs w:val="24"/>
        </w:rPr>
        <w:t>,</w:t>
      </w:r>
      <w:r w:rsidR="0062238A" w:rsidRPr="00202855">
        <w:rPr>
          <w:rFonts w:ascii="Times New Roman" w:hAnsi="Times New Roman" w:cs="Times New Roman"/>
          <w:sz w:val="24"/>
          <w:szCs w:val="24"/>
        </w:rPr>
        <w:t xml:space="preserve"> and asset quality ratios will be </w:t>
      </w:r>
      <w:r w:rsidR="0076651D" w:rsidRPr="00202855">
        <w:rPr>
          <w:rFonts w:ascii="Times New Roman" w:hAnsi="Times New Roman" w:cs="Times New Roman"/>
          <w:sz w:val="24"/>
          <w:szCs w:val="24"/>
        </w:rPr>
        <w:t>calculated and analysed over the past five years</w:t>
      </w:r>
      <w:r w:rsidR="00E721AF" w:rsidRPr="00202855">
        <w:rPr>
          <w:rFonts w:ascii="Times New Roman" w:hAnsi="Times New Roman" w:cs="Times New Roman"/>
          <w:sz w:val="24"/>
          <w:szCs w:val="24"/>
        </w:rPr>
        <w:t xml:space="preserve"> (2014-2018</w:t>
      </w:r>
      <w:r w:rsidR="00D95B7D" w:rsidRPr="00202855">
        <w:rPr>
          <w:rFonts w:ascii="Times New Roman" w:hAnsi="Times New Roman" w:cs="Times New Roman"/>
          <w:sz w:val="24"/>
          <w:szCs w:val="24"/>
        </w:rPr>
        <w:t>)</w:t>
      </w:r>
      <w:r w:rsidR="00E721AF" w:rsidRPr="00202855">
        <w:rPr>
          <w:rFonts w:ascii="Times New Roman" w:hAnsi="Times New Roman" w:cs="Times New Roman"/>
          <w:sz w:val="24"/>
          <w:szCs w:val="24"/>
        </w:rPr>
        <w:t xml:space="preserve">. </w:t>
      </w:r>
      <w:r w:rsidR="00033A56" w:rsidRPr="00202855">
        <w:rPr>
          <w:rFonts w:ascii="Times New Roman" w:hAnsi="Times New Roman" w:cs="Times New Roman"/>
          <w:sz w:val="24"/>
          <w:szCs w:val="24"/>
        </w:rPr>
        <w:t xml:space="preserve">Lloyds </w:t>
      </w:r>
      <w:r w:rsidR="00E721AF" w:rsidRPr="00202855">
        <w:rPr>
          <w:rFonts w:ascii="Times New Roman" w:hAnsi="Times New Roman" w:cs="Times New Roman"/>
          <w:sz w:val="24"/>
          <w:szCs w:val="24"/>
        </w:rPr>
        <w:t>performance</w:t>
      </w:r>
      <w:r w:rsidR="00033A56" w:rsidRPr="00202855">
        <w:rPr>
          <w:rFonts w:ascii="Times New Roman" w:hAnsi="Times New Roman" w:cs="Times New Roman"/>
          <w:sz w:val="24"/>
          <w:szCs w:val="24"/>
        </w:rPr>
        <w:t xml:space="preserve"> will be compared to Ba</w:t>
      </w:r>
      <w:r w:rsidR="00E721AF" w:rsidRPr="00202855">
        <w:rPr>
          <w:rFonts w:ascii="Times New Roman" w:hAnsi="Times New Roman" w:cs="Times New Roman"/>
          <w:sz w:val="24"/>
          <w:szCs w:val="24"/>
        </w:rPr>
        <w:t xml:space="preserve">rclays </w:t>
      </w:r>
      <w:r w:rsidR="00F0141F" w:rsidRPr="00202855">
        <w:rPr>
          <w:rFonts w:ascii="Times New Roman" w:hAnsi="Times New Roman" w:cs="Times New Roman"/>
          <w:sz w:val="24"/>
          <w:szCs w:val="24"/>
        </w:rPr>
        <w:t>Bank</w:t>
      </w:r>
      <w:r w:rsidR="00CD6217" w:rsidRPr="00202855">
        <w:rPr>
          <w:rFonts w:ascii="Times New Roman" w:hAnsi="Times New Roman" w:cs="Times New Roman"/>
          <w:sz w:val="24"/>
          <w:szCs w:val="24"/>
        </w:rPr>
        <w:t xml:space="preserve"> </w:t>
      </w:r>
      <w:r w:rsidR="002F61DC">
        <w:rPr>
          <w:rFonts w:ascii="Times New Roman" w:hAnsi="Times New Roman" w:cs="Times New Roman"/>
          <w:sz w:val="24"/>
          <w:szCs w:val="24"/>
        </w:rPr>
        <w:t>plc</w:t>
      </w:r>
      <w:r w:rsidR="00CD6217" w:rsidRPr="00202855">
        <w:rPr>
          <w:rFonts w:ascii="Times New Roman" w:hAnsi="Times New Roman" w:cs="Times New Roman"/>
          <w:sz w:val="24"/>
          <w:szCs w:val="24"/>
        </w:rPr>
        <w:t xml:space="preserve"> </w:t>
      </w:r>
      <w:r w:rsidR="00E721AF" w:rsidRPr="00202855">
        <w:rPr>
          <w:rFonts w:ascii="Times New Roman" w:hAnsi="Times New Roman" w:cs="Times New Roman"/>
          <w:sz w:val="24"/>
          <w:szCs w:val="24"/>
        </w:rPr>
        <w:t>in the last year (2018).</w:t>
      </w:r>
      <w:r w:rsidR="006A5A67" w:rsidRPr="00202855">
        <w:rPr>
          <w:rFonts w:ascii="Times New Roman" w:hAnsi="Times New Roman" w:cs="Times New Roman"/>
          <w:sz w:val="24"/>
          <w:szCs w:val="24"/>
        </w:rPr>
        <w:t xml:space="preserve"> </w:t>
      </w:r>
      <w:r w:rsidR="008B09ED">
        <w:rPr>
          <w:rFonts w:ascii="Times New Roman" w:hAnsi="Times New Roman" w:cs="Times New Roman"/>
          <w:sz w:val="24"/>
          <w:szCs w:val="24"/>
        </w:rPr>
        <w:t>Then, results</w:t>
      </w:r>
      <w:r w:rsidR="005D3C8E">
        <w:rPr>
          <w:rFonts w:ascii="Times New Roman" w:hAnsi="Times New Roman" w:cs="Times New Roman"/>
          <w:sz w:val="24"/>
          <w:szCs w:val="24"/>
        </w:rPr>
        <w:t xml:space="preserve"> will be compared to </w:t>
      </w:r>
      <w:r w:rsidR="00185794">
        <w:rPr>
          <w:rFonts w:ascii="Times New Roman" w:hAnsi="Times New Roman" w:cs="Times New Roman"/>
          <w:sz w:val="24"/>
          <w:szCs w:val="24"/>
        </w:rPr>
        <w:t xml:space="preserve">Basel’s norms. </w:t>
      </w:r>
      <w:r w:rsidR="006A5A67" w:rsidRPr="00202855">
        <w:rPr>
          <w:rFonts w:ascii="Times New Roman" w:hAnsi="Times New Roman" w:cs="Times New Roman"/>
          <w:sz w:val="24"/>
          <w:szCs w:val="24"/>
        </w:rPr>
        <w:t xml:space="preserve">In the second section, </w:t>
      </w:r>
      <w:r w:rsidR="005928D1" w:rsidRPr="00202855">
        <w:rPr>
          <w:rFonts w:ascii="Times New Roman" w:hAnsi="Times New Roman" w:cs="Times New Roman"/>
          <w:sz w:val="24"/>
          <w:szCs w:val="24"/>
        </w:rPr>
        <w:t>financial risks (credit, operational and market) will be exposed</w:t>
      </w:r>
      <w:r w:rsidR="005E0920" w:rsidRPr="00202855">
        <w:rPr>
          <w:rFonts w:ascii="Times New Roman" w:hAnsi="Times New Roman" w:cs="Times New Roman"/>
          <w:sz w:val="24"/>
          <w:szCs w:val="24"/>
        </w:rPr>
        <w:t xml:space="preserve">. Also, </w:t>
      </w:r>
      <w:r w:rsidR="00F90F43" w:rsidRPr="00202855">
        <w:rPr>
          <w:rFonts w:ascii="Times New Roman" w:hAnsi="Times New Roman" w:cs="Times New Roman"/>
          <w:sz w:val="24"/>
          <w:szCs w:val="24"/>
        </w:rPr>
        <w:t xml:space="preserve">some strategy of mitigating risks </w:t>
      </w:r>
      <w:r w:rsidR="00A27707" w:rsidRPr="00202855">
        <w:rPr>
          <w:rFonts w:ascii="Times New Roman" w:hAnsi="Times New Roman" w:cs="Times New Roman"/>
          <w:sz w:val="24"/>
          <w:szCs w:val="24"/>
        </w:rPr>
        <w:t>(</w:t>
      </w:r>
      <w:r w:rsidR="007F0606" w:rsidRPr="00202855">
        <w:rPr>
          <w:rFonts w:ascii="Times New Roman" w:hAnsi="Times New Roman" w:cs="Times New Roman"/>
          <w:sz w:val="24"/>
          <w:szCs w:val="24"/>
        </w:rPr>
        <w:t xml:space="preserve">used </w:t>
      </w:r>
      <w:r w:rsidR="00A27707" w:rsidRPr="00202855">
        <w:rPr>
          <w:rFonts w:ascii="Times New Roman" w:hAnsi="Times New Roman" w:cs="Times New Roman"/>
          <w:sz w:val="24"/>
          <w:szCs w:val="24"/>
        </w:rPr>
        <w:t xml:space="preserve">by the Group) </w:t>
      </w:r>
      <w:r w:rsidR="00F90F43" w:rsidRPr="00202855">
        <w:rPr>
          <w:rFonts w:ascii="Times New Roman" w:hAnsi="Times New Roman" w:cs="Times New Roman"/>
          <w:sz w:val="24"/>
          <w:szCs w:val="24"/>
        </w:rPr>
        <w:t xml:space="preserve">will be </w:t>
      </w:r>
      <w:r w:rsidR="00047A8F" w:rsidRPr="00202855">
        <w:rPr>
          <w:rFonts w:ascii="Times New Roman" w:hAnsi="Times New Roman" w:cs="Times New Roman"/>
          <w:sz w:val="24"/>
          <w:szCs w:val="24"/>
        </w:rPr>
        <w:t>studied.</w:t>
      </w:r>
      <w:r w:rsidR="00F90F43" w:rsidRPr="00202855">
        <w:rPr>
          <w:rFonts w:ascii="Times New Roman" w:hAnsi="Times New Roman" w:cs="Times New Roman"/>
          <w:sz w:val="24"/>
          <w:szCs w:val="24"/>
        </w:rPr>
        <w:t xml:space="preserve"> </w:t>
      </w:r>
      <w:r w:rsidR="008F7F36" w:rsidRPr="00202855">
        <w:rPr>
          <w:rFonts w:ascii="Times New Roman" w:hAnsi="Times New Roman" w:cs="Times New Roman"/>
          <w:sz w:val="24"/>
          <w:szCs w:val="24"/>
        </w:rPr>
        <w:t xml:space="preserve">In the </w:t>
      </w:r>
      <w:r w:rsidR="008B09ED">
        <w:rPr>
          <w:rFonts w:ascii="Times New Roman" w:hAnsi="Times New Roman" w:cs="Times New Roman"/>
          <w:sz w:val="24"/>
          <w:szCs w:val="24"/>
        </w:rPr>
        <w:t>following</w:t>
      </w:r>
      <w:r w:rsidR="008F7F36" w:rsidRPr="00202855">
        <w:rPr>
          <w:rFonts w:ascii="Times New Roman" w:hAnsi="Times New Roman" w:cs="Times New Roman"/>
          <w:sz w:val="24"/>
          <w:szCs w:val="24"/>
        </w:rPr>
        <w:t xml:space="preserve"> </w:t>
      </w:r>
      <w:r w:rsidR="00047A8F" w:rsidRPr="00202855">
        <w:rPr>
          <w:rFonts w:ascii="Times New Roman" w:hAnsi="Times New Roman" w:cs="Times New Roman"/>
          <w:sz w:val="24"/>
          <w:szCs w:val="24"/>
        </w:rPr>
        <w:t xml:space="preserve">stage, </w:t>
      </w:r>
      <w:r w:rsidR="00047A8F">
        <w:rPr>
          <w:rFonts w:ascii="Times New Roman" w:hAnsi="Times New Roman" w:cs="Times New Roman"/>
          <w:sz w:val="24"/>
          <w:szCs w:val="24"/>
        </w:rPr>
        <w:t>Efficient</w:t>
      </w:r>
      <w:r w:rsidR="007F22C1" w:rsidRPr="00202855">
        <w:rPr>
          <w:rFonts w:ascii="Times New Roman" w:hAnsi="Times New Roman" w:cs="Times New Roman"/>
          <w:sz w:val="24"/>
          <w:szCs w:val="24"/>
        </w:rPr>
        <w:t xml:space="preserve"> Market Hypothesis (EMH) will be revi</w:t>
      </w:r>
      <w:r w:rsidR="00A43700" w:rsidRPr="00202855">
        <w:rPr>
          <w:rFonts w:ascii="Times New Roman" w:hAnsi="Times New Roman" w:cs="Times New Roman"/>
          <w:sz w:val="24"/>
          <w:szCs w:val="24"/>
        </w:rPr>
        <w:t>ewed</w:t>
      </w:r>
      <w:r w:rsidR="00B30485" w:rsidRPr="00202855">
        <w:rPr>
          <w:rFonts w:ascii="Times New Roman" w:hAnsi="Times New Roman" w:cs="Times New Roman"/>
          <w:sz w:val="24"/>
          <w:szCs w:val="24"/>
        </w:rPr>
        <w:t xml:space="preserve"> studying </w:t>
      </w:r>
      <w:r w:rsidR="00517E54" w:rsidRPr="00202855">
        <w:rPr>
          <w:rFonts w:ascii="Times New Roman" w:hAnsi="Times New Roman" w:cs="Times New Roman"/>
          <w:sz w:val="24"/>
          <w:szCs w:val="24"/>
        </w:rPr>
        <w:t xml:space="preserve">its </w:t>
      </w:r>
      <w:r w:rsidR="00F03A85" w:rsidRPr="00202855">
        <w:rPr>
          <w:rFonts w:ascii="Times New Roman" w:hAnsi="Times New Roman" w:cs="Times New Roman"/>
          <w:sz w:val="24"/>
          <w:szCs w:val="24"/>
        </w:rPr>
        <w:t>importance</w:t>
      </w:r>
      <w:r w:rsidR="00517E54" w:rsidRPr="00202855">
        <w:rPr>
          <w:rFonts w:ascii="Times New Roman" w:hAnsi="Times New Roman" w:cs="Times New Roman"/>
          <w:sz w:val="24"/>
          <w:szCs w:val="24"/>
        </w:rPr>
        <w:t xml:space="preserve"> in modern banking</w:t>
      </w:r>
      <w:r w:rsidR="003F6C65" w:rsidRPr="00202855">
        <w:rPr>
          <w:rFonts w:ascii="Times New Roman" w:hAnsi="Times New Roman" w:cs="Times New Roman"/>
          <w:sz w:val="24"/>
          <w:szCs w:val="24"/>
        </w:rPr>
        <w:t>.</w:t>
      </w:r>
      <w:r w:rsidR="00202855">
        <w:rPr>
          <w:rFonts w:ascii="Times New Roman" w:hAnsi="Times New Roman" w:cs="Times New Roman"/>
          <w:sz w:val="24"/>
          <w:szCs w:val="24"/>
        </w:rPr>
        <w:t xml:space="preserve"> </w:t>
      </w:r>
      <w:r w:rsidR="00E808B1">
        <w:rPr>
          <w:rFonts w:ascii="Times New Roman" w:hAnsi="Times New Roman" w:cs="Times New Roman"/>
          <w:sz w:val="24"/>
          <w:szCs w:val="24"/>
        </w:rPr>
        <w:t xml:space="preserve">The last part analysis </w:t>
      </w:r>
      <w:r w:rsidR="0085002B" w:rsidRPr="00202855">
        <w:rPr>
          <w:rFonts w:ascii="Times New Roman" w:hAnsi="Times New Roman" w:cs="Times New Roman"/>
          <w:sz w:val="24"/>
          <w:szCs w:val="24"/>
        </w:rPr>
        <w:t>the role of financial regulators will be analysed</w:t>
      </w:r>
      <w:r w:rsidR="00750A7E" w:rsidRPr="00202855">
        <w:rPr>
          <w:rFonts w:ascii="Times New Roman" w:hAnsi="Times New Roman" w:cs="Times New Roman"/>
          <w:sz w:val="24"/>
          <w:szCs w:val="24"/>
        </w:rPr>
        <w:t xml:space="preserve">; </w:t>
      </w:r>
      <w:r w:rsidR="00DA66DD" w:rsidRPr="00202855">
        <w:rPr>
          <w:rFonts w:ascii="Times New Roman" w:hAnsi="Times New Roman" w:cs="Times New Roman"/>
          <w:sz w:val="24"/>
          <w:szCs w:val="24"/>
        </w:rPr>
        <w:t>emphasis</w:t>
      </w:r>
      <w:r w:rsidR="00750A7E" w:rsidRPr="00202855">
        <w:rPr>
          <w:rFonts w:ascii="Times New Roman" w:hAnsi="Times New Roman" w:cs="Times New Roman"/>
          <w:sz w:val="24"/>
          <w:szCs w:val="24"/>
        </w:rPr>
        <w:t xml:space="preserve"> will</w:t>
      </w:r>
      <w:r w:rsidR="00DA66DD" w:rsidRPr="00202855">
        <w:rPr>
          <w:rFonts w:ascii="Times New Roman" w:hAnsi="Times New Roman" w:cs="Times New Roman"/>
          <w:sz w:val="24"/>
          <w:szCs w:val="24"/>
        </w:rPr>
        <w:t xml:space="preserve"> be on bank supervisor and capital requirement.</w:t>
      </w:r>
    </w:p>
    <w:p w14:paraId="68F182DE" w14:textId="77777777" w:rsidR="006B177F" w:rsidRPr="00202855" w:rsidRDefault="006B177F" w:rsidP="00202855">
      <w:pPr>
        <w:rPr>
          <w:rFonts w:ascii="Times New Roman" w:hAnsi="Times New Roman" w:cs="Times New Roman"/>
          <w:sz w:val="24"/>
          <w:szCs w:val="24"/>
        </w:rPr>
      </w:pPr>
    </w:p>
    <w:p w14:paraId="55413A13" w14:textId="003D646A" w:rsidR="008B2530" w:rsidRPr="0088515E" w:rsidRDefault="006723E8" w:rsidP="00DA66DD">
      <w:pPr>
        <w:pStyle w:val="Heading1"/>
        <w:rPr>
          <w:rFonts w:ascii="Times New Roman" w:hAnsi="Times New Roman" w:cs="Times New Roman"/>
          <w:sz w:val="28"/>
          <w:szCs w:val="28"/>
        </w:rPr>
      </w:pPr>
      <w:bookmarkStart w:id="1" w:name="_Toc18488763"/>
      <w:r w:rsidRPr="0088515E">
        <w:rPr>
          <w:rFonts w:ascii="Times New Roman" w:hAnsi="Times New Roman" w:cs="Times New Roman"/>
          <w:sz w:val="28"/>
          <w:szCs w:val="28"/>
        </w:rPr>
        <w:t>About Lloyds Banking Group</w:t>
      </w:r>
      <w:bookmarkEnd w:id="1"/>
    </w:p>
    <w:p w14:paraId="7DA45B76" w14:textId="69CEC48E" w:rsidR="006B177F" w:rsidRDefault="00430C87" w:rsidP="005E6A38">
      <w:pPr>
        <w:rPr>
          <w:rFonts w:ascii="Times New Roman" w:hAnsi="Times New Roman" w:cs="Times New Roman"/>
          <w:sz w:val="24"/>
          <w:szCs w:val="24"/>
        </w:rPr>
      </w:pPr>
      <w:r w:rsidRPr="006B177F">
        <w:rPr>
          <w:rFonts w:ascii="Times New Roman" w:hAnsi="Times New Roman" w:cs="Times New Roman"/>
          <w:sz w:val="24"/>
          <w:szCs w:val="24"/>
        </w:rPr>
        <w:t>Lloyds Bank was f</w:t>
      </w:r>
      <w:r w:rsidR="00D82CAA" w:rsidRPr="006B177F">
        <w:rPr>
          <w:rFonts w:ascii="Times New Roman" w:hAnsi="Times New Roman" w:cs="Times New Roman"/>
          <w:sz w:val="24"/>
          <w:szCs w:val="24"/>
        </w:rPr>
        <w:t>ounded</w:t>
      </w:r>
      <w:r w:rsidRPr="006B177F">
        <w:rPr>
          <w:rFonts w:ascii="Times New Roman" w:hAnsi="Times New Roman" w:cs="Times New Roman"/>
          <w:sz w:val="24"/>
          <w:szCs w:val="24"/>
        </w:rPr>
        <w:t xml:space="preserve"> in 1975 in Birmingham by John Taylor and Sampson Lloyds. During the industrial revolution, the Taylors abandoned the business, and it became Lloyds &amp; Company. Over the next years, the bank took over 200 smaller enterprises, and it start</w:t>
      </w:r>
      <w:r w:rsidR="00E808B1">
        <w:rPr>
          <w:rFonts w:ascii="Times New Roman" w:hAnsi="Times New Roman" w:cs="Times New Roman"/>
          <w:sz w:val="24"/>
          <w:szCs w:val="24"/>
        </w:rPr>
        <w:t>ed</w:t>
      </w:r>
      <w:r w:rsidRPr="006B177F">
        <w:rPr>
          <w:rFonts w:ascii="Times New Roman" w:hAnsi="Times New Roman" w:cs="Times New Roman"/>
          <w:sz w:val="24"/>
          <w:szCs w:val="24"/>
        </w:rPr>
        <w:t xml:space="preserve"> to expand. </w:t>
      </w:r>
    </w:p>
    <w:p w14:paraId="01688417" w14:textId="0010FFC3" w:rsidR="00430C87" w:rsidRPr="006B177F" w:rsidRDefault="00430C87" w:rsidP="005E6A38">
      <w:pPr>
        <w:suppressAutoHyphens/>
        <w:rPr>
          <w:rFonts w:ascii="Times New Roman" w:hAnsi="Times New Roman" w:cs="Times New Roman"/>
          <w:sz w:val="24"/>
          <w:szCs w:val="24"/>
        </w:rPr>
      </w:pPr>
      <w:r w:rsidRPr="006B177F">
        <w:rPr>
          <w:rFonts w:ascii="Times New Roman" w:hAnsi="Times New Roman" w:cs="Times New Roman"/>
          <w:sz w:val="24"/>
          <w:szCs w:val="24"/>
        </w:rPr>
        <w:t xml:space="preserve">Today, Lloyds Banking Group </w:t>
      </w:r>
      <w:r w:rsidR="00DE410A" w:rsidRPr="006B177F">
        <w:rPr>
          <w:rFonts w:ascii="Times New Roman" w:hAnsi="Times New Roman" w:cs="Times New Roman"/>
          <w:sz w:val="24"/>
          <w:szCs w:val="24"/>
        </w:rPr>
        <w:t>plc</w:t>
      </w:r>
      <w:r w:rsidRPr="006B177F">
        <w:rPr>
          <w:rFonts w:ascii="Times New Roman" w:hAnsi="Times New Roman" w:cs="Times New Roman"/>
          <w:sz w:val="24"/>
          <w:szCs w:val="24"/>
        </w:rPr>
        <w:t xml:space="preserve"> is </w:t>
      </w:r>
      <w:r w:rsidR="00380BF6">
        <w:rPr>
          <w:rFonts w:ascii="Times New Roman" w:hAnsi="Times New Roman" w:cs="Times New Roman"/>
          <w:sz w:val="24"/>
          <w:szCs w:val="24"/>
        </w:rPr>
        <w:t xml:space="preserve">one of </w:t>
      </w:r>
      <w:r w:rsidR="004B1F70">
        <w:rPr>
          <w:rFonts w:ascii="Times New Roman" w:hAnsi="Times New Roman" w:cs="Times New Roman"/>
          <w:sz w:val="24"/>
          <w:szCs w:val="24"/>
        </w:rPr>
        <w:t>the main</w:t>
      </w:r>
      <w:r w:rsidRPr="006B177F">
        <w:rPr>
          <w:rFonts w:ascii="Times New Roman" w:hAnsi="Times New Roman" w:cs="Times New Roman"/>
          <w:sz w:val="24"/>
          <w:szCs w:val="24"/>
        </w:rPr>
        <w:t xml:space="preserve"> British financial institution headquartered in London (operational office) and in Edinburgh (registered office). The group has a primary listing on the London Stock exchange and is a constituent of the FTSE 100 index. Lloyds Bank plc and Bank of Scotland </w:t>
      </w:r>
      <w:r w:rsidR="00E23CC8">
        <w:rPr>
          <w:rFonts w:ascii="Times New Roman" w:hAnsi="Times New Roman" w:cs="Times New Roman"/>
          <w:sz w:val="24"/>
          <w:szCs w:val="24"/>
        </w:rPr>
        <w:t>plc</w:t>
      </w:r>
      <w:r w:rsidRPr="006B177F">
        <w:rPr>
          <w:rFonts w:ascii="Times New Roman" w:hAnsi="Times New Roman" w:cs="Times New Roman"/>
          <w:sz w:val="24"/>
          <w:szCs w:val="24"/>
        </w:rPr>
        <w:t xml:space="preserve"> are the principal subsidiaries of Lloyds Banking Group.</w:t>
      </w:r>
    </w:p>
    <w:p w14:paraId="312EA875" w14:textId="656E44CC" w:rsidR="006723E8" w:rsidRPr="006B177F" w:rsidRDefault="00430C87" w:rsidP="005E6A38">
      <w:pPr>
        <w:rPr>
          <w:rFonts w:ascii="Times New Roman" w:hAnsi="Times New Roman" w:cs="Times New Roman"/>
          <w:sz w:val="24"/>
          <w:szCs w:val="24"/>
        </w:rPr>
      </w:pPr>
      <w:r w:rsidRPr="006B177F">
        <w:rPr>
          <w:rFonts w:ascii="Times New Roman" w:hAnsi="Times New Roman" w:cs="Times New Roman"/>
          <w:sz w:val="24"/>
          <w:szCs w:val="24"/>
        </w:rPr>
        <w:t xml:space="preserve">In 2009, HBOS – a holding company for Bank of Scotland </w:t>
      </w:r>
      <w:r w:rsidR="009145B6" w:rsidRPr="006B177F">
        <w:rPr>
          <w:rFonts w:ascii="Times New Roman" w:hAnsi="Times New Roman" w:cs="Times New Roman"/>
          <w:sz w:val="24"/>
          <w:szCs w:val="24"/>
        </w:rPr>
        <w:t>PLC</w:t>
      </w:r>
      <w:r w:rsidRPr="006B177F">
        <w:rPr>
          <w:rFonts w:ascii="Times New Roman" w:hAnsi="Times New Roman" w:cs="Times New Roman"/>
          <w:sz w:val="24"/>
          <w:szCs w:val="24"/>
        </w:rPr>
        <w:t xml:space="preserve"> – was acquired by Lloyds TSB, and Lloyds Banking Group </w:t>
      </w:r>
      <w:r w:rsidR="00F84795" w:rsidRPr="006B177F">
        <w:rPr>
          <w:rFonts w:ascii="Times New Roman" w:hAnsi="Times New Roman" w:cs="Times New Roman"/>
          <w:sz w:val="24"/>
          <w:szCs w:val="24"/>
        </w:rPr>
        <w:t>PLC</w:t>
      </w:r>
      <w:r w:rsidRPr="006B177F">
        <w:rPr>
          <w:rFonts w:ascii="Times New Roman" w:hAnsi="Times New Roman" w:cs="Times New Roman"/>
          <w:sz w:val="24"/>
          <w:szCs w:val="24"/>
        </w:rPr>
        <w:t xml:space="preserve"> was formed. In the same year, the government invest</w:t>
      </w:r>
      <w:r w:rsidR="004B1F70">
        <w:rPr>
          <w:rFonts w:ascii="Times New Roman" w:hAnsi="Times New Roman" w:cs="Times New Roman"/>
          <w:sz w:val="24"/>
          <w:szCs w:val="24"/>
        </w:rPr>
        <w:t>ed</w:t>
      </w:r>
      <w:r w:rsidRPr="006B177F">
        <w:rPr>
          <w:rFonts w:ascii="Times New Roman" w:hAnsi="Times New Roman" w:cs="Times New Roman"/>
          <w:sz w:val="24"/>
          <w:szCs w:val="24"/>
        </w:rPr>
        <w:t xml:space="preserve"> £5.7bn in Lloyds to maintain the taxpayer’s stake at 43% after </w:t>
      </w:r>
      <w:r w:rsidR="0029268E">
        <w:rPr>
          <w:rFonts w:ascii="Times New Roman" w:hAnsi="Times New Roman" w:cs="Times New Roman"/>
          <w:sz w:val="24"/>
          <w:szCs w:val="24"/>
        </w:rPr>
        <w:t xml:space="preserve">the </w:t>
      </w:r>
      <w:r w:rsidRPr="006B177F">
        <w:rPr>
          <w:rFonts w:ascii="Times New Roman" w:hAnsi="Times New Roman" w:cs="Times New Roman"/>
          <w:sz w:val="24"/>
          <w:szCs w:val="24"/>
        </w:rPr>
        <w:t>right issue. In 2010, Lloyds return</w:t>
      </w:r>
      <w:r w:rsidR="004B1F70">
        <w:rPr>
          <w:rFonts w:ascii="Times New Roman" w:hAnsi="Times New Roman" w:cs="Times New Roman"/>
          <w:sz w:val="24"/>
          <w:szCs w:val="24"/>
        </w:rPr>
        <w:t>ed</w:t>
      </w:r>
      <w:r w:rsidRPr="006B177F">
        <w:rPr>
          <w:rFonts w:ascii="Times New Roman" w:hAnsi="Times New Roman" w:cs="Times New Roman"/>
          <w:sz w:val="24"/>
          <w:szCs w:val="24"/>
        </w:rPr>
        <w:t xml:space="preserve"> to </w:t>
      </w:r>
      <w:r w:rsidR="00236016">
        <w:rPr>
          <w:rFonts w:ascii="Times New Roman" w:hAnsi="Times New Roman" w:cs="Times New Roman"/>
          <w:sz w:val="24"/>
          <w:szCs w:val="24"/>
        </w:rPr>
        <w:t xml:space="preserve">get an actual </w:t>
      </w:r>
      <w:r w:rsidRPr="006B177F">
        <w:rPr>
          <w:rFonts w:ascii="Times New Roman" w:hAnsi="Times New Roman" w:cs="Times New Roman"/>
          <w:sz w:val="24"/>
          <w:szCs w:val="24"/>
        </w:rPr>
        <w:t xml:space="preserve">profit </w:t>
      </w:r>
      <w:r w:rsidR="00236016">
        <w:rPr>
          <w:rFonts w:ascii="Times New Roman" w:hAnsi="Times New Roman" w:cs="Times New Roman"/>
          <w:sz w:val="24"/>
          <w:szCs w:val="24"/>
        </w:rPr>
        <w:t>when</w:t>
      </w:r>
      <w:r w:rsidRPr="006B177F">
        <w:rPr>
          <w:rFonts w:ascii="Times New Roman" w:hAnsi="Times New Roman" w:cs="Times New Roman"/>
          <w:sz w:val="24"/>
          <w:szCs w:val="24"/>
        </w:rPr>
        <w:t xml:space="preserve"> the global financial crisis beg</w:t>
      </w:r>
      <w:r w:rsidR="001F6137">
        <w:rPr>
          <w:rFonts w:ascii="Times New Roman" w:hAnsi="Times New Roman" w:cs="Times New Roman"/>
          <w:sz w:val="24"/>
          <w:szCs w:val="24"/>
        </w:rPr>
        <w:t>an</w:t>
      </w:r>
      <w:r w:rsidRPr="006B177F">
        <w:rPr>
          <w:rFonts w:ascii="Times New Roman" w:hAnsi="Times New Roman" w:cs="Times New Roman"/>
          <w:sz w:val="24"/>
          <w:szCs w:val="24"/>
        </w:rPr>
        <w:t xml:space="preserve"> with the subprime mortgage market in </w:t>
      </w:r>
      <w:r w:rsidR="0034738F">
        <w:rPr>
          <w:rFonts w:ascii="Times New Roman" w:hAnsi="Times New Roman" w:cs="Times New Roman"/>
          <w:sz w:val="24"/>
          <w:szCs w:val="24"/>
        </w:rPr>
        <w:t xml:space="preserve">the </w:t>
      </w:r>
      <w:r w:rsidRPr="006B177F">
        <w:rPr>
          <w:rFonts w:ascii="Times New Roman" w:hAnsi="Times New Roman" w:cs="Times New Roman"/>
          <w:sz w:val="24"/>
          <w:szCs w:val="24"/>
        </w:rPr>
        <w:t>US (</w:t>
      </w:r>
      <w:r w:rsidR="00FD0A95">
        <w:rPr>
          <w:rFonts w:ascii="Times New Roman" w:hAnsi="Times New Roman" w:cs="Times New Roman"/>
          <w:sz w:val="24"/>
          <w:szCs w:val="24"/>
        </w:rPr>
        <w:t>Mo</w:t>
      </w:r>
      <w:r w:rsidR="00787621">
        <w:rPr>
          <w:rFonts w:ascii="Times New Roman" w:hAnsi="Times New Roman" w:cs="Times New Roman"/>
          <w:sz w:val="24"/>
          <w:szCs w:val="24"/>
        </w:rPr>
        <w:t>naghan</w:t>
      </w:r>
      <w:r w:rsidRPr="006B177F">
        <w:rPr>
          <w:rFonts w:ascii="Times New Roman" w:hAnsi="Times New Roman" w:cs="Times New Roman"/>
          <w:sz w:val="24"/>
          <w:szCs w:val="24"/>
        </w:rPr>
        <w:t>, 2013).</w:t>
      </w:r>
    </w:p>
    <w:p w14:paraId="6D5BEC8B" w14:textId="4BBC69E0" w:rsidR="0081127D" w:rsidRPr="006B177F" w:rsidRDefault="0081127D" w:rsidP="005E6A38">
      <w:pPr>
        <w:rPr>
          <w:rFonts w:ascii="Times New Roman" w:hAnsi="Times New Roman" w:cs="Times New Roman"/>
          <w:sz w:val="24"/>
          <w:szCs w:val="24"/>
        </w:rPr>
      </w:pPr>
      <w:r w:rsidRPr="006B177F">
        <w:rPr>
          <w:rFonts w:ascii="Times New Roman" w:hAnsi="Times New Roman" w:cs="Times New Roman"/>
          <w:sz w:val="24"/>
          <w:szCs w:val="24"/>
        </w:rPr>
        <w:t>In 2013, Lloyds and TSB once again bec</w:t>
      </w:r>
      <w:r w:rsidR="003A7AEF">
        <w:rPr>
          <w:rFonts w:ascii="Times New Roman" w:hAnsi="Times New Roman" w:cs="Times New Roman"/>
          <w:sz w:val="24"/>
          <w:szCs w:val="24"/>
        </w:rPr>
        <w:t>a</w:t>
      </w:r>
      <w:r w:rsidRPr="006B177F">
        <w:rPr>
          <w:rFonts w:ascii="Times New Roman" w:hAnsi="Times New Roman" w:cs="Times New Roman"/>
          <w:sz w:val="24"/>
          <w:szCs w:val="24"/>
        </w:rPr>
        <w:t xml:space="preserve">me two separate banks. </w:t>
      </w:r>
    </w:p>
    <w:p w14:paraId="488329AC" w14:textId="13FC126F" w:rsidR="0081127D" w:rsidRPr="006B177F" w:rsidRDefault="0081127D" w:rsidP="005E6A38">
      <w:pPr>
        <w:rPr>
          <w:rFonts w:ascii="Times New Roman" w:hAnsi="Times New Roman" w:cs="Times New Roman"/>
          <w:sz w:val="24"/>
          <w:szCs w:val="24"/>
        </w:rPr>
      </w:pPr>
      <w:r w:rsidRPr="006B177F">
        <w:rPr>
          <w:rFonts w:ascii="Times New Roman" w:hAnsi="Times New Roman" w:cs="Times New Roman"/>
          <w:sz w:val="24"/>
          <w:szCs w:val="24"/>
        </w:rPr>
        <w:t>Retail banking, commercial banking, private banking, investment banking, pension</w:t>
      </w:r>
      <w:r w:rsidR="0034738F">
        <w:rPr>
          <w:rFonts w:ascii="Times New Roman" w:hAnsi="Times New Roman" w:cs="Times New Roman"/>
          <w:sz w:val="24"/>
          <w:szCs w:val="24"/>
        </w:rPr>
        <w:t xml:space="preserve"> </w:t>
      </w:r>
      <w:r w:rsidRPr="006B177F">
        <w:rPr>
          <w:rFonts w:ascii="Times New Roman" w:hAnsi="Times New Roman" w:cs="Times New Roman"/>
          <w:sz w:val="24"/>
          <w:szCs w:val="24"/>
        </w:rPr>
        <w:t xml:space="preserve">and insurance are some of its products and services shared in the UK. </w:t>
      </w:r>
      <w:r w:rsidR="003A7AEF">
        <w:rPr>
          <w:rFonts w:ascii="Times New Roman" w:hAnsi="Times New Roman" w:cs="Times New Roman"/>
          <w:sz w:val="24"/>
          <w:szCs w:val="24"/>
        </w:rPr>
        <w:t xml:space="preserve">Two of the main ambitions of the Group are: </w:t>
      </w:r>
      <w:r w:rsidR="008E7EB9" w:rsidRPr="006B177F">
        <w:rPr>
          <w:rFonts w:ascii="Times New Roman" w:hAnsi="Times New Roman" w:cs="Times New Roman"/>
          <w:sz w:val="24"/>
          <w:szCs w:val="24"/>
        </w:rPr>
        <w:t xml:space="preserve">Becoming the best bank for customers and </w:t>
      </w:r>
      <w:r w:rsidR="007B788A">
        <w:rPr>
          <w:rFonts w:ascii="Times New Roman" w:hAnsi="Times New Roman" w:cs="Times New Roman"/>
          <w:sz w:val="24"/>
          <w:szCs w:val="24"/>
        </w:rPr>
        <w:t>h</w:t>
      </w:r>
      <w:r w:rsidRPr="006B177F">
        <w:rPr>
          <w:rFonts w:ascii="Times New Roman" w:hAnsi="Times New Roman" w:cs="Times New Roman"/>
          <w:sz w:val="24"/>
          <w:szCs w:val="24"/>
        </w:rPr>
        <w:t xml:space="preserve">elping Britain prosper supporting business across in the UK </w:t>
      </w:r>
    </w:p>
    <w:p w14:paraId="17565D72" w14:textId="77777777" w:rsidR="00965596" w:rsidRDefault="00965596" w:rsidP="0081127D"/>
    <w:p w14:paraId="5F8DB45D" w14:textId="1AEBB7B1" w:rsidR="000E43F0" w:rsidRPr="0088515E" w:rsidRDefault="00EB75F7" w:rsidP="00965596">
      <w:pPr>
        <w:pStyle w:val="Heading1"/>
        <w:rPr>
          <w:rFonts w:ascii="Times New Roman" w:hAnsi="Times New Roman" w:cs="Times New Roman"/>
          <w:sz w:val="28"/>
          <w:szCs w:val="28"/>
        </w:rPr>
      </w:pPr>
      <w:bookmarkStart w:id="2" w:name="_Toc18488764"/>
      <w:r w:rsidRPr="0088515E">
        <w:rPr>
          <w:rFonts w:ascii="Times New Roman" w:hAnsi="Times New Roman" w:cs="Times New Roman"/>
          <w:sz w:val="28"/>
          <w:szCs w:val="28"/>
        </w:rPr>
        <w:lastRenderedPageBreak/>
        <w:t xml:space="preserve">Ratios’ </w:t>
      </w:r>
      <w:r w:rsidR="00ED2F7D" w:rsidRPr="0088515E">
        <w:rPr>
          <w:rFonts w:ascii="Times New Roman" w:hAnsi="Times New Roman" w:cs="Times New Roman"/>
          <w:sz w:val="28"/>
          <w:szCs w:val="28"/>
        </w:rPr>
        <w:t>analysis –</w:t>
      </w:r>
      <w:r w:rsidR="006E69F4" w:rsidRPr="0088515E">
        <w:rPr>
          <w:rFonts w:ascii="Times New Roman" w:hAnsi="Times New Roman" w:cs="Times New Roman"/>
          <w:sz w:val="28"/>
          <w:szCs w:val="28"/>
        </w:rPr>
        <w:t xml:space="preserve"> Lloyds vs. Barclays</w:t>
      </w:r>
      <w:bookmarkEnd w:id="2"/>
      <w:r w:rsidR="006E69F4" w:rsidRPr="0088515E">
        <w:rPr>
          <w:rFonts w:ascii="Times New Roman" w:hAnsi="Times New Roman" w:cs="Times New Roman"/>
          <w:sz w:val="28"/>
          <w:szCs w:val="28"/>
        </w:rPr>
        <w:t xml:space="preserve"> </w:t>
      </w:r>
    </w:p>
    <w:p w14:paraId="35FC357B" w14:textId="4F5D8DF8" w:rsidR="00423EF9" w:rsidRDefault="00986B01" w:rsidP="00E20F86">
      <w:pPr>
        <w:rPr>
          <w:rFonts w:ascii="Times New Roman" w:hAnsi="Times New Roman" w:cs="Times New Roman"/>
          <w:sz w:val="24"/>
          <w:szCs w:val="24"/>
        </w:rPr>
      </w:pPr>
      <w:r w:rsidRPr="00E20F86">
        <w:rPr>
          <w:rFonts w:ascii="Times New Roman" w:hAnsi="Times New Roman" w:cs="Times New Roman"/>
          <w:sz w:val="24"/>
          <w:szCs w:val="24"/>
        </w:rPr>
        <w:t xml:space="preserve">Ratio analysis </w:t>
      </w:r>
      <w:r w:rsidR="004B2D3E" w:rsidRPr="00E20F86">
        <w:rPr>
          <w:rFonts w:ascii="Times New Roman" w:hAnsi="Times New Roman" w:cs="Times New Roman"/>
          <w:sz w:val="24"/>
          <w:szCs w:val="24"/>
        </w:rPr>
        <w:t>is the relation of line items in the profit-and-loss statement of a business</w:t>
      </w:r>
      <w:r w:rsidR="00300929" w:rsidRPr="00E20F86">
        <w:rPr>
          <w:rFonts w:ascii="Times New Roman" w:hAnsi="Times New Roman" w:cs="Times New Roman"/>
          <w:sz w:val="24"/>
          <w:szCs w:val="24"/>
        </w:rPr>
        <w:t xml:space="preserve">; it is </w:t>
      </w:r>
      <w:r w:rsidR="008F544A" w:rsidRPr="00E20F86">
        <w:rPr>
          <w:rFonts w:ascii="Times New Roman" w:hAnsi="Times New Roman" w:cs="Times New Roman"/>
          <w:sz w:val="24"/>
          <w:szCs w:val="24"/>
        </w:rPr>
        <w:t xml:space="preserve">useful to analyse inside and outside a business. </w:t>
      </w:r>
      <w:r w:rsidR="00A17BB7" w:rsidRPr="00E20F86">
        <w:rPr>
          <w:rFonts w:ascii="Times New Roman" w:hAnsi="Times New Roman" w:cs="Times New Roman"/>
          <w:sz w:val="24"/>
          <w:szCs w:val="24"/>
        </w:rPr>
        <w:t>I</w:t>
      </w:r>
      <w:r w:rsidR="00EB5FBA" w:rsidRPr="00E20F86">
        <w:rPr>
          <w:rFonts w:ascii="Times New Roman" w:hAnsi="Times New Roman" w:cs="Times New Roman"/>
          <w:sz w:val="24"/>
          <w:szCs w:val="24"/>
        </w:rPr>
        <w:t xml:space="preserve">n this section capital adequacy, liquidity level and asset quality of Lloyds Banking Group plc will be </w:t>
      </w:r>
      <w:r w:rsidR="00EC4EF1" w:rsidRPr="00E20F86">
        <w:rPr>
          <w:rFonts w:ascii="Times New Roman" w:hAnsi="Times New Roman" w:cs="Times New Roman"/>
          <w:sz w:val="24"/>
          <w:szCs w:val="24"/>
        </w:rPr>
        <w:t>presented.</w:t>
      </w:r>
      <w:r w:rsidR="00A842BC">
        <w:rPr>
          <w:rFonts w:ascii="Times New Roman" w:hAnsi="Times New Roman" w:cs="Times New Roman"/>
          <w:sz w:val="24"/>
          <w:szCs w:val="24"/>
        </w:rPr>
        <w:t xml:space="preserve"> </w:t>
      </w:r>
      <w:r w:rsidR="00EC4EF1" w:rsidRPr="00E20F86">
        <w:rPr>
          <w:rFonts w:ascii="Times New Roman" w:hAnsi="Times New Roman" w:cs="Times New Roman"/>
          <w:sz w:val="24"/>
          <w:szCs w:val="24"/>
        </w:rPr>
        <w:t>These ratios will be calculated and analysed</w:t>
      </w:r>
      <w:r w:rsidR="00335024" w:rsidRPr="00E20F86">
        <w:rPr>
          <w:rFonts w:ascii="Times New Roman" w:hAnsi="Times New Roman" w:cs="Times New Roman"/>
          <w:sz w:val="24"/>
          <w:szCs w:val="24"/>
        </w:rPr>
        <w:t xml:space="preserve"> (internally)</w:t>
      </w:r>
      <w:r w:rsidR="00EC4EF1" w:rsidRPr="00E20F86">
        <w:rPr>
          <w:rFonts w:ascii="Times New Roman" w:hAnsi="Times New Roman" w:cs="Times New Roman"/>
          <w:sz w:val="24"/>
          <w:szCs w:val="24"/>
        </w:rPr>
        <w:t xml:space="preserve"> over the past five years (2014-2018). </w:t>
      </w:r>
      <w:r w:rsidR="00335024" w:rsidRPr="00E20F86">
        <w:rPr>
          <w:rFonts w:ascii="Times New Roman" w:hAnsi="Times New Roman" w:cs="Times New Roman"/>
          <w:sz w:val="24"/>
          <w:szCs w:val="24"/>
        </w:rPr>
        <w:t xml:space="preserve">Also, a comparison </w:t>
      </w:r>
      <w:r w:rsidR="009145B6" w:rsidRPr="00E20F86">
        <w:rPr>
          <w:rFonts w:ascii="Times New Roman" w:hAnsi="Times New Roman" w:cs="Times New Roman"/>
          <w:sz w:val="24"/>
          <w:szCs w:val="24"/>
        </w:rPr>
        <w:t>against</w:t>
      </w:r>
      <w:r w:rsidR="00335024" w:rsidRPr="00E20F86">
        <w:rPr>
          <w:rFonts w:ascii="Times New Roman" w:hAnsi="Times New Roman" w:cs="Times New Roman"/>
          <w:sz w:val="24"/>
          <w:szCs w:val="24"/>
        </w:rPr>
        <w:t xml:space="preserve"> Barclays Bank </w:t>
      </w:r>
      <w:r w:rsidR="00DD1E41" w:rsidRPr="00E20F86">
        <w:rPr>
          <w:rFonts w:ascii="Times New Roman" w:hAnsi="Times New Roman" w:cs="Times New Roman"/>
          <w:sz w:val="24"/>
          <w:szCs w:val="24"/>
        </w:rPr>
        <w:t>plc</w:t>
      </w:r>
      <w:r w:rsidR="00541030" w:rsidRPr="00E20F86">
        <w:rPr>
          <w:rFonts w:ascii="Times New Roman" w:hAnsi="Times New Roman" w:cs="Times New Roman"/>
          <w:sz w:val="24"/>
          <w:szCs w:val="24"/>
        </w:rPr>
        <w:t xml:space="preserve"> (another British financial institution)</w:t>
      </w:r>
      <w:r w:rsidR="009145B6" w:rsidRPr="00E20F86">
        <w:rPr>
          <w:rFonts w:ascii="Times New Roman" w:hAnsi="Times New Roman" w:cs="Times New Roman"/>
          <w:sz w:val="24"/>
          <w:szCs w:val="24"/>
        </w:rPr>
        <w:t xml:space="preserve"> will be explored</w:t>
      </w:r>
      <w:r w:rsidR="00345D33" w:rsidRPr="00E20F86">
        <w:rPr>
          <w:rFonts w:ascii="Times New Roman" w:hAnsi="Times New Roman" w:cs="Times New Roman"/>
          <w:sz w:val="24"/>
          <w:szCs w:val="24"/>
        </w:rPr>
        <w:t xml:space="preserve"> – only for the last year (2018). </w:t>
      </w:r>
      <w:r w:rsidR="00CB71F3">
        <w:rPr>
          <w:rFonts w:ascii="Times New Roman" w:hAnsi="Times New Roman" w:cs="Times New Roman"/>
          <w:sz w:val="24"/>
          <w:szCs w:val="24"/>
        </w:rPr>
        <w:t>The a</w:t>
      </w:r>
      <w:r w:rsidR="00C1214D" w:rsidRPr="00E20F86">
        <w:rPr>
          <w:rFonts w:ascii="Times New Roman" w:hAnsi="Times New Roman" w:cs="Times New Roman"/>
          <w:sz w:val="24"/>
          <w:szCs w:val="24"/>
        </w:rPr>
        <w:t xml:space="preserve">nnual </w:t>
      </w:r>
      <w:r w:rsidR="00BE02F7">
        <w:rPr>
          <w:rFonts w:ascii="Times New Roman" w:hAnsi="Times New Roman" w:cs="Times New Roman"/>
          <w:sz w:val="24"/>
          <w:szCs w:val="24"/>
        </w:rPr>
        <w:t>financial statement</w:t>
      </w:r>
      <w:r w:rsidR="00C1214D" w:rsidRPr="00E20F86">
        <w:rPr>
          <w:rFonts w:ascii="Times New Roman" w:hAnsi="Times New Roman" w:cs="Times New Roman"/>
          <w:sz w:val="24"/>
          <w:szCs w:val="24"/>
        </w:rPr>
        <w:t xml:space="preserve"> of both companies </w:t>
      </w:r>
      <w:r w:rsidR="00B253CB" w:rsidRPr="00E20F86">
        <w:rPr>
          <w:rFonts w:ascii="Times New Roman" w:hAnsi="Times New Roman" w:cs="Times New Roman"/>
          <w:sz w:val="24"/>
          <w:szCs w:val="24"/>
        </w:rPr>
        <w:t xml:space="preserve">will be </w:t>
      </w:r>
      <w:r w:rsidR="00C1214D" w:rsidRPr="00E20F86">
        <w:rPr>
          <w:rFonts w:ascii="Times New Roman" w:hAnsi="Times New Roman" w:cs="Times New Roman"/>
          <w:sz w:val="24"/>
          <w:szCs w:val="24"/>
        </w:rPr>
        <w:t xml:space="preserve">the source of </w:t>
      </w:r>
      <w:r w:rsidR="00B253CB" w:rsidRPr="00E20F86">
        <w:rPr>
          <w:rFonts w:ascii="Times New Roman" w:hAnsi="Times New Roman" w:cs="Times New Roman"/>
          <w:sz w:val="24"/>
          <w:szCs w:val="24"/>
        </w:rPr>
        <w:t>the</w:t>
      </w:r>
      <w:r w:rsidR="001D2753" w:rsidRPr="00E20F86">
        <w:rPr>
          <w:rFonts w:ascii="Times New Roman" w:hAnsi="Times New Roman" w:cs="Times New Roman"/>
          <w:sz w:val="24"/>
          <w:szCs w:val="24"/>
        </w:rPr>
        <w:t xml:space="preserve"> </w:t>
      </w:r>
      <w:r w:rsidR="00123E8E" w:rsidRPr="00E20F86">
        <w:rPr>
          <w:rFonts w:ascii="Times New Roman" w:hAnsi="Times New Roman" w:cs="Times New Roman"/>
          <w:sz w:val="24"/>
          <w:szCs w:val="24"/>
        </w:rPr>
        <w:t>ratio</w:t>
      </w:r>
      <w:r w:rsidR="007D5BFF">
        <w:rPr>
          <w:rFonts w:ascii="Times New Roman" w:hAnsi="Times New Roman" w:cs="Times New Roman"/>
          <w:sz w:val="24"/>
          <w:szCs w:val="24"/>
        </w:rPr>
        <w:t>s’</w:t>
      </w:r>
      <w:r w:rsidR="00B253CB" w:rsidRPr="00E20F86">
        <w:rPr>
          <w:rFonts w:ascii="Times New Roman" w:hAnsi="Times New Roman" w:cs="Times New Roman"/>
          <w:sz w:val="24"/>
          <w:szCs w:val="24"/>
        </w:rPr>
        <w:t xml:space="preserve"> </w:t>
      </w:r>
      <w:r w:rsidR="00E15916" w:rsidRPr="00E20F86">
        <w:rPr>
          <w:rFonts w:ascii="Times New Roman" w:hAnsi="Times New Roman" w:cs="Times New Roman"/>
          <w:sz w:val="24"/>
          <w:szCs w:val="24"/>
        </w:rPr>
        <w:t>calculation.</w:t>
      </w:r>
      <w:r w:rsidR="00B253CB" w:rsidRPr="00E20F86">
        <w:rPr>
          <w:rFonts w:ascii="Times New Roman" w:hAnsi="Times New Roman" w:cs="Times New Roman"/>
          <w:sz w:val="24"/>
          <w:szCs w:val="24"/>
        </w:rPr>
        <w:t xml:space="preserve"> </w:t>
      </w:r>
    </w:p>
    <w:p w14:paraId="531C4759" w14:textId="77777777" w:rsidR="0088515E" w:rsidRPr="00E20F86" w:rsidRDefault="0088515E" w:rsidP="00E20F86">
      <w:pPr>
        <w:rPr>
          <w:rFonts w:ascii="Times New Roman" w:hAnsi="Times New Roman" w:cs="Times New Roman"/>
          <w:sz w:val="24"/>
          <w:szCs w:val="24"/>
        </w:rPr>
      </w:pPr>
    </w:p>
    <w:p w14:paraId="39864153" w14:textId="43C137A9" w:rsidR="0025615A" w:rsidRPr="00EA148A" w:rsidRDefault="0025615A" w:rsidP="007236E7">
      <w:pPr>
        <w:pStyle w:val="Heading2"/>
        <w:rPr>
          <w:rFonts w:ascii="Times New Roman" w:hAnsi="Times New Roman" w:cs="Times New Roman"/>
          <w:sz w:val="28"/>
          <w:szCs w:val="28"/>
        </w:rPr>
      </w:pPr>
      <w:bookmarkStart w:id="3" w:name="_Toc18488765"/>
      <w:r w:rsidRPr="00EA148A">
        <w:rPr>
          <w:rFonts w:ascii="Times New Roman" w:hAnsi="Times New Roman" w:cs="Times New Roman"/>
          <w:sz w:val="28"/>
          <w:szCs w:val="28"/>
        </w:rPr>
        <w:t xml:space="preserve">Capital </w:t>
      </w:r>
      <w:r w:rsidR="007236E7" w:rsidRPr="00EA148A">
        <w:rPr>
          <w:rFonts w:ascii="Times New Roman" w:hAnsi="Times New Roman" w:cs="Times New Roman"/>
          <w:sz w:val="28"/>
          <w:szCs w:val="28"/>
        </w:rPr>
        <w:t xml:space="preserve">adequacy </w:t>
      </w:r>
      <w:r w:rsidR="00EE1583" w:rsidRPr="00EA148A">
        <w:rPr>
          <w:rFonts w:ascii="Times New Roman" w:hAnsi="Times New Roman" w:cs="Times New Roman"/>
          <w:sz w:val="28"/>
          <w:szCs w:val="28"/>
        </w:rPr>
        <w:t>ratio</w:t>
      </w:r>
      <w:bookmarkEnd w:id="3"/>
    </w:p>
    <w:p w14:paraId="205F1BFB" w14:textId="4DC1F766" w:rsidR="00C33BFF" w:rsidRPr="00F17EDE" w:rsidRDefault="00CA0995" w:rsidP="00F17EDE">
      <w:pPr>
        <w:rPr>
          <w:rFonts w:ascii="Times New Roman" w:hAnsi="Times New Roman" w:cs="Times New Roman"/>
          <w:sz w:val="24"/>
          <w:szCs w:val="24"/>
        </w:rPr>
      </w:pPr>
      <w:r w:rsidRPr="00F17EDE">
        <w:rPr>
          <w:rFonts w:ascii="Times New Roman" w:hAnsi="Times New Roman" w:cs="Times New Roman"/>
          <w:sz w:val="24"/>
          <w:szCs w:val="24"/>
        </w:rPr>
        <w:t xml:space="preserve">The Basel Committee on Bank Supervision (BCBS) was formed in 1974 by central banks from the G10 countries. The committee has produced three main norms known as Basel I (1988), II (2004) and III (2010) in order to </w:t>
      </w:r>
      <w:r w:rsidR="005076E5" w:rsidRPr="00F17EDE">
        <w:rPr>
          <w:rFonts w:ascii="Times New Roman" w:hAnsi="Times New Roman" w:cs="Times New Roman"/>
          <w:sz w:val="24"/>
          <w:szCs w:val="24"/>
        </w:rPr>
        <w:t xml:space="preserve">strengthen the supervisor, practice and regulation of banks worldwide with the aim of </w:t>
      </w:r>
      <w:r w:rsidR="00CF7700" w:rsidRPr="00F17EDE">
        <w:rPr>
          <w:rFonts w:ascii="Times New Roman" w:hAnsi="Times New Roman" w:cs="Times New Roman"/>
          <w:sz w:val="24"/>
          <w:szCs w:val="24"/>
        </w:rPr>
        <w:t>reinforcing financial stability</w:t>
      </w:r>
      <w:r w:rsidRPr="00F17EDE">
        <w:rPr>
          <w:rFonts w:ascii="Times New Roman" w:hAnsi="Times New Roman" w:cs="Times New Roman"/>
          <w:sz w:val="24"/>
          <w:szCs w:val="24"/>
        </w:rPr>
        <w:t>.</w:t>
      </w:r>
      <w:r w:rsidR="00D51027" w:rsidRPr="00F17EDE">
        <w:rPr>
          <w:rFonts w:ascii="Times New Roman" w:hAnsi="Times New Roman" w:cs="Times New Roman"/>
          <w:sz w:val="24"/>
          <w:szCs w:val="24"/>
        </w:rPr>
        <w:t xml:space="preserve"> </w:t>
      </w:r>
      <w:r w:rsidR="00E108CC" w:rsidRPr="00F17EDE">
        <w:rPr>
          <w:rFonts w:ascii="Times New Roman" w:hAnsi="Times New Roman" w:cs="Times New Roman"/>
          <w:sz w:val="24"/>
          <w:szCs w:val="24"/>
        </w:rPr>
        <w:t xml:space="preserve">According to </w:t>
      </w:r>
      <w:r w:rsidR="00401549" w:rsidRPr="00F17EDE">
        <w:rPr>
          <w:rFonts w:ascii="Times New Roman" w:hAnsi="Times New Roman" w:cs="Times New Roman"/>
          <w:sz w:val="24"/>
          <w:szCs w:val="24"/>
        </w:rPr>
        <w:t>B</w:t>
      </w:r>
      <w:r w:rsidR="001A7A73" w:rsidRPr="00F17EDE">
        <w:rPr>
          <w:rFonts w:ascii="Times New Roman" w:hAnsi="Times New Roman" w:cs="Times New Roman"/>
          <w:sz w:val="24"/>
          <w:szCs w:val="24"/>
        </w:rPr>
        <w:t xml:space="preserve">asel </w:t>
      </w:r>
      <w:r w:rsidR="00EA148A">
        <w:rPr>
          <w:rFonts w:ascii="Times New Roman" w:hAnsi="Times New Roman" w:cs="Times New Roman"/>
          <w:sz w:val="24"/>
          <w:szCs w:val="24"/>
        </w:rPr>
        <w:t>C</w:t>
      </w:r>
      <w:r w:rsidR="001A7A73" w:rsidRPr="00F17EDE">
        <w:rPr>
          <w:rFonts w:ascii="Times New Roman" w:hAnsi="Times New Roman" w:cs="Times New Roman"/>
          <w:sz w:val="24"/>
          <w:szCs w:val="24"/>
        </w:rPr>
        <w:t>ommittee (</w:t>
      </w:r>
      <w:r w:rsidR="00401549" w:rsidRPr="00F17EDE">
        <w:rPr>
          <w:rFonts w:ascii="Times New Roman" w:hAnsi="Times New Roman" w:cs="Times New Roman"/>
          <w:sz w:val="24"/>
          <w:szCs w:val="24"/>
        </w:rPr>
        <w:t>2010)</w:t>
      </w:r>
      <w:r w:rsidR="00747F0B" w:rsidRPr="00F17EDE">
        <w:rPr>
          <w:rFonts w:ascii="Times New Roman" w:hAnsi="Times New Roman" w:cs="Times New Roman"/>
          <w:sz w:val="24"/>
          <w:szCs w:val="24"/>
        </w:rPr>
        <w:t>,</w:t>
      </w:r>
      <w:r w:rsidR="003C251A" w:rsidRPr="00F17EDE">
        <w:rPr>
          <w:rFonts w:ascii="Times New Roman" w:hAnsi="Times New Roman" w:cs="Times New Roman"/>
          <w:sz w:val="24"/>
          <w:szCs w:val="24"/>
        </w:rPr>
        <w:t xml:space="preserve"> banks must maintain </w:t>
      </w:r>
      <w:r w:rsidR="00651AEF" w:rsidRPr="00F17EDE">
        <w:rPr>
          <w:rFonts w:ascii="Times New Roman" w:hAnsi="Times New Roman" w:cs="Times New Roman"/>
          <w:sz w:val="24"/>
          <w:szCs w:val="24"/>
        </w:rPr>
        <w:t xml:space="preserve">a capital adequacy ratio </w:t>
      </w:r>
      <w:r w:rsidR="00C33BFF" w:rsidRPr="00F17EDE">
        <w:rPr>
          <w:rFonts w:ascii="Times New Roman" w:hAnsi="Times New Roman" w:cs="Times New Roman"/>
          <w:sz w:val="24"/>
          <w:szCs w:val="24"/>
        </w:rPr>
        <w:t xml:space="preserve">(CAR) </w:t>
      </w:r>
      <w:r w:rsidR="00651AEF" w:rsidRPr="00F17EDE">
        <w:rPr>
          <w:rFonts w:ascii="Times New Roman" w:hAnsi="Times New Roman" w:cs="Times New Roman"/>
          <w:sz w:val="24"/>
          <w:szCs w:val="24"/>
        </w:rPr>
        <w:t>equal at least 8%</w:t>
      </w:r>
      <w:r w:rsidR="005D6E22" w:rsidRPr="00F17EDE">
        <w:rPr>
          <w:rFonts w:ascii="Times New Roman" w:hAnsi="Times New Roman" w:cs="Times New Roman"/>
          <w:sz w:val="24"/>
          <w:szCs w:val="24"/>
        </w:rPr>
        <w:t xml:space="preserve"> </w:t>
      </w:r>
      <w:r w:rsidR="00A64C7D" w:rsidRPr="00F17EDE">
        <w:rPr>
          <w:rFonts w:ascii="Times New Roman" w:hAnsi="Times New Roman" w:cs="Times New Roman"/>
          <w:sz w:val="24"/>
          <w:szCs w:val="24"/>
        </w:rPr>
        <w:t xml:space="preserve">(10.5% </w:t>
      </w:r>
      <w:r w:rsidR="00DA4E5F" w:rsidRPr="00F17EDE">
        <w:rPr>
          <w:rFonts w:ascii="Times New Roman" w:hAnsi="Times New Roman" w:cs="Times New Roman"/>
          <w:sz w:val="24"/>
          <w:szCs w:val="24"/>
        </w:rPr>
        <w:t>if it</w:t>
      </w:r>
      <w:r w:rsidR="00EB1143" w:rsidRPr="00F17EDE">
        <w:rPr>
          <w:rFonts w:ascii="Times New Roman" w:hAnsi="Times New Roman" w:cs="Times New Roman"/>
          <w:sz w:val="24"/>
          <w:szCs w:val="24"/>
        </w:rPr>
        <w:t xml:space="preserve"> also includes the</w:t>
      </w:r>
      <w:r w:rsidR="005C2F38" w:rsidRPr="00F17EDE">
        <w:rPr>
          <w:rFonts w:ascii="Times New Roman" w:hAnsi="Times New Roman" w:cs="Times New Roman"/>
          <w:sz w:val="24"/>
          <w:szCs w:val="24"/>
        </w:rPr>
        <w:t xml:space="preserve"> capital conservation buffer). </w:t>
      </w:r>
      <w:r w:rsidR="00C33BFF" w:rsidRPr="00F17EDE">
        <w:rPr>
          <w:rFonts w:ascii="Times New Roman" w:hAnsi="Times New Roman" w:cs="Times New Roman"/>
          <w:sz w:val="24"/>
          <w:szCs w:val="24"/>
        </w:rPr>
        <w:t xml:space="preserve">This amount is expressed as capital adequacy ratio (CAR) </w:t>
      </w:r>
      <w:r w:rsidR="008F1A17">
        <w:rPr>
          <w:rFonts w:ascii="Times New Roman" w:hAnsi="Times New Roman" w:cs="Times New Roman"/>
          <w:sz w:val="24"/>
          <w:szCs w:val="24"/>
        </w:rPr>
        <w:t xml:space="preserve">and it </w:t>
      </w:r>
      <w:r w:rsidR="00C33BFF" w:rsidRPr="00F17EDE">
        <w:rPr>
          <w:rFonts w:ascii="Times New Roman" w:hAnsi="Times New Roman" w:cs="Times New Roman"/>
          <w:color w:val="000000" w:themeColor="text1"/>
          <w:sz w:val="24"/>
          <w:szCs w:val="24"/>
        </w:rPr>
        <w:t xml:space="preserve">measures a bank’s available capital </w:t>
      </w:r>
      <w:r w:rsidR="00587735">
        <w:rPr>
          <w:rFonts w:ascii="Times New Roman" w:hAnsi="Times New Roman" w:cs="Times New Roman"/>
          <w:color w:val="000000" w:themeColor="text1"/>
          <w:sz w:val="24"/>
          <w:szCs w:val="24"/>
        </w:rPr>
        <w:t xml:space="preserve">which is </w:t>
      </w:r>
      <w:r w:rsidR="00C33BFF" w:rsidRPr="00F17EDE">
        <w:rPr>
          <w:rFonts w:ascii="Times New Roman" w:hAnsi="Times New Roman" w:cs="Times New Roman"/>
          <w:color w:val="000000" w:themeColor="text1"/>
          <w:sz w:val="24"/>
          <w:szCs w:val="24"/>
        </w:rPr>
        <w:t xml:space="preserve">expressed as </w:t>
      </w:r>
      <w:r w:rsidR="00587735">
        <w:rPr>
          <w:rFonts w:ascii="Times New Roman" w:hAnsi="Times New Roman" w:cs="Times New Roman"/>
          <w:color w:val="000000" w:themeColor="text1"/>
          <w:sz w:val="24"/>
          <w:szCs w:val="24"/>
        </w:rPr>
        <w:t xml:space="preserve">the </w:t>
      </w:r>
      <w:r w:rsidR="00C33BFF" w:rsidRPr="00F17EDE">
        <w:rPr>
          <w:rFonts w:ascii="Times New Roman" w:hAnsi="Times New Roman" w:cs="Times New Roman"/>
          <w:color w:val="000000" w:themeColor="text1"/>
          <w:sz w:val="24"/>
          <w:szCs w:val="24"/>
        </w:rPr>
        <w:t xml:space="preserve">percentage </w:t>
      </w:r>
      <w:r w:rsidR="003120C7">
        <w:rPr>
          <w:rFonts w:ascii="Times New Roman" w:hAnsi="Times New Roman" w:cs="Times New Roman"/>
          <w:color w:val="000000" w:themeColor="text1"/>
          <w:sz w:val="24"/>
          <w:szCs w:val="24"/>
        </w:rPr>
        <w:t xml:space="preserve">of </w:t>
      </w:r>
      <w:r w:rsidR="00587735">
        <w:rPr>
          <w:rFonts w:ascii="Times New Roman" w:hAnsi="Times New Roman" w:cs="Times New Roman"/>
          <w:color w:val="000000" w:themeColor="text1"/>
          <w:sz w:val="24"/>
          <w:szCs w:val="24"/>
        </w:rPr>
        <w:t>the</w:t>
      </w:r>
      <w:r w:rsidR="00C33BFF" w:rsidRPr="00F17EDE">
        <w:rPr>
          <w:rFonts w:ascii="Times New Roman" w:hAnsi="Times New Roman" w:cs="Times New Roman"/>
          <w:color w:val="000000" w:themeColor="text1"/>
          <w:sz w:val="24"/>
          <w:szCs w:val="24"/>
        </w:rPr>
        <w:t xml:space="preserve"> bank’s risk-weighted credit exposures. </w:t>
      </w:r>
    </w:p>
    <w:p w14:paraId="2CE44407" w14:textId="77777777" w:rsidR="0072541A" w:rsidRPr="00F17EDE" w:rsidRDefault="0072541A" w:rsidP="00F17EDE">
      <w:pPr>
        <w:rPr>
          <w:rFonts w:ascii="Times New Roman" w:hAnsi="Times New Roman" w:cs="Times New Roman"/>
          <w:sz w:val="24"/>
          <w:szCs w:val="24"/>
        </w:rPr>
      </w:pPr>
    </w:p>
    <w:p w14:paraId="7E47AE66" w14:textId="2D386438" w:rsidR="00C77C17" w:rsidRPr="00F17EDE" w:rsidRDefault="006579D7" w:rsidP="00F17ED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CAR=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TIER1+TIER2</m:t>
              </m:r>
            </m:num>
            <m:den>
              <m:r>
                <w:rPr>
                  <w:rFonts w:ascii="Cambria Math" w:eastAsiaTheme="minorEastAsia" w:hAnsi="Cambria Math" w:cs="Times New Roman"/>
                  <w:sz w:val="24"/>
                  <w:szCs w:val="24"/>
                </w:rPr>
                <m:t>RWA</m:t>
              </m:r>
            </m:den>
          </m:f>
          <m:r>
            <w:rPr>
              <w:rFonts w:ascii="Cambria Math" w:eastAsiaTheme="minorEastAsia" w:hAnsi="Cambria Math" w:cs="Times New Roman"/>
              <w:sz w:val="24"/>
              <w:szCs w:val="24"/>
            </w:rPr>
            <m:t>≥8%</m:t>
          </m:r>
        </m:oMath>
      </m:oMathPara>
    </w:p>
    <w:p w14:paraId="1ED7E5C1" w14:textId="4EE50C83" w:rsidR="0072541A" w:rsidRPr="00F17EDE" w:rsidRDefault="0072541A" w:rsidP="00F17EDE">
      <w:pPr>
        <w:rPr>
          <w:rFonts w:ascii="Times New Roman" w:eastAsiaTheme="minorEastAsia" w:hAnsi="Times New Roman" w:cs="Times New Roman"/>
          <w:color w:val="000000" w:themeColor="text1"/>
          <w:sz w:val="24"/>
          <w:szCs w:val="24"/>
        </w:rPr>
      </w:pPr>
      <w:r w:rsidRPr="00F17EDE">
        <w:rPr>
          <w:rFonts w:ascii="Times New Roman" w:eastAsiaTheme="minorEastAsia" w:hAnsi="Times New Roman" w:cs="Times New Roman"/>
          <w:color w:val="000000" w:themeColor="text1"/>
          <w:sz w:val="24"/>
          <w:szCs w:val="24"/>
        </w:rPr>
        <w:t xml:space="preserve">Where: </w:t>
      </w:r>
    </w:p>
    <w:p w14:paraId="3058CFFC" w14:textId="7168AC6B" w:rsidR="00C6789C" w:rsidRPr="00F17EDE" w:rsidRDefault="0072541A" w:rsidP="00F17EDE">
      <w:pPr>
        <w:pStyle w:val="ListParagraph"/>
        <w:numPr>
          <w:ilvl w:val="0"/>
          <w:numId w:val="1"/>
        </w:numPr>
        <w:rPr>
          <w:rFonts w:ascii="Times New Roman" w:hAnsi="Times New Roman" w:cs="Times New Roman"/>
          <w:color w:val="000000" w:themeColor="text1"/>
          <w:sz w:val="24"/>
          <w:szCs w:val="24"/>
        </w:rPr>
      </w:pPr>
      <w:r w:rsidRPr="00F17EDE">
        <w:rPr>
          <w:rFonts w:ascii="Times New Roman" w:hAnsi="Times New Roman" w:cs="Times New Roman"/>
          <w:color w:val="000000" w:themeColor="text1"/>
          <w:sz w:val="24"/>
          <w:szCs w:val="24"/>
        </w:rPr>
        <w:t>T</w:t>
      </w:r>
      <w:r w:rsidR="00276FE1" w:rsidRPr="00F17EDE">
        <w:rPr>
          <w:rFonts w:ascii="Times New Roman" w:hAnsi="Times New Roman" w:cs="Times New Roman"/>
          <w:color w:val="000000" w:themeColor="text1"/>
          <w:sz w:val="24"/>
          <w:szCs w:val="24"/>
        </w:rPr>
        <w:t>ier</w:t>
      </w:r>
      <w:r w:rsidR="009C24A3" w:rsidRPr="00F17EDE">
        <w:rPr>
          <w:rFonts w:ascii="Times New Roman" w:hAnsi="Times New Roman" w:cs="Times New Roman"/>
          <w:color w:val="000000" w:themeColor="text1"/>
          <w:sz w:val="24"/>
          <w:szCs w:val="24"/>
        </w:rPr>
        <w:t xml:space="preserve"> </w:t>
      </w:r>
      <w:r w:rsidRPr="00F17EDE">
        <w:rPr>
          <w:rFonts w:ascii="Times New Roman" w:hAnsi="Times New Roman" w:cs="Times New Roman"/>
          <w:color w:val="000000" w:themeColor="text1"/>
          <w:sz w:val="24"/>
          <w:szCs w:val="24"/>
        </w:rPr>
        <w:t>1 or core capital consists of shareholders' equity and declared reserves</w:t>
      </w:r>
      <w:r w:rsidR="003D71FF" w:rsidRPr="00F17EDE">
        <w:rPr>
          <w:rFonts w:ascii="Times New Roman" w:hAnsi="Times New Roman" w:cs="Times New Roman"/>
          <w:color w:val="000000" w:themeColor="text1"/>
          <w:sz w:val="24"/>
          <w:szCs w:val="24"/>
        </w:rPr>
        <w:t xml:space="preserve">. </w:t>
      </w:r>
      <w:r w:rsidR="00D938EF" w:rsidRPr="00F17EDE">
        <w:rPr>
          <w:rFonts w:ascii="Times New Roman" w:hAnsi="Times New Roman" w:cs="Times New Roman"/>
          <w:color w:val="000000" w:themeColor="text1"/>
          <w:sz w:val="24"/>
          <w:szCs w:val="24"/>
        </w:rPr>
        <w:t xml:space="preserve">It is considered the primary </w:t>
      </w:r>
      <w:r w:rsidR="0042104E" w:rsidRPr="00F17EDE">
        <w:rPr>
          <w:rFonts w:ascii="Times New Roman" w:hAnsi="Times New Roman" w:cs="Times New Roman"/>
          <w:color w:val="000000" w:themeColor="text1"/>
          <w:sz w:val="24"/>
          <w:szCs w:val="24"/>
        </w:rPr>
        <w:t xml:space="preserve">capital to measure the </w:t>
      </w:r>
      <w:r w:rsidR="00454D03" w:rsidRPr="00F17EDE">
        <w:rPr>
          <w:rFonts w:ascii="Times New Roman" w:hAnsi="Times New Roman" w:cs="Times New Roman"/>
          <w:color w:val="000000" w:themeColor="text1"/>
          <w:sz w:val="24"/>
          <w:szCs w:val="24"/>
        </w:rPr>
        <w:t xml:space="preserve">financial health of a bank. </w:t>
      </w:r>
      <w:r w:rsidR="00E0433C" w:rsidRPr="00F17EDE">
        <w:rPr>
          <w:rFonts w:ascii="Times New Roman" w:hAnsi="Times New Roman" w:cs="Times New Roman"/>
          <w:color w:val="000000" w:themeColor="text1"/>
          <w:sz w:val="24"/>
          <w:szCs w:val="24"/>
        </w:rPr>
        <w:t>T</w:t>
      </w:r>
      <w:r w:rsidR="00D51093" w:rsidRPr="00F17EDE">
        <w:rPr>
          <w:rFonts w:ascii="Times New Roman" w:hAnsi="Times New Roman" w:cs="Times New Roman"/>
          <w:color w:val="000000" w:themeColor="text1"/>
          <w:sz w:val="24"/>
          <w:szCs w:val="24"/>
        </w:rPr>
        <w:t>ier</w:t>
      </w:r>
      <w:r w:rsidR="00AE7873" w:rsidRPr="00F17EDE">
        <w:rPr>
          <w:rFonts w:ascii="Times New Roman" w:hAnsi="Times New Roman" w:cs="Times New Roman"/>
          <w:color w:val="000000" w:themeColor="text1"/>
          <w:sz w:val="24"/>
          <w:szCs w:val="24"/>
        </w:rPr>
        <w:t xml:space="preserve"> </w:t>
      </w:r>
      <w:r w:rsidR="00E0433C" w:rsidRPr="00F17EDE">
        <w:rPr>
          <w:rFonts w:ascii="Times New Roman" w:hAnsi="Times New Roman" w:cs="Times New Roman"/>
          <w:color w:val="000000" w:themeColor="text1"/>
          <w:sz w:val="24"/>
          <w:szCs w:val="24"/>
        </w:rPr>
        <w:t xml:space="preserve">1 capital is the sum of </w:t>
      </w:r>
      <w:r w:rsidR="00982277" w:rsidRPr="00F17EDE">
        <w:rPr>
          <w:rFonts w:ascii="Times New Roman" w:hAnsi="Times New Roman" w:cs="Times New Roman"/>
          <w:color w:val="000000" w:themeColor="text1"/>
          <w:sz w:val="24"/>
          <w:szCs w:val="24"/>
        </w:rPr>
        <w:t xml:space="preserve">Common </w:t>
      </w:r>
      <w:r w:rsidR="00F55D32">
        <w:rPr>
          <w:rFonts w:ascii="Times New Roman" w:hAnsi="Times New Roman" w:cs="Times New Roman"/>
          <w:color w:val="000000" w:themeColor="text1"/>
          <w:sz w:val="24"/>
          <w:szCs w:val="24"/>
        </w:rPr>
        <w:t>E</w:t>
      </w:r>
      <w:r w:rsidR="00982277" w:rsidRPr="00F17EDE">
        <w:rPr>
          <w:rFonts w:ascii="Times New Roman" w:hAnsi="Times New Roman" w:cs="Times New Roman"/>
          <w:color w:val="000000" w:themeColor="text1"/>
          <w:sz w:val="24"/>
          <w:szCs w:val="24"/>
        </w:rPr>
        <w:t xml:space="preserve">quity Tier 1 </w:t>
      </w:r>
      <w:r w:rsidR="00C92D53" w:rsidRPr="00F17EDE">
        <w:rPr>
          <w:rFonts w:ascii="Times New Roman" w:hAnsi="Times New Roman" w:cs="Times New Roman"/>
          <w:color w:val="000000" w:themeColor="text1"/>
          <w:sz w:val="24"/>
          <w:szCs w:val="24"/>
        </w:rPr>
        <w:t xml:space="preserve">(CET1) </w:t>
      </w:r>
      <w:r w:rsidR="00982277" w:rsidRPr="00F17EDE">
        <w:rPr>
          <w:rFonts w:ascii="Times New Roman" w:hAnsi="Times New Roman" w:cs="Times New Roman"/>
          <w:color w:val="000000" w:themeColor="text1"/>
          <w:sz w:val="24"/>
          <w:szCs w:val="24"/>
        </w:rPr>
        <w:t xml:space="preserve">and </w:t>
      </w:r>
      <w:r w:rsidR="00C92D53" w:rsidRPr="00F17EDE">
        <w:rPr>
          <w:rFonts w:ascii="Times New Roman" w:hAnsi="Times New Roman" w:cs="Times New Roman"/>
          <w:color w:val="000000" w:themeColor="text1"/>
          <w:sz w:val="24"/>
          <w:szCs w:val="24"/>
        </w:rPr>
        <w:t xml:space="preserve">additional Tier 1 (AT1). </w:t>
      </w:r>
      <w:r w:rsidR="005C5D85" w:rsidRPr="00F17EDE">
        <w:rPr>
          <w:rFonts w:ascii="Times New Roman" w:hAnsi="Times New Roman" w:cs="Times New Roman"/>
          <w:color w:val="000000" w:themeColor="text1"/>
          <w:sz w:val="24"/>
          <w:szCs w:val="24"/>
        </w:rPr>
        <w:t xml:space="preserve">AT1 </w:t>
      </w:r>
      <w:r w:rsidR="008636D5" w:rsidRPr="00F17EDE">
        <w:rPr>
          <w:rFonts w:ascii="Times New Roman" w:hAnsi="Times New Roman" w:cs="Times New Roman"/>
          <w:color w:val="000000" w:themeColor="text1"/>
          <w:sz w:val="24"/>
          <w:szCs w:val="24"/>
        </w:rPr>
        <w:t>includes in</w:t>
      </w:r>
      <w:r w:rsidR="00D07BDB" w:rsidRPr="00F17EDE">
        <w:rPr>
          <w:rFonts w:ascii="Times New Roman" w:hAnsi="Times New Roman" w:cs="Times New Roman"/>
          <w:color w:val="000000" w:themeColor="text1"/>
          <w:sz w:val="24"/>
          <w:szCs w:val="24"/>
        </w:rPr>
        <w:t xml:space="preserve">struments that are not considered as common equity but are eligible to be included </w:t>
      </w:r>
      <w:r w:rsidR="008D7106" w:rsidRPr="00F17EDE">
        <w:rPr>
          <w:rFonts w:ascii="Times New Roman" w:hAnsi="Times New Roman" w:cs="Times New Roman"/>
          <w:color w:val="000000" w:themeColor="text1"/>
          <w:sz w:val="24"/>
          <w:szCs w:val="24"/>
        </w:rPr>
        <w:t>in T</w:t>
      </w:r>
      <w:r w:rsidR="00276FE1" w:rsidRPr="00F17EDE">
        <w:rPr>
          <w:rFonts w:ascii="Times New Roman" w:hAnsi="Times New Roman" w:cs="Times New Roman"/>
          <w:color w:val="000000" w:themeColor="text1"/>
          <w:sz w:val="24"/>
          <w:szCs w:val="24"/>
        </w:rPr>
        <w:t xml:space="preserve">ier </w:t>
      </w:r>
      <w:r w:rsidR="008D7106" w:rsidRPr="00F17EDE">
        <w:rPr>
          <w:rFonts w:ascii="Times New Roman" w:hAnsi="Times New Roman" w:cs="Times New Roman"/>
          <w:color w:val="000000" w:themeColor="text1"/>
          <w:sz w:val="24"/>
          <w:szCs w:val="24"/>
        </w:rPr>
        <w:t xml:space="preserve">1 capital. </w:t>
      </w:r>
    </w:p>
    <w:p w14:paraId="5B95EC03" w14:textId="3EA14E46" w:rsidR="0072541A" w:rsidRPr="00F17EDE" w:rsidRDefault="0096164D" w:rsidP="00F17EDE">
      <w:pPr>
        <w:pStyle w:val="ListParagraph"/>
        <w:rPr>
          <w:rFonts w:ascii="Times New Roman" w:hAnsi="Times New Roman" w:cs="Times New Roman"/>
          <w:color w:val="000000" w:themeColor="text1"/>
          <w:sz w:val="24"/>
          <w:szCs w:val="24"/>
        </w:rPr>
      </w:pPr>
      <w:r w:rsidRPr="00F17EDE">
        <w:rPr>
          <w:rFonts w:ascii="Times New Roman" w:hAnsi="Times New Roman" w:cs="Times New Roman"/>
          <w:color w:val="000000" w:themeColor="text1"/>
          <w:sz w:val="24"/>
          <w:szCs w:val="24"/>
        </w:rPr>
        <w:t>Under Basel III</w:t>
      </w:r>
      <w:r w:rsidR="00524062" w:rsidRPr="00F17EDE">
        <w:rPr>
          <w:rFonts w:ascii="Times New Roman" w:hAnsi="Times New Roman" w:cs="Times New Roman"/>
          <w:color w:val="000000" w:themeColor="text1"/>
          <w:sz w:val="24"/>
          <w:szCs w:val="24"/>
        </w:rPr>
        <w:t>,</w:t>
      </w:r>
      <w:r w:rsidR="00211946" w:rsidRPr="00F17EDE">
        <w:rPr>
          <w:rFonts w:ascii="Times New Roman" w:hAnsi="Times New Roman" w:cs="Times New Roman"/>
          <w:color w:val="000000" w:themeColor="text1"/>
          <w:sz w:val="24"/>
          <w:szCs w:val="24"/>
        </w:rPr>
        <w:t xml:space="preserve"> </w:t>
      </w:r>
      <w:r w:rsidR="009B171A" w:rsidRPr="00F17EDE">
        <w:rPr>
          <w:rFonts w:ascii="Times New Roman" w:hAnsi="Times New Roman" w:cs="Times New Roman"/>
          <w:color w:val="000000" w:themeColor="text1"/>
          <w:sz w:val="24"/>
          <w:szCs w:val="24"/>
        </w:rPr>
        <w:t xml:space="preserve">at any time banks must </w:t>
      </w:r>
      <w:r w:rsidR="0004259F" w:rsidRPr="00F17EDE">
        <w:rPr>
          <w:rFonts w:ascii="Times New Roman" w:hAnsi="Times New Roman" w:cs="Times New Roman"/>
          <w:color w:val="000000" w:themeColor="text1"/>
          <w:sz w:val="24"/>
          <w:szCs w:val="24"/>
        </w:rPr>
        <w:t xml:space="preserve">maintain: </w:t>
      </w:r>
      <w:r w:rsidR="009B171A" w:rsidRPr="00F17EDE">
        <w:rPr>
          <w:rFonts w:ascii="Times New Roman" w:hAnsi="Times New Roman" w:cs="Times New Roman"/>
          <w:color w:val="000000" w:themeColor="text1"/>
          <w:sz w:val="24"/>
          <w:szCs w:val="24"/>
        </w:rPr>
        <w:t xml:space="preserve"> </w:t>
      </w:r>
    </w:p>
    <w:p w14:paraId="61DF5216" w14:textId="4DAF94BA" w:rsidR="00172799" w:rsidRPr="00F17EDE" w:rsidRDefault="0034382A" w:rsidP="00F17EDE">
      <w:pPr>
        <w:pStyle w:val="ListParagraph"/>
        <w:rPr>
          <w:rFonts w:ascii="Times New Roman" w:eastAsiaTheme="minorEastAsia" w:hAnsi="Times New Roman" w:cs="Times New Roman"/>
          <w:color w:val="000000" w:themeColor="text1"/>
          <w:sz w:val="24"/>
          <w:szCs w:val="24"/>
        </w:rPr>
      </w:pPr>
      <m:oMathPara>
        <m:oMath>
          <m:r>
            <w:rPr>
              <w:rFonts w:ascii="Cambria Math" w:eastAsiaTheme="minorEastAsia" w:hAnsi="Cambria Math" w:cs="Times New Roman"/>
              <w:color w:val="000000" w:themeColor="text1"/>
              <w:sz w:val="24"/>
              <w:szCs w:val="24"/>
            </w:rPr>
            <m:t>CET1 ratio=</m:t>
          </m:r>
          <m:f>
            <m:fPr>
              <m:ctrlPr>
                <w:rPr>
                  <w:rFonts w:ascii="Cambria Math" w:eastAsiaTheme="minorEastAsia" w:hAnsi="Cambria Math" w:cs="Times New Roman"/>
                  <w:i/>
                  <w:color w:val="000000" w:themeColor="text1"/>
                  <w:sz w:val="24"/>
                  <w:szCs w:val="24"/>
                </w:rPr>
              </m:ctrlPr>
            </m:fPr>
            <m:num>
              <m:r>
                <w:rPr>
                  <w:rFonts w:ascii="Cambria Math" w:eastAsiaTheme="minorEastAsia" w:hAnsi="Cambria Math" w:cs="Times New Roman"/>
                  <w:color w:val="000000" w:themeColor="text1"/>
                  <w:sz w:val="24"/>
                  <w:szCs w:val="24"/>
                </w:rPr>
                <m:t>CET1 capital</m:t>
              </m:r>
            </m:num>
            <m:den>
              <m:r>
                <w:rPr>
                  <w:rFonts w:ascii="Cambria Math" w:eastAsiaTheme="minorEastAsia" w:hAnsi="Cambria Math" w:cs="Times New Roman"/>
                  <w:color w:val="000000" w:themeColor="text1"/>
                  <w:sz w:val="24"/>
                  <w:szCs w:val="24"/>
                </w:rPr>
                <m:t>RWA</m:t>
              </m:r>
            </m:den>
          </m:f>
          <m:r>
            <w:rPr>
              <w:rFonts w:ascii="Cambria Math" w:eastAsiaTheme="minorEastAsia" w:hAnsi="Cambria Math" w:cs="Times New Roman"/>
              <w:color w:val="000000" w:themeColor="text1"/>
              <w:sz w:val="24"/>
              <w:szCs w:val="24"/>
            </w:rPr>
            <m:t>≥ 4.5%</m:t>
          </m:r>
        </m:oMath>
      </m:oMathPara>
    </w:p>
    <w:p w14:paraId="63E9723E" w14:textId="77777777" w:rsidR="00FE4B97" w:rsidRPr="00F17EDE" w:rsidRDefault="00FE4B97" w:rsidP="00F17EDE">
      <w:pPr>
        <w:pStyle w:val="ListParagraph"/>
        <w:rPr>
          <w:rFonts w:ascii="Times New Roman" w:eastAsiaTheme="minorEastAsia" w:hAnsi="Times New Roman" w:cs="Times New Roman"/>
          <w:color w:val="000000" w:themeColor="text1"/>
          <w:sz w:val="24"/>
          <w:szCs w:val="24"/>
        </w:rPr>
      </w:pPr>
    </w:p>
    <w:p w14:paraId="5B5774C7" w14:textId="03A8D033" w:rsidR="001B7DC9" w:rsidRPr="00F17EDE" w:rsidRDefault="00FE4B97" w:rsidP="00F17EDE">
      <w:pPr>
        <w:pStyle w:val="ListParagraph"/>
        <w:rPr>
          <w:rFonts w:ascii="Times New Roman" w:eastAsiaTheme="minorEastAsia" w:hAnsi="Times New Roman" w:cs="Times New Roman"/>
          <w:color w:val="000000" w:themeColor="text1"/>
          <w:sz w:val="24"/>
          <w:szCs w:val="24"/>
        </w:rPr>
      </w:pPr>
      <m:oMathPara>
        <m:oMath>
          <m:r>
            <w:rPr>
              <w:rFonts w:ascii="Cambria Math" w:eastAsiaTheme="minorEastAsia" w:hAnsi="Cambria Math" w:cs="Times New Roman"/>
              <w:color w:val="000000" w:themeColor="text1"/>
              <w:sz w:val="24"/>
              <w:szCs w:val="24"/>
            </w:rPr>
            <m:t>Tier 1 capital ratio=</m:t>
          </m:r>
          <m:f>
            <m:fPr>
              <m:ctrlPr>
                <w:rPr>
                  <w:rFonts w:ascii="Cambria Math" w:eastAsiaTheme="minorEastAsia" w:hAnsi="Cambria Math" w:cs="Times New Roman"/>
                  <w:i/>
                  <w:color w:val="000000" w:themeColor="text1"/>
                  <w:sz w:val="24"/>
                  <w:szCs w:val="24"/>
                </w:rPr>
              </m:ctrlPr>
            </m:fPr>
            <m:num>
              <m:r>
                <w:rPr>
                  <w:rFonts w:ascii="Cambria Math" w:eastAsiaTheme="minorEastAsia" w:hAnsi="Cambria Math" w:cs="Times New Roman"/>
                  <w:color w:val="000000" w:themeColor="text1"/>
                  <w:sz w:val="24"/>
                  <w:szCs w:val="24"/>
                </w:rPr>
                <m:t>CET1 capital +AT1 capital</m:t>
              </m:r>
            </m:num>
            <m:den>
              <m:r>
                <w:rPr>
                  <w:rFonts w:ascii="Cambria Math" w:eastAsiaTheme="minorEastAsia" w:hAnsi="Cambria Math" w:cs="Times New Roman"/>
                  <w:color w:val="000000" w:themeColor="text1"/>
                  <w:sz w:val="24"/>
                  <w:szCs w:val="24"/>
                </w:rPr>
                <m:t>RWA</m:t>
              </m:r>
            </m:den>
          </m:f>
          <m:r>
            <w:rPr>
              <w:rFonts w:ascii="Cambria Math" w:eastAsiaTheme="minorEastAsia" w:hAnsi="Cambria Math" w:cs="Times New Roman"/>
              <w:color w:val="000000" w:themeColor="text1"/>
              <w:sz w:val="24"/>
              <w:szCs w:val="24"/>
            </w:rPr>
            <m:t>≥6%</m:t>
          </m:r>
        </m:oMath>
      </m:oMathPara>
    </w:p>
    <w:p w14:paraId="5FEB6EAB" w14:textId="77777777" w:rsidR="00C84735" w:rsidRPr="00F17EDE" w:rsidRDefault="00C84735" w:rsidP="00F17EDE">
      <w:pPr>
        <w:pStyle w:val="ListParagraph"/>
        <w:rPr>
          <w:rFonts w:ascii="Times New Roman" w:eastAsiaTheme="minorEastAsia" w:hAnsi="Times New Roman" w:cs="Times New Roman"/>
          <w:color w:val="000000" w:themeColor="text1"/>
          <w:sz w:val="24"/>
          <w:szCs w:val="24"/>
        </w:rPr>
      </w:pPr>
    </w:p>
    <w:p w14:paraId="039EBF56" w14:textId="64B1CC2A" w:rsidR="002364B4" w:rsidRPr="00F17EDE" w:rsidRDefault="0086746A" w:rsidP="00F17EDE">
      <w:pPr>
        <w:pStyle w:val="ListParagraph"/>
        <w:rPr>
          <w:rFonts w:ascii="Times New Roman" w:eastAsiaTheme="minorEastAsia" w:hAnsi="Times New Roman" w:cs="Times New Roman"/>
          <w:color w:val="000000" w:themeColor="text1"/>
          <w:sz w:val="24"/>
          <w:szCs w:val="24"/>
        </w:rPr>
      </w:pPr>
      <w:r w:rsidRPr="00F17EDE">
        <w:rPr>
          <w:rFonts w:ascii="Times New Roman" w:eastAsiaTheme="minorEastAsia" w:hAnsi="Times New Roman" w:cs="Times New Roman"/>
          <w:color w:val="000000" w:themeColor="text1"/>
          <w:sz w:val="24"/>
          <w:szCs w:val="24"/>
        </w:rPr>
        <w:t xml:space="preserve">As a result, </w:t>
      </w:r>
      <m:oMath>
        <m:f>
          <m:fPr>
            <m:ctrlPr>
              <w:rPr>
                <w:rFonts w:ascii="Cambria Math" w:eastAsiaTheme="minorEastAsia" w:hAnsi="Cambria Math" w:cs="Times New Roman"/>
                <w:i/>
                <w:color w:val="000000" w:themeColor="text1"/>
                <w:sz w:val="24"/>
                <w:szCs w:val="24"/>
              </w:rPr>
            </m:ctrlPr>
          </m:fPr>
          <m:num>
            <m:r>
              <w:rPr>
                <w:rFonts w:ascii="Cambria Math" w:eastAsiaTheme="minorEastAsia" w:hAnsi="Cambria Math" w:cs="Times New Roman"/>
                <w:color w:val="000000" w:themeColor="text1"/>
                <w:sz w:val="24"/>
                <w:szCs w:val="24"/>
              </w:rPr>
              <m:t>AT1 capital</m:t>
            </m:r>
          </m:num>
          <m:den>
            <m:r>
              <w:rPr>
                <w:rFonts w:ascii="Cambria Math" w:eastAsiaTheme="minorEastAsia" w:hAnsi="Cambria Math" w:cs="Times New Roman"/>
                <w:color w:val="000000" w:themeColor="text1"/>
                <w:sz w:val="24"/>
                <w:szCs w:val="24"/>
              </w:rPr>
              <m:t>RWA</m:t>
            </m:r>
          </m:den>
        </m:f>
        <m:r>
          <w:rPr>
            <w:rFonts w:ascii="Cambria Math" w:eastAsiaTheme="minorEastAsia" w:hAnsi="Cambria Math" w:cs="Times New Roman"/>
            <w:color w:val="000000" w:themeColor="text1"/>
            <w:sz w:val="24"/>
            <w:szCs w:val="24"/>
          </w:rPr>
          <m:t>≥1.5%</m:t>
        </m:r>
      </m:oMath>
      <w:r w:rsidR="00BF60AC" w:rsidRPr="00F17EDE">
        <w:rPr>
          <w:rFonts w:ascii="Times New Roman" w:eastAsiaTheme="minorEastAsia" w:hAnsi="Times New Roman" w:cs="Times New Roman"/>
          <w:color w:val="000000" w:themeColor="text1"/>
          <w:sz w:val="24"/>
          <w:szCs w:val="24"/>
        </w:rPr>
        <w:t>.</w:t>
      </w:r>
    </w:p>
    <w:p w14:paraId="218C1332" w14:textId="5DB6181D" w:rsidR="0072541A" w:rsidRPr="00F17EDE" w:rsidRDefault="0072541A" w:rsidP="00F17EDE">
      <w:pPr>
        <w:pStyle w:val="ListParagraph"/>
        <w:numPr>
          <w:ilvl w:val="0"/>
          <w:numId w:val="1"/>
        </w:numPr>
        <w:rPr>
          <w:rFonts w:ascii="Times New Roman" w:hAnsi="Times New Roman" w:cs="Times New Roman"/>
          <w:color w:val="000000" w:themeColor="text1"/>
          <w:sz w:val="24"/>
          <w:szCs w:val="24"/>
        </w:rPr>
      </w:pPr>
      <w:r w:rsidRPr="00F17EDE">
        <w:rPr>
          <w:rFonts w:ascii="Times New Roman" w:hAnsi="Times New Roman" w:cs="Times New Roman"/>
          <w:color w:val="000000" w:themeColor="text1"/>
          <w:sz w:val="24"/>
          <w:szCs w:val="24"/>
        </w:rPr>
        <w:t>T</w:t>
      </w:r>
      <w:r w:rsidR="006B1942" w:rsidRPr="00F17EDE">
        <w:rPr>
          <w:rFonts w:ascii="Times New Roman" w:hAnsi="Times New Roman" w:cs="Times New Roman"/>
          <w:color w:val="000000" w:themeColor="text1"/>
          <w:sz w:val="24"/>
          <w:szCs w:val="24"/>
        </w:rPr>
        <w:t>ier</w:t>
      </w:r>
      <w:r w:rsidRPr="00F17EDE">
        <w:rPr>
          <w:rFonts w:ascii="Times New Roman" w:hAnsi="Times New Roman" w:cs="Times New Roman"/>
          <w:color w:val="000000" w:themeColor="text1"/>
          <w:sz w:val="24"/>
          <w:szCs w:val="24"/>
        </w:rPr>
        <w:t xml:space="preserve"> 2 or supplementary capital is the secondary basic of bank capital. It includes all other capital</w:t>
      </w:r>
      <w:r w:rsidR="00886336" w:rsidRPr="00F17EDE">
        <w:rPr>
          <w:rFonts w:ascii="Times New Roman" w:hAnsi="Times New Roman" w:cs="Times New Roman"/>
          <w:color w:val="000000" w:themeColor="text1"/>
          <w:sz w:val="24"/>
          <w:szCs w:val="24"/>
        </w:rPr>
        <w:t xml:space="preserve">. </w:t>
      </w:r>
      <w:r w:rsidR="00F05EF5" w:rsidRPr="00F17EDE">
        <w:rPr>
          <w:rFonts w:ascii="Times New Roman" w:hAnsi="Times New Roman" w:cs="Times New Roman"/>
          <w:color w:val="000000" w:themeColor="text1"/>
          <w:sz w:val="24"/>
          <w:szCs w:val="24"/>
        </w:rPr>
        <w:t>I</w:t>
      </w:r>
      <w:r w:rsidR="00886336" w:rsidRPr="00F17EDE">
        <w:rPr>
          <w:rFonts w:ascii="Times New Roman" w:hAnsi="Times New Roman" w:cs="Times New Roman"/>
          <w:color w:val="000000" w:themeColor="text1"/>
          <w:sz w:val="24"/>
          <w:szCs w:val="24"/>
        </w:rPr>
        <w:t xml:space="preserve">t is composed of assets which are more </w:t>
      </w:r>
      <w:r w:rsidR="006726A2" w:rsidRPr="00F17EDE">
        <w:rPr>
          <w:rFonts w:ascii="Times New Roman" w:hAnsi="Times New Roman" w:cs="Times New Roman"/>
          <w:color w:val="000000" w:themeColor="text1"/>
          <w:sz w:val="24"/>
          <w:szCs w:val="24"/>
        </w:rPr>
        <w:t xml:space="preserve">difficult to be converted into cash. </w:t>
      </w:r>
    </w:p>
    <w:p w14:paraId="54CEF39E" w14:textId="0CD5F2B0" w:rsidR="008D7106" w:rsidRPr="00F17EDE" w:rsidRDefault="008D7106" w:rsidP="00F17EDE">
      <w:pPr>
        <w:pStyle w:val="ListParagraph"/>
        <w:rPr>
          <w:rFonts w:ascii="Times New Roman" w:hAnsi="Times New Roman" w:cs="Times New Roman"/>
          <w:color w:val="000000" w:themeColor="text1"/>
          <w:sz w:val="24"/>
          <w:szCs w:val="24"/>
        </w:rPr>
      </w:pPr>
      <w:r w:rsidRPr="00F17EDE">
        <w:rPr>
          <w:rFonts w:ascii="Times New Roman" w:hAnsi="Times New Roman" w:cs="Times New Roman"/>
          <w:color w:val="000000" w:themeColor="text1"/>
          <w:sz w:val="24"/>
          <w:szCs w:val="24"/>
        </w:rPr>
        <w:t>Under Basel III</w:t>
      </w:r>
      <w:r w:rsidR="00416D33" w:rsidRPr="00F17EDE">
        <w:rPr>
          <w:rFonts w:ascii="Times New Roman" w:hAnsi="Times New Roman" w:cs="Times New Roman"/>
          <w:color w:val="000000" w:themeColor="text1"/>
          <w:sz w:val="24"/>
          <w:szCs w:val="24"/>
        </w:rPr>
        <w:t>,</w:t>
      </w:r>
      <w:r w:rsidR="00E2371A" w:rsidRPr="00F17EDE">
        <w:rPr>
          <w:rFonts w:ascii="Times New Roman" w:hAnsi="Times New Roman" w:cs="Times New Roman"/>
          <w:color w:val="000000" w:themeColor="text1"/>
          <w:sz w:val="24"/>
          <w:szCs w:val="24"/>
        </w:rPr>
        <w:t xml:space="preserve"> </w:t>
      </w:r>
    </w:p>
    <w:p w14:paraId="567CB948" w14:textId="4AD27A7A" w:rsidR="00C84735" w:rsidRPr="00F17EDE" w:rsidRDefault="00C84735" w:rsidP="00F17EDE">
      <w:pPr>
        <w:pStyle w:val="ListParagraph"/>
        <w:rPr>
          <w:rFonts w:ascii="Times New Roman" w:hAnsi="Times New Roman" w:cs="Times New Roman"/>
          <w:color w:val="000000" w:themeColor="text1"/>
          <w:sz w:val="24"/>
          <w:szCs w:val="24"/>
        </w:rPr>
      </w:pPr>
      <m:oMathPara>
        <m:oMath>
          <m:r>
            <w:rPr>
              <w:rFonts w:ascii="Cambria Math" w:eastAsiaTheme="minorEastAsia" w:hAnsi="Cambria Math" w:cs="Times New Roman"/>
              <w:color w:val="000000" w:themeColor="text1"/>
              <w:sz w:val="24"/>
              <w:szCs w:val="24"/>
              <w:lang w:val="it-IT"/>
            </w:rPr>
            <w:lastRenderedPageBreak/>
            <m:t>Tier</m:t>
          </m:r>
          <m:r>
            <w:rPr>
              <w:rFonts w:ascii="Cambria Math" w:eastAsiaTheme="minorEastAsia" w:hAnsi="Cambria Math" w:cs="Times New Roman"/>
              <w:color w:val="000000" w:themeColor="text1"/>
              <w:sz w:val="24"/>
              <w:szCs w:val="24"/>
            </w:rPr>
            <m:t xml:space="preserve"> 2 </m:t>
          </m:r>
          <m:r>
            <w:rPr>
              <w:rFonts w:ascii="Cambria Math" w:eastAsiaTheme="minorEastAsia" w:hAnsi="Cambria Math" w:cs="Times New Roman"/>
              <w:color w:val="000000" w:themeColor="text1"/>
              <w:sz w:val="24"/>
              <w:szCs w:val="24"/>
              <w:lang w:val="it-IT"/>
            </w:rPr>
            <m:t>capital</m:t>
          </m:r>
          <m:r>
            <w:rPr>
              <w:rFonts w:ascii="Cambria Math" w:eastAsiaTheme="minorEastAsia" w:hAnsi="Cambria Math" w:cs="Times New Roman"/>
              <w:color w:val="000000" w:themeColor="text1"/>
              <w:sz w:val="24"/>
              <w:szCs w:val="24"/>
            </w:rPr>
            <m:t xml:space="preserve"> </m:t>
          </m:r>
          <m:r>
            <w:rPr>
              <w:rFonts w:ascii="Cambria Math" w:eastAsiaTheme="minorEastAsia" w:hAnsi="Cambria Math" w:cs="Times New Roman"/>
              <w:color w:val="000000" w:themeColor="text1"/>
              <w:sz w:val="24"/>
              <w:szCs w:val="24"/>
              <w:lang w:val="it-IT"/>
            </w:rPr>
            <m:t>ratio</m:t>
          </m:r>
          <m:r>
            <w:rPr>
              <w:rFonts w:ascii="Cambria Math" w:eastAsiaTheme="minorEastAsia" w:hAnsi="Cambria Math" w:cs="Times New Roman"/>
              <w:color w:val="000000" w:themeColor="text1"/>
              <w:sz w:val="24"/>
              <w:szCs w:val="24"/>
            </w:rPr>
            <m:t>=</m:t>
          </m:r>
          <m:f>
            <m:fPr>
              <m:ctrlPr>
                <w:rPr>
                  <w:rFonts w:ascii="Cambria Math" w:eastAsiaTheme="minorEastAsia" w:hAnsi="Cambria Math" w:cs="Times New Roman"/>
                  <w:i/>
                  <w:color w:val="000000" w:themeColor="text1"/>
                  <w:sz w:val="24"/>
                  <w:szCs w:val="24"/>
                </w:rPr>
              </m:ctrlPr>
            </m:fPr>
            <m:num>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lang w:val="it-IT"/>
                    </w:rPr>
                    <m:t>Tier</m:t>
                  </m:r>
                  <m:r>
                    <w:rPr>
                      <w:rFonts w:ascii="Cambria Math" w:eastAsiaTheme="minorEastAsia" w:hAnsi="Cambria Math" w:cs="Times New Roman"/>
                      <w:color w:val="000000" w:themeColor="text1"/>
                      <w:sz w:val="24"/>
                      <w:szCs w:val="24"/>
                    </w:rPr>
                    <m:t xml:space="preserve">2 </m:t>
                  </m:r>
                  <m:r>
                    <w:rPr>
                      <w:rFonts w:ascii="Cambria Math" w:eastAsiaTheme="minorEastAsia" w:hAnsi="Cambria Math" w:cs="Times New Roman"/>
                      <w:color w:val="000000" w:themeColor="text1"/>
                      <w:sz w:val="24"/>
                      <w:szCs w:val="24"/>
                      <w:lang w:val="it-IT"/>
                    </w:rPr>
                    <m:t>capital</m:t>
                  </m:r>
                </m:e>
              </m:d>
            </m:num>
            <m:den>
              <m:r>
                <w:rPr>
                  <w:rFonts w:ascii="Cambria Math" w:eastAsiaTheme="minorEastAsia" w:hAnsi="Cambria Math" w:cs="Times New Roman"/>
                  <w:color w:val="000000" w:themeColor="text1"/>
                  <w:sz w:val="24"/>
                  <w:szCs w:val="24"/>
                  <w:lang w:val="it-IT"/>
                </w:rPr>
                <m:t>RWA</m:t>
              </m:r>
            </m:den>
          </m:f>
          <m:r>
            <w:rPr>
              <w:rFonts w:ascii="Cambria Math" w:eastAsiaTheme="minorEastAsia" w:hAnsi="Cambria Math" w:cs="Times New Roman"/>
              <w:color w:val="000000" w:themeColor="text1"/>
              <w:sz w:val="24"/>
              <w:szCs w:val="24"/>
            </w:rPr>
            <m:t>≥2%</m:t>
          </m:r>
        </m:oMath>
      </m:oMathPara>
    </w:p>
    <w:p w14:paraId="6A836F71" w14:textId="062EFB42" w:rsidR="00811191" w:rsidRPr="00F17EDE" w:rsidRDefault="0072541A" w:rsidP="00F17EDE">
      <w:pPr>
        <w:pStyle w:val="ListParagraph"/>
        <w:numPr>
          <w:ilvl w:val="0"/>
          <w:numId w:val="1"/>
        </w:numPr>
        <w:rPr>
          <w:rFonts w:ascii="Times New Roman" w:hAnsi="Times New Roman" w:cs="Times New Roman"/>
          <w:i/>
          <w:iCs/>
          <w:color w:val="44546A" w:themeColor="text2"/>
          <w:sz w:val="24"/>
          <w:szCs w:val="24"/>
        </w:rPr>
      </w:pPr>
      <w:r w:rsidRPr="00F17EDE">
        <w:rPr>
          <w:rFonts w:ascii="Times New Roman" w:hAnsi="Times New Roman" w:cs="Times New Roman"/>
          <w:bCs/>
          <w:sz w:val="24"/>
          <w:szCs w:val="24"/>
          <w:shd w:val="clear" w:color="auto" w:fill="FFFFFF"/>
        </w:rPr>
        <w:t>Risk-weighted asset</w:t>
      </w:r>
      <w:r w:rsidRPr="00F17EDE">
        <w:rPr>
          <w:rFonts w:ascii="Times New Roman" w:hAnsi="Times New Roman" w:cs="Times New Roman"/>
          <w:i/>
          <w:iCs/>
          <w:sz w:val="24"/>
          <w:szCs w:val="24"/>
        </w:rPr>
        <w:t xml:space="preserve"> </w:t>
      </w:r>
      <w:r w:rsidRPr="00F17EDE">
        <w:rPr>
          <w:rFonts w:ascii="Times New Roman" w:hAnsi="Times New Roman" w:cs="Times New Roman"/>
          <w:iCs/>
          <w:sz w:val="24"/>
          <w:szCs w:val="24"/>
        </w:rPr>
        <w:t>is a bank’s assets weighted according to risk of insolvency</w:t>
      </w:r>
      <w:r w:rsidR="000A641E" w:rsidRPr="00F17EDE">
        <w:rPr>
          <w:rFonts w:ascii="Times New Roman" w:hAnsi="Times New Roman" w:cs="Times New Roman"/>
          <w:iCs/>
          <w:sz w:val="24"/>
          <w:szCs w:val="24"/>
        </w:rPr>
        <w:t>.</w:t>
      </w:r>
    </w:p>
    <w:p w14:paraId="3ACC6434" w14:textId="27E2812F" w:rsidR="006E3358" w:rsidRDefault="00811191" w:rsidP="00F17EDE">
      <w:pPr>
        <w:rPr>
          <w:rFonts w:ascii="Times New Roman" w:hAnsi="Times New Roman" w:cs="Times New Roman"/>
          <w:iCs/>
          <w:color w:val="000000" w:themeColor="text1"/>
          <w:sz w:val="24"/>
          <w:szCs w:val="24"/>
        </w:rPr>
      </w:pPr>
      <w:r w:rsidRPr="00F17EDE">
        <w:rPr>
          <w:rFonts w:ascii="Times New Roman" w:hAnsi="Times New Roman" w:cs="Times New Roman"/>
          <w:iCs/>
          <w:color w:val="000000" w:themeColor="text1"/>
          <w:sz w:val="24"/>
          <w:szCs w:val="24"/>
        </w:rPr>
        <w:t xml:space="preserve">Table 1 shows the CAR of Lloyds and Barclays.  </w:t>
      </w:r>
    </w:p>
    <w:p w14:paraId="3782B5C7" w14:textId="77777777" w:rsidR="00F17EDE" w:rsidRPr="00CE25D1" w:rsidRDefault="00F17EDE" w:rsidP="00F17EDE">
      <w:pPr>
        <w:rPr>
          <w:rFonts w:ascii="Times New Roman" w:hAnsi="Times New Roman" w:cs="Times New Roman"/>
          <w:i/>
          <w:iCs/>
          <w:color w:val="44546A" w:themeColor="text2"/>
          <w:sz w:val="24"/>
          <w:szCs w:val="24"/>
        </w:rPr>
      </w:pPr>
    </w:p>
    <w:p w14:paraId="1A63C398" w14:textId="7957D469" w:rsidR="00D831DF" w:rsidRPr="00CE25D1" w:rsidRDefault="00D831DF" w:rsidP="00D831DF">
      <w:pPr>
        <w:pStyle w:val="Caption"/>
        <w:keepNext/>
        <w:rPr>
          <w:rFonts w:ascii="Times New Roman" w:hAnsi="Times New Roman" w:cs="Times New Roman"/>
        </w:rPr>
      </w:pPr>
      <w:r w:rsidRPr="00CE25D1">
        <w:rPr>
          <w:rFonts w:ascii="Times New Roman" w:hAnsi="Times New Roman" w:cs="Times New Roman"/>
        </w:rPr>
        <w:t xml:space="preserve">Table </w:t>
      </w:r>
      <w:r w:rsidR="00395D13" w:rsidRPr="00CE25D1">
        <w:rPr>
          <w:rFonts w:ascii="Times New Roman" w:hAnsi="Times New Roman" w:cs="Times New Roman"/>
        </w:rPr>
        <w:fldChar w:fldCharType="begin"/>
      </w:r>
      <w:r w:rsidR="00395D13" w:rsidRPr="00CE25D1">
        <w:rPr>
          <w:rFonts w:ascii="Times New Roman" w:hAnsi="Times New Roman" w:cs="Times New Roman"/>
        </w:rPr>
        <w:instrText xml:space="preserve"> SEQ Table \* ARABIC </w:instrText>
      </w:r>
      <w:r w:rsidR="00395D13" w:rsidRPr="00CE25D1">
        <w:rPr>
          <w:rFonts w:ascii="Times New Roman" w:hAnsi="Times New Roman" w:cs="Times New Roman"/>
        </w:rPr>
        <w:fldChar w:fldCharType="separate"/>
      </w:r>
      <w:r w:rsidR="007170AC">
        <w:rPr>
          <w:rFonts w:ascii="Times New Roman" w:hAnsi="Times New Roman" w:cs="Times New Roman"/>
          <w:noProof/>
        </w:rPr>
        <w:t>1</w:t>
      </w:r>
      <w:r w:rsidR="00395D13" w:rsidRPr="00CE25D1">
        <w:rPr>
          <w:rFonts w:ascii="Times New Roman" w:hAnsi="Times New Roman" w:cs="Times New Roman"/>
          <w:noProof/>
        </w:rPr>
        <w:fldChar w:fldCharType="end"/>
      </w:r>
      <w:r w:rsidRPr="00CE25D1">
        <w:rPr>
          <w:rFonts w:ascii="Times New Roman" w:hAnsi="Times New Roman" w:cs="Times New Roman"/>
        </w:rPr>
        <w:t>: Tier1, Tier2, RWA and Capital adequacy ratio – Lloyds (2014 – 2018) and Barclays (2018).</w:t>
      </w:r>
    </w:p>
    <w:tbl>
      <w:tblPr>
        <w:tblStyle w:val="TableGrid"/>
        <w:tblW w:w="0" w:type="auto"/>
        <w:tblInd w:w="-431" w:type="dxa"/>
        <w:tblLook w:val="04A0" w:firstRow="1" w:lastRow="0" w:firstColumn="1" w:lastColumn="0" w:noHBand="0" w:noVBand="1"/>
      </w:tblPr>
      <w:tblGrid>
        <w:gridCol w:w="1803"/>
        <w:gridCol w:w="1373"/>
        <w:gridCol w:w="1372"/>
        <w:gridCol w:w="1372"/>
        <w:gridCol w:w="1373"/>
        <w:gridCol w:w="1373"/>
        <w:gridCol w:w="1373"/>
      </w:tblGrid>
      <w:tr w:rsidR="00D831DF" w:rsidRPr="00CE25D1" w14:paraId="3C45E726" w14:textId="77777777" w:rsidTr="00CA71BA">
        <w:tc>
          <w:tcPr>
            <w:tcW w:w="1803" w:type="dxa"/>
          </w:tcPr>
          <w:p w14:paraId="00535D50"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Lloyds £m</w:t>
            </w:r>
          </w:p>
        </w:tc>
        <w:tc>
          <w:tcPr>
            <w:tcW w:w="1373" w:type="dxa"/>
          </w:tcPr>
          <w:p w14:paraId="192F774B"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2014</w:t>
            </w:r>
          </w:p>
        </w:tc>
        <w:tc>
          <w:tcPr>
            <w:tcW w:w="1372" w:type="dxa"/>
          </w:tcPr>
          <w:p w14:paraId="4D0038AF"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2015</w:t>
            </w:r>
          </w:p>
        </w:tc>
        <w:tc>
          <w:tcPr>
            <w:tcW w:w="1372" w:type="dxa"/>
          </w:tcPr>
          <w:p w14:paraId="1C8B81E0"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2016</w:t>
            </w:r>
          </w:p>
        </w:tc>
        <w:tc>
          <w:tcPr>
            <w:tcW w:w="1373" w:type="dxa"/>
          </w:tcPr>
          <w:p w14:paraId="2F02346F"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2017</w:t>
            </w:r>
          </w:p>
        </w:tc>
        <w:tc>
          <w:tcPr>
            <w:tcW w:w="1373" w:type="dxa"/>
          </w:tcPr>
          <w:p w14:paraId="02A259CC"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2018</w:t>
            </w:r>
          </w:p>
        </w:tc>
        <w:tc>
          <w:tcPr>
            <w:tcW w:w="1373" w:type="dxa"/>
          </w:tcPr>
          <w:p w14:paraId="295BA7ED" w14:textId="77777777" w:rsidR="00D831DF" w:rsidRPr="00CE25D1" w:rsidRDefault="00D831DF" w:rsidP="000F169C">
            <w:pPr>
              <w:jc w:val="center"/>
              <w:rPr>
                <w:rFonts w:ascii="Times New Roman" w:hAnsi="Times New Roman" w:cs="Times New Roman"/>
                <w:i/>
                <w:sz w:val="24"/>
                <w:szCs w:val="24"/>
              </w:rPr>
            </w:pPr>
            <w:r w:rsidRPr="00CE25D1">
              <w:rPr>
                <w:rFonts w:ascii="Times New Roman" w:hAnsi="Times New Roman" w:cs="Times New Roman"/>
                <w:i/>
                <w:sz w:val="24"/>
                <w:szCs w:val="24"/>
              </w:rPr>
              <w:t>Barclays £m 2018</w:t>
            </w:r>
          </w:p>
        </w:tc>
      </w:tr>
      <w:tr w:rsidR="00D831DF" w:rsidRPr="00CE25D1" w14:paraId="313482F0" w14:textId="77777777" w:rsidTr="00CA71BA">
        <w:tc>
          <w:tcPr>
            <w:tcW w:w="1803" w:type="dxa"/>
          </w:tcPr>
          <w:p w14:paraId="60C16230" w14:textId="3B9237E0" w:rsidR="00D831DF" w:rsidRPr="00F47807" w:rsidRDefault="00D831DF" w:rsidP="000F169C">
            <w:pPr>
              <w:jc w:val="center"/>
              <w:rPr>
                <w:rFonts w:ascii="Times New Roman" w:hAnsi="Times New Roman" w:cs="Times New Roman"/>
                <w:i/>
                <w:sz w:val="24"/>
                <w:szCs w:val="24"/>
              </w:rPr>
            </w:pPr>
            <w:r w:rsidRPr="00F47807">
              <w:rPr>
                <w:rFonts w:ascii="Times New Roman" w:hAnsi="Times New Roman" w:cs="Times New Roman"/>
                <w:i/>
                <w:sz w:val="24"/>
                <w:szCs w:val="24"/>
              </w:rPr>
              <w:t>T</w:t>
            </w:r>
            <w:r w:rsidR="006527B9" w:rsidRPr="00F47807">
              <w:rPr>
                <w:rFonts w:ascii="Times New Roman" w:hAnsi="Times New Roman" w:cs="Times New Roman"/>
                <w:i/>
                <w:sz w:val="24"/>
                <w:szCs w:val="24"/>
              </w:rPr>
              <w:t>ier</w:t>
            </w:r>
            <w:r w:rsidRPr="00F47807">
              <w:rPr>
                <w:rFonts w:ascii="Times New Roman" w:hAnsi="Times New Roman" w:cs="Times New Roman"/>
                <w:i/>
                <w:sz w:val="24"/>
                <w:szCs w:val="24"/>
              </w:rPr>
              <w:t>1</w:t>
            </w:r>
          </w:p>
        </w:tc>
        <w:tc>
          <w:tcPr>
            <w:tcW w:w="1373" w:type="dxa"/>
          </w:tcPr>
          <w:p w14:paraId="75E0ACEB"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36,044</w:t>
            </w:r>
          </w:p>
        </w:tc>
        <w:tc>
          <w:tcPr>
            <w:tcW w:w="1372" w:type="dxa"/>
          </w:tcPr>
          <w:p w14:paraId="47569946"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33,860</w:t>
            </w:r>
          </w:p>
        </w:tc>
        <w:tc>
          <w:tcPr>
            <w:tcW w:w="1372" w:type="dxa"/>
          </w:tcPr>
          <w:p w14:paraId="6042ED77"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34,604</w:t>
            </w:r>
          </w:p>
        </w:tc>
        <w:tc>
          <w:tcPr>
            <w:tcW w:w="1373" w:type="dxa"/>
          </w:tcPr>
          <w:p w14:paraId="029CE2AC"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34,977</w:t>
            </w:r>
          </w:p>
        </w:tc>
        <w:tc>
          <w:tcPr>
            <w:tcW w:w="1373" w:type="dxa"/>
          </w:tcPr>
          <w:p w14:paraId="57B09E4D"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36,633</w:t>
            </w:r>
          </w:p>
        </w:tc>
        <w:tc>
          <w:tcPr>
            <w:tcW w:w="1373" w:type="dxa"/>
          </w:tcPr>
          <w:p w14:paraId="2DB5C432" w14:textId="351D6450" w:rsidR="00D831DF" w:rsidRPr="00CE25D1" w:rsidRDefault="00955D13" w:rsidP="000F169C">
            <w:pPr>
              <w:jc w:val="center"/>
              <w:rPr>
                <w:rFonts w:ascii="Times New Roman" w:hAnsi="Times New Roman" w:cs="Times New Roman"/>
                <w:sz w:val="24"/>
                <w:szCs w:val="24"/>
              </w:rPr>
            </w:pPr>
            <w:r w:rsidRPr="00CE25D1">
              <w:rPr>
                <w:rFonts w:ascii="Times New Roman" w:hAnsi="Times New Roman" w:cs="Times New Roman"/>
                <w:sz w:val="24"/>
                <w:szCs w:val="24"/>
              </w:rPr>
              <w:t>52,998</w:t>
            </w:r>
          </w:p>
        </w:tc>
      </w:tr>
      <w:tr w:rsidR="00D831DF" w:rsidRPr="00CE25D1" w14:paraId="7DA80B83" w14:textId="77777777" w:rsidTr="00CA71BA">
        <w:tc>
          <w:tcPr>
            <w:tcW w:w="1803" w:type="dxa"/>
          </w:tcPr>
          <w:p w14:paraId="469003AF" w14:textId="29B7D6B9" w:rsidR="00D831DF" w:rsidRPr="00F47807" w:rsidRDefault="00D831DF" w:rsidP="000F169C">
            <w:pPr>
              <w:jc w:val="center"/>
              <w:rPr>
                <w:rFonts w:ascii="Times New Roman" w:hAnsi="Times New Roman" w:cs="Times New Roman"/>
                <w:i/>
                <w:sz w:val="24"/>
                <w:szCs w:val="24"/>
              </w:rPr>
            </w:pPr>
            <w:r w:rsidRPr="00F47807">
              <w:rPr>
                <w:rFonts w:ascii="Times New Roman" w:hAnsi="Times New Roman" w:cs="Times New Roman"/>
                <w:i/>
                <w:sz w:val="24"/>
                <w:szCs w:val="24"/>
              </w:rPr>
              <w:t>T</w:t>
            </w:r>
            <w:r w:rsidR="006527B9" w:rsidRPr="00F47807">
              <w:rPr>
                <w:rFonts w:ascii="Times New Roman" w:hAnsi="Times New Roman" w:cs="Times New Roman"/>
                <w:i/>
                <w:sz w:val="24"/>
                <w:szCs w:val="24"/>
              </w:rPr>
              <w:t>ier</w:t>
            </w:r>
            <w:r w:rsidRPr="00F47807">
              <w:rPr>
                <w:rFonts w:ascii="Times New Roman" w:hAnsi="Times New Roman" w:cs="Times New Roman"/>
                <w:i/>
                <w:sz w:val="24"/>
                <w:szCs w:val="24"/>
              </w:rPr>
              <w:t>2</w:t>
            </w:r>
          </w:p>
        </w:tc>
        <w:tc>
          <w:tcPr>
            <w:tcW w:w="1373" w:type="dxa"/>
          </w:tcPr>
          <w:p w14:paraId="1DEA29E4"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9,023</w:t>
            </w:r>
          </w:p>
        </w:tc>
        <w:tc>
          <w:tcPr>
            <w:tcW w:w="1372" w:type="dxa"/>
          </w:tcPr>
          <w:p w14:paraId="3B55D716"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6,256</w:t>
            </w:r>
          </w:p>
        </w:tc>
        <w:tc>
          <w:tcPr>
            <w:tcW w:w="1372" w:type="dxa"/>
          </w:tcPr>
          <w:p w14:paraId="672936DD"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5,018</w:t>
            </w:r>
          </w:p>
        </w:tc>
        <w:tc>
          <w:tcPr>
            <w:tcW w:w="1373" w:type="dxa"/>
          </w:tcPr>
          <w:p w14:paraId="332AAE41"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4,017</w:t>
            </w:r>
          </w:p>
        </w:tc>
        <w:tc>
          <w:tcPr>
            <w:tcW w:w="1373" w:type="dxa"/>
          </w:tcPr>
          <w:p w14:paraId="076BB1A8"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5,627</w:t>
            </w:r>
          </w:p>
        </w:tc>
        <w:tc>
          <w:tcPr>
            <w:tcW w:w="1373" w:type="dxa"/>
          </w:tcPr>
          <w:p w14:paraId="498B3CCB" w14:textId="4F6A5EFA" w:rsidR="00D831DF" w:rsidRPr="00CE25D1" w:rsidRDefault="007B7CE8" w:rsidP="000F169C">
            <w:pPr>
              <w:jc w:val="center"/>
              <w:rPr>
                <w:rFonts w:ascii="Times New Roman" w:hAnsi="Times New Roman" w:cs="Times New Roman"/>
                <w:sz w:val="24"/>
                <w:szCs w:val="24"/>
              </w:rPr>
            </w:pPr>
            <w:r w:rsidRPr="00CE25D1">
              <w:rPr>
                <w:rFonts w:ascii="Times New Roman" w:hAnsi="Times New Roman" w:cs="Times New Roman"/>
                <w:sz w:val="24"/>
                <w:szCs w:val="24"/>
              </w:rPr>
              <w:t>11,596</w:t>
            </w:r>
          </w:p>
        </w:tc>
      </w:tr>
      <w:tr w:rsidR="00D831DF" w:rsidRPr="00CE25D1" w14:paraId="3E5FE996" w14:textId="77777777" w:rsidTr="00CA71BA">
        <w:tc>
          <w:tcPr>
            <w:tcW w:w="1803" w:type="dxa"/>
          </w:tcPr>
          <w:p w14:paraId="1E15F556" w14:textId="77777777" w:rsidR="00D831DF" w:rsidRPr="00F47807" w:rsidRDefault="00D831DF" w:rsidP="000F169C">
            <w:pPr>
              <w:jc w:val="center"/>
              <w:rPr>
                <w:rFonts w:ascii="Times New Roman" w:hAnsi="Times New Roman" w:cs="Times New Roman"/>
                <w:i/>
                <w:sz w:val="24"/>
                <w:szCs w:val="24"/>
              </w:rPr>
            </w:pPr>
            <w:r w:rsidRPr="00F47807">
              <w:rPr>
                <w:rFonts w:ascii="Times New Roman" w:hAnsi="Times New Roman" w:cs="Times New Roman"/>
                <w:i/>
                <w:sz w:val="24"/>
                <w:szCs w:val="24"/>
              </w:rPr>
              <w:t>Total Capital Resources</w:t>
            </w:r>
          </w:p>
        </w:tc>
        <w:tc>
          <w:tcPr>
            <w:tcW w:w="1373" w:type="dxa"/>
          </w:tcPr>
          <w:p w14:paraId="4B719FA9"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45,067</w:t>
            </w:r>
          </w:p>
        </w:tc>
        <w:tc>
          <w:tcPr>
            <w:tcW w:w="1372" w:type="dxa"/>
          </w:tcPr>
          <w:p w14:paraId="6106F1CE"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40,116</w:t>
            </w:r>
          </w:p>
        </w:tc>
        <w:tc>
          <w:tcPr>
            <w:tcW w:w="1372" w:type="dxa"/>
          </w:tcPr>
          <w:p w14:paraId="62775CC0"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39,622</w:t>
            </w:r>
          </w:p>
        </w:tc>
        <w:tc>
          <w:tcPr>
            <w:tcW w:w="1373" w:type="dxa"/>
          </w:tcPr>
          <w:p w14:paraId="182E27B1"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38,944</w:t>
            </w:r>
          </w:p>
        </w:tc>
        <w:tc>
          <w:tcPr>
            <w:tcW w:w="1373" w:type="dxa"/>
          </w:tcPr>
          <w:p w14:paraId="3DB56108"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42,260</w:t>
            </w:r>
          </w:p>
        </w:tc>
        <w:tc>
          <w:tcPr>
            <w:tcW w:w="1373" w:type="dxa"/>
          </w:tcPr>
          <w:p w14:paraId="72583E6E" w14:textId="760BF178"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6</w:t>
            </w:r>
            <w:r w:rsidR="00955D13" w:rsidRPr="00CE25D1">
              <w:rPr>
                <w:rFonts w:ascii="Times New Roman" w:hAnsi="Times New Roman" w:cs="Times New Roman"/>
                <w:sz w:val="24"/>
                <w:szCs w:val="24"/>
              </w:rPr>
              <w:t>4,594</w:t>
            </w:r>
          </w:p>
        </w:tc>
      </w:tr>
      <w:tr w:rsidR="00D831DF" w:rsidRPr="00CE25D1" w14:paraId="0B038789" w14:textId="77777777" w:rsidTr="00CA71BA">
        <w:tc>
          <w:tcPr>
            <w:tcW w:w="1803" w:type="dxa"/>
          </w:tcPr>
          <w:p w14:paraId="0091016D" w14:textId="77777777" w:rsidR="00D831DF" w:rsidRPr="00F47807" w:rsidRDefault="00D831DF" w:rsidP="000F169C">
            <w:pPr>
              <w:jc w:val="center"/>
              <w:rPr>
                <w:rFonts w:ascii="Times New Roman" w:hAnsi="Times New Roman" w:cs="Times New Roman"/>
                <w:i/>
                <w:sz w:val="24"/>
                <w:szCs w:val="24"/>
              </w:rPr>
            </w:pPr>
            <w:r w:rsidRPr="00F47807">
              <w:rPr>
                <w:rFonts w:ascii="Times New Roman" w:hAnsi="Times New Roman" w:cs="Times New Roman"/>
                <w:i/>
                <w:sz w:val="24"/>
                <w:szCs w:val="24"/>
              </w:rPr>
              <w:t>RWA</w:t>
            </w:r>
          </w:p>
        </w:tc>
        <w:tc>
          <w:tcPr>
            <w:tcW w:w="1373" w:type="dxa"/>
          </w:tcPr>
          <w:p w14:paraId="55F07595"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239,734</w:t>
            </w:r>
          </w:p>
        </w:tc>
        <w:tc>
          <w:tcPr>
            <w:tcW w:w="1372" w:type="dxa"/>
          </w:tcPr>
          <w:p w14:paraId="04DBBDCF"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222,747</w:t>
            </w:r>
          </w:p>
        </w:tc>
        <w:tc>
          <w:tcPr>
            <w:tcW w:w="1372" w:type="dxa"/>
          </w:tcPr>
          <w:p w14:paraId="7D0D639F"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215,534</w:t>
            </w:r>
          </w:p>
        </w:tc>
        <w:tc>
          <w:tcPr>
            <w:tcW w:w="1373" w:type="dxa"/>
          </w:tcPr>
          <w:p w14:paraId="05B3B829"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210,919</w:t>
            </w:r>
          </w:p>
        </w:tc>
        <w:tc>
          <w:tcPr>
            <w:tcW w:w="1373" w:type="dxa"/>
          </w:tcPr>
          <w:p w14:paraId="5AACB7DD"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206,366</w:t>
            </w:r>
          </w:p>
        </w:tc>
        <w:tc>
          <w:tcPr>
            <w:tcW w:w="1373" w:type="dxa"/>
          </w:tcPr>
          <w:p w14:paraId="2F167141" w14:textId="77777777" w:rsidR="00D831DF" w:rsidRPr="00CE25D1" w:rsidRDefault="00D831DF" w:rsidP="000F169C">
            <w:pPr>
              <w:jc w:val="center"/>
              <w:rPr>
                <w:rFonts w:ascii="Times New Roman" w:hAnsi="Times New Roman" w:cs="Times New Roman"/>
                <w:sz w:val="24"/>
                <w:szCs w:val="24"/>
              </w:rPr>
            </w:pPr>
            <w:r w:rsidRPr="00CE25D1">
              <w:rPr>
                <w:rFonts w:ascii="Times New Roman" w:hAnsi="Times New Roman" w:cs="Times New Roman"/>
                <w:sz w:val="24"/>
                <w:szCs w:val="24"/>
              </w:rPr>
              <w:t>311,926</w:t>
            </w:r>
          </w:p>
        </w:tc>
      </w:tr>
      <w:tr w:rsidR="00D831DF" w:rsidRPr="00CE25D1" w14:paraId="6A589390" w14:textId="77777777" w:rsidTr="00CA71BA">
        <w:tc>
          <w:tcPr>
            <w:tcW w:w="1803" w:type="dxa"/>
          </w:tcPr>
          <w:p w14:paraId="217339BC" w14:textId="4D0193BB" w:rsidR="00D831DF" w:rsidRPr="00F47807" w:rsidRDefault="00E9721F" w:rsidP="000F169C">
            <w:pPr>
              <w:jc w:val="center"/>
              <w:rPr>
                <w:rFonts w:ascii="Times New Roman" w:hAnsi="Times New Roman" w:cs="Times New Roman"/>
                <w:i/>
                <w:sz w:val="24"/>
                <w:szCs w:val="24"/>
              </w:rPr>
            </w:pPr>
            <w:r w:rsidRPr="00F47807">
              <w:rPr>
                <w:rFonts w:ascii="Times New Roman" w:hAnsi="Times New Roman" w:cs="Times New Roman"/>
                <w:i/>
                <w:sz w:val="24"/>
                <w:szCs w:val="24"/>
              </w:rPr>
              <w:t xml:space="preserve">CET1 ratio </w:t>
            </w:r>
            <w:r w:rsidR="00E203E5" w:rsidRPr="00F47807">
              <w:rPr>
                <w:rFonts w:ascii="Times New Roman" w:hAnsi="Times New Roman" w:cs="Times New Roman"/>
                <w:i/>
                <w:sz w:val="24"/>
                <w:szCs w:val="24"/>
              </w:rPr>
              <w:t>(</w:t>
            </w:r>
            <w:r w:rsidRPr="00F47807">
              <w:rPr>
                <w:rFonts w:ascii="Times New Roman" w:hAnsi="Times New Roman" w:cs="Times New Roman"/>
                <w:i/>
                <w:sz w:val="24"/>
                <w:szCs w:val="24"/>
              </w:rPr>
              <w:t>%</w:t>
            </w:r>
            <w:r w:rsidR="00E203E5" w:rsidRPr="00F47807">
              <w:rPr>
                <w:rFonts w:ascii="Times New Roman" w:hAnsi="Times New Roman" w:cs="Times New Roman"/>
                <w:i/>
                <w:sz w:val="24"/>
                <w:szCs w:val="24"/>
              </w:rPr>
              <w:t>)</w:t>
            </w:r>
          </w:p>
        </w:tc>
        <w:tc>
          <w:tcPr>
            <w:tcW w:w="1373" w:type="dxa"/>
          </w:tcPr>
          <w:p w14:paraId="5C7AA628" w14:textId="1C393C51" w:rsidR="00D831DF" w:rsidRPr="00CE25D1" w:rsidRDefault="009A1E68" w:rsidP="000F169C">
            <w:pPr>
              <w:jc w:val="center"/>
              <w:rPr>
                <w:rFonts w:ascii="Times New Roman" w:hAnsi="Times New Roman" w:cs="Times New Roman"/>
                <w:sz w:val="24"/>
                <w:szCs w:val="24"/>
              </w:rPr>
            </w:pPr>
            <w:r w:rsidRPr="00CE25D1">
              <w:rPr>
                <w:rFonts w:ascii="Times New Roman" w:hAnsi="Times New Roman" w:cs="Times New Roman"/>
                <w:sz w:val="24"/>
                <w:szCs w:val="24"/>
              </w:rPr>
              <w:t>12.8</w:t>
            </w:r>
          </w:p>
        </w:tc>
        <w:tc>
          <w:tcPr>
            <w:tcW w:w="1372" w:type="dxa"/>
          </w:tcPr>
          <w:p w14:paraId="68452399" w14:textId="1CBE5F05" w:rsidR="00D831DF" w:rsidRPr="00CE25D1" w:rsidRDefault="009A1E68" w:rsidP="000F169C">
            <w:pPr>
              <w:jc w:val="center"/>
              <w:rPr>
                <w:rFonts w:ascii="Times New Roman" w:hAnsi="Times New Roman" w:cs="Times New Roman"/>
                <w:sz w:val="24"/>
                <w:szCs w:val="24"/>
              </w:rPr>
            </w:pPr>
            <w:r w:rsidRPr="00CE25D1">
              <w:rPr>
                <w:rFonts w:ascii="Times New Roman" w:hAnsi="Times New Roman" w:cs="Times New Roman"/>
                <w:sz w:val="24"/>
                <w:szCs w:val="24"/>
              </w:rPr>
              <w:t>12.8</w:t>
            </w:r>
          </w:p>
        </w:tc>
        <w:tc>
          <w:tcPr>
            <w:tcW w:w="1372" w:type="dxa"/>
          </w:tcPr>
          <w:p w14:paraId="3F7380F8" w14:textId="7FA397C7" w:rsidR="00D831DF" w:rsidRPr="00CE25D1" w:rsidRDefault="009A1E68" w:rsidP="000F169C">
            <w:pPr>
              <w:jc w:val="center"/>
              <w:rPr>
                <w:rFonts w:ascii="Times New Roman" w:hAnsi="Times New Roman" w:cs="Times New Roman"/>
                <w:sz w:val="24"/>
                <w:szCs w:val="24"/>
              </w:rPr>
            </w:pPr>
            <w:r w:rsidRPr="00CE25D1">
              <w:rPr>
                <w:rFonts w:ascii="Times New Roman" w:hAnsi="Times New Roman" w:cs="Times New Roman"/>
                <w:sz w:val="24"/>
                <w:szCs w:val="24"/>
              </w:rPr>
              <w:t>13.6</w:t>
            </w:r>
          </w:p>
        </w:tc>
        <w:tc>
          <w:tcPr>
            <w:tcW w:w="1373" w:type="dxa"/>
          </w:tcPr>
          <w:p w14:paraId="4D278282" w14:textId="582E50A4" w:rsidR="00D831DF" w:rsidRPr="00CE25D1" w:rsidRDefault="009A1E68" w:rsidP="000F169C">
            <w:pPr>
              <w:jc w:val="center"/>
              <w:rPr>
                <w:rFonts w:ascii="Times New Roman" w:hAnsi="Times New Roman" w:cs="Times New Roman"/>
                <w:sz w:val="24"/>
                <w:szCs w:val="24"/>
              </w:rPr>
            </w:pPr>
            <w:r w:rsidRPr="00CE25D1">
              <w:rPr>
                <w:rFonts w:ascii="Times New Roman" w:hAnsi="Times New Roman" w:cs="Times New Roman"/>
                <w:sz w:val="24"/>
                <w:szCs w:val="24"/>
              </w:rPr>
              <w:t>14.1</w:t>
            </w:r>
          </w:p>
        </w:tc>
        <w:tc>
          <w:tcPr>
            <w:tcW w:w="1373" w:type="dxa"/>
          </w:tcPr>
          <w:p w14:paraId="7FC69BF3" w14:textId="2D6A1F03" w:rsidR="00D831DF" w:rsidRPr="00CE25D1" w:rsidRDefault="009A1E68" w:rsidP="000F169C">
            <w:pPr>
              <w:jc w:val="center"/>
              <w:rPr>
                <w:rFonts w:ascii="Times New Roman" w:hAnsi="Times New Roman" w:cs="Times New Roman"/>
                <w:sz w:val="24"/>
                <w:szCs w:val="24"/>
              </w:rPr>
            </w:pPr>
            <w:r w:rsidRPr="00CE25D1">
              <w:rPr>
                <w:rFonts w:ascii="Times New Roman" w:hAnsi="Times New Roman" w:cs="Times New Roman"/>
                <w:sz w:val="24"/>
                <w:szCs w:val="24"/>
              </w:rPr>
              <w:t>14.6</w:t>
            </w:r>
          </w:p>
        </w:tc>
        <w:tc>
          <w:tcPr>
            <w:tcW w:w="1373" w:type="dxa"/>
          </w:tcPr>
          <w:p w14:paraId="0159BA9C" w14:textId="4695321E" w:rsidR="00D831DF" w:rsidRPr="00CE25D1" w:rsidRDefault="009C2798" w:rsidP="000F169C">
            <w:pPr>
              <w:jc w:val="center"/>
              <w:rPr>
                <w:rFonts w:ascii="Times New Roman" w:hAnsi="Times New Roman" w:cs="Times New Roman"/>
                <w:sz w:val="24"/>
                <w:szCs w:val="24"/>
              </w:rPr>
            </w:pPr>
            <w:r w:rsidRPr="00CE25D1">
              <w:rPr>
                <w:rFonts w:ascii="Times New Roman" w:hAnsi="Times New Roman" w:cs="Times New Roman"/>
                <w:sz w:val="24"/>
                <w:szCs w:val="24"/>
              </w:rPr>
              <w:t>13.2</w:t>
            </w:r>
          </w:p>
        </w:tc>
      </w:tr>
      <w:tr w:rsidR="00D831DF" w:rsidRPr="00CE25D1" w14:paraId="7051584E" w14:textId="77777777" w:rsidTr="00CA71BA">
        <w:tc>
          <w:tcPr>
            <w:tcW w:w="1803" w:type="dxa"/>
          </w:tcPr>
          <w:p w14:paraId="6321F18C" w14:textId="0889C474" w:rsidR="00D831DF" w:rsidRPr="00F47807" w:rsidRDefault="009A1E68" w:rsidP="000F169C">
            <w:pPr>
              <w:jc w:val="center"/>
              <w:rPr>
                <w:rFonts w:ascii="Times New Roman" w:hAnsi="Times New Roman" w:cs="Times New Roman"/>
                <w:i/>
                <w:sz w:val="24"/>
                <w:szCs w:val="24"/>
              </w:rPr>
            </w:pPr>
            <w:r w:rsidRPr="00F47807">
              <w:rPr>
                <w:rFonts w:ascii="Times New Roman" w:hAnsi="Times New Roman" w:cs="Times New Roman"/>
                <w:i/>
                <w:sz w:val="24"/>
                <w:szCs w:val="24"/>
              </w:rPr>
              <w:t>T</w:t>
            </w:r>
            <w:r w:rsidR="006527B9" w:rsidRPr="00F47807">
              <w:rPr>
                <w:rFonts w:ascii="Times New Roman" w:hAnsi="Times New Roman" w:cs="Times New Roman"/>
                <w:i/>
                <w:sz w:val="24"/>
                <w:szCs w:val="24"/>
              </w:rPr>
              <w:t>ier</w:t>
            </w:r>
            <w:r w:rsidRPr="00F47807">
              <w:rPr>
                <w:rFonts w:ascii="Times New Roman" w:hAnsi="Times New Roman" w:cs="Times New Roman"/>
                <w:i/>
                <w:sz w:val="24"/>
                <w:szCs w:val="24"/>
              </w:rPr>
              <w:t>1 capital ratio (%)</w:t>
            </w:r>
          </w:p>
        </w:tc>
        <w:tc>
          <w:tcPr>
            <w:tcW w:w="1373" w:type="dxa"/>
          </w:tcPr>
          <w:p w14:paraId="283C854B" w14:textId="639CC234" w:rsidR="00D831DF" w:rsidRPr="00CE25D1" w:rsidRDefault="00A24618" w:rsidP="000F169C">
            <w:pPr>
              <w:jc w:val="center"/>
              <w:rPr>
                <w:rFonts w:ascii="Times New Roman" w:hAnsi="Times New Roman" w:cs="Times New Roman"/>
                <w:sz w:val="24"/>
                <w:szCs w:val="24"/>
              </w:rPr>
            </w:pPr>
            <w:r w:rsidRPr="00CE25D1">
              <w:rPr>
                <w:rFonts w:ascii="Times New Roman" w:hAnsi="Times New Roman" w:cs="Times New Roman"/>
                <w:sz w:val="24"/>
                <w:szCs w:val="24"/>
              </w:rPr>
              <w:t>15.0</w:t>
            </w:r>
          </w:p>
        </w:tc>
        <w:tc>
          <w:tcPr>
            <w:tcW w:w="1372" w:type="dxa"/>
          </w:tcPr>
          <w:p w14:paraId="34D24445" w14:textId="4C6844BD" w:rsidR="00D831DF" w:rsidRPr="00CE25D1" w:rsidRDefault="00A24618" w:rsidP="000F169C">
            <w:pPr>
              <w:jc w:val="center"/>
              <w:rPr>
                <w:rFonts w:ascii="Times New Roman" w:hAnsi="Times New Roman" w:cs="Times New Roman"/>
                <w:sz w:val="24"/>
                <w:szCs w:val="24"/>
              </w:rPr>
            </w:pPr>
            <w:r w:rsidRPr="00CE25D1">
              <w:rPr>
                <w:rFonts w:ascii="Times New Roman" w:hAnsi="Times New Roman" w:cs="Times New Roman"/>
                <w:sz w:val="24"/>
                <w:szCs w:val="24"/>
              </w:rPr>
              <w:t>15.2</w:t>
            </w:r>
          </w:p>
        </w:tc>
        <w:tc>
          <w:tcPr>
            <w:tcW w:w="1372" w:type="dxa"/>
          </w:tcPr>
          <w:p w14:paraId="0191E37C" w14:textId="0A4FB3CF" w:rsidR="00D831DF" w:rsidRPr="00CE25D1" w:rsidRDefault="00A24618" w:rsidP="000F169C">
            <w:pPr>
              <w:jc w:val="center"/>
              <w:rPr>
                <w:rFonts w:ascii="Times New Roman" w:hAnsi="Times New Roman" w:cs="Times New Roman"/>
                <w:sz w:val="24"/>
                <w:szCs w:val="24"/>
              </w:rPr>
            </w:pPr>
            <w:r w:rsidRPr="00CE25D1">
              <w:rPr>
                <w:rFonts w:ascii="Times New Roman" w:hAnsi="Times New Roman" w:cs="Times New Roman"/>
                <w:sz w:val="24"/>
                <w:szCs w:val="24"/>
              </w:rPr>
              <w:t>16.</w:t>
            </w:r>
            <w:r w:rsidR="005430A6" w:rsidRPr="00CE25D1">
              <w:rPr>
                <w:rFonts w:ascii="Times New Roman" w:hAnsi="Times New Roman" w:cs="Times New Roman"/>
                <w:sz w:val="24"/>
                <w:szCs w:val="24"/>
              </w:rPr>
              <w:t>1</w:t>
            </w:r>
          </w:p>
        </w:tc>
        <w:tc>
          <w:tcPr>
            <w:tcW w:w="1373" w:type="dxa"/>
          </w:tcPr>
          <w:p w14:paraId="54D0CC69" w14:textId="3CFEC1B7" w:rsidR="00D831DF" w:rsidRPr="00CE25D1" w:rsidRDefault="00A24618" w:rsidP="000F169C">
            <w:pPr>
              <w:jc w:val="center"/>
              <w:rPr>
                <w:rFonts w:ascii="Times New Roman" w:hAnsi="Times New Roman" w:cs="Times New Roman"/>
                <w:sz w:val="24"/>
                <w:szCs w:val="24"/>
              </w:rPr>
            </w:pPr>
            <w:r w:rsidRPr="00CE25D1">
              <w:rPr>
                <w:rFonts w:ascii="Times New Roman" w:hAnsi="Times New Roman" w:cs="Times New Roman"/>
                <w:sz w:val="24"/>
                <w:szCs w:val="24"/>
              </w:rPr>
              <w:t>16.</w:t>
            </w:r>
            <w:r w:rsidR="00A72F54" w:rsidRPr="00CE25D1">
              <w:rPr>
                <w:rFonts w:ascii="Times New Roman" w:hAnsi="Times New Roman" w:cs="Times New Roman"/>
                <w:sz w:val="24"/>
                <w:szCs w:val="24"/>
              </w:rPr>
              <w:t>6</w:t>
            </w:r>
          </w:p>
        </w:tc>
        <w:tc>
          <w:tcPr>
            <w:tcW w:w="1373" w:type="dxa"/>
          </w:tcPr>
          <w:p w14:paraId="693EB31B" w14:textId="766346E0" w:rsidR="00D831DF" w:rsidRPr="00CE25D1" w:rsidRDefault="00A24618" w:rsidP="000F169C">
            <w:pPr>
              <w:jc w:val="center"/>
              <w:rPr>
                <w:rFonts w:ascii="Times New Roman" w:hAnsi="Times New Roman" w:cs="Times New Roman"/>
                <w:sz w:val="24"/>
                <w:szCs w:val="24"/>
              </w:rPr>
            </w:pPr>
            <w:r w:rsidRPr="00CE25D1">
              <w:rPr>
                <w:rFonts w:ascii="Times New Roman" w:hAnsi="Times New Roman" w:cs="Times New Roman"/>
                <w:sz w:val="24"/>
                <w:szCs w:val="24"/>
              </w:rPr>
              <w:t>17.</w:t>
            </w:r>
            <w:r w:rsidR="005430A6" w:rsidRPr="00CE25D1">
              <w:rPr>
                <w:rFonts w:ascii="Times New Roman" w:hAnsi="Times New Roman" w:cs="Times New Roman"/>
                <w:sz w:val="24"/>
                <w:szCs w:val="24"/>
              </w:rPr>
              <w:t>8</w:t>
            </w:r>
          </w:p>
        </w:tc>
        <w:tc>
          <w:tcPr>
            <w:tcW w:w="1373" w:type="dxa"/>
          </w:tcPr>
          <w:p w14:paraId="256A0BBF" w14:textId="48F4745E" w:rsidR="00D831DF" w:rsidRPr="00CE25D1" w:rsidRDefault="00A93A9F" w:rsidP="000F169C">
            <w:pPr>
              <w:keepNext/>
              <w:jc w:val="center"/>
              <w:rPr>
                <w:rFonts w:ascii="Times New Roman" w:hAnsi="Times New Roman" w:cs="Times New Roman"/>
                <w:sz w:val="24"/>
                <w:szCs w:val="24"/>
              </w:rPr>
            </w:pPr>
            <w:r w:rsidRPr="00CE25D1">
              <w:rPr>
                <w:rFonts w:ascii="Times New Roman" w:hAnsi="Times New Roman" w:cs="Times New Roman"/>
                <w:sz w:val="24"/>
                <w:szCs w:val="24"/>
              </w:rPr>
              <w:t>17.0</w:t>
            </w:r>
          </w:p>
        </w:tc>
      </w:tr>
      <w:tr w:rsidR="002C20C8" w:rsidRPr="00CE25D1" w14:paraId="7195A0F4" w14:textId="77777777" w:rsidTr="00CA71BA">
        <w:tc>
          <w:tcPr>
            <w:tcW w:w="1803" w:type="dxa"/>
          </w:tcPr>
          <w:p w14:paraId="4D57A803" w14:textId="1C4356D6" w:rsidR="002C20C8" w:rsidRPr="00F47807" w:rsidRDefault="00755B63" w:rsidP="000F169C">
            <w:pPr>
              <w:jc w:val="center"/>
              <w:rPr>
                <w:rFonts w:ascii="Times New Roman" w:hAnsi="Times New Roman" w:cs="Times New Roman"/>
                <w:i/>
                <w:sz w:val="24"/>
                <w:szCs w:val="24"/>
              </w:rPr>
            </w:pPr>
            <w:r w:rsidRPr="00F47807">
              <w:rPr>
                <w:rFonts w:ascii="Times New Roman" w:hAnsi="Times New Roman" w:cs="Times New Roman"/>
                <w:i/>
                <w:sz w:val="24"/>
                <w:szCs w:val="24"/>
              </w:rPr>
              <w:t>CAR ratio (%)</w:t>
            </w:r>
          </w:p>
        </w:tc>
        <w:tc>
          <w:tcPr>
            <w:tcW w:w="1373" w:type="dxa"/>
          </w:tcPr>
          <w:p w14:paraId="36D54BF0" w14:textId="697CA505" w:rsidR="002C20C8" w:rsidRPr="00CE25D1" w:rsidRDefault="00755B63" w:rsidP="000F169C">
            <w:pPr>
              <w:jc w:val="center"/>
              <w:rPr>
                <w:rFonts w:ascii="Times New Roman" w:hAnsi="Times New Roman" w:cs="Times New Roman"/>
                <w:sz w:val="24"/>
                <w:szCs w:val="24"/>
              </w:rPr>
            </w:pPr>
            <w:r w:rsidRPr="00CE25D1">
              <w:rPr>
                <w:rFonts w:ascii="Times New Roman" w:hAnsi="Times New Roman" w:cs="Times New Roman"/>
                <w:sz w:val="24"/>
                <w:szCs w:val="24"/>
              </w:rPr>
              <w:t>18.8</w:t>
            </w:r>
          </w:p>
        </w:tc>
        <w:tc>
          <w:tcPr>
            <w:tcW w:w="1372" w:type="dxa"/>
          </w:tcPr>
          <w:p w14:paraId="2FCF0FA7" w14:textId="090CCD0A" w:rsidR="002C20C8" w:rsidRPr="00CE25D1" w:rsidRDefault="00755B63" w:rsidP="000F169C">
            <w:pPr>
              <w:jc w:val="center"/>
              <w:rPr>
                <w:rFonts w:ascii="Times New Roman" w:hAnsi="Times New Roman" w:cs="Times New Roman"/>
                <w:sz w:val="24"/>
                <w:szCs w:val="24"/>
              </w:rPr>
            </w:pPr>
            <w:r w:rsidRPr="00CE25D1">
              <w:rPr>
                <w:rFonts w:ascii="Times New Roman" w:hAnsi="Times New Roman" w:cs="Times New Roman"/>
                <w:sz w:val="24"/>
                <w:szCs w:val="24"/>
              </w:rPr>
              <w:t>18.0</w:t>
            </w:r>
          </w:p>
        </w:tc>
        <w:tc>
          <w:tcPr>
            <w:tcW w:w="1372" w:type="dxa"/>
          </w:tcPr>
          <w:p w14:paraId="35984EDD" w14:textId="669DB8D2" w:rsidR="002C20C8" w:rsidRPr="00CE25D1" w:rsidRDefault="00755B63" w:rsidP="000F169C">
            <w:pPr>
              <w:jc w:val="center"/>
              <w:rPr>
                <w:rFonts w:ascii="Times New Roman" w:hAnsi="Times New Roman" w:cs="Times New Roman"/>
                <w:sz w:val="24"/>
                <w:szCs w:val="24"/>
              </w:rPr>
            </w:pPr>
            <w:r w:rsidRPr="00CE25D1">
              <w:rPr>
                <w:rFonts w:ascii="Times New Roman" w:hAnsi="Times New Roman" w:cs="Times New Roman"/>
                <w:sz w:val="24"/>
                <w:szCs w:val="24"/>
              </w:rPr>
              <w:t>18.4</w:t>
            </w:r>
          </w:p>
        </w:tc>
        <w:tc>
          <w:tcPr>
            <w:tcW w:w="1373" w:type="dxa"/>
          </w:tcPr>
          <w:p w14:paraId="2F163BEB" w14:textId="1447C24D" w:rsidR="002C20C8" w:rsidRPr="00CE25D1" w:rsidRDefault="00755B63" w:rsidP="000F169C">
            <w:pPr>
              <w:jc w:val="center"/>
              <w:rPr>
                <w:rFonts w:ascii="Times New Roman" w:hAnsi="Times New Roman" w:cs="Times New Roman"/>
                <w:sz w:val="24"/>
                <w:szCs w:val="24"/>
              </w:rPr>
            </w:pPr>
            <w:r w:rsidRPr="00CE25D1">
              <w:rPr>
                <w:rFonts w:ascii="Times New Roman" w:hAnsi="Times New Roman" w:cs="Times New Roman"/>
                <w:sz w:val="24"/>
                <w:szCs w:val="24"/>
              </w:rPr>
              <w:t>18.5</w:t>
            </w:r>
          </w:p>
        </w:tc>
        <w:tc>
          <w:tcPr>
            <w:tcW w:w="1373" w:type="dxa"/>
          </w:tcPr>
          <w:p w14:paraId="030572BA" w14:textId="653D5158" w:rsidR="002C20C8" w:rsidRPr="00CE25D1" w:rsidRDefault="00755B63" w:rsidP="000F169C">
            <w:pPr>
              <w:jc w:val="center"/>
              <w:rPr>
                <w:rFonts w:ascii="Times New Roman" w:hAnsi="Times New Roman" w:cs="Times New Roman"/>
                <w:sz w:val="24"/>
                <w:szCs w:val="24"/>
              </w:rPr>
            </w:pPr>
            <w:r w:rsidRPr="00CE25D1">
              <w:rPr>
                <w:rFonts w:ascii="Times New Roman" w:hAnsi="Times New Roman" w:cs="Times New Roman"/>
                <w:sz w:val="24"/>
                <w:szCs w:val="24"/>
              </w:rPr>
              <w:t>20.5</w:t>
            </w:r>
          </w:p>
        </w:tc>
        <w:tc>
          <w:tcPr>
            <w:tcW w:w="1373" w:type="dxa"/>
          </w:tcPr>
          <w:p w14:paraId="030F0092" w14:textId="69F8D6E5" w:rsidR="002C20C8" w:rsidRPr="00CE25D1" w:rsidRDefault="00A93A9F" w:rsidP="000F169C">
            <w:pPr>
              <w:keepNext/>
              <w:jc w:val="center"/>
              <w:rPr>
                <w:rFonts w:ascii="Times New Roman" w:hAnsi="Times New Roman" w:cs="Times New Roman"/>
                <w:sz w:val="24"/>
                <w:szCs w:val="24"/>
              </w:rPr>
            </w:pPr>
            <w:r w:rsidRPr="00CE25D1">
              <w:rPr>
                <w:rFonts w:ascii="Times New Roman" w:hAnsi="Times New Roman" w:cs="Times New Roman"/>
                <w:sz w:val="24"/>
                <w:szCs w:val="24"/>
              </w:rPr>
              <w:t>20.7</w:t>
            </w:r>
          </w:p>
        </w:tc>
      </w:tr>
    </w:tbl>
    <w:p w14:paraId="7BB591D5" w14:textId="606344D2" w:rsidR="00D831DF" w:rsidRDefault="00D831DF" w:rsidP="00D831DF">
      <w:pPr>
        <w:pStyle w:val="Caption"/>
        <w:rPr>
          <w:rFonts w:ascii="Times New Roman" w:hAnsi="Times New Roman" w:cs="Times New Roman"/>
        </w:rPr>
      </w:pPr>
      <w:r w:rsidRPr="00CE25D1">
        <w:rPr>
          <w:rFonts w:ascii="Times New Roman" w:hAnsi="Times New Roman" w:cs="Times New Roman"/>
        </w:rPr>
        <w:t>Source: Annual report Lloyds Banking plc and Barclays Group plc.</w:t>
      </w:r>
    </w:p>
    <w:p w14:paraId="5B5427B2" w14:textId="77777777" w:rsidR="00195FEA" w:rsidRPr="00195FEA" w:rsidRDefault="00195FEA" w:rsidP="00195FEA"/>
    <w:p w14:paraId="5486CDAC" w14:textId="4683B7B9" w:rsidR="00AF2975" w:rsidRDefault="00B513A4" w:rsidP="00AF2975">
      <w:r>
        <w:rPr>
          <w:noProof/>
        </w:rPr>
        <w:drawing>
          <wp:inline distT="0" distB="0" distL="0" distR="0" wp14:anchorId="4C3FF5D5" wp14:editId="6AD880D4">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62C08CD" w14:textId="77777777" w:rsidR="00195FEA" w:rsidRDefault="00195FEA" w:rsidP="00AF2975"/>
    <w:p w14:paraId="14BDB3F2" w14:textId="320B8422" w:rsidR="008C4461" w:rsidRPr="0069532C" w:rsidRDefault="008C4461" w:rsidP="0069532C">
      <w:pPr>
        <w:rPr>
          <w:rFonts w:ascii="Times New Roman" w:hAnsi="Times New Roman" w:cs="Times New Roman"/>
          <w:sz w:val="24"/>
        </w:rPr>
      </w:pPr>
      <w:r w:rsidRPr="0069532C">
        <w:rPr>
          <w:rFonts w:ascii="Times New Roman" w:hAnsi="Times New Roman" w:cs="Times New Roman"/>
          <w:sz w:val="24"/>
        </w:rPr>
        <w:t xml:space="preserve">All the ratios, </w:t>
      </w:r>
      <w:r w:rsidR="00EA5720" w:rsidRPr="0069532C">
        <w:rPr>
          <w:rFonts w:ascii="Times New Roman" w:hAnsi="Times New Roman" w:cs="Times New Roman"/>
          <w:sz w:val="24"/>
        </w:rPr>
        <w:t xml:space="preserve">for both banks, have been conformed to the Basel III. </w:t>
      </w:r>
    </w:p>
    <w:p w14:paraId="7338EE70" w14:textId="4B937818" w:rsidR="00707E2E" w:rsidRPr="0069532C" w:rsidRDefault="007C2060" w:rsidP="0069532C">
      <w:pPr>
        <w:rPr>
          <w:rFonts w:ascii="Times New Roman" w:hAnsi="Times New Roman" w:cs="Times New Roman"/>
          <w:sz w:val="24"/>
        </w:rPr>
      </w:pPr>
      <w:r w:rsidRPr="0069532C">
        <w:rPr>
          <w:rFonts w:ascii="Times New Roman" w:hAnsi="Times New Roman" w:cs="Times New Roman"/>
          <w:sz w:val="24"/>
        </w:rPr>
        <w:t>As table</w:t>
      </w:r>
      <w:r w:rsidR="006C5D7E">
        <w:rPr>
          <w:rFonts w:ascii="Times New Roman" w:hAnsi="Times New Roman" w:cs="Times New Roman"/>
          <w:sz w:val="24"/>
        </w:rPr>
        <w:t xml:space="preserve"> </w:t>
      </w:r>
      <w:r w:rsidRPr="0069532C">
        <w:rPr>
          <w:rFonts w:ascii="Times New Roman" w:hAnsi="Times New Roman" w:cs="Times New Roman"/>
          <w:sz w:val="24"/>
        </w:rPr>
        <w:t>1 and figure</w:t>
      </w:r>
      <w:r w:rsidR="006C5D7E">
        <w:rPr>
          <w:rFonts w:ascii="Times New Roman" w:hAnsi="Times New Roman" w:cs="Times New Roman"/>
          <w:sz w:val="24"/>
        </w:rPr>
        <w:t xml:space="preserve"> </w:t>
      </w:r>
      <w:r w:rsidRPr="0069532C">
        <w:rPr>
          <w:rFonts w:ascii="Times New Roman" w:hAnsi="Times New Roman" w:cs="Times New Roman"/>
          <w:sz w:val="24"/>
        </w:rPr>
        <w:t xml:space="preserve">1 show, </w:t>
      </w:r>
      <w:r w:rsidR="004C1048" w:rsidRPr="0069532C">
        <w:rPr>
          <w:rFonts w:ascii="Times New Roman" w:hAnsi="Times New Roman" w:cs="Times New Roman"/>
          <w:sz w:val="24"/>
        </w:rPr>
        <w:t>the ratios have increased at</w:t>
      </w:r>
      <w:r w:rsidR="00D36641" w:rsidRPr="0069532C">
        <w:rPr>
          <w:rFonts w:ascii="Times New Roman" w:hAnsi="Times New Roman" w:cs="Times New Roman"/>
          <w:sz w:val="24"/>
        </w:rPr>
        <w:t xml:space="preserve"> steady pace. T</w:t>
      </w:r>
      <w:r w:rsidR="00D831DF" w:rsidRPr="0069532C">
        <w:rPr>
          <w:rFonts w:ascii="Times New Roman" w:hAnsi="Times New Roman" w:cs="Times New Roman"/>
          <w:sz w:val="24"/>
        </w:rPr>
        <w:t>he greater CAR occurred in 2018 and the worse one in 2015; in other words, the solvency risk was less in 2018. Banks can</w:t>
      </w:r>
      <w:r w:rsidR="00CC0753" w:rsidRPr="0069532C">
        <w:rPr>
          <w:rFonts w:ascii="Times New Roman" w:hAnsi="Times New Roman" w:cs="Times New Roman"/>
          <w:sz w:val="24"/>
        </w:rPr>
        <w:t xml:space="preserve"> </w:t>
      </w:r>
      <w:r w:rsidR="00107D99" w:rsidRPr="0069532C">
        <w:rPr>
          <w:rFonts w:ascii="Times New Roman" w:hAnsi="Times New Roman" w:cs="Times New Roman"/>
          <w:sz w:val="24"/>
        </w:rPr>
        <w:t>increase</w:t>
      </w:r>
      <w:r w:rsidR="00D831DF" w:rsidRPr="0069532C">
        <w:rPr>
          <w:rFonts w:ascii="Times New Roman" w:hAnsi="Times New Roman" w:cs="Times New Roman"/>
          <w:sz w:val="24"/>
        </w:rPr>
        <w:t xml:space="preserve"> their capital adequacy ratio in two way</w:t>
      </w:r>
      <w:r w:rsidR="00933BD8" w:rsidRPr="0069532C">
        <w:rPr>
          <w:rFonts w:ascii="Times New Roman" w:hAnsi="Times New Roman" w:cs="Times New Roman"/>
          <w:sz w:val="24"/>
        </w:rPr>
        <w:t>s</w:t>
      </w:r>
      <w:r w:rsidR="00D831DF" w:rsidRPr="0069532C">
        <w:rPr>
          <w:rFonts w:ascii="Times New Roman" w:hAnsi="Times New Roman" w:cs="Times New Roman"/>
          <w:sz w:val="24"/>
        </w:rPr>
        <w:t xml:space="preserve">; </w:t>
      </w:r>
      <w:r w:rsidR="00AE179A">
        <w:rPr>
          <w:rFonts w:ascii="Times New Roman" w:hAnsi="Times New Roman" w:cs="Times New Roman"/>
          <w:sz w:val="24"/>
        </w:rPr>
        <w:t xml:space="preserve">they could either </w:t>
      </w:r>
      <w:r w:rsidR="00D831DF" w:rsidRPr="0069532C">
        <w:rPr>
          <w:rFonts w:ascii="Times New Roman" w:hAnsi="Times New Roman" w:cs="Times New Roman"/>
          <w:sz w:val="24"/>
        </w:rPr>
        <w:t>increas</w:t>
      </w:r>
      <w:r w:rsidR="00AE179A">
        <w:rPr>
          <w:rFonts w:ascii="Times New Roman" w:hAnsi="Times New Roman" w:cs="Times New Roman"/>
          <w:sz w:val="24"/>
        </w:rPr>
        <w:t>e</w:t>
      </w:r>
      <w:r w:rsidR="00D831DF" w:rsidRPr="0069532C">
        <w:rPr>
          <w:rFonts w:ascii="Times New Roman" w:hAnsi="Times New Roman" w:cs="Times New Roman"/>
          <w:sz w:val="24"/>
        </w:rPr>
        <w:t xml:space="preserve"> the numerator (TIER1 + TIER2), or </w:t>
      </w:r>
      <w:proofErr w:type="gramStart"/>
      <w:r w:rsidR="00AE179A">
        <w:rPr>
          <w:rFonts w:ascii="Times New Roman" w:hAnsi="Times New Roman" w:cs="Times New Roman"/>
          <w:sz w:val="24"/>
        </w:rPr>
        <w:t xml:space="preserve">decrease </w:t>
      </w:r>
      <w:r w:rsidR="00D831DF" w:rsidRPr="0069532C">
        <w:rPr>
          <w:rFonts w:ascii="Times New Roman" w:hAnsi="Times New Roman" w:cs="Times New Roman"/>
          <w:sz w:val="24"/>
        </w:rPr>
        <w:t xml:space="preserve"> the</w:t>
      </w:r>
      <w:proofErr w:type="gramEnd"/>
      <w:r w:rsidR="00D831DF" w:rsidRPr="0069532C">
        <w:rPr>
          <w:rFonts w:ascii="Times New Roman" w:hAnsi="Times New Roman" w:cs="Times New Roman"/>
          <w:sz w:val="24"/>
        </w:rPr>
        <w:t xml:space="preserve"> denominator (RWA). Lloyds, over the past five years, has improved</w:t>
      </w:r>
      <w:r w:rsidR="00343EF4" w:rsidRPr="0069532C">
        <w:rPr>
          <w:rFonts w:ascii="Times New Roman" w:hAnsi="Times New Roman" w:cs="Times New Roman"/>
          <w:sz w:val="24"/>
        </w:rPr>
        <w:t xml:space="preserve"> </w:t>
      </w:r>
      <w:r w:rsidR="00D831DF" w:rsidRPr="0069532C">
        <w:rPr>
          <w:rFonts w:ascii="Times New Roman" w:hAnsi="Times New Roman" w:cs="Times New Roman"/>
          <w:sz w:val="24"/>
        </w:rPr>
        <w:t xml:space="preserve">its </w:t>
      </w:r>
      <w:r w:rsidR="008F75D3" w:rsidRPr="0069532C">
        <w:rPr>
          <w:rFonts w:ascii="Times New Roman" w:hAnsi="Times New Roman" w:cs="Times New Roman"/>
          <w:sz w:val="24"/>
        </w:rPr>
        <w:t xml:space="preserve">CAR ratio </w:t>
      </w:r>
      <w:r w:rsidR="00D831DF" w:rsidRPr="0069532C">
        <w:rPr>
          <w:rFonts w:ascii="Times New Roman" w:hAnsi="Times New Roman" w:cs="Times New Roman"/>
          <w:sz w:val="24"/>
        </w:rPr>
        <w:t xml:space="preserve">because RWA has decreased </w:t>
      </w:r>
      <w:r w:rsidR="00707E2E" w:rsidRPr="0069532C">
        <w:rPr>
          <w:rFonts w:ascii="Times New Roman" w:hAnsi="Times New Roman" w:cs="Times New Roman"/>
          <w:sz w:val="24"/>
        </w:rPr>
        <w:t xml:space="preserve">by </w:t>
      </w:r>
      <w:r w:rsidR="00D831DF" w:rsidRPr="0069532C">
        <w:rPr>
          <w:rFonts w:ascii="Times New Roman" w:hAnsi="Times New Roman" w:cs="Times New Roman"/>
          <w:sz w:val="24"/>
        </w:rPr>
        <w:t xml:space="preserve">13,92% from 2014 to 2018, passing from </w:t>
      </w:r>
      <w:r w:rsidR="009C49C1">
        <w:rPr>
          <w:rFonts w:ascii="Times New Roman" w:hAnsi="Times New Roman" w:cs="Times New Roman"/>
          <w:sz w:val="24"/>
        </w:rPr>
        <w:t>£m</w:t>
      </w:r>
      <w:r w:rsidR="00D831DF" w:rsidRPr="0069532C">
        <w:rPr>
          <w:rFonts w:ascii="Times New Roman" w:hAnsi="Times New Roman" w:cs="Times New Roman"/>
          <w:sz w:val="24"/>
        </w:rPr>
        <w:t xml:space="preserve">239,734 to </w:t>
      </w:r>
      <w:r w:rsidR="009C49C1">
        <w:rPr>
          <w:rFonts w:ascii="Times New Roman" w:hAnsi="Times New Roman" w:cs="Times New Roman"/>
          <w:sz w:val="24"/>
        </w:rPr>
        <w:lastRenderedPageBreak/>
        <w:t>£m</w:t>
      </w:r>
      <w:r w:rsidR="00D831DF" w:rsidRPr="0069532C">
        <w:rPr>
          <w:rFonts w:ascii="Times New Roman" w:hAnsi="Times New Roman" w:cs="Times New Roman"/>
          <w:sz w:val="24"/>
        </w:rPr>
        <w:t>206,366</w:t>
      </w:r>
      <w:r w:rsidR="00A8481F" w:rsidRPr="0069532C">
        <w:rPr>
          <w:rFonts w:ascii="Times New Roman" w:hAnsi="Times New Roman" w:cs="Times New Roman"/>
          <w:sz w:val="24"/>
        </w:rPr>
        <w:t xml:space="preserve"> (even if its </w:t>
      </w:r>
      <w:r w:rsidR="003C446A" w:rsidRPr="0069532C">
        <w:rPr>
          <w:rFonts w:ascii="Times New Roman" w:hAnsi="Times New Roman" w:cs="Times New Roman"/>
          <w:sz w:val="24"/>
        </w:rPr>
        <w:t xml:space="preserve">total </w:t>
      </w:r>
      <w:r w:rsidR="00A8481F" w:rsidRPr="0069532C">
        <w:rPr>
          <w:rFonts w:ascii="Times New Roman" w:hAnsi="Times New Roman" w:cs="Times New Roman"/>
          <w:sz w:val="24"/>
        </w:rPr>
        <w:t>capital</w:t>
      </w:r>
      <w:r w:rsidR="003C446A" w:rsidRPr="0069532C">
        <w:rPr>
          <w:rFonts w:ascii="Times New Roman" w:hAnsi="Times New Roman" w:cs="Times New Roman"/>
          <w:sz w:val="24"/>
        </w:rPr>
        <w:t xml:space="preserve"> resources</w:t>
      </w:r>
      <w:r w:rsidR="00A8481F" w:rsidRPr="0069532C">
        <w:rPr>
          <w:rFonts w:ascii="Times New Roman" w:hAnsi="Times New Roman" w:cs="Times New Roman"/>
          <w:sz w:val="24"/>
        </w:rPr>
        <w:t xml:space="preserve"> has decreased).</w:t>
      </w:r>
      <w:r w:rsidR="00B76F76" w:rsidRPr="0069532C">
        <w:rPr>
          <w:rFonts w:ascii="Times New Roman" w:hAnsi="Times New Roman" w:cs="Times New Roman"/>
          <w:sz w:val="24"/>
        </w:rPr>
        <w:t xml:space="preserve"> </w:t>
      </w:r>
      <w:r w:rsidR="00742291" w:rsidRPr="0069532C">
        <w:rPr>
          <w:rFonts w:ascii="Times New Roman" w:hAnsi="Times New Roman" w:cs="Times New Roman"/>
          <w:sz w:val="24"/>
        </w:rPr>
        <w:t xml:space="preserve">Over the years, Lloyds has </w:t>
      </w:r>
      <w:r w:rsidR="0036416E" w:rsidRPr="0069532C">
        <w:rPr>
          <w:rFonts w:ascii="Times New Roman" w:hAnsi="Times New Roman" w:cs="Times New Roman"/>
          <w:sz w:val="24"/>
        </w:rPr>
        <w:t xml:space="preserve">acted prudently. </w:t>
      </w:r>
    </w:p>
    <w:p w14:paraId="20022796" w14:textId="2C5AEF68" w:rsidR="00BE1E9B" w:rsidRPr="0069532C" w:rsidRDefault="00837531" w:rsidP="0069532C">
      <w:pPr>
        <w:rPr>
          <w:rFonts w:ascii="Times New Roman" w:hAnsi="Times New Roman" w:cs="Times New Roman"/>
          <w:sz w:val="24"/>
        </w:rPr>
      </w:pPr>
      <w:r w:rsidRPr="0069532C">
        <w:rPr>
          <w:rFonts w:ascii="Times New Roman" w:hAnsi="Times New Roman" w:cs="Times New Roman"/>
          <w:sz w:val="24"/>
        </w:rPr>
        <w:t xml:space="preserve">At first glance, </w:t>
      </w:r>
      <w:proofErr w:type="gramStart"/>
      <w:r w:rsidRPr="0069532C">
        <w:rPr>
          <w:rFonts w:ascii="Times New Roman" w:hAnsi="Times New Roman" w:cs="Times New Roman"/>
          <w:sz w:val="24"/>
        </w:rPr>
        <w:t>it would seem that the</w:t>
      </w:r>
      <w:proofErr w:type="gramEnd"/>
      <w:r w:rsidRPr="0069532C">
        <w:rPr>
          <w:rFonts w:ascii="Times New Roman" w:hAnsi="Times New Roman" w:cs="Times New Roman"/>
          <w:sz w:val="24"/>
        </w:rPr>
        <w:t xml:space="preserve"> </w:t>
      </w:r>
      <w:r w:rsidR="00647A58" w:rsidRPr="0069532C">
        <w:rPr>
          <w:rFonts w:ascii="Times New Roman" w:hAnsi="Times New Roman" w:cs="Times New Roman"/>
          <w:sz w:val="24"/>
        </w:rPr>
        <w:t>two banks have the same level of solvency as they have almost the</w:t>
      </w:r>
      <w:r w:rsidR="001A46B8">
        <w:rPr>
          <w:rFonts w:ascii="Times New Roman" w:hAnsi="Times New Roman" w:cs="Times New Roman"/>
          <w:sz w:val="24"/>
        </w:rPr>
        <w:t xml:space="preserve"> </w:t>
      </w:r>
      <w:r w:rsidR="009C49C1">
        <w:rPr>
          <w:rFonts w:ascii="Times New Roman" w:hAnsi="Times New Roman" w:cs="Times New Roman"/>
          <w:sz w:val="24"/>
        </w:rPr>
        <w:t xml:space="preserve">same </w:t>
      </w:r>
      <w:r w:rsidR="009C49C1" w:rsidRPr="0069532C">
        <w:rPr>
          <w:rFonts w:ascii="Times New Roman" w:hAnsi="Times New Roman" w:cs="Times New Roman"/>
          <w:sz w:val="24"/>
        </w:rPr>
        <w:t>amount</w:t>
      </w:r>
      <w:r w:rsidR="00171ED4" w:rsidRPr="0069532C">
        <w:rPr>
          <w:rFonts w:ascii="Times New Roman" w:hAnsi="Times New Roman" w:cs="Times New Roman"/>
          <w:sz w:val="24"/>
        </w:rPr>
        <w:t xml:space="preserve"> of CAR capital ratio. However, investors and depositors should prefer Lloyds because it </w:t>
      </w:r>
      <w:r w:rsidR="00F63A9D" w:rsidRPr="0069532C">
        <w:rPr>
          <w:rFonts w:ascii="Times New Roman" w:hAnsi="Times New Roman" w:cs="Times New Roman"/>
          <w:sz w:val="24"/>
        </w:rPr>
        <w:t xml:space="preserve">has </w:t>
      </w:r>
      <w:r w:rsidR="00FC7B56" w:rsidRPr="0069532C">
        <w:rPr>
          <w:rFonts w:ascii="Times New Roman" w:hAnsi="Times New Roman" w:cs="Times New Roman"/>
          <w:sz w:val="24"/>
        </w:rPr>
        <w:t>assets</w:t>
      </w:r>
      <w:r w:rsidR="00AF3E50" w:rsidRPr="0069532C">
        <w:rPr>
          <w:rFonts w:ascii="Times New Roman" w:hAnsi="Times New Roman" w:cs="Times New Roman"/>
          <w:sz w:val="24"/>
        </w:rPr>
        <w:t xml:space="preserve"> which can be convert</w:t>
      </w:r>
      <w:r w:rsidR="002119A1">
        <w:rPr>
          <w:rFonts w:ascii="Times New Roman" w:hAnsi="Times New Roman" w:cs="Times New Roman"/>
          <w:sz w:val="24"/>
        </w:rPr>
        <w:t>ed</w:t>
      </w:r>
      <w:r w:rsidR="00AF3E50" w:rsidRPr="0069532C">
        <w:rPr>
          <w:rFonts w:ascii="Times New Roman" w:hAnsi="Times New Roman" w:cs="Times New Roman"/>
          <w:sz w:val="24"/>
        </w:rPr>
        <w:t xml:space="preserve"> into cash quick</w:t>
      </w:r>
      <w:r w:rsidR="003F0A28" w:rsidRPr="0069532C">
        <w:rPr>
          <w:rFonts w:ascii="Times New Roman" w:hAnsi="Times New Roman" w:cs="Times New Roman"/>
          <w:sz w:val="24"/>
        </w:rPr>
        <w:t xml:space="preserve">er </w:t>
      </w:r>
      <w:r w:rsidR="00AF3E50" w:rsidRPr="0069532C">
        <w:rPr>
          <w:rFonts w:ascii="Times New Roman" w:hAnsi="Times New Roman" w:cs="Times New Roman"/>
          <w:sz w:val="24"/>
        </w:rPr>
        <w:t xml:space="preserve">and cheaper </w:t>
      </w:r>
      <w:r w:rsidR="003B1C43" w:rsidRPr="0069532C">
        <w:rPr>
          <w:rFonts w:ascii="Times New Roman" w:hAnsi="Times New Roman" w:cs="Times New Roman"/>
          <w:sz w:val="24"/>
        </w:rPr>
        <w:t xml:space="preserve">as its </w:t>
      </w:r>
      <w:r w:rsidR="00637203" w:rsidRPr="0069532C">
        <w:rPr>
          <w:rFonts w:ascii="Times New Roman" w:hAnsi="Times New Roman" w:cs="Times New Roman"/>
          <w:sz w:val="24"/>
        </w:rPr>
        <w:t>CET</w:t>
      </w:r>
      <w:r w:rsidR="00F65E3D">
        <w:rPr>
          <w:rFonts w:ascii="Times New Roman" w:hAnsi="Times New Roman" w:cs="Times New Roman"/>
          <w:sz w:val="24"/>
        </w:rPr>
        <w:t xml:space="preserve"> </w:t>
      </w:r>
      <w:r w:rsidR="00637203" w:rsidRPr="0069532C">
        <w:rPr>
          <w:rFonts w:ascii="Times New Roman" w:hAnsi="Times New Roman" w:cs="Times New Roman"/>
          <w:sz w:val="24"/>
        </w:rPr>
        <w:t>1 and T</w:t>
      </w:r>
      <w:r w:rsidR="009974F2" w:rsidRPr="0069532C">
        <w:rPr>
          <w:rFonts w:ascii="Times New Roman" w:hAnsi="Times New Roman" w:cs="Times New Roman"/>
          <w:sz w:val="24"/>
        </w:rPr>
        <w:t>ier</w:t>
      </w:r>
      <w:r w:rsidR="00F65E3D">
        <w:rPr>
          <w:rFonts w:ascii="Times New Roman" w:hAnsi="Times New Roman" w:cs="Times New Roman"/>
          <w:sz w:val="24"/>
        </w:rPr>
        <w:t xml:space="preserve"> </w:t>
      </w:r>
      <w:r w:rsidR="00637203" w:rsidRPr="0069532C">
        <w:rPr>
          <w:rFonts w:ascii="Times New Roman" w:hAnsi="Times New Roman" w:cs="Times New Roman"/>
          <w:sz w:val="24"/>
        </w:rPr>
        <w:t xml:space="preserve">1 ratio are </w:t>
      </w:r>
      <w:r w:rsidR="006F6838" w:rsidRPr="0069532C">
        <w:rPr>
          <w:rFonts w:ascii="Times New Roman" w:hAnsi="Times New Roman" w:cs="Times New Roman"/>
          <w:sz w:val="24"/>
        </w:rPr>
        <w:t>higher</w:t>
      </w:r>
      <w:r w:rsidR="00B11CC2" w:rsidRPr="0069532C">
        <w:rPr>
          <w:rFonts w:ascii="Times New Roman" w:hAnsi="Times New Roman" w:cs="Times New Roman"/>
          <w:sz w:val="24"/>
        </w:rPr>
        <w:t xml:space="preserve">; </w:t>
      </w:r>
      <w:r w:rsidR="00B11CF3">
        <w:rPr>
          <w:rFonts w:ascii="Times New Roman" w:hAnsi="Times New Roman" w:cs="Times New Roman"/>
          <w:sz w:val="24"/>
        </w:rPr>
        <w:t>while</w:t>
      </w:r>
      <w:r w:rsidR="002A2828" w:rsidRPr="0069532C">
        <w:rPr>
          <w:rFonts w:ascii="Times New Roman" w:hAnsi="Times New Roman" w:cs="Times New Roman"/>
          <w:sz w:val="24"/>
        </w:rPr>
        <w:t xml:space="preserve"> Tier 2 capital (which is higher for Barclays) is less </w:t>
      </w:r>
      <w:r w:rsidR="001D4F11" w:rsidRPr="0069532C">
        <w:rPr>
          <w:rFonts w:ascii="Times New Roman" w:hAnsi="Times New Roman" w:cs="Times New Roman"/>
          <w:sz w:val="24"/>
        </w:rPr>
        <w:t xml:space="preserve">reliable than Tier 1 capital. </w:t>
      </w:r>
    </w:p>
    <w:p w14:paraId="34E50DE9" w14:textId="62626E9A" w:rsidR="009A4B71" w:rsidRPr="0069532C" w:rsidRDefault="003975F4" w:rsidP="0069532C">
      <w:pPr>
        <w:rPr>
          <w:rFonts w:ascii="Times New Roman" w:hAnsi="Times New Roman" w:cs="Times New Roman"/>
          <w:sz w:val="24"/>
        </w:rPr>
      </w:pPr>
      <w:r w:rsidRPr="0069532C">
        <w:rPr>
          <w:rFonts w:ascii="Times New Roman" w:hAnsi="Times New Roman" w:cs="Times New Roman"/>
          <w:sz w:val="24"/>
        </w:rPr>
        <w:t>According to</w:t>
      </w:r>
      <w:r w:rsidR="00041D28" w:rsidRPr="0069532C">
        <w:rPr>
          <w:rFonts w:ascii="Times New Roman" w:hAnsi="Times New Roman" w:cs="Times New Roman"/>
          <w:sz w:val="24"/>
        </w:rPr>
        <w:t xml:space="preserve"> Hayes (2019), a more reliable assessment of a bank’s financial soundness i</w:t>
      </w:r>
      <w:r w:rsidR="009C49C1">
        <w:rPr>
          <w:rFonts w:ascii="Times New Roman" w:hAnsi="Times New Roman" w:cs="Times New Roman"/>
          <w:sz w:val="24"/>
        </w:rPr>
        <w:t>s</w:t>
      </w:r>
      <w:r w:rsidR="00041D28" w:rsidRPr="0069532C">
        <w:rPr>
          <w:rFonts w:ascii="Times New Roman" w:hAnsi="Times New Roman" w:cs="Times New Roman"/>
          <w:sz w:val="24"/>
        </w:rPr>
        <w:t xml:space="preserve"> given by the </w:t>
      </w:r>
      <w:r w:rsidR="00B5587F" w:rsidRPr="0069532C">
        <w:rPr>
          <w:rFonts w:ascii="Times New Roman" w:hAnsi="Times New Roman" w:cs="Times New Roman"/>
          <w:sz w:val="24"/>
        </w:rPr>
        <w:t xml:space="preserve">economic capital. Indeed, CAR fails to account for expected losses during a financial crisis or a </w:t>
      </w:r>
      <w:r w:rsidR="002E2F42" w:rsidRPr="0069532C">
        <w:rPr>
          <w:rFonts w:ascii="Times New Roman" w:hAnsi="Times New Roman" w:cs="Times New Roman"/>
          <w:sz w:val="24"/>
        </w:rPr>
        <w:t xml:space="preserve">run bank. </w:t>
      </w:r>
    </w:p>
    <w:p w14:paraId="331B195E" w14:textId="77777777" w:rsidR="00C203DD" w:rsidRDefault="00C203DD" w:rsidP="00B27D9E">
      <w:pPr>
        <w:pStyle w:val="Heading2"/>
      </w:pPr>
    </w:p>
    <w:p w14:paraId="4E7C39A2" w14:textId="0544952A" w:rsidR="00B27D9E" w:rsidRPr="00133181" w:rsidRDefault="00B27D9E" w:rsidP="00B27D9E">
      <w:pPr>
        <w:pStyle w:val="Heading2"/>
        <w:rPr>
          <w:rFonts w:ascii="Times New Roman" w:hAnsi="Times New Roman" w:cs="Times New Roman"/>
          <w:sz w:val="28"/>
          <w:szCs w:val="28"/>
        </w:rPr>
      </w:pPr>
      <w:bookmarkStart w:id="4" w:name="_Toc18488766"/>
      <w:r w:rsidRPr="00133181">
        <w:rPr>
          <w:rFonts w:ascii="Times New Roman" w:hAnsi="Times New Roman" w:cs="Times New Roman"/>
          <w:sz w:val="28"/>
          <w:szCs w:val="28"/>
        </w:rPr>
        <w:t xml:space="preserve">Liquidity </w:t>
      </w:r>
      <w:r w:rsidR="00361FD7" w:rsidRPr="00133181">
        <w:rPr>
          <w:rFonts w:ascii="Times New Roman" w:hAnsi="Times New Roman" w:cs="Times New Roman"/>
          <w:sz w:val="28"/>
          <w:szCs w:val="28"/>
        </w:rPr>
        <w:t>coverage ratio</w:t>
      </w:r>
      <w:bookmarkEnd w:id="4"/>
    </w:p>
    <w:p w14:paraId="244B57A8" w14:textId="58260316" w:rsidR="0001077F" w:rsidRDefault="000772C1" w:rsidP="00F6206E">
      <w:r w:rsidRPr="00C203DD">
        <w:rPr>
          <w:rFonts w:ascii="Times New Roman" w:hAnsi="Times New Roman" w:cs="Times New Roman"/>
          <w:sz w:val="24"/>
          <w:szCs w:val="24"/>
        </w:rPr>
        <w:t>Liquidity ratios measure a bank</w:t>
      </w:r>
      <w:r w:rsidR="00D130AE" w:rsidRPr="00C203DD">
        <w:rPr>
          <w:rFonts w:ascii="Times New Roman" w:hAnsi="Times New Roman" w:cs="Times New Roman"/>
          <w:sz w:val="24"/>
          <w:szCs w:val="24"/>
        </w:rPr>
        <w:t>’s ability to meet its short-term obligation</w:t>
      </w:r>
      <w:r w:rsidR="00AD19DA" w:rsidRPr="00C203DD">
        <w:rPr>
          <w:rFonts w:ascii="Times New Roman" w:hAnsi="Times New Roman" w:cs="Times New Roman"/>
          <w:sz w:val="24"/>
          <w:szCs w:val="24"/>
        </w:rPr>
        <w:t>s</w:t>
      </w:r>
      <w:r w:rsidR="00D130AE" w:rsidRPr="00C203DD">
        <w:rPr>
          <w:rFonts w:ascii="Times New Roman" w:hAnsi="Times New Roman" w:cs="Times New Roman"/>
          <w:sz w:val="24"/>
          <w:szCs w:val="24"/>
        </w:rPr>
        <w:t xml:space="preserve"> without raising </w:t>
      </w:r>
      <w:r w:rsidR="00142409" w:rsidRPr="00C203DD">
        <w:rPr>
          <w:rFonts w:ascii="Times New Roman" w:hAnsi="Times New Roman" w:cs="Times New Roman"/>
          <w:sz w:val="24"/>
          <w:szCs w:val="24"/>
        </w:rPr>
        <w:t xml:space="preserve">further </w:t>
      </w:r>
      <w:r w:rsidR="00004C9F" w:rsidRPr="00C203DD">
        <w:rPr>
          <w:rFonts w:ascii="Times New Roman" w:hAnsi="Times New Roman" w:cs="Times New Roman"/>
          <w:sz w:val="24"/>
          <w:szCs w:val="24"/>
        </w:rPr>
        <w:t>capital.</w:t>
      </w:r>
      <w:r w:rsidR="00F8686D" w:rsidRPr="00C203DD">
        <w:rPr>
          <w:rFonts w:ascii="Times New Roman" w:hAnsi="Times New Roman" w:cs="Times New Roman"/>
          <w:sz w:val="24"/>
          <w:szCs w:val="24"/>
        </w:rPr>
        <w:t xml:space="preserve"> Therefore, b</w:t>
      </w:r>
      <w:r w:rsidR="00F577C5" w:rsidRPr="00C203DD">
        <w:rPr>
          <w:rFonts w:ascii="Times New Roman" w:hAnsi="Times New Roman" w:cs="Times New Roman"/>
          <w:sz w:val="24"/>
          <w:szCs w:val="24"/>
        </w:rPr>
        <w:t>ank</w:t>
      </w:r>
      <w:r w:rsidR="00FD4ED8" w:rsidRPr="00C203DD">
        <w:rPr>
          <w:rFonts w:ascii="Times New Roman" w:hAnsi="Times New Roman" w:cs="Times New Roman"/>
          <w:sz w:val="24"/>
          <w:szCs w:val="24"/>
        </w:rPr>
        <w:t>s</w:t>
      </w:r>
      <w:r w:rsidR="00F577C5" w:rsidRPr="00C203DD">
        <w:rPr>
          <w:rFonts w:ascii="Times New Roman" w:hAnsi="Times New Roman" w:cs="Times New Roman"/>
          <w:sz w:val="24"/>
          <w:szCs w:val="24"/>
        </w:rPr>
        <w:t xml:space="preserve"> </w:t>
      </w:r>
      <w:r w:rsidR="00915429" w:rsidRPr="00C203DD">
        <w:rPr>
          <w:rFonts w:ascii="Times New Roman" w:hAnsi="Times New Roman" w:cs="Times New Roman"/>
          <w:i/>
          <w:sz w:val="24"/>
          <w:szCs w:val="24"/>
        </w:rPr>
        <w:t>must</w:t>
      </w:r>
      <w:r w:rsidR="00445E3A" w:rsidRPr="00C203DD">
        <w:rPr>
          <w:rFonts w:ascii="Times New Roman" w:hAnsi="Times New Roman" w:cs="Times New Roman"/>
          <w:i/>
          <w:sz w:val="24"/>
          <w:szCs w:val="24"/>
        </w:rPr>
        <w:t xml:space="preserve"> </w:t>
      </w:r>
      <w:r w:rsidR="00915429" w:rsidRPr="00C203DD">
        <w:rPr>
          <w:rFonts w:ascii="Times New Roman" w:hAnsi="Times New Roman" w:cs="Times New Roman"/>
          <w:sz w:val="24"/>
          <w:szCs w:val="24"/>
        </w:rPr>
        <w:t>have</w:t>
      </w:r>
      <w:r w:rsidR="00445E3A" w:rsidRPr="00C203DD">
        <w:rPr>
          <w:rFonts w:ascii="Times New Roman" w:hAnsi="Times New Roman" w:cs="Times New Roman"/>
          <w:sz w:val="24"/>
          <w:szCs w:val="24"/>
        </w:rPr>
        <w:t xml:space="preserve"> </w:t>
      </w:r>
      <w:r w:rsidR="003B1F1A" w:rsidRPr="00C203DD">
        <w:rPr>
          <w:rFonts w:ascii="Times New Roman" w:hAnsi="Times New Roman" w:cs="Times New Roman"/>
          <w:sz w:val="24"/>
          <w:szCs w:val="24"/>
        </w:rPr>
        <w:t>enough</w:t>
      </w:r>
      <w:r w:rsidR="003379CB" w:rsidRPr="00C203DD">
        <w:rPr>
          <w:rFonts w:ascii="Times New Roman" w:hAnsi="Times New Roman" w:cs="Times New Roman"/>
          <w:sz w:val="24"/>
          <w:szCs w:val="24"/>
        </w:rPr>
        <w:t xml:space="preserve"> assets that can be converted easily, quickly and cheaply into cash. </w:t>
      </w:r>
      <w:r w:rsidR="00AE7F87" w:rsidRPr="00C203DD">
        <w:rPr>
          <w:rFonts w:ascii="Times New Roman" w:hAnsi="Times New Roman" w:cs="Times New Roman"/>
          <w:sz w:val="24"/>
          <w:szCs w:val="24"/>
        </w:rPr>
        <w:t xml:space="preserve">Bank’s liquidity level </w:t>
      </w:r>
      <w:r w:rsidR="00AC44DD" w:rsidRPr="00C203DD">
        <w:rPr>
          <w:rFonts w:ascii="Times New Roman" w:hAnsi="Times New Roman" w:cs="Times New Roman"/>
          <w:sz w:val="24"/>
          <w:szCs w:val="24"/>
        </w:rPr>
        <w:t>can be measured by liquidity coverage ratio (LCR)</w:t>
      </w:r>
      <w:r w:rsidR="0001077F" w:rsidRPr="00C203DD">
        <w:rPr>
          <w:rFonts w:ascii="Times New Roman" w:hAnsi="Times New Roman" w:cs="Times New Roman"/>
          <w:sz w:val="24"/>
          <w:szCs w:val="24"/>
        </w:rPr>
        <w:t xml:space="preserve"> which</w:t>
      </w:r>
      <w:r w:rsidR="00D20007" w:rsidRPr="00C203DD">
        <w:rPr>
          <w:rFonts w:ascii="Times New Roman" w:eastAsiaTheme="minorEastAsia" w:hAnsi="Times New Roman" w:cs="Times New Roman"/>
          <w:color w:val="000000" w:themeColor="text1"/>
          <w:sz w:val="24"/>
          <w:szCs w:val="24"/>
        </w:rPr>
        <w:t xml:space="preserve"> was implemented after the financial crisis known as </w:t>
      </w:r>
      <w:r w:rsidR="003C25EB">
        <w:rPr>
          <w:rFonts w:ascii="Times New Roman" w:eastAsiaTheme="minorEastAsia" w:hAnsi="Times New Roman" w:cs="Times New Roman"/>
          <w:color w:val="000000" w:themeColor="text1"/>
          <w:sz w:val="24"/>
          <w:szCs w:val="24"/>
        </w:rPr>
        <w:t xml:space="preserve">the </w:t>
      </w:r>
      <w:r w:rsidR="00D20007" w:rsidRPr="00C203DD">
        <w:rPr>
          <w:rFonts w:ascii="Times New Roman" w:eastAsiaTheme="minorEastAsia" w:hAnsi="Times New Roman" w:cs="Times New Roman"/>
          <w:color w:val="000000" w:themeColor="text1"/>
          <w:sz w:val="24"/>
          <w:szCs w:val="24"/>
        </w:rPr>
        <w:t xml:space="preserve">subprime mortgage crisis occurred between 2007 and 2010 </w:t>
      </w:r>
      <w:r w:rsidR="0001077F" w:rsidRPr="00C203DD">
        <w:rPr>
          <w:rFonts w:ascii="Times New Roman" w:hAnsi="Times New Roman" w:cs="Times New Roman"/>
          <w:sz w:val="24"/>
          <w:szCs w:val="24"/>
        </w:rPr>
        <w:t>(Kenton and Murphy, 2019).</w:t>
      </w:r>
      <w:r w:rsidR="0001077F">
        <w:t xml:space="preserve"> </w:t>
      </w:r>
    </w:p>
    <w:p w14:paraId="7910DEFB" w14:textId="2445FD0A" w:rsidR="00F577C5" w:rsidRPr="00EA5480" w:rsidRDefault="00EA0744" w:rsidP="00F6206E">
      <w:pPr>
        <w:rPr>
          <w:rFonts w:ascii="Times New Roman" w:eastAsiaTheme="minorEastAsia" w:hAnsi="Times New Roman" w:cs="Times New Roman"/>
          <w:color w:val="000000" w:themeColor="text1"/>
          <w:sz w:val="24"/>
          <w:szCs w:val="24"/>
        </w:rPr>
      </w:pPr>
      <w:r w:rsidRPr="00F6206E">
        <w:rPr>
          <w:rFonts w:ascii="Times New Roman" w:hAnsi="Times New Roman" w:cs="Times New Roman"/>
          <w:sz w:val="24"/>
          <w:szCs w:val="24"/>
        </w:rPr>
        <w:t xml:space="preserve">Basel III requires </w:t>
      </w:r>
      <w:r w:rsidR="00910013" w:rsidRPr="00F6206E">
        <w:rPr>
          <w:rFonts w:ascii="Times New Roman" w:hAnsi="Times New Roman" w:cs="Times New Roman"/>
          <w:sz w:val="24"/>
          <w:szCs w:val="24"/>
        </w:rPr>
        <w:t>to maintain an LCR equal to at least 100%</w:t>
      </w:r>
      <w:r w:rsidR="00E96716" w:rsidRPr="00F6206E">
        <w:rPr>
          <w:rFonts w:ascii="Times New Roman" w:hAnsi="Times New Roman" w:cs="Times New Roman"/>
          <w:sz w:val="24"/>
          <w:szCs w:val="24"/>
        </w:rPr>
        <w:t xml:space="preserve"> </w:t>
      </w:r>
      <w:r w:rsidR="00E96716" w:rsidRPr="00EA5480">
        <w:rPr>
          <w:rFonts w:ascii="Times New Roman" w:hAnsi="Times New Roman" w:cs="Times New Roman"/>
          <w:color w:val="000000" w:themeColor="text1"/>
          <w:sz w:val="24"/>
          <w:szCs w:val="24"/>
        </w:rPr>
        <w:t>(</w:t>
      </w:r>
      <w:proofErr w:type="spellStart"/>
      <w:r w:rsidR="00E96716" w:rsidRPr="00EA5480">
        <w:rPr>
          <w:rFonts w:ascii="Times New Roman" w:hAnsi="Times New Roman" w:cs="Times New Roman"/>
          <w:iCs/>
          <w:color w:val="000000" w:themeColor="text1"/>
          <w:sz w:val="24"/>
          <w:szCs w:val="24"/>
        </w:rPr>
        <w:t>Hartlage</w:t>
      </w:r>
      <w:proofErr w:type="spellEnd"/>
      <w:r w:rsidR="00E96716" w:rsidRPr="00EA5480">
        <w:rPr>
          <w:rFonts w:ascii="Times New Roman" w:hAnsi="Times New Roman" w:cs="Times New Roman"/>
          <w:i/>
          <w:iCs/>
          <w:color w:val="000000" w:themeColor="text1"/>
          <w:sz w:val="24"/>
          <w:szCs w:val="24"/>
        </w:rPr>
        <w:t xml:space="preserve">, </w:t>
      </w:r>
      <w:r w:rsidR="00E96716" w:rsidRPr="00EA5480">
        <w:rPr>
          <w:rFonts w:ascii="Times New Roman" w:hAnsi="Times New Roman" w:cs="Times New Roman"/>
          <w:iCs/>
          <w:color w:val="000000" w:themeColor="text1"/>
          <w:sz w:val="24"/>
          <w:szCs w:val="24"/>
        </w:rPr>
        <w:t>2012</w:t>
      </w:r>
      <w:r w:rsidR="00E96716" w:rsidRPr="00EA5480">
        <w:rPr>
          <w:rFonts w:ascii="Times New Roman" w:hAnsi="Times New Roman" w:cs="Times New Roman"/>
          <w:i/>
          <w:iCs/>
          <w:color w:val="000000" w:themeColor="text1"/>
          <w:sz w:val="24"/>
          <w:szCs w:val="24"/>
        </w:rPr>
        <w:t>)</w:t>
      </w:r>
    </w:p>
    <w:p w14:paraId="48CBBBA8" w14:textId="166149FE" w:rsidR="00910013" w:rsidRPr="003B1D8D" w:rsidRDefault="00910013" w:rsidP="003B1D8D">
      <w:pPr>
        <w:rPr>
          <w:rFonts w:ascii="Times New Roman" w:eastAsiaTheme="minorEastAsia" w:hAnsi="Times New Roman" w:cs="Times New Roman"/>
          <w:color w:val="000000" w:themeColor="text1"/>
          <w:sz w:val="24"/>
          <w:szCs w:val="24"/>
        </w:rPr>
      </w:pPr>
      <m:oMathPara>
        <m:oMath>
          <m:r>
            <w:rPr>
              <w:rFonts w:ascii="Cambria Math" w:eastAsiaTheme="minorEastAsia" w:hAnsi="Cambria Math" w:cs="Times New Roman"/>
              <w:color w:val="000000" w:themeColor="text1"/>
              <w:sz w:val="24"/>
              <w:szCs w:val="24"/>
            </w:rPr>
            <m:t>LCR=</m:t>
          </m:r>
          <m:f>
            <m:fPr>
              <m:ctrlPr>
                <w:rPr>
                  <w:rFonts w:ascii="Cambria Math" w:eastAsiaTheme="minorEastAsia" w:hAnsi="Cambria Math" w:cs="Times New Roman"/>
                  <w:i/>
                  <w:color w:val="000000" w:themeColor="text1"/>
                  <w:sz w:val="24"/>
                  <w:szCs w:val="24"/>
                </w:rPr>
              </m:ctrlPr>
            </m:fPr>
            <m:num>
              <m:r>
                <w:rPr>
                  <w:rFonts w:ascii="Cambria Math" w:eastAsiaTheme="minorEastAsia" w:hAnsi="Cambria Math" w:cs="Times New Roman"/>
                  <w:color w:val="000000" w:themeColor="text1"/>
                  <w:sz w:val="24"/>
                  <w:szCs w:val="24"/>
                </w:rPr>
                <m:t xml:space="preserve">High quality liquid asset amount </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HQLA</m:t>
                  </m:r>
                </m:e>
              </m:d>
            </m:num>
            <m:den>
              <m:r>
                <w:rPr>
                  <w:rFonts w:ascii="Cambria Math" w:eastAsiaTheme="minorEastAsia" w:hAnsi="Cambria Math" w:cs="Times New Roman"/>
                  <w:color w:val="000000" w:themeColor="text1"/>
                  <w:sz w:val="24"/>
                  <w:szCs w:val="24"/>
                </w:rPr>
                <m:t>Total net cash outflows over the next 30 calendar days</m:t>
              </m:r>
            </m:den>
          </m:f>
          <m:r>
            <w:rPr>
              <w:rFonts w:ascii="Cambria Math" w:eastAsiaTheme="minorEastAsia" w:hAnsi="Cambria Math" w:cs="Times New Roman"/>
              <w:color w:val="000000" w:themeColor="text1"/>
              <w:sz w:val="24"/>
              <w:szCs w:val="24"/>
            </w:rPr>
            <m:t>≥100%</m:t>
          </m:r>
        </m:oMath>
      </m:oMathPara>
    </w:p>
    <w:p w14:paraId="1B1555BC" w14:textId="11E89A35" w:rsidR="009F6913" w:rsidRPr="003B1D8D" w:rsidRDefault="00017119" w:rsidP="003C25EB">
      <w:pPr>
        <w:rPr>
          <w:rFonts w:ascii="Times New Roman" w:hAnsi="Times New Roman" w:cs="Times New Roman"/>
          <w:color w:val="000000" w:themeColor="text1"/>
          <w:sz w:val="24"/>
          <w:szCs w:val="24"/>
        </w:rPr>
      </w:pPr>
      <w:r w:rsidRPr="003B1D8D">
        <w:rPr>
          <w:rFonts w:ascii="Times New Roman" w:hAnsi="Times New Roman" w:cs="Times New Roman"/>
          <w:color w:val="000000" w:themeColor="text1"/>
          <w:sz w:val="24"/>
          <w:szCs w:val="24"/>
        </w:rPr>
        <w:t xml:space="preserve">HQLA </w:t>
      </w:r>
      <w:r w:rsidR="00986C12" w:rsidRPr="003B1D8D">
        <w:rPr>
          <w:rFonts w:ascii="Times New Roman" w:hAnsi="Times New Roman" w:cs="Times New Roman"/>
          <w:color w:val="000000" w:themeColor="text1"/>
          <w:sz w:val="24"/>
          <w:szCs w:val="24"/>
        </w:rPr>
        <w:t xml:space="preserve">includes </w:t>
      </w:r>
      <w:r w:rsidR="002D27EB" w:rsidRPr="003B1D8D">
        <w:rPr>
          <w:rFonts w:ascii="Times New Roman" w:hAnsi="Times New Roman" w:cs="Times New Roman"/>
          <w:color w:val="000000" w:themeColor="text1"/>
          <w:sz w:val="24"/>
          <w:szCs w:val="24"/>
        </w:rPr>
        <w:t>assets with high potential to be covered into cash</w:t>
      </w:r>
      <w:r w:rsidR="00CB6218" w:rsidRPr="003B1D8D">
        <w:rPr>
          <w:rFonts w:ascii="Times New Roman" w:hAnsi="Times New Roman" w:cs="Times New Roman"/>
          <w:color w:val="000000" w:themeColor="text1"/>
          <w:sz w:val="24"/>
          <w:szCs w:val="24"/>
        </w:rPr>
        <w:t xml:space="preserve"> and it </w:t>
      </w:r>
      <w:r w:rsidRPr="003B1D8D">
        <w:rPr>
          <w:rFonts w:ascii="Times New Roman" w:hAnsi="Times New Roman" w:cs="Times New Roman"/>
          <w:color w:val="000000" w:themeColor="text1"/>
          <w:sz w:val="24"/>
          <w:szCs w:val="24"/>
        </w:rPr>
        <w:t xml:space="preserve">consists of two </w:t>
      </w:r>
      <w:r w:rsidR="0024228D" w:rsidRPr="003B1D8D">
        <w:rPr>
          <w:rFonts w:ascii="Times New Roman" w:hAnsi="Times New Roman" w:cs="Times New Roman"/>
          <w:color w:val="000000" w:themeColor="text1"/>
          <w:sz w:val="24"/>
          <w:szCs w:val="24"/>
        </w:rPr>
        <w:t xml:space="preserve">categories of assets: </w:t>
      </w:r>
    </w:p>
    <w:p w14:paraId="15F775B9" w14:textId="0FBA99A9" w:rsidR="00383C88" w:rsidRPr="003B1D8D" w:rsidRDefault="001569D8" w:rsidP="003C25EB">
      <w:pPr>
        <w:pStyle w:val="ListParagraph"/>
        <w:numPr>
          <w:ilvl w:val="0"/>
          <w:numId w:val="1"/>
        </w:numPr>
        <w:rPr>
          <w:rFonts w:ascii="Times New Roman" w:hAnsi="Times New Roman" w:cs="Times New Roman"/>
          <w:color w:val="000000" w:themeColor="text1"/>
          <w:sz w:val="24"/>
          <w:szCs w:val="24"/>
        </w:rPr>
      </w:pPr>
      <w:r w:rsidRPr="002F5200">
        <w:rPr>
          <w:rFonts w:ascii="Times New Roman" w:hAnsi="Times New Roman" w:cs="Times New Roman"/>
          <w:color w:val="000000" w:themeColor="text1"/>
          <w:sz w:val="24"/>
          <w:szCs w:val="24"/>
        </w:rPr>
        <w:t>Level 1 assets:</w:t>
      </w:r>
      <w:r w:rsidRPr="003B1D8D">
        <w:rPr>
          <w:rFonts w:ascii="Times New Roman" w:hAnsi="Times New Roman" w:cs="Times New Roman"/>
          <w:color w:val="000000" w:themeColor="text1"/>
          <w:sz w:val="24"/>
          <w:szCs w:val="24"/>
        </w:rPr>
        <w:t xml:space="preserve"> </w:t>
      </w:r>
      <w:r w:rsidR="0067104F" w:rsidRPr="003B1D8D">
        <w:rPr>
          <w:rFonts w:ascii="Times New Roman" w:hAnsi="Times New Roman" w:cs="Times New Roman"/>
          <w:color w:val="000000" w:themeColor="text1"/>
          <w:sz w:val="24"/>
          <w:szCs w:val="24"/>
        </w:rPr>
        <w:t xml:space="preserve">cash </w:t>
      </w:r>
      <w:r w:rsidR="0050588E" w:rsidRPr="003B1D8D">
        <w:rPr>
          <w:rFonts w:ascii="Times New Roman" w:hAnsi="Times New Roman" w:cs="Times New Roman"/>
          <w:color w:val="000000" w:themeColor="text1"/>
          <w:sz w:val="24"/>
          <w:szCs w:val="24"/>
        </w:rPr>
        <w:t>and other assets</w:t>
      </w:r>
      <w:r w:rsidR="002D27EB" w:rsidRPr="003B1D8D">
        <w:rPr>
          <w:rFonts w:ascii="Times New Roman" w:hAnsi="Times New Roman" w:cs="Times New Roman"/>
          <w:color w:val="000000" w:themeColor="text1"/>
          <w:sz w:val="24"/>
          <w:szCs w:val="24"/>
        </w:rPr>
        <w:t xml:space="preserve"> with </w:t>
      </w:r>
      <w:r w:rsidR="003A4868">
        <w:rPr>
          <w:rFonts w:ascii="Times New Roman" w:hAnsi="Times New Roman" w:cs="Times New Roman"/>
          <w:color w:val="000000" w:themeColor="text1"/>
          <w:sz w:val="24"/>
          <w:szCs w:val="24"/>
        </w:rPr>
        <w:t xml:space="preserve">the </w:t>
      </w:r>
      <w:r w:rsidR="002D27EB" w:rsidRPr="003B1D8D">
        <w:rPr>
          <w:rFonts w:ascii="Times New Roman" w:hAnsi="Times New Roman" w:cs="Times New Roman"/>
          <w:color w:val="000000" w:themeColor="text1"/>
          <w:sz w:val="24"/>
          <w:szCs w:val="24"/>
        </w:rPr>
        <w:t xml:space="preserve">highest </w:t>
      </w:r>
      <w:r w:rsidR="00383C88" w:rsidRPr="003B1D8D">
        <w:rPr>
          <w:rFonts w:ascii="Times New Roman" w:hAnsi="Times New Roman" w:cs="Times New Roman"/>
          <w:color w:val="000000" w:themeColor="text1"/>
          <w:sz w:val="24"/>
          <w:szCs w:val="24"/>
        </w:rPr>
        <w:t xml:space="preserve">potential to be covered into cash in a stressed </w:t>
      </w:r>
      <w:r w:rsidR="00976AF9" w:rsidRPr="003B1D8D">
        <w:rPr>
          <w:rFonts w:ascii="Times New Roman" w:hAnsi="Times New Roman" w:cs="Times New Roman"/>
          <w:color w:val="000000" w:themeColor="text1"/>
          <w:sz w:val="24"/>
          <w:szCs w:val="24"/>
        </w:rPr>
        <w:t>situation</w:t>
      </w:r>
      <w:r w:rsidR="00383C88" w:rsidRPr="003B1D8D">
        <w:rPr>
          <w:rFonts w:ascii="Times New Roman" w:hAnsi="Times New Roman" w:cs="Times New Roman"/>
          <w:color w:val="000000" w:themeColor="text1"/>
          <w:sz w:val="24"/>
          <w:szCs w:val="24"/>
        </w:rPr>
        <w:t xml:space="preserve">. </w:t>
      </w:r>
      <w:r w:rsidR="00F6293A" w:rsidRPr="003B1D8D">
        <w:rPr>
          <w:rFonts w:ascii="Times New Roman" w:hAnsi="Times New Roman" w:cs="Times New Roman"/>
          <w:color w:val="000000" w:themeColor="text1"/>
          <w:sz w:val="24"/>
          <w:szCs w:val="24"/>
        </w:rPr>
        <w:t xml:space="preserve">These assets are not discounted when calculating the </w:t>
      </w:r>
      <w:r w:rsidR="00553312" w:rsidRPr="003B1D8D">
        <w:rPr>
          <w:rFonts w:ascii="Times New Roman" w:hAnsi="Times New Roman" w:cs="Times New Roman"/>
          <w:color w:val="000000" w:themeColor="text1"/>
          <w:sz w:val="24"/>
          <w:szCs w:val="24"/>
        </w:rPr>
        <w:t xml:space="preserve">LCR. </w:t>
      </w:r>
    </w:p>
    <w:p w14:paraId="09E1E2A3" w14:textId="2BE3B26B" w:rsidR="001569D8" w:rsidRPr="003B1D8D" w:rsidRDefault="00AB07A3" w:rsidP="003C25EB">
      <w:pPr>
        <w:pStyle w:val="ListParagraph"/>
        <w:numPr>
          <w:ilvl w:val="0"/>
          <w:numId w:val="1"/>
        </w:numPr>
        <w:rPr>
          <w:rFonts w:ascii="Times New Roman" w:hAnsi="Times New Roman" w:cs="Times New Roman"/>
          <w:color w:val="000000" w:themeColor="text1"/>
          <w:sz w:val="24"/>
          <w:szCs w:val="24"/>
        </w:rPr>
      </w:pPr>
      <w:r w:rsidRPr="002F5200">
        <w:rPr>
          <w:rFonts w:ascii="Times New Roman" w:hAnsi="Times New Roman" w:cs="Times New Roman"/>
          <w:color w:val="000000" w:themeColor="text1"/>
          <w:sz w:val="24"/>
          <w:szCs w:val="24"/>
        </w:rPr>
        <w:t>Level 2 assets</w:t>
      </w:r>
      <w:r w:rsidRPr="003B1D8D">
        <w:rPr>
          <w:rFonts w:ascii="Times New Roman" w:hAnsi="Times New Roman" w:cs="Times New Roman"/>
          <w:color w:val="000000" w:themeColor="text1"/>
          <w:sz w:val="24"/>
          <w:szCs w:val="24"/>
        </w:rPr>
        <w:t>:</w:t>
      </w:r>
      <w:r w:rsidR="00DE72BB">
        <w:rPr>
          <w:rFonts w:ascii="Times New Roman" w:hAnsi="Times New Roman" w:cs="Times New Roman"/>
          <w:color w:val="000000" w:themeColor="text1"/>
          <w:sz w:val="24"/>
          <w:szCs w:val="24"/>
        </w:rPr>
        <w:t xml:space="preserve"> </w:t>
      </w:r>
      <w:r w:rsidR="006F254E" w:rsidRPr="003B1D8D">
        <w:rPr>
          <w:rFonts w:ascii="Times New Roman" w:hAnsi="Times New Roman" w:cs="Times New Roman"/>
          <w:color w:val="000000" w:themeColor="text1"/>
          <w:sz w:val="24"/>
          <w:szCs w:val="24"/>
        </w:rPr>
        <w:t xml:space="preserve">assets such as </w:t>
      </w:r>
      <w:r w:rsidRPr="003B1D8D">
        <w:rPr>
          <w:rFonts w:ascii="Times New Roman" w:hAnsi="Times New Roman" w:cs="Times New Roman"/>
          <w:color w:val="000000" w:themeColor="text1"/>
          <w:sz w:val="24"/>
          <w:szCs w:val="24"/>
        </w:rPr>
        <w:t>co</w:t>
      </w:r>
      <w:r w:rsidR="00797E56" w:rsidRPr="003B1D8D">
        <w:rPr>
          <w:rFonts w:ascii="Times New Roman" w:hAnsi="Times New Roman" w:cs="Times New Roman"/>
          <w:color w:val="000000" w:themeColor="text1"/>
          <w:sz w:val="24"/>
          <w:szCs w:val="24"/>
        </w:rPr>
        <w:t>vered bonds, low-risk corporate bonds</w:t>
      </w:r>
      <w:r w:rsidR="006F254E" w:rsidRPr="003B1D8D">
        <w:rPr>
          <w:rFonts w:ascii="Times New Roman" w:hAnsi="Times New Roman" w:cs="Times New Roman"/>
          <w:color w:val="000000" w:themeColor="text1"/>
          <w:sz w:val="24"/>
          <w:szCs w:val="24"/>
        </w:rPr>
        <w:t xml:space="preserve"> that </w:t>
      </w:r>
      <w:r w:rsidR="00976AF9" w:rsidRPr="003B1D8D">
        <w:rPr>
          <w:rFonts w:ascii="Times New Roman" w:hAnsi="Times New Roman" w:cs="Times New Roman"/>
          <w:color w:val="000000" w:themeColor="text1"/>
          <w:sz w:val="24"/>
          <w:szCs w:val="24"/>
        </w:rPr>
        <w:t xml:space="preserve">in a stressed condition </w:t>
      </w:r>
      <w:r w:rsidR="00D36900" w:rsidRPr="003B1D8D">
        <w:rPr>
          <w:rFonts w:ascii="Times New Roman" w:hAnsi="Times New Roman" w:cs="Times New Roman"/>
          <w:color w:val="000000" w:themeColor="text1"/>
          <w:sz w:val="24"/>
          <w:szCs w:val="24"/>
        </w:rPr>
        <w:t xml:space="preserve">they </w:t>
      </w:r>
      <w:r w:rsidR="00696636" w:rsidRPr="003B1D8D">
        <w:rPr>
          <w:rFonts w:ascii="Times New Roman" w:hAnsi="Times New Roman" w:cs="Times New Roman"/>
          <w:color w:val="000000" w:themeColor="text1"/>
          <w:sz w:val="24"/>
          <w:szCs w:val="24"/>
        </w:rPr>
        <w:t>probable obtain nearly their full value</w:t>
      </w:r>
      <w:r w:rsidR="00D36900" w:rsidRPr="003B1D8D">
        <w:rPr>
          <w:rFonts w:ascii="Times New Roman" w:hAnsi="Times New Roman" w:cs="Times New Roman"/>
          <w:color w:val="000000" w:themeColor="text1"/>
          <w:sz w:val="24"/>
          <w:szCs w:val="24"/>
        </w:rPr>
        <w:t xml:space="preserve">. </w:t>
      </w:r>
      <w:r w:rsidR="003B6763" w:rsidRPr="003B1D8D">
        <w:rPr>
          <w:rFonts w:ascii="Times New Roman" w:hAnsi="Times New Roman" w:cs="Times New Roman"/>
          <w:color w:val="000000" w:themeColor="text1"/>
          <w:sz w:val="24"/>
          <w:szCs w:val="24"/>
        </w:rPr>
        <w:t xml:space="preserve">It is </w:t>
      </w:r>
      <w:r w:rsidR="00EE502E" w:rsidRPr="003B1D8D">
        <w:rPr>
          <w:rFonts w:ascii="Times New Roman" w:hAnsi="Times New Roman" w:cs="Times New Roman"/>
          <w:color w:val="000000" w:themeColor="text1"/>
          <w:sz w:val="24"/>
          <w:szCs w:val="24"/>
        </w:rPr>
        <w:t xml:space="preserve">composed by Level 2A and level 2B. </w:t>
      </w:r>
      <w:r w:rsidR="00AD33A5" w:rsidRPr="003B1D8D">
        <w:rPr>
          <w:rFonts w:ascii="Times New Roman" w:hAnsi="Times New Roman" w:cs="Times New Roman"/>
          <w:color w:val="000000" w:themeColor="text1"/>
          <w:sz w:val="24"/>
          <w:szCs w:val="24"/>
        </w:rPr>
        <w:t>When ca</w:t>
      </w:r>
      <w:r w:rsidR="0012235E" w:rsidRPr="003B1D8D">
        <w:rPr>
          <w:rFonts w:ascii="Times New Roman" w:hAnsi="Times New Roman" w:cs="Times New Roman"/>
          <w:color w:val="000000" w:themeColor="text1"/>
          <w:sz w:val="24"/>
          <w:szCs w:val="24"/>
        </w:rPr>
        <w:t xml:space="preserve">lculating the LCR, these assets can have </w:t>
      </w:r>
      <w:r w:rsidR="006D7FE5" w:rsidRPr="003B1D8D">
        <w:rPr>
          <w:rFonts w:ascii="Times New Roman" w:hAnsi="Times New Roman" w:cs="Times New Roman"/>
          <w:color w:val="000000" w:themeColor="text1"/>
          <w:sz w:val="24"/>
          <w:szCs w:val="24"/>
        </w:rPr>
        <w:t>maximum 40% discount</w:t>
      </w:r>
      <w:r w:rsidR="00BF1A43" w:rsidRPr="003B1D8D">
        <w:rPr>
          <w:rFonts w:ascii="Times New Roman" w:hAnsi="Times New Roman" w:cs="Times New Roman"/>
          <w:color w:val="000000" w:themeColor="text1"/>
          <w:sz w:val="24"/>
          <w:szCs w:val="24"/>
        </w:rPr>
        <w:t xml:space="preserve"> (</w:t>
      </w:r>
      <w:r w:rsidR="007358EE">
        <w:rPr>
          <w:rFonts w:ascii="Times New Roman" w:hAnsi="Times New Roman" w:cs="Times New Roman"/>
          <w:color w:val="000000" w:themeColor="text1"/>
          <w:sz w:val="24"/>
          <w:szCs w:val="24"/>
        </w:rPr>
        <w:t xml:space="preserve">Basel </w:t>
      </w:r>
      <w:r w:rsidR="002F5200">
        <w:rPr>
          <w:rFonts w:ascii="Times New Roman" w:hAnsi="Times New Roman" w:cs="Times New Roman"/>
          <w:color w:val="000000" w:themeColor="text1"/>
          <w:sz w:val="24"/>
          <w:szCs w:val="24"/>
        </w:rPr>
        <w:t>committee</w:t>
      </w:r>
      <w:r w:rsidR="00BF1A43" w:rsidRPr="003B1D8D">
        <w:rPr>
          <w:rFonts w:ascii="Times New Roman" w:hAnsi="Times New Roman" w:cs="Times New Roman"/>
          <w:color w:val="000000" w:themeColor="text1"/>
          <w:sz w:val="24"/>
          <w:szCs w:val="24"/>
        </w:rPr>
        <w:t>, 2013)</w:t>
      </w:r>
      <w:r w:rsidR="00481197">
        <w:rPr>
          <w:rFonts w:ascii="Times New Roman" w:hAnsi="Times New Roman" w:cs="Times New Roman"/>
          <w:color w:val="000000" w:themeColor="text1"/>
          <w:sz w:val="24"/>
          <w:szCs w:val="24"/>
        </w:rPr>
        <w:t>.</w:t>
      </w:r>
    </w:p>
    <w:p w14:paraId="757B7A00" w14:textId="46154D1C" w:rsidR="00194329" w:rsidRDefault="001C38C5" w:rsidP="003C25EB">
      <w:pPr>
        <w:rPr>
          <w:color w:val="000000" w:themeColor="text1"/>
        </w:rPr>
      </w:pPr>
      <w:r w:rsidRPr="005016C1">
        <w:rPr>
          <w:rFonts w:ascii="Times New Roman" w:hAnsi="Times New Roman" w:cs="Times New Roman"/>
          <w:color w:val="000000" w:themeColor="text1"/>
          <w:sz w:val="24"/>
          <w:szCs w:val="24"/>
        </w:rPr>
        <w:t>The denominator of LCR is calculated as follows</w:t>
      </w:r>
      <w:r w:rsidR="00877057">
        <w:rPr>
          <w:color w:val="000000" w:themeColor="text1"/>
        </w:rPr>
        <w:t>:</w:t>
      </w:r>
    </w:p>
    <w:p w14:paraId="061C4E9F" w14:textId="07ECD240" w:rsidR="001C38C5" w:rsidRPr="00481197" w:rsidRDefault="00D9317E" w:rsidP="003C25EB">
      <w:pPr>
        <w:rPr>
          <w:rFonts w:eastAsiaTheme="minorEastAsia"/>
          <w:color w:val="000000" w:themeColor="text1"/>
          <w:sz w:val="24"/>
          <w:szCs w:val="24"/>
        </w:rPr>
      </w:pPr>
      <m:oMathPara>
        <m:oMath>
          <m:r>
            <w:rPr>
              <w:rFonts w:ascii="Cambria Math" w:eastAsiaTheme="minorEastAsia" w:hAnsi="Cambria Math"/>
              <w:color w:val="000000" w:themeColor="text1"/>
              <w:sz w:val="24"/>
              <w:szCs w:val="24"/>
            </w:rPr>
            <m:t xml:space="preserve">Total net cash outflows over the next 30 calendar days=Total expected cash outflows-Min {expected cash inflows;75% of total expected cash outflows} </m:t>
          </m:r>
        </m:oMath>
      </m:oMathPara>
    </w:p>
    <w:p w14:paraId="33BC855D" w14:textId="52E1EBC9" w:rsidR="00A9693C" w:rsidRPr="00481197" w:rsidRDefault="00C873AF" w:rsidP="00481197">
      <w:pPr>
        <w:rPr>
          <w:rFonts w:ascii="Times New Roman" w:hAnsi="Times New Roman" w:cs="Times New Roman"/>
          <w:color w:val="000000" w:themeColor="text1"/>
          <w:sz w:val="24"/>
          <w:szCs w:val="24"/>
        </w:rPr>
      </w:pPr>
      <w:r w:rsidRPr="00481197">
        <w:rPr>
          <w:rFonts w:ascii="Times New Roman" w:hAnsi="Times New Roman" w:cs="Times New Roman"/>
          <w:color w:val="000000" w:themeColor="text1"/>
          <w:sz w:val="24"/>
          <w:szCs w:val="24"/>
        </w:rPr>
        <w:t xml:space="preserve">Lloyds has not published </w:t>
      </w:r>
      <w:r w:rsidR="00925670" w:rsidRPr="00481197">
        <w:rPr>
          <w:rFonts w:ascii="Times New Roman" w:hAnsi="Times New Roman" w:cs="Times New Roman"/>
          <w:color w:val="000000" w:themeColor="text1"/>
          <w:sz w:val="24"/>
          <w:szCs w:val="24"/>
        </w:rPr>
        <w:t xml:space="preserve">LCR until 2017; in order to understand </w:t>
      </w:r>
      <w:r w:rsidR="00B00187" w:rsidRPr="00481197">
        <w:rPr>
          <w:rFonts w:ascii="Times New Roman" w:hAnsi="Times New Roman" w:cs="Times New Roman"/>
          <w:color w:val="000000" w:themeColor="text1"/>
          <w:sz w:val="24"/>
          <w:szCs w:val="24"/>
        </w:rPr>
        <w:t xml:space="preserve">its liquidity level, loan to debt ratio </w:t>
      </w:r>
      <w:r w:rsidR="00512917" w:rsidRPr="00481197">
        <w:rPr>
          <w:rFonts w:ascii="Times New Roman" w:hAnsi="Times New Roman" w:cs="Times New Roman"/>
          <w:color w:val="000000" w:themeColor="text1"/>
          <w:sz w:val="24"/>
          <w:szCs w:val="24"/>
        </w:rPr>
        <w:t>(LDR</w:t>
      </w:r>
      <w:r w:rsidR="000A46B9" w:rsidRPr="00481197">
        <w:rPr>
          <w:rFonts w:ascii="Times New Roman" w:hAnsi="Times New Roman" w:cs="Times New Roman"/>
          <w:color w:val="000000" w:themeColor="text1"/>
          <w:sz w:val="24"/>
          <w:szCs w:val="24"/>
        </w:rPr>
        <w:t xml:space="preserve">) </w:t>
      </w:r>
      <w:r w:rsidR="00E47FC4" w:rsidRPr="00481197">
        <w:rPr>
          <w:rFonts w:ascii="Times New Roman" w:hAnsi="Times New Roman" w:cs="Times New Roman"/>
          <w:color w:val="000000" w:themeColor="text1"/>
          <w:sz w:val="24"/>
          <w:szCs w:val="24"/>
        </w:rPr>
        <w:t>– will</w:t>
      </w:r>
      <w:r w:rsidR="00B00187" w:rsidRPr="00481197">
        <w:rPr>
          <w:rFonts w:ascii="Times New Roman" w:hAnsi="Times New Roman" w:cs="Times New Roman"/>
          <w:color w:val="000000" w:themeColor="text1"/>
          <w:sz w:val="24"/>
          <w:szCs w:val="24"/>
        </w:rPr>
        <w:t xml:space="preserve"> be analysed</w:t>
      </w:r>
      <w:r w:rsidR="00B71B50" w:rsidRPr="00481197">
        <w:rPr>
          <w:rFonts w:ascii="Times New Roman" w:hAnsi="Times New Roman" w:cs="Times New Roman"/>
          <w:color w:val="000000" w:themeColor="text1"/>
          <w:sz w:val="24"/>
          <w:szCs w:val="24"/>
        </w:rPr>
        <w:t xml:space="preserve"> – which</w:t>
      </w:r>
      <w:r w:rsidR="00122A49" w:rsidRPr="00481197">
        <w:rPr>
          <w:rFonts w:ascii="Times New Roman" w:hAnsi="Times New Roman" w:cs="Times New Roman"/>
          <w:color w:val="000000" w:themeColor="text1"/>
          <w:sz w:val="24"/>
          <w:szCs w:val="24"/>
        </w:rPr>
        <w:t xml:space="preserve"> </w:t>
      </w:r>
      <w:r w:rsidR="000E2B9F" w:rsidRPr="00481197">
        <w:rPr>
          <w:rFonts w:ascii="Times New Roman" w:hAnsi="Times New Roman" w:cs="Times New Roman"/>
          <w:color w:val="000000" w:themeColor="text1"/>
          <w:sz w:val="24"/>
          <w:szCs w:val="24"/>
        </w:rPr>
        <w:t>measure</w:t>
      </w:r>
      <w:r w:rsidR="005A62AA" w:rsidRPr="00481197">
        <w:rPr>
          <w:rFonts w:ascii="Times New Roman" w:hAnsi="Times New Roman" w:cs="Times New Roman"/>
          <w:color w:val="000000" w:themeColor="text1"/>
          <w:sz w:val="24"/>
          <w:szCs w:val="24"/>
        </w:rPr>
        <w:t xml:space="preserve"> a bank’s ability to</w:t>
      </w:r>
      <w:r w:rsidR="000E2B9F" w:rsidRPr="00481197">
        <w:rPr>
          <w:rFonts w:ascii="Times New Roman" w:hAnsi="Times New Roman" w:cs="Times New Roman"/>
          <w:color w:val="000000" w:themeColor="text1"/>
          <w:sz w:val="24"/>
          <w:szCs w:val="24"/>
        </w:rPr>
        <w:t xml:space="preserve"> </w:t>
      </w:r>
      <w:r w:rsidR="0035636C" w:rsidRPr="00481197">
        <w:rPr>
          <w:rFonts w:ascii="Times New Roman" w:hAnsi="Times New Roman" w:cs="Times New Roman"/>
          <w:color w:val="000000" w:themeColor="text1"/>
          <w:sz w:val="24"/>
          <w:szCs w:val="24"/>
        </w:rPr>
        <w:t xml:space="preserve">cover </w:t>
      </w:r>
      <w:r w:rsidR="00160A1E" w:rsidRPr="00481197">
        <w:rPr>
          <w:rFonts w:ascii="Times New Roman" w:hAnsi="Times New Roman" w:cs="Times New Roman"/>
          <w:color w:val="000000" w:themeColor="text1"/>
          <w:sz w:val="24"/>
          <w:szCs w:val="24"/>
        </w:rPr>
        <w:t>withdra</w:t>
      </w:r>
      <w:r w:rsidR="00FA0646" w:rsidRPr="00481197">
        <w:rPr>
          <w:rFonts w:ascii="Times New Roman" w:hAnsi="Times New Roman" w:cs="Times New Roman"/>
          <w:color w:val="000000" w:themeColor="text1"/>
          <w:sz w:val="24"/>
          <w:szCs w:val="24"/>
        </w:rPr>
        <w:t xml:space="preserve">wals and loan losses by its clients. </w:t>
      </w:r>
    </w:p>
    <w:p w14:paraId="1EE32BE9" w14:textId="265252EA" w:rsidR="003E2140" w:rsidRDefault="003E2140" w:rsidP="00481197">
      <w:pPr>
        <w:rPr>
          <w:rFonts w:ascii="Times New Roman" w:eastAsiaTheme="minorEastAsia" w:hAnsi="Times New Roman" w:cs="Times New Roman"/>
          <w:color w:val="000000" w:themeColor="text1"/>
          <w:sz w:val="24"/>
          <w:szCs w:val="24"/>
        </w:rPr>
      </w:pPr>
      <w:r w:rsidRPr="00481197">
        <w:rPr>
          <w:rFonts w:ascii="Times New Roman" w:eastAsiaTheme="minorEastAsia" w:hAnsi="Times New Roman" w:cs="Times New Roman"/>
          <w:color w:val="000000" w:themeColor="text1"/>
          <w:sz w:val="24"/>
          <w:szCs w:val="24"/>
        </w:rPr>
        <w:lastRenderedPageBreak/>
        <w:t xml:space="preserve">Table 2 </w:t>
      </w:r>
      <w:r w:rsidR="00A76FA3">
        <w:rPr>
          <w:rFonts w:ascii="Times New Roman" w:eastAsiaTheme="minorEastAsia" w:hAnsi="Times New Roman" w:cs="Times New Roman"/>
          <w:color w:val="000000" w:themeColor="text1"/>
          <w:sz w:val="24"/>
          <w:szCs w:val="24"/>
        </w:rPr>
        <w:t xml:space="preserve">and figure 2 </w:t>
      </w:r>
      <w:r w:rsidRPr="00481197">
        <w:rPr>
          <w:rFonts w:ascii="Times New Roman" w:eastAsiaTheme="minorEastAsia" w:hAnsi="Times New Roman" w:cs="Times New Roman"/>
          <w:color w:val="000000" w:themeColor="text1"/>
          <w:sz w:val="24"/>
          <w:szCs w:val="24"/>
        </w:rPr>
        <w:t xml:space="preserve">show LDR and LCR of Lloyds and Barclays. </w:t>
      </w:r>
    </w:p>
    <w:p w14:paraId="444EDC67" w14:textId="77777777" w:rsidR="00481197" w:rsidRPr="00481197" w:rsidRDefault="00481197" w:rsidP="00481197">
      <w:pPr>
        <w:rPr>
          <w:rFonts w:ascii="Times New Roman" w:hAnsi="Times New Roman" w:cs="Times New Roman"/>
          <w:color w:val="000000" w:themeColor="text1"/>
          <w:sz w:val="24"/>
          <w:szCs w:val="24"/>
        </w:rPr>
      </w:pPr>
    </w:p>
    <w:p w14:paraId="0C185EEB" w14:textId="77FD2949" w:rsidR="003E2140" w:rsidRDefault="003E2140" w:rsidP="003E2140">
      <w:pPr>
        <w:pStyle w:val="Caption"/>
        <w:keepNext/>
      </w:pPr>
      <w:r>
        <w:t xml:space="preserve">Table </w:t>
      </w:r>
      <w:fldSimple w:instr=" SEQ Table \* ARABIC ">
        <w:r w:rsidR="007170AC">
          <w:rPr>
            <w:noProof/>
          </w:rPr>
          <w:t>2</w:t>
        </w:r>
      </w:fldSimple>
      <w:r w:rsidRPr="00BA36F8">
        <w:t xml:space="preserve">: Loan to deposit ratio and Liquidity coverage ratio - Lloyds </w:t>
      </w:r>
      <w:r>
        <w:t>(2014 – 2018) and</w:t>
      </w:r>
      <w:r w:rsidRPr="00BA36F8">
        <w:t xml:space="preserve"> Barclays</w:t>
      </w:r>
      <w:r>
        <w:t xml:space="preserve"> (2018).</w:t>
      </w:r>
    </w:p>
    <w:tbl>
      <w:tblPr>
        <w:tblStyle w:val="TableGrid"/>
        <w:tblW w:w="0" w:type="auto"/>
        <w:tblInd w:w="-431" w:type="dxa"/>
        <w:tblLook w:val="04A0" w:firstRow="1" w:lastRow="0" w:firstColumn="1" w:lastColumn="0" w:noHBand="0" w:noVBand="1"/>
      </w:tblPr>
      <w:tblGrid>
        <w:gridCol w:w="1806"/>
        <w:gridCol w:w="1375"/>
        <w:gridCol w:w="1375"/>
        <w:gridCol w:w="1375"/>
        <w:gridCol w:w="1376"/>
        <w:gridCol w:w="1376"/>
        <w:gridCol w:w="1376"/>
      </w:tblGrid>
      <w:tr w:rsidR="003E2140" w14:paraId="694B33BD" w14:textId="77777777" w:rsidTr="005016C1">
        <w:tc>
          <w:tcPr>
            <w:tcW w:w="1806" w:type="dxa"/>
          </w:tcPr>
          <w:p w14:paraId="1DFE059C" w14:textId="77777777" w:rsidR="003E2140" w:rsidRPr="005016C1" w:rsidRDefault="003E2140" w:rsidP="000F169C">
            <w:pPr>
              <w:jc w:val="center"/>
              <w:rPr>
                <w:i/>
                <w:sz w:val="24"/>
                <w:szCs w:val="24"/>
              </w:rPr>
            </w:pPr>
            <w:r w:rsidRPr="005016C1">
              <w:rPr>
                <w:i/>
                <w:sz w:val="24"/>
                <w:szCs w:val="24"/>
              </w:rPr>
              <w:t>Lloyds</w:t>
            </w:r>
          </w:p>
        </w:tc>
        <w:tc>
          <w:tcPr>
            <w:tcW w:w="1375" w:type="dxa"/>
          </w:tcPr>
          <w:p w14:paraId="3529F9E7" w14:textId="77777777" w:rsidR="003E2140" w:rsidRPr="005016C1" w:rsidRDefault="003E2140" w:rsidP="000F169C">
            <w:pPr>
              <w:jc w:val="center"/>
              <w:rPr>
                <w:i/>
                <w:sz w:val="24"/>
                <w:szCs w:val="24"/>
              </w:rPr>
            </w:pPr>
            <w:r w:rsidRPr="005016C1">
              <w:rPr>
                <w:i/>
                <w:sz w:val="24"/>
                <w:szCs w:val="24"/>
              </w:rPr>
              <w:t>2014</w:t>
            </w:r>
          </w:p>
        </w:tc>
        <w:tc>
          <w:tcPr>
            <w:tcW w:w="1375" w:type="dxa"/>
          </w:tcPr>
          <w:p w14:paraId="2664F0A8" w14:textId="77777777" w:rsidR="003E2140" w:rsidRPr="005016C1" w:rsidRDefault="003E2140" w:rsidP="000F169C">
            <w:pPr>
              <w:jc w:val="center"/>
              <w:rPr>
                <w:i/>
                <w:sz w:val="24"/>
                <w:szCs w:val="24"/>
              </w:rPr>
            </w:pPr>
            <w:r w:rsidRPr="005016C1">
              <w:rPr>
                <w:i/>
                <w:sz w:val="24"/>
                <w:szCs w:val="24"/>
              </w:rPr>
              <w:t>2015</w:t>
            </w:r>
          </w:p>
        </w:tc>
        <w:tc>
          <w:tcPr>
            <w:tcW w:w="1375" w:type="dxa"/>
          </w:tcPr>
          <w:p w14:paraId="0971196D" w14:textId="77777777" w:rsidR="003E2140" w:rsidRPr="005016C1" w:rsidRDefault="003E2140" w:rsidP="000F169C">
            <w:pPr>
              <w:jc w:val="center"/>
              <w:rPr>
                <w:i/>
                <w:sz w:val="24"/>
                <w:szCs w:val="24"/>
              </w:rPr>
            </w:pPr>
            <w:r w:rsidRPr="005016C1">
              <w:rPr>
                <w:i/>
                <w:sz w:val="24"/>
                <w:szCs w:val="24"/>
              </w:rPr>
              <w:t>2016</w:t>
            </w:r>
          </w:p>
        </w:tc>
        <w:tc>
          <w:tcPr>
            <w:tcW w:w="1376" w:type="dxa"/>
          </w:tcPr>
          <w:p w14:paraId="52E92D82" w14:textId="77777777" w:rsidR="003E2140" w:rsidRPr="005016C1" w:rsidRDefault="003E2140" w:rsidP="000F169C">
            <w:pPr>
              <w:jc w:val="center"/>
              <w:rPr>
                <w:i/>
                <w:sz w:val="24"/>
                <w:szCs w:val="24"/>
              </w:rPr>
            </w:pPr>
            <w:r w:rsidRPr="005016C1">
              <w:rPr>
                <w:i/>
                <w:sz w:val="24"/>
                <w:szCs w:val="24"/>
              </w:rPr>
              <w:t>2017</w:t>
            </w:r>
          </w:p>
        </w:tc>
        <w:tc>
          <w:tcPr>
            <w:tcW w:w="1376" w:type="dxa"/>
          </w:tcPr>
          <w:p w14:paraId="5683B5EF" w14:textId="77777777" w:rsidR="003E2140" w:rsidRPr="005016C1" w:rsidRDefault="003E2140" w:rsidP="000F169C">
            <w:pPr>
              <w:jc w:val="center"/>
              <w:rPr>
                <w:i/>
                <w:sz w:val="24"/>
                <w:szCs w:val="24"/>
              </w:rPr>
            </w:pPr>
            <w:r w:rsidRPr="005016C1">
              <w:rPr>
                <w:i/>
                <w:sz w:val="24"/>
                <w:szCs w:val="24"/>
              </w:rPr>
              <w:t>2018</w:t>
            </w:r>
          </w:p>
        </w:tc>
        <w:tc>
          <w:tcPr>
            <w:tcW w:w="1376" w:type="dxa"/>
          </w:tcPr>
          <w:p w14:paraId="15E76645" w14:textId="77777777" w:rsidR="003E2140" w:rsidRPr="005016C1" w:rsidRDefault="003E2140" w:rsidP="000F169C">
            <w:pPr>
              <w:jc w:val="center"/>
              <w:rPr>
                <w:i/>
                <w:sz w:val="24"/>
                <w:szCs w:val="24"/>
              </w:rPr>
            </w:pPr>
            <w:r w:rsidRPr="005016C1">
              <w:rPr>
                <w:i/>
                <w:sz w:val="24"/>
                <w:szCs w:val="24"/>
              </w:rPr>
              <w:t>Barclays 2018</w:t>
            </w:r>
          </w:p>
        </w:tc>
      </w:tr>
      <w:tr w:rsidR="003E2140" w14:paraId="729FF4DC" w14:textId="77777777" w:rsidTr="005016C1">
        <w:tc>
          <w:tcPr>
            <w:tcW w:w="1806" w:type="dxa"/>
          </w:tcPr>
          <w:p w14:paraId="050CCF3A" w14:textId="53D09F9F" w:rsidR="003E2140" w:rsidRPr="005016C1" w:rsidRDefault="009C6248" w:rsidP="000F169C">
            <w:pPr>
              <w:jc w:val="center"/>
              <w:rPr>
                <w:i/>
                <w:sz w:val="24"/>
                <w:szCs w:val="24"/>
              </w:rPr>
            </w:pPr>
            <w:r w:rsidRPr="005016C1">
              <w:rPr>
                <w:i/>
                <w:sz w:val="24"/>
                <w:szCs w:val="24"/>
              </w:rPr>
              <w:t>LCR (%)</w:t>
            </w:r>
          </w:p>
        </w:tc>
        <w:tc>
          <w:tcPr>
            <w:tcW w:w="1375" w:type="dxa"/>
          </w:tcPr>
          <w:p w14:paraId="57769752" w14:textId="71AB52CE" w:rsidR="003E2140" w:rsidRPr="000A3E5A" w:rsidRDefault="009C6248" w:rsidP="000F169C">
            <w:pPr>
              <w:jc w:val="center"/>
            </w:pPr>
            <w:r>
              <w:t>NA</w:t>
            </w:r>
          </w:p>
        </w:tc>
        <w:tc>
          <w:tcPr>
            <w:tcW w:w="1375" w:type="dxa"/>
          </w:tcPr>
          <w:p w14:paraId="7B9807EA" w14:textId="10C5F9A2" w:rsidR="003E2140" w:rsidRPr="000A3E5A" w:rsidRDefault="009C6248" w:rsidP="000F169C">
            <w:pPr>
              <w:jc w:val="center"/>
            </w:pPr>
            <w:r>
              <w:t>NA</w:t>
            </w:r>
          </w:p>
        </w:tc>
        <w:tc>
          <w:tcPr>
            <w:tcW w:w="1375" w:type="dxa"/>
          </w:tcPr>
          <w:p w14:paraId="1274A820" w14:textId="63BD56F2" w:rsidR="003E2140" w:rsidRPr="000A3E5A" w:rsidRDefault="009C6248" w:rsidP="000F169C">
            <w:pPr>
              <w:jc w:val="center"/>
            </w:pPr>
            <w:r>
              <w:t>NA</w:t>
            </w:r>
          </w:p>
        </w:tc>
        <w:tc>
          <w:tcPr>
            <w:tcW w:w="1376" w:type="dxa"/>
          </w:tcPr>
          <w:p w14:paraId="2062A0E1" w14:textId="21D4F4C9" w:rsidR="003E2140" w:rsidRPr="000A3E5A" w:rsidRDefault="009C6248" w:rsidP="000F169C">
            <w:pPr>
              <w:jc w:val="center"/>
            </w:pPr>
            <w:r>
              <w:t>127</w:t>
            </w:r>
          </w:p>
        </w:tc>
        <w:tc>
          <w:tcPr>
            <w:tcW w:w="1376" w:type="dxa"/>
          </w:tcPr>
          <w:p w14:paraId="02C295A2" w14:textId="0F285177" w:rsidR="003E2140" w:rsidRPr="000A3E5A" w:rsidRDefault="009C6248" w:rsidP="000F169C">
            <w:pPr>
              <w:jc w:val="center"/>
            </w:pPr>
            <w:r>
              <w:t>130</w:t>
            </w:r>
          </w:p>
        </w:tc>
        <w:tc>
          <w:tcPr>
            <w:tcW w:w="1376" w:type="dxa"/>
          </w:tcPr>
          <w:p w14:paraId="7DF31CAC" w14:textId="08FA6E8E" w:rsidR="003E2140" w:rsidRPr="000A3E5A" w:rsidRDefault="009C6248" w:rsidP="000F169C">
            <w:pPr>
              <w:jc w:val="center"/>
            </w:pPr>
            <w:r>
              <w:t>153</w:t>
            </w:r>
          </w:p>
        </w:tc>
      </w:tr>
      <w:tr w:rsidR="003E2140" w14:paraId="0414D400" w14:textId="77777777" w:rsidTr="005016C1">
        <w:tc>
          <w:tcPr>
            <w:tcW w:w="1806" w:type="dxa"/>
          </w:tcPr>
          <w:p w14:paraId="7D818EEF" w14:textId="4BF2ACB2" w:rsidR="003E2140" w:rsidRPr="005016C1" w:rsidRDefault="001F59B6" w:rsidP="000F169C">
            <w:pPr>
              <w:jc w:val="center"/>
              <w:rPr>
                <w:i/>
                <w:sz w:val="24"/>
                <w:szCs w:val="24"/>
              </w:rPr>
            </w:pPr>
            <w:r w:rsidRPr="005016C1">
              <w:rPr>
                <w:i/>
                <w:sz w:val="24"/>
                <w:szCs w:val="24"/>
              </w:rPr>
              <w:t>LDR (%)</w:t>
            </w:r>
          </w:p>
        </w:tc>
        <w:tc>
          <w:tcPr>
            <w:tcW w:w="1375" w:type="dxa"/>
          </w:tcPr>
          <w:p w14:paraId="6E556021" w14:textId="14B0F3D4" w:rsidR="003E2140" w:rsidRPr="000A3E5A" w:rsidRDefault="001F59B6" w:rsidP="000F169C">
            <w:pPr>
              <w:jc w:val="center"/>
            </w:pPr>
            <w:r>
              <w:t>107</w:t>
            </w:r>
          </w:p>
        </w:tc>
        <w:tc>
          <w:tcPr>
            <w:tcW w:w="1375" w:type="dxa"/>
          </w:tcPr>
          <w:p w14:paraId="5C55D530" w14:textId="458B7061" w:rsidR="003E2140" w:rsidRPr="000A3E5A" w:rsidRDefault="001F59B6" w:rsidP="000F169C">
            <w:pPr>
              <w:jc w:val="center"/>
            </w:pPr>
            <w:r>
              <w:t>109</w:t>
            </w:r>
          </w:p>
        </w:tc>
        <w:tc>
          <w:tcPr>
            <w:tcW w:w="1375" w:type="dxa"/>
          </w:tcPr>
          <w:p w14:paraId="63E06E5F" w14:textId="3E2072E6" w:rsidR="003E2140" w:rsidRPr="000A3E5A" w:rsidRDefault="001F59B6" w:rsidP="000F169C">
            <w:pPr>
              <w:jc w:val="center"/>
            </w:pPr>
            <w:r>
              <w:t>109</w:t>
            </w:r>
          </w:p>
        </w:tc>
        <w:tc>
          <w:tcPr>
            <w:tcW w:w="1376" w:type="dxa"/>
          </w:tcPr>
          <w:p w14:paraId="33F72DD8" w14:textId="075A21EC" w:rsidR="003E2140" w:rsidRPr="000A3E5A" w:rsidRDefault="001F59B6" w:rsidP="000F169C">
            <w:pPr>
              <w:jc w:val="center"/>
            </w:pPr>
            <w:r>
              <w:t>110</w:t>
            </w:r>
          </w:p>
        </w:tc>
        <w:tc>
          <w:tcPr>
            <w:tcW w:w="1376" w:type="dxa"/>
          </w:tcPr>
          <w:p w14:paraId="2CA6908F" w14:textId="579D22C5" w:rsidR="003E2140" w:rsidRPr="000A3E5A" w:rsidRDefault="002F29E0" w:rsidP="000F169C">
            <w:pPr>
              <w:jc w:val="center"/>
            </w:pPr>
            <w:r>
              <w:t>107</w:t>
            </w:r>
          </w:p>
        </w:tc>
        <w:tc>
          <w:tcPr>
            <w:tcW w:w="1376" w:type="dxa"/>
          </w:tcPr>
          <w:p w14:paraId="0D0496AB" w14:textId="29A9CB98" w:rsidR="003E2140" w:rsidRPr="000A3E5A" w:rsidRDefault="002F29E0" w:rsidP="000F169C">
            <w:pPr>
              <w:keepNext/>
              <w:jc w:val="center"/>
            </w:pPr>
            <w:r>
              <w:t>81</w:t>
            </w:r>
          </w:p>
        </w:tc>
      </w:tr>
    </w:tbl>
    <w:p w14:paraId="1ED439F5" w14:textId="404C820C" w:rsidR="006463A1" w:rsidRDefault="003E2140" w:rsidP="006463A1">
      <w:pPr>
        <w:pStyle w:val="Caption"/>
      </w:pPr>
      <w:r>
        <w:t>Source: Annual report Lloyds Banking plc and Barclays Group plc.</w:t>
      </w:r>
      <w:r w:rsidR="006463A1">
        <w:t xml:space="preserve"> </w:t>
      </w:r>
    </w:p>
    <w:p w14:paraId="04F7C6AD" w14:textId="77777777" w:rsidR="00AF05DE" w:rsidRDefault="00AF05DE" w:rsidP="00A9693C">
      <w:pPr>
        <w:rPr>
          <w:color w:val="000000" w:themeColor="text1"/>
        </w:rPr>
      </w:pPr>
    </w:p>
    <w:p w14:paraId="1821F877" w14:textId="77777777" w:rsidR="00D44738" w:rsidRPr="00A9693C" w:rsidRDefault="008B2873" w:rsidP="00A9693C">
      <w:pPr>
        <w:rPr>
          <w:color w:val="000000" w:themeColor="text1"/>
        </w:rPr>
      </w:pPr>
      <w:r>
        <w:rPr>
          <w:noProof/>
          <w:color w:val="000000" w:themeColor="text1"/>
        </w:rPr>
        <w:drawing>
          <wp:inline distT="0" distB="0" distL="0" distR="0" wp14:anchorId="23D54F33" wp14:editId="4CF3143E">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94E4FF" w14:textId="77777777" w:rsidR="002D0DAC" w:rsidRPr="00A76FA3" w:rsidRDefault="002D0DAC" w:rsidP="002D0DAC">
      <w:pPr>
        <w:rPr>
          <w:rFonts w:ascii="Times New Roman" w:hAnsi="Times New Roman" w:cs="Times New Roman"/>
          <w:color w:val="000000" w:themeColor="text1"/>
          <w:sz w:val="24"/>
          <w:szCs w:val="24"/>
        </w:rPr>
      </w:pPr>
      <w:r w:rsidRPr="00A76FA3">
        <w:rPr>
          <w:rFonts w:ascii="Times New Roman" w:hAnsi="Times New Roman" w:cs="Times New Roman"/>
          <w:color w:val="000000" w:themeColor="text1"/>
          <w:sz w:val="24"/>
          <w:szCs w:val="24"/>
        </w:rPr>
        <w:t xml:space="preserve">Both banks have been conformed to Basel III. </w:t>
      </w:r>
    </w:p>
    <w:p w14:paraId="2FDF3949" w14:textId="77777777" w:rsidR="0024228D" w:rsidRDefault="0024228D" w:rsidP="004A491B">
      <w:pPr>
        <w:rPr>
          <w:color w:val="000000" w:themeColor="text1"/>
        </w:rPr>
      </w:pPr>
    </w:p>
    <w:p w14:paraId="164CC708" w14:textId="1B87FE9B" w:rsidR="00CD2900" w:rsidRPr="000D4A20" w:rsidRDefault="00210A55" w:rsidP="00971F0D">
      <w:pPr>
        <w:rPr>
          <w:rFonts w:ascii="Times New Roman" w:hAnsi="Times New Roman" w:cs="Times New Roman"/>
          <w:color w:val="000000" w:themeColor="text1"/>
          <w:sz w:val="24"/>
          <w:szCs w:val="24"/>
        </w:rPr>
      </w:pPr>
      <w:r w:rsidRPr="000D4A20">
        <w:rPr>
          <w:rFonts w:ascii="Times New Roman" w:hAnsi="Times New Roman" w:cs="Times New Roman"/>
          <w:color w:val="000000" w:themeColor="text1"/>
          <w:sz w:val="24"/>
          <w:szCs w:val="24"/>
        </w:rPr>
        <w:t>LCR</w:t>
      </w:r>
    </w:p>
    <w:p w14:paraId="2329CE5F" w14:textId="519F538F" w:rsidR="00856DAD" w:rsidRPr="00971F0D" w:rsidRDefault="00340CB5" w:rsidP="00971F0D">
      <w:pPr>
        <w:rPr>
          <w:rFonts w:ascii="Times New Roman" w:hAnsi="Times New Roman" w:cs="Times New Roman"/>
          <w:color w:val="000000" w:themeColor="text1"/>
          <w:sz w:val="24"/>
          <w:szCs w:val="24"/>
        </w:rPr>
      </w:pPr>
      <w:r w:rsidRPr="00971F0D">
        <w:rPr>
          <w:rFonts w:ascii="Times New Roman" w:hAnsi="Times New Roman" w:cs="Times New Roman"/>
          <w:color w:val="000000" w:themeColor="text1"/>
          <w:sz w:val="24"/>
          <w:szCs w:val="24"/>
        </w:rPr>
        <w:t xml:space="preserve">It is important to underline that the LCR </w:t>
      </w:r>
      <w:r w:rsidR="009B427D" w:rsidRPr="00971F0D">
        <w:rPr>
          <w:rFonts w:ascii="Times New Roman" w:hAnsi="Times New Roman" w:cs="Times New Roman"/>
          <w:color w:val="000000" w:themeColor="text1"/>
          <w:sz w:val="24"/>
          <w:szCs w:val="24"/>
        </w:rPr>
        <w:t xml:space="preserve">required </w:t>
      </w:r>
      <w:r w:rsidRPr="00971F0D">
        <w:rPr>
          <w:rFonts w:ascii="Times New Roman" w:hAnsi="Times New Roman" w:cs="Times New Roman"/>
          <w:color w:val="000000" w:themeColor="text1"/>
          <w:sz w:val="24"/>
          <w:szCs w:val="24"/>
        </w:rPr>
        <w:t xml:space="preserve">by </w:t>
      </w:r>
      <w:r w:rsidR="00AF31BE" w:rsidRPr="00971F0D">
        <w:rPr>
          <w:rFonts w:ascii="Times New Roman" w:hAnsi="Times New Roman" w:cs="Times New Roman"/>
          <w:color w:val="000000" w:themeColor="text1"/>
          <w:sz w:val="24"/>
          <w:szCs w:val="24"/>
        </w:rPr>
        <w:t xml:space="preserve">Basel III (100%) is just a </w:t>
      </w:r>
      <w:r w:rsidR="00262047" w:rsidRPr="00971F0D">
        <w:rPr>
          <w:rFonts w:ascii="Times New Roman" w:hAnsi="Times New Roman" w:cs="Times New Roman"/>
          <w:color w:val="000000" w:themeColor="text1"/>
          <w:sz w:val="24"/>
          <w:szCs w:val="24"/>
        </w:rPr>
        <w:t xml:space="preserve">recommendation, </w:t>
      </w:r>
      <w:r w:rsidR="00A30BA7" w:rsidRPr="00971F0D">
        <w:rPr>
          <w:rFonts w:ascii="Times New Roman" w:hAnsi="Times New Roman" w:cs="Times New Roman"/>
          <w:color w:val="000000" w:themeColor="text1"/>
          <w:sz w:val="24"/>
          <w:szCs w:val="24"/>
        </w:rPr>
        <w:t xml:space="preserve">in other words, the higher the LCR, </w:t>
      </w:r>
      <w:r w:rsidR="009C41AC" w:rsidRPr="00971F0D">
        <w:rPr>
          <w:rFonts w:ascii="Times New Roman" w:hAnsi="Times New Roman" w:cs="Times New Roman"/>
          <w:color w:val="000000" w:themeColor="text1"/>
          <w:sz w:val="24"/>
          <w:szCs w:val="24"/>
        </w:rPr>
        <w:t xml:space="preserve">the </w:t>
      </w:r>
      <w:r w:rsidR="008A08BF" w:rsidRPr="00971F0D">
        <w:rPr>
          <w:rFonts w:ascii="Times New Roman" w:hAnsi="Times New Roman" w:cs="Times New Roman"/>
          <w:color w:val="000000" w:themeColor="text1"/>
          <w:sz w:val="24"/>
          <w:szCs w:val="24"/>
        </w:rPr>
        <w:t xml:space="preserve">higher the </w:t>
      </w:r>
      <w:r w:rsidR="00E97CE8" w:rsidRPr="00971F0D">
        <w:rPr>
          <w:rFonts w:ascii="Times New Roman" w:hAnsi="Times New Roman" w:cs="Times New Roman"/>
          <w:color w:val="000000" w:themeColor="text1"/>
          <w:sz w:val="24"/>
          <w:szCs w:val="24"/>
        </w:rPr>
        <w:t>liquidity</w:t>
      </w:r>
      <w:r w:rsidR="008A08BF" w:rsidRPr="00971F0D">
        <w:rPr>
          <w:rFonts w:ascii="Times New Roman" w:hAnsi="Times New Roman" w:cs="Times New Roman"/>
          <w:color w:val="000000" w:themeColor="text1"/>
          <w:sz w:val="24"/>
          <w:szCs w:val="24"/>
        </w:rPr>
        <w:t xml:space="preserve"> of a bank. </w:t>
      </w:r>
      <w:r w:rsidR="00D40482" w:rsidRPr="00971F0D">
        <w:rPr>
          <w:rFonts w:ascii="Times New Roman" w:hAnsi="Times New Roman" w:cs="Times New Roman"/>
          <w:color w:val="000000" w:themeColor="text1"/>
          <w:sz w:val="24"/>
          <w:szCs w:val="24"/>
        </w:rPr>
        <w:t xml:space="preserve">From 2017 to 2018, the </w:t>
      </w:r>
      <w:r w:rsidR="003F1807" w:rsidRPr="00971F0D">
        <w:rPr>
          <w:rFonts w:ascii="Times New Roman" w:hAnsi="Times New Roman" w:cs="Times New Roman"/>
          <w:color w:val="000000" w:themeColor="text1"/>
          <w:sz w:val="24"/>
          <w:szCs w:val="24"/>
        </w:rPr>
        <w:t xml:space="preserve">Lloyds’ LCR has increased by </w:t>
      </w:r>
      <w:r w:rsidR="007C018C" w:rsidRPr="00971F0D">
        <w:rPr>
          <w:rFonts w:ascii="Times New Roman" w:hAnsi="Times New Roman" w:cs="Times New Roman"/>
          <w:color w:val="000000" w:themeColor="text1"/>
          <w:sz w:val="24"/>
          <w:szCs w:val="24"/>
        </w:rPr>
        <w:t>2.36</w:t>
      </w:r>
      <w:r w:rsidR="00052109" w:rsidRPr="00971F0D">
        <w:rPr>
          <w:rFonts w:ascii="Times New Roman" w:hAnsi="Times New Roman" w:cs="Times New Roman"/>
          <w:color w:val="000000" w:themeColor="text1"/>
          <w:sz w:val="24"/>
          <w:szCs w:val="24"/>
        </w:rPr>
        <w:t>%</w:t>
      </w:r>
      <w:r w:rsidR="00A037B9" w:rsidRPr="00971F0D">
        <w:rPr>
          <w:rFonts w:ascii="Times New Roman" w:hAnsi="Times New Roman" w:cs="Times New Roman"/>
          <w:color w:val="000000" w:themeColor="text1"/>
          <w:sz w:val="24"/>
          <w:szCs w:val="24"/>
        </w:rPr>
        <w:t xml:space="preserve"> because:</w:t>
      </w:r>
    </w:p>
    <w:p w14:paraId="4795AC11" w14:textId="269417B1" w:rsidR="00856DAD" w:rsidRPr="00971F0D" w:rsidRDefault="00490B2B" w:rsidP="00971F0D">
      <w:pPr>
        <w:pStyle w:val="ListParagraph"/>
        <w:numPr>
          <w:ilvl w:val="0"/>
          <w:numId w:val="1"/>
        </w:numPr>
        <w:rPr>
          <w:rFonts w:ascii="Times New Roman" w:hAnsi="Times New Roman" w:cs="Times New Roman"/>
          <w:color w:val="000000" w:themeColor="text1"/>
          <w:sz w:val="24"/>
          <w:szCs w:val="24"/>
        </w:rPr>
      </w:pPr>
      <w:r w:rsidRPr="00971F0D">
        <w:rPr>
          <w:rFonts w:ascii="Times New Roman" w:hAnsi="Times New Roman" w:cs="Times New Roman"/>
          <w:color w:val="000000" w:themeColor="text1"/>
          <w:sz w:val="24"/>
          <w:szCs w:val="24"/>
        </w:rPr>
        <w:t xml:space="preserve">Level 1 assets </w:t>
      </w:r>
      <w:r w:rsidR="00867253" w:rsidRPr="00971F0D">
        <w:rPr>
          <w:rFonts w:ascii="Times New Roman" w:hAnsi="Times New Roman" w:cs="Times New Roman"/>
          <w:color w:val="000000" w:themeColor="text1"/>
          <w:sz w:val="24"/>
          <w:szCs w:val="24"/>
        </w:rPr>
        <w:t xml:space="preserve">increased by </w:t>
      </w:r>
      <w:r w:rsidR="00716F3F" w:rsidRPr="00971F0D">
        <w:rPr>
          <w:rFonts w:ascii="Times New Roman" w:hAnsi="Times New Roman" w:cs="Times New Roman"/>
          <w:color w:val="000000" w:themeColor="text1"/>
          <w:sz w:val="24"/>
          <w:szCs w:val="24"/>
        </w:rPr>
        <w:t xml:space="preserve">7% </w:t>
      </w:r>
      <w:r w:rsidRPr="00971F0D">
        <w:rPr>
          <w:rFonts w:ascii="Times New Roman" w:hAnsi="Times New Roman" w:cs="Times New Roman"/>
          <w:color w:val="000000" w:themeColor="text1"/>
          <w:sz w:val="24"/>
          <w:szCs w:val="24"/>
        </w:rPr>
        <w:t>pass</w:t>
      </w:r>
      <w:r w:rsidR="00716F3F" w:rsidRPr="00971F0D">
        <w:rPr>
          <w:rFonts w:ascii="Times New Roman" w:hAnsi="Times New Roman" w:cs="Times New Roman"/>
          <w:color w:val="000000" w:themeColor="text1"/>
          <w:sz w:val="24"/>
          <w:szCs w:val="24"/>
        </w:rPr>
        <w:t>ing</w:t>
      </w:r>
      <w:r w:rsidRPr="00971F0D">
        <w:rPr>
          <w:rFonts w:ascii="Times New Roman" w:hAnsi="Times New Roman" w:cs="Times New Roman"/>
          <w:color w:val="000000" w:themeColor="text1"/>
          <w:sz w:val="24"/>
          <w:szCs w:val="24"/>
        </w:rPr>
        <w:t xml:space="preserve"> from </w:t>
      </w:r>
      <w:r w:rsidR="004932F3" w:rsidRPr="00971F0D">
        <w:rPr>
          <w:rFonts w:ascii="Times New Roman" w:hAnsi="Times New Roman" w:cs="Times New Roman"/>
          <w:color w:val="000000" w:themeColor="text1"/>
          <w:sz w:val="24"/>
          <w:szCs w:val="24"/>
        </w:rPr>
        <w:t>£</w:t>
      </w:r>
      <w:r w:rsidR="006D028B" w:rsidRPr="00971F0D">
        <w:rPr>
          <w:rFonts w:ascii="Times New Roman" w:hAnsi="Times New Roman" w:cs="Times New Roman"/>
          <w:color w:val="000000" w:themeColor="text1"/>
          <w:sz w:val="24"/>
          <w:szCs w:val="24"/>
        </w:rPr>
        <w:t>m</w:t>
      </w:r>
      <w:r w:rsidR="004932F3" w:rsidRPr="00971F0D">
        <w:rPr>
          <w:rFonts w:ascii="Times New Roman" w:hAnsi="Times New Roman" w:cs="Times New Roman"/>
          <w:color w:val="000000" w:themeColor="text1"/>
          <w:sz w:val="24"/>
          <w:szCs w:val="24"/>
        </w:rPr>
        <w:t>120.2 to £</w:t>
      </w:r>
      <w:r w:rsidR="006D028B" w:rsidRPr="00971F0D">
        <w:rPr>
          <w:rFonts w:ascii="Times New Roman" w:hAnsi="Times New Roman" w:cs="Times New Roman"/>
          <w:color w:val="000000" w:themeColor="text1"/>
          <w:sz w:val="24"/>
          <w:szCs w:val="24"/>
        </w:rPr>
        <w:t>m</w:t>
      </w:r>
      <w:r w:rsidR="004932F3" w:rsidRPr="00971F0D">
        <w:rPr>
          <w:rFonts w:ascii="Times New Roman" w:hAnsi="Times New Roman" w:cs="Times New Roman"/>
          <w:color w:val="000000" w:themeColor="text1"/>
          <w:sz w:val="24"/>
          <w:szCs w:val="24"/>
        </w:rPr>
        <w:t>128.6</w:t>
      </w:r>
      <w:r w:rsidR="00856DAD" w:rsidRPr="00971F0D">
        <w:rPr>
          <w:rFonts w:ascii="Times New Roman" w:hAnsi="Times New Roman" w:cs="Times New Roman"/>
          <w:color w:val="000000" w:themeColor="text1"/>
          <w:sz w:val="24"/>
          <w:szCs w:val="24"/>
        </w:rPr>
        <w:t xml:space="preserve">; </w:t>
      </w:r>
    </w:p>
    <w:p w14:paraId="05B50439" w14:textId="4A5E0006" w:rsidR="00BF7C46" w:rsidRPr="00971F0D" w:rsidRDefault="00856DAD" w:rsidP="00971F0D">
      <w:pPr>
        <w:pStyle w:val="ListParagraph"/>
        <w:numPr>
          <w:ilvl w:val="0"/>
          <w:numId w:val="1"/>
        </w:numPr>
        <w:rPr>
          <w:rFonts w:ascii="Times New Roman" w:hAnsi="Times New Roman" w:cs="Times New Roman"/>
          <w:color w:val="000000" w:themeColor="text1"/>
          <w:sz w:val="24"/>
          <w:szCs w:val="24"/>
        </w:rPr>
      </w:pPr>
      <w:r w:rsidRPr="00971F0D">
        <w:rPr>
          <w:rFonts w:ascii="Times New Roman" w:hAnsi="Times New Roman" w:cs="Times New Roman"/>
          <w:color w:val="000000" w:themeColor="text1"/>
          <w:sz w:val="24"/>
          <w:szCs w:val="24"/>
        </w:rPr>
        <w:t>L</w:t>
      </w:r>
      <w:r w:rsidR="006D028B" w:rsidRPr="00971F0D">
        <w:rPr>
          <w:rFonts w:ascii="Times New Roman" w:hAnsi="Times New Roman" w:cs="Times New Roman"/>
          <w:color w:val="000000" w:themeColor="text1"/>
          <w:sz w:val="24"/>
          <w:szCs w:val="24"/>
        </w:rPr>
        <w:t xml:space="preserve">evel 2 assets (2A and 2B) </w:t>
      </w:r>
      <w:r w:rsidR="00716F3F" w:rsidRPr="00971F0D">
        <w:rPr>
          <w:rFonts w:ascii="Times New Roman" w:hAnsi="Times New Roman" w:cs="Times New Roman"/>
          <w:color w:val="000000" w:themeColor="text1"/>
          <w:sz w:val="24"/>
          <w:szCs w:val="24"/>
        </w:rPr>
        <w:t xml:space="preserve">increased by </w:t>
      </w:r>
      <w:r w:rsidR="000B50BB" w:rsidRPr="00971F0D">
        <w:rPr>
          <w:rFonts w:ascii="Times New Roman" w:hAnsi="Times New Roman" w:cs="Times New Roman"/>
          <w:color w:val="000000" w:themeColor="text1"/>
          <w:sz w:val="24"/>
          <w:szCs w:val="24"/>
        </w:rPr>
        <w:t xml:space="preserve">14.3% </w:t>
      </w:r>
      <w:r w:rsidR="006D028B" w:rsidRPr="00971F0D">
        <w:rPr>
          <w:rFonts w:ascii="Times New Roman" w:hAnsi="Times New Roman" w:cs="Times New Roman"/>
          <w:color w:val="000000" w:themeColor="text1"/>
          <w:sz w:val="24"/>
          <w:szCs w:val="24"/>
        </w:rPr>
        <w:t>pass</w:t>
      </w:r>
      <w:r w:rsidR="000B50BB" w:rsidRPr="00971F0D">
        <w:rPr>
          <w:rFonts w:ascii="Times New Roman" w:hAnsi="Times New Roman" w:cs="Times New Roman"/>
          <w:color w:val="000000" w:themeColor="text1"/>
          <w:sz w:val="24"/>
          <w:szCs w:val="24"/>
        </w:rPr>
        <w:t>ing</w:t>
      </w:r>
      <w:r w:rsidR="006D028B" w:rsidRPr="00971F0D">
        <w:rPr>
          <w:rFonts w:ascii="Times New Roman" w:hAnsi="Times New Roman" w:cs="Times New Roman"/>
          <w:color w:val="000000" w:themeColor="text1"/>
          <w:sz w:val="24"/>
          <w:szCs w:val="24"/>
        </w:rPr>
        <w:t xml:space="preserve"> from </w:t>
      </w:r>
      <w:r w:rsidR="00753550" w:rsidRPr="00971F0D">
        <w:rPr>
          <w:rFonts w:ascii="Times New Roman" w:hAnsi="Times New Roman" w:cs="Times New Roman"/>
          <w:color w:val="000000" w:themeColor="text1"/>
          <w:sz w:val="24"/>
          <w:szCs w:val="24"/>
        </w:rPr>
        <w:t>£m0.7 to £m0.8</w:t>
      </w:r>
      <w:r w:rsidR="00971F0D" w:rsidRPr="00971F0D">
        <w:rPr>
          <w:rFonts w:ascii="Times New Roman" w:hAnsi="Times New Roman" w:cs="Times New Roman"/>
          <w:color w:val="000000" w:themeColor="text1"/>
          <w:sz w:val="24"/>
          <w:szCs w:val="24"/>
        </w:rPr>
        <w:t>;</w:t>
      </w:r>
    </w:p>
    <w:p w14:paraId="54ACBC36" w14:textId="4858F386" w:rsidR="00F943C2" w:rsidRPr="00971F0D" w:rsidRDefault="00F943C2" w:rsidP="00971F0D">
      <w:pPr>
        <w:pStyle w:val="ListParagraph"/>
        <w:numPr>
          <w:ilvl w:val="0"/>
          <w:numId w:val="1"/>
        </w:numPr>
        <w:rPr>
          <w:rFonts w:ascii="Times New Roman" w:hAnsi="Times New Roman" w:cs="Times New Roman"/>
          <w:color w:val="000000" w:themeColor="text1"/>
          <w:sz w:val="24"/>
          <w:szCs w:val="24"/>
        </w:rPr>
      </w:pPr>
      <w:r w:rsidRPr="00971F0D">
        <w:rPr>
          <w:rFonts w:ascii="Times New Roman" w:hAnsi="Times New Roman" w:cs="Times New Roman"/>
          <w:color w:val="000000" w:themeColor="text1"/>
          <w:sz w:val="24"/>
          <w:szCs w:val="24"/>
        </w:rPr>
        <w:t>HQLA has increased by 4.6% passing from £m95.19 to £m99.53</w:t>
      </w:r>
      <w:r w:rsidR="00971F0D" w:rsidRPr="00971F0D">
        <w:rPr>
          <w:rFonts w:ascii="Times New Roman" w:hAnsi="Times New Roman" w:cs="Times New Roman"/>
          <w:color w:val="000000" w:themeColor="text1"/>
          <w:sz w:val="24"/>
          <w:szCs w:val="24"/>
        </w:rPr>
        <w:t>.</w:t>
      </w:r>
      <w:r w:rsidR="000502AA" w:rsidRPr="00971F0D">
        <w:rPr>
          <w:rFonts w:ascii="Times New Roman" w:hAnsi="Times New Roman" w:cs="Times New Roman"/>
          <w:color w:val="000000" w:themeColor="text1"/>
          <w:sz w:val="24"/>
          <w:szCs w:val="24"/>
        </w:rPr>
        <w:t xml:space="preserve"> </w:t>
      </w:r>
    </w:p>
    <w:p w14:paraId="2B496458" w14:textId="79B4B2CE" w:rsidR="002404A7" w:rsidRPr="00971F0D" w:rsidRDefault="00A53664" w:rsidP="00971F0D">
      <w:pPr>
        <w:rPr>
          <w:rFonts w:ascii="Times New Roman" w:hAnsi="Times New Roman" w:cs="Times New Roman"/>
          <w:color w:val="000000" w:themeColor="text1"/>
          <w:sz w:val="24"/>
          <w:szCs w:val="24"/>
        </w:rPr>
      </w:pPr>
      <w:r w:rsidRPr="00971F0D">
        <w:rPr>
          <w:rFonts w:ascii="Times New Roman" w:hAnsi="Times New Roman" w:cs="Times New Roman"/>
          <w:color w:val="000000" w:themeColor="text1"/>
          <w:sz w:val="24"/>
          <w:szCs w:val="24"/>
        </w:rPr>
        <w:t xml:space="preserve">Overall, </w:t>
      </w:r>
      <w:r w:rsidR="00004A83" w:rsidRPr="00971F0D">
        <w:rPr>
          <w:rFonts w:ascii="Times New Roman" w:hAnsi="Times New Roman" w:cs="Times New Roman"/>
          <w:color w:val="000000" w:themeColor="text1"/>
          <w:sz w:val="24"/>
          <w:szCs w:val="24"/>
        </w:rPr>
        <w:t xml:space="preserve">the </w:t>
      </w:r>
      <w:r w:rsidR="002404A7" w:rsidRPr="00971F0D">
        <w:rPr>
          <w:rFonts w:ascii="Times New Roman" w:hAnsi="Times New Roman" w:cs="Times New Roman"/>
          <w:color w:val="000000" w:themeColor="text1"/>
          <w:sz w:val="24"/>
          <w:szCs w:val="24"/>
        </w:rPr>
        <w:t>G</w:t>
      </w:r>
      <w:r w:rsidR="00641310" w:rsidRPr="00971F0D">
        <w:rPr>
          <w:rFonts w:ascii="Times New Roman" w:hAnsi="Times New Roman" w:cs="Times New Roman"/>
          <w:color w:val="000000" w:themeColor="text1"/>
          <w:sz w:val="24"/>
          <w:szCs w:val="24"/>
        </w:rPr>
        <w:t xml:space="preserve">roup’s liquidity position </w:t>
      </w:r>
      <w:r w:rsidR="003E39B5" w:rsidRPr="00971F0D">
        <w:rPr>
          <w:rFonts w:ascii="Times New Roman" w:hAnsi="Times New Roman" w:cs="Times New Roman"/>
          <w:color w:val="000000" w:themeColor="text1"/>
          <w:sz w:val="24"/>
          <w:szCs w:val="24"/>
        </w:rPr>
        <w:t>exceeds</w:t>
      </w:r>
      <w:r w:rsidR="00A44FC8" w:rsidRPr="00971F0D">
        <w:rPr>
          <w:rFonts w:ascii="Times New Roman" w:hAnsi="Times New Roman" w:cs="Times New Roman"/>
          <w:color w:val="000000" w:themeColor="text1"/>
          <w:sz w:val="24"/>
          <w:szCs w:val="24"/>
        </w:rPr>
        <w:t xml:space="preserve"> the minimum imposed by Basel III</w:t>
      </w:r>
      <w:r w:rsidR="003E39B5" w:rsidRPr="00971F0D">
        <w:rPr>
          <w:rFonts w:ascii="Times New Roman" w:hAnsi="Times New Roman" w:cs="Times New Roman"/>
          <w:color w:val="000000" w:themeColor="text1"/>
          <w:sz w:val="24"/>
          <w:szCs w:val="24"/>
        </w:rPr>
        <w:t>. However</w:t>
      </w:r>
      <w:r w:rsidR="00B3416F" w:rsidRPr="00971F0D">
        <w:rPr>
          <w:rFonts w:ascii="Times New Roman" w:hAnsi="Times New Roman" w:cs="Times New Roman"/>
          <w:color w:val="000000" w:themeColor="text1"/>
          <w:sz w:val="24"/>
          <w:szCs w:val="24"/>
        </w:rPr>
        <w:t>, Barclays PLC has performed better</w:t>
      </w:r>
      <w:r w:rsidR="001E78D4" w:rsidRPr="00971F0D">
        <w:rPr>
          <w:rFonts w:ascii="Times New Roman" w:hAnsi="Times New Roman" w:cs="Times New Roman"/>
          <w:color w:val="000000" w:themeColor="text1"/>
          <w:sz w:val="24"/>
          <w:szCs w:val="24"/>
        </w:rPr>
        <w:t xml:space="preserve">, maintaining </w:t>
      </w:r>
      <w:r w:rsidR="008B1839" w:rsidRPr="00971F0D">
        <w:rPr>
          <w:rFonts w:ascii="Times New Roman" w:hAnsi="Times New Roman" w:cs="Times New Roman"/>
          <w:color w:val="000000" w:themeColor="text1"/>
          <w:sz w:val="24"/>
          <w:szCs w:val="24"/>
        </w:rPr>
        <w:t>an</w:t>
      </w:r>
      <w:r w:rsidR="001E78D4" w:rsidRPr="00971F0D">
        <w:rPr>
          <w:rFonts w:ascii="Times New Roman" w:hAnsi="Times New Roman" w:cs="Times New Roman"/>
          <w:color w:val="000000" w:themeColor="text1"/>
          <w:sz w:val="24"/>
          <w:szCs w:val="24"/>
        </w:rPr>
        <w:t xml:space="preserve"> LCR of </w:t>
      </w:r>
      <w:r w:rsidR="00D631DA" w:rsidRPr="00971F0D">
        <w:rPr>
          <w:rFonts w:ascii="Times New Roman" w:hAnsi="Times New Roman" w:cs="Times New Roman"/>
          <w:color w:val="000000" w:themeColor="text1"/>
          <w:sz w:val="24"/>
          <w:szCs w:val="24"/>
        </w:rPr>
        <w:t>153% in 2018.</w:t>
      </w:r>
    </w:p>
    <w:p w14:paraId="00A110E9" w14:textId="3E127683" w:rsidR="00210A55" w:rsidRDefault="00210A55" w:rsidP="00971F0D">
      <w:pPr>
        <w:rPr>
          <w:color w:val="000000" w:themeColor="text1"/>
        </w:rPr>
      </w:pPr>
    </w:p>
    <w:p w14:paraId="65595E73" w14:textId="708417A5" w:rsidR="00210A55" w:rsidRPr="000D4A20" w:rsidRDefault="005E349F" w:rsidP="00971F0D">
      <w:pPr>
        <w:rPr>
          <w:rFonts w:ascii="Times New Roman" w:hAnsi="Times New Roman" w:cs="Times New Roman"/>
          <w:color w:val="000000" w:themeColor="text1"/>
          <w:sz w:val="24"/>
          <w:szCs w:val="24"/>
        </w:rPr>
      </w:pPr>
      <w:r w:rsidRPr="000D4A20">
        <w:rPr>
          <w:rFonts w:ascii="Times New Roman" w:hAnsi="Times New Roman" w:cs="Times New Roman"/>
          <w:color w:val="000000" w:themeColor="text1"/>
          <w:sz w:val="24"/>
          <w:szCs w:val="24"/>
        </w:rPr>
        <w:t>LD</w:t>
      </w:r>
      <w:r w:rsidR="00D75A9E" w:rsidRPr="000D4A20">
        <w:rPr>
          <w:rFonts w:ascii="Times New Roman" w:hAnsi="Times New Roman" w:cs="Times New Roman"/>
          <w:color w:val="000000" w:themeColor="text1"/>
          <w:sz w:val="24"/>
          <w:szCs w:val="24"/>
        </w:rPr>
        <w:t>R</w:t>
      </w:r>
    </w:p>
    <w:p w14:paraId="168C0975" w14:textId="1808A727" w:rsidR="00D75A9E" w:rsidRPr="0095739C" w:rsidRDefault="003E2D03" w:rsidP="0095739C">
      <w:pPr>
        <w:rPr>
          <w:rStyle w:val="Hyperlink"/>
          <w:rFonts w:ascii="Times New Roman" w:hAnsi="Times New Roman" w:cs="Times New Roman"/>
          <w:sz w:val="24"/>
          <w:szCs w:val="24"/>
        </w:rPr>
      </w:pPr>
      <w:r w:rsidRPr="0095739C">
        <w:rPr>
          <w:rFonts w:ascii="Times New Roman" w:hAnsi="Times New Roman" w:cs="Times New Roman"/>
          <w:sz w:val="24"/>
          <w:szCs w:val="24"/>
        </w:rPr>
        <w:lastRenderedPageBreak/>
        <w:t xml:space="preserve">An </w:t>
      </w:r>
      <w:r w:rsidR="00D75A9E" w:rsidRPr="0095739C">
        <w:rPr>
          <w:rFonts w:ascii="Times New Roman" w:hAnsi="Times New Roman" w:cs="Times New Roman"/>
          <w:sz w:val="24"/>
          <w:szCs w:val="24"/>
        </w:rPr>
        <w:t>LDR</w:t>
      </w:r>
      <w:r w:rsidR="00EB7F63" w:rsidRPr="0095739C">
        <w:rPr>
          <w:rFonts w:ascii="Times New Roman" w:hAnsi="Times New Roman" w:cs="Times New Roman"/>
          <w:sz w:val="24"/>
          <w:szCs w:val="24"/>
        </w:rPr>
        <w:t xml:space="preserve"> figure of 10</w:t>
      </w:r>
      <w:r w:rsidR="00D75A9E" w:rsidRPr="0095739C">
        <w:rPr>
          <w:rFonts w:ascii="Times New Roman" w:hAnsi="Times New Roman" w:cs="Times New Roman"/>
          <w:sz w:val="24"/>
          <w:szCs w:val="24"/>
        </w:rPr>
        <w:t xml:space="preserve">0% indicates that loans </w:t>
      </w:r>
      <w:r w:rsidR="00DF1802">
        <w:rPr>
          <w:rFonts w:ascii="Times New Roman" w:hAnsi="Times New Roman" w:cs="Times New Roman"/>
          <w:sz w:val="24"/>
          <w:szCs w:val="24"/>
        </w:rPr>
        <w:t xml:space="preserve">are </w:t>
      </w:r>
      <w:r w:rsidR="00D75A9E" w:rsidRPr="0095739C">
        <w:rPr>
          <w:rFonts w:ascii="Times New Roman" w:hAnsi="Times New Roman" w:cs="Times New Roman"/>
          <w:sz w:val="24"/>
          <w:szCs w:val="24"/>
        </w:rPr>
        <w:t xml:space="preserve">equal to deposit, </w:t>
      </w:r>
      <w:r w:rsidR="002404A7" w:rsidRPr="0095739C">
        <w:rPr>
          <w:rFonts w:ascii="Times New Roman" w:hAnsi="Times New Roman" w:cs="Times New Roman"/>
          <w:sz w:val="24"/>
          <w:szCs w:val="24"/>
        </w:rPr>
        <w:t>therefore,</w:t>
      </w:r>
      <w:r w:rsidR="00D75A9E" w:rsidRPr="0095739C">
        <w:rPr>
          <w:rFonts w:ascii="Times New Roman" w:hAnsi="Times New Roman" w:cs="Times New Roman"/>
          <w:sz w:val="24"/>
          <w:szCs w:val="24"/>
        </w:rPr>
        <w:t xml:space="preserve"> it means that </w:t>
      </w:r>
      <w:r w:rsidR="00DF1802">
        <w:rPr>
          <w:rFonts w:ascii="Times New Roman" w:hAnsi="Times New Roman" w:cs="Times New Roman"/>
          <w:sz w:val="24"/>
          <w:szCs w:val="24"/>
        </w:rPr>
        <w:t xml:space="preserve">the </w:t>
      </w:r>
      <w:r w:rsidR="00D75A9E" w:rsidRPr="0095739C">
        <w:rPr>
          <w:rFonts w:ascii="Times New Roman" w:hAnsi="Times New Roman" w:cs="Times New Roman"/>
          <w:sz w:val="24"/>
          <w:szCs w:val="24"/>
        </w:rPr>
        <w:t xml:space="preserve">bank lends a pound to customer for every pound it received as a deposit. From one side, it means that a bank </w:t>
      </w:r>
      <w:r w:rsidR="00FE76F2">
        <w:rPr>
          <w:rFonts w:ascii="Times New Roman" w:hAnsi="Times New Roman" w:cs="Times New Roman"/>
          <w:sz w:val="24"/>
          <w:szCs w:val="24"/>
        </w:rPr>
        <w:t xml:space="preserve">is </w:t>
      </w:r>
      <w:r w:rsidR="00D75A9E" w:rsidRPr="0095739C">
        <w:rPr>
          <w:rFonts w:ascii="Times New Roman" w:hAnsi="Times New Roman" w:cs="Times New Roman"/>
          <w:sz w:val="24"/>
          <w:szCs w:val="24"/>
        </w:rPr>
        <w:t xml:space="preserve">performing prudentially; </w:t>
      </w:r>
      <w:r w:rsidR="00FE76F2">
        <w:rPr>
          <w:rFonts w:ascii="Times New Roman" w:hAnsi="Times New Roman" w:cs="Times New Roman"/>
          <w:sz w:val="24"/>
          <w:szCs w:val="24"/>
        </w:rPr>
        <w:t>on</w:t>
      </w:r>
      <w:r w:rsidR="00D75A9E" w:rsidRPr="0095739C">
        <w:rPr>
          <w:rFonts w:ascii="Times New Roman" w:hAnsi="Times New Roman" w:cs="Times New Roman"/>
          <w:sz w:val="24"/>
          <w:szCs w:val="24"/>
        </w:rPr>
        <w:t xml:space="preserve"> the other side it indicates that </w:t>
      </w:r>
      <w:r w:rsidR="00FE76F2">
        <w:rPr>
          <w:rFonts w:ascii="Times New Roman" w:hAnsi="Times New Roman" w:cs="Times New Roman"/>
          <w:sz w:val="24"/>
          <w:szCs w:val="24"/>
        </w:rPr>
        <w:t xml:space="preserve">the </w:t>
      </w:r>
      <w:r w:rsidR="00D75A9E" w:rsidRPr="0095739C">
        <w:rPr>
          <w:rFonts w:ascii="Times New Roman" w:hAnsi="Times New Roman" w:cs="Times New Roman"/>
          <w:sz w:val="24"/>
          <w:szCs w:val="24"/>
        </w:rPr>
        <w:t xml:space="preserve">bank may not have enough cash on hand for contingencies. </w:t>
      </w:r>
      <w:r w:rsidR="00287305" w:rsidRPr="0095739C">
        <w:rPr>
          <w:rFonts w:ascii="Times New Roman" w:hAnsi="Times New Roman" w:cs="Times New Roman"/>
          <w:sz w:val="24"/>
          <w:szCs w:val="24"/>
        </w:rPr>
        <w:t xml:space="preserve">Ideally, the LDR should be around 80%-90% </w:t>
      </w:r>
      <w:r w:rsidR="007A1E3E" w:rsidRPr="0095739C">
        <w:rPr>
          <w:rFonts w:ascii="Times New Roman" w:hAnsi="Times New Roman" w:cs="Times New Roman"/>
          <w:sz w:val="24"/>
          <w:szCs w:val="24"/>
        </w:rPr>
        <w:t>(Forbes,</w:t>
      </w:r>
      <w:r w:rsidR="00F45B01" w:rsidRPr="0095739C">
        <w:rPr>
          <w:rFonts w:ascii="Times New Roman" w:hAnsi="Times New Roman" w:cs="Times New Roman"/>
          <w:sz w:val="24"/>
          <w:szCs w:val="24"/>
        </w:rPr>
        <w:t xml:space="preserve"> </w:t>
      </w:r>
      <w:r w:rsidR="007A1E3E" w:rsidRPr="0095739C">
        <w:rPr>
          <w:rFonts w:ascii="Times New Roman" w:hAnsi="Times New Roman" w:cs="Times New Roman"/>
          <w:sz w:val="24"/>
          <w:szCs w:val="24"/>
        </w:rPr>
        <w:t>201</w:t>
      </w:r>
      <w:r w:rsidR="00F45B01" w:rsidRPr="0095739C">
        <w:rPr>
          <w:rFonts w:ascii="Times New Roman" w:hAnsi="Times New Roman" w:cs="Times New Roman"/>
          <w:sz w:val="24"/>
          <w:szCs w:val="24"/>
        </w:rPr>
        <w:t>8)</w:t>
      </w:r>
      <w:r w:rsidR="00DD3473" w:rsidRPr="0095739C">
        <w:rPr>
          <w:rFonts w:ascii="Times New Roman" w:hAnsi="Times New Roman" w:cs="Times New Roman"/>
          <w:sz w:val="24"/>
          <w:szCs w:val="24"/>
        </w:rPr>
        <w:t xml:space="preserve">. </w:t>
      </w:r>
    </w:p>
    <w:p w14:paraId="5F347ABC" w14:textId="55858F32" w:rsidR="00382ABC" w:rsidRPr="0095739C" w:rsidRDefault="00E47FC4" w:rsidP="0095739C">
      <w:pPr>
        <w:rPr>
          <w:rStyle w:val="Hyperlink"/>
          <w:rFonts w:ascii="Times New Roman" w:hAnsi="Times New Roman" w:cs="Times New Roman"/>
          <w:color w:val="000000" w:themeColor="text1"/>
          <w:sz w:val="24"/>
          <w:szCs w:val="24"/>
          <w:u w:val="none"/>
        </w:rPr>
      </w:pPr>
      <w:r w:rsidRPr="0095739C">
        <w:rPr>
          <w:rStyle w:val="Hyperlink"/>
          <w:rFonts w:ascii="Times New Roman" w:hAnsi="Times New Roman" w:cs="Times New Roman"/>
          <w:color w:val="000000" w:themeColor="text1"/>
          <w:sz w:val="24"/>
          <w:szCs w:val="24"/>
          <w:u w:val="none"/>
        </w:rPr>
        <w:t>Over the years, Lloyds’ LDR has been more than 100%</w:t>
      </w:r>
      <w:r w:rsidR="002B3735" w:rsidRPr="0095739C">
        <w:rPr>
          <w:rStyle w:val="Hyperlink"/>
          <w:rFonts w:ascii="Times New Roman" w:hAnsi="Times New Roman" w:cs="Times New Roman"/>
          <w:color w:val="000000" w:themeColor="text1"/>
          <w:sz w:val="24"/>
          <w:szCs w:val="24"/>
          <w:u w:val="none"/>
        </w:rPr>
        <w:t xml:space="preserve"> which means that </w:t>
      </w:r>
      <w:r w:rsidR="00DE3E68" w:rsidRPr="0095739C">
        <w:rPr>
          <w:rStyle w:val="Hyperlink"/>
          <w:rFonts w:ascii="Times New Roman" w:hAnsi="Times New Roman" w:cs="Times New Roman"/>
          <w:color w:val="000000" w:themeColor="text1"/>
          <w:sz w:val="24"/>
          <w:szCs w:val="24"/>
          <w:u w:val="none"/>
        </w:rPr>
        <w:t xml:space="preserve">the </w:t>
      </w:r>
      <w:r w:rsidR="0057441F" w:rsidRPr="0095739C">
        <w:rPr>
          <w:rStyle w:val="Hyperlink"/>
          <w:rFonts w:ascii="Times New Roman" w:hAnsi="Times New Roman" w:cs="Times New Roman"/>
          <w:color w:val="000000" w:themeColor="text1"/>
          <w:sz w:val="24"/>
          <w:szCs w:val="24"/>
          <w:u w:val="none"/>
        </w:rPr>
        <w:t>amount of the t</w:t>
      </w:r>
      <w:r w:rsidR="00DE3E68" w:rsidRPr="0095739C">
        <w:rPr>
          <w:rStyle w:val="Hyperlink"/>
          <w:rFonts w:ascii="Times New Roman" w:hAnsi="Times New Roman" w:cs="Times New Roman"/>
          <w:color w:val="000000" w:themeColor="text1"/>
          <w:sz w:val="24"/>
          <w:szCs w:val="24"/>
          <w:u w:val="none"/>
        </w:rPr>
        <w:t xml:space="preserve">otal Loan </w:t>
      </w:r>
      <w:r w:rsidR="0057441F" w:rsidRPr="0095739C">
        <w:rPr>
          <w:rStyle w:val="Hyperlink"/>
          <w:rFonts w:ascii="Times New Roman" w:hAnsi="Times New Roman" w:cs="Times New Roman"/>
          <w:color w:val="000000" w:themeColor="text1"/>
          <w:sz w:val="24"/>
          <w:szCs w:val="24"/>
          <w:u w:val="none"/>
        </w:rPr>
        <w:t>has been higher than the amount of total deposit</w:t>
      </w:r>
      <w:r w:rsidR="00BA4944" w:rsidRPr="0095739C">
        <w:rPr>
          <w:rStyle w:val="Hyperlink"/>
          <w:rFonts w:ascii="Times New Roman" w:hAnsi="Times New Roman" w:cs="Times New Roman"/>
          <w:color w:val="000000" w:themeColor="text1"/>
          <w:sz w:val="24"/>
          <w:szCs w:val="24"/>
          <w:u w:val="none"/>
        </w:rPr>
        <w:t xml:space="preserve">. </w:t>
      </w:r>
      <w:r w:rsidR="00F771CC" w:rsidRPr="0095739C">
        <w:rPr>
          <w:rStyle w:val="Hyperlink"/>
          <w:rFonts w:ascii="Times New Roman" w:hAnsi="Times New Roman" w:cs="Times New Roman"/>
          <w:color w:val="000000" w:themeColor="text1"/>
          <w:sz w:val="24"/>
          <w:szCs w:val="24"/>
          <w:u w:val="none"/>
        </w:rPr>
        <w:t>According to Murphy</w:t>
      </w:r>
      <w:r w:rsidR="00C92B3C" w:rsidRPr="0095739C">
        <w:rPr>
          <w:rStyle w:val="Hyperlink"/>
          <w:rFonts w:ascii="Times New Roman" w:hAnsi="Times New Roman" w:cs="Times New Roman"/>
          <w:color w:val="000000" w:themeColor="text1"/>
          <w:sz w:val="24"/>
          <w:szCs w:val="24"/>
          <w:u w:val="none"/>
        </w:rPr>
        <w:t xml:space="preserve"> (2019), deposits play a dual role for banks; </w:t>
      </w:r>
      <w:r w:rsidR="00AF5979" w:rsidRPr="0095739C">
        <w:rPr>
          <w:rStyle w:val="Hyperlink"/>
          <w:rFonts w:ascii="Times New Roman" w:hAnsi="Times New Roman" w:cs="Times New Roman"/>
          <w:color w:val="000000" w:themeColor="text1"/>
          <w:sz w:val="24"/>
          <w:szCs w:val="24"/>
          <w:u w:val="none"/>
        </w:rPr>
        <w:t>by increasing</w:t>
      </w:r>
      <w:r w:rsidR="002421B5">
        <w:rPr>
          <w:rStyle w:val="Hyperlink"/>
          <w:rFonts w:ascii="Times New Roman" w:hAnsi="Times New Roman" w:cs="Times New Roman"/>
          <w:color w:val="000000" w:themeColor="text1"/>
          <w:sz w:val="24"/>
          <w:szCs w:val="24"/>
          <w:u w:val="none"/>
        </w:rPr>
        <w:t xml:space="preserve"> their</w:t>
      </w:r>
      <w:r w:rsidR="00AF5979" w:rsidRPr="0095739C">
        <w:rPr>
          <w:rStyle w:val="Hyperlink"/>
          <w:rFonts w:ascii="Times New Roman" w:hAnsi="Times New Roman" w:cs="Times New Roman"/>
          <w:color w:val="000000" w:themeColor="text1"/>
          <w:sz w:val="24"/>
          <w:szCs w:val="24"/>
          <w:u w:val="none"/>
        </w:rPr>
        <w:t xml:space="preserve"> deposits</w:t>
      </w:r>
      <w:r w:rsidR="009F7C0B" w:rsidRPr="0095739C">
        <w:rPr>
          <w:rStyle w:val="Hyperlink"/>
          <w:rFonts w:ascii="Times New Roman" w:hAnsi="Times New Roman" w:cs="Times New Roman"/>
          <w:color w:val="000000" w:themeColor="text1"/>
          <w:sz w:val="24"/>
          <w:szCs w:val="24"/>
          <w:u w:val="none"/>
        </w:rPr>
        <w:t xml:space="preserve"> banks are increasing their liabilities as </w:t>
      </w:r>
      <w:r w:rsidR="00465864" w:rsidRPr="0095739C">
        <w:rPr>
          <w:rStyle w:val="Hyperlink"/>
          <w:rFonts w:ascii="Times New Roman" w:hAnsi="Times New Roman" w:cs="Times New Roman"/>
          <w:color w:val="000000" w:themeColor="text1"/>
          <w:sz w:val="24"/>
          <w:szCs w:val="24"/>
          <w:u w:val="none"/>
        </w:rPr>
        <w:t xml:space="preserve">banks must pay-off an interest rate on </w:t>
      </w:r>
      <w:r w:rsidR="00BC4D84" w:rsidRPr="0095739C">
        <w:rPr>
          <w:rStyle w:val="Hyperlink"/>
          <w:rFonts w:ascii="Times New Roman" w:hAnsi="Times New Roman" w:cs="Times New Roman"/>
          <w:color w:val="000000" w:themeColor="text1"/>
          <w:sz w:val="24"/>
          <w:szCs w:val="24"/>
          <w:u w:val="none"/>
        </w:rPr>
        <w:t>those deposits</w:t>
      </w:r>
      <w:r w:rsidR="002421B5">
        <w:rPr>
          <w:rStyle w:val="Hyperlink"/>
          <w:rFonts w:ascii="Times New Roman" w:hAnsi="Times New Roman" w:cs="Times New Roman"/>
          <w:color w:val="000000" w:themeColor="text1"/>
          <w:sz w:val="24"/>
          <w:szCs w:val="24"/>
          <w:u w:val="none"/>
        </w:rPr>
        <w:t>. O</w:t>
      </w:r>
      <w:r w:rsidR="00BC4D84" w:rsidRPr="0095739C">
        <w:rPr>
          <w:rStyle w:val="Hyperlink"/>
          <w:rFonts w:ascii="Times New Roman" w:hAnsi="Times New Roman" w:cs="Times New Roman"/>
          <w:color w:val="000000" w:themeColor="text1"/>
          <w:sz w:val="24"/>
          <w:szCs w:val="24"/>
          <w:u w:val="none"/>
        </w:rPr>
        <w:t>n the other hand</w:t>
      </w:r>
      <w:r w:rsidR="00FD437C" w:rsidRPr="0095739C">
        <w:rPr>
          <w:rStyle w:val="Hyperlink"/>
          <w:rFonts w:ascii="Times New Roman" w:hAnsi="Times New Roman" w:cs="Times New Roman"/>
          <w:color w:val="000000" w:themeColor="text1"/>
          <w:sz w:val="24"/>
          <w:szCs w:val="24"/>
          <w:u w:val="none"/>
        </w:rPr>
        <w:t xml:space="preserve">, </w:t>
      </w:r>
      <w:r w:rsidR="00AC5C62" w:rsidRPr="0095739C">
        <w:rPr>
          <w:rStyle w:val="Hyperlink"/>
          <w:rFonts w:ascii="Times New Roman" w:hAnsi="Times New Roman" w:cs="Times New Roman"/>
          <w:color w:val="000000" w:themeColor="text1"/>
          <w:sz w:val="24"/>
          <w:szCs w:val="24"/>
          <w:u w:val="none"/>
        </w:rPr>
        <w:t xml:space="preserve">by increasing deposits, banks will likely have more money </w:t>
      </w:r>
      <w:r w:rsidR="0021448E" w:rsidRPr="0095739C">
        <w:rPr>
          <w:rStyle w:val="Hyperlink"/>
          <w:rFonts w:ascii="Times New Roman" w:hAnsi="Times New Roman" w:cs="Times New Roman"/>
          <w:color w:val="000000" w:themeColor="text1"/>
          <w:sz w:val="24"/>
          <w:szCs w:val="24"/>
          <w:u w:val="none"/>
        </w:rPr>
        <w:t xml:space="preserve">to lend. Interest rate on deposits are always </w:t>
      </w:r>
      <w:r w:rsidR="00FA17BC" w:rsidRPr="0095739C">
        <w:rPr>
          <w:rStyle w:val="Hyperlink"/>
          <w:rFonts w:ascii="Times New Roman" w:hAnsi="Times New Roman" w:cs="Times New Roman"/>
          <w:color w:val="000000" w:themeColor="text1"/>
          <w:sz w:val="24"/>
          <w:szCs w:val="24"/>
          <w:u w:val="none"/>
        </w:rPr>
        <w:t>lower than interest rate on loan</w:t>
      </w:r>
      <w:r w:rsidR="005B58D8">
        <w:rPr>
          <w:rStyle w:val="Hyperlink"/>
          <w:rFonts w:ascii="Times New Roman" w:hAnsi="Times New Roman" w:cs="Times New Roman"/>
          <w:color w:val="000000" w:themeColor="text1"/>
          <w:sz w:val="24"/>
          <w:szCs w:val="24"/>
          <w:u w:val="none"/>
        </w:rPr>
        <w:t>s</w:t>
      </w:r>
      <w:r w:rsidR="00FA17BC" w:rsidRPr="0095739C">
        <w:rPr>
          <w:rStyle w:val="Hyperlink"/>
          <w:rFonts w:ascii="Times New Roman" w:hAnsi="Times New Roman" w:cs="Times New Roman"/>
          <w:color w:val="000000" w:themeColor="text1"/>
          <w:sz w:val="24"/>
          <w:szCs w:val="24"/>
          <w:u w:val="none"/>
        </w:rPr>
        <w:t xml:space="preserve">. Lloyds should therefore, </w:t>
      </w:r>
      <w:r w:rsidR="005E687B" w:rsidRPr="0095739C">
        <w:rPr>
          <w:rStyle w:val="Hyperlink"/>
          <w:rFonts w:ascii="Times New Roman" w:hAnsi="Times New Roman" w:cs="Times New Roman"/>
          <w:color w:val="000000" w:themeColor="text1"/>
          <w:sz w:val="24"/>
          <w:szCs w:val="24"/>
          <w:u w:val="none"/>
        </w:rPr>
        <w:t>create new strategies to attract new customers or to retaining current c</w:t>
      </w:r>
      <w:r w:rsidR="00A44D47" w:rsidRPr="0095739C">
        <w:rPr>
          <w:rStyle w:val="Hyperlink"/>
          <w:rFonts w:ascii="Times New Roman" w:hAnsi="Times New Roman" w:cs="Times New Roman"/>
          <w:color w:val="000000" w:themeColor="text1"/>
          <w:sz w:val="24"/>
          <w:szCs w:val="24"/>
          <w:u w:val="none"/>
        </w:rPr>
        <w:t>lients</w:t>
      </w:r>
      <w:r w:rsidR="000205E3">
        <w:rPr>
          <w:rStyle w:val="Hyperlink"/>
          <w:rFonts w:ascii="Times New Roman" w:hAnsi="Times New Roman" w:cs="Times New Roman"/>
          <w:color w:val="000000" w:themeColor="text1"/>
          <w:sz w:val="24"/>
          <w:szCs w:val="24"/>
          <w:u w:val="none"/>
        </w:rPr>
        <w:t>.</w:t>
      </w:r>
      <w:r w:rsidR="00A44D47" w:rsidRPr="0095739C">
        <w:rPr>
          <w:rStyle w:val="Hyperlink"/>
          <w:rFonts w:ascii="Times New Roman" w:hAnsi="Times New Roman" w:cs="Times New Roman"/>
          <w:color w:val="000000" w:themeColor="text1"/>
          <w:sz w:val="24"/>
          <w:szCs w:val="24"/>
          <w:u w:val="none"/>
        </w:rPr>
        <w:t xml:space="preserve"> </w:t>
      </w:r>
      <w:r w:rsidR="000205E3">
        <w:rPr>
          <w:rStyle w:val="Hyperlink"/>
          <w:rFonts w:ascii="Times New Roman" w:hAnsi="Times New Roman" w:cs="Times New Roman"/>
          <w:color w:val="000000" w:themeColor="text1"/>
          <w:sz w:val="24"/>
          <w:szCs w:val="24"/>
          <w:u w:val="none"/>
        </w:rPr>
        <w:t>B</w:t>
      </w:r>
      <w:r w:rsidR="005B58D8">
        <w:rPr>
          <w:rStyle w:val="Hyperlink"/>
          <w:rFonts w:ascii="Times New Roman" w:hAnsi="Times New Roman" w:cs="Times New Roman"/>
          <w:color w:val="000000" w:themeColor="text1"/>
          <w:sz w:val="24"/>
          <w:szCs w:val="24"/>
          <w:u w:val="none"/>
        </w:rPr>
        <w:t>y</w:t>
      </w:r>
      <w:r w:rsidR="000205E3">
        <w:rPr>
          <w:rStyle w:val="Hyperlink"/>
          <w:rFonts w:ascii="Times New Roman" w:hAnsi="Times New Roman" w:cs="Times New Roman"/>
          <w:color w:val="000000" w:themeColor="text1"/>
          <w:sz w:val="24"/>
          <w:szCs w:val="24"/>
          <w:u w:val="none"/>
        </w:rPr>
        <w:t xml:space="preserve"> </w:t>
      </w:r>
      <w:r w:rsidR="00A44D47" w:rsidRPr="0095739C">
        <w:rPr>
          <w:rStyle w:val="Hyperlink"/>
          <w:rFonts w:ascii="Times New Roman" w:hAnsi="Times New Roman" w:cs="Times New Roman"/>
          <w:color w:val="000000" w:themeColor="text1"/>
          <w:sz w:val="24"/>
          <w:szCs w:val="24"/>
          <w:u w:val="none"/>
        </w:rPr>
        <w:t xml:space="preserve">doing that, deposit will increase and </w:t>
      </w:r>
      <w:r w:rsidR="00FA68DF" w:rsidRPr="0095739C">
        <w:rPr>
          <w:rStyle w:val="Hyperlink"/>
          <w:rFonts w:ascii="Times New Roman" w:hAnsi="Times New Roman" w:cs="Times New Roman"/>
          <w:color w:val="000000" w:themeColor="text1"/>
          <w:sz w:val="24"/>
          <w:szCs w:val="24"/>
          <w:u w:val="none"/>
        </w:rPr>
        <w:t xml:space="preserve">ideally </w:t>
      </w:r>
      <w:r w:rsidR="00A6680E" w:rsidRPr="0095739C">
        <w:rPr>
          <w:rStyle w:val="Hyperlink"/>
          <w:rFonts w:ascii="Times New Roman" w:hAnsi="Times New Roman" w:cs="Times New Roman"/>
          <w:color w:val="000000" w:themeColor="text1"/>
          <w:sz w:val="24"/>
          <w:szCs w:val="24"/>
          <w:u w:val="none"/>
        </w:rPr>
        <w:t xml:space="preserve">it should increase </w:t>
      </w:r>
      <w:r w:rsidR="005B58D8">
        <w:rPr>
          <w:rStyle w:val="Hyperlink"/>
          <w:rFonts w:ascii="Times New Roman" w:hAnsi="Times New Roman" w:cs="Times New Roman"/>
          <w:color w:val="000000" w:themeColor="text1"/>
          <w:sz w:val="24"/>
          <w:szCs w:val="24"/>
          <w:u w:val="none"/>
        </w:rPr>
        <w:t xml:space="preserve">its </w:t>
      </w:r>
      <w:r w:rsidR="00A6680E" w:rsidRPr="0095739C">
        <w:rPr>
          <w:rStyle w:val="Hyperlink"/>
          <w:rFonts w:ascii="Times New Roman" w:hAnsi="Times New Roman" w:cs="Times New Roman"/>
          <w:color w:val="000000" w:themeColor="text1"/>
          <w:sz w:val="24"/>
          <w:szCs w:val="24"/>
          <w:u w:val="none"/>
        </w:rPr>
        <w:t xml:space="preserve">earnings. </w:t>
      </w:r>
    </w:p>
    <w:p w14:paraId="3FC66018" w14:textId="6BBF0E8A" w:rsidR="00A6680E" w:rsidRPr="0095739C" w:rsidRDefault="00644A98" w:rsidP="0095739C">
      <w:pPr>
        <w:rPr>
          <w:rStyle w:val="Hyperlink"/>
          <w:rFonts w:ascii="Times New Roman" w:hAnsi="Times New Roman" w:cs="Times New Roman"/>
          <w:color w:val="000000" w:themeColor="text1"/>
          <w:sz w:val="24"/>
          <w:szCs w:val="24"/>
          <w:u w:val="none"/>
        </w:rPr>
      </w:pPr>
      <w:r w:rsidRPr="0095739C">
        <w:rPr>
          <w:rStyle w:val="Hyperlink"/>
          <w:rFonts w:ascii="Times New Roman" w:hAnsi="Times New Roman" w:cs="Times New Roman"/>
          <w:color w:val="000000" w:themeColor="text1"/>
          <w:sz w:val="24"/>
          <w:szCs w:val="24"/>
          <w:u w:val="none"/>
        </w:rPr>
        <w:t xml:space="preserve">Barclays has a greater LDR. </w:t>
      </w:r>
    </w:p>
    <w:p w14:paraId="05722DF2" w14:textId="77777777" w:rsidR="00085305" w:rsidRDefault="00085305" w:rsidP="00971F0D">
      <w:pPr>
        <w:rPr>
          <w:rStyle w:val="Hyperlink"/>
        </w:rPr>
      </w:pPr>
    </w:p>
    <w:p w14:paraId="31E03C43" w14:textId="31CE96AD" w:rsidR="00C15629" w:rsidRPr="00133181" w:rsidRDefault="00D66FE9" w:rsidP="00971F0D">
      <w:pPr>
        <w:pStyle w:val="Heading2"/>
        <w:rPr>
          <w:rFonts w:ascii="Times New Roman" w:hAnsi="Times New Roman" w:cs="Times New Roman"/>
          <w:sz w:val="28"/>
          <w:szCs w:val="28"/>
        </w:rPr>
      </w:pPr>
      <w:bookmarkStart w:id="5" w:name="_Toc18488767"/>
      <w:r w:rsidRPr="00133181">
        <w:rPr>
          <w:rFonts w:ascii="Times New Roman" w:hAnsi="Times New Roman" w:cs="Times New Roman"/>
          <w:sz w:val="28"/>
          <w:szCs w:val="28"/>
        </w:rPr>
        <w:t xml:space="preserve">Asset quality </w:t>
      </w:r>
      <w:r w:rsidR="00714478" w:rsidRPr="00133181">
        <w:rPr>
          <w:rFonts w:ascii="Times New Roman" w:hAnsi="Times New Roman" w:cs="Times New Roman"/>
          <w:sz w:val="28"/>
          <w:szCs w:val="28"/>
        </w:rPr>
        <w:t>ratio</w:t>
      </w:r>
      <w:bookmarkEnd w:id="5"/>
    </w:p>
    <w:p w14:paraId="22DA8C48" w14:textId="5AC98B64" w:rsidR="00F841B4" w:rsidRPr="00757DC4" w:rsidRDefault="00996FDB" w:rsidP="00676B54">
      <w:pPr>
        <w:rPr>
          <w:rFonts w:ascii="Times New Roman" w:hAnsi="Times New Roman" w:cs="Times New Roman"/>
          <w:color w:val="000000"/>
          <w:sz w:val="24"/>
          <w:szCs w:val="24"/>
          <w:shd w:val="clear" w:color="auto" w:fill="FCFCFC"/>
        </w:rPr>
      </w:pPr>
      <w:r w:rsidRPr="00757DC4">
        <w:rPr>
          <w:rFonts w:ascii="Times New Roman" w:hAnsi="Times New Roman" w:cs="Times New Roman"/>
          <w:sz w:val="24"/>
          <w:szCs w:val="24"/>
        </w:rPr>
        <w:t>B</w:t>
      </w:r>
      <w:r w:rsidR="00093E42" w:rsidRPr="00757DC4">
        <w:rPr>
          <w:rFonts w:ascii="Times New Roman" w:hAnsi="Times New Roman" w:cs="Times New Roman"/>
          <w:sz w:val="24"/>
          <w:szCs w:val="24"/>
        </w:rPr>
        <w:t xml:space="preserve">anks depend on the borrower’s </w:t>
      </w:r>
      <w:r w:rsidR="00811954" w:rsidRPr="00757DC4">
        <w:rPr>
          <w:rFonts w:ascii="Times New Roman" w:hAnsi="Times New Roman" w:cs="Times New Roman"/>
          <w:sz w:val="24"/>
          <w:szCs w:val="24"/>
        </w:rPr>
        <w:t>ability</w:t>
      </w:r>
      <w:r w:rsidR="00093E42" w:rsidRPr="00757DC4">
        <w:rPr>
          <w:rFonts w:ascii="Times New Roman" w:hAnsi="Times New Roman" w:cs="Times New Roman"/>
          <w:sz w:val="24"/>
          <w:szCs w:val="24"/>
        </w:rPr>
        <w:t xml:space="preserve"> to pay back their loans </w:t>
      </w:r>
      <w:r w:rsidR="00F75FE5" w:rsidRPr="00757DC4">
        <w:rPr>
          <w:rFonts w:ascii="Times New Roman" w:hAnsi="Times New Roman" w:cs="Times New Roman"/>
          <w:sz w:val="24"/>
          <w:szCs w:val="24"/>
        </w:rPr>
        <w:t xml:space="preserve">inasmuch </w:t>
      </w:r>
      <w:r w:rsidR="00A45132" w:rsidRPr="00757DC4">
        <w:rPr>
          <w:rFonts w:ascii="Times New Roman" w:hAnsi="Times New Roman" w:cs="Times New Roman"/>
          <w:sz w:val="24"/>
          <w:szCs w:val="24"/>
        </w:rPr>
        <w:t xml:space="preserve">loans are the major source of a bank’s revenue. </w:t>
      </w:r>
      <w:r w:rsidR="00A240CD" w:rsidRPr="00757DC4">
        <w:rPr>
          <w:rFonts w:ascii="Times New Roman" w:hAnsi="Times New Roman" w:cs="Times New Roman"/>
          <w:sz w:val="24"/>
          <w:szCs w:val="24"/>
        </w:rPr>
        <w:t xml:space="preserve">Banks issue numerous </w:t>
      </w:r>
      <w:r w:rsidR="00480F62" w:rsidRPr="00757DC4">
        <w:rPr>
          <w:rFonts w:ascii="Times New Roman" w:hAnsi="Times New Roman" w:cs="Times New Roman"/>
          <w:sz w:val="24"/>
          <w:szCs w:val="24"/>
        </w:rPr>
        <w:t>kinds</w:t>
      </w:r>
      <w:r w:rsidR="00A240CD" w:rsidRPr="00757DC4">
        <w:rPr>
          <w:rFonts w:ascii="Times New Roman" w:hAnsi="Times New Roman" w:cs="Times New Roman"/>
          <w:sz w:val="24"/>
          <w:szCs w:val="24"/>
        </w:rPr>
        <w:t xml:space="preserve"> of loan</w:t>
      </w:r>
      <w:r w:rsidR="009961A9" w:rsidRPr="00757DC4">
        <w:rPr>
          <w:rFonts w:ascii="Times New Roman" w:hAnsi="Times New Roman" w:cs="Times New Roman"/>
          <w:sz w:val="24"/>
          <w:szCs w:val="24"/>
        </w:rPr>
        <w:t>;</w:t>
      </w:r>
      <w:r w:rsidR="0052560E" w:rsidRPr="00757DC4">
        <w:rPr>
          <w:rFonts w:ascii="Times New Roman" w:hAnsi="Times New Roman" w:cs="Times New Roman"/>
          <w:sz w:val="24"/>
          <w:szCs w:val="24"/>
        </w:rPr>
        <w:t xml:space="preserve"> there are some loan that have </w:t>
      </w:r>
      <w:r w:rsidR="00695E9C" w:rsidRPr="00757DC4">
        <w:rPr>
          <w:rFonts w:ascii="Times New Roman" w:hAnsi="Times New Roman" w:cs="Times New Roman"/>
          <w:sz w:val="24"/>
          <w:szCs w:val="24"/>
        </w:rPr>
        <w:t xml:space="preserve">a </w:t>
      </w:r>
      <w:r w:rsidR="00554E2D" w:rsidRPr="00757DC4">
        <w:rPr>
          <w:rFonts w:ascii="Times New Roman" w:hAnsi="Times New Roman" w:cs="Times New Roman"/>
          <w:sz w:val="24"/>
          <w:szCs w:val="24"/>
        </w:rPr>
        <w:t>high probability to be repa</w:t>
      </w:r>
      <w:r w:rsidR="00D56F8E" w:rsidRPr="00757DC4">
        <w:rPr>
          <w:rFonts w:ascii="Times New Roman" w:hAnsi="Times New Roman" w:cs="Times New Roman"/>
          <w:sz w:val="24"/>
          <w:szCs w:val="24"/>
        </w:rPr>
        <w:t>id</w:t>
      </w:r>
      <w:r w:rsidR="00033A58" w:rsidRPr="00757DC4">
        <w:rPr>
          <w:rFonts w:ascii="Times New Roman" w:hAnsi="Times New Roman" w:cs="Times New Roman"/>
          <w:sz w:val="24"/>
          <w:szCs w:val="24"/>
        </w:rPr>
        <w:t xml:space="preserve"> such as </w:t>
      </w:r>
      <w:r w:rsidR="00024E80" w:rsidRPr="00757DC4">
        <w:rPr>
          <w:rFonts w:ascii="Times New Roman" w:hAnsi="Times New Roman" w:cs="Times New Roman"/>
          <w:sz w:val="24"/>
          <w:szCs w:val="24"/>
        </w:rPr>
        <w:t xml:space="preserve">government bonds or T-bills, </w:t>
      </w:r>
      <w:r w:rsidR="009961A9" w:rsidRPr="00757DC4">
        <w:rPr>
          <w:rFonts w:ascii="Times New Roman" w:hAnsi="Times New Roman" w:cs="Times New Roman"/>
          <w:sz w:val="24"/>
          <w:szCs w:val="24"/>
        </w:rPr>
        <w:t xml:space="preserve">whereas </w:t>
      </w:r>
      <w:r w:rsidR="00811954" w:rsidRPr="00757DC4">
        <w:rPr>
          <w:rFonts w:ascii="Times New Roman" w:hAnsi="Times New Roman" w:cs="Times New Roman"/>
          <w:sz w:val="24"/>
          <w:szCs w:val="24"/>
        </w:rPr>
        <w:t>other</w:t>
      </w:r>
      <w:r w:rsidR="00695E9C" w:rsidRPr="00757DC4">
        <w:rPr>
          <w:rFonts w:ascii="Times New Roman" w:hAnsi="Times New Roman" w:cs="Times New Roman"/>
          <w:sz w:val="24"/>
          <w:szCs w:val="24"/>
        </w:rPr>
        <w:t xml:space="preserve"> loans</w:t>
      </w:r>
      <w:r w:rsidR="00024E80" w:rsidRPr="00757DC4">
        <w:rPr>
          <w:rFonts w:ascii="Times New Roman" w:hAnsi="Times New Roman" w:cs="Times New Roman"/>
          <w:sz w:val="24"/>
          <w:szCs w:val="24"/>
        </w:rPr>
        <w:t xml:space="preserve"> </w:t>
      </w:r>
      <w:r w:rsidR="00491961" w:rsidRPr="00757DC4">
        <w:rPr>
          <w:rFonts w:ascii="Times New Roman" w:hAnsi="Times New Roman" w:cs="Times New Roman"/>
          <w:sz w:val="24"/>
          <w:szCs w:val="24"/>
        </w:rPr>
        <w:t xml:space="preserve">such </w:t>
      </w:r>
      <w:r w:rsidR="00024E80" w:rsidRPr="00757DC4">
        <w:rPr>
          <w:rFonts w:ascii="Times New Roman" w:hAnsi="Times New Roman" w:cs="Times New Roman"/>
          <w:sz w:val="24"/>
          <w:szCs w:val="24"/>
        </w:rPr>
        <w:t xml:space="preserve">as </w:t>
      </w:r>
      <w:r w:rsidR="00065B6C" w:rsidRPr="00757DC4">
        <w:rPr>
          <w:rFonts w:ascii="Times New Roman" w:hAnsi="Times New Roman" w:cs="Times New Roman"/>
          <w:sz w:val="24"/>
          <w:szCs w:val="24"/>
        </w:rPr>
        <w:t>corporate credit or junk bonds</w:t>
      </w:r>
      <w:r w:rsidR="00695E9C" w:rsidRPr="00757DC4">
        <w:rPr>
          <w:rFonts w:ascii="Times New Roman" w:hAnsi="Times New Roman" w:cs="Times New Roman"/>
          <w:sz w:val="24"/>
          <w:szCs w:val="24"/>
        </w:rPr>
        <w:t xml:space="preserve"> have</w:t>
      </w:r>
      <w:r w:rsidR="00065B6C" w:rsidRPr="00757DC4">
        <w:rPr>
          <w:rFonts w:ascii="Times New Roman" w:hAnsi="Times New Roman" w:cs="Times New Roman"/>
          <w:sz w:val="24"/>
          <w:szCs w:val="24"/>
        </w:rPr>
        <w:t xml:space="preserve"> a high</w:t>
      </w:r>
      <w:r w:rsidR="00B00468" w:rsidRPr="00757DC4">
        <w:rPr>
          <w:rFonts w:ascii="Times New Roman" w:hAnsi="Times New Roman" w:cs="Times New Roman"/>
          <w:sz w:val="24"/>
          <w:szCs w:val="24"/>
        </w:rPr>
        <w:t xml:space="preserve"> probability to becom</w:t>
      </w:r>
      <w:r w:rsidR="000205E3">
        <w:rPr>
          <w:rFonts w:ascii="Times New Roman" w:hAnsi="Times New Roman" w:cs="Times New Roman"/>
          <w:sz w:val="24"/>
          <w:szCs w:val="24"/>
        </w:rPr>
        <w:t>e</w:t>
      </w:r>
      <w:r w:rsidR="00B00468" w:rsidRPr="00757DC4">
        <w:rPr>
          <w:rFonts w:ascii="Times New Roman" w:hAnsi="Times New Roman" w:cs="Times New Roman"/>
          <w:sz w:val="24"/>
          <w:szCs w:val="24"/>
        </w:rPr>
        <w:t xml:space="preserve"> a non-performing loan. </w:t>
      </w:r>
      <w:r w:rsidRPr="00757DC4">
        <w:rPr>
          <w:rFonts w:ascii="Times New Roman" w:hAnsi="Times New Roman" w:cs="Times New Roman"/>
          <w:sz w:val="24"/>
          <w:szCs w:val="24"/>
        </w:rPr>
        <w:t>According to Seidel (2018), a</w:t>
      </w:r>
      <w:r w:rsidR="007661C2" w:rsidRPr="00757DC4">
        <w:rPr>
          <w:rFonts w:ascii="Times New Roman" w:hAnsi="Times New Roman" w:cs="Times New Roman"/>
          <w:sz w:val="24"/>
          <w:szCs w:val="24"/>
        </w:rPr>
        <w:t xml:space="preserve"> loan is considered non-performing loan</w:t>
      </w:r>
      <w:r w:rsidR="00F92113" w:rsidRPr="00757DC4">
        <w:rPr>
          <w:rFonts w:ascii="Times New Roman" w:hAnsi="Times New Roman" w:cs="Times New Roman"/>
          <w:sz w:val="24"/>
          <w:szCs w:val="24"/>
        </w:rPr>
        <w:t xml:space="preserve"> (NPL)</w:t>
      </w:r>
      <w:r w:rsidR="007661C2" w:rsidRPr="00757DC4">
        <w:rPr>
          <w:rFonts w:ascii="Times New Roman" w:hAnsi="Times New Roman" w:cs="Times New Roman"/>
          <w:sz w:val="24"/>
          <w:szCs w:val="24"/>
        </w:rPr>
        <w:t xml:space="preserve"> when a borrower </w:t>
      </w:r>
      <w:r w:rsidR="00C200B3" w:rsidRPr="00757DC4">
        <w:rPr>
          <w:rFonts w:ascii="Times New Roman" w:hAnsi="Times New Roman" w:cs="Times New Roman"/>
          <w:sz w:val="24"/>
          <w:szCs w:val="24"/>
        </w:rPr>
        <w:t xml:space="preserve">hasn’t </w:t>
      </w:r>
      <w:r w:rsidR="00077C6C" w:rsidRPr="00757DC4">
        <w:rPr>
          <w:rFonts w:ascii="Times New Roman" w:hAnsi="Times New Roman" w:cs="Times New Roman"/>
          <w:sz w:val="24"/>
          <w:szCs w:val="24"/>
        </w:rPr>
        <w:t>made regular payment for at least 90 days</w:t>
      </w:r>
      <w:r w:rsidR="00730DD4" w:rsidRPr="00757DC4">
        <w:rPr>
          <w:rFonts w:ascii="Times New Roman" w:hAnsi="Times New Roman" w:cs="Times New Roman"/>
          <w:color w:val="000000"/>
          <w:sz w:val="24"/>
          <w:szCs w:val="24"/>
          <w:shd w:val="clear" w:color="auto" w:fill="FCFCFC"/>
        </w:rPr>
        <w:t>.</w:t>
      </w:r>
      <w:r w:rsidR="00072864" w:rsidRPr="00757DC4">
        <w:rPr>
          <w:rFonts w:ascii="Times New Roman" w:hAnsi="Times New Roman" w:cs="Times New Roman"/>
          <w:color w:val="000000"/>
          <w:sz w:val="24"/>
          <w:szCs w:val="24"/>
          <w:shd w:val="clear" w:color="auto" w:fill="FCFCFC"/>
        </w:rPr>
        <w:t xml:space="preserve"> When a loan is </w:t>
      </w:r>
      <w:r w:rsidR="00DA467D" w:rsidRPr="00757DC4">
        <w:rPr>
          <w:rFonts w:ascii="Times New Roman" w:hAnsi="Times New Roman" w:cs="Times New Roman"/>
          <w:color w:val="000000"/>
          <w:sz w:val="24"/>
          <w:szCs w:val="24"/>
          <w:shd w:val="clear" w:color="auto" w:fill="FCFCFC"/>
        </w:rPr>
        <w:t>considered a</w:t>
      </w:r>
      <w:r w:rsidR="00807A91" w:rsidRPr="00757DC4">
        <w:rPr>
          <w:rFonts w:ascii="Times New Roman" w:hAnsi="Times New Roman" w:cs="Times New Roman"/>
          <w:color w:val="000000"/>
          <w:sz w:val="24"/>
          <w:szCs w:val="24"/>
          <w:shd w:val="clear" w:color="auto" w:fill="FCFCFC"/>
        </w:rPr>
        <w:t>n</w:t>
      </w:r>
      <w:r w:rsidR="00DA467D" w:rsidRPr="00757DC4">
        <w:rPr>
          <w:rFonts w:ascii="Times New Roman" w:hAnsi="Times New Roman" w:cs="Times New Roman"/>
          <w:color w:val="000000"/>
          <w:sz w:val="24"/>
          <w:szCs w:val="24"/>
          <w:shd w:val="clear" w:color="auto" w:fill="FCFCFC"/>
        </w:rPr>
        <w:t xml:space="preserve"> NPL</w:t>
      </w:r>
      <w:r w:rsidR="00597B21" w:rsidRPr="00757DC4">
        <w:rPr>
          <w:rFonts w:ascii="Times New Roman" w:hAnsi="Times New Roman" w:cs="Times New Roman"/>
          <w:color w:val="000000"/>
          <w:sz w:val="24"/>
          <w:szCs w:val="24"/>
          <w:shd w:val="clear" w:color="auto" w:fill="FCFCFC"/>
        </w:rPr>
        <w:t xml:space="preserve">, then </w:t>
      </w:r>
      <w:r w:rsidR="00DA467D" w:rsidRPr="00757DC4">
        <w:rPr>
          <w:rFonts w:ascii="Times New Roman" w:hAnsi="Times New Roman" w:cs="Times New Roman"/>
          <w:color w:val="000000"/>
          <w:sz w:val="24"/>
          <w:szCs w:val="24"/>
          <w:shd w:val="clear" w:color="auto" w:fill="FCFCFC"/>
        </w:rPr>
        <w:t xml:space="preserve">the total amount of the loan will be counted in the </w:t>
      </w:r>
      <w:r w:rsidR="000B4C90" w:rsidRPr="00757DC4">
        <w:rPr>
          <w:rFonts w:ascii="Times New Roman" w:hAnsi="Times New Roman" w:cs="Times New Roman"/>
          <w:color w:val="000000"/>
          <w:sz w:val="24"/>
          <w:szCs w:val="24"/>
          <w:shd w:val="clear" w:color="auto" w:fill="FCFCFC"/>
        </w:rPr>
        <w:t xml:space="preserve">NPL </w:t>
      </w:r>
      <w:r w:rsidR="00DA467D" w:rsidRPr="00757DC4">
        <w:rPr>
          <w:rFonts w:ascii="Times New Roman" w:hAnsi="Times New Roman" w:cs="Times New Roman"/>
          <w:color w:val="000000"/>
          <w:sz w:val="24"/>
          <w:szCs w:val="24"/>
          <w:shd w:val="clear" w:color="auto" w:fill="FCFCFC"/>
        </w:rPr>
        <w:t xml:space="preserve">ratio, and not just </w:t>
      </w:r>
      <w:r w:rsidR="00970DE1" w:rsidRPr="00757DC4">
        <w:rPr>
          <w:rFonts w:ascii="Times New Roman" w:hAnsi="Times New Roman" w:cs="Times New Roman"/>
          <w:color w:val="000000"/>
          <w:sz w:val="24"/>
          <w:szCs w:val="24"/>
          <w:shd w:val="clear" w:color="auto" w:fill="FCFCFC"/>
        </w:rPr>
        <w:t>the outstanding loan balance</w:t>
      </w:r>
      <w:r w:rsidR="003A5EB6" w:rsidRPr="00757DC4">
        <w:rPr>
          <w:rFonts w:ascii="Times New Roman" w:hAnsi="Times New Roman" w:cs="Times New Roman"/>
          <w:color w:val="000000"/>
          <w:sz w:val="24"/>
          <w:szCs w:val="24"/>
          <w:shd w:val="clear" w:color="auto" w:fill="FCFCFC"/>
        </w:rPr>
        <w:t xml:space="preserve">. </w:t>
      </w:r>
      <w:r w:rsidR="00814863" w:rsidRPr="00757DC4">
        <w:rPr>
          <w:rFonts w:ascii="Times New Roman" w:hAnsi="Times New Roman" w:cs="Times New Roman"/>
          <w:color w:val="000000"/>
          <w:sz w:val="24"/>
          <w:szCs w:val="24"/>
          <w:shd w:val="clear" w:color="auto" w:fill="FCFCFC"/>
        </w:rPr>
        <w:t xml:space="preserve">If </w:t>
      </w:r>
      <w:r w:rsidR="00C84471" w:rsidRPr="00757DC4">
        <w:rPr>
          <w:rFonts w:ascii="Times New Roman" w:hAnsi="Times New Roman" w:cs="Times New Roman"/>
          <w:color w:val="000000"/>
          <w:sz w:val="24"/>
          <w:szCs w:val="24"/>
          <w:shd w:val="clear" w:color="auto" w:fill="FCFCFC"/>
        </w:rPr>
        <w:t xml:space="preserve">the borrower </w:t>
      </w:r>
      <w:r w:rsidR="00C94E7C" w:rsidRPr="00757DC4">
        <w:rPr>
          <w:rFonts w:ascii="Times New Roman" w:hAnsi="Times New Roman" w:cs="Times New Roman"/>
          <w:color w:val="000000"/>
          <w:sz w:val="24"/>
          <w:szCs w:val="24"/>
          <w:shd w:val="clear" w:color="auto" w:fill="FCFCFC"/>
        </w:rPr>
        <w:t>reassumes</w:t>
      </w:r>
      <w:r w:rsidR="00B65910" w:rsidRPr="00757DC4">
        <w:rPr>
          <w:rFonts w:ascii="Times New Roman" w:hAnsi="Times New Roman" w:cs="Times New Roman"/>
          <w:color w:val="000000"/>
          <w:sz w:val="24"/>
          <w:szCs w:val="24"/>
          <w:shd w:val="clear" w:color="auto" w:fill="FCFCFC"/>
        </w:rPr>
        <w:t xml:space="preserve"> payment again on a non-performing loan, </w:t>
      </w:r>
      <w:r w:rsidR="00C94E7C" w:rsidRPr="00757DC4">
        <w:rPr>
          <w:rFonts w:ascii="Times New Roman" w:hAnsi="Times New Roman" w:cs="Times New Roman"/>
          <w:color w:val="000000"/>
          <w:sz w:val="24"/>
          <w:szCs w:val="24"/>
          <w:shd w:val="clear" w:color="auto" w:fill="FCFCFC"/>
        </w:rPr>
        <w:t xml:space="preserve">it becomes a reperforming loan </w:t>
      </w:r>
      <w:r w:rsidR="00C1625D" w:rsidRPr="00757DC4">
        <w:rPr>
          <w:rFonts w:ascii="Times New Roman" w:hAnsi="Times New Roman" w:cs="Times New Roman"/>
          <w:color w:val="000000"/>
          <w:sz w:val="24"/>
          <w:szCs w:val="24"/>
          <w:shd w:val="clear" w:color="auto" w:fill="FCFCFC"/>
        </w:rPr>
        <w:t>(Troy Segal, 2019)</w:t>
      </w:r>
      <w:r w:rsidR="00C200B3" w:rsidRPr="00757DC4">
        <w:rPr>
          <w:rFonts w:ascii="Times New Roman" w:hAnsi="Times New Roman" w:cs="Times New Roman"/>
          <w:color w:val="000000"/>
          <w:sz w:val="24"/>
          <w:szCs w:val="24"/>
          <w:shd w:val="clear" w:color="auto" w:fill="FCFCFC"/>
        </w:rPr>
        <w:t xml:space="preserve">. </w:t>
      </w:r>
    </w:p>
    <w:p w14:paraId="00AEC919" w14:textId="2EEC61E9" w:rsidR="00FD3AEB" w:rsidRPr="00757DC4" w:rsidRDefault="00993C55" w:rsidP="00676B54">
      <w:pPr>
        <w:rPr>
          <w:rFonts w:ascii="Times New Roman" w:hAnsi="Times New Roman" w:cs="Times New Roman"/>
          <w:color w:val="000000"/>
          <w:sz w:val="24"/>
          <w:szCs w:val="24"/>
          <w:shd w:val="clear" w:color="auto" w:fill="FCFCFC"/>
        </w:rPr>
      </w:pPr>
      <w:r w:rsidRPr="00757DC4">
        <w:rPr>
          <w:rFonts w:ascii="Times New Roman" w:hAnsi="Times New Roman" w:cs="Times New Roman"/>
          <w:color w:val="000000"/>
          <w:sz w:val="24"/>
          <w:szCs w:val="24"/>
          <w:shd w:val="clear" w:color="auto" w:fill="FCFCFC"/>
        </w:rPr>
        <w:t xml:space="preserve">Asset quality ratios measures </w:t>
      </w:r>
      <w:r w:rsidR="00DB4198" w:rsidRPr="00757DC4">
        <w:rPr>
          <w:rFonts w:ascii="Times New Roman" w:hAnsi="Times New Roman" w:cs="Times New Roman"/>
          <w:color w:val="000000"/>
          <w:sz w:val="24"/>
          <w:szCs w:val="24"/>
          <w:shd w:val="clear" w:color="auto" w:fill="FCFCFC"/>
        </w:rPr>
        <w:t>the loan impairment charge as a percentage of loan and ad</w:t>
      </w:r>
      <w:r w:rsidR="00714478" w:rsidRPr="00757DC4">
        <w:rPr>
          <w:rFonts w:ascii="Times New Roman" w:hAnsi="Times New Roman" w:cs="Times New Roman"/>
          <w:color w:val="000000"/>
          <w:sz w:val="24"/>
          <w:szCs w:val="24"/>
          <w:shd w:val="clear" w:color="auto" w:fill="FCFCFC"/>
        </w:rPr>
        <w:t>vances to customers.</w:t>
      </w:r>
    </w:p>
    <w:p w14:paraId="664DF60A" w14:textId="4514FFD6" w:rsidR="000B6B82" w:rsidRPr="00757DC4" w:rsidRDefault="000B6B82" w:rsidP="00676B54">
      <w:pPr>
        <w:jc w:val="center"/>
        <w:rPr>
          <w:rFonts w:ascii="Times New Roman" w:hAnsi="Times New Roman" w:cs="Times New Roman"/>
          <w:color w:val="000000"/>
          <w:sz w:val="24"/>
          <w:szCs w:val="24"/>
          <w:shd w:val="clear" w:color="auto" w:fill="FCFCFC"/>
        </w:rPr>
      </w:pPr>
      <m:oMathPara>
        <m:oMath>
          <m:r>
            <w:rPr>
              <w:rFonts w:ascii="Cambria Math" w:hAnsi="Cambria Math" w:cs="Times New Roman"/>
              <w:color w:val="000000"/>
              <w:sz w:val="24"/>
              <w:szCs w:val="24"/>
              <w:shd w:val="clear" w:color="auto" w:fill="FCFCFC"/>
            </w:rPr>
            <m:t>AQR=</m:t>
          </m:r>
          <m:f>
            <m:fPr>
              <m:ctrlPr>
                <w:rPr>
                  <w:rFonts w:ascii="Cambria Math" w:hAnsi="Cambria Math" w:cs="Times New Roman"/>
                  <w:i/>
                  <w:color w:val="000000"/>
                  <w:sz w:val="24"/>
                  <w:szCs w:val="24"/>
                  <w:shd w:val="clear" w:color="auto" w:fill="FCFCFC"/>
                </w:rPr>
              </m:ctrlPr>
            </m:fPr>
            <m:num>
              <m:r>
                <w:rPr>
                  <w:rFonts w:ascii="Cambria Math" w:hAnsi="Cambria Math" w:cs="Times New Roman"/>
                  <w:color w:val="000000"/>
                  <w:sz w:val="24"/>
                  <w:szCs w:val="24"/>
                  <w:shd w:val="clear" w:color="auto" w:fill="FCFCFC"/>
                </w:rPr>
                <m:t>loan impairment charge</m:t>
              </m:r>
            </m:num>
            <m:den>
              <m:r>
                <w:rPr>
                  <w:rFonts w:ascii="Cambria Math" w:hAnsi="Cambria Math" w:cs="Times New Roman"/>
                  <w:color w:val="000000"/>
                  <w:sz w:val="24"/>
                  <w:szCs w:val="24"/>
                  <w:shd w:val="clear" w:color="auto" w:fill="FCFCFC"/>
                </w:rPr>
                <m:t>total asset</m:t>
              </m:r>
            </m:den>
          </m:f>
        </m:oMath>
      </m:oMathPara>
    </w:p>
    <w:p w14:paraId="60E9400E" w14:textId="77777777" w:rsidR="00E01705" w:rsidRDefault="00E01705" w:rsidP="00430C87">
      <w:pPr>
        <w:rPr>
          <w:rFonts w:cs="Arial"/>
          <w:color w:val="000000"/>
          <w:shd w:val="clear" w:color="auto" w:fill="FCFCFC"/>
        </w:rPr>
      </w:pPr>
    </w:p>
    <w:p w14:paraId="27080970" w14:textId="3209082D" w:rsidR="007170AC" w:rsidRDefault="007170AC" w:rsidP="007170AC">
      <w:pPr>
        <w:pStyle w:val="Caption"/>
        <w:keepNext/>
      </w:pPr>
      <w:r>
        <w:t xml:space="preserve">Table </w:t>
      </w:r>
      <w:fldSimple w:instr=" SEQ Table \* ARABIC ">
        <w:r>
          <w:rPr>
            <w:noProof/>
          </w:rPr>
          <w:t>3</w:t>
        </w:r>
      </w:fldSimple>
      <w:r>
        <w:t xml:space="preserve"> Asset Quality ratio</w:t>
      </w:r>
      <w:r w:rsidR="00676B54">
        <w:t xml:space="preserve"> </w:t>
      </w:r>
      <w:r w:rsidR="00676B54" w:rsidRPr="00BA36F8">
        <w:t xml:space="preserve">Lloyds </w:t>
      </w:r>
      <w:r w:rsidR="00676B54">
        <w:t>(2014 – 2018) and</w:t>
      </w:r>
      <w:r w:rsidR="00676B54" w:rsidRPr="00BA36F8">
        <w:t xml:space="preserve"> Barclays</w:t>
      </w:r>
      <w:r w:rsidR="00676B54">
        <w:t xml:space="preserve"> (2018).</w:t>
      </w:r>
    </w:p>
    <w:tbl>
      <w:tblPr>
        <w:tblStyle w:val="TableGrid"/>
        <w:tblW w:w="0" w:type="auto"/>
        <w:tblLook w:val="04A0" w:firstRow="1" w:lastRow="0" w:firstColumn="1" w:lastColumn="0" w:noHBand="0" w:noVBand="1"/>
      </w:tblPr>
      <w:tblGrid>
        <w:gridCol w:w="1372"/>
        <w:gridCol w:w="1372"/>
        <w:gridCol w:w="1372"/>
        <w:gridCol w:w="1372"/>
        <w:gridCol w:w="1373"/>
        <w:gridCol w:w="1373"/>
        <w:gridCol w:w="1374"/>
      </w:tblGrid>
      <w:tr w:rsidR="00E01705" w14:paraId="76F7B479" w14:textId="77777777" w:rsidTr="007170AC">
        <w:tc>
          <w:tcPr>
            <w:tcW w:w="1372" w:type="dxa"/>
          </w:tcPr>
          <w:p w14:paraId="25C608F9" w14:textId="77777777" w:rsidR="00E01705" w:rsidRPr="007170AC" w:rsidRDefault="00E01705"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Lloyds</w:t>
            </w:r>
          </w:p>
        </w:tc>
        <w:tc>
          <w:tcPr>
            <w:tcW w:w="1372" w:type="dxa"/>
          </w:tcPr>
          <w:p w14:paraId="39530423" w14:textId="77777777" w:rsidR="00E01705" w:rsidRPr="007170AC" w:rsidRDefault="00E01705"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2014</w:t>
            </w:r>
          </w:p>
        </w:tc>
        <w:tc>
          <w:tcPr>
            <w:tcW w:w="1372" w:type="dxa"/>
          </w:tcPr>
          <w:p w14:paraId="40D277B9" w14:textId="77777777" w:rsidR="00E01705" w:rsidRPr="007170AC" w:rsidRDefault="00E01705"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2015</w:t>
            </w:r>
          </w:p>
        </w:tc>
        <w:tc>
          <w:tcPr>
            <w:tcW w:w="1372" w:type="dxa"/>
          </w:tcPr>
          <w:p w14:paraId="6547D935" w14:textId="77777777" w:rsidR="00E01705" w:rsidRPr="007170AC" w:rsidRDefault="00E01705"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2016</w:t>
            </w:r>
          </w:p>
        </w:tc>
        <w:tc>
          <w:tcPr>
            <w:tcW w:w="1373" w:type="dxa"/>
          </w:tcPr>
          <w:p w14:paraId="1064C0C4" w14:textId="77777777" w:rsidR="00E01705" w:rsidRPr="007170AC" w:rsidRDefault="00E01705"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2017</w:t>
            </w:r>
          </w:p>
        </w:tc>
        <w:tc>
          <w:tcPr>
            <w:tcW w:w="1373" w:type="dxa"/>
          </w:tcPr>
          <w:p w14:paraId="0443D202" w14:textId="77777777" w:rsidR="00E01705" w:rsidRPr="007170AC" w:rsidRDefault="00E01705"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2018</w:t>
            </w:r>
          </w:p>
        </w:tc>
        <w:tc>
          <w:tcPr>
            <w:tcW w:w="1374" w:type="dxa"/>
          </w:tcPr>
          <w:p w14:paraId="38DC500C" w14:textId="77777777" w:rsidR="00E01705" w:rsidRPr="007170AC" w:rsidRDefault="00E01705" w:rsidP="006E3358">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Barclays 2018</w:t>
            </w:r>
          </w:p>
        </w:tc>
      </w:tr>
      <w:tr w:rsidR="00E01705" w14:paraId="47A2B8F0" w14:textId="77777777" w:rsidTr="007170AC">
        <w:tc>
          <w:tcPr>
            <w:tcW w:w="1372" w:type="dxa"/>
          </w:tcPr>
          <w:p w14:paraId="17D3772D" w14:textId="79158CE1" w:rsidR="00E01705" w:rsidRPr="007170AC" w:rsidRDefault="000F169C" w:rsidP="000F169C">
            <w:pPr>
              <w:jc w:val="center"/>
              <w:rPr>
                <w:rFonts w:ascii="Times New Roman" w:hAnsi="Times New Roman" w:cs="Times New Roman"/>
                <w:i/>
                <w:color w:val="000000" w:themeColor="text1"/>
                <w:sz w:val="24"/>
                <w:szCs w:val="24"/>
              </w:rPr>
            </w:pPr>
            <w:r w:rsidRPr="007170AC">
              <w:rPr>
                <w:rFonts w:ascii="Times New Roman" w:hAnsi="Times New Roman" w:cs="Times New Roman"/>
                <w:i/>
                <w:color w:val="000000" w:themeColor="text1"/>
                <w:sz w:val="24"/>
                <w:szCs w:val="24"/>
              </w:rPr>
              <w:t xml:space="preserve">Asset quality </w:t>
            </w:r>
            <w:r w:rsidR="00CF2F1F" w:rsidRPr="007170AC">
              <w:rPr>
                <w:rFonts w:ascii="Times New Roman" w:hAnsi="Times New Roman" w:cs="Times New Roman"/>
                <w:i/>
                <w:color w:val="000000" w:themeColor="text1"/>
                <w:sz w:val="24"/>
                <w:szCs w:val="24"/>
              </w:rPr>
              <w:t>(</w:t>
            </w:r>
            <w:r w:rsidR="00E01705" w:rsidRPr="007170AC">
              <w:rPr>
                <w:rFonts w:ascii="Times New Roman" w:hAnsi="Times New Roman" w:cs="Times New Roman"/>
                <w:i/>
                <w:color w:val="000000" w:themeColor="text1"/>
                <w:sz w:val="24"/>
                <w:szCs w:val="24"/>
              </w:rPr>
              <w:t>%)</w:t>
            </w:r>
          </w:p>
        </w:tc>
        <w:tc>
          <w:tcPr>
            <w:tcW w:w="1372" w:type="dxa"/>
          </w:tcPr>
          <w:p w14:paraId="268FBE82" w14:textId="10773A16" w:rsidR="00E01705" w:rsidRDefault="0095510D" w:rsidP="000F169C">
            <w:pPr>
              <w:jc w:val="center"/>
              <w:rPr>
                <w:color w:val="000000" w:themeColor="text1"/>
              </w:rPr>
            </w:pPr>
            <w:r>
              <w:rPr>
                <w:color w:val="000000" w:themeColor="text1"/>
              </w:rPr>
              <w:t>0.</w:t>
            </w:r>
            <w:r w:rsidR="00F6513A">
              <w:rPr>
                <w:color w:val="000000" w:themeColor="text1"/>
              </w:rPr>
              <w:t>23</w:t>
            </w:r>
          </w:p>
        </w:tc>
        <w:tc>
          <w:tcPr>
            <w:tcW w:w="1372" w:type="dxa"/>
          </w:tcPr>
          <w:p w14:paraId="738C4DCD" w14:textId="0B67810D" w:rsidR="00E01705" w:rsidRDefault="0095510D" w:rsidP="000F169C">
            <w:pPr>
              <w:jc w:val="center"/>
              <w:rPr>
                <w:color w:val="000000" w:themeColor="text1"/>
              </w:rPr>
            </w:pPr>
            <w:r>
              <w:rPr>
                <w:color w:val="000000" w:themeColor="text1"/>
              </w:rPr>
              <w:t>0.</w:t>
            </w:r>
            <w:r w:rsidR="00F6513A">
              <w:rPr>
                <w:color w:val="000000" w:themeColor="text1"/>
              </w:rPr>
              <w:t>14</w:t>
            </w:r>
          </w:p>
        </w:tc>
        <w:tc>
          <w:tcPr>
            <w:tcW w:w="1372" w:type="dxa"/>
          </w:tcPr>
          <w:p w14:paraId="6891A3BC" w14:textId="39C86A7C" w:rsidR="00E01705" w:rsidRDefault="0095510D" w:rsidP="000F169C">
            <w:pPr>
              <w:jc w:val="center"/>
              <w:rPr>
                <w:color w:val="000000" w:themeColor="text1"/>
              </w:rPr>
            </w:pPr>
            <w:r>
              <w:rPr>
                <w:color w:val="000000" w:themeColor="text1"/>
              </w:rPr>
              <w:t>0.</w:t>
            </w:r>
            <w:r w:rsidR="00F6513A">
              <w:rPr>
                <w:color w:val="000000" w:themeColor="text1"/>
              </w:rPr>
              <w:t>15</w:t>
            </w:r>
          </w:p>
        </w:tc>
        <w:tc>
          <w:tcPr>
            <w:tcW w:w="1373" w:type="dxa"/>
          </w:tcPr>
          <w:p w14:paraId="364363A6" w14:textId="090137DC" w:rsidR="00E01705" w:rsidRDefault="0095510D" w:rsidP="000F169C">
            <w:pPr>
              <w:jc w:val="center"/>
              <w:rPr>
                <w:color w:val="000000" w:themeColor="text1"/>
              </w:rPr>
            </w:pPr>
            <w:r>
              <w:rPr>
                <w:color w:val="000000" w:themeColor="text1"/>
              </w:rPr>
              <w:t>0.</w:t>
            </w:r>
            <w:r w:rsidR="00F6513A">
              <w:rPr>
                <w:color w:val="000000" w:themeColor="text1"/>
              </w:rPr>
              <w:t>18</w:t>
            </w:r>
          </w:p>
        </w:tc>
        <w:tc>
          <w:tcPr>
            <w:tcW w:w="1373" w:type="dxa"/>
          </w:tcPr>
          <w:p w14:paraId="5252B6EA" w14:textId="40F25C41" w:rsidR="00E01705" w:rsidRDefault="0095510D" w:rsidP="000F169C">
            <w:pPr>
              <w:jc w:val="center"/>
              <w:rPr>
                <w:color w:val="000000" w:themeColor="text1"/>
              </w:rPr>
            </w:pPr>
            <w:r>
              <w:rPr>
                <w:color w:val="000000" w:themeColor="text1"/>
              </w:rPr>
              <w:t>0.</w:t>
            </w:r>
            <w:r w:rsidR="00F6513A">
              <w:rPr>
                <w:color w:val="000000" w:themeColor="text1"/>
              </w:rPr>
              <w:t>21</w:t>
            </w:r>
          </w:p>
          <w:p w14:paraId="4A400028" w14:textId="77777777" w:rsidR="00E01705" w:rsidRDefault="00E01705" w:rsidP="000F169C">
            <w:pPr>
              <w:jc w:val="center"/>
              <w:rPr>
                <w:color w:val="000000" w:themeColor="text1"/>
              </w:rPr>
            </w:pPr>
          </w:p>
        </w:tc>
        <w:tc>
          <w:tcPr>
            <w:tcW w:w="1374" w:type="dxa"/>
          </w:tcPr>
          <w:p w14:paraId="76891298" w14:textId="1881CFBE" w:rsidR="00E01705" w:rsidRPr="000F169C" w:rsidRDefault="0095510D" w:rsidP="00540785">
            <w:pPr>
              <w:jc w:val="center"/>
              <w:rPr>
                <w:color w:val="000000" w:themeColor="text1"/>
              </w:rPr>
            </w:pPr>
            <w:r w:rsidRPr="000F169C">
              <w:rPr>
                <w:color w:val="000000" w:themeColor="text1"/>
              </w:rPr>
              <w:t>0.</w:t>
            </w:r>
            <w:r w:rsidR="000F169C" w:rsidRPr="000F169C">
              <w:rPr>
                <w:color w:val="000000" w:themeColor="text1"/>
              </w:rPr>
              <w:t>13</w:t>
            </w:r>
          </w:p>
          <w:p w14:paraId="1452CD82" w14:textId="4A2B347A" w:rsidR="00540785" w:rsidRDefault="00540785" w:rsidP="00676B54">
            <w:pPr>
              <w:keepNext/>
              <w:jc w:val="center"/>
              <w:rPr>
                <w:color w:val="000000" w:themeColor="text1"/>
              </w:rPr>
            </w:pPr>
          </w:p>
        </w:tc>
      </w:tr>
    </w:tbl>
    <w:p w14:paraId="31115D09" w14:textId="77777777" w:rsidR="00676B54" w:rsidRDefault="00676B54" w:rsidP="00676B54">
      <w:pPr>
        <w:pStyle w:val="Caption"/>
      </w:pPr>
      <w:r>
        <w:t xml:space="preserve">Source:  Annual report Lloyds Banking plc and Barclays Group plc. </w:t>
      </w:r>
    </w:p>
    <w:p w14:paraId="16B12ADC" w14:textId="39168C4E" w:rsidR="00E01705" w:rsidRPr="00814863" w:rsidRDefault="00E01705" w:rsidP="00676B54">
      <w:pPr>
        <w:pStyle w:val="Caption"/>
        <w:rPr>
          <w:rFonts w:cs="Arial"/>
          <w:color w:val="000000"/>
          <w:shd w:val="clear" w:color="auto" w:fill="FCFCFC"/>
        </w:rPr>
      </w:pPr>
    </w:p>
    <w:p w14:paraId="367C7C55" w14:textId="004191F0" w:rsidR="0022133B" w:rsidRDefault="00540785" w:rsidP="00430C87">
      <w:r>
        <w:rPr>
          <w:noProof/>
        </w:rPr>
        <w:lastRenderedPageBreak/>
        <w:drawing>
          <wp:inline distT="0" distB="0" distL="0" distR="0" wp14:anchorId="6E885AE2" wp14:editId="27803A7C">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C85295" w14:textId="77777777" w:rsidR="00021BA7" w:rsidRDefault="00021BA7" w:rsidP="00CD0B00"/>
    <w:p w14:paraId="7C895F67" w14:textId="5010EFCF" w:rsidR="00385415" w:rsidRDefault="00F405B9" w:rsidP="00CD0B00">
      <w:pPr>
        <w:rPr>
          <w:rFonts w:ascii="Times New Roman" w:hAnsi="Times New Roman" w:cs="Times New Roman"/>
          <w:sz w:val="24"/>
          <w:szCs w:val="24"/>
        </w:rPr>
      </w:pPr>
      <w:r w:rsidRPr="00CD0B00">
        <w:rPr>
          <w:rFonts w:ascii="Times New Roman" w:hAnsi="Times New Roman" w:cs="Times New Roman"/>
          <w:sz w:val="24"/>
          <w:szCs w:val="24"/>
        </w:rPr>
        <w:t>Asset quality ratio</w:t>
      </w:r>
      <w:r w:rsidR="00F841B4" w:rsidRPr="00CD0B00">
        <w:rPr>
          <w:rFonts w:ascii="Times New Roman" w:hAnsi="Times New Roman" w:cs="Times New Roman"/>
          <w:sz w:val="24"/>
          <w:szCs w:val="24"/>
        </w:rPr>
        <w:t xml:space="preserve"> </w:t>
      </w:r>
      <w:r w:rsidR="00CD2B3A" w:rsidRPr="00CD0B00">
        <w:rPr>
          <w:rFonts w:ascii="Times New Roman" w:hAnsi="Times New Roman" w:cs="Times New Roman"/>
          <w:sz w:val="24"/>
          <w:szCs w:val="24"/>
        </w:rPr>
        <w:t xml:space="preserve">has been more fluctuated than other ratios calculated above. </w:t>
      </w:r>
      <w:r w:rsidR="00DB638C" w:rsidRPr="00CD0B00">
        <w:rPr>
          <w:rFonts w:ascii="Times New Roman" w:hAnsi="Times New Roman" w:cs="Times New Roman"/>
          <w:sz w:val="24"/>
          <w:szCs w:val="24"/>
        </w:rPr>
        <w:t xml:space="preserve">It is preferable </w:t>
      </w:r>
      <w:r w:rsidR="00D367F1">
        <w:rPr>
          <w:rFonts w:ascii="Times New Roman" w:hAnsi="Times New Roman" w:cs="Times New Roman"/>
          <w:sz w:val="24"/>
          <w:szCs w:val="24"/>
        </w:rPr>
        <w:t>that the</w:t>
      </w:r>
      <w:r w:rsidR="00E0714C" w:rsidRPr="00CD0B00">
        <w:rPr>
          <w:rFonts w:ascii="Times New Roman" w:hAnsi="Times New Roman" w:cs="Times New Roman"/>
          <w:sz w:val="24"/>
          <w:szCs w:val="24"/>
        </w:rPr>
        <w:t xml:space="preserve"> NPL </w:t>
      </w:r>
      <w:r w:rsidR="00DB638C" w:rsidRPr="00CD0B00">
        <w:rPr>
          <w:rFonts w:ascii="Times New Roman" w:hAnsi="Times New Roman" w:cs="Times New Roman"/>
          <w:sz w:val="24"/>
          <w:szCs w:val="24"/>
        </w:rPr>
        <w:t>ratio</w:t>
      </w:r>
      <w:r w:rsidR="00D715F4">
        <w:rPr>
          <w:rFonts w:ascii="Times New Roman" w:hAnsi="Times New Roman" w:cs="Times New Roman"/>
          <w:sz w:val="24"/>
          <w:szCs w:val="24"/>
        </w:rPr>
        <w:t xml:space="preserve"> stays </w:t>
      </w:r>
      <w:r w:rsidR="00807A91" w:rsidRPr="00CD0B00">
        <w:rPr>
          <w:rFonts w:ascii="Times New Roman" w:hAnsi="Times New Roman" w:cs="Times New Roman"/>
          <w:sz w:val="24"/>
          <w:szCs w:val="24"/>
        </w:rPr>
        <w:t>lower as possible</w:t>
      </w:r>
      <w:r w:rsidR="00C0646D" w:rsidRPr="00CD0B00">
        <w:rPr>
          <w:rFonts w:ascii="Times New Roman" w:hAnsi="Times New Roman" w:cs="Times New Roman"/>
          <w:sz w:val="24"/>
          <w:szCs w:val="24"/>
        </w:rPr>
        <w:t xml:space="preserve"> </w:t>
      </w:r>
      <w:r w:rsidR="00D715F4">
        <w:rPr>
          <w:rFonts w:ascii="Times New Roman" w:hAnsi="Times New Roman" w:cs="Times New Roman"/>
          <w:sz w:val="24"/>
          <w:szCs w:val="24"/>
        </w:rPr>
        <w:t>because</w:t>
      </w:r>
      <w:r w:rsidR="00C0646D" w:rsidRPr="00CD0B00">
        <w:rPr>
          <w:rFonts w:ascii="Times New Roman" w:hAnsi="Times New Roman" w:cs="Times New Roman"/>
          <w:sz w:val="24"/>
          <w:szCs w:val="24"/>
        </w:rPr>
        <w:t xml:space="preserve"> a </w:t>
      </w:r>
      <w:r w:rsidR="00E41007" w:rsidRPr="00CD0B00">
        <w:rPr>
          <w:rFonts w:ascii="Times New Roman" w:hAnsi="Times New Roman" w:cs="Times New Roman"/>
          <w:sz w:val="24"/>
          <w:szCs w:val="24"/>
        </w:rPr>
        <w:t xml:space="preserve">high level of </w:t>
      </w:r>
      <w:r w:rsidR="006615CD" w:rsidRPr="00CD0B00">
        <w:rPr>
          <w:rFonts w:ascii="Times New Roman" w:hAnsi="Times New Roman" w:cs="Times New Roman"/>
          <w:sz w:val="24"/>
          <w:szCs w:val="24"/>
        </w:rPr>
        <w:t xml:space="preserve">NPL can reduce bank’s </w:t>
      </w:r>
      <w:r w:rsidR="00DB315E" w:rsidRPr="00CD0B00">
        <w:rPr>
          <w:rFonts w:ascii="Times New Roman" w:hAnsi="Times New Roman" w:cs="Times New Roman"/>
          <w:sz w:val="24"/>
          <w:szCs w:val="24"/>
        </w:rPr>
        <w:t xml:space="preserve">profitability and their ability to lend. </w:t>
      </w:r>
      <w:r w:rsidR="00807A91" w:rsidRPr="00CD0B00">
        <w:rPr>
          <w:rFonts w:ascii="Times New Roman" w:hAnsi="Times New Roman" w:cs="Times New Roman"/>
          <w:sz w:val="24"/>
          <w:szCs w:val="24"/>
        </w:rPr>
        <w:t xml:space="preserve"> </w:t>
      </w:r>
      <w:r w:rsidR="00CF2F1F" w:rsidRPr="00CD0B00">
        <w:rPr>
          <w:rFonts w:ascii="Times New Roman" w:hAnsi="Times New Roman" w:cs="Times New Roman"/>
          <w:sz w:val="24"/>
          <w:szCs w:val="24"/>
        </w:rPr>
        <w:t>Therefore, the grater NPL occurred in 2015 and the worse one in 2014.</w:t>
      </w:r>
      <w:r w:rsidR="00C0394F">
        <w:rPr>
          <w:rFonts w:ascii="Times New Roman" w:hAnsi="Times New Roman" w:cs="Times New Roman"/>
          <w:sz w:val="24"/>
          <w:szCs w:val="24"/>
        </w:rPr>
        <w:t xml:space="preserve"> </w:t>
      </w:r>
    </w:p>
    <w:p w14:paraId="651C81FC" w14:textId="262F40C9" w:rsidR="00925E24" w:rsidRPr="00CD0B00" w:rsidRDefault="00C0394F" w:rsidP="00CD0B00">
      <w:pPr>
        <w:rPr>
          <w:rFonts w:ascii="Times New Roman" w:hAnsi="Times New Roman" w:cs="Times New Roman"/>
          <w:sz w:val="24"/>
          <w:szCs w:val="24"/>
        </w:rPr>
      </w:pPr>
      <w:r>
        <w:rPr>
          <w:rFonts w:ascii="Times New Roman" w:hAnsi="Times New Roman" w:cs="Times New Roman"/>
          <w:sz w:val="24"/>
          <w:szCs w:val="24"/>
        </w:rPr>
        <w:t xml:space="preserve">In fact, </w:t>
      </w:r>
      <w:r w:rsidR="00385415">
        <w:rPr>
          <w:rFonts w:ascii="Times New Roman" w:hAnsi="Times New Roman" w:cs="Times New Roman"/>
          <w:sz w:val="24"/>
          <w:szCs w:val="24"/>
        </w:rPr>
        <w:t>i</w:t>
      </w:r>
      <w:r w:rsidR="00925E24" w:rsidRPr="00CD0B00">
        <w:rPr>
          <w:rFonts w:ascii="Times New Roman" w:hAnsi="Times New Roman" w:cs="Times New Roman"/>
          <w:sz w:val="24"/>
          <w:szCs w:val="24"/>
        </w:rPr>
        <w:t>n 2015</w:t>
      </w:r>
      <w:r w:rsidR="00D25D54" w:rsidRPr="00CD0B00">
        <w:rPr>
          <w:rFonts w:ascii="Times New Roman" w:hAnsi="Times New Roman" w:cs="Times New Roman"/>
          <w:sz w:val="24"/>
          <w:szCs w:val="24"/>
        </w:rPr>
        <w:t>, the impairment charge was £</w:t>
      </w:r>
      <w:r w:rsidR="00CD0B00">
        <w:rPr>
          <w:rFonts w:ascii="Times New Roman" w:hAnsi="Times New Roman" w:cs="Times New Roman"/>
          <w:sz w:val="24"/>
          <w:szCs w:val="24"/>
        </w:rPr>
        <w:t>m</w:t>
      </w:r>
      <w:r w:rsidR="00D25D54" w:rsidRPr="00CD0B00">
        <w:rPr>
          <w:rFonts w:ascii="Times New Roman" w:hAnsi="Times New Roman" w:cs="Times New Roman"/>
          <w:sz w:val="24"/>
          <w:szCs w:val="24"/>
        </w:rPr>
        <w:t>568 (48%</w:t>
      </w:r>
      <w:r w:rsidR="006979C1" w:rsidRPr="00CD0B00">
        <w:rPr>
          <w:rFonts w:ascii="Times New Roman" w:hAnsi="Times New Roman" w:cs="Times New Roman"/>
          <w:sz w:val="24"/>
          <w:szCs w:val="24"/>
        </w:rPr>
        <w:t xml:space="preserve"> lower than 2014) as a result of the significant reduction in run</w:t>
      </w:r>
      <w:r w:rsidR="00010E7F" w:rsidRPr="00CD0B00">
        <w:rPr>
          <w:rFonts w:ascii="Times New Roman" w:hAnsi="Times New Roman" w:cs="Times New Roman"/>
          <w:sz w:val="24"/>
          <w:szCs w:val="24"/>
        </w:rPr>
        <w:t>-off business and improvement in all division</w:t>
      </w:r>
      <w:r w:rsidR="00407209" w:rsidRPr="00CD0B00">
        <w:rPr>
          <w:rFonts w:ascii="Times New Roman" w:hAnsi="Times New Roman" w:cs="Times New Roman"/>
          <w:sz w:val="24"/>
          <w:szCs w:val="24"/>
        </w:rPr>
        <w:t xml:space="preserve"> (Annual report</w:t>
      </w:r>
      <w:r w:rsidR="003859B9">
        <w:rPr>
          <w:rFonts w:ascii="Times New Roman" w:hAnsi="Times New Roman" w:cs="Times New Roman"/>
          <w:sz w:val="24"/>
          <w:szCs w:val="24"/>
        </w:rPr>
        <w:t xml:space="preserve"> </w:t>
      </w:r>
      <w:r w:rsidR="00AD760D">
        <w:rPr>
          <w:rFonts w:ascii="Times New Roman" w:hAnsi="Times New Roman" w:cs="Times New Roman"/>
          <w:sz w:val="24"/>
          <w:szCs w:val="24"/>
        </w:rPr>
        <w:t xml:space="preserve">- </w:t>
      </w:r>
      <w:r w:rsidR="00AD760D" w:rsidRPr="00CD0B00">
        <w:rPr>
          <w:rFonts w:ascii="Times New Roman" w:hAnsi="Times New Roman" w:cs="Times New Roman"/>
          <w:sz w:val="24"/>
          <w:szCs w:val="24"/>
        </w:rPr>
        <w:t>Lloyds</w:t>
      </w:r>
      <w:r w:rsidR="00407209" w:rsidRPr="00CD0B00">
        <w:rPr>
          <w:rFonts w:ascii="Times New Roman" w:hAnsi="Times New Roman" w:cs="Times New Roman"/>
          <w:sz w:val="24"/>
          <w:szCs w:val="24"/>
        </w:rPr>
        <w:t>, 2015)</w:t>
      </w:r>
      <w:r w:rsidR="00A74229" w:rsidRPr="00CD0B00">
        <w:rPr>
          <w:rFonts w:ascii="Times New Roman" w:hAnsi="Times New Roman" w:cs="Times New Roman"/>
          <w:sz w:val="24"/>
          <w:szCs w:val="24"/>
        </w:rPr>
        <w:t xml:space="preserve">. </w:t>
      </w:r>
      <w:r w:rsidR="00721A2E">
        <w:rPr>
          <w:rFonts w:ascii="Times New Roman" w:hAnsi="Times New Roman" w:cs="Times New Roman"/>
          <w:sz w:val="24"/>
          <w:szCs w:val="24"/>
        </w:rPr>
        <w:t xml:space="preserve">Barclays performed </w:t>
      </w:r>
      <w:r w:rsidR="008C144D">
        <w:rPr>
          <w:rFonts w:ascii="Times New Roman" w:hAnsi="Times New Roman" w:cs="Times New Roman"/>
          <w:sz w:val="24"/>
          <w:szCs w:val="24"/>
        </w:rPr>
        <w:t xml:space="preserve">better. </w:t>
      </w:r>
    </w:p>
    <w:p w14:paraId="75816F67" w14:textId="546EB5F2" w:rsidR="00A608ED" w:rsidRDefault="00A608ED" w:rsidP="00430C87"/>
    <w:p w14:paraId="7D5DEBBD" w14:textId="1911070D" w:rsidR="00C15629" w:rsidRPr="00F46359" w:rsidRDefault="00D66FE9" w:rsidP="00D66FE9">
      <w:pPr>
        <w:pStyle w:val="Heading1"/>
        <w:rPr>
          <w:rFonts w:ascii="Times New Roman" w:hAnsi="Times New Roman" w:cs="Times New Roman"/>
          <w:sz w:val="28"/>
          <w:szCs w:val="28"/>
        </w:rPr>
      </w:pPr>
      <w:bookmarkStart w:id="6" w:name="_Toc18488768"/>
      <w:r w:rsidRPr="00F46359">
        <w:rPr>
          <w:rFonts w:ascii="Times New Roman" w:hAnsi="Times New Roman" w:cs="Times New Roman"/>
          <w:sz w:val="28"/>
          <w:szCs w:val="28"/>
        </w:rPr>
        <w:t>R</w:t>
      </w:r>
      <w:r w:rsidR="00AA1F6D" w:rsidRPr="00F46359">
        <w:rPr>
          <w:rFonts w:ascii="Times New Roman" w:hAnsi="Times New Roman" w:cs="Times New Roman"/>
          <w:sz w:val="28"/>
          <w:szCs w:val="28"/>
        </w:rPr>
        <w:t>isks</w:t>
      </w:r>
      <w:bookmarkEnd w:id="6"/>
    </w:p>
    <w:p w14:paraId="7AD7A5B1" w14:textId="0887F8F7" w:rsidR="00222AEC" w:rsidRDefault="00290AA3" w:rsidP="004A5CC3">
      <w:pPr>
        <w:rPr>
          <w:rFonts w:ascii="Times New Roman" w:hAnsi="Times New Roman" w:cs="Times New Roman"/>
          <w:sz w:val="24"/>
          <w:szCs w:val="24"/>
        </w:rPr>
      </w:pPr>
      <w:r>
        <w:rPr>
          <w:rFonts w:ascii="Times New Roman" w:hAnsi="Times New Roman" w:cs="Times New Roman"/>
          <w:sz w:val="24"/>
          <w:szCs w:val="24"/>
        </w:rPr>
        <w:t>S</w:t>
      </w:r>
      <w:r w:rsidR="00222AEC" w:rsidRPr="00290AA3">
        <w:rPr>
          <w:rFonts w:ascii="Times New Roman" w:hAnsi="Times New Roman" w:cs="Times New Roman"/>
          <w:sz w:val="24"/>
          <w:szCs w:val="24"/>
        </w:rPr>
        <w:t xml:space="preserve">ince the financial crisis also known as “subprime mortgage financial crisis” </w:t>
      </w:r>
      <w:r w:rsidR="00871998">
        <w:rPr>
          <w:rFonts w:ascii="Times New Roman" w:hAnsi="Times New Roman" w:cs="Times New Roman"/>
          <w:sz w:val="24"/>
          <w:szCs w:val="24"/>
        </w:rPr>
        <w:t xml:space="preserve">which </w:t>
      </w:r>
      <w:r w:rsidR="00222AEC" w:rsidRPr="00290AA3">
        <w:rPr>
          <w:rFonts w:ascii="Times New Roman" w:hAnsi="Times New Roman" w:cs="Times New Roman"/>
          <w:sz w:val="24"/>
          <w:szCs w:val="24"/>
        </w:rPr>
        <w:t>occurred between 2007 and 20</w:t>
      </w:r>
      <w:r w:rsidR="003F61C9">
        <w:rPr>
          <w:rFonts w:ascii="Times New Roman" w:hAnsi="Times New Roman" w:cs="Times New Roman"/>
          <w:sz w:val="24"/>
          <w:szCs w:val="24"/>
        </w:rPr>
        <w:t>10</w:t>
      </w:r>
      <w:r w:rsidR="00222AEC" w:rsidRPr="00290AA3">
        <w:rPr>
          <w:rFonts w:ascii="Times New Roman" w:hAnsi="Times New Roman" w:cs="Times New Roman"/>
          <w:sz w:val="24"/>
          <w:szCs w:val="24"/>
        </w:rPr>
        <w:t xml:space="preserve">, banks and their regulators have become increasingly vigilant to manage various risk </w:t>
      </w:r>
      <w:r w:rsidR="00E15D20">
        <w:rPr>
          <w:rFonts w:ascii="Times New Roman" w:hAnsi="Times New Roman" w:cs="Times New Roman"/>
          <w:sz w:val="24"/>
          <w:szCs w:val="24"/>
        </w:rPr>
        <w:t>that</w:t>
      </w:r>
      <w:r w:rsidR="00222AEC" w:rsidRPr="00290AA3">
        <w:rPr>
          <w:rFonts w:ascii="Times New Roman" w:hAnsi="Times New Roman" w:cs="Times New Roman"/>
          <w:sz w:val="24"/>
          <w:szCs w:val="24"/>
        </w:rPr>
        <w:t xml:space="preserve"> banks face</w:t>
      </w:r>
      <w:r w:rsidR="00784377">
        <w:rPr>
          <w:rFonts w:ascii="Times New Roman" w:hAnsi="Times New Roman" w:cs="Times New Roman"/>
          <w:sz w:val="24"/>
          <w:szCs w:val="24"/>
        </w:rPr>
        <w:t xml:space="preserve"> </w:t>
      </w:r>
      <w:r w:rsidR="00F227CD">
        <w:rPr>
          <w:rFonts w:ascii="Times New Roman" w:hAnsi="Times New Roman" w:cs="Times New Roman"/>
          <w:sz w:val="24"/>
          <w:szCs w:val="24"/>
        </w:rPr>
        <w:t>every day</w:t>
      </w:r>
      <w:r w:rsidR="00222AEC" w:rsidRPr="00290AA3">
        <w:rPr>
          <w:rFonts w:ascii="Times New Roman" w:hAnsi="Times New Roman" w:cs="Times New Roman"/>
          <w:sz w:val="24"/>
          <w:szCs w:val="24"/>
        </w:rPr>
        <w:t xml:space="preserve">. In this section, credit risk, operational risk and market risk will be reviewed. In addition, some methods to mitigate these risks will be given. In this context, an important contribution has been made by the Basel </w:t>
      </w:r>
      <w:r w:rsidR="006A4EEF">
        <w:rPr>
          <w:rFonts w:ascii="Times New Roman" w:hAnsi="Times New Roman" w:cs="Times New Roman"/>
          <w:sz w:val="24"/>
          <w:szCs w:val="24"/>
        </w:rPr>
        <w:t>C</w:t>
      </w:r>
      <w:r w:rsidR="00222AEC" w:rsidRPr="00290AA3">
        <w:rPr>
          <w:rFonts w:ascii="Times New Roman" w:hAnsi="Times New Roman" w:cs="Times New Roman"/>
          <w:sz w:val="24"/>
          <w:szCs w:val="24"/>
        </w:rPr>
        <w:t>ommittee which has published different consultations where it is explained how to define the minimum capital requirement for each risk. Lloyds Banking Group has a solid and independent risk function which aims to maintain a strong control framework, classify and set up emerging risk and bolster sustainable business growth within risk appetite through great risk reward decisioning.</w:t>
      </w:r>
    </w:p>
    <w:p w14:paraId="512EEFA6" w14:textId="77777777" w:rsidR="00D5641F" w:rsidRPr="004A5CC3" w:rsidRDefault="00D5641F" w:rsidP="004A5CC3">
      <w:pPr>
        <w:rPr>
          <w:rFonts w:ascii="Times New Roman" w:hAnsi="Times New Roman" w:cs="Times New Roman"/>
          <w:sz w:val="24"/>
          <w:szCs w:val="24"/>
        </w:rPr>
      </w:pPr>
    </w:p>
    <w:p w14:paraId="487BE604" w14:textId="77777777" w:rsidR="00222AEC" w:rsidRPr="00F46359" w:rsidRDefault="00222AEC" w:rsidP="00222AEC">
      <w:pPr>
        <w:pStyle w:val="Heading2"/>
        <w:rPr>
          <w:rFonts w:ascii="Times New Roman" w:hAnsi="Times New Roman" w:cs="Times New Roman"/>
          <w:sz w:val="28"/>
          <w:szCs w:val="28"/>
        </w:rPr>
      </w:pPr>
      <w:bookmarkStart w:id="7" w:name="_Toc18488769"/>
      <w:r w:rsidRPr="00F46359">
        <w:rPr>
          <w:rFonts w:ascii="Times New Roman" w:hAnsi="Times New Roman" w:cs="Times New Roman"/>
          <w:sz w:val="28"/>
          <w:szCs w:val="28"/>
        </w:rPr>
        <w:lastRenderedPageBreak/>
        <w:t>C</w:t>
      </w:r>
      <w:r w:rsidRPr="00F46359">
        <w:rPr>
          <w:rStyle w:val="Heading2Char"/>
          <w:rFonts w:ascii="Times New Roman" w:hAnsi="Times New Roman" w:cs="Times New Roman"/>
          <w:sz w:val="28"/>
          <w:szCs w:val="28"/>
        </w:rPr>
        <w:t>redit risk</w:t>
      </w:r>
      <w:bookmarkEnd w:id="7"/>
    </w:p>
    <w:p w14:paraId="5433F6A7" w14:textId="33E76818" w:rsidR="00222AEC" w:rsidRPr="001B7E95" w:rsidRDefault="00222AEC" w:rsidP="001C5A69">
      <w:pPr>
        <w:rPr>
          <w:rFonts w:ascii="Times New Roman" w:hAnsi="Times New Roman" w:cs="Times New Roman"/>
          <w:sz w:val="24"/>
          <w:szCs w:val="24"/>
        </w:rPr>
      </w:pPr>
      <w:r w:rsidRPr="003022B2">
        <w:rPr>
          <w:rFonts w:ascii="Times New Roman" w:hAnsi="Times New Roman" w:cs="Times New Roman"/>
          <w:sz w:val="24"/>
          <w:szCs w:val="24"/>
        </w:rPr>
        <w:t>According to</w:t>
      </w:r>
      <w:r w:rsidR="003022B2">
        <w:rPr>
          <w:rFonts w:ascii="Times New Roman" w:hAnsi="Times New Roman" w:cs="Times New Roman"/>
          <w:sz w:val="24"/>
          <w:szCs w:val="24"/>
        </w:rPr>
        <w:t xml:space="preserve"> Basel Committee</w:t>
      </w:r>
      <w:r w:rsidRPr="003022B2">
        <w:rPr>
          <w:rFonts w:ascii="Times New Roman" w:hAnsi="Times New Roman" w:cs="Times New Roman"/>
          <w:sz w:val="24"/>
          <w:szCs w:val="24"/>
        </w:rPr>
        <w:t xml:space="preserve"> (2000), the credit risk is the potential that borrowers (customers, corporations and other banks) will </w:t>
      </w:r>
      <w:r w:rsidR="00305C92">
        <w:rPr>
          <w:rFonts w:ascii="Times New Roman" w:hAnsi="Times New Roman" w:cs="Times New Roman"/>
          <w:sz w:val="24"/>
          <w:szCs w:val="24"/>
        </w:rPr>
        <w:t xml:space="preserve">be </w:t>
      </w:r>
      <w:r w:rsidRPr="003022B2">
        <w:rPr>
          <w:rFonts w:ascii="Times New Roman" w:hAnsi="Times New Roman" w:cs="Times New Roman"/>
          <w:sz w:val="24"/>
          <w:szCs w:val="24"/>
        </w:rPr>
        <w:t>unable to meet their obligations in conformance with agreed terms. Everyday bank</w:t>
      </w:r>
      <w:r w:rsidR="00235398">
        <w:rPr>
          <w:rFonts w:ascii="Times New Roman" w:hAnsi="Times New Roman" w:cs="Times New Roman"/>
          <w:sz w:val="24"/>
          <w:szCs w:val="24"/>
        </w:rPr>
        <w:t>s</w:t>
      </w:r>
      <w:r w:rsidRPr="003022B2">
        <w:rPr>
          <w:rFonts w:ascii="Times New Roman" w:hAnsi="Times New Roman" w:cs="Times New Roman"/>
          <w:sz w:val="24"/>
          <w:szCs w:val="24"/>
        </w:rPr>
        <w:t xml:space="preserve"> offer credit card, mortgage or other loans; doing that, </w:t>
      </w:r>
      <w:r w:rsidR="00235398">
        <w:rPr>
          <w:rFonts w:ascii="Times New Roman" w:hAnsi="Times New Roman" w:cs="Times New Roman"/>
          <w:sz w:val="24"/>
          <w:szCs w:val="24"/>
        </w:rPr>
        <w:t>they</w:t>
      </w:r>
      <w:r w:rsidRPr="003022B2">
        <w:rPr>
          <w:rFonts w:ascii="Times New Roman" w:hAnsi="Times New Roman" w:cs="Times New Roman"/>
          <w:sz w:val="24"/>
          <w:szCs w:val="24"/>
        </w:rPr>
        <w:t xml:space="preserve"> face the risk that borrower may not pay back their loan (principal and interests).  Therefore, lenders </w:t>
      </w:r>
      <w:proofErr w:type="gramStart"/>
      <w:r w:rsidRPr="001B7E95">
        <w:rPr>
          <w:rFonts w:ascii="Times New Roman" w:hAnsi="Times New Roman" w:cs="Times New Roman"/>
          <w:i/>
          <w:sz w:val="24"/>
          <w:szCs w:val="24"/>
        </w:rPr>
        <w:t>have to</w:t>
      </w:r>
      <w:proofErr w:type="gramEnd"/>
      <w:r w:rsidRPr="003022B2">
        <w:rPr>
          <w:rFonts w:ascii="Times New Roman" w:hAnsi="Times New Roman" w:cs="Times New Roman"/>
          <w:sz w:val="24"/>
          <w:szCs w:val="24"/>
        </w:rPr>
        <w:t xml:space="preserve"> analyse the borrower’s historical financial data. The higher the ability to repay, the lower the interests bank</w:t>
      </w:r>
      <w:r w:rsidR="002B0B23">
        <w:rPr>
          <w:rFonts w:ascii="Times New Roman" w:hAnsi="Times New Roman" w:cs="Times New Roman"/>
          <w:sz w:val="24"/>
          <w:szCs w:val="24"/>
        </w:rPr>
        <w:t>s</w:t>
      </w:r>
      <w:r w:rsidRPr="003022B2">
        <w:rPr>
          <w:rFonts w:ascii="Times New Roman" w:hAnsi="Times New Roman" w:cs="Times New Roman"/>
          <w:sz w:val="24"/>
          <w:szCs w:val="24"/>
        </w:rPr>
        <w:t xml:space="preserve"> will </w:t>
      </w:r>
      <w:r w:rsidRPr="001B7E95">
        <w:rPr>
          <w:rFonts w:ascii="Times New Roman" w:hAnsi="Times New Roman" w:cs="Times New Roman"/>
          <w:sz w:val="24"/>
          <w:szCs w:val="24"/>
        </w:rPr>
        <w:t xml:space="preserve">charge. </w:t>
      </w:r>
    </w:p>
    <w:p w14:paraId="688A3E48" w14:textId="27CD38D5" w:rsidR="00222AEC" w:rsidRPr="001B7E95" w:rsidRDefault="00222AEC" w:rsidP="001C5A69">
      <w:pPr>
        <w:rPr>
          <w:rFonts w:ascii="Times New Roman" w:hAnsi="Times New Roman" w:cs="Times New Roman"/>
          <w:sz w:val="24"/>
          <w:szCs w:val="24"/>
        </w:rPr>
      </w:pPr>
      <w:r w:rsidRPr="001B7E95">
        <w:rPr>
          <w:rFonts w:ascii="Times New Roman" w:hAnsi="Times New Roman" w:cs="Times New Roman"/>
          <w:sz w:val="24"/>
          <w:szCs w:val="24"/>
        </w:rPr>
        <w:t xml:space="preserve">According to </w:t>
      </w:r>
      <w:r w:rsidR="00AC7847">
        <w:rPr>
          <w:rFonts w:ascii="Times New Roman" w:hAnsi="Times New Roman" w:cs="Times New Roman"/>
          <w:sz w:val="24"/>
          <w:szCs w:val="24"/>
        </w:rPr>
        <w:t xml:space="preserve">Basel </w:t>
      </w:r>
      <w:r w:rsidR="005C40F1">
        <w:rPr>
          <w:rFonts w:ascii="Times New Roman" w:hAnsi="Times New Roman" w:cs="Times New Roman"/>
          <w:sz w:val="24"/>
          <w:szCs w:val="24"/>
        </w:rPr>
        <w:t>C</w:t>
      </w:r>
      <w:r w:rsidR="00AC7847">
        <w:rPr>
          <w:rFonts w:ascii="Times New Roman" w:hAnsi="Times New Roman" w:cs="Times New Roman"/>
          <w:sz w:val="24"/>
          <w:szCs w:val="24"/>
        </w:rPr>
        <w:t>ommittee</w:t>
      </w:r>
      <w:r w:rsidRPr="001B7E95">
        <w:rPr>
          <w:rFonts w:ascii="Times New Roman" w:hAnsi="Times New Roman" w:cs="Times New Roman"/>
          <w:sz w:val="24"/>
          <w:szCs w:val="24"/>
        </w:rPr>
        <w:t xml:space="preserve"> (2000), loans are the biggest and most obvious source of bank’s revenue, but on the other hand loans arise the credit risk. Other instrument</w:t>
      </w:r>
      <w:r w:rsidR="0071791A">
        <w:rPr>
          <w:rFonts w:ascii="Times New Roman" w:hAnsi="Times New Roman" w:cs="Times New Roman"/>
          <w:sz w:val="24"/>
          <w:szCs w:val="24"/>
        </w:rPr>
        <w:t>s</w:t>
      </w:r>
      <w:r w:rsidRPr="001B7E95">
        <w:rPr>
          <w:rFonts w:ascii="Times New Roman" w:hAnsi="Times New Roman" w:cs="Times New Roman"/>
          <w:sz w:val="24"/>
          <w:szCs w:val="24"/>
        </w:rPr>
        <w:t xml:space="preserve"> which can increase the credit risk are: acceptances, foreign exchange transactions, interbank transactions, equity and bonds. </w:t>
      </w:r>
    </w:p>
    <w:p w14:paraId="1A84334A" w14:textId="5C5FBCF8" w:rsidR="00222AEC" w:rsidRDefault="0071791A" w:rsidP="001C5A69">
      <w:pPr>
        <w:rPr>
          <w:rFonts w:ascii="Times New Roman" w:hAnsi="Times New Roman" w:cs="Times New Roman"/>
          <w:sz w:val="24"/>
          <w:szCs w:val="24"/>
        </w:rPr>
      </w:pPr>
      <w:r>
        <w:rPr>
          <w:rFonts w:ascii="Times New Roman" w:hAnsi="Times New Roman" w:cs="Times New Roman"/>
          <w:sz w:val="24"/>
          <w:szCs w:val="24"/>
        </w:rPr>
        <w:t>The main sou</w:t>
      </w:r>
      <w:r w:rsidR="00C96375">
        <w:rPr>
          <w:rFonts w:ascii="Times New Roman" w:hAnsi="Times New Roman" w:cs="Times New Roman"/>
          <w:sz w:val="24"/>
          <w:szCs w:val="24"/>
        </w:rPr>
        <w:t xml:space="preserve">rce of credit risk for Lloyds Banking Group have been </w:t>
      </w:r>
      <w:r w:rsidR="00222AEC" w:rsidRPr="001B7E95">
        <w:rPr>
          <w:rFonts w:ascii="Times New Roman" w:hAnsi="Times New Roman" w:cs="Times New Roman"/>
          <w:sz w:val="24"/>
          <w:szCs w:val="24"/>
        </w:rPr>
        <w:t>Loans and advances, commitments contingent and liabilities</w:t>
      </w:r>
      <w:r w:rsidR="00C96375">
        <w:rPr>
          <w:rFonts w:ascii="Times New Roman" w:hAnsi="Times New Roman" w:cs="Times New Roman"/>
          <w:sz w:val="24"/>
          <w:szCs w:val="24"/>
        </w:rPr>
        <w:t xml:space="preserve">. </w:t>
      </w:r>
      <w:r w:rsidR="00222AEC" w:rsidRPr="001B7E95">
        <w:rPr>
          <w:rFonts w:ascii="Times New Roman" w:hAnsi="Times New Roman" w:cs="Times New Roman"/>
          <w:sz w:val="24"/>
          <w:szCs w:val="24"/>
        </w:rPr>
        <w:t>The Group measure</w:t>
      </w:r>
      <w:r w:rsidR="0055495D">
        <w:rPr>
          <w:rFonts w:ascii="Times New Roman" w:hAnsi="Times New Roman" w:cs="Times New Roman"/>
          <w:sz w:val="24"/>
          <w:szCs w:val="24"/>
        </w:rPr>
        <w:t>s</w:t>
      </w:r>
      <w:r w:rsidR="00222AEC" w:rsidRPr="001B7E95">
        <w:rPr>
          <w:rFonts w:ascii="Times New Roman" w:hAnsi="Times New Roman" w:cs="Times New Roman"/>
          <w:sz w:val="24"/>
          <w:szCs w:val="24"/>
        </w:rPr>
        <w:t xml:space="preserve"> credit risk through internal Ratings- based approach (IRB) as suggested by the Basel </w:t>
      </w:r>
      <w:r w:rsidR="00D00926">
        <w:rPr>
          <w:rFonts w:ascii="Times New Roman" w:hAnsi="Times New Roman" w:cs="Times New Roman"/>
          <w:sz w:val="24"/>
          <w:szCs w:val="24"/>
        </w:rPr>
        <w:t>C</w:t>
      </w:r>
      <w:r w:rsidR="00222AEC" w:rsidRPr="001B7E95">
        <w:rPr>
          <w:rFonts w:ascii="Times New Roman" w:hAnsi="Times New Roman" w:cs="Times New Roman"/>
          <w:sz w:val="24"/>
          <w:szCs w:val="24"/>
        </w:rPr>
        <w:t xml:space="preserve">ommittee (Basel II). According to </w:t>
      </w:r>
      <w:r w:rsidR="00D00926">
        <w:rPr>
          <w:rFonts w:ascii="Times New Roman" w:hAnsi="Times New Roman" w:cs="Times New Roman"/>
          <w:sz w:val="24"/>
          <w:szCs w:val="24"/>
        </w:rPr>
        <w:t>Basel Committee</w:t>
      </w:r>
      <w:r w:rsidR="00222AEC" w:rsidRPr="001B7E95">
        <w:rPr>
          <w:rFonts w:ascii="Times New Roman" w:hAnsi="Times New Roman" w:cs="Times New Roman"/>
          <w:sz w:val="24"/>
          <w:szCs w:val="24"/>
        </w:rPr>
        <w:t xml:space="preserve"> (2001), IRB approach measure</w:t>
      </w:r>
      <w:r w:rsidR="00896785">
        <w:rPr>
          <w:rFonts w:ascii="Times New Roman" w:hAnsi="Times New Roman" w:cs="Times New Roman"/>
          <w:sz w:val="24"/>
          <w:szCs w:val="24"/>
        </w:rPr>
        <w:t>s the</w:t>
      </w:r>
      <w:r w:rsidR="00222AEC" w:rsidRPr="001B7E95">
        <w:rPr>
          <w:rFonts w:ascii="Times New Roman" w:hAnsi="Times New Roman" w:cs="Times New Roman"/>
          <w:sz w:val="24"/>
          <w:szCs w:val="24"/>
        </w:rPr>
        <w:t xml:space="preserve"> credit risk</w:t>
      </w:r>
      <w:r w:rsidR="00896785">
        <w:rPr>
          <w:rFonts w:ascii="Times New Roman" w:hAnsi="Times New Roman" w:cs="Times New Roman"/>
          <w:sz w:val="24"/>
          <w:szCs w:val="24"/>
        </w:rPr>
        <w:t xml:space="preserve"> by</w:t>
      </w:r>
      <w:r w:rsidR="00222AEC" w:rsidRPr="001B7E95">
        <w:rPr>
          <w:rFonts w:ascii="Times New Roman" w:hAnsi="Times New Roman" w:cs="Times New Roman"/>
          <w:sz w:val="24"/>
          <w:szCs w:val="24"/>
        </w:rPr>
        <w:t xml:space="preserve"> exanimating </w:t>
      </w:r>
      <w:r w:rsidR="00220B73">
        <w:rPr>
          <w:rFonts w:ascii="Times New Roman" w:hAnsi="Times New Roman" w:cs="Times New Roman"/>
          <w:sz w:val="24"/>
          <w:szCs w:val="24"/>
        </w:rPr>
        <w:t xml:space="preserve">the </w:t>
      </w:r>
      <w:r w:rsidR="00222AEC" w:rsidRPr="001B7E95">
        <w:rPr>
          <w:rFonts w:ascii="Times New Roman" w:hAnsi="Times New Roman" w:cs="Times New Roman"/>
          <w:sz w:val="24"/>
          <w:szCs w:val="24"/>
        </w:rPr>
        <w:t>characteristics of borrower</w:t>
      </w:r>
      <w:r w:rsidR="00220B73">
        <w:rPr>
          <w:rFonts w:ascii="Times New Roman" w:hAnsi="Times New Roman" w:cs="Times New Roman"/>
          <w:sz w:val="24"/>
          <w:szCs w:val="24"/>
        </w:rPr>
        <w:t>s</w:t>
      </w:r>
      <w:r w:rsidR="00222AEC" w:rsidRPr="001B7E95">
        <w:rPr>
          <w:rFonts w:ascii="Times New Roman" w:hAnsi="Times New Roman" w:cs="Times New Roman"/>
          <w:sz w:val="24"/>
          <w:szCs w:val="24"/>
        </w:rPr>
        <w:t xml:space="preserve"> and specific type of transaction</w:t>
      </w:r>
      <w:r w:rsidR="00220B73">
        <w:rPr>
          <w:rFonts w:ascii="Times New Roman" w:hAnsi="Times New Roman" w:cs="Times New Roman"/>
          <w:sz w:val="24"/>
          <w:szCs w:val="24"/>
        </w:rPr>
        <w:t>s</w:t>
      </w:r>
      <w:r w:rsidR="00222AEC" w:rsidRPr="001B7E95">
        <w:rPr>
          <w:rFonts w:ascii="Times New Roman" w:hAnsi="Times New Roman" w:cs="Times New Roman"/>
          <w:sz w:val="24"/>
          <w:szCs w:val="24"/>
        </w:rPr>
        <w:t xml:space="preserve"> as well. The derivation of risk-weighted depends on: </w:t>
      </w:r>
      <w:r w:rsidR="00222AEC" w:rsidRPr="00D45E29">
        <w:rPr>
          <w:rFonts w:ascii="Times New Roman" w:hAnsi="Times New Roman" w:cs="Times New Roman"/>
          <w:i/>
          <w:sz w:val="24"/>
          <w:szCs w:val="24"/>
        </w:rPr>
        <w:t>probability of default</w:t>
      </w:r>
      <w:r w:rsidR="00222AEC" w:rsidRPr="001B7E95">
        <w:rPr>
          <w:rFonts w:ascii="Times New Roman" w:hAnsi="Times New Roman" w:cs="Times New Roman"/>
          <w:sz w:val="24"/>
          <w:szCs w:val="24"/>
        </w:rPr>
        <w:t xml:space="preserve"> (characteristics of borrower and economic environment), </w:t>
      </w:r>
      <w:r w:rsidR="00222AEC" w:rsidRPr="00D45E29">
        <w:rPr>
          <w:rFonts w:ascii="Times New Roman" w:hAnsi="Times New Roman" w:cs="Times New Roman"/>
          <w:i/>
          <w:sz w:val="24"/>
          <w:szCs w:val="24"/>
        </w:rPr>
        <w:t>exposure of default</w:t>
      </w:r>
      <w:r w:rsidR="00222AEC" w:rsidRPr="001B7E95">
        <w:rPr>
          <w:rFonts w:ascii="Times New Roman" w:hAnsi="Times New Roman" w:cs="Times New Roman"/>
          <w:sz w:val="24"/>
          <w:szCs w:val="24"/>
        </w:rPr>
        <w:t xml:space="preserve"> (amount of loss which bank is exposed) and </w:t>
      </w:r>
      <w:r w:rsidR="00222AEC" w:rsidRPr="00D45E29">
        <w:rPr>
          <w:rFonts w:ascii="Times New Roman" w:hAnsi="Times New Roman" w:cs="Times New Roman"/>
          <w:i/>
          <w:sz w:val="24"/>
          <w:szCs w:val="24"/>
        </w:rPr>
        <w:t>loss given default</w:t>
      </w:r>
      <w:r w:rsidR="00222AEC" w:rsidRPr="001B7E95">
        <w:rPr>
          <w:rFonts w:ascii="Times New Roman" w:hAnsi="Times New Roman" w:cs="Times New Roman"/>
          <w:sz w:val="24"/>
          <w:szCs w:val="24"/>
        </w:rPr>
        <w:t xml:space="preserve"> (magnitude of likely loss on the exposure). Also, scenario and stress testing are used by the Group to estimate capital demand forecast and impairment losses for both internal purpose and regulatory.  </w:t>
      </w:r>
    </w:p>
    <w:p w14:paraId="79E33A13" w14:textId="1D37DAC6" w:rsidR="003E4D90" w:rsidRDefault="003E4D90" w:rsidP="001C5A69">
      <w:pPr>
        <w:rPr>
          <w:rFonts w:ascii="Times New Roman" w:hAnsi="Times New Roman" w:cs="Times New Roman"/>
          <w:sz w:val="24"/>
          <w:szCs w:val="24"/>
        </w:rPr>
      </w:pPr>
    </w:p>
    <w:p w14:paraId="02D098C1" w14:textId="0E808DFC" w:rsidR="003E4D90" w:rsidRPr="00F46359" w:rsidRDefault="00FA6DA7" w:rsidP="001B1FF6">
      <w:pPr>
        <w:pStyle w:val="Heading3"/>
        <w:rPr>
          <w:rFonts w:ascii="Times New Roman" w:hAnsi="Times New Roman" w:cs="Times New Roman"/>
          <w:sz w:val="28"/>
          <w:szCs w:val="28"/>
        </w:rPr>
      </w:pPr>
      <w:bookmarkStart w:id="8" w:name="_Toc18488770"/>
      <w:r w:rsidRPr="00F46359">
        <w:rPr>
          <w:rFonts w:ascii="Times New Roman" w:hAnsi="Times New Roman" w:cs="Times New Roman"/>
          <w:sz w:val="28"/>
          <w:szCs w:val="28"/>
        </w:rPr>
        <w:t>Credit risk mitigation</w:t>
      </w:r>
      <w:bookmarkEnd w:id="8"/>
      <w:r w:rsidRPr="00F46359">
        <w:rPr>
          <w:rFonts w:ascii="Times New Roman" w:hAnsi="Times New Roman" w:cs="Times New Roman"/>
          <w:sz w:val="28"/>
          <w:szCs w:val="28"/>
        </w:rPr>
        <w:t xml:space="preserve"> </w:t>
      </w:r>
    </w:p>
    <w:p w14:paraId="74F71387" w14:textId="530839AA" w:rsidR="00222AEC" w:rsidRPr="001C5A69" w:rsidRDefault="00222AEC" w:rsidP="001C5A69">
      <w:pPr>
        <w:rPr>
          <w:rFonts w:ascii="Times New Roman" w:hAnsi="Times New Roman" w:cs="Times New Roman"/>
          <w:sz w:val="24"/>
          <w:szCs w:val="24"/>
        </w:rPr>
      </w:pPr>
      <w:r w:rsidRPr="001C5A69">
        <w:rPr>
          <w:rFonts w:ascii="Times New Roman" w:hAnsi="Times New Roman" w:cs="Times New Roman"/>
          <w:sz w:val="24"/>
          <w:szCs w:val="24"/>
        </w:rPr>
        <w:t xml:space="preserve">According to </w:t>
      </w:r>
      <w:r w:rsidR="00220B73">
        <w:rPr>
          <w:rFonts w:ascii="Times New Roman" w:hAnsi="Times New Roman" w:cs="Times New Roman"/>
          <w:sz w:val="24"/>
          <w:szCs w:val="24"/>
        </w:rPr>
        <w:t xml:space="preserve">the </w:t>
      </w:r>
      <w:r w:rsidRPr="001C5A69">
        <w:rPr>
          <w:rFonts w:ascii="Times New Roman" w:hAnsi="Times New Roman" w:cs="Times New Roman"/>
          <w:sz w:val="24"/>
          <w:szCs w:val="24"/>
        </w:rPr>
        <w:t>Annual report – Lloyds (2018), the Group has a solid through the cycle credit risk appetite. However, it carries out a series of internal processes in order to ensure an adequate identification, control and management of credit risk. These procedures allow to investigate and manage potential signs of customer and counterpart suffering. Lloyds Banking Group conducts portfolio deep dives and larger exposure reviews (once every three months). The Group has a conservative and well-balanced portfolio of UK credit managed through the economic cycle and supported by</w:t>
      </w:r>
      <w:r w:rsidR="00A0728A">
        <w:rPr>
          <w:rFonts w:ascii="Times New Roman" w:hAnsi="Times New Roman" w:cs="Times New Roman"/>
          <w:sz w:val="24"/>
          <w:szCs w:val="24"/>
        </w:rPr>
        <w:t xml:space="preserve"> a</w:t>
      </w:r>
      <w:r w:rsidRPr="001C5A69">
        <w:rPr>
          <w:rFonts w:ascii="Times New Roman" w:hAnsi="Times New Roman" w:cs="Times New Roman"/>
          <w:sz w:val="24"/>
          <w:szCs w:val="24"/>
        </w:rPr>
        <w:t xml:space="preserve"> solid customer portfolio management. The Group undertakes a board </w:t>
      </w:r>
      <w:r w:rsidR="00AC7847" w:rsidRPr="001C5A69">
        <w:rPr>
          <w:rFonts w:ascii="Times New Roman" w:hAnsi="Times New Roman" w:cs="Times New Roman"/>
          <w:sz w:val="24"/>
          <w:szCs w:val="24"/>
        </w:rPr>
        <w:t>program</w:t>
      </w:r>
      <w:r w:rsidRPr="001C5A69">
        <w:rPr>
          <w:rFonts w:ascii="Times New Roman" w:hAnsi="Times New Roman" w:cs="Times New Roman"/>
          <w:sz w:val="24"/>
          <w:szCs w:val="24"/>
        </w:rPr>
        <w:t xml:space="preserve"> of stress test which </w:t>
      </w:r>
      <w:r w:rsidR="00DD7AC1">
        <w:rPr>
          <w:rFonts w:ascii="Times New Roman" w:hAnsi="Times New Roman" w:cs="Times New Roman"/>
          <w:sz w:val="24"/>
          <w:szCs w:val="24"/>
        </w:rPr>
        <w:t>creates</w:t>
      </w:r>
      <w:r w:rsidRPr="001C5A69">
        <w:rPr>
          <w:rFonts w:ascii="Times New Roman" w:hAnsi="Times New Roman" w:cs="Times New Roman"/>
          <w:sz w:val="24"/>
          <w:szCs w:val="24"/>
        </w:rPr>
        <w:t xml:space="preserve"> a complete view of the potential risk arising from the risk to which the group is exposed. Lloyds improved the use of early warning indicators and specific test indicators without relaxing credit criteria. Thanks to a selective and preventive diffusion of credit risk and to solid control (both internal and external) of economic accessibility, the Group is well</w:t>
      </w:r>
      <w:r w:rsidR="00371F2D">
        <w:rPr>
          <w:rFonts w:ascii="Times New Roman" w:hAnsi="Times New Roman" w:cs="Times New Roman"/>
          <w:sz w:val="24"/>
          <w:szCs w:val="24"/>
        </w:rPr>
        <w:t>-</w:t>
      </w:r>
      <w:r w:rsidRPr="001C5A69">
        <w:rPr>
          <w:rFonts w:ascii="Times New Roman" w:hAnsi="Times New Roman" w:cs="Times New Roman"/>
          <w:sz w:val="24"/>
          <w:szCs w:val="24"/>
        </w:rPr>
        <w:t xml:space="preserve">positioned with respect to an uncertain economic outlook. Therefore, the Group </w:t>
      </w:r>
      <w:proofErr w:type="gramStart"/>
      <w:r w:rsidRPr="001C5A69">
        <w:rPr>
          <w:rFonts w:ascii="Times New Roman" w:hAnsi="Times New Roman" w:cs="Times New Roman"/>
          <w:sz w:val="24"/>
          <w:szCs w:val="24"/>
        </w:rPr>
        <w:t>is able to</w:t>
      </w:r>
      <w:proofErr w:type="gramEnd"/>
      <w:r w:rsidRPr="001C5A69">
        <w:rPr>
          <w:rFonts w:ascii="Times New Roman" w:hAnsi="Times New Roman" w:cs="Times New Roman"/>
          <w:sz w:val="24"/>
          <w:szCs w:val="24"/>
        </w:rPr>
        <w:t xml:space="preserve"> withstand potential market volatility.  According to</w:t>
      </w:r>
      <w:r w:rsidR="00DD7AC1">
        <w:rPr>
          <w:rFonts w:ascii="Times New Roman" w:hAnsi="Times New Roman" w:cs="Times New Roman"/>
          <w:sz w:val="24"/>
          <w:szCs w:val="24"/>
        </w:rPr>
        <w:t xml:space="preserve"> the</w:t>
      </w:r>
      <w:r w:rsidRPr="001C5A69">
        <w:rPr>
          <w:rFonts w:ascii="Times New Roman" w:hAnsi="Times New Roman" w:cs="Times New Roman"/>
          <w:sz w:val="24"/>
          <w:szCs w:val="24"/>
        </w:rPr>
        <w:t xml:space="preserve"> </w:t>
      </w:r>
      <w:r w:rsidR="00DD7AC1">
        <w:rPr>
          <w:rFonts w:ascii="Times New Roman" w:hAnsi="Times New Roman" w:cs="Times New Roman"/>
          <w:sz w:val="24"/>
          <w:szCs w:val="24"/>
        </w:rPr>
        <w:t>A</w:t>
      </w:r>
      <w:r w:rsidRPr="001C5A69">
        <w:rPr>
          <w:rFonts w:ascii="Times New Roman" w:hAnsi="Times New Roman" w:cs="Times New Roman"/>
          <w:sz w:val="24"/>
          <w:szCs w:val="24"/>
        </w:rPr>
        <w:t xml:space="preserve">nnual </w:t>
      </w:r>
      <w:r w:rsidR="00DD7AC1">
        <w:rPr>
          <w:rFonts w:ascii="Times New Roman" w:hAnsi="Times New Roman" w:cs="Times New Roman"/>
          <w:sz w:val="24"/>
          <w:szCs w:val="24"/>
        </w:rPr>
        <w:t>R</w:t>
      </w:r>
      <w:r w:rsidRPr="001C5A69">
        <w:rPr>
          <w:rFonts w:ascii="Times New Roman" w:hAnsi="Times New Roman" w:cs="Times New Roman"/>
          <w:sz w:val="24"/>
          <w:szCs w:val="24"/>
        </w:rPr>
        <w:t xml:space="preserve">eport – Lloyds (2016), during 2016, Lloyds was subject to the </w:t>
      </w:r>
      <w:r w:rsidRPr="001C5A69">
        <w:rPr>
          <w:rFonts w:ascii="Times New Roman" w:hAnsi="Times New Roman" w:cs="Times New Roman"/>
          <w:sz w:val="24"/>
          <w:szCs w:val="24"/>
        </w:rPr>
        <w:lastRenderedPageBreak/>
        <w:t xml:space="preserve">European Banking Authority’s Europe-wide stress test and during the same year, the Bank of England conducted a stress test run; the Group comfortably exceeded the minimum capital requirement and the capital threshold.     </w:t>
      </w:r>
    </w:p>
    <w:p w14:paraId="0DBD0E4C" w14:textId="77777777" w:rsidR="00AC7847" w:rsidRDefault="00AC7847" w:rsidP="00222AEC">
      <w:pPr>
        <w:pStyle w:val="Heading2"/>
      </w:pPr>
    </w:p>
    <w:p w14:paraId="663EA4B9" w14:textId="5211BE44" w:rsidR="00222AEC" w:rsidRPr="00F46359" w:rsidRDefault="00222AEC" w:rsidP="00222AEC">
      <w:pPr>
        <w:pStyle w:val="Heading2"/>
        <w:rPr>
          <w:rFonts w:ascii="Times New Roman" w:hAnsi="Times New Roman" w:cs="Times New Roman"/>
          <w:sz w:val="28"/>
          <w:szCs w:val="28"/>
        </w:rPr>
      </w:pPr>
      <w:bookmarkStart w:id="9" w:name="_Toc18488771"/>
      <w:r w:rsidRPr="00F46359">
        <w:rPr>
          <w:rFonts w:ascii="Times New Roman" w:hAnsi="Times New Roman" w:cs="Times New Roman"/>
          <w:sz w:val="28"/>
          <w:szCs w:val="28"/>
        </w:rPr>
        <w:t>Operational risk</w:t>
      </w:r>
      <w:bookmarkEnd w:id="9"/>
      <w:r w:rsidRPr="00F46359">
        <w:rPr>
          <w:rFonts w:ascii="Times New Roman" w:hAnsi="Times New Roman" w:cs="Times New Roman"/>
          <w:sz w:val="28"/>
          <w:szCs w:val="28"/>
        </w:rPr>
        <w:t xml:space="preserve"> </w:t>
      </w:r>
    </w:p>
    <w:p w14:paraId="0C424925" w14:textId="2DC0411F" w:rsidR="00222AEC" w:rsidRPr="00AC7847" w:rsidRDefault="00222AEC" w:rsidP="00FA6DA7">
      <w:pPr>
        <w:rPr>
          <w:rFonts w:ascii="Times New Roman" w:hAnsi="Times New Roman" w:cs="Times New Roman"/>
          <w:sz w:val="24"/>
          <w:szCs w:val="24"/>
        </w:rPr>
      </w:pPr>
      <w:r w:rsidRPr="00AC7847">
        <w:rPr>
          <w:rFonts w:ascii="Times New Roman" w:hAnsi="Times New Roman" w:cs="Times New Roman"/>
          <w:sz w:val="24"/>
          <w:szCs w:val="24"/>
        </w:rPr>
        <w:t>According to B</w:t>
      </w:r>
      <w:r w:rsidR="00766F78">
        <w:rPr>
          <w:rFonts w:ascii="Times New Roman" w:hAnsi="Times New Roman" w:cs="Times New Roman"/>
          <w:sz w:val="24"/>
          <w:szCs w:val="24"/>
        </w:rPr>
        <w:t>asel Committee</w:t>
      </w:r>
      <w:r w:rsidRPr="00AC7847">
        <w:rPr>
          <w:rFonts w:ascii="Times New Roman" w:hAnsi="Times New Roman" w:cs="Times New Roman"/>
          <w:sz w:val="24"/>
          <w:szCs w:val="24"/>
        </w:rPr>
        <w:t xml:space="preserve"> (2011), operational risk is the risk of loss which can result from inadequate people, internal procedures, system or external events. It is also known as human risk as it reflects man-made procedure. Therefore, bank </w:t>
      </w:r>
      <w:proofErr w:type="gramStart"/>
      <w:r w:rsidRPr="001603F2">
        <w:rPr>
          <w:rFonts w:ascii="Times New Roman" w:hAnsi="Times New Roman" w:cs="Times New Roman"/>
          <w:i/>
          <w:sz w:val="24"/>
          <w:szCs w:val="24"/>
        </w:rPr>
        <w:t>have to</w:t>
      </w:r>
      <w:proofErr w:type="gramEnd"/>
      <w:r w:rsidRPr="00AC7847">
        <w:rPr>
          <w:rFonts w:ascii="Times New Roman" w:hAnsi="Times New Roman" w:cs="Times New Roman"/>
          <w:sz w:val="24"/>
          <w:szCs w:val="24"/>
        </w:rPr>
        <w:t xml:space="preserve"> control and monitor operational risk</w:t>
      </w:r>
      <w:r w:rsidR="00962109">
        <w:rPr>
          <w:rFonts w:ascii="Times New Roman" w:hAnsi="Times New Roman" w:cs="Times New Roman"/>
          <w:sz w:val="24"/>
          <w:szCs w:val="24"/>
        </w:rPr>
        <w:t xml:space="preserve"> level</w:t>
      </w:r>
      <w:r w:rsidRPr="00AC7847">
        <w:rPr>
          <w:rFonts w:ascii="Times New Roman" w:hAnsi="Times New Roman" w:cs="Times New Roman"/>
          <w:sz w:val="24"/>
          <w:szCs w:val="24"/>
        </w:rPr>
        <w:t xml:space="preserve"> as a high level of th</w:t>
      </w:r>
      <w:r w:rsidR="0049340E">
        <w:rPr>
          <w:rFonts w:ascii="Times New Roman" w:hAnsi="Times New Roman" w:cs="Times New Roman"/>
          <w:sz w:val="24"/>
          <w:szCs w:val="24"/>
        </w:rPr>
        <w:t>is</w:t>
      </w:r>
      <w:r w:rsidRPr="00AC7847">
        <w:rPr>
          <w:rFonts w:ascii="Times New Roman" w:hAnsi="Times New Roman" w:cs="Times New Roman"/>
          <w:sz w:val="24"/>
          <w:szCs w:val="24"/>
        </w:rPr>
        <w:t xml:space="preserve"> risk could lead to damage the bank’s reputation, adverse clientele and financial loss.    </w:t>
      </w:r>
    </w:p>
    <w:p w14:paraId="65FCC530" w14:textId="77777777" w:rsidR="00222AEC" w:rsidRPr="00AC7847" w:rsidRDefault="00222AEC" w:rsidP="00FA6DA7">
      <w:pPr>
        <w:rPr>
          <w:rFonts w:ascii="Times New Roman" w:hAnsi="Times New Roman" w:cs="Times New Roman"/>
          <w:sz w:val="24"/>
          <w:szCs w:val="24"/>
        </w:rPr>
      </w:pPr>
      <w:r w:rsidRPr="00AC7847">
        <w:rPr>
          <w:rFonts w:ascii="Times New Roman" w:hAnsi="Times New Roman" w:cs="Times New Roman"/>
          <w:sz w:val="24"/>
          <w:szCs w:val="24"/>
        </w:rPr>
        <w:t xml:space="preserve">Sources of operational risk might be internal or external to the bank and they are set-up by people, process and technology. The main sources of operational risk for Lloyds are: a cyber-attack, failure in technology, failure to manage and protect customer’s data and internal and external financial crime. </w:t>
      </w:r>
    </w:p>
    <w:p w14:paraId="2D25BDD9" w14:textId="04CB6B1E" w:rsidR="00222AEC" w:rsidRDefault="00222AEC" w:rsidP="00FA6DA7">
      <w:r w:rsidRPr="00AC7847">
        <w:rPr>
          <w:rFonts w:ascii="Times New Roman" w:hAnsi="Times New Roman" w:cs="Times New Roman"/>
          <w:sz w:val="24"/>
          <w:szCs w:val="24"/>
        </w:rPr>
        <w:t xml:space="preserve">In 2016 the Basel </w:t>
      </w:r>
      <w:r w:rsidR="00A12243">
        <w:rPr>
          <w:rFonts w:ascii="Times New Roman" w:hAnsi="Times New Roman" w:cs="Times New Roman"/>
          <w:sz w:val="24"/>
          <w:szCs w:val="24"/>
        </w:rPr>
        <w:t>C</w:t>
      </w:r>
      <w:r w:rsidRPr="00AC7847">
        <w:rPr>
          <w:rFonts w:ascii="Times New Roman" w:hAnsi="Times New Roman" w:cs="Times New Roman"/>
          <w:sz w:val="24"/>
          <w:szCs w:val="24"/>
        </w:rPr>
        <w:t xml:space="preserve">ommittee has published its second consultation on the risk capital requirement for </w:t>
      </w:r>
      <w:r w:rsidR="0049340E">
        <w:rPr>
          <w:rFonts w:ascii="Times New Roman" w:hAnsi="Times New Roman" w:cs="Times New Roman"/>
          <w:sz w:val="24"/>
          <w:szCs w:val="24"/>
        </w:rPr>
        <w:t xml:space="preserve">the </w:t>
      </w:r>
      <w:r w:rsidRPr="00AC7847">
        <w:rPr>
          <w:rFonts w:ascii="Times New Roman" w:hAnsi="Times New Roman" w:cs="Times New Roman"/>
          <w:sz w:val="24"/>
          <w:szCs w:val="24"/>
        </w:rPr>
        <w:t>operational risk. This new consultation replaces the previous three approaches (basic indicator approach, the standardised approach and advanced measurement approach) with a single approach: standardised measurement approach; which has been utilized by the Lloyds Group. The Basic indicator approach is the simplest one, and the risk capital requirement under this approach is equal to 15% of annual gross income over the previous three years (</w:t>
      </w:r>
      <w:proofErr w:type="spellStart"/>
      <w:r w:rsidR="00425383">
        <w:rPr>
          <w:rFonts w:ascii="Times New Roman" w:hAnsi="Times New Roman" w:cs="Times New Roman"/>
          <w:sz w:val="24"/>
          <w:szCs w:val="24"/>
        </w:rPr>
        <w:t>Paramasivan</w:t>
      </w:r>
      <w:proofErr w:type="spellEnd"/>
      <w:r w:rsidR="00425383">
        <w:rPr>
          <w:rFonts w:ascii="Times New Roman" w:hAnsi="Times New Roman" w:cs="Times New Roman"/>
          <w:sz w:val="24"/>
          <w:szCs w:val="24"/>
        </w:rPr>
        <w:t xml:space="preserve"> and Sub</w:t>
      </w:r>
      <w:r w:rsidR="00C96575">
        <w:rPr>
          <w:rFonts w:ascii="Times New Roman" w:hAnsi="Times New Roman" w:cs="Times New Roman"/>
          <w:sz w:val="24"/>
          <w:szCs w:val="24"/>
        </w:rPr>
        <w:t xml:space="preserve">ramanian, </w:t>
      </w:r>
      <w:r w:rsidR="00911890" w:rsidRPr="00911890">
        <w:rPr>
          <w:rFonts w:ascii="Times New Roman" w:hAnsi="Times New Roman" w:cs="Times New Roman"/>
          <w:color w:val="000000" w:themeColor="text1"/>
          <w:sz w:val="24"/>
          <w:szCs w:val="24"/>
        </w:rPr>
        <w:t>2009</w:t>
      </w:r>
      <w:r w:rsidRPr="00AC7847">
        <w:rPr>
          <w:rFonts w:ascii="Times New Roman" w:hAnsi="Times New Roman" w:cs="Times New Roman"/>
          <w:sz w:val="24"/>
          <w:szCs w:val="24"/>
        </w:rPr>
        <w:t>). In the standardised approach, bank’s movements are divided into eight business line</w:t>
      </w:r>
      <w:r w:rsidR="0049340E">
        <w:rPr>
          <w:rFonts w:ascii="Times New Roman" w:hAnsi="Times New Roman" w:cs="Times New Roman"/>
          <w:sz w:val="24"/>
          <w:szCs w:val="24"/>
        </w:rPr>
        <w:t>s</w:t>
      </w:r>
      <w:r w:rsidRPr="00AC7847">
        <w:rPr>
          <w:rFonts w:ascii="Times New Roman" w:hAnsi="Times New Roman" w:cs="Times New Roman"/>
          <w:sz w:val="24"/>
          <w:szCs w:val="24"/>
        </w:rPr>
        <w:t xml:space="preserve">. The average gross income (calculated over the past three years, for each business line) is multiplied by a beta coefficient for that business line and the result summed to determine the total capital. In </w:t>
      </w:r>
      <w:r w:rsidRPr="003E4D90">
        <w:rPr>
          <w:rFonts w:ascii="Times New Roman" w:hAnsi="Times New Roman" w:cs="Times New Roman"/>
          <w:sz w:val="24"/>
          <w:szCs w:val="24"/>
        </w:rPr>
        <w:t xml:space="preserve">the advanced measurement approach </w:t>
      </w:r>
      <w:r w:rsidR="00117AF5">
        <w:rPr>
          <w:rFonts w:ascii="Times New Roman" w:hAnsi="Times New Roman" w:cs="Times New Roman"/>
          <w:sz w:val="24"/>
          <w:szCs w:val="24"/>
        </w:rPr>
        <w:t xml:space="preserve">the </w:t>
      </w:r>
      <w:r w:rsidRPr="003E4D90">
        <w:rPr>
          <w:rFonts w:ascii="Times New Roman" w:hAnsi="Times New Roman" w:cs="Times New Roman"/>
          <w:sz w:val="24"/>
          <w:szCs w:val="24"/>
        </w:rPr>
        <w:t xml:space="preserve">risk capital requirement is measured by the bank internally </w:t>
      </w:r>
      <w:r w:rsidR="00117AF5">
        <w:rPr>
          <w:rFonts w:ascii="Times New Roman" w:hAnsi="Times New Roman" w:cs="Times New Roman"/>
          <w:sz w:val="24"/>
          <w:szCs w:val="24"/>
        </w:rPr>
        <w:t xml:space="preserve">by </w:t>
      </w:r>
      <w:r w:rsidRPr="003E4D90">
        <w:rPr>
          <w:rFonts w:ascii="Times New Roman" w:hAnsi="Times New Roman" w:cs="Times New Roman"/>
          <w:sz w:val="24"/>
          <w:szCs w:val="24"/>
        </w:rPr>
        <w:t>using both quantitative and qualitative criteria.</w:t>
      </w:r>
      <w:r>
        <w:t xml:space="preserve">    </w:t>
      </w:r>
    </w:p>
    <w:p w14:paraId="1BF0E788" w14:textId="6A3A4B4D" w:rsidR="00222AEC" w:rsidRDefault="00222AEC" w:rsidP="00FA6DA7"/>
    <w:p w14:paraId="5967B265" w14:textId="0FBF1C1E" w:rsidR="00FA6DA7" w:rsidRPr="0046563F" w:rsidRDefault="00FA6DA7" w:rsidP="001B1FF6">
      <w:pPr>
        <w:pStyle w:val="Heading3"/>
        <w:rPr>
          <w:rFonts w:ascii="Times New Roman" w:hAnsi="Times New Roman" w:cs="Times New Roman"/>
          <w:sz w:val="28"/>
          <w:szCs w:val="28"/>
        </w:rPr>
      </w:pPr>
      <w:bookmarkStart w:id="10" w:name="_Toc18488772"/>
      <w:r w:rsidRPr="0046563F">
        <w:rPr>
          <w:rFonts w:ascii="Times New Roman" w:hAnsi="Times New Roman" w:cs="Times New Roman"/>
          <w:sz w:val="28"/>
          <w:szCs w:val="28"/>
        </w:rPr>
        <w:t>Operational risk mitigation</w:t>
      </w:r>
      <w:bookmarkEnd w:id="10"/>
      <w:r w:rsidRPr="0046563F">
        <w:rPr>
          <w:rFonts w:ascii="Times New Roman" w:hAnsi="Times New Roman" w:cs="Times New Roman"/>
          <w:sz w:val="28"/>
          <w:szCs w:val="28"/>
        </w:rPr>
        <w:t xml:space="preserve"> </w:t>
      </w:r>
    </w:p>
    <w:p w14:paraId="03EEFAA4" w14:textId="0073492D" w:rsidR="00222AEC" w:rsidRPr="003E4D90" w:rsidRDefault="00222AEC" w:rsidP="00FA6DA7">
      <w:pPr>
        <w:rPr>
          <w:rFonts w:ascii="Times New Roman" w:hAnsi="Times New Roman" w:cs="Times New Roman"/>
          <w:sz w:val="24"/>
          <w:szCs w:val="24"/>
        </w:rPr>
      </w:pPr>
      <w:r w:rsidRPr="003E4D90">
        <w:rPr>
          <w:rFonts w:ascii="Times New Roman" w:hAnsi="Times New Roman" w:cs="Times New Roman"/>
          <w:sz w:val="24"/>
          <w:szCs w:val="24"/>
        </w:rPr>
        <w:t>The Group invests and review in its control environment to ensure it addresses the operational risk it face</w:t>
      </w:r>
      <w:r w:rsidR="00117AF5">
        <w:rPr>
          <w:rFonts w:ascii="Times New Roman" w:hAnsi="Times New Roman" w:cs="Times New Roman"/>
          <w:sz w:val="24"/>
          <w:szCs w:val="24"/>
        </w:rPr>
        <w:t>s</w:t>
      </w:r>
      <w:r w:rsidRPr="003E4D90">
        <w:rPr>
          <w:rFonts w:ascii="Times New Roman" w:hAnsi="Times New Roman" w:cs="Times New Roman"/>
          <w:sz w:val="24"/>
          <w:szCs w:val="24"/>
        </w:rPr>
        <w:t>. According to Annual report – Lloyds (2018), some</w:t>
      </w:r>
      <w:r w:rsidR="003E42E0">
        <w:rPr>
          <w:rFonts w:ascii="Times New Roman" w:hAnsi="Times New Roman" w:cs="Times New Roman"/>
          <w:sz w:val="24"/>
          <w:szCs w:val="24"/>
        </w:rPr>
        <w:t xml:space="preserve"> of the</w:t>
      </w:r>
      <w:r w:rsidRPr="003E4D90">
        <w:rPr>
          <w:rFonts w:ascii="Times New Roman" w:hAnsi="Times New Roman" w:cs="Times New Roman"/>
          <w:sz w:val="24"/>
          <w:szCs w:val="24"/>
        </w:rPr>
        <w:t xml:space="preserve"> mitigation actions to the main operational risk are</w:t>
      </w:r>
      <w:r w:rsidR="003E42E0">
        <w:rPr>
          <w:rFonts w:ascii="Times New Roman" w:hAnsi="Times New Roman" w:cs="Times New Roman"/>
          <w:sz w:val="24"/>
          <w:szCs w:val="24"/>
        </w:rPr>
        <w:t xml:space="preserve"> the following</w:t>
      </w:r>
      <w:r w:rsidRPr="003E4D90">
        <w:rPr>
          <w:rFonts w:ascii="Times New Roman" w:hAnsi="Times New Roman" w:cs="Times New Roman"/>
          <w:sz w:val="24"/>
          <w:szCs w:val="24"/>
        </w:rPr>
        <w:t xml:space="preserve">: </w:t>
      </w:r>
    </w:p>
    <w:p w14:paraId="02121BD5" w14:textId="77777777" w:rsidR="00222AEC" w:rsidRPr="003E4D90" w:rsidRDefault="00222AEC" w:rsidP="00FA6DA7">
      <w:pPr>
        <w:pStyle w:val="ListParagraph"/>
        <w:numPr>
          <w:ilvl w:val="0"/>
          <w:numId w:val="3"/>
        </w:numPr>
        <w:rPr>
          <w:rFonts w:ascii="Times New Roman" w:hAnsi="Times New Roman" w:cs="Times New Roman"/>
          <w:sz w:val="24"/>
          <w:szCs w:val="24"/>
        </w:rPr>
      </w:pPr>
      <w:r w:rsidRPr="003E4D90">
        <w:rPr>
          <w:rFonts w:ascii="Times New Roman" w:hAnsi="Times New Roman" w:cs="Times New Roman"/>
          <w:sz w:val="24"/>
          <w:szCs w:val="24"/>
        </w:rPr>
        <w:t xml:space="preserve">The Group has a significant regulatory attention on the threat landscape linked to cyber risk. The cyber risk appetite has been defined by the Board which invests to protect the Group from malevolent cyber-attacks.  </w:t>
      </w:r>
    </w:p>
    <w:p w14:paraId="0BC25AFA" w14:textId="421E31D1" w:rsidR="00222AEC" w:rsidRPr="003E4D90" w:rsidRDefault="00222AEC" w:rsidP="00FA6DA7">
      <w:pPr>
        <w:pStyle w:val="ListParagraph"/>
        <w:numPr>
          <w:ilvl w:val="0"/>
          <w:numId w:val="3"/>
        </w:numPr>
        <w:rPr>
          <w:rFonts w:ascii="Times New Roman" w:hAnsi="Times New Roman" w:cs="Times New Roman"/>
          <w:sz w:val="24"/>
          <w:szCs w:val="24"/>
        </w:rPr>
      </w:pPr>
      <w:r w:rsidRPr="003E4D90">
        <w:rPr>
          <w:rFonts w:ascii="Times New Roman" w:hAnsi="Times New Roman" w:cs="Times New Roman"/>
          <w:sz w:val="24"/>
          <w:szCs w:val="24"/>
        </w:rPr>
        <w:t>The Group embraces a risk-based approach to mitigate the external and internal fraud risks it face</w:t>
      </w:r>
      <w:r w:rsidR="003E42E0">
        <w:rPr>
          <w:rFonts w:ascii="Times New Roman" w:hAnsi="Times New Roman" w:cs="Times New Roman"/>
          <w:sz w:val="24"/>
          <w:szCs w:val="24"/>
        </w:rPr>
        <w:t>s</w:t>
      </w:r>
      <w:r w:rsidRPr="003E4D90">
        <w:rPr>
          <w:rFonts w:ascii="Times New Roman" w:hAnsi="Times New Roman" w:cs="Times New Roman"/>
          <w:sz w:val="24"/>
          <w:szCs w:val="24"/>
        </w:rPr>
        <w:t xml:space="preserve">. Indeed, the Group has been defined the fraud risk appetite, costs of fraud operations </w:t>
      </w:r>
      <w:r w:rsidRPr="003E4D90">
        <w:rPr>
          <w:rFonts w:ascii="Times New Roman" w:hAnsi="Times New Roman" w:cs="Times New Roman"/>
          <w:sz w:val="24"/>
          <w:szCs w:val="24"/>
        </w:rPr>
        <w:lastRenderedPageBreak/>
        <w:t xml:space="preserve">and system and customer experience of certain and attempted fraud. The Group drives a continuous programme of prioritised improvements to the Group’s technology, people and process related control. Operation control frameworks and Group-wide polices are designed and maintained to provide customer confidence, protect its reputation and the commercial interest of the Group. </w:t>
      </w:r>
    </w:p>
    <w:p w14:paraId="3A28DCD3" w14:textId="77777777" w:rsidR="00222AEC" w:rsidRPr="003E4D90" w:rsidRDefault="00222AEC" w:rsidP="00FA6DA7">
      <w:pPr>
        <w:pStyle w:val="ListParagraph"/>
        <w:numPr>
          <w:ilvl w:val="0"/>
          <w:numId w:val="3"/>
        </w:numPr>
        <w:rPr>
          <w:rFonts w:ascii="Times New Roman" w:hAnsi="Times New Roman" w:cs="Times New Roman"/>
          <w:sz w:val="24"/>
          <w:szCs w:val="24"/>
        </w:rPr>
      </w:pPr>
      <w:r w:rsidRPr="003E4D90">
        <w:rPr>
          <w:rFonts w:ascii="Times New Roman" w:hAnsi="Times New Roman" w:cs="Times New Roman"/>
          <w:sz w:val="24"/>
          <w:szCs w:val="24"/>
        </w:rPr>
        <w:t xml:space="preserve">The Group has adopted procedures and policies designed to prevent and detect the use of its banking networking for money laundering, bribery, tax evasion, modern-day slavery and human trafficking. </w:t>
      </w:r>
    </w:p>
    <w:p w14:paraId="4CAC575E" w14:textId="77777777" w:rsidR="00222AEC" w:rsidRPr="003E4D90" w:rsidRDefault="00222AEC" w:rsidP="00FA6DA7">
      <w:pPr>
        <w:rPr>
          <w:rFonts w:ascii="Times New Roman" w:hAnsi="Times New Roman" w:cs="Times New Roman"/>
          <w:sz w:val="24"/>
          <w:szCs w:val="24"/>
        </w:rPr>
      </w:pPr>
    </w:p>
    <w:p w14:paraId="74F4AFE5" w14:textId="77777777" w:rsidR="00222AEC" w:rsidRPr="00133181" w:rsidRDefault="00222AEC" w:rsidP="00FA6DA7">
      <w:pPr>
        <w:pStyle w:val="Heading2"/>
        <w:rPr>
          <w:rFonts w:ascii="Times New Roman" w:hAnsi="Times New Roman" w:cs="Times New Roman"/>
          <w:sz w:val="28"/>
          <w:szCs w:val="28"/>
        </w:rPr>
      </w:pPr>
      <w:bookmarkStart w:id="11" w:name="_Toc18488773"/>
      <w:r w:rsidRPr="00133181">
        <w:rPr>
          <w:rFonts w:ascii="Times New Roman" w:hAnsi="Times New Roman" w:cs="Times New Roman"/>
          <w:sz w:val="28"/>
          <w:szCs w:val="28"/>
        </w:rPr>
        <w:t>Market risk</w:t>
      </w:r>
      <w:bookmarkEnd w:id="11"/>
      <w:r w:rsidRPr="00133181">
        <w:rPr>
          <w:rFonts w:ascii="Times New Roman" w:hAnsi="Times New Roman" w:cs="Times New Roman"/>
          <w:sz w:val="28"/>
          <w:szCs w:val="28"/>
        </w:rPr>
        <w:t xml:space="preserve"> </w:t>
      </w:r>
    </w:p>
    <w:p w14:paraId="6A0CEC69" w14:textId="15B7C982" w:rsidR="00222AEC" w:rsidRPr="001B1FF6" w:rsidRDefault="00222AEC" w:rsidP="001B1FF6">
      <w:pPr>
        <w:rPr>
          <w:rFonts w:ascii="Times New Roman" w:hAnsi="Times New Roman" w:cs="Times New Roman"/>
          <w:sz w:val="24"/>
          <w:szCs w:val="24"/>
        </w:rPr>
      </w:pPr>
      <w:r w:rsidRPr="001B1FF6">
        <w:rPr>
          <w:rFonts w:ascii="Times New Roman" w:hAnsi="Times New Roman" w:cs="Times New Roman"/>
          <w:sz w:val="24"/>
          <w:szCs w:val="24"/>
        </w:rPr>
        <w:t xml:space="preserve">According to </w:t>
      </w:r>
      <w:r w:rsidR="004A47AA">
        <w:rPr>
          <w:rFonts w:ascii="Times New Roman" w:hAnsi="Times New Roman" w:cs="Times New Roman"/>
          <w:sz w:val="24"/>
          <w:szCs w:val="24"/>
        </w:rPr>
        <w:t>Basel Committee</w:t>
      </w:r>
      <w:r w:rsidRPr="001B1FF6">
        <w:rPr>
          <w:rFonts w:ascii="Times New Roman" w:hAnsi="Times New Roman" w:cs="Times New Roman"/>
          <w:sz w:val="24"/>
          <w:szCs w:val="24"/>
        </w:rPr>
        <w:t xml:space="preserve"> (2016), market risk is the risk of losses which can result from movement in market place. It is also known as systematic risk as its sources (change in interest rate, foreign exchange, risk equity or recession) tend to influence the entire market. Investors and analysts measure market risk through Value-at-risk (</w:t>
      </w:r>
      <w:proofErr w:type="spellStart"/>
      <w:r w:rsidRPr="001B1FF6">
        <w:rPr>
          <w:rFonts w:ascii="Times New Roman" w:hAnsi="Times New Roman" w:cs="Times New Roman"/>
          <w:sz w:val="24"/>
          <w:szCs w:val="24"/>
        </w:rPr>
        <w:t>VaR</w:t>
      </w:r>
      <w:proofErr w:type="spellEnd"/>
      <w:r w:rsidRPr="001B1FF6">
        <w:rPr>
          <w:rFonts w:ascii="Times New Roman" w:hAnsi="Times New Roman" w:cs="Times New Roman"/>
          <w:sz w:val="24"/>
          <w:szCs w:val="24"/>
        </w:rPr>
        <w:t>) which is a statistical method that measure</w:t>
      </w:r>
      <w:r w:rsidR="00EB1548">
        <w:rPr>
          <w:rFonts w:ascii="Times New Roman" w:hAnsi="Times New Roman" w:cs="Times New Roman"/>
          <w:sz w:val="24"/>
          <w:szCs w:val="24"/>
        </w:rPr>
        <w:t>s</w:t>
      </w:r>
      <w:r w:rsidRPr="001B1FF6">
        <w:rPr>
          <w:rFonts w:ascii="Times New Roman" w:hAnsi="Times New Roman" w:cs="Times New Roman"/>
          <w:sz w:val="24"/>
          <w:szCs w:val="24"/>
        </w:rPr>
        <w:t xml:space="preserve"> a probability of loss associated to a portfolio. It is a function of two parameters: the level of confidence and the time horizon (Hull, 201</w:t>
      </w:r>
      <w:r w:rsidR="00E40CDA">
        <w:rPr>
          <w:rFonts w:ascii="Times New Roman" w:hAnsi="Times New Roman" w:cs="Times New Roman"/>
          <w:sz w:val="24"/>
          <w:szCs w:val="24"/>
        </w:rPr>
        <w:t>5</w:t>
      </w:r>
      <w:r w:rsidRPr="001B1FF6">
        <w:rPr>
          <w:rFonts w:ascii="Times New Roman" w:hAnsi="Times New Roman" w:cs="Times New Roman"/>
          <w:sz w:val="24"/>
          <w:szCs w:val="24"/>
        </w:rPr>
        <w:t xml:space="preserve">). </w:t>
      </w:r>
    </w:p>
    <w:p w14:paraId="0CD65AAE" w14:textId="4B5EBF61" w:rsidR="00222AEC" w:rsidRDefault="00222AEC" w:rsidP="001B1FF6">
      <w:pPr>
        <w:rPr>
          <w:rFonts w:ascii="Times New Roman" w:hAnsi="Times New Roman" w:cs="Times New Roman"/>
          <w:sz w:val="24"/>
          <w:szCs w:val="24"/>
        </w:rPr>
      </w:pPr>
      <w:r w:rsidRPr="001B1FF6">
        <w:rPr>
          <w:rFonts w:ascii="Times New Roman" w:hAnsi="Times New Roman" w:cs="Times New Roman"/>
          <w:sz w:val="24"/>
          <w:szCs w:val="24"/>
        </w:rPr>
        <w:t xml:space="preserve">According to </w:t>
      </w:r>
      <w:r w:rsidR="00F80BFA">
        <w:rPr>
          <w:rFonts w:ascii="Times New Roman" w:hAnsi="Times New Roman" w:cs="Times New Roman"/>
          <w:sz w:val="24"/>
          <w:szCs w:val="24"/>
        </w:rPr>
        <w:t>Basel Committee</w:t>
      </w:r>
      <w:r w:rsidRPr="001B1FF6">
        <w:rPr>
          <w:rFonts w:ascii="Times New Roman" w:hAnsi="Times New Roman" w:cs="Times New Roman"/>
          <w:sz w:val="24"/>
          <w:szCs w:val="24"/>
        </w:rPr>
        <w:t xml:space="preserve"> (2016), bank can choose between the standardised approach and internal model approach in order to determine the risk capital requirement for market risk. </w:t>
      </w:r>
    </w:p>
    <w:p w14:paraId="3A1C8F85" w14:textId="77777777" w:rsidR="004A5CC3" w:rsidRPr="001B1FF6" w:rsidRDefault="004A5CC3" w:rsidP="001B1FF6">
      <w:pPr>
        <w:rPr>
          <w:rFonts w:ascii="Times New Roman" w:hAnsi="Times New Roman" w:cs="Times New Roman"/>
          <w:sz w:val="24"/>
          <w:szCs w:val="24"/>
        </w:rPr>
      </w:pPr>
    </w:p>
    <w:p w14:paraId="2395AD8F" w14:textId="06C37954" w:rsidR="001B1FF6" w:rsidRPr="00EB2186" w:rsidRDefault="001B1FF6" w:rsidP="001B1FF6">
      <w:pPr>
        <w:pStyle w:val="Heading3"/>
        <w:rPr>
          <w:rFonts w:ascii="Times New Roman" w:hAnsi="Times New Roman" w:cs="Times New Roman"/>
          <w:sz w:val="28"/>
          <w:szCs w:val="28"/>
        </w:rPr>
      </w:pPr>
      <w:bookmarkStart w:id="12" w:name="_Toc18488774"/>
      <w:r w:rsidRPr="00EB2186">
        <w:rPr>
          <w:rFonts w:ascii="Times New Roman" w:hAnsi="Times New Roman" w:cs="Times New Roman"/>
          <w:sz w:val="28"/>
          <w:szCs w:val="28"/>
        </w:rPr>
        <w:t>Market risk mitigation</w:t>
      </w:r>
      <w:bookmarkEnd w:id="12"/>
      <w:r w:rsidRPr="00EB2186">
        <w:rPr>
          <w:rFonts w:ascii="Times New Roman" w:hAnsi="Times New Roman" w:cs="Times New Roman"/>
          <w:sz w:val="28"/>
          <w:szCs w:val="28"/>
        </w:rPr>
        <w:t xml:space="preserve"> </w:t>
      </w:r>
    </w:p>
    <w:p w14:paraId="460A6313" w14:textId="45B6A471" w:rsidR="00C15629" w:rsidRPr="005F4AA9" w:rsidRDefault="00222AEC" w:rsidP="006B13D5">
      <w:pPr>
        <w:rPr>
          <w:rFonts w:ascii="Times New Roman" w:hAnsi="Times New Roman" w:cs="Times New Roman"/>
          <w:sz w:val="24"/>
          <w:szCs w:val="24"/>
        </w:rPr>
      </w:pPr>
      <w:r w:rsidRPr="001B1FF6">
        <w:rPr>
          <w:rFonts w:ascii="Times New Roman" w:hAnsi="Times New Roman" w:cs="Times New Roman"/>
          <w:sz w:val="24"/>
          <w:szCs w:val="24"/>
        </w:rPr>
        <w:t xml:space="preserve">The policy of the Group is to optimise reward whilst managing its exposure with the market risk appetite which is defined by the Board. The Group manages its exposure to movements in market rates throughout the year, lending the group to offer a comprehensive customer proposition and promote low volatility earning with market risk hedging strategies to deliver sustainable growth. Group Asset and Liabilities Committee (GALCO) is responsible for monitoring and approving group market risk, market risk measures and management techniques. In addition, GALCO reviews the duration and the amount of the hedging activity. Numerous mitigation activities are undertaken and assessed the Group to seek and manage portfolio to ensure they remain within approved limits. In General, the mitigation actions look to reduce risk in a cost-effective way. The Corporate Treasury (GCT) is responsible for the market risk policy which is refreshed annually. GCT manages therefore net investment foreign exchange through hedging </w:t>
      </w:r>
      <w:r w:rsidR="001B1FF6" w:rsidRPr="001B1FF6">
        <w:rPr>
          <w:rFonts w:ascii="Times New Roman" w:hAnsi="Times New Roman" w:cs="Times New Roman"/>
          <w:sz w:val="24"/>
          <w:szCs w:val="24"/>
        </w:rPr>
        <w:t>non-GBP</w:t>
      </w:r>
      <w:r w:rsidRPr="001B1FF6">
        <w:rPr>
          <w:rFonts w:ascii="Times New Roman" w:hAnsi="Times New Roman" w:cs="Times New Roman"/>
          <w:sz w:val="24"/>
          <w:szCs w:val="24"/>
        </w:rPr>
        <w:t xml:space="preserve"> asset value with currency borrowing. </w:t>
      </w:r>
    </w:p>
    <w:p w14:paraId="26F26807" w14:textId="77777777" w:rsidR="00A12B2F" w:rsidRPr="00EF3366" w:rsidRDefault="00A12B2F" w:rsidP="00AA1F6D">
      <w:pPr>
        <w:pStyle w:val="Heading1"/>
        <w:rPr>
          <w:sz w:val="28"/>
          <w:szCs w:val="28"/>
        </w:rPr>
      </w:pPr>
      <w:bookmarkStart w:id="13" w:name="_Toc18488775"/>
      <w:r w:rsidRPr="00EF3366">
        <w:rPr>
          <w:sz w:val="28"/>
          <w:szCs w:val="28"/>
        </w:rPr>
        <w:lastRenderedPageBreak/>
        <w:t>Efficient Market Hypothesis</w:t>
      </w:r>
      <w:bookmarkEnd w:id="13"/>
    </w:p>
    <w:p w14:paraId="224258F5" w14:textId="3E84E0E2" w:rsidR="00A12B2F" w:rsidRDefault="00A12B2F" w:rsidP="00AA1F6D">
      <w:pPr>
        <w:rPr>
          <w:rFonts w:ascii="Times New Roman" w:hAnsi="Times New Roman" w:cs="Times New Roman"/>
          <w:sz w:val="24"/>
          <w:szCs w:val="24"/>
          <w:lang w:eastAsia="ja-JP"/>
        </w:rPr>
      </w:pPr>
      <w:r w:rsidRPr="00AA1F6D">
        <w:rPr>
          <w:rFonts w:ascii="Times New Roman" w:hAnsi="Times New Roman" w:cs="Times New Roman"/>
          <w:sz w:val="24"/>
          <w:szCs w:val="24"/>
          <w:lang w:eastAsia="ja-JP"/>
        </w:rPr>
        <w:t>Number of platforms are present through which investors can make investment. Several theories have been developed in order to understand</w:t>
      </w:r>
      <w:r w:rsidR="00145FD3" w:rsidRPr="00AA1F6D">
        <w:rPr>
          <w:rFonts w:ascii="Times New Roman" w:hAnsi="Times New Roman" w:cs="Times New Roman"/>
          <w:sz w:val="24"/>
          <w:szCs w:val="24"/>
          <w:lang w:eastAsia="ja-JP"/>
        </w:rPr>
        <w:t xml:space="preserve"> </w:t>
      </w:r>
      <w:r w:rsidRPr="00AA1F6D">
        <w:rPr>
          <w:rFonts w:ascii="Times New Roman" w:hAnsi="Times New Roman" w:cs="Times New Roman"/>
          <w:sz w:val="24"/>
          <w:szCs w:val="24"/>
          <w:lang w:eastAsia="ja-JP"/>
        </w:rPr>
        <w:t>pricing changes</w:t>
      </w:r>
      <w:r w:rsidR="00E12835">
        <w:rPr>
          <w:rFonts w:ascii="Times New Roman" w:hAnsi="Times New Roman" w:cs="Times New Roman"/>
          <w:sz w:val="24"/>
          <w:szCs w:val="24"/>
          <w:lang w:eastAsia="ja-JP"/>
        </w:rPr>
        <w:t>, these are</w:t>
      </w:r>
      <w:r w:rsidRPr="00AA1F6D">
        <w:rPr>
          <w:rFonts w:ascii="Times New Roman" w:hAnsi="Times New Roman" w:cs="Times New Roman"/>
          <w:sz w:val="24"/>
          <w:szCs w:val="24"/>
          <w:lang w:eastAsia="ja-JP"/>
        </w:rPr>
        <w:t xml:space="preserve"> known as investment theories. Efficient market hypothesis is an important investment theory used for understanding the change in prices of shares. This theory has been prevalent for quite some time helping the financial community to make valuable business decisions. Importance of the theory will be discussed mentioning its relevance to modern banking sector and how it helps </w:t>
      </w:r>
      <w:r w:rsidR="00E12835" w:rsidRPr="00AA1F6D">
        <w:rPr>
          <w:rFonts w:ascii="Times New Roman" w:hAnsi="Times New Roman" w:cs="Times New Roman"/>
          <w:sz w:val="24"/>
          <w:szCs w:val="24"/>
          <w:lang w:eastAsia="ja-JP"/>
        </w:rPr>
        <w:t>understand</w:t>
      </w:r>
      <w:r w:rsidR="00E12835">
        <w:rPr>
          <w:rFonts w:ascii="Times New Roman" w:hAnsi="Times New Roman" w:cs="Times New Roman"/>
          <w:sz w:val="24"/>
          <w:szCs w:val="24"/>
          <w:lang w:eastAsia="ja-JP"/>
        </w:rPr>
        <w:t xml:space="preserve">ing </w:t>
      </w:r>
      <w:r w:rsidRPr="00AA1F6D">
        <w:rPr>
          <w:rFonts w:ascii="Times New Roman" w:hAnsi="Times New Roman" w:cs="Times New Roman"/>
          <w:sz w:val="24"/>
          <w:szCs w:val="24"/>
          <w:lang w:eastAsia="ja-JP"/>
        </w:rPr>
        <w:t xml:space="preserve">operational risks. Overall understanding of the financial sector along with movement of stocks will be required to effectively link market efficiency theory in the case banking industry. </w:t>
      </w:r>
    </w:p>
    <w:p w14:paraId="5B952E72" w14:textId="77777777" w:rsidR="00133181" w:rsidRPr="00AA1F6D" w:rsidRDefault="00133181" w:rsidP="00AA1F6D">
      <w:pPr>
        <w:rPr>
          <w:rFonts w:ascii="Times New Roman" w:eastAsia="Yu Gothic Light" w:hAnsi="Times New Roman" w:cs="Times New Roman"/>
          <w:b/>
          <w:bCs/>
          <w:sz w:val="24"/>
          <w:szCs w:val="24"/>
          <w:lang w:eastAsia="ja-JP"/>
        </w:rPr>
      </w:pPr>
    </w:p>
    <w:p w14:paraId="665B713D" w14:textId="77777777" w:rsidR="00A12B2F" w:rsidRPr="00EF3366" w:rsidRDefault="00A12B2F" w:rsidP="00AA1F6D">
      <w:pPr>
        <w:pStyle w:val="Heading2"/>
        <w:rPr>
          <w:rFonts w:ascii="Times New Roman" w:eastAsia="Yu Gothic Light" w:hAnsi="Times New Roman" w:cs="Times New Roman"/>
          <w:sz w:val="28"/>
          <w:szCs w:val="28"/>
          <w:lang w:eastAsia="ja-JP"/>
        </w:rPr>
      </w:pPr>
      <w:bookmarkStart w:id="14" w:name="_Toc17329200"/>
      <w:bookmarkStart w:id="15" w:name="_Toc18488776"/>
      <w:r w:rsidRPr="00EF3366">
        <w:rPr>
          <w:rFonts w:ascii="Times New Roman" w:eastAsia="Yu Gothic Light" w:hAnsi="Times New Roman" w:cs="Times New Roman"/>
          <w:sz w:val="28"/>
          <w:szCs w:val="28"/>
          <w:lang w:eastAsia="ja-JP"/>
        </w:rPr>
        <w:t>Importance</w:t>
      </w:r>
      <w:bookmarkEnd w:id="14"/>
      <w:bookmarkEnd w:id="15"/>
      <w:r w:rsidRPr="00EF3366">
        <w:rPr>
          <w:rFonts w:ascii="Times New Roman" w:eastAsia="Yu Gothic Light" w:hAnsi="Times New Roman" w:cs="Times New Roman"/>
          <w:sz w:val="28"/>
          <w:szCs w:val="28"/>
          <w:lang w:eastAsia="ja-JP"/>
        </w:rPr>
        <w:tab/>
      </w:r>
      <w:r w:rsidRPr="00EF3366">
        <w:rPr>
          <w:rFonts w:ascii="Times New Roman" w:eastAsia="Yu Gothic Light" w:hAnsi="Times New Roman" w:cs="Times New Roman"/>
          <w:sz w:val="28"/>
          <w:szCs w:val="28"/>
          <w:lang w:eastAsia="ja-JP"/>
        </w:rPr>
        <w:tab/>
      </w:r>
      <w:r w:rsidRPr="00EF3366">
        <w:rPr>
          <w:rFonts w:ascii="Times New Roman" w:eastAsia="Yu Gothic Light" w:hAnsi="Times New Roman" w:cs="Times New Roman"/>
          <w:sz w:val="28"/>
          <w:szCs w:val="28"/>
          <w:lang w:eastAsia="ja-JP"/>
        </w:rPr>
        <w:tab/>
      </w:r>
    </w:p>
    <w:p w14:paraId="5D1420E0" w14:textId="2FAE42AB" w:rsidR="00A12B2F" w:rsidRDefault="00A12B2F" w:rsidP="00A12B2F">
      <w:pPr>
        <w:rPr>
          <w:rFonts w:ascii="Times New Roman" w:eastAsia="Yu Mincho" w:hAnsi="Times New Roman" w:cs="Times New Roman"/>
          <w:color w:val="000000"/>
          <w:sz w:val="24"/>
          <w:szCs w:val="24"/>
          <w:lang w:eastAsia="ja-JP"/>
        </w:rPr>
      </w:pPr>
      <w:r w:rsidRPr="00A12B2F">
        <w:rPr>
          <w:rFonts w:ascii="Times New Roman" w:eastAsia="Yu Mincho" w:hAnsi="Times New Roman" w:cs="Times New Roman"/>
          <w:color w:val="000000"/>
          <w:sz w:val="24"/>
          <w:szCs w:val="24"/>
          <w:lang w:eastAsia="ja-JP"/>
        </w:rPr>
        <w:t xml:space="preserve">According to efficient market hypothesis, prices of securities completely reflect all information that is available in the market due to which it is not profitable to make trade based on average historical returns. Trading strategies applied for gaining return in market </w:t>
      </w:r>
      <w:r w:rsidR="00362A0C">
        <w:rPr>
          <w:rFonts w:ascii="Times New Roman" w:eastAsia="Yu Mincho" w:hAnsi="Times New Roman" w:cs="Times New Roman"/>
          <w:color w:val="000000"/>
          <w:sz w:val="24"/>
          <w:szCs w:val="24"/>
          <w:lang w:eastAsia="ja-JP"/>
        </w:rPr>
        <w:t xml:space="preserve">are </w:t>
      </w:r>
      <w:r w:rsidRPr="00A12B2F">
        <w:rPr>
          <w:rFonts w:ascii="Times New Roman" w:eastAsia="Yu Mincho" w:hAnsi="Times New Roman" w:cs="Times New Roman"/>
          <w:color w:val="000000"/>
          <w:sz w:val="24"/>
          <w:szCs w:val="24"/>
          <w:lang w:eastAsia="ja-JP"/>
        </w:rPr>
        <w:t xml:space="preserve">subject to observable trends in history. </w:t>
      </w:r>
      <w:r w:rsidR="00A54E99">
        <w:rPr>
          <w:rFonts w:ascii="Times New Roman" w:eastAsia="Yu Mincho" w:hAnsi="Times New Roman" w:cs="Times New Roman"/>
          <w:color w:val="000000"/>
          <w:sz w:val="24"/>
          <w:szCs w:val="24"/>
          <w:lang w:eastAsia="ja-JP"/>
        </w:rPr>
        <w:t>The m</w:t>
      </w:r>
      <w:r w:rsidRPr="00A12B2F">
        <w:rPr>
          <w:rFonts w:ascii="Times New Roman" w:eastAsia="Yu Mincho" w:hAnsi="Times New Roman" w:cs="Times New Roman"/>
          <w:color w:val="000000"/>
          <w:sz w:val="24"/>
          <w:szCs w:val="24"/>
          <w:lang w:eastAsia="ja-JP"/>
        </w:rPr>
        <w:t>ain reason</w:t>
      </w:r>
      <w:r w:rsidR="00A54E99">
        <w:rPr>
          <w:rFonts w:ascii="Times New Roman" w:eastAsia="Yu Mincho" w:hAnsi="Times New Roman" w:cs="Times New Roman"/>
          <w:color w:val="000000"/>
          <w:sz w:val="24"/>
          <w:szCs w:val="24"/>
          <w:lang w:eastAsia="ja-JP"/>
        </w:rPr>
        <w:t xml:space="preserve"> why</w:t>
      </w:r>
      <w:r w:rsidRPr="00A12B2F">
        <w:rPr>
          <w:rFonts w:ascii="Times New Roman" w:eastAsia="Yu Mincho" w:hAnsi="Times New Roman" w:cs="Times New Roman"/>
          <w:color w:val="000000"/>
          <w:sz w:val="24"/>
          <w:szCs w:val="24"/>
          <w:lang w:eastAsia="ja-JP"/>
        </w:rPr>
        <w:t xml:space="preserve"> </w:t>
      </w:r>
      <w:r w:rsidR="00A54E99">
        <w:rPr>
          <w:rFonts w:ascii="Times New Roman" w:eastAsia="Yu Mincho" w:hAnsi="Times New Roman" w:cs="Times New Roman"/>
          <w:color w:val="000000"/>
          <w:sz w:val="24"/>
          <w:szCs w:val="24"/>
          <w:lang w:eastAsia="ja-JP"/>
        </w:rPr>
        <w:t>the</w:t>
      </w:r>
      <w:r w:rsidRPr="00A12B2F">
        <w:rPr>
          <w:rFonts w:ascii="Times New Roman" w:eastAsia="Yu Mincho" w:hAnsi="Times New Roman" w:cs="Times New Roman"/>
          <w:color w:val="000000"/>
          <w:sz w:val="24"/>
          <w:szCs w:val="24"/>
          <w:lang w:eastAsia="ja-JP"/>
        </w:rPr>
        <w:t xml:space="preserve"> market efficiency theory is </w:t>
      </w:r>
      <w:r w:rsidR="00C124BB">
        <w:rPr>
          <w:rFonts w:ascii="Times New Roman" w:eastAsia="Yu Mincho" w:hAnsi="Times New Roman" w:cs="Times New Roman"/>
          <w:color w:val="000000"/>
          <w:sz w:val="24"/>
          <w:szCs w:val="24"/>
          <w:lang w:eastAsia="ja-JP"/>
        </w:rPr>
        <w:t>important is the</w:t>
      </w:r>
      <w:r w:rsidRPr="00A12B2F">
        <w:rPr>
          <w:rFonts w:ascii="Times New Roman" w:eastAsia="Yu Mincho" w:hAnsi="Times New Roman" w:cs="Times New Roman"/>
          <w:color w:val="000000"/>
          <w:sz w:val="24"/>
          <w:szCs w:val="24"/>
          <w:lang w:eastAsia="ja-JP"/>
        </w:rPr>
        <w:t xml:space="preserve"> academic support, but often</w:t>
      </w:r>
      <w:r w:rsidR="000452CE">
        <w:rPr>
          <w:rFonts w:ascii="Times New Roman" w:eastAsia="Yu Mincho" w:hAnsi="Times New Roman" w:cs="Times New Roman"/>
          <w:color w:val="000000"/>
          <w:sz w:val="24"/>
          <w:szCs w:val="24"/>
          <w:lang w:eastAsia="ja-JP"/>
        </w:rPr>
        <w:t xml:space="preserve"> a</w:t>
      </w:r>
      <w:r w:rsidRPr="00A12B2F">
        <w:rPr>
          <w:rFonts w:ascii="Times New Roman" w:eastAsia="Yu Mincho" w:hAnsi="Times New Roman" w:cs="Times New Roman"/>
          <w:color w:val="000000"/>
          <w:sz w:val="24"/>
          <w:szCs w:val="24"/>
          <w:lang w:eastAsia="ja-JP"/>
        </w:rPr>
        <w:t xml:space="preserve"> difference is witnessed in</w:t>
      </w:r>
      <w:r w:rsidR="000452CE">
        <w:rPr>
          <w:rFonts w:ascii="Times New Roman" w:eastAsia="Yu Mincho" w:hAnsi="Times New Roman" w:cs="Times New Roman"/>
          <w:color w:val="000000"/>
          <w:sz w:val="24"/>
          <w:szCs w:val="24"/>
          <w:lang w:eastAsia="ja-JP"/>
        </w:rPr>
        <w:t xml:space="preserve"> the</w:t>
      </w:r>
      <w:r w:rsidRPr="00A12B2F">
        <w:rPr>
          <w:rFonts w:ascii="Times New Roman" w:eastAsia="Yu Mincho" w:hAnsi="Times New Roman" w:cs="Times New Roman"/>
          <w:color w:val="000000"/>
          <w:sz w:val="24"/>
          <w:szCs w:val="24"/>
          <w:lang w:eastAsia="ja-JP"/>
        </w:rPr>
        <w:t xml:space="preserve"> actual behaviour of the market. Market efficiency hypothesis holds importance from several regards where investors can determine type of strategy that they can use for investing in the market. Market efficiency theory has held strong in several researches, such as research of Rehman and </w:t>
      </w:r>
      <w:proofErr w:type="spellStart"/>
      <w:r w:rsidRPr="00A12B2F">
        <w:rPr>
          <w:rFonts w:ascii="Times New Roman" w:eastAsia="Yu Mincho" w:hAnsi="Times New Roman" w:cs="Times New Roman"/>
          <w:color w:val="000000"/>
          <w:sz w:val="24"/>
          <w:szCs w:val="24"/>
          <w:lang w:eastAsia="ja-JP"/>
        </w:rPr>
        <w:t>Khidmat</w:t>
      </w:r>
      <w:proofErr w:type="spellEnd"/>
      <w:r w:rsidRPr="00A12B2F">
        <w:rPr>
          <w:rFonts w:ascii="Times New Roman" w:eastAsia="Yu Mincho" w:hAnsi="Times New Roman" w:cs="Times New Roman"/>
          <w:color w:val="000000"/>
          <w:sz w:val="24"/>
          <w:szCs w:val="24"/>
          <w:lang w:eastAsia="ja-JP"/>
        </w:rPr>
        <w:t xml:space="preserve"> (2013) in which analysis was made of publicly available stocks in the Karachi Stock Exchange. Regression analysis showed that prices of shares fully reflected all information that was available in the market. This relation has been proved in the long run case as several years’ analysis was carried </w:t>
      </w:r>
      <w:proofErr w:type="gramStart"/>
      <w:r w:rsidRPr="00A12B2F">
        <w:rPr>
          <w:rFonts w:ascii="Times New Roman" w:eastAsia="Yu Mincho" w:hAnsi="Times New Roman" w:cs="Times New Roman"/>
          <w:color w:val="000000"/>
          <w:sz w:val="24"/>
          <w:szCs w:val="24"/>
          <w:lang w:eastAsia="ja-JP"/>
        </w:rPr>
        <w:t>out</w:t>
      </w:r>
      <w:proofErr w:type="gramEnd"/>
      <w:r w:rsidRPr="00A12B2F">
        <w:rPr>
          <w:rFonts w:ascii="Times New Roman" w:eastAsia="Yu Mincho" w:hAnsi="Times New Roman" w:cs="Times New Roman"/>
          <w:color w:val="000000"/>
          <w:sz w:val="24"/>
          <w:szCs w:val="24"/>
          <w:lang w:eastAsia="ja-JP"/>
        </w:rPr>
        <w:t xml:space="preserve"> but this relation did not hold in the long run. </w:t>
      </w:r>
    </w:p>
    <w:p w14:paraId="55C370D7" w14:textId="77777777" w:rsidR="00133181" w:rsidRPr="00A12B2F" w:rsidRDefault="00133181" w:rsidP="00A12B2F">
      <w:pPr>
        <w:rPr>
          <w:rFonts w:ascii="Times New Roman" w:eastAsia="Yu Mincho" w:hAnsi="Times New Roman" w:cs="Times New Roman"/>
          <w:color w:val="000000"/>
          <w:sz w:val="24"/>
          <w:szCs w:val="24"/>
          <w:lang w:eastAsia="ja-JP"/>
        </w:rPr>
      </w:pPr>
    </w:p>
    <w:p w14:paraId="683E2AE8" w14:textId="77777777" w:rsidR="00A12B2F" w:rsidRPr="00EF3366" w:rsidRDefault="00A12B2F" w:rsidP="00FC4F71">
      <w:pPr>
        <w:pStyle w:val="Heading2"/>
        <w:rPr>
          <w:rFonts w:ascii="Times New Roman" w:eastAsia="Yu Gothic Light" w:hAnsi="Times New Roman" w:cs="Times New Roman"/>
          <w:sz w:val="28"/>
          <w:szCs w:val="28"/>
          <w:lang w:eastAsia="ja-JP"/>
        </w:rPr>
      </w:pPr>
      <w:bookmarkStart w:id="16" w:name="_Toc17329201"/>
      <w:bookmarkStart w:id="17" w:name="_Toc18488777"/>
      <w:r w:rsidRPr="00EF3366">
        <w:rPr>
          <w:rFonts w:ascii="Times New Roman" w:eastAsia="Yu Gothic Light" w:hAnsi="Times New Roman" w:cs="Times New Roman"/>
          <w:sz w:val="28"/>
          <w:szCs w:val="28"/>
          <w:lang w:eastAsia="ja-JP"/>
        </w:rPr>
        <w:t>Relevance in Banking</w:t>
      </w:r>
      <w:bookmarkEnd w:id="16"/>
      <w:bookmarkEnd w:id="17"/>
      <w:r w:rsidRPr="00EF3366">
        <w:rPr>
          <w:rFonts w:ascii="Times New Roman" w:eastAsia="Yu Gothic Light" w:hAnsi="Times New Roman" w:cs="Times New Roman"/>
          <w:sz w:val="28"/>
          <w:szCs w:val="28"/>
          <w:lang w:eastAsia="ja-JP"/>
        </w:rPr>
        <w:tab/>
      </w:r>
    </w:p>
    <w:p w14:paraId="3400F7F3" w14:textId="58B95F95" w:rsidR="00A12B2F" w:rsidRPr="008812C6" w:rsidRDefault="00A12B2F" w:rsidP="00A12B2F">
      <w:pPr>
        <w:rPr>
          <w:rFonts w:ascii="Times New Roman" w:eastAsia="Yu Mincho" w:hAnsi="Times New Roman" w:cs="Times New Roman"/>
          <w:color w:val="000000"/>
          <w:sz w:val="24"/>
          <w:szCs w:val="24"/>
          <w:lang w:eastAsia="ja-JP"/>
        </w:rPr>
      </w:pPr>
      <w:r w:rsidRPr="00A12B2F">
        <w:rPr>
          <w:rFonts w:ascii="Times New Roman" w:eastAsia="Yu Mincho" w:hAnsi="Times New Roman" w:cs="Times New Roman"/>
          <w:color w:val="000000"/>
          <w:sz w:val="24"/>
          <w:szCs w:val="24"/>
          <w:lang w:eastAsia="ja-JP"/>
        </w:rPr>
        <w:t xml:space="preserve">Considerable research has been carried out to determine </w:t>
      </w:r>
      <w:r w:rsidR="006E6705">
        <w:rPr>
          <w:rFonts w:ascii="Times New Roman" w:eastAsia="Yu Mincho" w:hAnsi="Times New Roman" w:cs="Times New Roman"/>
          <w:color w:val="000000"/>
          <w:sz w:val="24"/>
          <w:szCs w:val="24"/>
          <w:lang w:eastAsia="ja-JP"/>
        </w:rPr>
        <w:t>whether the</w:t>
      </w:r>
      <w:r w:rsidRPr="00A12B2F">
        <w:rPr>
          <w:rFonts w:ascii="Times New Roman" w:eastAsia="Yu Mincho" w:hAnsi="Times New Roman" w:cs="Times New Roman"/>
          <w:color w:val="000000"/>
          <w:sz w:val="24"/>
          <w:szCs w:val="24"/>
          <w:lang w:eastAsia="ja-JP"/>
        </w:rPr>
        <w:t xml:space="preserve"> future stock returns can be predicted </w:t>
      </w:r>
      <w:proofErr w:type="gramStart"/>
      <w:r w:rsidRPr="00A12B2F">
        <w:rPr>
          <w:rFonts w:ascii="Times New Roman" w:eastAsia="Yu Mincho" w:hAnsi="Times New Roman" w:cs="Times New Roman"/>
          <w:color w:val="000000"/>
          <w:sz w:val="24"/>
          <w:szCs w:val="24"/>
          <w:lang w:eastAsia="ja-JP"/>
        </w:rPr>
        <w:t xml:space="preserve">through the use </w:t>
      </w:r>
      <w:r w:rsidR="006E6705">
        <w:rPr>
          <w:rFonts w:ascii="Times New Roman" w:eastAsia="Yu Mincho" w:hAnsi="Times New Roman" w:cs="Times New Roman"/>
          <w:color w:val="000000"/>
          <w:sz w:val="24"/>
          <w:szCs w:val="24"/>
          <w:lang w:eastAsia="ja-JP"/>
        </w:rPr>
        <w:t>of</w:t>
      </w:r>
      <w:proofErr w:type="gramEnd"/>
      <w:r w:rsidR="006E6705">
        <w:rPr>
          <w:rFonts w:ascii="Times New Roman" w:eastAsia="Yu Mincho" w:hAnsi="Times New Roman" w:cs="Times New Roman"/>
          <w:color w:val="000000"/>
          <w:sz w:val="24"/>
          <w:szCs w:val="24"/>
          <w:lang w:eastAsia="ja-JP"/>
        </w:rPr>
        <w:t xml:space="preserve"> the </w:t>
      </w:r>
      <w:r w:rsidRPr="00A12B2F">
        <w:rPr>
          <w:rFonts w:ascii="Times New Roman" w:eastAsia="Yu Mincho" w:hAnsi="Times New Roman" w:cs="Times New Roman"/>
          <w:color w:val="000000"/>
          <w:sz w:val="24"/>
          <w:szCs w:val="24"/>
          <w:lang w:eastAsia="ja-JP"/>
        </w:rPr>
        <w:t xml:space="preserve">initial valuation parameters. Question is whether this trend would still hold in today's time where intellectual dominance is becoming far less relevant in today's time. Change in viewpoint can also be seen </w:t>
      </w:r>
      <w:r w:rsidR="00996A81">
        <w:rPr>
          <w:rFonts w:ascii="Times New Roman" w:eastAsia="Yu Mincho" w:hAnsi="Times New Roman" w:cs="Times New Roman"/>
          <w:color w:val="000000"/>
          <w:sz w:val="24"/>
          <w:szCs w:val="24"/>
          <w:lang w:eastAsia="ja-JP"/>
        </w:rPr>
        <w:t xml:space="preserve">in </w:t>
      </w:r>
      <w:r w:rsidRPr="00A12B2F">
        <w:rPr>
          <w:rFonts w:ascii="Times New Roman" w:eastAsia="Yu Mincho" w:hAnsi="Times New Roman" w:cs="Times New Roman"/>
          <w:color w:val="000000"/>
          <w:sz w:val="24"/>
          <w:szCs w:val="24"/>
          <w:lang w:eastAsia="ja-JP"/>
        </w:rPr>
        <w:t>economists and statisticians they believe that somewhat predictability is present in stock values. Most criticism which arose relating to the market efficiency theory is</w:t>
      </w:r>
      <w:r w:rsidR="00A80393">
        <w:rPr>
          <w:rFonts w:ascii="Times New Roman" w:eastAsia="Yu Mincho" w:hAnsi="Times New Roman" w:cs="Times New Roman"/>
          <w:color w:val="000000"/>
          <w:sz w:val="24"/>
          <w:szCs w:val="24"/>
          <w:lang w:eastAsia="ja-JP"/>
        </w:rPr>
        <w:t xml:space="preserve"> related to the</w:t>
      </w:r>
      <w:r w:rsidRPr="00A12B2F">
        <w:rPr>
          <w:rFonts w:ascii="Times New Roman" w:eastAsia="Yu Mincho" w:hAnsi="Times New Roman" w:cs="Times New Roman"/>
          <w:color w:val="000000"/>
          <w:sz w:val="24"/>
          <w:szCs w:val="24"/>
          <w:lang w:eastAsia="ja-JP"/>
        </w:rPr>
        <w:t xml:space="preserve"> short run where </w:t>
      </w:r>
      <w:r w:rsidR="00B84DEF">
        <w:rPr>
          <w:rFonts w:ascii="Times New Roman" w:eastAsia="Yu Mincho" w:hAnsi="Times New Roman" w:cs="Times New Roman"/>
          <w:color w:val="000000"/>
          <w:sz w:val="24"/>
          <w:szCs w:val="24"/>
          <w:lang w:eastAsia="ja-JP"/>
        </w:rPr>
        <w:t xml:space="preserve">the </w:t>
      </w:r>
      <w:r w:rsidRPr="00A12B2F">
        <w:rPr>
          <w:rFonts w:ascii="Times New Roman" w:eastAsia="Yu Mincho" w:hAnsi="Times New Roman" w:cs="Times New Roman"/>
          <w:color w:val="000000"/>
          <w:sz w:val="24"/>
          <w:szCs w:val="24"/>
          <w:lang w:eastAsia="ja-JP"/>
        </w:rPr>
        <w:t xml:space="preserve">fluctuation shown in </w:t>
      </w:r>
      <w:r w:rsidR="00B84DEF">
        <w:rPr>
          <w:rFonts w:ascii="Times New Roman" w:eastAsia="Yu Mincho" w:hAnsi="Times New Roman" w:cs="Times New Roman"/>
          <w:color w:val="000000"/>
          <w:sz w:val="24"/>
          <w:szCs w:val="24"/>
          <w:lang w:eastAsia="ja-JP"/>
        </w:rPr>
        <w:t xml:space="preserve">the </w:t>
      </w:r>
      <w:r w:rsidRPr="00A12B2F">
        <w:rPr>
          <w:rFonts w:ascii="Times New Roman" w:eastAsia="Yu Mincho" w:hAnsi="Times New Roman" w:cs="Times New Roman"/>
          <w:color w:val="000000"/>
          <w:sz w:val="24"/>
          <w:szCs w:val="24"/>
          <w:lang w:eastAsia="ja-JP"/>
        </w:rPr>
        <w:t>stock prices allow</w:t>
      </w:r>
      <w:r w:rsidR="00B84DEF">
        <w:rPr>
          <w:rFonts w:ascii="Times New Roman" w:eastAsia="Yu Mincho" w:hAnsi="Times New Roman" w:cs="Times New Roman"/>
          <w:color w:val="000000"/>
          <w:sz w:val="24"/>
          <w:szCs w:val="24"/>
          <w:lang w:eastAsia="ja-JP"/>
        </w:rPr>
        <w:t>s</w:t>
      </w:r>
      <w:r w:rsidRPr="00A12B2F">
        <w:rPr>
          <w:rFonts w:ascii="Times New Roman" w:eastAsia="Yu Mincho" w:hAnsi="Times New Roman" w:cs="Times New Roman"/>
          <w:color w:val="000000"/>
          <w:sz w:val="24"/>
          <w:szCs w:val="24"/>
          <w:lang w:eastAsia="ja-JP"/>
        </w:rPr>
        <w:t xml:space="preserve"> investors to generate abnormal amount of return</w:t>
      </w:r>
      <w:r w:rsidR="00B84DEF">
        <w:rPr>
          <w:rFonts w:ascii="Times New Roman" w:eastAsia="Yu Mincho" w:hAnsi="Times New Roman" w:cs="Times New Roman"/>
          <w:color w:val="000000"/>
          <w:sz w:val="24"/>
          <w:szCs w:val="24"/>
          <w:lang w:eastAsia="ja-JP"/>
        </w:rPr>
        <w:t>s</w:t>
      </w:r>
      <w:r w:rsidRPr="00A12B2F">
        <w:rPr>
          <w:rFonts w:ascii="Times New Roman" w:eastAsia="Yu Mincho" w:hAnsi="Times New Roman" w:cs="Times New Roman"/>
          <w:color w:val="000000"/>
          <w:sz w:val="24"/>
          <w:szCs w:val="24"/>
          <w:lang w:eastAsia="ja-JP"/>
        </w:rPr>
        <w:t xml:space="preserve"> (</w:t>
      </w:r>
      <w:proofErr w:type="spellStart"/>
      <w:r w:rsidRPr="00A12B2F">
        <w:rPr>
          <w:rFonts w:ascii="Times New Roman" w:eastAsia="Yu Mincho" w:hAnsi="Times New Roman" w:cs="Times New Roman"/>
          <w:color w:val="000000"/>
          <w:sz w:val="24"/>
          <w:szCs w:val="24"/>
          <w:lang w:eastAsia="ja-JP"/>
        </w:rPr>
        <w:t>Lekovic</w:t>
      </w:r>
      <w:proofErr w:type="spellEnd"/>
      <w:r w:rsidRPr="00A12B2F">
        <w:rPr>
          <w:rFonts w:ascii="Times New Roman" w:eastAsia="Yu Mincho" w:hAnsi="Times New Roman" w:cs="Times New Roman"/>
          <w:color w:val="000000"/>
          <w:sz w:val="24"/>
          <w:szCs w:val="24"/>
          <w:lang w:eastAsia="ja-JP"/>
        </w:rPr>
        <w:t xml:space="preserve">, 2018). However, these patterns do not show any consistent behaviour due to which guarantee is not present for investors to generate return. Waves of optimism are seen in short-run but such viewpoint tends to slim out over longer durations. Role of interest rates is worth mentioning in this part as interest rate is one of the main sources of generating </w:t>
      </w:r>
      <w:r w:rsidRPr="00A12B2F">
        <w:rPr>
          <w:rFonts w:ascii="Times New Roman" w:eastAsia="Yu Mincho" w:hAnsi="Times New Roman" w:cs="Times New Roman"/>
          <w:color w:val="000000"/>
          <w:sz w:val="24"/>
          <w:szCs w:val="24"/>
          <w:lang w:eastAsia="ja-JP"/>
        </w:rPr>
        <w:lastRenderedPageBreak/>
        <w:t>revenue for banks. Dividend yields given out by the company tend to vary with interest rates</w:t>
      </w:r>
      <w:r w:rsidR="00364FEB">
        <w:rPr>
          <w:rFonts w:ascii="Times New Roman" w:eastAsia="Yu Mincho" w:hAnsi="Times New Roman" w:cs="Times New Roman"/>
          <w:color w:val="000000"/>
          <w:sz w:val="24"/>
          <w:szCs w:val="24"/>
          <w:lang w:eastAsia="ja-JP"/>
        </w:rPr>
        <w:t xml:space="preserve">. </w:t>
      </w:r>
      <w:proofErr w:type="gramStart"/>
      <w:r w:rsidR="00364FEB">
        <w:rPr>
          <w:rFonts w:ascii="Times New Roman" w:eastAsia="Yu Mincho" w:hAnsi="Times New Roman" w:cs="Times New Roman"/>
          <w:color w:val="000000"/>
          <w:sz w:val="24"/>
          <w:szCs w:val="24"/>
          <w:lang w:eastAsia="ja-JP"/>
        </w:rPr>
        <w:t xml:space="preserve">A </w:t>
      </w:r>
      <w:r w:rsidRPr="00A12B2F">
        <w:rPr>
          <w:rFonts w:ascii="Times New Roman" w:eastAsia="Yu Mincho" w:hAnsi="Times New Roman" w:cs="Times New Roman"/>
          <w:color w:val="000000"/>
          <w:sz w:val="24"/>
          <w:szCs w:val="24"/>
          <w:lang w:eastAsia="ja-JP"/>
        </w:rPr>
        <w:t xml:space="preserve"> higher</w:t>
      </w:r>
      <w:proofErr w:type="gramEnd"/>
      <w:r w:rsidRPr="00A12B2F">
        <w:rPr>
          <w:rFonts w:ascii="Times New Roman" w:eastAsia="Yu Mincho" w:hAnsi="Times New Roman" w:cs="Times New Roman"/>
          <w:color w:val="000000"/>
          <w:sz w:val="24"/>
          <w:szCs w:val="24"/>
          <w:lang w:eastAsia="ja-JP"/>
        </w:rPr>
        <w:t xml:space="preserve"> interest rate allows banks to give out higher dividends and vice versa. More abnormal fluctuation in prices is seen </w:t>
      </w:r>
      <w:r w:rsidR="00965A09">
        <w:rPr>
          <w:rFonts w:ascii="Times New Roman" w:eastAsia="Yu Mincho" w:hAnsi="Times New Roman" w:cs="Times New Roman"/>
          <w:color w:val="000000"/>
          <w:sz w:val="24"/>
          <w:szCs w:val="24"/>
          <w:lang w:eastAsia="ja-JP"/>
        </w:rPr>
        <w:t>as</w:t>
      </w:r>
      <w:r w:rsidRPr="00A12B2F">
        <w:rPr>
          <w:rFonts w:ascii="Times New Roman" w:eastAsia="Yu Mincho" w:hAnsi="Times New Roman" w:cs="Times New Roman"/>
          <w:color w:val="000000"/>
          <w:sz w:val="24"/>
          <w:szCs w:val="24"/>
          <w:lang w:eastAsia="ja-JP"/>
        </w:rPr>
        <w:t xml:space="preserve"> easily tradeable securities</w:t>
      </w:r>
      <w:r w:rsidR="00965A09">
        <w:rPr>
          <w:rFonts w:ascii="Times New Roman" w:eastAsia="Yu Mincho" w:hAnsi="Times New Roman" w:cs="Times New Roman"/>
          <w:color w:val="000000"/>
          <w:sz w:val="24"/>
          <w:szCs w:val="24"/>
          <w:lang w:eastAsia="ja-JP"/>
        </w:rPr>
        <w:t>: they</w:t>
      </w:r>
      <w:r w:rsidRPr="00A12B2F">
        <w:rPr>
          <w:rFonts w:ascii="Times New Roman" w:eastAsia="Yu Mincho" w:hAnsi="Times New Roman" w:cs="Times New Roman"/>
          <w:color w:val="000000"/>
          <w:sz w:val="24"/>
          <w:szCs w:val="24"/>
          <w:lang w:eastAsia="ja-JP"/>
        </w:rPr>
        <w:t xml:space="preserve"> have less transaction costs allowing investors to make trade more often and generate higher return (</w:t>
      </w:r>
      <w:proofErr w:type="spellStart"/>
      <w:r w:rsidRPr="00A12B2F">
        <w:rPr>
          <w:rFonts w:ascii="Times New Roman" w:eastAsia="Yu Mincho" w:hAnsi="Times New Roman" w:cs="Times New Roman"/>
          <w:color w:val="000000"/>
          <w:sz w:val="24"/>
          <w:szCs w:val="24"/>
          <w:lang w:eastAsia="ja-JP"/>
        </w:rPr>
        <w:t>Kraujalis</w:t>
      </w:r>
      <w:proofErr w:type="spellEnd"/>
      <w:r w:rsidRPr="00A12B2F">
        <w:rPr>
          <w:rFonts w:ascii="Times New Roman" w:eastAsia="Yu Mincho" w:hAnsi="Times New Roman" w:cs="Times New Roman"/>
          <w:color w:val="000000"/>
          <w:sz w:val="24"/>
          <w:szCs w:val="24"/>
          <w:lang w:eastAsia="ja-JP"/>
        </w:rPr>
        <w:t xml:space="preserve">, </w:t>
      </w:r>
      <w:proofErr w:type="spellStart"/>
      <w:r w:rsidRPr="00A12B2F">
        <w:rPr>
          <w:rFonts w:ascii="Times New Roman" w:eastAsia="Yu Mincho" w:hAnsi="Times New Roman" w:cs="Times New Roman"/>
          <w:color w:val="000000"/>
          <w:sz w:val="24"/>
          <w:szCs w:val="24"/>
          <w:lang w:eastAsia="ja-JP"/>
        </w:rPr>
        <w:t>Karpaviciene</w:t>
      </w:r>
      <w:proofErr w:type="spellEnd"/>
      <w:r w:rsidRPr="00A12B2F">
        <w:rPr>
          <w:rFonts w:ascii="Times New Roman" w:eastAsia="Yu Mincho" w:hAnsi="Times New Roman" w:cs="Times New Roman"/>
          <w:color w:val="000000"/>
          <w:sz w:val="24"/>
          <w:szCs w:val="24"/>
          <w:lang w:eastAsia="ja-JP"/>
        </w:rPr>
        <w:t xml:space="preserve"> and </w:t>
      </w:r>
      <w:proofErr w:type="spellStart"/>
      <w:r w:rsidRPr="00A12B2F">
        <w:rPr>
          <w:rFonts w:ascii="Times New Roman" w:eastAsia="Yu Mincho" w:hAnsi="Times New Roman" w:cs="Times New Roman"/>
          <w:color w:val="000000"/>
          <w:sz w:val="24"/>
          <w:szCs w:val="24"/>
          <w:lang w:eastAsia="ja-JP"/>
        </w:rPr>
        <w:t>Vcilikas</w:t>
      </w:r>
      <w:proofErr w:type="spellEnd"/>
      <w:r w:rsidRPr="00A12B2F">
        <w:rPr>
          <w:rFonts w:ascii="Times New Roman" w:eastAsia="Yu Mincho" w:hAnsi="Times New Roman" w:cs="Times New Roman"/>
          <w:color w:val="000000"/>
          <w:sz w:val="24"/>
          <w:szCs w:val="24"/>
          <w:lang w:eastAsia="ja-JP"/>
        </w:rPr>
        <w:t xml:space="preserve">, 2006). Shares of banks can be labelled under this category as shares can be traded easily allowing investors to earn abnormal returns, </w:t>
      </w:r>
      <w:r w:rsidRPr="008812C6">
        <w:rPr>
          <w:rFonts w:ascii="Times New Roman" w:eastAsia="Yu Mincho" w:hAnsi="Times New Roman" w:cs="Times New Roman"/>
          <w:color w:val="000000"/>
          <w:sz w:val="24"/>
          <w:szCs w:val="24"/>
          <w:lang w:eastAsia="ja-JP"/>
        </w:rPr>
        <w:t xml:space="preserve">for which market efficiency theory will not hold as strongly. </w:t>
      </w:r>
    </w:p>
    <w:p w14:paraId="7565B0C7" w14:textId="0F923531" w:rsidR="006377B9" w:rsidRPr="008812C6" w:rsidRDefault="006377B9" w:rsidP="00A12B2F">
      <w:pPr>
        <w:rPr>
          <w:rFonts w:ascii="Times New Roman" w:hAnsi="Times New Roman" w:cs="Times New Roman"/>
          <w:color w:val="FF0000"/>
          <w:sz w:val="24"/>
          <w:szCs w:val="24"/>
        </w:rPr>
      </w:pPr>
      <w:r w:rsidRPr="008812C6">
        <w:rPr>
          <w:rFonts w:ascii="Times New Roman" w:hAnsi="Times New Roman" w:cs="Times New Roman"/>
          <w:sz w:val="24"/>
          <w:szCs w:val="24"/>
        </w:rPr>
        <w:t xml:space="preserve">According to </w:t>
      </w:r>
      <w:proofErr w:type="spellStart"/>
      <w:r w:rsidRPr="008812C6">
        <w:rPr>
          <w:rFonts w:ascii="Times New Roman" w:hAnsi="Times New Roman" w:cs="Times New Roman"/>
          <w:sz w:val="24"/>
          <w:szCs w:val="24"/>
        </w:rPr>
        <w:t>Fama</w:t>
      </w:r>
      <w:proofErr w:type="spellEnd"/>
      <w:r w:rsidRPr="008812C6">
        <w:rPr>
          <w:rFonts w:ascii="Times New Roman" w:hAnsi="Times New Roman" w:cs="Times New Roman"/>
          <w:sz w:val="24"/>
          <w:szCs w:val="24"/>
        </w:rPr>
        <w:t xml:space="preserve"> (1991),</w:t>
      </w:r>
      <w:r w:rsidR="00180CF8" w:rsidRPr="008812C6">
        <w:rPr>
          <w:rFonts w:ascii="Times New Roman" w:hAnsi="Times New Roman" w:cs="Times New Roman"/>
          <w:sz w:val="24"/>
          <w:szCs w:val="24"/>
        </w:rPr>
        <w:t xml:space="preserve"> </w:t>
      </w:r>
      <w:r w:rsidRPr="008812C6">
        <w:rPr>
          <w:rFonts w:ascii="Times New Roman" w:hAnsi="Times New Roman" w:cs="Times New Roman"/>
          <w:sz w:val="24"/>
          <w:szCs w:val="24"/>
        </w:rPr>
        <w:t xml:space="preserve">a market is efficient when share’s prices reflect all relevant information at any point in time. Investors will therefore unable to gain abnormal returns using said information. </w:t>
      </w:r>
    </w:p>
    <w:p w14:paraId="3CAA1CEA" w14:textId="77777777" w:rsidR="00C4541A" w:rsidRPr="008812C6" w:rsidRDefault="00C4541A" w:rsidP="00C4541A">
      <w:pPr>
        <w:rPr>
          <w:rFonts w:ascii="Times New Roman" w:hAnsi="Times New Roman" w:cs="Times New Roman"/>
          <w:sz w:val="24"/>
          <w:szCs w:val="24"/>
        </w:rPr>
      </w:pPr>
      <w:r w:rsidRPr="008812C6">
        <w:rPr>
          <w:rFonts w:ascii="Times New Roman" w:hAnsi="Times New Roman" w:cs="Times New Roman"/>
          <w:sz w:val="24"/>
          <w:szCs w:val="24"/>
        </w:rPr>
        <w:t>There are three variants of efficient market: weak-form, semi-strong form and strong form.</w:t>
      </w:r>
    </w:p>
    <w:p w14:paraId="6055006C" w14:textId="59DFD8DE" w:rsidR="00C4541A" w:rsidRPr="008812C6" w:rsidRDefault="00C4541A" w:rsidP="00C4541A">
      <w:pPr>
        <w:pStyle w:val="ListParagraph"/>
        <w:numPr>
          <w:ilvl w:val="0"/>
          <w:numId w:val="1"/>
        </w:numPr>
        <w:rPr>
          <w:rFonts w:ascii="Times New Roman" w:hAnsi="Times New Roman" w:cs="Times New Roman"/>
          <w:sz w:val="24"/>
          <w:szCs w:val="24"/>
        </w:rPr>
      </w:pPr>
      <w:r w:rsidRPr="008812C6">
        <w:rPr>
          <w:rFonts w:ascii="Times New Roman" w:hAnsi="Times New Roman" w:cs="Times New Roman"/>
          <w:i/>
          <w:sz w:val="24"/>
          <w:szCs w:val="24"/>
        </w:rPr>
        <w:t>Weak-form</w:t>
      </w:r>
      <w:r w:rsidR="00A20B5F">
        <w:rPr>
          <w:rFonts w:ascii="Times New Roman" w:hAnsi="Times New Roman" w:cs="Times New Roman"/>
          <w:i/>
          <w:sz w:val="24"/>
          <w:szCs w:val="24"/>
        </w:rPr>
        <w:t>:</w:t>
      </w:r>
      <w:r w:rsidRPr="008812C6">
        <w:rPr>
          <w:rFonts w:ascii="Times New Roman" w:hAnsi="Times New Roman" w:cs="Times New Roman"/>
          <w:sz w:val="24"/>
          <w:szCs w:val="24"/>
        </w:rPr>
        <w:t xml:space="preserve"> the future prices of shares are </w:t>
      </w:r>
      <w:r w:rsidRPr="008812C6">
        <w:rPr>
          <w:rFonts w:ascii="Times New Roman" w:hAnsi="Times New Roman" w:cs="Times New Roman"/>
          <w:i/>
          <w:sz w:val="24"/>
          <w:szCs w:val="24"/>
        </w:rPr>
        <w:t>random</w:t>
      </w:r>
      <w:r w:rsidRPr="008812C6">
        <w:rPr>
          <w:rFonts w:ascii="Times New Roman" w:hAnsi="Times New Roman" w:cs="Times New Roman"/>
          <w:sz w:val="24"/>
          <w:szCs w:val="24"/>
        </w:rPr>
        <w:t>, past events will not influence the future assets’ price. Security prices reflect all past market data which refers to historical price and trading volume information</w:t>
      </w:r>
      <w:r w:rsidR="0017302F" w:rsidRPr="008812C6">
        <w:rPr>
          <w:rFonts w:ascii="Times New Roman" w:hAnsi="Times New Roman" w:cs="Times New Roman"/>
          <w:sz w:val="24"/>
          <w:szCs w:val="24"/>
        </w:rPr>
        <w:t>.</w:t>
      </w:r>
    </w:p>
    <w:p w14:paraId="52F52981" w14:textId="14675681" w:rsidR="00C4541A" w:rsidRPr="008812C6" w:rsidRDefault="00C4541A" w:rsidP="008812C6">
      <w:pPr>
        <w:pStyle w:val="ListParagraph"/>
        <w:numPr>
          <w:ilvl w:val="0"/>
          <w:numId w:val="1"/>
        </w:numPr>
        <w:rPr>
          <w:rFonts w:ascii="Times New Roman" w:hAnsi="Times New Roman" w:cs="Times New Roman"/>
          <w:sz w:val="24"/>
          <w:szCs w:val="24"/>
        </w:rPr>
      </w:pPr>
      <w:r w:rsidRPr="00A20B5F">
        <w:rPr>
          <w:rFonts w:ascii="Times New Roman" w:hAnsi="Times New Roman" w:cs="Times New Roman"/>
          <w:i/>
          <w:sz w:val="24"/>
          <w:szCs w:val="24"/>
        </w:rPr>
        <w:t>Semi-strong fo</w:t>
      </w:r>
      <w:r w:rsidR="0001562C">
        <w:rPr>
          <w:rFonts w:ascii="Times New Roman" w:hAnsi="Times New Roman" w:cs="Times New Roman"/>
          <w:i/>
          <w:sz w:val="24"/>
          <w:szCs w:val="24"/>
        </w:rPr>
        <w:t>r</w:t>
      </w:r>
      <w:r w:rsidRPr="00A20B5F">
        <w:rPr>
          <w:rFonts w:ascii="Times New Roman" w:hAnsi="Times New Roman" w:cs="Times New Roman"/>
          <w:i/>
          <w:sz w:val="24"/>
          <w:szCs w:val="24"/>
        </w:rPr>
        <w:t>m</w:t>
      </w:r>
      <w:r w:rsidR="00A20B5F">
        <w:rPr>
          <w:rFonts w:ascii="Times New Roman" w:hAnsi="Times New Roman" w:cs="Times New Roman"/>
          <w:sz w:val="24"/>
          <w:szCs w:val="24"/>
        </w:rPr>
        <w:t xml:space="preserve">: </w:t>
      </w:r>
      <w:r w:rsidRPr="008812C6">
        <w:rPr>
          <w:rFonts w:ascii="Times New Roman" w:hAnsi="Times New Roman" w:cs="Times New Roman"/>
          <w:sz w:val="24"/>
          <w:szCs w:val="24"/>
        </w:rPr>
        <w:t xml:space="preserve">the future share’s price will depend on both past market data and all the public information which are shared by company for example in the financial statement, dividend announcement, political, financial and business news. Huge return cannot be achieved by technical and fundamental analysis because the market reacts so quickly.  </w:t>
      </w:r>
    </w:p>
    <w:p w14:paraId="224627DC" w14:textId="4804488F" w:rsidR="00C4541A" w:rsidRPr="008812C6" w:rsidRDefault="00C4541A" w:rsidP="00C4541A">
      <w:pPr>
        <w:pStyle w:val="ListParagraph"/>
        <w:numPr>
          <w:ilvl w:val="0"/>
          <w:numId w:val="1"/>
        </w:numPr>
        <w:rPr>
          <w:rFonts w:ascii="Times New Roman" w:hAnsi="Times New Roman" w:cs="Times New Roman"/>
          <w:sz w:val="24"/>
          <w:szCs w:val="24"/>
        </w:rPr>
      </w:pPr>
      <w:r w:rsidRPr="00A20B5F">
        <w:rPr>
          <w:rFonts w:ascii="Times New Roman" w:hAnsi="Times New Roman" w:cs="Times New Roman"/>
          <w:i/>
          <w:sz w:val="24"/>
          <w:szCs w:val="24"/>
        </w:rPr>
        <w:t>Strong form</w:t>
      </w:r>
      <w:r w:rsidR="00A20B5F">
        <w:rPr>
          <w:rFonts w:ascii="Times New Roman" w:hAnsi="Times New Roman" w:cs="Times New Roman"/>
          <w:sz w:val="24"/>
          <w:szCs w:val="24"/>
        </w:rPr>
        <w:t>:</w:t>
      </w:r>
      <w:r w:rsidRPr="008812C6">
        <w:rPr>
          <w:rFonts w:ascii="Times New Roman" w:hAnsi="Times New Roman" w:cs="Times New Roman"/>
          <w:sz w:val="24"/>
          <w:szCs w:val="24"/>
        </w:rPr>
        <w:t xml:space="preserve"> the future share’s price will depend on the all the information. But this time, both public and private information will determine the future change in the stock’s price. Thus, the strong form encompasses the weak-form and the semi-strong market efficient. </w:t>
      </w:r>
      <w:r w:rsidR="00016894" w:rsidRPr="008812C6">
        <w:rPr>
          <w:rFonts w:ascii="Times New Roman" w:hAnsi="Times New Roman" w:cs="Times New Roman"/>
          <w:sz w:val="24"/>
          <w:szCs w:val="24"/>
        </w:rPr>
        <w:t>I</w:t>
      </w:r>
      <w:r w:rsidRPr="008812C6">
        <w:rPr>
          <w:rFonts w:ascii="Times New Roman" w:hAnsi="Times New Roman" w:cs="Times New Roman"/>
          <w:sz w:val="24"/>
          <w:szCs w:val="24"/>
        </w:rPr>
        <w:t xml:space="preserve">n this form, prices not change random, they will depend on the past events.  </w:t>
      </w:r>
    </w:p>
    <w:p w14:paraId="52869B5B" w14:textId="77777777" w:rsidR="006377B9" w:rsidRDefault="006377B9" w:rsidP="00A12B2F">
      <w:pPr>
        <w:rPr>
          <w:rFonts w:ascii="Times New Roman" w:eastAsia="Yu Mincho" w:hAnsi="Times New Roman" w:cs="Times New Roman"/>
          <w:color w:val="000000"/>
          <w:sz w:val="24"/>
          <w:szCs w:val="24"/>
          <w:lang w:eastAsia="ja-JP"/>
        </w:rPr>
      </w:pPr>
    </w:p>
    <w:p w14:paraId="1D93F172" w14:textId="77777777" w:rsidR="00A12B2F" w:rsidRPr="00EF3366" w:rsidRDefault="00A12B2F" w:rsidP="00FC4F71">
      <w:pPr>
        <w:pStyle w:val="Heading2"/>
        <w:rPr>
          <w:rFonts w:ascii="Times New Roman" w:eastAsia="Yu Gothic Light" w:hAnsi="Times New Roman" w:cs="Times New Roman"/>
          <w:sz w:val="28"/>
          <w:szCs w:val="28"/>
          <w:lang w:eastAsia="ja-JP"/>
        </w:rPr>
      </w:pPr>
      <w:bookmarkStart w:id="18" w:name="_Toc17329202"/>
      <w:bookmarkStart w:id="19" w:name="_Toc18488778"/>
      <w:r w:rsidRPr="00EF3366">
        <w:rPr>
          <w:rFonts w:ascii="Times New Roman" w:eastAsia="Yu Gothic Light" w:hAnsi="Times New Roman" w:cs="Times New Roman"/>
          <w:sz w:val="28"/>
          <w:szCs w:val="28"/>
          <w:lang w:eastAsia="ja-JP"/>
        </w:rPr>
        <w:t>Operational Risk</w:t>
      </w:r>
      <w:bookmarkEnd w:id="18"/>
      <w:bookmarkEnd w:id="19"/>
    </w:p>
    <w:p w14:paraId="4FA274AF" w14:textId="174C7F54" w:rsidR="00A12B2F" w:rsidRDefault="00A12B2F" w:rsidP="00A12B2F">
      <w:pPr>
        <w:rPr>
          <w:rFonts w:ascii="Times New Roman" w:eastAsia="Yu Mincho" w:hAnsi="Times New Roman" w:cs="Times New Roman"/>
          <w:color w:val="000000"/>
          <w:sz w:val="24"/>
          <w:szCs w:val="24"/>
          <w:lang w:eastAsia="ja-JP"/>
        </w:rPr>
      </w:pPr>
      <w:r w:rsidRPr="00A12B2F">
        <w:rPr>
          <w:rFonts w:ascii="Times New Roman" w:eastAsia="Yu Mincho" w:hAnsi="Times New Roman" w:cs="Times New Roman"/>
          <w:color w:val="000000"/>
          <w:sz w:val="24"/>
          <w:szCs w:val="24"/>
          <w:lang w:eastAsia="ja-JP"/>
        </w:rPr>
        <w:t xml:space="preserve">Operational risk assessment </w:t>
      </w:r>
      <w:r w:rsidR="00FD3476">
        <w:rPr>
          <w:rFonts w:ascii="Times New Roman" w:eastAsia="Yu Mincho" w:hAnsi="Times New Roman" w:cs="Times New Roman"/>
          <w:color w:val="000000"/>
          <w:sz w:val="24"/>
          <w:szCs w:val="24"/>
          <w:lang w:eastAsia="ja-JP"/>
        </w:rPr>
        <w:t>seems to gain</w:t>
      </w:r>
      <w:r w:rsidRPr="00A12B2F">
        <w:rPr>
          <w:rFonts w:ascii="Times New Roman" w:eastAsia="Yu Mincho" w:hAnsi="Times New Roman" w:cs="Times New Roman"/>
          <w:color w:val="000000"/>
          <w:sz w:val="24"/>
          <w:szCs w:val="24"/>
          <w:lang w:eastAsia="ja-JP"/>
        </w:rPr>
        <w:t xml:space="preserve"> growing interest in banking industry, although the measure was given little importance in the previous industry. Taking up such measure is seen as a positive standing point where more formal assessment can be made of companies. Increasing focus towards applying such measures in the financial industry can be attributed to diversity present in the forms of activity and constant fluctuation that is taking place due to changes in the financial sector. Most common ratios applied for measuring the value of stocks include price-earnings ratio and price-to-book value ratio. These measures are mainly focused </w:t>
      </w:r>
      <w:r w:rsidR="00FD3476">
        <w:rPr>
          <w:rFonts w:ascii="Times New Roman" w:eastAsia="Yu Mincho" w:hAnsi="Times New Roman" w:cs="Times New Roman"/>
          <w:color w:val="000000"/>
          <w:sz w:val="24"/>
          <w:szCs w:val="24"/>
          <w:lang w:eastAsia="ja-JP"/>
        </w:rPr>
        <w:t xml:space="preserve">on the </w:t>
      </w:r>
      <w:r w:rsidRPr="00A12B2F">
        <w:rPr>
          <w:rFonts w:ascii="Times New Roman" w:eastAsia="Yu Mincho" w:hAnsi="Times New Roman" w:cs="Times New Roman"/>
          <w:color w:val="000000"/>
          <w:sz w:val="24"/>
          <w:szCs w:val="24"/>
          <w:lang w:eastAsia="ja-JP"/>
        </w:rPr>
        <w:t xml:space="preserve">market value of a company as compared to book value where it tells overall value of investing approach. However, this approach assumes that markets are </w:t>
      </w:r>
      <w:proofErr w:type="gramStart"/>
      <w:r w:rsidRPr="00A12B2F">
        <w:rPr>
          <w:rFonts w:ascii="Times New Roman" w:eastAsia="Yu Mincho" w:hAnsi="Times New Roman" w:cs="Times New Roman"/>
          <w:color w:val="000000"/>
          <w:sz w:val="24"/>
          <w:szCs w:val="24"/>
          <w:lang w:eastAsia="ja-JP"/>
        </w:rPr>
        <w:t>inefficient</w:t>
      </w:r>
      <w:proofErr w:type="gramEnd"/>
      <w:r w:rsidRPr="00A12B2F">
        <w:rPr>
          <w:rFonts w:ascii="Times New Roman" w:eastAsia="Yu Mincho" w:hAnsi="Times New Roman" w:cs="Times New Roman"/>
          <w:color w:val="000000"/>
          <w:sz w:val="24"/>
          <w:szCs w:val="24"/>
          <w:lang w:eastAsia="ja-JP"/>
        </w:rPr>
        <w:t xml:space="preserve"> and firms are trading at less as compared to their actual worth (</w:t>
      </w:r>
      <w:proofErr w:type="spellStart"/>
      <w:r w:rsidRPr="00A12B2F">
        <w:rPr>
          <w:rFonts w:ascii="Times New Roman" w:eastAsia="Yu Mincho" w:hAnsi="Times New Roman" w:cs="Times New Roman"/>
          <w:color w:val="000000"/>
          <w:sz w:val="24"/>
          <w:szCs w:val="24"/>
          <w:lang w:eastAsia="ja-JP"/>
        </w:rPr>
        <w:t>Makiel</w:t>
      </w:r>
      <w:proofErr w:type="spellEnd"/>
      <w:r w:rsidRPr="00A12B2F">
        <w:rPr>
          <w:rFonts w:ascii="Times New Roman" w:eastAsia="Yu Mincho" w:hAnsi="Times New Roman" w:cs="Times New Roman"/>
          <w:color w:val="000000"/>
          <w:sz w:val="24"/>
          <w:szCs w:val="24"/>
          <w:lang w:eastAsia="ja-JP"/>
        </w:rPr>
        <w:t xml:space="preserve">, 2003). This presents a dilemma for market efficiency theory where according to the theory, all </w:t>
      </w:r>
      <w:r w:rsidR="00753B15">
        <w:rPr>
          <w:rFonts w:ascii="Times New Roman" w:eastAsia="Yu Mincho" w:hAnsi="Times New Roman" w:cs="Times New Roman"/>
          <w:color w:val="000000"/>
          <w:sz w:val="24"/>
          <w:szCs w:val="24"/>
          <w:lang w:eastAsia="ja-JP"/>
        </w:rPr>
        <w:t xml:space="preserve">the available </w:t>
      </w:r>
      <w:r w:rsidRPr="00A12B2F">
        <w:rPr>
          <w:rFonts w:ascii="Times New Roman" w:eastAsia="Yu Mincho" w:hAnsi="Times New Roman" w:cs="Times New Roman"/>
          <w:color w:val="000000"/>
          <w:sz w:val="24"/>
          <w:szCs w:val="24"/>
          <w:lang w:eastAsia="ja-JP"/>
        </w:rPr>
        <w:t xml:space="preserve">information available in the market is reflected </w:t>
      </w:r>
      <w:r w:rsidR="00402737">
        <w:rPr>
          <w:rFonts w:ascii="Times New Roman" w:eastAsia="Yu Mincho" w:hAnsi="Times New Roman" w:cs="Times New Roman"/>
          <w:color w:val="000000"/>
          <w:sz w:val="24"/>
          <w:szCs w:val="24"/>
          <w:lang w:eastAsia="ja-JP"/>
        </w:rPr>
        <w:t xml:space="preserve">on the </w:t>
      </w:r>
      <w:r w:rsidRPr="00A12B2F">
        <w:rPr>
          <w:rFonts w:ascii="Times New Roman" w:eastAsia="Yu Mincho" w:hAnsi="Times New Roman" w:cs="Times New Roman"/>
          <w:color w:val="000000"/>
          <w:sz w:val="24"/>
          <w:szCs w:val="24"/>
          <w:lang w:eastAsia="ja-JP"/>
        </w:rPr>
        <w:t xml:space="preserve">value of stocks where investors cannot earn above-average returns. This ratio is mostly applied in capital intensive firms such as manufacturing </w:t>
      </w:r>
      <w:r w:rsidRPr="00A12B2F">
        <w:rPr>
          <w:rFonts w:ascii="Times New Roman" w:eastAsia="Yu Mincho" w:hAnsi="Times New Roman" w:cs="Times New Roman"/>
          <w:color w:val="000000"/>
          <w:sz w:val="24"/>
          <w:szCs w:val="24"/>
          <w:lang w:eastAsia="ja-JP"/>
        </w:rPr>
        <w:lastRenderedPageBreak/>
        <w:t>industry or financial businesses</w:t>
      </w:r>
      <w:r w:rsidR="00637479">
        <w:rPr>
          <w:rFonts w:ascii="Times New Roman" w:eastAsia="Yu Mincho" w:hAnsi="Times New Roman" w:cs="Times New Roman"/>
          <w:color w:val="000000"/>
          <w:sz w:val="24"/>
          <w:szCs w:val="24"/>
          <w:lang w:eastAsia="ja-JP"/>
        </w:rPr>
        <w:t xml:space="preserve"> and it</w:t>
      </w:r>
      <w:r w:rsidRPr="00A12B2F">
        <w:rPr>
          <w:rFonts w:ascii="Times New Roman" w:eastAsia="Yu Mincho" w:hAnsi="Times New Roman" w:cs="Times New Roman"/>
          <w:color w:val="000000"/>
          <w:sz w:val="24"/>
          <w:szCs w:val="24"/>
          <w:lang w:eastAsia="ja-JP"/>
        </w:rPr>
        <w:t xml:space="preserve"> does not have much influence on firms belonging to the service industry whereas they have a smaller number of tangible assets which are showed off in book value. From this it can be said that banking industry should be able to apply these ratios, but then again this goes market efficiency theory. Another element to concern is the portion of debt in companies which can carry impact on book value of a firm (Hou and Sun, 2014). Debt can lead to </w:t>
      </w:r>
      <w:r w:rsidR="00637479">
        <w:rPr>
          <w:rFonts w:ascii="Times New Roman" w:eastAsia="Yu Mincho" w:hAnsi="Times New Roman" w:cs="Times New Roman"/>
          <w:color w:val="000000"/>
          <w:sz w:val="24"/>
          <w:szCs w:val="24"/>
          <w:lang w:eastAsia="ja-JP"/>
        </w:rPr>
        <w:t xml:space="preserve">an </w:t>
      </w:r>
      <w:r w:rsidRPr="00A12B2F">
        <w:rPr>
          <w:rFonts w:ascii="Times New Roman" w:eastAsia="Yu Mincho" w:hAnsi="Times New Roman" w:cs="Times New Roman"/>
          <w:color w:val="000000"/>
          <w:sz w:val="24"/>
          <w:szCs w:val="24"/>
          <w:lang w:eastAsia="ja-JP"/>
        </w:rPr>
        <w:t xml:space="preserve">increase in liabilities of the company depressing the value of therefore impacting value of hard assets. Behind the scenes issues occurring in a bank may also carry impact on performance. </w:t>
      </w:r>
    </w:p>
    <w:p w14:paraId="6C082A83" w14:textId="6EF045D1" w:rsidR="004F3625" w:rsidRPr="0092375D" w:rsidRDefault="004F3625" w:rsidP="0092375D">
      <w:pPr>
        <w:rPr>
          <w:rFonts w:ascii="Times New Roman" w:eastAsia="Yu Gothic Light" w:hAnsi="Times New Roman" w:cs="Times New Roman"/>
          <w:b/>
          <w:bCs/>
          <w:color w:val="000000"/>
          <w:sz w:val="24"/>
          <w:szCs w:val="24"/>
          <w:lang w:eastAsia="ja-JP"/>
        </w:rPr>
      </w:pPr>
    </w:p>
    <w:p w14:paraId="37F6A9C5" w14:textId="77777777" w:rsidR="005B2DA9" w:rsidRPr="00AB02CE" w:rsidRDefault="005B2DA9" w:rsidP="003D5E17">
      <w:pPr>
        <w:pStyle w:val="Heading1"/>
        <w:rPr>
          <w:rFonts w:ascii="Times New Roman" w:hAnsi="Times New Roman" w:cs="Times New Roman"/>
          <w:bCs/>
          <w:sz w:val="28"/>
          <w:szCs w:val="28"/>
        </w:rPr>
      </w:pPr>
      <w:bookmarkStart w:id="20" w:name="_Toc18488779"/>
      <w:r w:rsidRPr="00AB02CE">
        <w:rPr>
          <w:rFonts w:ascii="Times New Roman" w:hAnsi="Times New Roman" w:cs="Times New Roman"/>
          <w:bCs/>
          <w:sz w:val="28"/>
          <w:szCs w:val="28"/>
        </w:rPr>
        <w:t>Literature Review: Role of Regulators in Averting Future Banking Financial Crisis or Financial System Failure</w:t>
      </w:r>
      <w:bookmarkEnd w:id="20"/>
    </w:p>
    <w:p w14:paraId="0CDBC59C" w14:textId="27374100" w:rsidR="005B2DA9" w:rsidRDefault="005B2DA9" w:rsidP="005B2DA9">
      <w:pPr>
        <w:rPr>
          <w:rFonts w:ascii="Times New Roman" w:hAnsi="Times New Roman" w:cs="Times New Roman"/>
          <w:color w:val="000000"/>
          <w:sz w:val="24"/>
          <w:szCs w:val="24"/>
          <w:shd w:val="clear" w:color="auto" w:fill="FFFFFF"/>
        </w:rPr>
      </w:pPr>
      <w:r w:rsidRPr="003D5E17">
        <w:rPr>
          <w:rFonts w:ascii="Times New Roman" w:hAnsi="Times New Roman" w:cs="Times New Roman"/>
          <w:color w:val="000000"/>
          <w:sz w:val="24"/>
          <w:szCs w:val="24"/>
          <w:shd w:val="clear" w:color="auto" w:fill="FFFFFF"/>
        </w:rPr>
        <w:t>Financial regulations are employed in the economy of a country so that regulation and supervision can be carried out institutions that are working in the financial system. Government and non-government organizations can play an active role in regulating the economy where both have responsibilities to fulfil in order to keep the economy stable (Jones et al., 2016). The focus of the literature review is on studying the role played by regulators in preventing financial crisis occurring in the financial sector. Empirical results will be discussed showing various methods through which regulators can play role in avoiding a financial crisis.</w:t>
      </w:r>
    </w:p>
    <w:p w14:paraId="0DC5733F" w14:textId="77777777" w:rsidR="003D5E17" w:rsidRPr="003D5E17" w:rsidRDefault="003D5E17" w:rsidP="005B2DA9">
      <w:pPr>
        <w:rPr>
          <w:rFonts w:ascii="Times New Roman" w:hAnsi="Times New Roman" w:cs="Times New Roman"/>
          <w:sz w:val="24"/>
          <w:szCs w:val="24"/>
        </w:rPr>
      </w:pPr>
    </w:p>
    <w:p w14:paraId="66389962" w14:textId="77777777" w:rsidR="005B2DA9" w:rsidRPr="00AB02CE" w:rsidRDefault="005B2DA9" w:rsidP="003D5E17">
      <w:pPr>
        <w:pStyle w:val="Heading2"/>
        <w:rPr>
          <w:rFonts w:ascii="Times New Roman" w:hAnsi="Times New Roman" w:cs="Times New Roman"/>
          <w:sz w:val="28"/>
          <w:szCs w:val="28"/>
        </w:rPr>
      </w:pPr>
      <w:bookmarkStart w:id="21" w:name="_Toc18488780"/>
      <w:r w:rsidRPr="00AB02CE">
        <w:rPr>
          <w:rFonts w:ascii="Times New Roman" w:hAnsi="Times New Roman" w:cs="Times New Roman"/>
          <w:sz w:val="28"/>
          <w:szCs w:val="28"/>
        </w:rPr>
        <w:t>Role Played by Central Banks</w:t>
      </w:r>
      <w:bookmarkEnd w:id="21"/>
    </w:p>
    <w:p w14:paraId="246128C8" w14:textId="6F7889D2" w:rsidR="005B2DA9" w:rsidRDefault="005B2DA9" w:rsidP="005B2DA9">
      <w:pPr>
        <w:rPr>
          <w:rFonts w:ascii="Times New Roman" w:hAnsi="Times New Roman" w:cs="Times New Roman"/>
          <w:sz w:val="24"/>
          <w:szCs w:val="24"/>
        </w:rPr>
      </w:pPr>
      <w:r w:rsidRPr="003D5E17">
        <w:rPr>
          <w:rFonts w:ascii="Times New Roman" w:hAnsi="Times New Roman" w:cs="Times New Roman"/>
          <w:sz w:val="24"/>
          <w:szCs w:val="24"/>
        </w:rPr>
        <w:t xml:space="preserve">The central bank of a country has been seeing pursuing the same goals for a considerable amount of time where goals include achievement of financial stability. Considerable control is granting to the central bank for controlling the economy, generally in the form of monetary policy, where the central bank can alter interest rate for bringing stability in the economy. According to </w:t>
      </w:r>
      <w:proofErr w:type="spellStart"/>
      <w:r w:rsidRPr="003D5E17">
        <w:rPr>
          <w:rFonts w:ascii="Times New Roman" w:hAnsi="Times New Roman" w:cs="Times New Roman"/>
          <w:sz w:val="24"/>
          <w:szCs w:val="24"/>
        </w:rPr>
        <w:t>Goodhard</w:t>
      </w:r>
      <w:proofErr w:type="spellEnd"/>
      <w:r w:rsidRPr="003D5E17">
        <w:rPr>
          <w:rFonts w:ascii="Times New Roman" w:hAnsi="Times New Roman" w:cs="Times New Roman"/>
          <w:sz w:val="24"/>
          <w:szCs w:val="24"/>
        </w:rPr>
        <w:t xml:space="preserve"> (2011), the role of price stability may be effectively played by the central </w:t>
      </w:r>
      <w:proofErr w:type="gramStart"/>
      <w:r w:rsidRPr="003D5E17">
        <w:rPr>
          <w:rFonts w:ascii="Times New Roman" w:hAnsi="Times New Roman" w:cs="Times New Roman"/>
          <w:sz w:val="24"/>
          <w:szCs w:val="24"/>
        </w:rPr>
        <w:t>bank</w:t>
      </w:r>
      <w:proofErr w:type="gramEnd"/>
      <w:r w:rsidRPr="003D5E17">
        <w:rPr>
          <w:rFonts w:ascii="Times New Roman" w:hAnsi="Times New Roman" w:cs="Times New Roman"/>
          <w:sz w:val="24"/>
          <w:szCs w:val="24"/>
        </w:rPr>
        <w:t xml:space="preserve"> but this does not continue to the role of financial stability as effectively. The central bank also plays an important role in managing regulators and supervisors that are present in an economy. Unquestioned access should be provided to banks so that performance can be actively monitored and can intervene in case </w:t>
      </w:r>
      <w:r w:rsidR="00401175">
        <w:rPr>
          <w:rFonts w:ascii="Times New Roman" w:hAnsi="Times New Roman" w:cs="Times New Roman"/>
          <w:sz w:val="24"/>
          <w:szCs w:val="24"/>
        </w:rPr>
        <w:t xml:space="preserve">the </w:t>
      </w:r>
      <w:r w:rsidRPr="003D5E17">
        <w:rPr>
          <w:rFonts w:ascii="Times New Roman" w:hAnsi="Times New Roman" w:cs="Times New Roman"/>
          <w:sz w:val="24"/>
          <w:szCs w:val="24"/>
        </w:rPr>
        <w:t xml:space="preserve">performance is declining. Playing </w:t>
      </w:r>
      <w:r w:rsidR="00401175">
        <w:rPr>
          <w:rFonts w:ascii="Times New Roman" w:hAnsi="Times New Roman" w:cs="Times New Roman"/>
          <w:sz w:val="24"/>
          <w:szCs w:val="24"/>
        </w:rPr>
        <w:t>the</w:t>
      </w:r>
      <w:r w:rsidRPr="003D5E17">
        <w:rPr>
          <w:rFonts w:ascii="Times New Roman" w:hAnsi="Times New Roman" w:cs="Times New Roman"/>
          <w:sz w:val="24"/>
          <w:szCs w:val="24"/>
        </w:rPr>
        <w:t xml:space="preserve"> role</w:t>
      </w:r>
      <w:r w:rsidR="007E199D">
        <w:rPr>
          <w:rFonts w:ascii="Times New Roman" w:hAnsi="Times New Roman" w:cs="Times New Roman"/>
          <w:sz w:val="24"/>
          <w:szCs w:val="24"/>
        </w:rPr>
        <w:t xml:space="preserve"> of central bank of the country means that</w:t>
      </w:r>
      <w:r w:rsidRPr="003D5E17">
        <w:rPr>
          <w:rFonts w:ascii="Times New Roman" w:hAnsi="Times New Roman" w:cs="Times New Roman"/>
          <w:sz w:val="24"/>
          <w:szCs w:val="24"/>
        </w:rPr>
        <w:t xml:space="preserve"> regulators need to ensure that the interests of customers are ke</w:t>
      </w:r>
      <w:r w:rsidR="00162F65">
        <w:rPr>
          <w:rFonts w:ascii="Times New Roman" w:hAnsi="Times New Roman" w:cs="Times New Roman"/>
          <w:sz w:val="24"/>
          <w:szCs w:val="24"/>
        </w:rPr>
        <w:t>pt</w:t>
      </w:r>
      <w:r w:rsidRPr="003D5E17">
        <w:rPr>
          <w:rFonts w:ascii="Times New Roman" w:hAnsi="Times New Roman" w:cs="Times New Roman"/>
          <w:sz w:val="24"/>
          <w:szCs w:val="24"/>
        </w:rPr>
        <w:t xml:space="preserve"> under </w:t>
      </w:r>
      <w:r w:rsidR="0060543C">
        <w:rPr>
          <w:rFonts w:ascii="Times New Roman" w:hAnsi="Times New Roman" w:cs="Times New Roman"/>
          <w:sz w:val="24"/>
          <w:szCs w:val="24"/>
        </w:rPr>
        <w:t>control</w:t>
      </w:r>
      <w:r w:rsidRPr="003D5E17">
        <w:rPr>
          <w:rFonts w:ascii="Times New Roman" w:hAnsi="Times New Roman" w:cs="Times New Roman"/>
          <w:sz w:val="24"/>
          <w:szCs w:val="24"/>
        </w:rPr>
        <w:t xml:space="preserve"> and protected. The research was carried out to see if single or multiple regulators were present in the economy of a county and whether the central bank was given adequate authority to supervise </w:t>
      </w:r>
      <w:r w:rsidR="00247916">
        <w:rPr>
          <w:rFonts w:ascii="Times New Roman" w:hAnsi="Times New Roman" w:cs="Times New Roman"/>
          <w:sz w:val="24"/>
          <w:szCs w:val="24"/>
        </w:rPr>
        <w:t>the work</w:t>
      </w:r>
      <w:r w:rsidRPr="003D5E17">
        <w:rPr>
          <w:rFonts w:ascii="Times New Roman" w:hAnsi="Times New Roman" w:cs="Times New Roman"/>
          <w:sz w:val="24"/>
          <w:szCs w:val="24"/>
        </w:rPr>
        <w:t xml:space="preserve"> or not. Research indicated that considerable heterogeneity </w:t>
      </w:r>
      <w:r w:rsidR="00247916">
        <w:rPr>
          <w:rFonts w:ascii="Times New Roman" w:hAnsi="Times New Roman" w:cs="Times New Roman"/>
          <w:sz w:val="24"/>
          <w:szCs w:val="24"/>
        </w:rPr>
        <w:t>exists</w:t>
      </w:r>
      <w:r w:rsidRPr="003D5E17">
        <w:rPr>
          <w:rFonts w:ascii="Times New Roman" w:hAnsi="Times New Roman" w:cs="Times New Roman"/>
          <w:sz w:val="24"/>
          <w:szCs w:val="24"/>
        </w:rPr>
        <w:t xml:space="preserve"> in </w:t>
      </w:r>
      <w:proofErr w:type="gramStart"/>
      <w:r w:rsidRPr="003D5E17">
        <w:rPr>
          <w:rFonts w:ascii="Times New Roman" w:hAnsi="Times New Roman" w:cs="Times New Roman"/>
          <w:sz w:val="24"/>
          <w:szCs w:val="24"/>
        </w:rPr>
        <w:t>t</w:t>
      </w:r>
      <w:r w:rsidR="00247916">
        <w:rPr>
          <w:rFonts w:ascii="Times New Roman" w:hAnsi="Times New Roman" w:cs="Times New Roman"/>
          <w:sz w:val="24"/>
          <w:szCs w:val="24"/>
        </w:rPr>
        <w:t>hose kind</w:t>
      </w:r>
      <w:r w:rsidRPr="003D5E17">
        <w:rPr>
          <w:rFonts w:ascii="Times New Roman" w:hAnsi="Times New Roman" w:cs="Times New Roman"/>
          <w:sz w:val="24"/>
          <w:szCs w:val="24"/>
        </w:rPr>
        <w:t xml:space="preserve"> of regulatory authorit</w:t>
      </w:r>
      <w:r w:rsidR="009E6E94">
        <w:rPr>
          <w:rFonts w:ascii="Times New Roman" w:hAnsi="Times New Roman" w:cs="Times New Roman"/>
          <w:sz w:val="24"/>
          <w:szCs w:val="24"/>
        </w:rPr>
        <w:t>ies</w:t>
      </w:r>
      <w:proofErr w:type="gramEnd"/>
      <w:r w:rsidRPr="003D5E17">
        <w:rPr>
          <w:rFonts w:ascii="Times New Roman" w:hAnsi="Times New Roman" w:cs="Times New Roman"/>
          <w:sz w:val="24"/>
          <w:szCs w:val="24"/>
        </w:rPr>
        <w:t xml:space="preserve"> that </w:t>
      </w:r>
      <w:r w:rsidR="009E6E94">
        <w:rPr>
          <w:rFonts w:ascii="Times New Roman" w:hAnsi="Times New Roman" w:cs="Times New Roman"/>
          <w:sz w:val="24"/>
          <w:szCs w:val="24"/>
        </w:rPr>
        <w:t>regulate</w:t>
      </w:r>
      <w:r w:rsidRPr="003D5E17">
        <w:rPr>
          <w:rFonts w:ascii="Times New Roman" w:hAnsi="Times New Roman" w:cs="Times New Roman"/>
          <w:sz w:val="24"/>
          <w:szCs w:val="24"/>
        </w:rPr>
        <w:t xml:space="preserve"> the financial sector of a country. Convergence can be seen towards specific policies and procedures that are uniformly applied </w:t>
      </w:r>
      <w:r w:rsidRPr="003D5E17">
        <w:rPr>
          <w:rFonts w:ascii="Times New Roman" w:hAnsi="Times New Roman" w:cs="Times New Roman"/>
          <w:sz w:val="24"/>
          <w:szCs w:val="24"/>
        </w:rPr>
        <w:lastRenderedPageBreak/>
        <w:t xml:space="preserve">in economics such as certain type of banking sector policies, supervisory policies and bank regulations. As stated by Barth, et al, (2013), the diversity present in regulatory authority </w:t>
      </w:r>
      <w:r w:rsidR="00901544">
        <w:rPr>
          <w:rFonts w:ascii="Times New Roman" w:hAnsi="Times New Roman" w:cs="Times New Roman"/>
          <w:sz w:val="24"/>
          <w:szCs w:val="24"/>
        </w:rPr>
        <w:t>shows</w:t>
      </w:r>
      <w:r w:rsidRPr="003D5E17">
        <w:rPr>
          <w:rFonts w:ascii="Times New Roman" w:hAnsi="Times New Roman" w:cs="Times New Roman"/>
          <w:sz w:val="24"/>
          <w:szCs w:val="24"/>
        </w:rPr>
        <w:t xml:space="preserve"> both a challenge and </w:t>
      </w:r>
      <w:r w:rsidR="009636EA">
        <w:rPr>
          <w:rFonts w:ascii="Times New Roman" w:hAnsi="Times New Roman" w:cs="Times New Roman"/>
          <w:sz w:val="24"/>
          <w:szCs w:val="24"/>
        </w:rPr>
        <w:t xml:space="preserve">an </w:t>
      </w:r>
      <w:r w:rsidRPr="003D5E17">
        <w:rPr>
          <w:rFonts w:ascii="Times New Roman" w:hAnsi="Times New Roman" w:cs="Times New Roman"/>
          <w:sz w:val="24"/>
          <w:szCs w:val="24"/>
        </w:rPr>
        <w:t xml:space="preserve">opportunity to understand differences </w:t>
      </w:r>
      <w:r w:rsidR="009636EA">
        <w:rPr>
          <w:rFonts w:ascii="Times New Roman" w:hAnsi="Times New Roman" w:cs="Times New Roman"/>
          <w:sz w:val="24"/>
          <w:szCs w:val="24"/>
        </w:rPr>
        <w:t>that can be seen</w:t>
      </w:r>
      <w:r w:rsidRPr="003D5E17">
        <w:rPr>
          <w:rFonts w:ascii="Times New Roman" w:hAnsi="Times New Roman" w:cs="Times New Roman"/>
          <w:sz w:val="24"/>
          <w:szCs w:val="24"/>
        </w:rPr>
        <w:t xml:space="preserve"> in performance outcome due to the working of such</w:t>
      </w:r>
      <w:r w:rsidR="005E523B">
        <w:rPr>
          <w:rFonts w:ascii="Times New Roman" w:hAnsi="Times New Roman" w:cs="Times New Roman"/>
          <w:sz w:val="24"/>
          <w:szCs w:val="24"/>
        </w:rPr>
        <w:t xml:space="preserve"> a</w:t>
      </w:r>
      <w:r w:rsidRPr="003D5E17">
        <w:rPr>
          <w:rFonts w:ascii="Times New Roman" w:hAnsi="Times New Roman" w:cs="Times New Roman"/>
          <w:sz w:val="24"/>
          <w:szCs w:val="24"/>
        </w:rPr>
        <w:t xml:space="preserve"> regulatory authority. Samples have been studied of more than 180 countries which revealed that convergence is seen in certain areas such as bank policies.</w:t>
      </w:r>
    </w:p>
    <w:p w14:paraId="65FD88BC" w14:textId="77777777" w:rsidR="00AB02CE" w:rsidRPr="003D5E17" w:rsidRDefault="00AB02CE" w:rsidP="005B2DA9">
      <w:pPr>
        <w:rPr>
          <w:rFonts w:ascii="Times New Roman" w:hAnsi="Times New Roman" w:cs="Times New Roman"/>
          <w:sz w:val="24"/>
          <w:szCs w:val="24"/>
        </w:rPr>
      </w:pPr>
    </w:p>
    <w:p w14:paraId="3E6654E0" w14:textId="77777777" w:rsidR="005B2DA9" w:rsidRPr="00AB02CE" w:rsidRDefault="005B2DA9" w:rsidP="003D5E17">
      <w:pPr>
        <w:pStyle w:val="Heading2"/>
        <w:rPr>
          <w:rFonts w:ascii="Times New Roman" w:hAnsi="Times New Roman" w:cs="Times New Roman"/>
          <w:sz w:val="28"/>
          <w:szCs w:val="28"/>
        </w:rPr>
      </w:pPr>
      <w:bookmarkStart w:id="22" w:name="_Toc18488781"/>
      <w:r w:rsidRPr="00AB02CE">
        <w:rPr>
          <w:rFonts w:ascii="Times New Roman" w:hAnsi="Times New Roman" w:cs="Times New Roman"/>
          <w:sz w:val="28"/>
          <w:szCs w:val="28"/>
        </w:rPr>
        <w:t>Financial Regulation</w:t>
      </w:r>
      <w:bookmarkEnd w:id="22"/>
    </w:p>
    <w:p w14:paraId="76D2F581" w14:textId="3F666CB5" w:rsidR="005B2DA9" w:rsidRDefault="005B2DA9" w:rsidP="005B2DA9">
      <w:r w:rsidRPr="003D5E17">
        <w:rPr>
          <w:rFonts w:ascii="Times New Roman" w:hAnsi="Times New Roman" w:cs="Times New Roman"/>
          <w:sz w:val="24"/>
          <w:szCs w:val="24"/>
        </w:rPr>
        <w:t>Basel Committee of banking supervision came up with a series of development relating to global capital standards that would enforce banks to maintain adequate structure providing greater resilience against financial downturn (Barr, 2012). Minimum capital requirement is set with this aim in mind where maintaining up to minimum capital ratio allows for a significant increase in reserve of the firm. Regulation is not only necessary at the national level but should be extended beyond borders gaining access to large firms</w:t>
      </w:r>
      <w:r w:rsidRPr="003D5E17">
        <w:rPr>
          <w:sz w:val="24"/>
        </w:rPr>
        <w:t xml:space="preserve"> </w:t>
      </w:r>
      <w:r w:rsidRPr="003D5E17">
        <w:rPr>
          <w:rFonts w:ascii="Times New Roman" w:hAnsi="Times New Roman" w:cs="Times New Roman"/>
          <w:sz w:val="24"/>
          <w:szCs w:val="24"/>
        </w:rPr>
        <w:t xml:space="preserve">eradicating the false perception that some are too big to fall. Work down by recent initiative to increase the financial standing of companies have been seen to bear fruit which led to an increase in capital strength along with the financial standing of the firm. According to Campiglio et al (2018), some regulators have even started to look beyond common factors which affect the performance of the financial sector taking in view how environment carries an impact on the performance of firms. According to </w:t>
      </w:r>
      <w:proofErr w:type="spellStart"/>
      <w:r w:rsidRPr="003D5E17">
        <w:rPr>
          <w:rFonts w:ascii="Times New Roman" w:hAnsi="Times New Roman" w:cs="Times New Roman"/>
          <w:sz w:val="24"/>
          <w:szCs w:val="24"/>
        </w:rPr>
        <w:t>Bech</w:t>
      </w:r>
      <w:proofErr w:type="spellEnd"/>
      <w:r w:rsidRPr="003D5E17">
        <w:rPr>
          <w:rFonts w:ascii="Times New Roman" w:hAnsi="Times New Roman" w:cs="Times New Roman"/>
          <w:sz w:val="24"/>
          <w:szCs w:val="24"/>
        </w:rPr>
        <w:t xml:space="preserve">, and </w:t>
      </w:r>
      <w:proofErr w:type="spellStart"/>
      <w:r w:rsidRPr="003D5E17">
        <w:rPr>
          <w:rFonts w:ascii="Times New Roman" w:hAnsi="Times New Roman" w:cs="Times New Roman"/>
          <w:sz w:val="24"/>
          <w:szCs w:val="24"/>
        </w:rPr>
        <w:t>Malkhozov</w:t>
      </w:r>
      <w:proofErr w:type="spellEnd"/>
      <w:r w:rsidRPr="003D5E17">
        <w:rPr>
          <w:rFonts w:ascii="Times New Roman" w:hAnsi="Times New Roman" w:cs="Times New Roman"/>
          <w:sz w:val="24"/>
          <w:szCs w:val="24"/>
        </w:rPr>
        <w:t>, (2016), suggestions have been put forward to shifting towards a carbon-free business model through which one can impact of the environment on the financial sector can be reduced. The effort made on smaller level may not bear fruit where the more widespread application of policies may be needed.</w:t>
      </w:r>
    </w:p>
    <w:p w14:paraId="57653ECF" w14:textId="77777777" w:rsidR="003D5E17" w:rsidRPr="00133181" w:rsidRDefault="003D5E17" w:rsidP="005B2DA9">
      <w:pPr>
        <w:rPr>
          <w:rFonts w:ascii="Times New Roman" w:hAnsi="Times New Roman" w:cs="Times New Roman"/>
          <w:sz w:val="28"/>
          <w:szCs w:val="28"/>
        </w:rPr>
      </w:pPr>
    </w:p>
    <w:p w14:paraId="162157CB" w14:textId="77777777" w:rsidR="005B2DA9" w:rsidRPr="00133181" w:rsidRDefault="005B2DA9" w:rsidP="003D5E17">
      <w:pPr>
        <w:pStyle w:val="Heading2"/>
        <w:rPr>
          <w:rFonts w:ascii="Times New Roman" w:hAnsi="Times New Roman" w:cs="Times New Roman"/>
          <w:sz w:val="28"/>
          <w:szCs w:val="28"/>
        </w:rPr>
      </w:pPr>
      <w:bookmarkStart w:id="23" w:name="_Toc18488782"/>
      <w:r w:rsidRPr="00133181">
        <w:rPr>
          <w:rFonts w:ascii="Times New Roman" w:hAnsi="Times New Roman" w:cs="Times New Roman"/>
          <w:sz w:val="28"/>
          <w:szCs w:val="28"/>
        </w:rPr>
        <w:t>Capital Requirements and Bank Supervision</w:t>
      </w:r>
      <w:bookmarkEnd w:id="23"/>
    </w:p>
    <w:p w14:paraId="1831B907" w14:textId="1B2C55AD" w:rsidR="005B2DA9" w:rsidRPr="003D5E17" w:rsidRDefault="005B2DA9" w:rsidP="005B2DA9">
      <w:pPr>
        <w:rPr>
          <w:rFonts w:ascii="Times New Roman" w:hAnsi="Times New Roman" w:cs="Times New Roman"/>
          <w:sz w:val="24"/>
          <w:szCs w:val="24"/>
        </w:rPr>
      </w:pPr>
      <w:r w:rsidRPr="003D5E17">
        <w:rPr>
          <w:rFonts w:ascii="Times New Roman" w:hAnsi="Times New Roman" w:cs="Times New Roman"/>
          <w:sz w:val="24"/>
          <w:szCs w:val="24"/>
        </w:rPr>
        <w:t xml:space="preserve">As stated by Watson, and Holland, (2010), banks are important institutions working in a financial sector where they hold considerable knowledge relating to changes taking place economy and can use previous experience for formulating future strategies. However, it is seen that weaknesses previously noted in the market are ignored which even lead to the financial crisis in the past as indicated by heavy lending along with reliance on markets for liquidity. Diversifying securities across various banks, economies and countries were thought to remove </w:t>
      </w:r>
      <w:r w:rsidR="00AC4D61">
        <w:rPr>
          <w:rFonts w:ascii="Times New Roman" w:hAnsi="Times New Roman" w:cs="Times New Roman"/>
          <w:sz w:val="24"/>
          <w:szCs w:val="24"/>
        </w:rPr>
        <w:t xml:space="preserve">the </w:t>
      </w:r>
      <w:r w:rsidRPr="003D5E17">
        <w:rPr>
          <w:rFonts w:ascii="Times New Roman" w:hAnsi="Times New Roman" w:cs="Times New Roman"/>
          <w:sz w:val="24"/>
          <w:szCs w:val="24"/>
        </w:rPr>
        <w:t xml:space="preserve">risk but mortgage crisis showed how far-flung effect of crisis could be. The study carried out by Holland (2010) indicated that regulators need to put more emphasis on baking vulnerabilities as revealed during the time of crisis such as low quality and overprice assets along with disappearing liquidity which carried a significant impact on working of the economy. As stated by </w:t>
      </w:r>
      <w:proofErr w:type="spellStart"/>
      <w:r w:rsidRPr="003D5E17">
        <w:rPr>
          <w:rFonts w:ascii="Times New Roman" w:hAnsi="Times New Roman" w:cs="Times New Roman"/>
          <w:sz w:val="24"/>
          <w:szCs w:val="24"/>
        </w:rPr>
        <w:t>Lindé</w:t>
      </w:r>
      <w:proofErr w:type="spellEnd"/>
      <w:r w:rsidRPr="003D5E17">
        <w:rPr>
          <w:rFonts w:ascii="Times New Roman" w:hAnsi="Times New Roman" w:cs="Times New Roman"/>
          <w:sz w:val="24"/>
          <w:szCs w:val="24"/>
        </w:rPr>
        <w:t xml:space="preserve">, </w:t>
      </w:r>
      <w:proofErr w:type="spellStart"/>
      <w:r w:rsidRPr="003D5E17">
        <w:rPr>
          <w:rFonts w:ascii="Times New Roman" w:hAnsi="Times New Roman" w:cs="Times New Roman"/>
          <w:sz w:val="24"/>
          <w:szCs w:val="24"/>
        </w:rPr>
        <w:t>Smets</w:t>
      </w:r>
      <w:proofErr w:type="spellEnd"/>
      <w:r w:rsidRPr="003D5E17">
        <w:rPr>
          <w:rFonts w:ascii="Times New Roman" w:hAnsi="Times New Roman" w:cs="Times New Roman"/>
          <w:sz w:val="24"/>
          <w:szCs w:val="24"/>
        </w:rPr>
        <w:t xml:space="preserve">, and </w:t>
      </w:r>
      <w:proofErr w:type="spellStart"/>
      <w:r w:rsidRPr="003D5E17">
        <w:rPr>
          <w:rFonts w:ascii="Times New Roman" w:hAnsi="Times New Roman" w:cs="Times New Roman"/>
          <w:sz w:val="24"/>
          <w:szCs w:val="24"/>
        </w:rPr>
        <w:t>Wouters</w:t>
      </w:r>
      <w:proofErr w:type="spellEnd"/>
      <w:r w:rsidRPr="003D5E17">
        <w:rPr>
          <w:rFonts w:ascii="Times New Roman" w:hAnsi="Times New Roman" w:cs="Times New Roman"/>
          <w:sz w:val="24"/>
          <w:szCs w:val="24"/>
        </w:rPr>
        <w:t xml:space="preserve">, (2016) another matter revealed during the financial crisis is </w:t>
      </w:r>
      <w:r w:rsidR="005550BA">
        <w:rPr>
          <w:rFonts w:ascii="Times New Roman" w:hAnsi="Times New Roman" w:cs="Times New Roman"/>
          <w:sz w:val="24"/>
          <w:szCs w:val="24"/>
        </w:rPr>
        <w:t xml:space="preserve">a </w:t>
      </w:r>
      <w:r w:rsidRPr="003D5E17">
        <w:rPr>
          <w:rFonts w:ascii="Times New Roman" w:hAnsi="Times New Roman" w:cs="Times New Roman"/>
          <w:sz w:val="24"/>
          <w:szCs w:val="24"/>
        </w:rPr>
        <w:t xml:space="preserve">lack of knowledge sharing and knowledge management </w:t>
      </w:r>
      <w:r w:rsidRPr="003D5E17">
        <w:rPr>
          <w:rFonts w:ascii="Times New Roman" w:hAnsi="Times New Roman" w:cs="Times New Roman"/>
          <w:sz w:val="24"/>
          <w:szCs w:val="24"/>
        </w:rPr>
        <w:lastRenderedPageBreak/>
        <w:t xml:space="preserve">present in banking institutions due to which they do not tend to learn from past experiences. Rather, they </w:t>
      </w:r>
      <w:proofErr w:type="gramStart"/>
      <w:r w:rsidRPr="003D5E17">
        <w:rPr>
          <w:rFonts w:ascii="Times New Roman" w:hAnsi="Times New Roman" w:cs="Times New Roman"/>
          <w:sz w:val="24"/>
          <w:szCs w:val="24"/>
        </w:rPr>
        <w:t>have to</w:t>
      </w:r>
      <w:proofErr w:type="gramEnd"/>
      <w:r w:rsidRPr="003D5E17">
        <w:rPr>
          <w:rFonts w:ascii="Times New Roman" w:hAnsi="Times New Roman" w:cs="Times New Roman"/>
          <w:sz w:val="24"/>
          <w:szCs w:val="24"/>
        </w:rPr>
        <w:t xml:space="preserve"> be reminded of their past experiences and forced to avoid such circumstance in the future. </w:t>
      </w:r>
    </w:p>
    <w:p w14:paraId="4693F073" w14:textId="313D3B4D" w:rsidR="005B2DA9" w:rsidRPr="003D5E17" w:rsidRDefault="005B2DA9" w:rsidP="005B2DA9">
      <w:pPr>
        <w:rPr>
          <w:rFonts w:ascii="Times New Roman" w:hAnsi="Times New Roman" w:cs="Times New Roman"/>
          <w:sz w:val="24"/>
          <w:szCs w:val="24"/>
        </w:rPr>
      </w:pPr>
      <w:r w:rsidRPr="003D5E17">
        <w:rPr>
          <w:rFonts w:ascii="Times New Roman" w:hAnsi="Times New Roman" w:cs="Times New Roman"/>
          <w:sz w:val="24"/>
          <w:szCs w:val="24"/>
        </w:rPr>
        <w:t xml:space="preserve">Moreover, the regulators </w:t>
      </w:r>
      <w:proofErr w:type="gramStart"/>
      <w:r w:rsidRPr="003D5E17">
        <w:rPr>
          <w:rFonts w:ascii="Times New Roman" w:hAnsi="Times New Roman" w:cs="Times New Roman"/>
          <w:sz w:val="24"/>
          <w:szCs w:val="24"/>
        </w:rPr>
        <w:t>have to</w:t>
      </w:r>
      <w:proofErr w:type="gramEnd"/>
      <w:r w:rsidRPr="003D5E17">
        <w:rPr>
          <w:rFonts w:ascii="Times New Roman" w:hAnsi="Times New Roman" w:cs="Times New Roman"/>
          <w:sz w:val="24"/>
          <w:szCs w:val="24"/>
        </w:rPr>
        <w:t xml:space="preserve"> collect a variety of information relat</w:t>
      </w:r>
      <w:r w:rsidR="003836F7">
        <w:rPr>
          <w:rFonts w:ascii="Times New Roman" w:hAnsi="Times New Roman" w:cs="Times New Roman"/>
          <w:sz w:val="24"/>
          <w:szCs w:val="24"/>
        </w:rPr>
        <w:t xml:space="preserve">ed </w:t>
      </w:r>
      <w:r w:rsidRPr="003D5E17">
        <w:rPr>
          <w:rFonts w:ascii="Times New Roman" w:hAnsi="Times New Roman" w:cs="Times New Roman"/>
          <w:sz w:val="24"/>
          <w:szCs w:val="24"/>
        </w:rPr>
        <w:t xml:space="preserve">to banks to keep in check working of the banking system but making such information public is not allowed </w:t>
      </w:r>
      <w:r w:rsidR="003836F7">
        <w:rPr>
          <w:rFonts w:ascii="Times New Roman" w:hAnsi="Times New Roman" w:cs="Times New Roman"/>
          <w:sz w:val="24"/>
          <w:szCs w:val="24"/>
        </w:rPr>
        <w:t xml:space="preserve">so </w:t>
      </w:r>
      <w:r w:rsidRPr="003D5E17">
        <w:rPr>
          <w:rFonts w:ascii="Times New Roman" w:hAnsi="Times New Roman" w:cs="Times New Roman"/>
          <w:sz w:val="24"/>
          <w:szCs w:val="24"/>
        </w:rPr>
        <w:t xml:space="preserve">it becomes difficult to make </w:t>
      </w:r>
      <w:r w:rsidR="00684850">
        <w:rPr>
          <w:rFonts w:ascii="Times New Roman" w:hAnsi="Times New Roman" w:cs="Times New Roman"/>
          <w:sz w:val="24"/>
          <w:szCs w:val="24"/>
        </w:rPr>
        <w:t xml:space="preserve">the </w:t>
      </w:r>
      <w:r w:rsidRPr="003D5E17">
        <w:rPr>
          <w:rFonts w:ascii="Times New Roman" w:hAnsi="Times New Roman" w:cs="Times New Roman"/>
          <w:sz w:val="24"/>
          <w:szCs w:val="24"/>
        </w:rPr>
        <w:t>availability of information more uniform in the economy. If such information is shared</w:t>
      </w:r>
      <w:r w:rsidR="003D1373">
        <w:rPr>
          <w:rFonts w:ascii="Times New Roman" w:hAnsi="Times New Roman" w:cs="Times New Roman"/>
          <w:sz w:val="24"/>
          <w:szCs w:val="24"/>
        </w:rPr>
        <w:t xml:space="preserve"> </w:t>
      </w:r>
      <w:r w:rsidRPr="003D5E17">
        <w:rPr>
          <w:rFonts w:ascii="Times New Roman" w:hAnsi="Times New Roman" w:cs="Times New Roman"/>
          <w:sz w:val="24"/>
          <w:szCs w:val="24"/>
        </w:rPr>
        <w:t xml:space="preserve">often than it may lead to a better understanding of conditions by financial institutions and encourage them to </w:t>
      </w:r>
      <w:proofErr w:type="gramStart"/>
      <w:r w:rsidRPr="003D5E17">
        <w:rPr>
          <w:rFonts w:ascii="Times New Roman" w:hAnsi="Times New Roman" w:cs="Times New Roman"/>
          <w:sz w:val="24"/>
          <w:szCs w:val="24"/>
        </w:rPr>
        <w:t>make adjustments</w:t>
      </w:r>
      <w:proofErr w:type="gramEnd"/>
      <w:r w:rsidRPr="003D5E17">
        <w:rPr>
          <w:rFonts w:ascii="Times New Roman" w:hAnsi="Times New Roman" w:cs="Times New Roman"/>
          <w:sz w:val="24"/>
          <w:szCs w:val="24"/>
        </w:rPr>
        <w:t xml:space="preserve"> according to</w:t>
      </w:r>
      <w:r w:rsidR="003D1373">
        <w:rPr>
          <w:rFonts w:ascii="Times New Roman" w:hAnsi="Times New Roman" w:cs="Times New Roman"/>
          <w:sz w:val="24"/>
          <w:szCs w:val="24"/>
        </w:rPr>
        <w:t xml:space="preserve"> their</w:t>
      </w:r>
      <w:r w:rsidRPr="003D5E17">
        <w:rPr>
          <w:rFonts w:ascii="Times New Roman" w:hAnsi="Times New Roman" w:cs="Times New Roman"/>
          <w:sz w:val="24"/>
          <w:szCs w:val="24"/>
        </w:rPr>
        <w:t xml:space="preserve"> need. It is seen by </w:t>
      </w:r>
      <w:proofErr w:type="spellStart"/>
      <w:r w:rsidRPr="003D5E17">
        <w:rPr>
          <w:rFonts w:ascii="Times New Roman" w:hAnsi="Times New Roman" w:cs="Times New Roman"/>
          <w:sz w:val="24"/>
          <w:szCs w:val="24"/>
        </w:rPr>
        <w:t>Anginer</w:t>
      </w:r>
      <w:proofErr w:type="spellEnd"/>
      <w:r w:rsidRPr="003D5E17">
        <w:rPr>
          <w:rFonts w:ascii="Times New Roman" w:hAnsi="Times New Roman" w:cs="Times New Roman"/>
          <w:sz w:val="24"/>
          <w:szCs w:val="24"/>
        </w:rPr>
        <w:t xml:space="preserve"> et al., (2017), that certain banks try to adopt window dressing so that judgement made by regulators do not show off the bank as too weak. Such actions ultimately lead to a negative impact on judgement being made for which strict checks and measures should be applied while making a judgement. Actions are also needed against who try to hide their true position in such a manner (Leitner, 2014).</w:t>
      </w:r>
    </w:p>
    <w:p w14:paraId="76C32887" w14:textId="6B6B5EEA" w:rsidR="005B2DA9" w:rsidRDefault="005B2DA9" w:rsidP="0092375D">
      <w:pPr>
        <w:pStyle w:val="Heading2"/>
        <w:rPr>
          <w:rFonts w:ascii="Times New Roman" w:hAnsi="Times New Roman" w:cs="Times New Roman"/>
          <w:sz w:val="24"/>
          <w:szCs w:val="24"/>
        </w:rPr>
      </w:pPr>
    </w:p>
    <w:p w14:paraId="2DCF48E0" w14:textId="00D301B4" w:rsidR="003D5E17" w:rsidRDefault="003D5E17" w:rsidP="005B2DA9">
      <w:pPr>
        <w:rPr>
          <w:rFonts w:ascii="Times New Roman" w:hAnsi="Times New Roman" w:cs="Times New Roman"/>
          <w:sz w:val="24"/>
          <w:szCs w:val="24"/>
        </w:rPr>
      </w:pPr>
    </w:p>
    <w:p w14:paraId="39F514BB" w14:textId="3F66BFEB" w:rsidR="000E3705" w:rsidRPr="00AB02CE" w:rsidRDefault="000E3705" w:rsidP="000E3705">
      <w:pPr>
        <w:pStyle w:val="Heading1"/>
        <w:rPr>
          <w:rFonts w:ascii="Times New Roman" w:hAnsi="Times New Roman" w:cs="Times New Roman"/>
          <w:sz w:val="28"/>
          <w:szCs w:val="28"/>
        </w:rPr>
      </w:pPr>
      <w:bookmarkStart w:id="24" w:name="_Toc18488783"/>
      <w:r w:rsidRPr="00AB02CE">
        <w:rPr>
          <w:rFonts w:ascii="Times New Roman" w:hAnsi="Times New Roman" w:cs="Times New Roman"/>
          <w:sz w:val="28"/>
          <w:szCs w:val="28"/>
        </w:rPr>
        <w:t>Conclusion</w:t>
      </w:r>
      <w:bookmarkEnd w:id="24"/>
      <w:r w:rsidRPr="00AB02CE">
        <w:rPr>
          <w:rFonts w:ascii="Times New Roman" w:hAnsi="Times New Roman" w:cs="Times New Roman"/>
          <w:sz w:val="28"/>
          <w:szCs w:val="28"/>
        </w:rPr>
        <w:t xml:space="preserve"> </w:t>
      </w:r>
    </w:p>
    <w:p w14:paraId="63DD6D17" w14:textId="5542F9E3" w:rsidR="000E3705" w:rsidRDefault="00CE7329" w:rsidP="000E3705">
      <w:pPr>
        <w:rPr>
          <w:rFonts w:ascii="Times New Roman" w:hAnsi="Times New Roman" w:cs="Times New Roman"/>
          <w:sz w:val="24"/>
          <w:szCs w:val="24"/>
        </w:rPr>
      </w:pPr>
      <w:r w:rsidRPr="0092375D">
        <w:rPr>
          <w:rFonts w:ascii="Times New Roman" w:hAnsi="Times New Roman" w:cs="Times New Roman"/>
          <w:sz w:val="24"/>
          <w:szCs w:val="24"/>
        </w:rPr>
        <w:t xml:space="preserve">All in all, Lloyds has done a </w:t>
      </w:r>
      <w:r w:rsidR="003629AA" w:rsidRPr="0092375D">
        <w:rPr>
          <w:rFonts w:ascii="Times New Roman" w:hAnsi="Times New Roman" w:cs="Times New Roman"/>
          <w:sz w:val="24"/>
          <w:szCs w:val="24"/>
        </w:rPr>
        <w:t>good performance over the past five years. however, as results show, Barclays has a better understand</w:t>
      </w:r>
      <w:r w:rsidR="003D1373">
        <w:rPr>
          <w:rFonts w:ascii="Times New Roman" w:hAnsi="Times New Roman" w:cs="Times New Roman"/>
          <w:sz w:val="24"/>
          <w:szCs w:val="24"/>
        </w:rPr>
        <w:t>ing</w:t>
      </w:r>
      <w:r w:rsidR="003629AA" w:rsidRPr="0092375D">
        <w:rPr>
          <w:rFonts w:ascii="Times New Roman" w:hAnsi="Times New Roman" w:cs="Times New Roman"/>
          <w:sz w:val="24"/>
          <w:szCs w:val="24"/>
        </w:rPr>
        <w:t xml:space="preserve"> of its actives. </w:t>
      </w:r>
      <w:r w:rsidR="00671009" w:rsidRPr="0092375D">
        <w:rPr>
          <w:rFonts w:ascii="Times New Roman" w:hAnsi="Times New Roman" w:cs="Times New Roman"/>
          <w:sz w:val="24"/>
          <w:szCs w:val="24"/>
        </w:rPr>
        <w:t xml:space="preserve">The various strategies to mitigate the different risks </w:t>
      </w:r>
      <w:r w:rsidR="00CD3776">
        <w:rPr>
          <w:rFonts w:ascii="Times New Roman" w:hAnsi="Times New Roman" w:cs="Times New Roman"/>
          <w:sz w:val="24"/>
          <w:szCs w:val="24"/>
        </w:rPr>
        <w:t xml:space="preserve">(diversification and hedging) </w:t>
      </w:r>
      <w:r w:rsidR="00671009" w:rsidRPr="0092375D">
        <w:rPr>
          <w:rFonts w:ascii="Times New Roman" w:hAnsi="Times New Roman" w:cs="Times New Roman"/>
          <w:sz w:val="24"/>
          <w:szCs w:val="24"/>
        </w:rPr>
        <w:t>have been able to strengthen the solvency and reputation of Lloyds. The group should, therefore, continue to invest in order to reduce its risks.</w:t>
      </w:r>
      <w:r w:rsidR="001549F0">
        <w:rPr>
          <w:rFonts w:ascii="Times New Roman" w:hAnsi="Times New Roman" w:cs="Times New Roman"/>
          <w:sz w:val="24"/>
          <w:szCs w:val="24"/>
        </w:rPr>
        <w:t xml:space="preserve"> </w:t>
      </w:r>
      <w:r w:rsidR="00341335">
        <w:rPr>
          <w:rFonts w:ascii="Times New Roman" w:hAnsi="Times New Roman" w:cs="Times New Roman"/>
          <w:sz w:val="24"/>
          <w:szCs w:val="24"/>
        </w:rPr>
        <w:t xml:space="preserve">However, </w:t>
      </w:r>
      <w:r w:rsidR="007E5E60">
        <w:rPr>
          <w:rFonts w:ascii="Times New Roman" w:hAnsi="Times New Roman" w:cs="Times New Roman"/>
          <w:sz w:val="24"/>
          <w:szCs w:val="24"/>
        </w:rPr>
        <w:t xml:space="preserve">Credit default swap (CDS) </w:t>
      </w:r>
      <w:r w:rsidR="00E12F56">
        <w:rPr>
          <w:rFonts w:ascii="Times New Roman" w:hAnsi="Times New Roman" w:cs="Times New Roman"/>
          <w:sz w:val="24"/>
          <w:szCs w:val="24"/>
        </w:rPr>
        <w:t xml:space="preserve">could help Lloyds to reduce </w:t>
      </w:r>
      <w:r w:rsidR="00341335">
        <w:rPr>
          <w:rFonts w:ascii="Times New Roman" w:hAnsi="Times New Roman" w:cs="Times New Roman"/>
          <w:sz w:val="24"/>
          <w:szCs w:val="24"/>
        </w:rPr>
        <w:t xml:space="preserve">its risk. </w:t>
      </w:r>
    </w:p>
    <w:p w14:paraId="17964064" w14:textId="77777777" w:rsidR="0092375D" w:rsidRPr="0092375D" w:rsidRDefault="0092375D" w:rsidP="000E3705">
      <w:pPr>
        <w:rPr>
          <w:rFonts w:ascii="Times New Roman" w:hAnsi="Times New Roman" w:cs="Times New Roman"/>
          <w:sz w:val="24"/>
          <w:szCs w:val="24"/>
        </w:rPr>
      </w:pPr>
    </w:p>
    <w:p w14:paraId="3B110EA3" w14:textId="4E4DBD94" w:rsidR="00671009" w:rsidRDefault="0092375D" w:rsidP="0092375D">
      <w:pPr>
        <w:rPr>
          <w:rFonts w:ascii="Times New Roman" w:hAnsi="Times New Roman" w:cs="Times New Roman"/>
          <w:sz w:val="24"/>
          <w:szCs w:val="24"/>
        </w:rPr>
      </w:pPr>
      <w:r w:rsidRPr="0092375D">
        <w:rPr>
          <w:rFonts w:ascii="Times New Roman" w:hAnsi="Times New Roman" w:cs="Times New Roman"/>
          <w:sz w:val="24"/>
          <w:szCs w:val="24"/>
        </w:rPr>
        <w:t xml:space="preserve">Stock markets in the real world are seen to be dynamic where </w:t>
      </w:r>
      <w:proofErr w:type="gramStart"/>
      <w:r w:rsidRPr="0092375D">
        <w:rPr>
          <w:rFonts w:ascii="Times New Roman" w:hAnsi="Times New Roman" w:cs="Times New Roman"/>
          <w:sz w:val="24"/>
          <w:szCs w:val="24"/>
        </w:rPr>
        <w:t>as long as</w:t>
      </w:r>
      <w:proofErr w:type="gramEnd"/>
      <w:r w:rsidRPr="0092375D">
        <w:rPr>
          <w:rFonts w:ascii="Times New Roman" w:hAnsi="Times New Roman" w:cs="Times New Roman"/>
          <w:sz w:val="24"/>
          <w:szCs w:val="24"/>
        </w:rPr>
        <w:t xml:space="preserve"> such markets exists, collective judgment of investors is bound to make mistakes. Investors in the market make decisions rationally but room for error will always be</w:t>
      </w:r>
      <w:r w:rsidR="00B05923">
        <w:rPr>
          <w:rFonts w:ascii="Times New Roman" w:hAnsi="Times New Roman" w:cs="Times New Roman"/>
          <w:sz w:val="24"/>
          <w:szCs w:val="24"/>
        </w:rPr>
        <w:t xml:space="preserve"> there</w:t>
      </w:r>
      <w:r w:rsidRPr="0092375D">
        <w:rPr>
          <w:rFonts w:ascii="Times New Roman" w:hAnsi="Times New Roman" w:cs="Times New Roman"/>
          <w:sz w:val="24"/>
          <w:szCs w:val="24"/>
        </w:rPr>
        <w:t xml:space="preserve">. Market can never be perfectly efficient </w:t>
      </w:r>
      <w:r w:rsidR="005C3D73">
        <w:rPr>
          <w:rFonts w:ascii="Times New Roman" w:hAnsi="Times New Roman" w:cs="Times New Roman"/>
          <w:sz w:val="24"/>
          <w:szCs w:val="24"/>
        </w:rPr>
        <w:t>otherwise</w:t>
      </w:r>
      <w:r w:rsidRPr="0092375D">
        <w:rPr>
          <w:rFonts w:ascii="Times New Roman" w:hAnsi="Times New Roman" w:cs="Times New Roman"/>
          <w:sz w:val="24"/>
          <w:szCs w:val="24"/>
        </w:rPr>
        <w:t xml:space="preserve"> investors will have no incentive.</w:t>
      </w:r>
      <w:r w:rsidR="009C7AE4">
        <w:rPr>
          <w:rFonts w:ascii="Times New Roman" w:hAnsi="Times New Roman" w:cs="Times New Roman"/>
          <w:sz w:val="24"/>
          <w:szCs w:val="24"/>
        </w:rPr>
        <w:t xml:space="preserve"> </w:t>
      </w:r>
      <w:r w:rsidRPr="0092375D">
        <w:rPr>
          <w:rFonts w:ascii="Times New Roman" w:hAnsi="Times New Roman" w:cs="Times New Roman"/>
          <w:sz w:val="24"/>
          <w:szCs w:val="24"/>
        </w:rPr>
        <w:t xml:space="preserve">Operational risk assessment </w:t>
      </w:r>
      <w:proofErr w:type="gramStart"/>
      <w:r w:rsidRPr="0092375D">
        <w:rPr>
          <w:rFonts w:ascii="Times New Roman" w:hAnsi="Times New Roman" w:cs="Times New Roman"/>
          <w:sz w:val="24"/>
          <w:szCs w:val="24"/>
        </w:rPr>
        <w:t>see</w:t>
      </w:r>
      <w:r w:rsidR="005C3D73">
        <w:rPr>
          <w:rFonts w:ascii="Times New Roman" w:hAnsi="Times New Roman" w:cs="Times New Roman"/>
          <w:sz w:val="24"/>
          <w:szCs w:val="24"/>
        </w:rPr>
        <w:t>m</w:t>
      </w:r>
      <w:proofErr w:type="gramEnd"/>
      <w:r w:rsidR="005C3D73">
        <w:rPr>
          <w:rFonts w:ascii="Times New Roman" w:hAnsi="Times New Roman" w:cs="Times New Roman"/>
          <w:sz w:val="24"/>
          <w:szCs w:val="24"/>
        </w:rPr>
        <w:t xml:space="preserve"> to</w:t>
      </w:r>
      <w:r w:rsidRPr="0092375D">
        <w:rPr>
          <w:rFonts w:ascii="Times New Roman" w:hAnsi="Times New Roman" w:cs="Times New Roman"/>
          <w:sz w:val="24"/>
          <w:szCs w:val="24"/>
        </w:rPr>
        <w:t xml:space="preserve"> gain growing interest in banking industry, although the measure was given little importance in the previous industry. These measures are mainly focused market value of a company as compared to book value where it tells overall value of investing approach. Application of such measures can be seen going against market efficiency theory as markets are presumed to be inefficient. Despite the criticism, market efficiency theory holds strong value in stock valuation.</w:t>
      </w:r>
    </w:p>
    <w:p w14:paraId="442CEF55" w14:textId="77777777" w:rsidR="0092375D" w:rsidRPr="0092375D" w:rsidRDefault="0092375D" w:rsidP="0092375D">
      <w:pPr>
        <w:rPr>
          <w:rFonts w:ascii="Times New Roman" w:hAnsi="Times New Roman" w:cs="Times New Roman"/>
          <w:sz w:val="24"/>
          <w:szCs w:val="24"/>
        </w:rPr>
      </w:pPr>
    </w:p>
    <w:p w14:paraId="6D77D5A6" w14:textId="703904BF" w:rsidR="0092375D" w:rsidRDefault="0092375D" w:rsidP="0092375D">
      <w:pPr>
        <w:rPr>
          <w:rFonts w:ascii="Times New Roman" w:hAnsi="Times New Roman" w:cs="Times New Roman"/>
          <w:sz w:val="24"/>
          <w:szCs w:val="24"/>
        </w:rPr>
      </w:pPr>
      <w:r w:rsidRPr="003D5E17">
        <w:rPr>
          <w:rFonts w:ascii="Times New Roman" w:hAnsi="Times New Roman" w:cs="Times New Roman"/>
          <w:sz w:val="24"/>
          <w:szCs w:val="24"/>
        </w:rPr>
        <w:t>Banking institutions possess the necessary knowledge to regulate their working but often ignore such information relying on diversification strategies to minimize risk</w:t>
      </w:r>
      <w:r w:rsidR="00E968E5">
        <w:rPr>
          <w:rFonts w:ascii="Times New Roman" w:hAnsi="Times New Roman" w:cs="Times New Roman"/>
          <w:sz w:val="24"/>
          <w:szCs w:val="24"/>
        </w:rPr>
        <w:t>s</w:t>
      </w:r>
      <w:bookmarkStart w:id="25" w:name="_GoBack"/>
      <w:bookmarkEnd w:id="25"/>
      <w:r w:rsidRPr="003D5E17">
        <w:rPr>
          <w:rFonts w:ascii="Times New Roman" w:hAnsi="Times New Roman" w:cs="Times New Roman"/>
          <w:sz w:val="24"/>
          <w:szCs w:val="24"/>
        </w:rPr>
        <w:t xml:space="preserve">. Regulatory authorities have an important role to play in this area so that working of banks can be managed more effectively. The </w:t>
      </w:r>
      <w:r w:rsidRPr="003D5E17">
        <w:rPr>
          <w:rFonts w:ascii="Times New Roman" w:hAnsi="Times New Roman" w:cs="Times New Roman"/>
          <w:sz w:val="24"/>
          <w:szCs w:val="24"/>
        </w:rPr>
        <w:lastRenderedPageBreak/>
        <w:t xml:space="preserve">symmetry of information should be supported along with </w:t>
      </w:r>
      <w:proofErr w:type="gramStart"/>
      <w:r w:rsidRPr="003D5E17">
        <w:rPr>
          <w:rFonts w:ascii="Times New Roman" w:hAnsi="Times New Roman" w:cs="Times New Roman"/>
          <w:sz w:val="24"/>
          <w:szCs w:val="24"/>
        </w:rPr>
        <w:t>taking action</w:t>
      </w:r>
      <w:proofErr w:type="gramEnd"/>
      <w:r w:rsidRPr="003D5E17">
        <w:rPr>
          <w:rFonts w:ascii="Times New Roman" w:hAnsi="Times New Roman" w:cs="Times New Roman"/>
          <w:sz w:val="24"/>
          <w:szCs w:val="24"/>
        </w:rPr>
        <w:t xml:space="preserve"> against banks who hid their financial position.</w:t>
      </w:r>
    </w:p>
    <w:p w14:paraId="0EA462C0" w14:textId="77777777" w:rsidR="0092375D" w:rsidRPr="003629AA" w:rsidRDefault="0092375D" w:rsidP="0092375D">
      <w:pPr>
        <w:rPr>
          <w:rFonts w:ascii="Times New Roman" w:hAnsi="Times New Roman" w:cs="Times New Roman"/>
        </w:rPr>
      </w:pPr>
    </w:p>
    <w:p w14:paraId="20E3DD5F" w14:textId="7E4C88D8" w:rsidR="00133181" w:rsidRPr="00133181" w:rsidRDefault="00C15629" w:rsidP="00133181">
      <w:pPr>
        <w:pStyle w:val="Heading1"/>
      </w:pPr>
      <w:bookmarkStart w:id="26" w:name="_Toc18488784"/>
      <w:r>
        <w:t>References</w:t>
      </w:r>
      <w:bookmarkEnd w:id="26"/>
    </w:p>
    <w:p w14:paraId="5B026C09"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ADAM HAYES, May 19, 2019-last update, Capital Adequacy Ratio – CAR. Available: </w:t>
      </w:r>
      <w:hyperlink r:id="rId10" w:tgtFrame="_blank" w:history="1">
        <w:r w:rsidRPr="00106304">
          <w:rPr>
            <w:rStyle w:val="Hyperlink"/>
            <w:color w:val="auto"/>
          </w:rPr>
          <w:t>https://www.investopedia.com/terms/c/capitaladequacyratio.asp</w:t>
        </w:r>
      </w:hyperlink>
      <w:r w:rsidRPr="00106304">
        <w:t xml:space="preserve"> (accessed 10</w:t>
      </w:r>
      <w:r w:rsidRPr="00106304">
        <w:rPr>
          <w:vertAlign w:val="superscript"/>
        </w:rPr>
        <w:t>th</w:t>
      </w:r>
      <w:r w:rsidRPr="00106304">
        <w:t xml:space="preserve"> July 2019)</w:t>
      </w:r>
    </w:p>
    <w:p w14:paraId="06F78E35"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ANDREW W. HARTLAGE, 2012. The Basel III Liquidity Coverage Ratio and Financial Stability. </w:t>
      </w:r>
      <w:r w:rsidRPr="00106304">
        <w:rPr>
          <w:i/>
          <w:iCs/>
        </w:rPr>
        <w:t>Michigan Law Review, </w:t>
      </w:r>
      <w:r w:rsidRPr="00106304">
        <w:rPr>
          <w:b/>
          <w:bCs/>
        </w:rPr>
        <w:t>111</w:t>
      </w:r>
      <w:r w:rsidRPr="00106304">
        <w:t>(3), pp. 453-483.</w:t>
      </w:r>
    </w:p>
    <w:p w14:paraId="6217412C"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ANGELA MONAGHAN, 2013, Tue 17 Sep. Lloyds Banking Group timeline: from bailout to government sale</w:t>
      </w:r>
      <w:r w:rsidRPr="00106304">
        <w:rPr>
          <w:i/>
          <w:iCs/>
        </w:rPr>
        <w:t>. The Guardian</w:t>
      </w:r>
      <w:r w:rsidRPr="00106304">
        <w:t>.</w:t>
      </w:r>
    </w:p>
    <w:p w14:paraId="312C1E7C"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proofErr w:type="spellStart"/>
      <w:r w:rsidRPr="00106304">
        <w:rPr>
          <w:rFonts w:ascii="Times New Roman" w:hAnsi="Times New Roman" w:cs="Times New Roman"/>
          <w:sz w:val="24"/>
          <w:szCs w:val="24"/>
        </w:rPr>
        <w:t>Anginer</w:t>
      </w:r>
      <w:proofErr w:type="spellEnd"/>
      <w:r w:rsidRPr="00106304">
        <w:rPr>
          <w:rFonts w:ascii="Times New Roman" w:hAnsi="Times New Roman" w:cs="Times New Roman"/>
          <w:sz w:val="24"/>
          <w:szCs w:val="24"/>
        </w:rPr>
        <w:t xml:space="preserve">, D., </w:t>
      </w:r>
      <w:proofErr w:type="spellStart"/>
      <w:r w:rsidRPr="00106304">
        <w:rPr>
          <w:rFonts w:ascii="Times New Roman" w:hAnsi="Times New Roman" w:cs="Times New Roman"/>
          <w:sz w:val="24"/>
          <w:szCs w:val="24"/>
        </w:rPr>
        <w:t>Demirgüç-Kunt</w:t>
      </w:r>
      <w:proofErr w:type="spellEnd"/>
      <w:r w:rsidRPr="00106304">
        <w:rPr>
          <w:rFonts w:ascii="Times New Roman" w:hAnsi="Times New Roman" w:cs="Times New Roman"/>
          <w:sz w:val="24"/>
          <w:szCs w:val="24"/>
        </w:rPr>
        <w:t>, A. and Mare, D.S., 2018. Bank capital, institutional environment and systemic stability. </w:t>
      </w:r>
      <w:r w:rsidRPr="00106304">
        <w:rPr>
          <w:rFonts w:ascii="Times New Roman" w:hAnsi="Times New Roman" w:cs="Times New Roman"/>
          <w:i/>
          <w:iCs/>
          <w:sz w:val="24"/>
          <w:szCs w:val="24"/>
        </w:rPr>
        <w:t>Journal of Financial Stability</w:t>
      </w:r>
      <w:r w:rsidRPr="00106304">
        <w:rPr>
          <w:rFonts w:ascii="Times New Roman" w:hAnsi="Times New Roman" w:cs="Times New Roman"/>
          <w:sz w:val="24"/>
          <w:szCs w:val="24"/>
        </w:rPr>
        <w:t>, </w:t>
      </w:r>
      <w:r w:rsidRPr="00106304">
        <w:rPr>
          <w:rFonts w:ascii="Times New Roman" w:hAnsi="Times New Roman" w:cs="Times New Roman"/>
          <w:i/>
          <w:iCs/>
          <w:sz w:val="24"/>
          <w:szCs w:val="24"/>
        </w:rPr>
        <w:t>37</w:t>
      </w:r>
      <w:r w:rsidRPr="00106304">
        <w:rPr>
          <w:rFonts w:ascii="Times New Roman" w:hAnsi="Times New Roman" w:cs="Times New Roman"/>
          <w:sz w:val="24"/>
          <w:szCs w:val="24"/>
        </w:rPr>
        <w:t>, pp.97-106.</w:t>
      </w:r>
    </w:p>
    <w:p w14:paraId="049A4B4D"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Barclays Bank plc (2018) Annual Report 2018. [Internet] Available from </w:t>
      </w:r>
      <w:hyperlink r:id="rId11" w:history="1">
        <w:r w:rsidRPr="00106304">
          <w:rPr>
            <w:rStyle w:val="Hyperlink"/>
            <w:rFonts w:eastAsiaTheme="majorEastAsia"/>
            <w:color w:val="auto"/>
          </w:rPr>
          <w:t>https://home.barclays/content/dam/home-barclays/documents/investor-relations/reports-and-events/annual-reports/2018/2018-barclays-plc-annual-report.pdf</w:t>
        </w:r>
      </w:hyperlink>
      <w:r w:rsidRPr="00106304">
        <w:t xml:space="preserve"> (accessed 1st July 2019).</w:t>
      </w:r>
    </w:p>
    <w:p w14:paraId="2E476AB1"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Barr, M. S. (2012). The financial crisis and the path of reform. Yale J. on Reg., 29, 91.</w:t>
      </w:r>
    </w:p>
    <w:p w14:paraId="04D4D81A"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Barth, J. R., Caprio Jr, G., and Levine, R. (2013). Bank regulation and supervision in 180 countries from 1999 to 2011. Journal of Financial Economic Policy, 5(2), 111-219.</w:t>
      </w:r>
    </w:p>
    <w:p w14:paraId="74732214" w14:textId="77777777" w:rsidR="00106304" w:rsidRPr="00106304" w:rsidRDefault="00106304" w:rsidP="00106304">
      <w:pPr>
        <w:pStyle w:val="Default"/>
        <w:numPr>
          <w:ilvl w:val="0"/>
          <w:numId w:val="4"/>
        </w:numPr>
        <w:spacing w:line="360" w:lineRule="auto"/>
        <w:rPr>
          <w:rFonts w:ascii="Times New Roman" w:hAnsi="Times New Roman" w:cs="Times New Roman"/>
          <w:i/>
          <w:color w:val="auto"/>
        </w:rPr>
      </w:pPr>
      <w:r w:rsidRPr="00106304">
        <w:rPr>
          <w:rFonts w:ascii="Times New Roman" w:hAnsi="Times New Roman" w:cs="Times New Roman"/>
          <w:color w:val="auto"/>
        </w:rPr>
        <w:t xml:space="preserve">Basel Committee on Banking Supervisor (2000). </w:t>
      </w:r>
      <w:r w:rsidRPr="00106304">
        <w:rPr>
          <w:rFonts w:ascii="Times New Roman" w:hAnsi="Times New Roman" w:cs="Times New Roman"/>
          <w:i/>
          <w:color w:val="auto"/>
        </w:rPr>
        <w:t xml:space="preserve">Principles for the Management of Credit Risk. </w:t>
      </w:r>
      <w:r w:rsidRPr="00106304">
        <w:rPr>
          <w:rFonts w:ascii="Times New Roman" w:hAnsi="Times New Roman" w:cs="Times New Roman"/>
          <w:color w:val="auto"/>
        </w:rPr>
        <w:t xml:space="preserve">[Internet] Available from </w:t>
      </w:r>
      <w:hyperlink r:id="rId12" w:history="1">
        <w:r w:rsidRPr="00106304">
          <w:rPr>
            <w:rStyle w:val="Hyperlink"/>
            <w:rFonts w:ascii="Times New Roman" w:hAnsi="Times New Roman" w:cs="Times New Roman"/>
            <w:color w:val="auto"/>
          </w:rPr>
          <w:t>https://www.bis.org/publ/bcbs75.pdf</w:t>
        </w:r>
      </w:hyperlink>
      <w:r w:rsidRPr="00106304">
        <w:rPr>
          <w:rFonts w:ascii="Times New Roman" w:hAnsi="Times New Roman" w:cs="Times New Roman"/>
          <w:color w:val="auto"/>
        </w:rPr>
        <w:t xml:space="preserve"> (accessed 21</w:t>
      </w:r>
      <w:r w:rsidRPr="00106304">
        <w:rPr>
          <w:rFonts w:ascii="Times New Roman" w:hAnsi="Times New Roman" w:cs="Times New Roman"/>
          <w:color w:val="auto"/>
          <w:vertAlign w:val="superscript"/>
        </w:rPr>
        <w:t>st</w:t>
      </w:r>
      <w:r w:rsidRPr="00106304">
        <w:rPr>
          <w:rFonts w:ascii="Times New Roman" w:hAnsi="Times New Roman" w:cs="Times New Roman"/>
          <w:color w:val="auto"/>
        </w:rPr>
        <w:t xml:space="preserve"> July 2019).</w:t>
      </w:r>
    </w:p>
    <w:p w14:paraId="7FEF41C9" w14:textId="77777777" w:rsidR="00106304" w:rsidRPr="00106304" w:rsidRDefault="00106304" w:rsidP="00106304">
      <w:pPr>
        <w:pStyle w:val="Default"/>
        <w:numPr>
          <w:ilvl w:val="0"/>
          <w:numId w:val="4"/>
        </w:numPr>
        <w:spacing w:line="360" w:lineRule="auto"/>
        <w:rPr>
          <w:rFonts w:ascii="Times New Roman" w:hAnsi="Times New Roman" w:cs="Times New Roman"/>
          <w:i/>
          <w:color w:val="auto"/>
        </w:rPr>
      </w:pPr>
      <w:r w:rsidRPr="00106304">
        <w:rPr>
          <w:rFonts w:ascii="Times New Roman" w:hAnsi="Times New Roman" w:cs="Times New Roman"/>
          <w:color w:val="auto"/>
        </w:rPr>
        <w:t xml:space="preserve">Basel Committee on Banking Supervisor (2001). </w:t>
      </w:r>
      <w:r w:rsidRPr="00106304">
        <w:rPr>
          <w:rFonts w:ascii="Times New Roman" w:hAnsi="Times New Roman" w:cs="Times New Roman"/>
          <w:i/>
          <w:color w:val="auto"/>
        </w:rPr>
        <w:t>The internal Ratings-Based Approach</w:t>
      </w:r>
      <w:r w:rsidRPr="00106304">
        <w:rPr>
          <w:rFonts w:ascii="Times New Roman" w:hAnsi="Times New Roman" w:cs="Times New Roman"/>
          <w:color w:val="auto"/>
        </w:rPr>
        <w:t xml:space="preserve">. [Internet] Available from </w:t>
      </w:r>
      <w:hyperlink r:id="rId13" w:history="1">
        <w:r w:rsidRPr="00106304">
          <w:rPr>
            <w:rStyle w:val="Hyperlink"/>
            <w:rFonts w:ascii="Times New Roman" w:hAnsi="Times New Roman" w:cs="Times New Roman"/>
            <w:color w:val="auto"/>
          </w:rPr>
          <w:t>https://www.fsa.go.jp/inter/bis/bj_20010117_1/1l.pdf</w:t>
        </w:r>
      </w:hyperlink>
      <w:r w:rsidRPr="00106304">
        <w:rPr>
          <w:rFonts w:ascii="Times New Roman" w:hAnsi="Times New Roman" w:cs="Times New Roman"/>
          <w:color w:val="auto"/>
        </w:rPr>
        <w:t xml:space="preserve"> (accessed 24</w:t>
      </w:r>
      <w:r w:rsidRPr="00106304">
        <w:rPr>
          <w:rFonts w:ascii="Times New Roman" w:hAnsi="Times New Roman" w:cs="Times New Roman"/>
          <w:color w:val="auto"/>
          <w:vertAlign w:val="superscript"/>
        </w:rPr>
        <w:t>th</w:t>
      </w:r>
      <w:r w:rsidRPr="00106304">
        <w:rPr>
          <w:rFonts w:ascii="Times New Roman" w:hAnsi="Times New Roman" w:cs="Times New Roman"/>
          <w:color w:val="auto"/>
        </w:rPr>
        <w:t xml:space="preserve"> July 2019). </w:t>
      </w:r>
    </w:p>
    <w:p w14:paraId="18BBCB36" w14:textId="77777777" w:rsidR="00106304" w:rsidRPr="00106304" w:rsidRDefault="00106304" w:rsidP="00106304">
      <w:pPr>
        <w:pStyle w:val="ListParagraph"/>
        <w:numPr>
          <w:ilvl w:val="0"/>
          <w:numId w:val="4"/>
        </w:numPr>
        <w:autoSpaceDE w:val="0"/>
        <w:autoSpaceDN w:val="0"/>
        <w:adjustRightInd w:val="0"/>
        <w:jc w:val="left"/>
        <w:rPr>
          <w:rFonts w:ascii="Times New Roman" w:hAnsi="Times New Roman" w:cs="Times New Roman"/>
          <w:bCs/>
          <w:sz w:val="24"/>
          <w:szCs w:val="24"/>
        </w:rPr>
      </w:pPr>
      <w:r w:rsidRPr="00106304">
        <w:rPr>
          <w:rFonts w:ascii="Times New Roman" w:hAnsi="Times New Roman" w:cs="Times New Roman"/>
          <w:sz w:val="24"/>
          <w:szCs w:val="24"/>
        </w:rPr>
        <w:t xml:space="preserve">Basel Committee on Banking Supervisor (2010). </w:t>
      </w:r>
      <w:r w:rsidRPr="00106304">
        <w:rPr>
          <w:rFonts w:ascii="Times New Roman" w:hAnsi="Times New Roman" w:cs="Times New Roman"/>
          <w:bCs/>
          <w:i/>
          <w:sz w:val="24"/>
          <w:szCs w:val="24"/>
        </w:rPr>
        <w:t xml:space="preserve">Basel III: A global regulatory framework for more resilient banks and banking systems. </w:t>
      </w:r>
      <w:r w:rsidRPr="00106304">
        <w:rPr>
          <w:rFonts w:ascii="Times New Roman" w:hAnsi="Times New Roman" w:cs="Times New Roman"/>
          <w:bCs/>
          <w:sz w:val="24"/>
          <w:szCs w:val="24"/>
        </w:rPr>
        <w:t xml:space="preserve">[Internet] Available from </w:t>
      </w:r>
      <w:hyperlink r:id="rId14" w:history="1">
        <w:r w:rsidRPr="00106304">
          <w:rPr>
            <w:rStyle w:val="Hyperlink"/>
            <w:rFonts w:ascii="Times New Roman" w:hAnsi="Times New Roman" w:cs="Times New Roman"/>
            <w:color w:val="auto"/>
            <w:sz w:val="24"/>
            <w:szCs w:val="24"/>
          </w:rPr>
          <w:t>https://www.bis.org/publ/bcbs189_dec2010.pdf</w:t>
        </w:r>
      </w:hyperlink>
      <w:r w:rsidRPr="00106304">
        <w:rPr>
          <w:rFonts w:ascii="Times New Roman" w:hAnsi="Times New Roman" w:cs="Times New Roman"/>
          <w:sz w:val="24"/>
          <w:szCs w:val="24"/>
        </w:rPr>
        <w:t xml:space="preserve"> (accessed 20</w:t>
      </w:r>
      <w:r w:rsidRPr="00106304">
        <w:rPr>
          <w:rFonts w:ascii="Times New Roman" w:hAnsi="Times New Roman" w:cs="Times New Roman"/>
          <w:sz w:val="24"/>
          <w:szCs w:val="24"/>
          <w:vertAlign w:val="superscript"/>
        </w:rPr>
        <w:t>th</w:t>
      </w:r>
      <w:r w:rsidRPr="00106304">
        <w:rPr>
          <w:rFonts w:ascii="Times New Roman" w:hAnsi="Times New Roman" w:cs="Times New Roman"/>
          <w:sz w:val="24"/>
          <w:szCs w:val="24"/>
        </w:rPr>
        <w:t xml:space="preserve"> July 2019). </w:t>
      </w:r>
    </w:p>
    <w:p w14:paraId="776F8E96" w14:textId="77777777" w:rsidR="00106304" w:rsidRPr="00106304" w:rsidRDefault="00106304" w:rsidP="00106304">
      <w:pPr>
        <w:pStyle w:val="Default"/>
        <w:numPr>
          <w:ilvl w:val="0"/>
          <w:numId w:val="4"/>
        </w:numPr>
        <w:spacing w:line="360" w:lineRule="auto"/>
        <w:rPr>
          <w:rFonts w:ascii="Times New Roman" w:hAnsi="Times New Roman" w:cs="Times New Roman"/>
          <w:color w:val="auto"/>
        </w:rPr>
      </w:pPr>
      <w:r w:rsidRPr="00106304">
        <w:rPr>
          <w:rFonts w:ascii="Times New Roman" w:hAnsi="Times New Roman" w:cs="Times New Roman"/>
          <w:color w:val="auto"/>
        </w:rPr>
        <w:t xml:space="preserve">Basel Committee on Banking Supervisor (2013). </w:t>
      </w:r>
      <w:r w:rsidRPr="00106304">
        <w:rPr>
          <w:rFonts w:ascii="Times New Roman" w:hAnsi="Times New Roman" w:cs="Times New Roman"/>
          <w:i/>
          <w:color w:val="auto"/>
        </w:rPr>
        <w:t>Basel III: The Liquidity Coverage Ratio and liquidity risk monitoring tools</w:t>
      </w:r>
      <w:r w:rsidRPr="00106304">
        <w:rPr>
          <w:rFonts w:ascii="Times New Roman" w:hAnsi="Times New Roman" w:cs="Times New Roman"/>
          <w:color w:val="auto"/>
        </w:rPr>
        <w:t xml:space="preserve">. [Internet] Available from </w:t>
      </w:r>
      <w:hyperlink r:id="rId15" w:history="1">
        <w:r w:rsidRPr="00106304">
          <w:rPr>
            <w:rStyle w:val="Hyperlink"/>
            <w:rFonts w:ascii="Times New Roman" w:hAnsi="Times New Roman" w:cs="Times New Roman"/>
            <w:color w:val="auto"/>
          </w:rPr>
          <w:t>http://www.ekof.bg.ac.rs/wp-content/uploads/2014/05/Basel-III-Liquidity-2013.pdf</w:t>
        </w:r>
      </w:hyperlink>
      <w:r w:rsidRPr="00106304">
        <w:rPr>
          <w:rFonts w:ascii="Times New Roman" w:hAnsi="Times New Roman" w:cs="Times New Roman"/>
          <w:color w:val="auto"/>
        </w:rPr>
        <w:t xml:space="preserve"> (accessed 20</w:t>
      </w:r>
      <w:r w:rsidRPr="00106304">
        <w:rPr>
          <w:rFonts w:ascii="Times New Roman" w:hAnsi="Times New Roman" w:cs="Times New Roman"/>
          <w:color w:val="auto"/>
          <w:vertAlign w:val="superscript"/>
        </w:rPr>
        <w:t>th</w:t>
      </w:r>
      <w:r w:rsidRPr="00106304">
        <w:rPr>
          <w:rFonts w:ascii="Times New Roman" w:hAnsi="Times New Roman" w:cs="Times New Roman"/>
          <w:color w:val="auto"/>
        </w:rPr>
        <w:t xml:space="preserve"> July 2019). </w:t>
      </w:r>
    </w:p>
    <w:p w14:paraId="0DBE04A2" w14:textId="77777777" w:rsidR="00106304" w:rsidRPr="00106304" w:rsidRDefault="00106304" w:rsidP="00106304">
      <w:pPr>
        <w:pStyle w:val="Default"/>
        <w:numPr>
          <w:ilvl w:val="0"/>
          <w:numId w:val="4"/>
        </w:numPr>
        <w:spacing w:line="360" w:lineRule="auto"/>
        <w:rPr>
          <w:rFonts w:ascii="Times New Roman" w:hAnsi="Times New Roman" w:cs="Times New Roman"/>
          <w:color w:val="auto"/>
        </w:rPr>
      </w:pPr>
      <w:r w:rsidRPr="00106304">
        <w:rPr>
          <w:rFonts w:ascii="Times New Roman" w:hAnsi="Times New Roman" w:cs="Times New Roman"/>
          <w:color w:val="auto"/>
        </w:rPr>
        <w:lastRenderedPageBreak/>
        <w:t xml:space="preserve">Basel Committee on Banking Supervisor (2016). </w:t>
      </w:r>
      <w:r w:rsidRPr="00106304">
        <w:rPr>
          <w:rFonts w:ascii="Times New Roman" w:hAnsi="Times New Roman" w:cs="Times New Roman"/>
          <w:i/>
          <w:color w:val="auto"/>
        </w:rPr>
        <w:t>Minimum capital requirements for market risk</w:t>
      </w:r>
      <w:r w:rsidRPr="00106304">
        <w:rPr>
          <w:rFonts w:ascii="Times New Roman" w:hAnsi="Times New Roman" w:cs="Times New Roman"/>
          <w:color w:val="auto"/>
        </w:rPr>
        <w:t xml:space="preserve">. [Internet] Available from </w:t>
      </w:r>
      <w:hyperlink r:id="rId16" w:history="1">
        <w:r w:rsidRPr="00106304">
          <w:rPr>
            <w:rStyle w:val="Hyperlink"/>
            <w:rFonts w:ascii="Times New Roman" w:hAnsi="Times New Roman" w:cs="Times New Roman"/>
            <w:color w:val="auto"/>
          </w:rPr>
          <w:t>https://www.bis.org/bcbs/publ/d352.pdf</w:t>
        </w:r>
      </w:hyperlink>
      <w:r w:rsidRPr="00106304">
        <w:rPr>
          <w:rFonts w:ascii="Times New Roman" w:hAnsi="Times New Roman" w:cs="Times New Roman"/>
          <w:color w:val="auto"/>
        </w:rPr>
        <w:t xml:space="preserve"> (accessed 27</w:t>
      </w:r>
      <w:r w:rsidRPr="00106304">
        <w:rPr>
          <w:rFonts w:ascii="Times New Roman" w:hAnsi="Times New Roman" w:cs="Times New Roman"/>
          <w:color w:val="auto"/>
          <w:vertAlign w:val="superscript"/>
        </w:rPr>
        <w:t>th</w:t>
      </w:r>
      <w:r w:rsidRPr="00106304">
        <w:rPr>
          <w:rFonts w:ascii="Times New Roman" w:hAnsi="Times New Roman" w:cs="Times New Roman"/>
          <w:color w:val="auto"/>
        </w:rPr>
        <w:t xml:space="preserve"> July 2019). </w:t>
      </w:r>
    </w:p>
    <w:p w14:paraId="4DC4834F"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proofErr w:type="spellStart"/>
      <w:r w:rsidRPr="00106304">
        <w:rPr>
          <w:rFonts w:ascii="Times New Roman" w:hAnsi="Times New Roman" w:cs="Times New Roman"/>
          <w:sz w:val="24"/>
          <w:szCs w:val="24"/>
        </w:rPr>
        <w:t>Bech</w:t>
      </w:r>
      <w:proofErr w:type="spellEnd"/>
      <w:r w:rsidRPr="00106304">
        <w:rPr>
          <w:rFonts w:ascii="Times New Roman" w:hAnsi="Times New Roman" w:cs="Times New Roman"/>
          <w:sz w:val="24"/>
          <w:szCs w:val="24"/>
        </w:rPr>
        <w:t xml:space="preserve">, M.L. and </w:t>
      </w:r>
      <w:proofErr w:type="spellStart"/>
      <w:r w:rsidRPr="00106304">
        <w:rPr>
          <w:rFonts w:ascii="Times New Roman" w:hAnsi="Times New Roman" w:cs="Times New Roman"/>
          <w:sz w:val="24"/>
          <w:szCs w:val="24"/>
        </w:rPr>
        <w:t>Malkhozov</w:t>
      </w:r>
      <w:proofErr w:type="spellEnd"/>
      <w:r w:rsidRPr="00106304">
        <w:rPr>
          <w:rFonts w:ascii="Times New Roman" w:hAnsi="Times New Roman" w:cs="Times New Roman"/>
          <w:sz w:val="24"/>
          <w:szCs w:val="24"/>
        </w:rPr>
        <w:t xml:space="preserve">, A., 2016. How have central banks implemented negative policy </w:t>
      </w:r>
      <w:proofErr w:type="gramStart"/>
      <w:r w:rsidRPr="00106304">
        <w:rPr>
          <w:rFonts w:ascii="Times New Roman" w:hAnsi="Times New Roman" w:cs="Times New Roman"/>
          <w:sz w:val="24"/>
          <w:szCs w:val="24"/>
        </w:rPr>
        <w:t>rates?.</w:t>
      </w:r>
      <w:proofErr w:type="gramEnd"/>
      <w:r w:rsidRPr="00106304">
        <w:rPr>
          <w:rFonts w:ascii="Times New Roman" w:hAnsi="Times New Roman" w:cs="Times New Roman"/>
          <w:sz w:val="24"/>
          <w:szCs w:val="24"/>
        </w:rPr>
        <w:t> </w:t>
      </w:r>
      <w:r w:rsidRPr="00106304">
        <w:rPr>
          <w:rFonts w:ascii="Times New Roman" w:hAnsi="Times New Roman" w:cs="Times New Roman"/>
          <w:i/>
          <w:iCs/>
          <w:sz w:val="24"/>
          <w:szCs w:val="24"/>
        </w:rPr>
        <w:t>BIS Quarterly Review March</w:t>
      </w:r>
      <w:r w:rsidRPr="00106304">
        <w:rPr>
          <w:rFonts w:ascii="Times New Roman" w:hAnsi="Times New Roman" w:cs="Times New Roman"/>
          <w:sz w:val="24"/>
          <w:szCs w:val="24"/>
        </w:rPr>
        <w:t>.</w:t>
      </w:r>
    </w:p>
    <w:p w14:paraId="06EE39FB"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C. </w:t>
      </w:r>
      <w:proofErr w:type="spellStart"/>
      <w:r w:rsidRPr="00106304">
        <w:t>Paramasivan</w:t>
      </w:r>
      <w:proofErr w:type="spellEnd"/>
      <w:r w:rsidRPr="00106304">
        <w:t xml:space="preserve"> and T. Subramanian (2009). </w:t>
      </w:r>
      <w:r w:rsidRPr="00106304">
        <w:rPr>
          <w:i/>
        </w:rPr>
        <w:t>Financial management</w:t>
      </w:r>
      <w:r w:rsidRPr="00106304">
        <w:t xml:space="preserve">. New age international publisher </w:t>
      </w:r>
    </w:p>
    <w:p w14:paraId="7C330236"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Campiglio, E. (2016). Beyond carbon pricing: The role of banking and monetary policy in financing the transition to a low-carbon economy. Ecological Economics, 121, 220-230.</w:t>
      </w:r>
    </w:p>
    <w:p w14:paraId="4BE8BC04"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CHRIS B MURPHY, Jul 11, 2019-last update, Loan-to-Deposit Ratio (LDR). Available: </w:t>
      </w:r>
      <w:hyperlink r:id="rId17" w:tgtFrame="_blank" w:history="1">
        <w:r w:rsidRPr="00106304">
          <w:rPr>
            <w:rStyle w:val="Hyperlink"/>
            <w:color w:val="auto"/>
          </w:rPr>
          <w:t>https://www.investopedia.com/terms/l/loan-to-deposit-ratio.asp</w:t>
        </w:r>
      </w:hyperlink>
      <w:r w:rsidRPr="00106304">
        <w:t xml:space="preserve"> (accessed 12</w:t>
      </w:r>
      <w:r w:rsidRPr="00106304">
        <w:rPr>
          <w:vertAlign w:val="superscript"/>
        </w:rPr>
        <w:t>th</w:t>
      </w:r>
      <w:r w:rsidRPr="00106304">
        <w:t xml:space="preserve"> July 2019).</w:t>
      </w:r>
    </w:p>
    <w:p w14:paraId="3A81BC98"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FAMA, E.F., 1991. Efficient Capital markets: II. </w:t>
      </w:r>
      <w:r w:rsidRPr="00106304">
        <w:rPr>
          <w:i/>
          <w:iCs/>
        </w:rPr>
        <w:t>Journal of Finance, </w:t>
      </w:r>
      <w:r w:rsidRPr="00106304">
        <w:rPr>
          <w:b/>
          <w:bCs/>
        </w:rPr>
        <w:t>46</w:t>
      </w:r>
      <w:r w:rsidRPr="00106304">
        <w:t>(5), pp. 1575.</w:t>
      </w:r>
    </w:p>
    <w:p w14:paraId="1E2CF693"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FORBES, 2018. Largest U.S. Banks To Benefit from Improving Loan-To-Deposit Ratios. </w:t>
      </w:r>
      <w:r w:rsidRPr="00106304">
        <w:rPr>
          <w:i/>
          <w:iCs/>
        </w:rPr>
        <w:t>Forbes</w:t>
      </w:r>
      <w:proofErr w:type="gramStart"/>
      <w:r w:rsidRPr="00106304">
        <w:rPr>
          <w:i/>
          <w:iCs/>
        </w:rPr>
        <w:t>, </w:t>
      </w:r>
      <w:r w:rsidRPr="00106304">
        <w:t>.</w:t>
      </w:r>
      <w:proofErr w:type="gramEnd"/>
    </w:p>
    <w:p w14:paraId="3DFC39B2"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Goodhart, C. A. E. (2011). The changing role of central banks. Financial History Review, 18(2), 135-154.</w:t>
      </w:r>
    </w:p>
    <w:p w14:paraId="103E48C5"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GOODHART, C., 2011. </w:t>
      </w:r>
      <w:r w:rsidRPr="00106304">
        <w:rPr>
          <w:i/>
          <w:iCs/>
        </w:rPr>
        <w:t>The Basel Committee on Banking Supervision. </w:t>
      </w:r>
      <w:r w:rsidRPr="00106304">
        <w:t>Cambridge University Press.</w:t>
      </w:r>
    </w:p>
    <w:p w14:paraId="407A5EA5"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 xml:space="preserve">Hou, B., and Sun, M. (2014). </w:t>
      </w:r>
      <w:r w:rsidRPr="00106304">
        <w:rPr>
          <w:rFonts w:ascii="Times New Roman" w:hAnsi="Times New Roman" w:cs="Times New Roman"/>
          <w:i/>
          <w:sz w:val="24"/>
          <w:szCs w:val="24"/>
        </w:rPr>
        <w:t>Testing the Weak-Form Market Efficiency Hypothesis for Canadian and Chinese Stock</w:t>
      </w:r>
      <w:r w:rsidRPr="00106304">
        <w:rPr>
          <w:rFonts w:ascii="Times New Roman" w:hAnsi="Times New Roman" w:cs="Times New Roman"/>
          <w:sz w:val="24"/>
          <w:szCs w:val="24"/>
        </w:rPr>
        <w:t>.</w:t>
      </w:r>
    </w:p>
    <w:p w14:paraId="318DB8CF"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John C. Hull (2015). </w:t>
      </w:r>
      <w:r w:rsidRPr="00106304">
        <w:rPr>
          <w:i/>
        </w:rPr>
        <w:t>Risk management and financial institutions</w:t>
      </w:r>
      <w:r w:rsidRPr="00106304">
        <w:t xml:space="preserve">. </w:t>
      </w:r>
      <w:r w:rsidRPr="00106304">
        <w:rPr>
          <w:i/>
          <w:iCs/>
          <w:shd w:val="clear" w:color="auto" w:fill="FFFFFF"/>
        </w:rPr>
        <w:t xml:space="preserve"> </w:t>
      </w:r>
      <w:r w:rsidRPr="00106304">
        <w:t xml:space="preserve">[Internet] Available from </w:t>
      </w:r>
      <w:hyperlink r:id="rId18" w:history="1">
        <w:r w:rsidRPr="00106304">
          <w:rPr>
            <w:rStyle w:val="Hyperlink"/>
            <w:rFonts w:eastAsiaTheme="majorEastAsia"/>
            <w:color w:val="auto"/>
          </w:rPr>
          <w:t>http://www.simonfoucher.com/MBA/FINA%20695%20-%20Risk%20Management/riskmanagementandfinancialinstitutions4theditionjohnhull-150518225205-lva1-app6892.p</w:t>
        </w:r>
      </w:hyperlink>
    </w:p>
    <w:p w14:paraId="24F7A103"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Jones, E., Kelemen, R.D. and Meunier, S., 2016. Failing forward? The Euro crisis and the incomplete nature of European integration. </w:t>
      </w:r>
      <w:r w:rsidRPr="00106304">
        <w:rPr>
          <w:rFonts w:ascii="Times New Roman" w:hAnsi="Times New Roman" w:cs="Times New Roman"/>
          <w:i/>
          <w:iCs/>
          <w:sz w:val="24"/>
          <w:szCs w:val="24"/>
        </w:rPr>
        <w:t>Comparative Political Studies</w:t>
      </w:r>
      <w:r w:rsidRPr="00106304">
        <w:rPr>
          <w:rFonts w:ascii="Times New Roman" w:hAnsi="Times New Roman" w:cs="Times New Roman"/>
          <w:sz w:val="24"/>
          <w:szCs w:val="24"/>
        </w:rPr>
        <w:t>, </w:t>
      </w:r>
      <w:r w:rsidRPr="00106304">
        <w:rPr>
          <w:rFonts w:ascii="Times New Roman" w:hAnsi="Times New Roman" w:cs="Times New Roman"/>
          <w:i/>
          <w:iCs/>
          <w:sz w:val="24"/>
          <w:szCs w:val="24"/>
        </w:rPr>
        <w:t>49</w:t>
      </w:r>
      <w:r w:rsidRPr="00106304">
        <w:rPr>
          <w:rFonts w:ascii="Times New Roman" w:hAnsi="Times New Roman" w:cs="Times New Roman"/>
          <w:sz w:val="24"/>
          <w:szCs w:val="24"/>
        </w:rPr>
        <w:t>(7), pp.1010-1034.</w:t>
      </w:r>
    </w:p>
    <w:p w14:paraId="4AE8B253"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proofErr w:type="spellStart"/>
      <w:r w:rsidRPr="00106304">
        <w:rPr>
          <w:rFonts w:ascii="Times New Roman" w:hAnsi="Times New Roman" w:cs="Times New Roman"/>
          <w:sz w:val="24"/>
          <w:szCs w:val="24"/>
        </w:rPr>
        <w:t>Kraujalis</w:t>
      </w:r>
      <w:proofErr w:type="spellEnd"/>
      <w:r w:rsidRPr="00106304">
        <w:rPr>
          <w:rFonts w:ascii="Times New Roman" w:hAnsi="Times New Roman" w:cs="Times New Roman"/>
          <w:sz w:val="24"/>
          <w:szCs w:val="24"/>
        </w:rPr>
        <w:t xml:space="preserve">, Š., </w:t>
      </w:r>
      <w:proofErr w:type="spellStart"/>
      <w:r w:rsidRPr="00106304">
        <w:rPr>
          <w:rFonts w:ascii="Times New Roman" w:hAnsi="Times New Roman" w:cs="Times New Roman"/>
          <w:sz w:val="24"/>
          <w:szCs w:val="24"/>
        </w:rPr>
        <w:t>Karpavičienė</w:t>
      </w:r>
      <w:proofErr w:type="spellEnd"/>
      <w:r w:rsidRPr="00106304">
        <w:rPr>
          <w:rFonts w:ascii="Times New Roman" w:hAnsi="Times New Roman" w:cs="Times New Roman"/>
          <w:sz w:val="24"/>
          <w:szCs w:val="24"/>
        </w:rPr>
        <w:t xml:space="preserve">, E., and </w:t>
      </w:r>
      <w:proofErr w:type="spellStart"/>
      <w:r w:rsidRPr="00106304">
        <w:rPr>
          <w:rFonts w:ascii="Times New Roman" w:hAnsi="Times New Roman" w:cs="Times New Roman"/>
          <w:sz w:val="24"/>
          <w:szCs w:val="24"/>
        </w:rPr>
        <w:t>Cvilikas</w:t>
      </w:r>
      <w:proofErr w:type="spellEnd"/>
      <w:r w:rsidRPr="00106304">
        <w:rPr>
          <w:rFonts w:ascii="Times New Roman" w:hAnsi="Times New Roman" w:cs="Times New Roman"/>
          <w:sz w:val="24"/>
          <w:szCs w:val="24"/>
        </w:rPr>
        <w:t xml:space="preserve">, A. (2006). </w:t>
      </w:r>
      <w:r w:rsidRPr="00106304">
        <w:rPr>
          <w:rFonts w:ascii="Times New Roman" w:hAnsi="Times New Roman" w:cs="Times New Roman"/>
          <w:i/>
          <w:sz w:val="24"/>
          <w:szCs w:val="24"/>
        </w:rPr>
        <w:t>The specifics of operational risk assessment methodology recommended by Basel II</w:t>
      </w:r>
      <w:r w:rsidRPr="00106304">
        <w:rPr>
          <w:rFonts w:ascii="Times New Roman" w:hAnsi="Times New Roman" w:cs="Times New Roman"/>
          <w:sz w:val="24"/>
          <w:szCs w:val="24"/>
        </w:rPr>
        <w:t>. Engineering Economics, 48(3), 18-27.</w:t>
      </w:r>
    </w:p>
    <w:p w14:paraId="5C0E09DE"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Leitner, Y. (2014). Should regulators reveal information about banks. Federal Reserve Bank of Philadelphia Business Review, Third Quarter.</w:t>
      </w:r>
    </w:p>
    <w:p w14:paraId="219D832F"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proofErr w:type="spellStart"/>
      <w:r w:rsidRPr="00106304">
        <w:rPr>
          <w:rFonts w:ascii="Times New Roman" w:hAnsi="Times New Roman" w:cs="Times New Roman"/>
          <w:sz w:val="24"/>
          <w:szCs w:val="24"/>
        </w:rPr>
        <w:lastRenderedPageBreak/>
        <w:t>Leković</w:t>
      </w:r>
      <w:proofErr w:type="spellEnd"/>
      <w:r w:rsidRPr="00106304">
        <w:rPr>
          <w:rFonts w:ascii="Times New Roman" w:hAnsi="Times New Roman" w:cs="Times New Roman"/>
          <w:sz w:val="24"/>
          <w:szCs w:val="24"/>
        </w:rPr>
        <w:t>, M. (2018). EVIDENCE FOR AND AGAINST THE VALIDITY OF EFFICIENT MARKET HYPOTHESIS. Economic Themes, 56(3).</w:t>
      </w:r>
    </w:p>
    <w:p w14:paraId="32BE6D61"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proofErr w:type="spellStart"/>
      <w:r w:rsidRPr="00106304">
        <w:rPr>
          <w:rFonts w:ascii="Times New Roman" w:hAnsi="Times New Roman" w:cs="Times New Roman"/>
          <w:sz w:val="24"/>
          <w:szCs w:val="24"/>
        </w:rPr>
        <w:t>Lindé</w:t>
      </w:r>
      <w:proofErr w:type="spellEnd"/>
      <w:r w:rsidRPr="00106304">
        <w:rPr>
          <w:rFonts w:ascii="Times New Roman" w:hAnsi="Times New Roman" w:cs="Times New Roman"/>
          <w:sz w:val="24"/>
          <w:szCs w:val="24"/>
        </w:rPr>
        <w:t xml:space="preserve">, J., </w:t>
      </w:r>
      <w:proofErr w:type="spellStart"/>
      <w:r w:rsidRPr="00106304">
        <w:rPr>
          <w:rFonts w:ascii="Times New Roman" w:hAnsi="Times New Roman" w:cs="Times New Roman"/>
          <w:sz w:val="24"/>
          <w:szCs w:val="24"/>
        </w:rPr>
        <w:t>Smets</w:t>
      </w:r>
      <w:proofErr w:type="spellEnd"/>
      <w:r w:rsidRPr="00106304">
        <w:rPr>
          <w:rFonts w:ascii="Times New Roman" w:hAnsi="Times New Roman" w:cs="Times New Roman"/>
          <w:sz w:val="24"/>
          <w:szCs w:val="24"/>
        </w:rPr>
        <w:t xml:space="preserve">, F. and </w:t>
      </w:r>
      <w:proofErr w:type="spellStart"/>
      <w:r w:rsidRPr="00106304">
        <w:rPr>
          <w:rFonts w:ascii="Times New Roman" w:hAnsi="Times New Roman" w:cs="Times New Roman"/>
          <w:sz w:val="24"/>
          <w:szCs w:val="24"/>
        </w:rPr>
        <w:t>Wouters</w:t>
      </w:r>
      <w:proofErr w:type="spellEnd"/>
      <w:r w:rsidRPr="00106304">
        <w:rPr>
          <w:rFonts w:ascii="Times New Roman" w:hAnsi="Times New Roman" w:cs="Times New Roman"/>
          <w:sz w:val="24"/>
          <w:szCs w:val="24"/>
        </w:rPr>
        <w:t>, R., 2016. Challenges for central banks’ macro models. In </w:t>
      </w:r>
      <w:r w:rsidRPr="00106304">
        <w:rPr>
          <w:rFonts w:ascii="Times New Roman" w:hAnsi="Times New Roman" w:cs="Times New Roman"/>
          <w:i/>
          <w:iCs/>
          <w:sz w:val="24"/>
          <w:szCs w:val="24"/>
        </w:rPr>
        <w:t>Handbook of macroeconomics</w:t>
      </w:r>
      <w:r w:rsidRPr="00106304">
        <w:rPr>
          <w:rFonts w:ascii="Times New Roman" w:hAnsi="Times New Roman" w:cs="Times New Roman"/>
          <w:sz w:val="24"/>
          <w:szCs w:val="24"/>
        </w:rPr>
        <w:t> (Vol. 2, pp. 2185-2262). Elsevier.</w:t>
      </w:r>
    </w:p>
    <w:p w14:paraId="4E76EAC5"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Lloyds Banking Group plc (2014) </w:t>
      </w:r>
      <w:r w:rsidRPr="00106304">
        <w:rPr>
          <w:i/>
        </w:rPr>
        <w:t>Annual Report and Accounts 2014.</w:t>
      </w:r>
      <w:r w:rsidRPr="00106304">
        <w:t xml:space="preserve"> [Internet] Available from </w:t>
      </w:r>
      <w:hyperlink r:id="rId19" w:history="1">
        <w:r w:rsidRPr="00106304">
          <w:rPr>
            <w:rStyle w:val="Hyperlink"/>
            <w:rFonts w:eastAsiaTheme="majorEastAsia"/>
            <w:color w:val="auto"/>
          </w:rPr>
          <w:t>https://www.lloydsbankinggroup.com/globalassets/documents/investors/2014/2014_lbg_annual_report.pdf</w:t>
        </w:r>
      </w:hyperlink>
      <w:r w:rsidRPr="00106304">
        <w:t xml:space="preserve"> (accessed 1st July 2019). </w:t>
      </w:r>
    </w:p>
    <w:p w14:paraId="43195AD0"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Lloyds Banking Group plc (2015) </w:t>
      </w:r>
      <w:r w:rsidRPr="00106304">
        <w:rPr>
          <w:i/>
        </w:rPr>
        <w:t>Annual Report and Accounts 2015</w:t>
      </w:r>
      <w:r w:rsidRPr="00106304">
        <w:t xml:space="preserve">. [Internet] Available from </w:t>
      </w:r>
      <w:hyperlink r:id="rId20" w:history="1">
        <w:r w:rsidRPr="00106304">
          <w:rPr>
            <w:rStyle w:val="Hyperlink"/>
            <w:rFonts w:eastAsiaTheme="majorEastAsia"/>
            <w:color w:val="auto"/>
          </w:rPr>
          <w:t>https://www.lloydsbankinggroup.com/globalassets/documents/investors/2015/2015_lbg_annual_report_v3.pdf</w:t>
        </w:r>
      </w:hyperlink>
      <w:r w:rsidRPr="00106304">
        <w:t xml:space="preserve"> (accessed 1st July 2019).</w:t>
      </w:r>
    </w:p>
    <w:p w14:paraId="3EBDAFD6"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Lloyds Banking Group plc (2016) </w:t>
      </w:r>
      <w:r w:rsidRPr="00106304">
        <w:rPr>
          <w:i/>
        </w:rPr>
        <w:t>Annual Report and Accounts 2016</w:t>
      </w:r>
      <w:r w:rsidRPr="00106304">
        <w:t xml:space="preserve">. [Internet] Available from </w:t>
      </w:r>
      <w:hyperlink r:id="rId21" w:history="1">
        <w:r w:rsidRPr="00106304">
          <w:rPr>
            <w:rStyle w:val="Hyperlink"/>
            <w:rFonts w:eastAsiaTheme="majorEastAsia"/>
            <w:color w:val="auto"/>
          </w:rPr>
          <w:t>https://www.lloydsbankinggroup.com/globalassets/documents/investors/2016/2016_lbg_annual_report_v2.pdf</w:t>
        </w:r>
      </w:hyperlink>
      <w:r w:rsidRPr="00106304">
        <w:t xml:space="preserve"> (accessed 1st July 2019).</w:t>
      </w:r>
    </w:p>
    <w:p w14:paraId="0E0F6928"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Lloyds Banking Group plc (2017) </w:t>
      </w:r>
      <w:r w:rsidRPr="00106304">
        <w:rPr>
          <w:i/>
        </w:rPr>
        <w:t>Annual Report and Accounts 2017</w:t>
      </w:r>
      <w:r w:rsidRPr="00106304">
        <w:t xml:space="preserve">. [Internet] Available from </w:t>
      </w:r>
      <w:hyperlink r:id="rId22" w:history="1">
        <w:r w:rsidRPr="00106304">
          <w:rPr>
            <w:rStyle w:val="Hyperlink"/>
            <w:rFonts w:eastAsiaTheme="majorEastAsia"/>
            <w:color w:val="auto"/>
          </w:rPr>
          <w:t>https://www.lloydsbankinggroup.com/globalassets/documents/investors/2017/2017_lbg_annual_report_v3.pdf</w:t>
        </w:r>
      </w:hyperlink>
      <w:r w:rsidRPr="00106304">
        <w:t xml:space="preserve"> (accessed 1st July 2019).</w:t>
      </w:r>
    </w:p>
    <w:p w14:paraId="0041D0CB"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 xml:space="preserve">Lloyds Banking Group plc (2018) </w:t>
      </w:r>
      <w:r w:rsidRPr="00106304">
        <w:rPr>
          <w:i/>
        </w:rPr>
        <w:t>Annual Report and Accounts 2018</w:t>
      </w:r>
      <w:r w:rsidRPr="00106304">
        <w:t xml:space="preserve">. [Internet] Available from </w:t>
      </w:r>
      <w:hyperlink r:id="rId23" w:history="1">
        <w:r w:rsidRPr="00106304">
          <w:rPr>
            <w:rStyle w:val="Hyperlink"/>
            <w:rFonts w:eastAsiaTheme="majorEastAsia"/>
            <w:color w:val="auto"/>
          </w:rPr>
          <w:t>https://www.lloydsbankinggroup.com/globalassets/documents/investors/2018/2018_lbg_annual_report_v2.pdf</w:t>
        </w:r>
      </w:hyperlink>
      <w:r w:rsidRPr="00106304">
        <w:t xml:space="preserve"> (accessed 1st July 2019).</w:t>
      </w:r>
    </w:p>
    <w:p w14:paraId="77F3A421" w14:textId="77777777" w:rsidR="00106304" w:rsidRPr="00106304" w:rsidRDefault="00106304" w:rsidP="00106304">
      <w:pPr>
        <w:pStyle w:val="ListParagraph"/>
        <w:numPr>
          <w:ilvl w:val="0"/>
          <w:numId w:val="4"/>
        </w:numPr>
        <w:jc w:val="left"/>
        <w:rPr>
          <w:rFonts w:ascii="Times New Roman" w:hAnsi="Times New Roman" w:cs="Times New Roman"/>
          <w:i/>
          <w:sz w:val="24"/>
          <w:szCs w:val="24"/>
        </w:rPr>
      </w:pPr>
      <w:proofErr w:type="spellStart"/>
      <w:r w:rsidRPr="00106304">
        <w:rPr>
          <w:rFonts w:ascii="Times New Roman" w:hAnsi="Times New Roman" w:cs="Times New Roman"/>
          <w:sz w:val="24"/>
          <w:szCs w:val="24"/>
        </w:rPr>
        <w:t>Malkiel</w:t>
      </w:r>
      <w:proofErr w:type="spellEnd"/>
      <w:r w:rsidRPr="00106304">
        <w:rPr>
          <w:rFonts w:ascii="Times New Roman" w:hAnsi="Times New Roman" w:cs="Times New Roman"/>
          <w:sz w:val="24"/>
          <w:szCs w:val="24"/>
        </w:rPr>
        <w:t xml:space="preserve">, B. G. (2003). </w:t>
      </w:r>
      <w:r w:rsidRPr="00106304">
        <w:rPr>
          <w:rFonts w:ascii="Times New Roman" w:hAnsi="Times New Roman" w:cs="Times New Roman"/>
          <w:i/>
          <w:sz w:val="24"/>
          <w:szCs w:val="24"/>
        </w:rPr>
        <w:t>The efficient market hypothesis and its critics. Journal of economic perspectives</w:t>
      </w:r>
      <w:r w:rsidRPr="00106304">
        <w:rPr>
          <w:rFonts w:ascii="Times New Roman" w:hAnsi="Times New Roman" w:cs="Times New Roman"/>
          <w:sz w:val="24"/>
          <w:szCs w:val="24"/>
        </w:rPr>
        <w:t>, 17(1), 59-82.</w:t>
      </w:r>
    </w:p>
    <w:p w14:paraId="58EC8285"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MICHELLE SEIDEL, B.S., November 21, 2018-last update, How to Calculate the NPL Ratio. Available: </w:t>
      </w:r>
      <w:hyperlink r:id="rId24" w:tgtFrame="_blank" w:history="1">
        <w:r w:rsidRPr="00106304">
          <w:rPr>
            <w:rStyle w:val="Hyperlink"/>
            <w:color w:val="auto"/>
          </w:rPr>
          <w:t>https://bizfluent.com/how-8533153-calculate-npl-ratio.html</w:t>
        </w:r>
      </w:hyperlink>
      <w:r w:rsidRPr="00106304">
        <w:t xml:space="preserve"> (accessed 15</w:t>
      </w:r>
      <w:r w:rsidRPr="00106304">
        <w:rPr>
          <w:vertAlign w:val="superscript"/>
        </w:rPr>
        <w:t>th</w:t>
      </w:r>
      <w:r w:rsidRPr="00106304">
        <w:t xml:space="preserve"> July 2019).</w:t>
      </w:r>
    </w:p>
    <w:p w14:paraId="04580C33"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 xml:space="preserve">Rehman, M. U., and </w:t>
      </w:r>
      <w:proofErr w:type="spellStart"/>
      <w:r w:rsidRPr="00106304">
        <w:rPr>
          <w:rFonts w:ascii="Times New Roman" w:hAnsi="Times New Roman" w:cs="Times New Roman"/>
          <w:sz w:val="24"/>
          <w:szCs w:val="24"/>
        </w:rPr>
        <w:t>Khidmat</w:t>
      </w:r>
      <w:proofErr w:type="spellEnd"/>
      <w:r w:rsidRPr="00106304">
        <w:rPr>
          <w:rFonts w:ascii="Times New Roman" w:hAnsi="Times New Roman" w:cs="Times New Roman"/>
          <w:sz w:val="24"/>
          <w:szCs w:val="24"/>
        </w:rPr>
        <w:t xml:space="preserve">, W. B. (2013). </w:t>
      </w:r>
      <w:r w:rsidRPr="00106304">
        <w:rPr>
          <w:rFonts w:ascii="Times New Roman" w:hAnsi="Times New Roman" w:cs="Times New Roman"/>
          <w:i/>
          <w:sz w:val="24"/>
          <w:szCs w:val="24"/>
        </w:rPr>
        <w:t>TECHNICAL ANALYSIS OF EFFICIENT MARKET HYPOTHESIS IN A FRONTIER MARKET</w:t>
      </w:r>
      <w:r w:rsidRPr="00106304">
        <w:rPr>
          <w:rFonts w:ascii="Times New Roman" w:hAnsi="Times New Roman" w:cs="Times New Roman"/>
          <w:sz w:val="24"/>
          <w:szCs w:val="24"/>
        </w:rPr>
        <w:t>. Studies in Business and Economics, 8(2).</w:t>
      </w:r>
    </w:p>
    <w:p w14:paraId="40D8B8E0"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lastRenderedPageBreak/>
        <w:t>TROY SEGAL, Aug 11, 2019-last update, Nonperforming Loan (NPL). Available: </w:t>
      </w:r>
      <w:hyperlink r:id="rId25" w:tgtFrame="_blank" w:history="1">
        <w:r w:rsidRPr="00106304">
          <w:rPr>
            <w:rStyle w:val="Hyperlink"/>
            <w:color w:val="auto"/>
          </w:rPr>
          <w:t>https://www.investopedia.com/terms/n/nonperformingloan.asp</w:t>
        </w:r>
      </w:hyperlink>
      <w:r w:rsidRPr="00106304">
        <w:t xml:space="preserve"> (accessed 15</w:t>
      </w:r>
      <w:r w:rsidRPr="00106304">
        <w:rPr>
          <w:vertAlign w:val="superscript"/>
        </w:rPr>
        <w:t>th</w:t>
      </w:r>
      <w:r w:rsidRPr="00106304">
        <w:t xml:space="preserve"> July 2019).</w:t>
      </w:r>
    </w:p>
    <w:p w14:paraId="553933A1" w14:textId="77777777" w:rsidR="00106304" w:rsidRPr="00106304" w:rsidRDefault="00106304" w:rsidP="00106304">
      <w:pPr>
        <w:pStyle w:val="ListParagraph"/>
        <w:numPr>
          <w:ilvl w:val="0"/>
          <w:numId w:val="4"/>
        </w:numPr>
        <w:jc w:val="left"/>
        <w:rPr>
          <w:rFonts w:ascii="Times New Roman" w:hAnsi="Times New Roman" w:cs="Times New Roman"/>
          <w:sz w:val="24"/>
          <w:szCs w:val="24"/>
        </w:rPr>
      </w:pPr>
      <w:r w:rsidRPr="00106304">
        <w:rPr>
          <w:rFonts w:ascii="Times New Roman" w:hAnsi="Times New Roman" w:cs="Times New Roman"/>
          <w:sz w:val="24"/>
          <w:szCs w:val="24"/>
        </w:rPr>
        <w:t>Watson, R., &amp; Holland, J. (2010). Banks, knowledge and crisis: a case of knowledge and learning failure. Journal of Financial Regulation and Compliance.</w:t>
      </w:r>
    </w:p>
    <w:p w14:paraId="0E7E818E" w14:textId="77777777" w:rsidR="00106304" w:rsidRPr="00106304" w:rsidRDefault="00106304" w:rsidP="00106304">
      <w:pPr>
        <w:pStyle w:val="NormalWeb"/>
        <w:numPr>
          <w:ilvl w:val="0"/>
          <w:numId w:val="4"/>
        </w:numPr>
        <w:shd w:val="clear" w:color="auto" w:fill="FFFFFF"/>
        <w:spacing w:before="0" w:beforeAutospacing="0" w:after="173" w:afterAutospacing="0" w:line="360" w:lineRule="auto"/>
      </w:pPr>
      <w:r w:rsidRPr="00106304">
        <w:t>WILL KENTON AND CHRIS B MURPHY, May 19, 2019-last update, Liquidity Coverage Ratio – LCR. Available: </w:t>
      </w:r>
      <w:hyperlink r:id="rId26" w:tgtFrame="_blank" w:history="1">
        <w:r w:rsidRPr="00106304">
          <w:rPr>
            <w:rStyle w:val="Hyperlink"/>
            <w:color w:val="auto"/>
          </w:rPr>
          <w:t>https://www.investopedia.com/terms/l/liquidity-coverage-ratio.asp</w:t>
        </w:r>
      </w:hyperlink>
      <w:r w:rsidRPr="00106304">
        <w:t xml:space="preserve"> (accessed 15</w:t>
      </w:r>
      <w:r w:rsidRPr="00106304">
        <w:rPr>
          <w:vertAlign w:val="superscript"/>
        </w:rPr>
        <w:t>th</w:t>
      </w:r>
      <w:r w:rsidRPr="00106304">
        <w:t xml:space="preserve"> July 2019). </w:t>
      </w:r>
    </w:p>
    <w:p w14:paraId="45625111" w14:textId="77777777" w:rsidR="00E40CDA" w:rsidRPr="00623A3B" w:rsidRDefault="00E40CDA" w:rsidP="00E40CDA">
      <w:pPr>
        <w:pStyle w:val="NormalWeb"/>
        <w:shd w:val="clear" w:color="auto" w:fill="FFFFFF"/>
        <w:spacing w:before="0" w:beforeAutospacing="0" w:after="173" w:afterAutospacing="0" w:line="360" w:lineRule="auto"/>
        <w:ind w:left="720"/>
        <w:jc w:val="both"/>
      </w:pPr>
    </w:p>
    <w:p w14:paraId="4807F5FE" w14:textId="77777777" w:rsidR="00546D42" w:rsidRPr="00546D42" w:rsidRDefault="00546D42" w:rsidP="0040019C">
      <w:pPr>
        <w:pStyle w:val="NormalWeb"/>
        <w:shd w:val="clear" w:color="auto" w:fill="FFFFFF"/>
        <w:spacing w:before="0" w:beforeAutospacing="0" w:after="173" w:afterAutospacing="0"/>
        <w:rPr>
          <w:color w:val="53565A"/>
        </w:rPr>
      </w:pPr>
    </w:p>
    <w:p w14:paraId="362A6139" w14:textId="74C0032D" w:rsidR="000F25C2" w:rsidRPr="00546D42" w:rsidRDefault="000F25C2" w:rsidP="000F25C2">
      <w:pPr>
        <w:rPr>
          <w:rFonts w:ascii="Times New Roman" w:hAnsi="Times New Roman" w:cs="Times New Roman"/>
          <w:sz w:val="24"/>
          <w:szCs w:val="24"/>
        </w:rPr>
      </w:pPr>
    </w:p>
    <w:sectPr w:rsidR="000F25C2" w:rsidRPr="00546D42" w:rsidSect="00BD48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008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56D77B5"/>
    <w:multiLevelType w:val="hybridMultilevel"/>
    <w:tmpl w:val="C874870A"/>
    <w:lvl w:ilvl="0" w:tplc="E3D2A926">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660F7"/>
    <w:multiLevelType w:val="hybridMultilevel"/>
    <w:tmpl w:val="B86A503E"/>
    <w:lvl w:ilvl="0" w:tplc="F626AC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6B22C5"/>
    <w:multiLevelType w:val="hybridMultilevel"/>
    <w:tmpl w:val="22DCB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B2"/>
    <w:rsid w:val="00004A83"/>
    <w:rsid w:val="00004C9F"/>
    <w:rsid w:val="00004E5B"/>
    <w:rsid w:val="000050A2"/>
    <w:rsid w:val="000052E2"/>
    <w:rsid w:val="000073F7"/>
    <w:rsid w:val="0001077F"/>
    <w:rsid w:val="00010A26"/>
    <w:rsid w:val="00010E7F"/>
    <w:rsid w:val="00011741"/>
    <w:rsid w:val="00013107"/>
    <w:rsid w:val="00013FA1"/>
    <w:rsid w:val="0001562C"/>
    <w:rsid w:val="00016894"/>
    <w:rsid w:val="00017119"/>
    <w:rsid w:val="000205E3"/>
    <w:rsid w:val="00021BA7"/>
    <w:rsid w:val="00022681"/>
    <w:rsid w:val="00024E80"/>
    <w:rsid w:val="00025551"/>
    <w:rsid w:val="00027268"/>
    <w:rsid w:val="00033A56"/>
    <w:rsid w:val="00033A58"/>
    <w:rsid w:val="00034114"/>
    <w:rsid w:val="0003562F"/>
    <w:rsid w:val="000363E4"/>
    <w:rsid w:val="00041D28"/>
    <w:rsid w:val="0004259F"/>
    <w:rsid w:val="000452CE"/>
    <w:rsid w:val="0004629C"/>
    <w:rsid w:val="000473E5"/>
    <w:rsid w:val="00047A8F"/>
    <w:rsid w:val="00047E75"/>
    <w:rsid w:val="000502AA"/>
    <w:rsid w:val="00050799"/>
    <w:rsid w:val="00052109"/>
    <w:rsid w:val="00053574"/>
    <w:rsid w:val="00054F74"/>
    <w:rsid w:val="00062C50"/>
    <w:rsid w:val="000650B1"/>
    <w:rsid w:val="00065B6C"/>
    <w:rsid w:val="0006695F"/>
    <w:rsid w:val="00072189"/>
    <w:rsid w:val="00072864"/>
    <w:rsid w:val="000772C1"/>
    <w:rsid w:val="00077C6C"/>
    <w:rsid w:val="00077CE4"/>
    <w:rsid w:val="00080992"/>
    <w:rsid w:val="00083BBD"/>
    <w:rsid w:val="0008422F"/>
    <w:rsid w:val="00085305"/>
    <w:rsid w:val="00085C8F"/>
    <w:rsid w:val="00092FDB"/>
    <w:rsid w:val="00093E42"/>
    <w:rsid w:val="00094784"/>
    <w:rsid w:val="00096ADB"/>
    <w:rsid w:val="00097C6E"/>
    <w:rsid w:val="000A0D9A"/>
    <w:rsid w:val="000A11ED"/>
    <w:rsid w:val="000A46B9"/>
    <w:rsid w:val="000A641E"/>
    <w:rsid w:val="000B0A4D"/>
    <w:rsid w:val="000B0ECC"/>
    <w:rsid w:val="000B180C"/>
    <w:rsid w:val="000B1C2A"/>
    <w:rsid w:val="000B4C90"/>
    <w:rsid w:val="000B50BB"/>
    <w:rsid w:val="000B593E"/>
    <w:rsid w:val="000B6B82"/>
    <w:rsid w:val="000B7E55"/>
    <w:rsid w:val="000C28C9"/>
    <w:rsid w:val="000C6CB1"/>
    <w:rsid w:val="000D2930"/>
    <w:rsid w:val="000D2C59"/>
    <w:rsid w:val="000D4A20"/>
    <w:rsid w:val="000D4B7D"/>
    <w:rsid w:val="000D6147"/>
    <w:rsid w:val="000E0427"/>
    <w:rsid w:val="000E059B"/>
    <w:rsid w:val="000E16CC"/>
    <w:rsid w:val="000E2B9F"/>
    <w:rsid w:val="000E3705"/>
    <w:rsid w:val="000E3E65"/>
    <w:rsid w:val="000E43F0"/>
    <w:rsid w:val="000E5414"/>
    <w:rsid w:val="000F0222"/>
    <w:rsid w:val="000F13A8"/>
    <w:rsid w:val="000F169C"/>
    <w:rsid w:val="000F25C2"/>
    <w:rsid w:val="000F5614"/>
    <w:rsid w:val="0010181C"/>
    <w:rsid w:val="00102A34"/>
    <w:rsid w:val="0010326E"/>
    <w:rsid w:val="00103CDD"/>
    <w:rsid w:val="00106020"/>
    <w:rsid w:val="00106304"/>
    <w:rsid w:val="00107952"/>
    <w:rsid w:val="00107BCE"/>
    <w:rsid w:val="00107D99"/>
    <w:rsid w:val="001137CA"/>
    <w:rsid w:val="00114E47"/>
    <w:rsid w:val="00117228"/>
    <w:rsid w:val="00117AF5"/>
    <w:rsid w:val="0012141D"/>
    <w:rsid w:val="0012235E"/>
    <w:rsid w:val="00122832"/>
    <w:rsid w:val="00122A49"/>
    <w:rsid w:val="0012358D"/>
    <w:rsid w:val="00123E8E"/>
    <w:rsid w:val="00126AA8"/>
    <w:rsid w:val="00133181"/>
    <w:rsid w:val="00136F03"/>
    <w:rsid w:val="00142409"/>
    <w:rsid w:val="00145D95"/>
    <w:rsid w:val="00145FD3"/>
    <w:rsid w:val="0015074D"/>
    <w:rsid w:val="00151B42"/>
    <w:rsid w:val="00152027"/>
    <w:rsid w:val="00152669"/>
    <w:rsid w:val="0015489C"/>
    <w:rsid w:val="001549F0"/>
    <w:rsid w:val="001556F9"/>
    <w:rsid w:val="001569D8"/>
    <w:rsid w:val="00157B2C"/>
    <w:rsid w:val="00160322"/>
    <w:rsid w:val="001603F2"/>
    <w:rsid w:val="00160A1E"/>
    <w:rsid w:val="00162F65"/>
    <w:rsid w:val="00166D67"/>
    <w:rsid w:val="00167EA3"/>
    <w:rsid w:val="00170ED2"/>
    <w:rsid w:val="00171023"/>
    <w:rsid w:val="00171ED4"/>
    <w:rsid w:val="00172799"/>
    <w:rsid w:val="0017302F"/>
    <w:rsid w:val="00180A82"/>
    <w:rsid w:val="00180CF8"/>
    <w:rsid w:val="0018143A"/>
    <w:rsid w:val="001824BB"/>
    <w:rsid w:val="00185794"/>
    <w:rsid w:val="0019095A"/>
    <w:rsid w:val="0019215D"/>
    <w:rsid w:val="00192A8E"/>
    <w:rsid w:val="0019306E"/>
    <w:rsid w:val="0019369F"/>
    <w:rsid w:val="00194329"/>
    <w:rsid w:val="0019556F"/>
    <w:rsid w:val="00195FEA"/>
    <w:rsid w:val="00197346"/>
    <w:rsid w:val="001A163F"/>
    <w:rsid w:val="001A2082"/>
    <w:rsid w:val="001A33F9"/>
    <w:rsid w:val="001A46B8"/>
    <w:rsid w:val="001A6B52"/>
    <w:rsid w:val="001A7A73"/>
    <w:rsid w:val="001B1993"/>
    <w:rsid w:val="001B1FF6"/>
    <w:rsid w:val="001B3A1A"/>
    <w:rsid w:val="001B45FD"/>
    <w:rsid w:val="001B54CB"/>
    <w:rsid w:val="001B6533"/>
    <w:rsid w:val="001B7486"/>
    <w:rsid w:val="001B7DC9"/>
    <w:rsid w:val="001B7E95"/>
    <w:rsid w:val="001B7E96"/>
    <w:rsid w:val="001C2425"/>
    <w:rsid w:val="001C2CE3"/>
    <w:rsid w:val="001C38C5"/>
    <w:rsid w:val="001C5A69"/>
    <w:rsid w:val="001C7635"/>
    <w:rsid w:val="001D1E33"/>
    <w:rsid w:val="001D2753"/>
    <w:rsid w:val="001D3776"/>
    <w:rsid w:val="001D4F11"/>
    <w:rsid w:val="001E1C72"/>
    <w:rsid w:val="001E2EA0"/>
    <w:rsid w:val="001E77B9"/>
    <w:rsid w:val="001E78D4"/>
    <w:rsid w:val="001F2B6F"/>
    <w:rsid w:val="001F59B6"/>
    <w:rsid w:val="001F6137"/>
    <w:rsid w:val="001F649A"/>
    <w:rsid w:val="001F781B"/>
    <w:rsid w:val="001F7F8B"/>
    <w:rsid w:val="002005D3"/>
    <w:rsid w:val="00201EE5"/>
    <w:rsid w:val="002020FF"/>
    <w:rsid w:val="002024B3"/>
    <w:rsid w:val="00202855"/>
    <w:rsid w:val="0020312F"/>
    <w:rsid w:val="00206CF5"/>
    <w:rsid w:val="00207E43"/>
    <w:rsid w:val="002109B4"/>
    <w:rsid w:val="00210A55"/>
    <w:rsid w:val="00211946"/>
    <w:rsid w:val="002119A1"/>
    <w:rsid w:val="0021448E"/>
    <w:rsid w:val="00220116"/>
    <w:rsid w:val="00220B73"/>
    <w:rsid w:val="0022133B"/>
    <w:rsid w:val="00221988"/>
    <w:rsid w:val="00222AEC"/>
    <w:rsid w:val="002235B6"/>
    <w:rsid w:val="0022692C"/>
    <w:rsid w:val="002304CB"/>
    <w:rsid w:val="00231A38"/>
    <w:rsid w:val="00233C55"/>
    <w:rsid w:val="00235398"/>
    <w:rsid w:val="00236016"/>
    <w:rsid w:val="002364B4"/>
    <w:rsid w:val="00240081"/>
    <w:rsid w:val="002404A7"/>
    <w:rsid w:val="002421B5"/>
    <w:rsid w:val="0024228D"/>
    <w:rsid w:val="002434BE"/>
    <w:rsid w:val="00247859"/>
    <w:rsid w:val="00247916"/>
    <w:rsid w:val="002505B8"/>
    <w:rsid w:val="00253889"/>
    <w:rsid w:val="00255208"/>
    <w:rsid w:val="0025615A"/>
    <w:rsid w:val="00257567"/>
    <w:rsid w:val="00262047"/>
    <w:rsid w:val="00263765"/>
    <w:rsid w:val="00270220"/>
    <w:rsid w:val="00270440"/>
    <w:rsid w:val="00272449"/>
    <w:rsid w:val="00273706"/>
    <w:rsid w:val="002769E9"/>
    <w:rsid w:val="00276CDE"/>
    <w:rsid w:val="00276FE1"/>
    <w:rsid w:val="002841BA"/>
    <w:rsid w:val="00284998"/>
    <w:rsid w:val="00286416"/>
    <w:rsid w:val="00286BB2"/>
    <w:rsid w:val="00287305"/>
    <w:rsid w:val="00287CDE"/>
    <w:rsid w:val="00290AA3"/>
    <w:rsid w:val="0029268E"/>
    <w:rsid w:val="002968BC"/>
    <w:rsid w:val="002A14D5"/>
    <w:rsid w:val="002A280D"/>
    <w:rsid w:val="002A2828"/>
    <w:rsid w:val="002A342E"/>
    <w:rsid w:val="002A4B56"/>
    <w:rsid w:val="002A54F6"/>
    <w:rsid w:val="002A688C"/>
    <w:rsid w:val="002A7C8D"/>
    <w:rsid w:val="002B05E9"/>
    <w:rsid w:val="002B0B23"/>
    <w:rsid w:val="002B1168"/>
    <w:rsid w:val="002B330F"/>
    <w:rsid w:val="002B35DD"/>
    <w:rsid w:val="002B3735"/>
    <w:rsid w:val="002B50BB"/>
    <w:rsid w:val="002B762B"/>
    <w:rsid w:val="002C1480"/>
    <w:rsid w:val="002C149C"/>
    <w:rsid w:val="002C1906"/>
    <w:rsid w:val="002C20C8"/>
    <w:rsid w:val="002C36F6"/>
    <w:rsid w:val="002C67EE"/>
    <w:rsid w:val="002D0DAC"/>
    <w:rsid w:val="002D0F2F"/>
    <w:rsid w:val="002D27EB"/>
    <w:rsid w:val="002D64FF"/>
    <w:rsid w:val="002E030A"/>
    <w:rsid w:val="002E131B"/>
    <w:rsid w:val="002E2214"/>
    <w:rsid w:val="002E22D0"/>
    <w:rsid w:val="002E2F42"/>
    <w:rsid w:val="002E4014"/>
    <w:rsid w:val="002E4F0B"/>
    <w:rsid w:val="002E4F66"/>
    <w:rsid w:val="002E6782"/>
    <w:rsid w:val="002E79A1"/>
    <w:rsid w:val="002F1CA9"/>
    <w:rsid w:val="002F29E0"/>
    <w:rsid w:val="002F3481"/>
    <w:rsid w:val="002F35E6"/>
    <w:rsid w:val="002F5025"/>
    <w:rsid w:val="002F5200"/>
    <w:rsid w:val="002F5406"/>
    <w:rsid w:val="002F61DC"/>
    <w:rsid w:val="002F6B0B"/>
    <w:rsid w:val="00300929"/>
    <w:rsid w:val="00301426"/>
    <w:rsid w:val="003022B2"/>
    <w:rsid w:val="00302976"/>
    <w:rsid w:val="003039B0"/>
    <w:rsid w:val="003053CC"/>
    <w:rsid w:val="00305C92"/>
    <w:rsid w:val="00306417"/>
    <w:rsid w:val="00307FEF"/>
    <w:rsid w:val="003116CE"/>
    <w:rsid w:val="003120C7"/>
    <w:rsid w:val="00314157"/>
    <w:rsid w:val="00316BCD"/>
    <w:rsid w:val="00321F8D"/>
    <w:rsid w:val="00322697"/>
    <w:rsid w:val="0032534B"/>
    <w:rsid w:val="00326C28"/>
    <w:rsid w:val="0032733A"/>
    <w:rsid w:val="00327965"/>
    <w:rsid w:val="00327994"/>
    <w:rsid w:val="0033026D"/>
    <w:rsid w:val="003303E5"/>
    <w:rsid w:val="00333AA0"/>
    <w:rsid w:val="00335024"/>
    <w:rsid w:val="00335C29"/>
    <w:rsid w:val="00336C71"/>
    <w:rsid w:val="003379CB"/>
    <w:rsid w:val="00340CB5"/>
    <w:rsid w:val="00340DCD"/>
    <w:rsid w:val="00341335"/>
    <w:rsid w:val="003418DD"/>
    <w:rsid w:val="00342A1D"/>
    <w:rsid w:val="0034382A"/>
    <w:rsid w:val="00343EF4"/>
    <w:rsid w:val="0034543A"/>
    <w:rsid w:val="00345D33"/>
    <w:rsid w:val="00346208"/>
    <w:rsid w:val="0034738F"/>
    <w:rsid w:val="00347756"/>
    <w:rsid w:val="00347A04"/>
    <w:rsid w:val="00347C0A"/>
    <w:rsid w:val="00353859"/>
    <w:rsid w:val="0035636C"/>
    <w:rsid w:val="00361FD7"/>
    <w:rsid w:val="003621FF"/>
    <w:rsid w:val="003629AA"/>
    <w:rsid w:val="00362A0C"/>
    <w:rsid w:val="0036416E"/>
    <w:rsid w:val="00364FEB"/>
    <w:rsid w:val="00365667"/>
    <w:rsid w:val="00371F2D"/>
    <w:rsid w:val="00372937"/>
    <w:rsid w:val="00372BDD"/>
    <w:rsid w:val="00373D1F"/>
    <w:rsid w:val="00373EA6"/>
    <w:rsid w:val="003744B3"/>
    <w:rsid w:val="0037506E"/>
    <w:rsid w:val="0037524B"/>
    <w:rsid w:val="003764A7"/>
    <w:rsid w:val="00376ABC"/>
    <w:rsid w:val="00377198"/>
    <w:rsid w:val="00380BF6"/>
    <w:rsid w:val="00382ABC"/>
    <w:rsid w:val="003836F7"/>
    <w:rsid w:val="00383C88"/>
    <w:rsid w:val="003848C6"/>
    <w:rsid w:val="00385415"/>
    <w:rsid w:val="003859B9"/>
    <w:rsid w:val="00390B3A"/>
    <w:rsid w:val="00390C4B"/>
    <w:rsid w:val="00391A05"/>
    <w:rsid w:val="00391C13"/>
    <w:rsid w:val="00392D23"/>
    <w:rsid w:val="003946A9"/>
    <w:rsid w:val="00395B3F"/>
    <w:rsid w:val="00395D13"/>
    <w:rsid w:val="003975F4"/>
    <w:rsid w:val="003A2AEF"/>
    <w:rsid w:val="003A2D00"/>
    <w:rsid w:val="003A333A"/>
    <w:rsid w:val="003A4868"/>
    <w:rsid w:val="003A5D0D"/>
    <w:rsid w:val="003A5EB6"/>
    <w:rsid w:val="003A6B00"/>
    <w:rsid w:val="003A77E0"/>
    <w:rsid w:val="003A7AEF"/>
    <w:rsid w:val="003B0C3E"/>
    <w:rsid w:val="003B1C43"/>
    <w:rsid w:val="003B1D8D"/>
    <w:rsid w:val="003B1F1A"/>
    <w:rsid w:val="003B2C99"/>
    <w:rsid w:val="003B4B50"/>
    <w:rsid w:val="003B5280"/>
    <w:rsid w:val="003B6763"/>
    <w:rsid w:val="003C0860"/>
    <w:rsid w:val="003C251A"/>
    <w:rsid w:val="003C25EB"/>
    <w:rsid w:val="003C351D"/>
    <w:rsid w:val="003C3B97"/>
    <w:rsid w:val="003C446A"/>
    <w:rsid w:val="003C4951"/>
    <w:rsid w:val="003C4BC8"/>
    <w:rsid w:val="003C54E5"/>
    <w:rsid w:val="003C7946"/>
    <w:rsid w:val="003D0187"/>
    <w:rsid w:val="003D0BDC"/>
    <w:rsid w:val="003D1373"/>
    <w:rsid w:val="003D5E17"/>
    <w:rsid w:val="003D6C15"/>
    <w:rsid w:val="003D71FF"/>
    <w:rsid w:val="003E2140"/>
    <w:rsid w:val="003E2D03"/>
    <w:rsid w:val="003E39B5"/>
    <w:rsid w:val="003E3C8F"/>
    <w:rsid w:val="003E3DBD"/>
    <w:rsid w:val="003E42E0"/>
    <w:rsid w:val="003E4D90"/>
    <w:rsid w:val="003E4FFC"/>
    <w:rsid w:val="003E5CB1"/>
    <w:rsid w:val="003F0A28"/>
    <w:rsid w:val="003F1807"/>
    <w:rsid w:val="003F2B52"/>
    <w:rsid w:val="003F364F"/>
    <w:rsid w:val="003F5A2A"/>
    <w:rsid w:val="003F61C9"/>
    <w:rsid w:val="003F6310"/>
    <w:rsid w:val="003F6C65"/>
    <w:rsid w:val="0040019C"/>
    <w:rsid w:val="0040043B"/>
    <w:rsid w:val="00400749"/>
    <w:rsid w:val="00401175"/>
    <w:rsid w:val="00401549"/>
    <w:rsid w:val="00401704"/>
    <w:rsid w:val="00402737"/>
    <w:rsid w:val="0040574F"/>
    <w:rsid w:val="00407209"/>
    <w:rsid w:val="00416D33"/>
    <w:rsid w:val="00417E06"/>
    <w:rsid w:val="0042102C"/>
    <w:rsid w:val="0042104E"/>
    <w:rsid w:val="00423049"/>
    <w:rsid w:val="00423EF9"/>
    <w:rsid w:val="004241F1"/>
    <w:rsid w:val="00425383"/>
    <w:rsid w:val="0042566B"/>
    <w:rsid w:val="00425CBB"/>
    <w:rsid w:val="00430C87"/>
    <w:rsid w:val="00432143"/>
    <w:rsid w:val="00434FCF"/>
    <w:rsid w:val="00436BD2"/>
    <w:rsid w:val="00437F0C"/>
    <w:rsid w:val="00440331"/>
    <w:rsid w:val="00442B19"/>
    <w:rsid w:val="00443156"/>
    <w:rsid w:val="00443B14"/>
    <w:rsid w:val="00443E40"/>
    <w:rsid w:val="00444C99"/>
    <w:rsid w:val="00444F57"/>
    <w:rsid w:val="00445E3A"/>
    <w:rsid w:val="00447183"/>
    <w:rsid w:val="00453A82"/>
    <w:rsid w:val="00454D03"/>
    <w:rsid w:val="00460267"/>
    <w:rsid w:val="0046093E"/>
    <w:rsid w:val="004631E8"/>
    <w:rsid w:val="0046563F"/>
    <w:rsid w:val="00465864"/>
    <w:rsid w:val="00465E7C"/>
    <w:rsid w:val="00465F30"/>
    <w:rsid w:val="00471EDB"/>
    <w:rsid w:val="00473879"/>
    <w:rsid w:val="004760E6"/>
    <w:rsid w:val="00476BCC"/>
    <w:rsid w:val="0047759A"/>
    <w:rsid w:val="00480F62"/>
    <w:rsid w:val="00481197"/>
    <w:rsid w:val="00483701"/>
    <w:rsid w:val="00483A95"/>
    <w:rsid w:val="00483B69"/>
    <w:rsid w:val="004857B3"/>
    <w:rsid w:val="00485B3C"/>
    <w:rsid w:val="004904CE"/>
    <w:rsid w:val="00490B2B"/>
    <w:rsid w:val="00491961"/>
    <w:rsid w:val="00492F1A"/>
    <w:rsid w:val="00492F22"/>
    <w:rsid w:val="004932F3"/>
    <w:rsid w:val="0049340E"/>
    <w:rsid w:val="00494BE7"/>
    <w:rsid w:val="004960E3"/>
    <w:rsid w:val="004A2900"/>
    <w:rsid w:val="004A3C7C"/>
    <w:rsid w:val="004A4162"/>
    <w:rsid w:val="004A47AA"/>
    <w:rsid w:val="004A491B"/>
    <w:rsid w:val="004A5CC3"/>
    <w:rsid w:val="004A748E"/>
    <w:rsid w:val="004B1164"/>
    <w:rsid w:val="004B1F70"/>
    <w:rsid w:val="004B2D3E"/>
    <w:rsid w:val="004B6201"/>
    <w:rsid w:val="004B6A0D"/>
    <w:rsid w:val="004C1048"/>
    <w:rsid w:val="004C5F79"/>
    <w:rsid w:val="004C68E6"/>
    <w:rsid w:val="004C6D72"/>
    <w:rsid w:val="004D15FC"/>
    <w:rsid w:val="004D2010"/>
    <w:rsid w:val="004D4604"/>
    <w:rsid w:val="004D53C3"/>
    <w:rsid w:val="004E220E"/>
    <w:rsid w:val="004F1264"/>
    <w:rsid w:val="004F3625"/>
    <w:rsid w:val="004F3E6D"/>
    <w:rsid w:val="004F467F"/>
    <w:rsid w:val="004F5041"/>
    <w:rsid w:val="004F5265"/>
    <w:rsid w:val="004F5341"/>
    <w:rsid w:val="004F746B"/>
    <w:rsid w:val="005016C1"/>
    <w:rsid w:val="00501B58"/>
    <w:rsid w:val="0050374D"/>
    <w:rsid w:val="0050375F"/>
    <w:rsid w:val="0050588E"/>
    <w:rsid w:val="005076E5"/>
    <w:rsid w:val="0051096D"/>
    <w:rsid w:val="00512917"/>
    <w:rsid w:val="005172BD"/>
    <w:rsid w:val="00517E54"/>
    <w:rsid w:val="00524062"/>
    <w:rsid w:val="0052560E"/>
    <w:rsid w:val="00533292"/>
    <w:rsid w:val="005336E8"/>
    <w:rsid w:val="00533B70"/>
    <w:rsid w:val="00540785"/>
    <w:rsid w:val="00541030"/>
    <w:rsid w:val="005430A6"/>
    <w:rsid w:val="00543354"/>
    <w:rsid w:val="005442D8"/>
    <w:rsid w:val="0054512D"/>
    <w:rsid w:val="00546D42"/>
    <w:rsid w:val="00551817"/>
    <w:rsid w:val="00552589"/>
    <w:rsid w:val="00553312"/>
    <w:rsid w:val="0055495D"/>
    <w:rsid w:val="00554E2D"/>
    <w:rsid w:val="005550BA"/>
    <w:rsid w:val="00560726"/>
    <w:rsid w:val="00562C12"/>
    <w:rsid w:val="00564678"/>
    <w:rsid w:val="00565C1A"/>
    <w:rsid w:val="005705AD"/>
    <w:rsid w:val="0057441F"/>
    <w:rsid w:val="00574DFA"/>
    <w:rsid w:val="00575C79"/>
    <w:rsid w:val="005767BA"/>
    <w:rsid w:val="00580D2A"/>
    <w:rsid w:val="00583813"/>
    <w:rsid w:val="005867CE"/>
    <w:rsid w:val="00586951"/>
    <w:rsid w:val="00587735"/>
    <w:rsid w:val="00590543"/>
    <w:rsid w:val="00591EB3"/>
    <w:rsid w:val="005928D1"/>
    <w:rsid w:val="00592C72"/>
    <w:rsid w:val="00593824"/>
    <w:rsid w:val="00594969"/>
    <w:rsid w:val="00595B15"/>
    <w:rsid w:val="00596B5A"/>
    <w:rsid w:val="0059772A"/>
    <w:rsid w:val="00597B21"/>
    <w:rsid w:val="005A22D6"/>
    <w:rsid w:val="005A4654"/>
    <w:rsid w:val="005A62AA"/>
    <w:rsid w:val="005A689E"/>
    <w:rsid w:val="005B2AA7"/>
    <w:rsid w:val="005B2DA9"/>
    <w:rsid w:val="005B2EF1"/>
    <w:rsid w:val="005B58D8"/>
    <w:rsid w:val="005B6460"/>
    <w:rsid w:val="005B7525"/>
    <w:rsid w:val="005C1056"/>
    <w:rsid w:val="005C2F38"/>
    <w:rsid w:val="005C3D73"/>
    <w:rsid w:val="005C40F1"/>
    <w:rsid w:val="005C5D85"/>
    <w:rsid w:val="005D040C"/>
    <w:rsid w:val="005D108A"/>
    <w:rsid w:val="005D238F"/>
    <w:rsid w:val="005D3C8E"/>
    <w:rsid w:val="005D5087"/>
    <w:rsid w:val="005D6E22"/>
    <w:rsid w:val="005E0920"/>
    <w:rsid w:val="005E349F"/>
    <w:rsid w:val="005E379A"/>
    <w:rsid w:val="005E523B"/>
    <w:rsid w:val="005E52D2"/>
    <w:rsid w:val="005E5FB3"/>
    <w:rsid w:val="005E687B"/>
    <w:rsid w:val="005E6A38"/>
    <w:rsid w:val="005F01E0"/>
    <w:rsid w:val="005F35A5"/>
    <w:rsid w:val="005F4AA9"/>
    <w:rsid w:val="005F4DBD"/>
    <w:rsid w:val="00600CD9"/>
    <w:rsid w:val="0060543C"/>
    <w:rsid w:val="00606F86"/>
    <w:rsid w:val="006114F7"/>
    <w:rsid w:val="00614F59"/>
    <w:rsid w:val="006171C7"/>
    <w:rsid w:val="00620F62"/>
    <w:rsid w:val="0062238A"/>
    <w:rsid w:val="006225AF"/>
    <w:rsid w:val="00623604"/>
    <w:rsid w:val="006242AC"/>
    <w:rsid w:val="00627428"/>
    <w:rsid w:val="006361D2"/>
    <w:rsid w:val="00637203"/>
    <w:rsid w:val="00637479"/>
    <w:rsid w:val="006377B9"/>
    <w:rsid w:val="00637A46"/>
    <w:rsid w:val="00641310"/>
    <w:rsid w:val="006421EE"/>
    <w:rsid w:val="00644A98"/>
    <w:rsid w:val="00644F11"/>
    <w:rsid w:val="006453CE"/>
    <w:rsid w:val="006463A1"/>
    <w:rsid w:val="00647A58"/>
    <w:rsid w:val="00651AEF"/>
    <w:rsid w:val="00651B3C"/>
    <w:rsid w:val="006527B9"/>
    <w:rsid w:val="00654A8C"/>
    <w:rsid w:val="006579D7"/>
    <w:rsid w:val="006615CD"/>
    <w:rsid w:val="006631B7"/>
    <w:rsid w:val="00671009"/>
    <w:rsid w:val="0067104F"/>
    <w:rsid w:val="006723E8"/>
    <w:rsid w:val="006726A2"/>
    <w:rsid w:val="00674629"/>
    <w:rsid w:val="0067652E"/>
    <w:rsid w:val="006769BE"/>
    <w:rsid w:val="00676B54"/>
    <w:rsid w:val="00681111"/>
    <w:rsid w:val="00684850"/>
    <w:rsid w:val="00690230"/>
    <w:rsid w:val="006909A4"/>
    <w:rsid w:val="00690DFD"/>
    <w:rsid w:val="006911A7"/>
    <w:rsid w:val="00692D28"/>
    <w:rsid w:val="00693392"/>
    <w:rsid w:val="0069532C"/>
    <w:rsid w:val="00695E9C"/>
    <w:rsid w:val="00696636"/>
    <w:rsid w:val="006979C1"/>
    <w:rsid w:val="006A4EEF"/>
    <w:rsid w:val="006A5A67"/>
    <w:rsid w:val="006A7871"/>
    <w:rsid w:val="006B1132"/>
    <w:rsid w:val="006B13D5"/>
    <w:rsid w:val="006B177F"/>
    <w:rsid w:val="006B1942"/>
    <w:rsid w:val="006B22E3"/>
    <w:rsid w:val="006B4413"/>
    <w:rsid w:val="006B4A24"/>
    <w:rsid w:val="006B516E"/>
    <w:rsid w:val="006B6AD9"/>
    <w:rsid w:val="006C0977"/>
    <w:rsid w:val="006C0A9A"/>
    <w:rsid w:val="006C2663"/>
    <w:rsid w:val="006C4597"/>
    <w:rsid w:val="006C5D7E"/>
    <w:rsid w:val="006D028B"/>
    <w:rsid w:val="006D1076"/>
    <w:rsid w:val="006D2855"/>
    <w:rsid w:val="006D6163"/>
    <w:rsid w:val="006D7FE5"/>
    <w:rsid w:val="006E23C7"/>
    <w:rsid w:val="006E3279"/>
    <w:rsid w:val="006E3358"/>
    <w:rsid w:val="006E6705"/>
    <w:rsid w:val="006E69F4"/>
    <w:rsid w:val="006F0C4C"/>
    <w:rsid w:val="006F1B6A"/>
    <w:rsid w:val="006F254E"/>
    <w:rsid w:val="006F6838"/>
    <w:rsid w:val="006F6A04"/>
    <w:rsid w:val="00700A79"/>
    <w:rsid w:val="00702137"/>
    <w:rsid w:val="00706E4C"/>
    <w:rsid w:val="00707E2E"/>
    <w:rsid w:val="00710A97"/>
    <w:rsid w:val="00714478"/>
    <w:rsid w:val="007165F2"/>
    <w:rsid w:val="00716F3F"/>
    <w:rsid w:val="007170AC"/>
    <w:rsid w:val="0071791A"/>
    <w:rsid w:val="00720D39"/>
    <w:rsid w:val="0072147D"/>
    <w:rsid w:val="007219AB"/>
    <w:rsid w:val="00721A2E"/>
    <w:rsid w:val="00721B7C"/>
    <w:rsid w:val="0072338B"/>
    <w:rsid w:val="007236E7"/>
    <w:rsid w:val="0072541A"/>
    <w:rsid w:val="00725B8D"/>
    <w:rsid w:val="00727ECE"/>
    <w:rsid w:val="00730DD4"/>
    <w:rsid w:val="00731729"/>
    <w:rsid w:val="00734887"/>
    <w:rsid w:val="007358EE"/>
    <w:rsid w:val="00742291"/>
    <w:rsid w:val="00742530"/>
    <w:rsid w:val="00742CCB"/>
    <w:rsid w:val="0074338C"/>
    <w:rsid w:val="007433F4"/>
    <w:rsid w:val="00743D62"/>
    <w:rsid w:val="00743F90"/>
    <w:rsid w:val="0074545C"/>
    <w:rsid w:val="00747F0B"/>
    <w:rsid w:val="00750A7E"/>
    <w:rsid w:val="00753550"/>
    <w:rsid w:val="00753B15"/>
    <w:rsid w:val="00753B1E"/>
    <w:rsid w:val="007540C2"/>
    <w:rsid w:val="00755B63"/>
    <w:rsid w:val="00756959"/>
    <w:rsid w:val="00757DC4"/>
    <w:rsid w:val="007605CA"/>
    <w:rsid w:val="00762064"/>
    <w:rsid w:val="0076326A"/>
    <w:rsid w:val="00763BEA"/>
    <w:rsid w:val="007643EA"/>
    <w:rsid w:val="00764D4B"/>
    <w:rsid w:val="007661C2"/>
    <w:rsid w:val="0076651D"/>
    <w:rsid w:val="00766F78"/>
    <w:rsid w:val="00772ADE"/>
    <w:rsid w:val="007739E8"/>
    <w:rsid w:val="00780728"/>
    <w:rsid w:val="00780E2A"/>
    <w:rsid w:val="007830D8"/>
    <w:rsid w:val="0078341D"/>
    <w:rsid w:val="007839EB"/>
    <w:rsid w:val="00784377"/>
    <w:rsid w:val="00787621"/>
    <w:rsid w:val="007878F7"/>
    <w:rsid w:val="00793BAC"/>
    <w:rsid w:val="007957F9"/>
    <w:rsid w:val="0079748E"/>
    <w:rsid w:val="00797E56"/>
    <w:rsid w:val="007A1DB1"/>
    <w:rsid w:val="007A1E3E"/>
    <w:rsid w:val="007A4511"/>
    <w:rsid w:val="007A4934"/>
    <w:rsid w:val="007A7752"/>
    <w:rsid w:val="007A78A1"/>
    <w:rsid w:val="007B01AE"/>
    <w:rsid w:val="007B0435"/>
    <w:rsid w:val="007B788A"/>
    <w:rsid w:val="007B7CE8"/>
    <w:rsid w:val="007C018C"/>
    <w:rsid w:val="007C1D56"/>
    <w:rsid w:val="007C2060"/>
    <w:rsid w:val="007C20ED"/>
    <w:rsid w:val="007C2194"/>
    <w:rsid w:val="007C338B"/>
    <w:rsid w:val="007C33CF"/>
    <w:rsid w:val="007C3984"/>
    <w:rsid w:val="007C5C83"/>
    <w:rsid w:val="007D161E"/>
    <w:rsid w:val="007D3189"/>
    <w:rsid w:val="007D5BFF"/>
    <w:rsid w:val="007D7C9F"/>
    <w:rsid w:val="007E05C0"/>
    <w:rsid w:val="007E199D"/>
    <w:rsid w:val="007E2AD4"/>
    <w:rsid w:val="007E32D5"/>
    <w:rsid w:val="007E5E60"/>
    <w:rsid w:val="007E62BB"/>
    <w:rsid w:val="007E6B0D"/>
    <w:rsid w:val="007E7212"/>
    <w:rsid w:val="007F0606"/>
    <w:rsid w:val="007F1876"/>
    <w:rsid w:val="007F22C1"/>
    <w:rsid w:val="007F2837"/>
    <w:rsid w:val="007F3FDA"/>
    <w:rsid w:val="008029BD"/>
    <w:rsid w:val="00803C6D"/>
    <w:rsid w:val="0080674B"/>
    <w:rsid w:val="00807A91"/>
    <w:rsid w:val="00811191"/>
    <w:rsid w:val="0081127D"/>
    <w:rsid w:val="008118AD"/>
    <w:rsid w:val="00811954"/>
    <w:rsid w:val="00813EE8"/>
    <w:rsid w:val="00814863"/>
    <w:rsid w:val="0081564D"/>
    <w:rsid w:val="008164B9"/>
    <w:rsid w:val="00822158"/>
    <w:rsid w:val="00823F88"/>
    <w:rsid w:val="008309A6"/>
    <w:rsid w:val="008310D7"/>
    <w:rsid w:val="00832EFB"/>
    <w:rsid w:val="00833072"/>
    <w:rsid w:val="008361A3"/>
    <w:rsid w:val="008362AD"/>
    <w:rsid w:val="00837531"/>
    <w:rsid w:val="00837FB2"/>
    <w:rsid w:val="00840BB9"/>
    <w:rsid w:val="00844A22"/>
    <w:rsid w:val="00847956"/>
    <w:rsid w:val="0085002B"/>
    <w:rsid w:val="00853B87"/>
    <w:rsid w:val="00856DAD"/>
    <w:rsid w:val="00857CD3"/>
    <w:rsid w:val="008623A8"/>
    <w:rsid w:val="008636D5"/>
    <w:rsid w:val="00867253"/>
    <w:rsid w:val="0086746A"/>
    <w:rsid w:val="0087156C"/>
    <w:rsid w:val="00871998"/>
    <w:rsid w:val="00871AF5"/>
    <w:rsid w:val="00874F4A"/>
    <w:rsid w:val="00877057"/>
    <w:rsid w:val="008812C6"/>
    <w:rsid w:val="0088515E"/>
    <w:rsid w:val="00886336"/>
    <w:rsid w:val="00893348"/>
    <w:rsid w:val="0089347D"/>
    <w:rsid w:val="00893AC6"/>
    <w:rsid w:val="0089472A"/>
    <w:rsid w:val="00896785"/>
    <w:rsid w:val="008A0128"/>
    <w:rsid w:val="008A08BF"/>
    <w:rsid w:val="008A1D12"/>
    <w:rsid w:val="008A43AA"/>
    <w:rsid w:val="008A5684"/>
    <w:rsid w:val="008A5F8E"/>
    <w:rsid w:val="008A752F"/>
    <w:rsid w:val="008B09ED"/>
    <w:rsid w:val="008B1839"/>
    <w:rsid w:val="008B1D4B"/>
    <w:rsid w:val="008B2530"/>
    <w:rsid w:val="008B2873"/>
    <w:rsid w:val="008B4FF0"/>
    <w:rsid w:val="008B6729"/>
    <w:rsid w:val="008C144D"/>
    <w:rsid w:val="008C22E5"/>
    <w:rsid w:val="008C4461"/>
    <w:rsid w:val="008C4530"/>
    <w:rsid w:val="008C5F20"/>
    <w:rsid w:val="008C6124"/>
    <w:rsid w:val="008D0F5B"/>
    <w:rsid w:val="008D0FC0"/>
    <w:rsid w:val="008D150D"/>
    <w:rsid w:val="008D194C"/>
    <w:rsid w:val="008D206A"/>
    <w:rsid w:val="008D352A"/>
    <w:rsid w:val="008D3C2D"/>
    <w:rsid w:val="008D525E"/>
    <w:rsid w:val="008D558F"/>
    <w:rsid w:val="008D64C7"/>
    <w:rsid w:val="008D6C4B"/>
    <w:rsid w:val="008D7106"/>
    <w:rsid w:val="008E06BE"/>
    <w:rsid w:val="008E1B4E"/>
    <w:rsid w:val="008E4198"/>
    <w:rsid w:val="008E5C5F"/>
    <w:rsid w:val="008E7EB9"/>
    <w:rsid w:val="008F0DD8"/>
    <w:rsid w:val="008F1A17"/>
    <w:rsid w:val="008F278C"/>
    <w:rsid w:val="008F33DE"/>
    <w:rsid w:val="008F399C"/>
    <w:rsid w:val="008F544A"/>
    <w:rsid w:val="008F67B7"/>
    <w:rsid w:val="008F75D3"/>
    <w:rsid w:val="008F7F36"/>
    <w:rsid w:val="00901544"/>
    <w:rsid w:val="00905670"/>
    <w:rsid w:val="0090603A"/>
    <w:rsid w:val="00910013"/>
    <w:rsid w:val="00911890"/>
    <w:rsid w:val="009128EC"/>
    <w:rsid w:val="00913360"/>
    <w:rsid w:val="00914230"/>
    <w:rsid w:val="009145B6"/>
    <w:rsid w:val="00915429"/>
    <w:rsid w:val="009157D4"/>
    <w:rsid w:val="00920A34"/>
    <w:rsid w:val="009219B9"/>
    <w:rsid w:val="00921E6A"/>
    <w:rsid w:val="009235D9"/>
    <w:rsid w:val="0092375D"/>
    <w:rsid w:val="00923EAF"/>
    <w:rsid w:val="00925670"/>
    <w:rsid w:val="00925E24"/>
    <w:rsid w:val="009260B4"/>
    <w:rsid w:val="009264A3"/>
    <w:rsid w:val="009264B0"/>
    <w:rsid w:val="0092763C"/>
    <w:rsid w:val="00933BD8"/>
    <w:rsid w:val="00936991"/>
    <w:rsid w:val="009455B6"/>
    <w:rsid w:val="00951C26"/>
    <w:rsid w:val="009548F7"/>
    <w:rsid w:val="00954E7B"/>
    <w:rsid w:val="0095510D"/>
    <w:rsid w:val="00955D13"/>
    <w:rsid w:val="0095739C"/>
    <w:rsid w:val="0096164D"/>
    <w:rsid w:val="00962109"/>
    <w:rsid w:val="00962969"/>
    <w:rsid w:val="009636EA"/>
    <w:rsid w:val="00963A89"/>
    <w:rsid w:val="00963C13"/>
    <w:rsid w:val="00965596"/>
    <w:rsid w:val="00965A09"/>
    <w:rsid w:val="0096788F"/>
    <w:rsid w:val="00970DE1"/>
    <w:rsid w:val="00970F2B"/>
    <w:rsid w:val="00971F0D"/>
    <w:rsid w:val="00974B95"/>
    <w:rsid w:val="00975264"/>
    <w:rsid w:val="00976AF9"/>
    <w:rsid w:val="009817C3"/>
    <w:rsid w:val="00982277"/>
    <w:rsid w:val="009848E4"/>
    <w:rsid w:val="00984C22"/>
    <w:rsid w:val="0098542D"/>
    <w:rsid w:val="00986B01"/>
    <w:rsid w:val="00986C12"/>
    <w:rsid w:val="00993C55"/>
    <w:rsid w:val="00995DA4"/>
    <w:rsid w:val="009961A9"/>
    <w:rsid w:val="00996A81"/>
    <w:rsid w:val="00996B75"/>
    <w:rsid w:val="00996B9B"/>
    <w:rsid w:val="00996FDB"/>
    <w:rsid w:val="009974F2"/>
    <w:rsid w:val="00997C14"/>
    <w:rsid w:val="009A1D5C"/>
    <w:rsid w:val="009A1E68"/>
    <w:rsid w:val="009A4B71"/>
    <w:rsid w:val="009B101C"/>
    <w:rsid w:val="009B171A"/>
    <w:rsid w:val="009B24CF"/>
    <w:rsid w:val="009B325D"/>
    <w:rsid w:val="009B427D"/>
    <w:rsid w:val="009B4309"/>
    <w:rsid w:val="009B4917"/>
    <w:rsid w:val="009C24A3"/>
    <w:rsid w:val="009C2798"/>
    <w:rsid w:val="009C41AC"/>
    <w:rsid w:val="009C49C1"/>
    <w:rsid w:val="009C577C"/>
    <w:rsid w:val="009C5EA1"/>
    <w:rsid w:val="009C5F9A"/>
    <w:rsid w:val="009C6248"/>
    <w:rsid w:val="009C6580"/>
    <w:rsid w:val="009C7AE4"/>
    <w:rsid w:val="009D018B"/>
    <w:rsid w:val="009D0491"/>
    <w:rsid w:val="009D31B2"/>
    <w:rsid w:val="009D3DEE"/>
    <w:rsid w:val="009D6301"/>
    <w:rsid w:val="009D78A2"/>
    <w:rsid w:val="009E16F3"/>
    <w:rsid w:val="009E6AB4"/>
    <w:rsid w:val="009E6E94"/>
    <w:rsid w:val="009E732C"/>
    <w:rsid w:val="009E75C5"/>
    <w:rsid w:val="009F0055"/>
    <w:rsid w:val="009F39EC"/>
    <w:rsid w:val="009F6913"/>
    <w:rsid w:val="009F7C0B"/>
    <w:rsid w:val="00A01A05"/>
    <w:rsid w:val="00A0301F"/>
    <w:rsid w:val="00A037B9"/>
    <w:rsid w:val="00A06A1F"/>
    <w:rsid w:val="00A0728A"/>
    <w:rsid w:val="00A12243"/>
    <w:rsid w:val="00A12B2F"/>
    <w:rsid w:val="00A152EC"/>
    <w:rsid w:val="00A15406"/>
    <w:rsid w:val="00A16B5C"/>
    <w:rsid w:val="00A1743E"/>
    <w:rsid w:val="00A177D9"/>
    <w:rsid w:val="00A17BB7"/>
    <w:rsid w:val="00A20881"/>
    <w:rsid w:val="00A20B5F"/>
    <w:rsid w:val="00A229FD"/>
    <w:rsid w:val="00A22F80"/>
    <w:rsid w:val="00A240CD"/>
    <w:rsid w:val="00A2426C"/>
    <w:rsid w:val="00A24618"/>
    <w:rsid w:val="00A250BA"/>
    <w:rsid w:val="00A25F28"/>
    <w:rsid w:val="00A27707"/>
    <w:rsid w:val="00A30BA7"/>
    <w:rsid w:val="00A31B88"/>
    <w:rsid w:val="00A31D14"/>
    <w:rsid w:val="00A341BB"/>
    <w:rsid w:val="00A346C4"/>
    <w:rsid w:val="00A4194B"/>
    <w:rsid w:val="00A423F2"/>
    <w:rsid w:val="00A43700"/>
    <w:rsid w:val="00A44D47"/>
    <w:rsid w:val="00A44FC8"/>
    <w:rsid w:val="00A45132"/>
    <w:rsid w:val="00A47639"/>
    <w:rsid w:val="00A53664"/>
    <w:rsid w:val="00A54002"/>
    <w:rsid w:val="00A54E99"/>
    <w:rsid w:val="00A5517C"/>
    <w:rsid w:val="00A56A7D"/>
    <w:rsid w:val="00A57A4C"/>
    <w:rsid w:val="00A608ED"/>
    <w:rsid w:val="00A60934"/>
    <w:rsid w:val="00A609D9"/>
    <w:rsid w:val="00A61F44"/>
    <w:rsid w:val="00A624AA"/>
    <w:rsid w:val="00A642D8"/>
    <w:rsid w:val="00A64C7D"/>
    <w:rsid w:val="00A6580F"/>
    <w:rsid w:val="00A659AC"/>
    <w:rsid w:val="00A6680E"/>
    <w:rsid w:val="00A66B30"/>
    <w:rsid w:val="00A702A1"/>
    <w:rsid w:val="00A71436"/>
    <w:rsid w:val="00A72F54"/>
    <w:rsid w:val="00A732DD"/>
    <w:rsid w:val="00A74229"/>
    <w:rsid w:val="00A76FA3"/>
    <w:rsid w:val="00A80393"/>
    <w:rsid w:val="00A809E1"/>
    <w:rsid w:val="00A816A8"/>
    <w:rsid w:val="00A823D8"/>
    <w:rsid w:val="00A824AD"/>
    <w:rsid w:val="00A82AFD"/>
    <w:rsid w:val="00A83FEF"/>
    <w:rsid w:val="00A842BC"/>
    <w:rsid w:val="00A8481F"/>
    <w:rsid w:val="00A91483"/>
    <w:rsid w:val="00A92448"/>
    <w:rsid w:val="00A93A9F"/>
    <w:rsid w:val="00A940A5"/>
    <w:rsid w:val="00A94E45"/>
    <w:rsid w:val="00A9693C"/>
    <w:rsid w:val="00AA021C"/>
    <w:rsid w:val="00AA12EC"/>
    <w:rsid w:val="00AA1D91"/>
    <w:rsid w:val="00AA1F6D"/>
    <w:rsid w:val="00AA38FA"/>
    <w:rsid w:val="00AA3CAC"/>
    <w:rsid w:val="00AA3F20"/>
    <w:rsid w:val="00AA580A"/>
    <w:rsid w:val="00AA5A73"/>
    <w:rsid w:val="00AA5EEF"/>
    <w:rsid w:val="00AB02CE"/>
    <w:rsid w:val="00AB07A3"/>
    <w:rsid w:val="00AB12BE"/>
    <w:rsid w:val="00AB3B95"/>
    <w:rsid w:val="00AB55A2"/>
    <w:rsid w:val="00AB57AB"/>
    <w:rsid w:val="00AB72B1"/>
    <w:rsid w:val="00AC0706"/>
    <w:rsid w:val="00AC1974"/>
    <w:rsid w:val="00AC1DEC"/>
    <w:rsid w:val="00AC44DD"/>
    <w:rsid w:val="00AC46A5"/>
    <w:rsid w:val="00AC4D61"/>
    <w:rsid w:val="00AC5C62"/>
    <w:rsid w:val="00AC7847"/>
    <w:rsid w:val="00AC79DB"/>
    <w:rsid w:val="00AD19DA"/>
    <w:rsid w:val="00AD215F"/>
    <w:rsid w:val="00AD33A5"/>
    <w:rsid w:val="00AD760D"/>
    <w:rsid w:val="00AE039B"/>
    <w:rsid w:val="00AE14BC"/>
    <w:rsid w:val="00AE179A"/>
    <w:rsid w:val="00AE532B"/>
    <w:rsid w:val="00AE5BA7"/>
    <w:rsid w:val="00AE7873"/>
    <w:rsid w:val="00AE7F87"/>
    <w:rsid w:val="00AF054B"/>
    <w:rsid w:val="00AF05DE"/>
    <w:rsid w:val="00AF12AE"/>
    <w:rsid w:val="00AF2975"/>
    <w:rsid w:val="00AF31BE"/>
    <w:rsid w:val="00AF3E50"/>
    <w:rsid w:val="00AF536F"/>
    <w:rsid w:val="00AF5979"/>
    <w:rsid w:val="00AF6E61"/>
    <w:rsid w:val="00B00187"/>
    <w:rsid w:val="00B00468"/>
    <w:rsid w:val="00B004B1"/>
    <w:rsid w:val="00B01903"/>
    <w:rsid w:val="00B02A0E"/>
    <w:rsid w:val="00B05923"/>
    <w:rsid w:val="00B11B47"/>
    <w:rsid w:val="00B11CC2"/>
    <w:rsid w:val="00B11CF3"/>
    <w:rsid w:val="00B13538"/>
    <w:rsid w:val="00B14B31"/>
    <w:rsid w:val="00B1633D"/>
    <w:rsid w:val="00B16953"/>
    <w:rsid w:val="00B22CDB"/>
    <w:rsid w:val="00B249B4"/>
    <w:rsid w:val="00B253CB"/>
    <w:rsid w:val="00B26196"/>
    <w:rsid w:val="00B27D9E"/>
    <w:rsid w:val="00B30485"/>
    <w:rsid w:val="00B337C2"/>
    <w:rsid w:val="00B3416F"/>
    <w:rsid w:val="00B3704A"/>
    <w:rsid w:val="00B42AAE"/>
    <w:rsid w:val="00B43071"/>
    <w:rsid w:val="00B433DB"/>
    <w:rsid w:val="00B457DA"/>
    <w:rsid w:val="00B469E7"/>
    <w:rsid w:val="00B46D40"/>
    <w:rsid w:val="00B474B8"/>
    <w:rsid w:val="00B50950"/>
    <w:rsid w:val="00B513A4"/>
    <w:rsid w:val="00B51AF0"/>
    <w:rsid w:val="00B54DB3"/>
    <w:rsid w:val="00B5587F"/>
    <w:rsid w:val="00B55ECA"/>
    <w:rsid w:val="00B600EF"/>
    <w:rsid w:val="00B62C8E"/>
    <w:rsid w:val="00B646AD"/>
    <w:rsid w:val="00B64888"/>
    <w:rsid w:val="00B65910"/>
    <w:rsid w:val="00B713C4"/>
    <w:rsid w:val="00B71B50"/>
    <w:rsid w:val="00B7652C"/>
    <w:rsid w:val="00B76F76"/>
    <w:rsid w:val="00B80EFD"/>
    <w:rsid w:val="00B811A8"/>
    <w:rsid w:val="00B81B5B"/>
    <w:rsid w:val="00B84614"/>
    <w:rsid w:val="00B84896"/>
    <w:rsid w:val="00B84957"/>
    <w:rsid w:val="00B84DEF"/>
    <w:rsid w:val="00B87EA3"/>
    <w:rsid w:val="00B91C6B"/>
    <w:rsid w:val="00B92ADA"/>
    <w:rsid w:val="00B92CED"/>
    <w:rsid w:val="00B95D2A"/>
    <w:rsid w:val="00BA3BB0"/>
    <w:rsid w:val="00BA4729"/>
    <w:rsid w:val="00BA4944"/>
    <w:rsid w:val="00BA7F7C"/>
    <w:rsid w:val="00BB1377"/>
    <w:rsid w:val="00BB15A8"/>
    <w:rsid w:val="00BB2451"/>
    <w:rsid w:val="00BB270C"/>
    <w:rsid w:val="00BB2E24"/>
    <w:rsid w:val="00BB3006"/>
    <w:rsid w:val="00BB3437"/>
    <w:rsid w:val="00BB47E2"/>
    <w:rsid w:val="00BB63E1"/>
    <w:rsid w:val="00BC07E4"/>
    <w:rsid w:val="00BC1379"/>
    <w:rsid w:val="00BC2997"/>
    <w:rsid w:val="00BC4D84"/>
    <w:rsid w:val="00BD1A7E"/>
    <w:rsid w:val="00BD3884"/>
    <w:rsid w:val="00BD3F28"/>
    <w:rsid w:val="00BD4881"/>
    <w:rsid w:val="00BD598F"/>
    <w:rsid w:val="00BE02F7"/>
    <w:rsid w:val="00BE0ADC"/>
    <w:rsid w:val="00BE1E9B"/>
    <w:rsid w:val="00BE5056"/>
    <w:rsid w:val="00BE5327"/>
    <w:rsid w:val="00BE5E98"/>
    <w:rsid w:val="00BF1A43"/>
    <w:rsid w:val="00BF5FCB"/>
    <w:rsid w:val="00BF60AC"/>
    <w:rsid w:val="00BF7C46"/>
    <w:rsid w:val="00C003F7"/>
    <w:rsid w:val="00C01CE9"/>
    <w:rsid w:val="00C03170"/>
    <w:rsid w:val="00C031D4"/>
    <w:rsid w:val="00C0394F"/>
    <w:rsid w:val="00C0646D"/>
    <w:rsid w:val="00C06934"/>
    <w:rsid w:val="00C06F1D"/>
    <w:rsid w:val="00C1079C"/>
    <w:rsid w:val="00C1214D"/>
    <w:rsid w:val="00C124BB"/>
    <w:rsid w:val="00C13945"/>
    <w:rsid w:val="00C15629"/>
    <w:rsid w:val="00C15CD9"/>
    <w:rsid w:val="00C1625D"/>
    <w:rsid w:val="00C170D1"/>
    <w:rsid w:val="00C200B3"/>
    <w:rsid w:val="00C203DD"/>
    <w:rsid w:val="00C22705"/>
    <w:rsid w:val="00C2574E"/>
    <w:rsid w:val="00C3103B"/>
    <w:rsid w:val="00C33BFF"/>
    <w:rsid w:val="00C35AA9"/>
    <w:rsid w:val="00C36BB6"/>
    <w:rsid w:val="00C410DD"/>
    <w:rsid w:val="00C43BAE"/>
    <w:rsid w:val="00C45112"/>
    <w:rsid w:val="00C4513B"/>
    <w:rsid w:val="00C4541A"/>
    <w:rsid w:val="00C4713F"/>
    <w:rsid w:val="00C47308"/>
    <w:rsid w:val="00C47619"/>
    <w:rsid w:val="00C47BEA"/>
    <w:rsid w:val="00C50857"/>
    <w:rsid w:val="00C5087B"/>
    <w:rsid w:val="00C511D4"/>
    <w:rsid w:val="00C54127"/>
    <w:rsid w:val="00C54EB7"/>
    <w:rsid w:val="00C55367"/>
    <w:rsid w:val="00C57773"/>
    <w:rsid w:val="00C66CC9"/>
    <w:rsid w:val="00C6789C"/>
    <w:rsid w:val="00C67C2E"/>
    <w:rsid w:val="00C71947"/>
    <w:rsid w:val="00C7318B"/>
    <w:rsid w:val="00C73765"/>
    <w:rsid w:val="00C7513B"/>
    <w:rsid w:val="00C77A96"/>
    <w:rsid w:val="00C77C17"/>
    <w:rsid w:val="00C814A4"/>
    <w:rsid w:val="00C81F9F"/>
    <w:rsid w:val="00C83E55"/>
    <w:rsid w:val="00C84471"/>
    <w:rsid w:val="00C84735"/>
    <w:rsid w:val="00C873AF"/>
    <w:rsid w:val="00C87D8D"/>
    <w:rsid w:val="00C909ED"/>
    <w:rsid w:val="00C92B3C"/>
    <w:rsid w:val="00C92D53"/>
    <w:rsid w:val="00C940A6"/>
    <w:rsid w:val="00C94C60"/>
    <w:rsid w:val="00C94E7C"/>
    <w:rsid w:val="00C9565C"/>
    <w:rsid w:val="00C96375"/>
    <w:rsid w:val="00C96575"/>
    <w:rsid w:val="00C97964"/>
    <w:rsid w:val="00C97988"/>
    <w:rsid w:val="00CA018E"/>
    <w:rsid w:val="00CA0995"/>
    <w:rsid w:val="00CA10BB"/>
    <w:rsid w:val="00CA2CD5"/>
    <w:rsid w:val="00CA4BF4"/>
    <w:rsid w:val="00CA71BA"/>
    <w:rsid w:val="00CB096F"/>
    <w:rsid w:val="00CB0E2C"/>
    <w:rsid w:val="00CB6218"/>
    <w:rsid w:val="00CB71F3"/>
    <w:rsid w:val="00CB7E77"/>
    <w:rsid w:val="00CC031C"/>
    <w:rsid w:val="00CC0753"/>
    <w:rsid w:val="00CC0830"/>
    <w:rsid w:val="00CC2464"/>
    <w:rsid w:val="00CC2D66"/>
    <w:rsid w:val="00CC50A9"/>
    <w:rsid w:val="00CC5574"/>
    <w:rsid w:val="00CD0B00"/>
    <w:rsid w:val="00CD2597"/>
    <w:rsid w:val="00CD2900"/>
    <w:rsid w:val="00CD2B3A"/>
    <w:rsid w:val="00CD3776"/>
    <w:rsid w:val="00CD6217"/>
    <w:rsid w:val="00CD7BE6"/>
    <w:rsid w:val="00CE25D1"/>
    <w:rsid w:val="00CE7329"/>
    <w:rsid w:val="00CE7CC2"/>
    <w:rsid w:val="00CE7F5E"/>
    <w:rsid w:val="00CF0893"/>
    <w:rsid w:val="00CF0CC8"/>
    <w:rsid w:val="00CF2F1F"/>
    <w:rsid w:val="00CF4B7A"/>
    <w:rsid w:val="00CF4BF8"/>
    <w:rsid w:val="00CF4FDE"/>
    <w:rsid w:val="00CF6403"/>
    <w:rsid w:val="00CF7700"/>
    <w:rsid w:val="00D00926"/>
    <w:rsid w:val="00D0111B"/>
    <w:rsid w:val="00D02A5B"/>
    <w:rsid w:val="00D07BDB"/>
    <w:rsid w:val="00D11A8A"/>
    <w:rsid w:val="00D1239D"/>
    <w:rsid w:val="00D130AE"/>
    <w:rsid w:val="00D16E0E"/>
    <w:rsid w:val="00D176B7"/>
    <w:rsid w:val="00D176C1"/>
    <w:rsid w:val="00D20007"/>
    <w:rsid w:val="00D20154"/>
    <w:rsid w:val="00D2093E"/>
    <w:rsid w:val="00D247E5"/>
    <w:rsid w:val="00D25D54"/>
    <w:rsid w:val="00D2600C"/>
    <w:rsid w:val="00D263FB"/>
    <w:rsid w:val="00D33931"/>
    <w:rsid w:val="00D33A06"/>
    <w:rsid w:val="00D34492"/>
    <w:rsid w:val="00D35055"/>
    <w:rsid w:val="00D36641"/>
    <w:rsid w:val="00D367F1"/>
    <w:rsid w:val="00D36900"/>
    <w:rsid w:val="00D36B6A"/>
    <w:rsid w:val="00D37DA1"/>
    <w:rsid w:val="00D40482"/>
    <w:rsid w:val="00D44738"/>
    <w:rsid w:val="00D45ABA"/>
    <w:rsid w:val="00D45E29"/>
    <w:rsid w:val="00D467DF"/>
    <w:rsid w:val="00D50859"/>
    <w:rsid w:val="00D51027"/>
    <w:rsid w:val="00D51093"/>
    <w:rsid w:val="00D51148"/>
    <w:rsid w:val="00D55484"/>
    <w:rsid w:val="00D5641F"/>
    <w:rsid w:val="00D5652B"/>
    <w:rsid w:val="00D5670A"/>
    <w:rsid w:val="00D56F8E"/>
    <w:rsid w:val="00D60294"/>
    <w:rsid w:val="00D60F9F"/>
    <w:rsid w:val="00D61CFA"/>
    <w:rsid w:val="00D631DA"/>
    <w:rsid w:val="00D656BC"/>
    <w:rsid w:val="00D66FE9"/>
    <w:rsid w:val="00D715F4"/>
    <w:rsid w:val="00D71C77"/>
    <w:rsid w:val="00D74680"/>
    <w:rsid w:val="00D749AF"/>
    <w:rsid w:val="00D75A9E"/>
    <w:rsid w:val="00D8190D"/>
    <w:rsid w:val="00D82B62"/>
    <w:rsid w:val="00D82CAA"/>
    <w:rsid w:val="00D831DF"/>
    <w:rsid w:val="00D840EF"/>
    <w:rsid w:val="00D84247"/>
    <w:rsid w:val="00D84298"/>
    <w:rsid w:val="00D91DDB"/>
    <w:rsid w:val="00D92445"/>
    <w:rsid w:val="00D9317E"/>
    <w:rsid w:val="00D938EF"/>
    <w:rsid w:val="00D951C6"/>
    <w:rsid w:val="00D95B7D"/>
    <w:rsid w:val="00DA12B9"/>
    <w:rsid w:val="00DA24F3"/>
    <w:rsid w:val="00DA36DD"/>
    <w:rsid w:val="00DA467D"/>
    <w:rsid w:val="00DA4E5F"/>
    <w:rsid w:val="00DA5EDB"/>
    <w:rsid w:val="00DA66DD"/>
    <w:rsid w:val="00DA732F"/>
    <w:rsid w:val="00DA7749"/>
    <w:rsid w:val="00DB315E"/>
    <w:rsid w:val="00DB4198"/>
    <w:rsid w:val="00DB4EB7"/>
    <w:rsid w:val="00DB61E5"/>
    <w:rsid w:val="00DB638C"/>
    <w:rsid w:val="00DC1A51"/>
    <w:rsid w:val="00DC3A92"/>
    <w:rsid w:val="00DC6013"/>
    <w:rsid w:val="00DC741D"/>
    <w:rsid w:val="00DD1E41"/>
    <w:rsid w:val="00DD3473"/>
    <w:rsid w:val="00DD4E17"/>
    <w:rsid w:val="00DD6006"/>
    <w:rsid w:val="00DD61E4"/>
    <w:rsid w:val="00DD6C57"/>
    <w:rsid w:val="00DD6D1E"/>
    <w:rsid w:val="00DD771A"/>
    <w:rsid w:val="00DD7AC1"/>
    <w:rsid w:val="00DE2461"/>
    <w:rsid w:val="00DE3E68"/>
    <w:rsid w:val="00DE410A"/>
    <w:rsid w:val="00DE72BB"/>
    <w:rsid w:val="00DF0A95"/>
    <w:rsid w:val="00DF11E5"/>
    <w:rsid w:val="00DF1802"/>
    <w:rsid w:val="00DF192B"/>
    <w:rsid w:val="00DF1D43"/>
    <w:rsid w:val="00DF43C1"/>
    <w:rsid w:val="00DF4AFA"/>
    <w:rsid w:val="00DF52DF"/>
    <w:rsid w:val="00DF6A9C"/>
    <w:rsid w:val="00E01705"/>
    <w:rsid w:val="00E01E8C"/>
    <w:rsid w:val="00E0433C"/>
    <w:rsid w:val="00E05596"/>
    <w:rsid w:val="00E0714C"/>
    <w:rsid w:val="00E07C84"/>
    <w:rsid w:val="00E108CC"/>
    <w:rsid w:val="00E10E33"/>
    <w:rsid w:val="00E12835"/>
    <w:rsid w:val="00E12F56"/>
    <w:rsid w:val="00E13899"/>
    <w:rsid w:val="00E15916"/>
    <w:rsid w:val="00E15D20"/>
    <w:rsid w:val="00E203E5"/>
    <w:rsid w:val="00E205D1"/>
    <w:rsid w:val="00E20F86"/>
    <w:rsid w:val="00E21341"/>
    <w:rsid w:val="00E21471"/>
    <w:rsid w:val="00E2371A"/>
    <w:rsid w:val="00E23CC8"/>
    <w:rsid w:val="00E27820"/>
    <w:rsid w:val="00E3395C"/>
    <w:rsid w:val="00E33BCD"/>
    <w:rsid w:val="00E34A3F"/>
    <w:rsid w:val="00E36972"/>
    <w:rsid w:val="00E37595"/>
    <w:rsid w:val="00E40CDA"/>
    <w:rsid w:val="00E40DC7"/>
    <w:rsid w:val="00E41007"/>
    <w:rsid w:val="00E415DE"/>
    <w:rsid w:val="00E451D0"/>
    <w:rsid w:val="00E46A6E"/>
    <w:rsid w:val="00E47807"/>
    <w:rsid w:val="00E47FC4"/>
    <w:rsid w:val="00E5394C"/>
    <w:rsid w:val="00E53FFE"/>
    <w:rsid w:val="00E5518F"/>
    <w:rsid w:val="00E62345"/>
    <w:rsid w:val="00E637F7"/>
    <w:rsid w:val="00E6664F"/>
    <w:rsid w:val="00E66AA7"/>
    <w:rsid w:val="00E721AF"/>
    <w:rsid w:val="00E7237A"/>
    <w:rsid w:val="00E729D8"/>
    <w:rsid w:val="00E732DD"/>
    <w:rsid w:val="00E761DD"/>
    <w:rsid w:val="00E808B1"/>
    <w:rsid w:val="00E81594"/>
    <w:rsid w:val="00E815D4"/>
    <w:rsid w:val="00E85AC8"/>
    <w:rsid w:val="00E90979"/>
    <w:rsid w:val="00E924AA"/>
    <w:rsid w:val="00E92BD8"/>
    <w:rsid w:val="00E95315"/>
    <w:rsid w:val="00E96716"/>
    <w:rsid w:val="00E968E5"/>
    <w:rsid w:val="00E9721F"/>
    <w:rsid w:val="00E97CE8"/>
    <w:rsid w:val="00EA0744"/>
    <w:rsid w:val="00EA0CEB"/>
    <w:rsid w:val="00EA12C0"/>
    <w:rsid w:val="00EA148A"/>
    <w:rsid w:val="00EA19CA"/>
    <w:rsid w:val="00EA51C9"/>
    <w:rsid w:val="00EA5480"/>
    <w:rsid w:val="00EA5720"/>
    <w:rsid w:val="00EA5F49"/>
    <w:rsid w:val="00EA7D62"/>
    <w:rsid w:val="00EB063F"/>
    <w:rsid w:val="00EB0C20"/>
    <w:rsid w:val="00EB1143"/>
    <w:rsid w:val="00EB1548"/>
    <w:rsid w:val="00EB2093"/>
    <w:rsid w:val="00EB2186"/>
    <w:rsid w:val="00EB2A32"/>
    <w:rsid w:val="00EB4568"/>
    <w:rsid w:val="00EB5F72"/>
    <w:rsid w:val="00EB5FBA"/>
    <w:rsid w:val="00EB6401"/>
    <w:rsid w:val="00EB75F7"/>
    <w:rsid w:val="00EB7F63"/>
    <w:rsid w:val="00EC05AB"/>
    <w:rsid w:val="00EC24A3"/>
    <w:rsid w:val="00EC45C4"/>
    <w:rsid w:val="00EC4716"/>
    <w:rsid w:val="00EC4EF1"/>
    <w:rsid w:val="00EC5457"/>
    <w:rsid w:val="00EC58BF"/>
    <w:rsid w:val="00EC6191"/>
    <w:rsid w:val="00ED2E7E"/>
    <w:rsid w:val="00ED2F7D"/>
    <w:rsid w:val="00ED62CC"/>
    <w:rsid w:val="00EE1583"/>
    <w:rsid w:val="00EE175F"/>
    <w:rsid w:val="00EE4777"/>
    <w:rsid w:val="00EE502E"/>
    <w:rsid w:val="00EE5DDB"/>
    <w:rsid w:val="00EE6AAF"/>
    <w:rsid w:val="00EF17AD"/>
    <w:rsid w:val="00EF2388"/>
    <w:rsid w:val="00EF3366"/>
    <w:rsid w:val="00F01154"/>
    <w:rsid w:val="00F0141F"/>
    <w:rsid w:val="00F03A85"/>
    <w:rsid w:val="00F04161"/>
    <w:rsid w:val="00F05EF5"/>
    <w:rsid w:val="00F06AAD"/>
    <w:rsid w:val="00F17EDE"/>
    <w:rsid w:val="00F21574"/>
    <w:rsid w:val="00F21F10"/>
    <w:rsid w:val="00F227CD"/>
    <w:rsid w:val="00F26427"/>
    <w:rsid w:val="00F26FDF"/>
    <w:rsid w:val="00F308B4"/>
    <w:rsid w:val="00F312C5"/>
    <w:rsid w:val="00F31A95"/>
    <w:rsid w:val="00F405B9"/>
    <w:rsid w:val="00F40834"/>
    <w:rsid w:val="00F41921"/>
    <w:rsid w:val="00F42245"/>
    <w:rsid w:val="00F435E5"/>
    <w:rsid w:val="00F45B01"/>
    <w:rsid w:val="00F46359"/>
    <w:rsid w:val="00F47807"/>
    <w:rsid w:val="00F509F3"/>
    <w:rsid w:val="00F514BB"/>
    <w:rsid w:val="00F51FB0"/>
    <w:rsid w:val="00F52FD6"/>
    <w:rsid w:val="00F55A00"/>
    <w:rsid w:val="00F55D32"/>
    <w:rsid w:val="00F56CE8"/>
    <w:rsid w:val="00F577C5"/>
    <w:rsid w:val="00F60B30"/>
    <w:rsid w:val="00F619C6"/>
    <w:rsid w:val="00F6206E"/>
    <w:rsid w:val="00F6293A"/>
    <w:rsid w:val="00F63A9D"/>
    <w:rsid w:val="00F64FB1"/>
    <w:rsid w:val="00F6513A"/>
    <w:rsid w:val="00F65365"/>
    <w:rsid w:val="00F65A2C"/>
    <w:rsid w:val="00F65E3D"/>
    <w:rsid w:val="00F66EE7"/>
    <w:rsid w:val="00F75FE5"/>
    <w:rsid w:val="00F771CC"/>
    <w:rsid w:val="00F7790B"/>
    <w:rsid w:val="00F80BFA"/>
    <w:rsid w:val="00F8269F"/>
    <w:rsid w:val="00F841B4"/>
    <w:rsid w:val="00F84795"/>
    <w:rsid w:val="00F8686D"/>
    <w:rsid w:val="00F873F7"/>
    <w:rsid w:val="00F909CC"/>
    <w:rsid w:val="00F90F43"/>
    <w:rsid w:val="00F92113"/>
    <w:rsid w:val="00F943C2"/>
    <w:rsid w:val="00F97C16"/>
    <w:rsid w:val="00FA0646"/>
    <w:rsid w:val="00FA17BC"/>
    <w:rsid w:val="00FA68DF"/>
    <w:rsid w:val="00FA6DA7"/>
    <w:rsid w:val="00FB105D"/>
    <w:rsid w:val="00FB1EBA"/>
    <w:rsid w:val="00FB2D18"/>
    <w:rsid w:val="00FB301D"/>
    <w:rsid w:val="00FC0EF9"/>
    <w:rsid w:val="00FC1181"/>
    <w:rsid w:val="00FC3AFD"/>
    <w:rsid w:val="00FC3D87"/>
    <w:rsid w:val="00FC4F71"/>
    <w:rsid w:val="00FC73CF"/>
    <w:rsid w:val="00FC7B56"/>
    <w:rsid w:val="00FD0A95"/>
    <w:rsid w:val="00FD0AFA"/>
    <w:rsid w:val="00FD1564"/>
    <w:rsid w:val="00FD161A"/>
    <w:rsid w:val="00FD3476"/>
    <w:rsid w:val="00FD3AEB"/>
    <w:rsid w:val="00FD437C"/>
    <w:rsid w:val="00FD4ED8"/>
    <w:rsid w:val="00FD500E"/>
    <w:rsid w:val="00FD61D4"/>
    <w:rsid w:val="00FD6756"/>
    <w:rsid w:val="00FD7A74"/>
    <w:rsid w:val="00FE3BFE"/>
    <w:rsid w:val="00FE4B97"/>
    <w:rsid w:val="00FE5A18"/>
    <w:rsid w:val="00FE670C"/>
    <w:rsid w:val="00FE76F2"/>
    <w:rsid w:val="00FF3A17"/>
    <w:rsid w:val="00FF3D64"/>
    <w:rsid w:val="00FF400D"/>
    <w:rsid w:val="00FF48E7"/>
    <w:rsid w:val="00FF5061"/>
    <w:rsid w:val="00FF6BB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F314"/>
  <w15:chartTrackingRefBased/>
  <w15:docId w15:val="{BD2FCCEA-6C7F-4198-A9E6-9C242ADC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FB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36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1FF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7FB2"/>
    <w:rPr>
      <w:color w:val="0563C1" w:themeColor="hyperlink"/>
      <w:u w:val="single"/>
    </w:rPr>
  </w:style>
  <w:style w:type="character" w:customStyle="1" w:styleId="Heading1Char">
    <w:name w:val="Heading 1 Char"/>
    <w:basedOn w:val="DefaultParagraphFont"/>
    <w:link w:val="Heading1"/>
    <w:uiPriority w:val="9"/>
    <w:rsid w:val="00837F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7FB2"/>
    <w:pPr>
      <w:outlineLvl w:val="9"/>
    </w:pPr>
    <w:rPr>
      <w:lang w:val="en-US"/>
    </w:rPr>
  </w:style>
  <w:style w:type="paragraph" w:styleId="TOC1">
    <w:name w:val="toc 1"/>
    <w:basedOn w:val="Normal"/>
    <w:next w:val="Normal"/>
    <w:autoRedefine/>
    <w:uiPriority w:val="39"/>
    <w:unhideWhenUsed/>
    <w:rsid w:val="008B2530"/>
    <w:pPr>
      <w:spacing w:after="100"/>
    </w:pPr>
  </w:style>
  <w:style w:type="character" w:customStyle="1" w:styleId="Heading2Char">
    <w:name w:val="Heading 2 Char"/>
    <w:basedOn w:val="DefaultParagraphFont"/>
    <w:link w:val="Heading2"/>
    <w:uiPriority w:val="9"/>
    <w:rsid w:val="007236E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37DA1"/>
    <w:pPr>
      <w:spacing w:after="100"/>
      <w:ind w:left="220"/>
    </w:pPr>
  </w:style>
  <w:style w:type="character" w:styleId="UnresolvedMention">
    <w:name w:val="Unresolved Mention"/>
    <w:basedOn w:val="DefaultParagraphFont"/>
    <w:uiPriority w:val="99"/>
    <w:semiHidden/>
    <w:unhideWhenUsed/>
    <w:rsid w:val="00DE2461"/>
    <w:rPr>
      <w:color w:val="605E5C"/>
      <w:shd w:val="clear" w:color="auto" w:fill="E1DFDD"/>
    </w:rPr>
  </w:style>
  <w:style w:type="paragraph" w:styleId="ListParagraph">
    <w:name w:val="List Paragraph"/>
    <w:basedOn w:val="Normal"/>
    <w:uiPriority w:val="34"/>
    <w:qFormat/>
    <w:rsid w:val="0072541A"/>
    <w:pPr>
      <w:ind w:left="720"/>
      <w:contextualSpacing/>
    </w:pPr>
  </w:style>
  <w:style w:type="table" w:styleId="TableGrid">
    <w:name w:val="Table Grid"/>
    <w:basedOn w:val="TableNormal"/>
    <w:uiPriority w:val="39"/>
    <w:rsid w:val="0081119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11191"/>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81119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191"/>
    <w:rPr>
      <w:rFonts w:ascii="Segoe UI" w:hAnsi="Segoe UI" w:cs="Segoe UI"/>
      <w:sz w:val="18"/>
      <w:szCs w:val="18"/>
    </w:rPr>
  </w:style>
  <w:style w:type="paragraph" w:styleId="Title">
    <w:name w:val="Title"/>
    <w:basedOn w:val="Normal"/>
    <w:next w:val="Normal"/>
    <w:link w:val="TitleChar"/>
    <w:uiPriority w:val="10"/>
    <w:qFormat/>
    <w:rsid w:val="005B2DA9"/>
    <w:pPr>
      <w:spacing w:line="240" w:lineRule="auto"/>
      <w:contextualSpacing/>
    </w:pPr>
    <w:rPr>
      <w:rFonts w:asciiTheme="majorHAnsi" w:eastAsiaTheme="majorEastAsia" w:hAnsiTheme="majorHAnsi" w:cstheme="majorBidi"/>
      <w:spacing w:val="-10"/>
      <w:kern w:val="28"/>
      <w:sz w:val="56"/>
      <w:szCs w:val="56"/>
      <w:lang w:val="en-US" w:eastAsia="ja-JP"/>
    </w:rPr>
  </w:style>
  <w:style w:type="character" w:customStyle="1" w:styleId="TitleChar">
    <w:name w:val="Title Char"/>
    <w:basedOn w:val="DefaultParagraphFont"/>
    <w:link w:val="Title"/>
    <w:uiPriority w:val="10"/>
    <w:rsid w:val="005B2DA9"/>
    <w:rPr>
      <w:rFonts w:asciiTheme="majorHAnsi" w:eastAsiaTheme="majorEastAsia" w:hAnsiTheme="majorHAnsi" w:cstheme="majorBidi"/>
      <w:spacing w:val="-10"/>
      <w:kern w:val="28"/>
      <w:sz w:val="56"/>
      <w:szCs w:val="56"/>
      <w:lang w:val="en-US" w:eastAsia="ja-JP"/>
    </w:rPr>
  </w:style>
  <w:style w:type="character" w:customStyle="1" w:styleId="Heading3Char">
    <w:name w:val="Heading 3 Char"/>
    <w:basedOn w:val="DefaultParagraphFont"/>
    <w:link w:val="Heading3"/>
    <w:uiPriority w:val="9"/>
    <w:rsid w:val="001B1FF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80BFA"/>
    <w:pPr>
      <w:spacing w:after="100"/>
      <w:ind w:left="440"/>
    </w:pPr>
  </w:style>
  <w:style w:type="paragraph" w:styleId="NoSpacing">
    <w:name w:val="No Spacing"/>
    <w:uiPriority w:val="1"/>
    <w:qFormat/>
    <w:rsid w:val="00AA1F6D"/>
    <w:pPr>
      <w:spacing w:line="240" w:lineRule="auto"/>
    </w:pPr>
  </w:style>
  <w:style w:type="paragraph" w:styleId="NormalWeb">
    <w:name w:val="Normal (Web)"/>
    <w:basedOn w:val="Normal"/>
    <w:uiPriority w:val="99"/>
    <w:unhideWhenUsed/>
    <w:rsid w:val="0040019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Default">
    <w:name w:val="Default"/>
    <w:rsid w:val="00133181"/>
    <w:pPr>
      <w:autoSpaceDE w:val="0"/>
      <w:autoSpaceDN w:val="0"/>
      <w:adjustRightInd w:val="0"/>
      <w:spacing w:line="240" w:lineRule="auto"/>
      <w:jc w:val="left"/>
    </w:pPr>
    <w:rPr>
      <w:rFonts w:ascii="Arial Narrow" w:hAnsi="Arial Narrow" w:cs="Arial Narro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51636">
      <w:bodyDiv w:val="1"/>
      <w:marLeft w:val="0"/>
      <w:marRight w:val="0"/>
      <w:marTop w:val="0"/>
      <w:marBottom w:val="0"/>
      <w:divBdr>
        <w:top w:val="none" w:sz="0" w:space="0" w:color="auto"/>
        <w:left w:val="none" w:sz="0" w:space="0" w:color="auto"/>
        <w:bottom w:val="none" w:sz="0" w:space="0" w:color="auto"/>
        <w:right w:val="none" w:sz="0" w:space="0" w:color="auto"/>
      </w:divBdr>
      <w:divsChild>
        <w:div w:id="1298603588">
          <w:marLeft w:val="0"/>
          <w:marRight w:val="0"/>
          <w:marTop w:val="0"/>
          <w:marBottom w:val="0"/>
          <w:divBdr>
            <w:top w:val="none" w:sz="0" w:space="0" w:color="auto"/>
            <w:left w:val="none" w:sz="0" w:space="0" w:color="auto"/>
            <w:bottom w:val="none" w:sz="0" w:space="0" w:color="auto"/>
            <w:right w:val="none" w:sz="0" w:space="0" w:color="auto"/>
          </w:divBdr>
        </w:div>
        <w:div w:id="678198196">
          <w:marLeft w:val="0"/>
          <w:marRight w:val="0"/>
          <w:marTop w:val="0"/>
          <w:marBottom w:val="0"/>
          <w:divBdr>
            <w:top w:val="none" w:sz="0" w:space="0" w:color="auto"/>
            <w:left w:val="none" w:sz="0" w:space="0" w:color="auto"/>
            <w:bottom w:val="none" w:sz="0" w:space="0" w:color="auto"/>
            <w:right w:val="none" w:sz="0" w:space="0" w:color="auto"/>
          </w:divBdr>
        </w:div>
        <w:div w:id="1551184247">
          <w:marLeft w:val="0"/>
          <w:marRight w:val="0"/>
          <w:marTop w:val="0"/>
          <w:marBottom w:val="0"/>
          <w:divBdr>
            <w:top w:val="none" w:sz="0" w:space="0" w:color="auto"/>
            <w:left w:val="none" w:sz="0" w:space="0" w:color="auto"/>
            <w:bottom w:val="none" w:sz="0" w:space="0" w:color="auto"/>
            <w:right w:val="none" w:sz="0" w:space="0" w:color="auto"/>
          </w:divBdr>
        </w:div>
        <w:div w:id="1068960921">
          <w:marLeft w:val="0"/>
          <w:marRight w:val="0"/>
          <w:marTop w:val="0"/>
          <w:marBottom w:val="0"/>
          <w:divBdr>
            <w:top w:val="none" w:sz="0" w:space="0" w:color="auto"/>
            <w:left w:val="none" w:sz="0" w:space="0" w:color="auto"/>
            <w:bottom w:val="none" w:sz="0" w:space="0" w:color="auto"/>
            <w:right w:val="none" w:sz="0" w:space="0" w:color="auto"/>
          </w:divBdr>
        </w:div>
        <w:div w:id="1147821555">
          <w:marLeft w:val="0"/>
          <w:marRight w:val="0"/>
          <w:marTop w:val="0"/>
          <w:marBottom w:val="0"/>
          <w:divBdr>
            <w:top w:val="none" w:sz="0" w:space="0" w:color="auto"/>
            <w:left w:val="none" w:sz="0" w:space="0" w:color="auto"/>
            <w:bottom w:val="none" w:sz="0" w:space="0" w:color="auto"/>
            <w:right w:val="none" w:sz="0" w:space="0" w:color="auto"/>
          </w:divBdr>
        </w:div>
        <w:div w:id="1153256262">
          <w:marLeft w:val="0"/>
          <w:marRight w:val="0"/>
          <w:marTop w:val="0"/>
          <w:marBottom w:val="0"/>
          <w:divBdr>
            <w:top w:val="none" w:sz="0" w:space="0" w:color="auto"/>
            <w:left w:val="none" w:sz="0" w:space="0" w:color="auto"/>
            <w:bottom w:val="none" w:sz="0" w:space="0" w:color="auto"/>
            <w:right w:val="none" w:sz="0" w:space="0" w:color="auto"/>
          </w:divBdr>
        </w:div>
        <w:div w:id="1426728736">
          <w:marLeft w:val="0"/>
          <w:marRight w:val="0"/>
          <w:marTop w:val="0"/>
          <w:marBottom w:val="0"/>
          <w:divBdr>
            <w:top w:val="none" w:sz="0" w:space="0" w:color="auto"/>
            <w:left w:val="none" w:sz="0" w:space="0" w:color="auto"/>
            <w:bottom w:val="none" w:sz="0" w:space="0" w:color="auto"/>
            <w:right w:val="none" w:sz="0" w:space="0" w:color="auto"/>
          </w:divBdr>
        </w:div>
      </w:divsChild>
    </w:div>
    <w:div w:id="49781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fsa.go.jp/inter/bis/bj_20010117_1/1l.pdf" TargetMode="External"/><Relationship Id="rId18" Type="http://schemas.openxmlformats.org/officeDocument/2006/relationships/hyperlink" Target="http://www.simonfoucher.com/MBA/FINA%20695%20-%20Risk%20Management/riskmanagementandfinancialinstitutions4theditionjohnhull-150518225205-lva1-app6892.p" TargetMode="External"/><Relationship Id="rId26" Type="http://schemas.openxmlformats.org/officeDocument/2006/relationships/hyperlink" Target="https://www.investopedia.com/terms/l/liquidity-coverage-ratio.asp" TargetMode="External"/><Relationship Id="rId3" Type="http://schemas.openxmlformats.org/officeDocument/2006/relationships/styles" Target="styles.xml"/><Relationship Id="rId21" Type="http://schemas.openxmlformats.org/officeDocument/2006/relationships/hyperlink" Target="https://www.lloydsbankinggroup.com/globalassets/documents/investors/2016/2016_lbg_annual_report_v2.pdf" TargetMode="External"/><Relationship Id="rId7" Type="http://schemas.openxmlformats.org/officeDocument/2006/relationships/chart" Target="charts/chart1.xml"/><Relationship Id="rId12" Type="http://schemas.openxmlformats.org/officeDocument/2006/relationships/hyperlink" Target="https://www.bis.org/publ/bcbs75.pdf" TargetMode="External"/><Relationship Id="rId17" Type="http://schemas.openxmlformats.org/officeDocument/2006/relationships/hyperlink" Target="https://www.investopedia.com/terms/l/loan-to-deposit-ratio.asp" TargetMode="External"/><Relationship Id="rId25" Type="http://schemas.openxmlformats.org/officeDocument/2006/relationships/hyperlink" Target="https://www.investopedia.com/terms/n/nonperformingloan.asp" TargetMode="External"/><Relationship Id="rId2" Type="http://schemas.openxmlformats.org/officeDocument/2006/relationships/numbering" Target="numbering.xml"/><Relationship Id="rId16" Type="http://schemas.openxmlformats.org/officeDocument/2006/relationships/hyperlink" Target="https://www.bis.org/bcbs/publ/d352.pdf" TargetMode="External"/><Relationship Id="rId20" Type="http://schemas.openxmlformats.org/officeDocument/2006/relationships/hyperlink" Target="https://www.lloydsbankinggroup.com/globalassets/documents/investors/2015/2015_lbg_annual_report_v3.pdf" TargetMode="External"/><Relationship Id="rId1" Type="http://schemas.openxmlformats.org/officeDocument/2006/relationships/customXml" Target="../customXml/item1.xml"/><Relationship Id="rId6" Type="http://schemas.openxmlformats.org/officeDocument/2006/relationships/hyperlink" Target="mailto:1812409@student.uwtsd.ac.uk" TargetMode="External"/><Relationship Id="rId11" Type="http://schemas.openxmlformats.org/officeDocument/2006/relationships/hyperlink" Target="https://home.barclays/content/dam/home-barclays/documents/investor-relations/reports-and-events/annual-reports/2018/2018-barclays-plc-annual-report.pdf" TargetMode="External"/><Relationship Id="rId24" Type="http://schemas.openxmlformats.org/officeDocument/2006/relationships/hyperlink" Target="https://bizfluent.com/how-8533153-calculate-npl-ratio.html" TargetMode="External"/><Relationship Id="rId5" Type="http://schemas.openxmlformats.org/officeDocument/2006/relationships/webSettings" Target="webSettings.xml"/><Relationship Id="rId15" Type="http://schemas.openxmlformats.org/officeDocument/2006/relationships/hyperlink" Target="http://www.ekof.bg.ac.rs/wp-content/uploads/2014/05/Basel-III-Liquidity-2013.pdf" TargetMode="External"/><Relationship Id="rId23" Type="http://schemas.openxmlformats.org/officeDocument/2006/relationships/hyperlink" Target="https://www.lloydsbankinggroup.com/globalassets/documents/investors/2018/2018_lbg_annual_report_v2.pdf" TargetMode="External"/><Relationship Id="rId28" Type="http://schemas.openxmlformats.org/officeDocument/2006/relationships/theme" Target="theme/theme1.xml"/><Relationship Id="rId10" Type="http://schemas.openxmlformats.org/officeDocument/2006/relationships/hyperlink" Target="https://www.investopedia.com/terms/c/capitaladequacyratio.asp" TargetMode="External"/><Relationship Id="rId19" Type="http://schemas.openxmlformats.org/officeDocument/2006/relationships/hyperlink" Target="https://www.lloydsbankinggroup.com/globalassets/documents/investors/2014/2014_lbg_annual_report.pdf" TargetMode="Externa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s://www.bis.org/publ/bcbs189_dec2010.pdf" TargetMode="External"/><Relationship Id="rId22" Type="http://schemas.openxmlformats.org/officeDocument/2006/relationships/hyperlink" Target="https://www.lloydsbankinggroup.com/globalassets/documents/investors/2017/2017_lbg_annual_report_v3.pdf"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200">
                <a:latin typeface="Times New Roman" panose="02020603050405020304" pitchFamily="18" charset="0"/>
                <a:cs typeface="Times New Roman" panose="02020603050405020304" pitchFamily="18" charset="0"/>
              </a:rPr>
              <a:t> Figure</a:t>
            </a:r>
            <a:r>
              <a:rPr lang="en-GB" sz="1200" baseline="0">
                <a:latin typeface="Times New Roman" panose="02020603050405020304" pitchFamily="18" charset="0"/>
                <a:cs typeface="Times New Roman" panose="02020603050405020304" pitchFamily="18" charset="0"/>
              </a:rPr>
              <a:t> 1: </a:t>
            </a:r>
            <a:r>
              <a:rPr lang="en-GB" sz="1200">
                <a:latin typeface="Times New Roman" panose="02020603050405020304" pitchFamily="18" charset="0"/>
                <a:cs typeface="Times New Roman" panose="02020603050405020304" pitchFamily="18" charset="0"/>
              </a:rPr>
              <a:t>CET1 ratio, Tier1 ratio and CAR ratio - Lloyds 2014-2018</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CET1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12.8</c:v>
                </c:pt>
                <c:pt idx="1">
                  <c:v>12.8</c:v>
                </c:pt>
                <c:pt idx="2">
                  <c:v>13.6</c:v>
                </c:pt>
                <c:pt idx="3">
                  <c:v>14.1</c:v>
                </c:pt>
                <c:pt idx="4">
                  <c:v>14.6</c:v>
                </c:pt>
              </c:numCache>
            </c:numRef>
          </c:val>
          <c:smooth val="0"/>
          <c:extLst>
            <c:ext xmlns:c16="http://schemas.microsoft.com/office/drawing/2014/chart" uri="{C3380CC4-5D6E-409C-BE32-E72D297353CC}">
              <c16:uniqueId val="{00000000-4FB4-476F-B877-462ABA3DBD76}"/>
            </c:ext>
          </c:extLst>
        </c:ser>
        <c:ser>
          <c:idx val="1"/>
          <c:order val="1"/>
          <c:tx>
            <c:strRef>
              <c:f>Sheet1!$C$1</c:f>
              <c:strCache>
                <c:ptCount val="1"/>
                <c:pt idx="0">
                  <c:v>TIER1 capital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15</c:v>
                </c:pt>
                <c:pt idx="1">
                  <c:v>15.2</c:v>
                </c:pt>
                <c:pt idx="2">
                  <c:v>16.100000000000001</c:v>
                </c:pt>
                <c:pt idx="3">
                  <c:v>16.600000000000001</c:v>
                </c:pt>
                <c:pt idx="4">
                  <c:v>17.8</c:v>
                </c:pt>
              </c:numCache>
            </c:numRef>
          </c:val>
          <c:smooth val="0"/>
          <c:extLst>
            <c:ext xmlns:c16="http://schemas.microsoft.com/office/drawing/2014/chart" uri="{C3380CC4-5D6E-409C-BE32-E72D297353CC}">
              <c16:uniqueId val="{00000001-4FB4-476F-B877-462ABA3DBD76}"/>
            </c:ext>
          </c:extLst>
        </c:ser>
        <c:ser>
          <c:idx val="2"/>
          <c:order val="2"/>
          <c:tx>
            <c:strRef>
              <c:f>Sheet1!$D$1</c:f>
              <c:strCache>
                <c:ptCount val="1"/>
                <c:pt idx="0">
                  <c:v>CAR ratio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Sheet1!$D$2:$D$6</c:f>
              <c:numCache>
                <c:formatCode>General</c:formatCode>
                <c:ptCount val="5"/>
                <c:pt idx="0">
                  <c:v>18.8</c:v>
                </c:pt>
                <c:pt idx="1">
                  <c:v>18</c:v>
                </c:pt>
                <c:pt idx="2">
                  <c:v>18.399999999999999</c:v>
                </c:pt>
                <c:pt idx="3">
                  <c:v>18.5</c:v>
                </c:pt>
                <c:pt idx="4">
                  <c:v>20.5</c:v>
                </c:pt>
              </c:numCache>
            </c:numRef>
          </c:val>
          <c:smooth val="0"/>
          <c:extLst>
            <c:ext xmlns:c16="http://schemas.microsoft.com/office/drawing/2014/chart" uri="{C3380CC4-5D6E-409C-BE32-E72D297353CC}">
              <c16:uniqueId val="{00000002-4FB4-476F-B877-462ABA3DBD76}"/>
            </c:ext>
          </c:extLst>
        </c:ser>
        <c:dLbls>
          <c:showLegendKey val="0"/>
          <c:showVal val="0"/>
          <c:showCatName val="0"/>
          <c:showSerName val="0"/>
          <c:showPercent val="0"/>
          <c:showBubbleSize val="0"/>
        </c:dLbls>
        <c:smooth val="0"/>
        <c:axId val="886435360"/>
        <c:axId val="886439952"/>
      </c:lineChart>
      <c:catAx>
        <c:axId val="886435360"/>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6439952"/>
        <c:crosses val="autoZero"/>
        <c:auto val="1"/>
        <c:lblAlgn val="ctr"/>
        <c:lblOffset val="100"/>
        <c:noMultiLvlLbl val="0"/>
      </c:catAx>
      <c:valAx>
        <c:axId val="886439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6435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100">
                <a:latin typeface="Times New Roman" panose="02020603050405020304" pitchFamily="18" charset="0"/>
                <a:cs typeface="Times New Roman" panose="02020603050405020304" pitchFamily="18" charset="0"/>
              </a:rPr>
              <a:t>Figure 2: LDR and LCR - Lloyds 2014-2018</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LDR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107</c:v>
                </c:pt>
                <c:pt idx="1">
                  <c:v>109</c:v>
                </c:pt>
                <c:pt idx="2">
                  <c:v>109</c:v>
                </c:pt>
                <c:pt idx="3">
                  <c:v>110</c:v>
                </c:pt>
                <c:pt idx="4">
                  <c:v>107</c:v>
                </c:pt>
              </c:numCache>
            </c:numRef>
          </c:val>
          <c:smooth val="0"/>
          <c:extLst>
            <c:ext xmlns:c16="http://schemas.microsoft.com/office/drawing/2014/chart" uri="{C3380CC4-5D6E-409C-BE32-E72D297353CC}">
              <c16:uniqueId val="{00000000-AD00-45D1-800F-15700023962D}"/>
            </c:ext>
          </c:extLst>
        </c:ser>
        <c:ser>
          <c:idx val="1"/>
          <c:order val="1"/>
          <c:tx>
            <c:strRef>
              <c:f>Sheet1!$C$1</c:f>
              <c:strCache>
                <c:ptCount val="1"/>
                <c:pt idx="0">
                  <c:v>LCR</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3">
                  <c:v>127</c:v>
                </c:pt>
                <c:pt idx="4">
                  <c:v>130</c:v>
                </c:pt>
              </c:numCache>
            </c:numRef>
          </c:val>
          <c:smooth val="0"/>
          <c:extLst>
            <c:ext xmlns:c16="http://schemas.microsoft.com/office/drawing/2014/chart" uri="{C3380CC4-5D6E-409C-BE32-E72D297353CC}">
              <c16:uniqueId val="{00000001-AD00-45D1-800F-15700023962D}"/>
            </c:ext>
          </c:extLst>
        </c:ser>
        <c:dLbls>
          <c:showLegendKey val="0"/>
          <c:showVal val="0"/>
          <c:showCatName val="0"/>
          <c:showSerName val="0"/>
          <c:showPercent val="0"/>
          <c:showBubbleSize val="0"/>
        </c:dLbls>
        <c:smooth val="0"/>
        <c:axId val="607513416"/>
        <c:axId val="598081608"/>
      </c:lineChart>
      <c:catAx>
        <c:axId val="60751341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081608"/>
        <c:crosses val="autoZero"/>
        <c:auto val="1"/>
        <c:lblAlgn val="ctr"/>
        <c:lblOffset val="100"/>
        <c:noMultiLvlLbl val="0"/>
      </c:catAx>
      <c:valAx>
        <c:axId val="598081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513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100">
                <a:latin typeface="Times New Roman" panose="02020603050405020304" pitchFamily="18" charset="0"/>
                <a:cs typeface="Times New Roman" panose="02020603050405020304" pitchFamily="18" charset="0"/>
              </a:rPr>
              <a:t>Figure 3: Asset quality ratio - Lloyds 2014-2018</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AQR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Sheet1!$A$2:$A$7</c:f>
              <c:numCache>
                <c:formatCode>General</c:formatCode>
                <c:ptCount val="6"/>
                <c:pt idx="0">
                  <c:v>2014</c:v>
                </c:pt>
                <c:pt idx="1">
                  <c:v>2015</c:v>
                </c:pt>
                <c:pt idx="2">
                  <c:v>2016</c:v>
                </c:pt>
                <c:pt idx="3">
                  <c:v>2017</c:v>
                </c:pt>
                <c:pt idx="4">
                  <c:v>2018</c:v>
                </c:pt>
              </c:numCache>
            </c:numRef>
          </c:cat>
          <c:val>
            <c:numRef>
              <c:f>Sheet1!$B$2:$B$7</c:f>
              <c:numCache>
                <c:formatCode>General</c:formatCode>
                <c:ptCount val="6"/>
                <c:pt idx="0">
                  <c:v>0.23</c:v>
                </c:pt>
                <c:pt idx="1">
                  <c:v>0.14000000000000001</c:v>
                </c:pt>
                <c:pt idx="2">
                  <c:v>0.15</c:v>
                </c:pt>
                <c:pt idx="3">
                  <c:v>0.18</c:v>
                </c:pt>
                <c:pt idx="4">
                  <c:v>0.21</c:v>
                </c:pt>
                <c:pt idx="5">
                  <c:v>0.21</c:v>
                </c:pt>
              </c:numCache>
            </c:numRef>
          </c:val>
          <c:smooth val="0"/>
          <c:extLst>
            <c:ext xmlns:c16="http://schemas.microsoft.com/office/drawing/2014/chart" uri="{C3380CC4-5D6E-409C-BE32-E72D297353CC}">
              <c16:uniqueId val="{00000000-8CE6-4F9C-A1AB-6AFE1BF37A4B}"/>
            </c:ext>
          </c:extLst>
        </c:ser>
        <c:dLbls>
          <c:showLegendKey val="0"/>
          <c:showVal val="0"/>
          <c:showCatName val="0"/>
          <c:showSerName val="0"/>
          <c:showPercent val="0"/>
          <c:showBubbleSize val="0"/>
        </c:dLbls>
        <c:smooth val="0"/>
        <c:axId val="665611568"/>
        <c:axId val="665611896"/>
      </c:lineChart>
      <c:catAx>
        <c:axId val="66561156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Year</a:t>
                </a:r>
                <a:r>
                  <a:rPr lang="en-GB" baseline="0"/>
                  <a:t> </a:t>
                </a:r>
                <a:endParaRPr lang="en-GB"/>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611896"/>
        <c:crosses val="autoZero"/>
        <c:auto val="1"/>
        <c:lblAlgn val="ctr"/>
        <c:lblOffset val="100"/>
        <c:noMultiLvlLbl val="0"/>
      </c:catAx>
      <c:valAx>
        <c:axId val="665611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611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7D84-0E67-4806-92E0-F6100668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17510</TotalTime>
  <Pages>21</Pages>
  <Words>6884</Words>
  <Characters>39245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dc:creator>
  <cp:keywords/>
  <dc:description/>
  <cp:lastModifiedBy>M T</cp:lastModifiedBy>
  <cp:revision>1568</cp:revision>
  <dcterms:created xsi:type="dcterms:W3CDTF">2019-08-05T23:03:00Z</dcterms:created>
  <dcterms:modified xsi:type="dcterms:W3CDTF">2019-09-05T09:54:00Z</dcterms:modified>
</cp:coreProperties>
</file>