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692066" w14:textId="77777777" w:rsidR="002E28CF" w:rsidRDefault="002E28CF" w:rsidP="002E28CF">
      <w:pPr>
        <w:spacing w:after="0" w:line="360" w:lineRule="auto"/>
        <w:jc w:val="center"/>
        <w:rPr>
          <w:rFonts w:ascii="Arial" w:hAnsi="Arial" w:cs="Arial"/>
          <w:b/>
          <w:sz w:val="28"/>
          <w:szCs w:val="28"/>
        </w:rPr>
      </w:pPr>
      <w:r>
        <w:rPr>
          <w:noProof/>
          <w:lang w:eastAsia="en-GB"/>
        </w:rPr>
        <w:drawing>
          <wp:inline distT="0" distB="0" distL="0" distR="0" wp14:anchorId="170CD9C0" wp14:editId="630A556B">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5D3C5852" w14:textId="29127FD3" w:rsidR="4500B7D1" w:rsidRDefault="4500B7D1" w:rsidP="0B4BD3B6">
      <w:pPr>
        <w:spacing w:line="480" w:lineRule="exact"/>
        <w:jc w:val="center"/>
      </w:pPr>
    </w:p>
    <w:p w14:paraId="55699133" w14:textId="37B0EC0B" w:rsidR="4500B7D1" w:rsidRDefault="0B4BD3B6" w:rsidP="0086787A">
      <w:pPr>
        <w:spacing w:line="480" w:lineRule="exact"/>
        <w:jc w:val="center"/>
        <w:rPr>
          <w:rFonts w:ascii="Arial" w:eastAsia="Arial" w:hAnsi="Arial" w:cs="Arial"/>
          <w:b/>
          <w:bCs/>
          <w:color w:val="1F4E79"/>
          <w:sz w:val="32"/>
          <w:szCs w:val="32"/>
          <w:lang w:val="en-US"/>
        </w:rPr>
      </w:pPr>
      <w:r w:rsidRPr="0B4BD3B6">
        <w:rPr>
          <w:rFonts w:ascii="Arial" w:eastAsia="Arial" w:hAnsi="Arial" w:cs="Arial"/>
          <w:b/>
          <w:bCs/>
          <w:color w:val="1F4E79"/>
          <w:sz w:val="32"/>
          <w:szCs w:val="32"/>
          <w:lang w:val="en-US"/>
        </w:rPr>
        <w:t>Academic Discipline of Social Justice and Inclusion</w:t>
      </w:r>
    </w:p>
    <w:p w14:paraId="2884F56B" w14:textId="434678FC" w:rsidR="4500B7D1" w:rsidRDefault="0B4BD3B6" w:rsidP="0B4BD3B6">
      <w:pPr>
        <w:spacing w:line="480" w:lineRule="exact"/>
        <w:jc w:val="center"/>
      </w:pPr>
      <w:r w:rsidRPr="0B4BD3B6">
        <w:rPr>
          <w:rFonts w:ascii="Arial" w:eastAsia="Arial" w:hAnsi="Arial" w:cs="Arial"/>
          <w:b/>
          <w:bCs/>
          <w:color w:val="1F4E79"/>
          <w:sz w:val="32"/>
          <w:szCs w:val="32"/>
        </w:rPr>
        <w:t>MArts/BA Humanistic Counselling Practice</w:t>
      </w:r>
    </w:p>
    <w:p w14:paraId="3EDDE6E0" w14:textId="77777777" w:rsidR="0086787A" w:rsidRDefault="0086787A" w:rsidP="0B4BD3B6">
      <w:pPr>
        <w:jc w:val="center"/>
        <w:rPr>
          <w:rFonts w:ascii="Arial" w:eastAsia="Arial" w:hAnsi="Arial" w:cs="Arial"/>
          <w:b/>
          <w:bCs/>
          <w:color w:val="1F4E79"/>
          <w:sz w:val="32"/>
          <w:szCs w:val="32"/>
          <w:lang w:val="en-US"/>
        </w:rPr>
      </w:pPr>
    </w:p>
    <w:p w14:paraId="4F70B3FF" w14:textId="6B413011" w:rsidR="4500B7D1" w:rsidRDefault="0B4BD3B6" w:rsidP="0B4BD3B6">
      <w:pPr>
        <w:jc w:val="center"/>
      </w:pPr>
      <w:r w:rsidRPr="0B4BD3B6">
        <w:rPr>
          <w:rFonts w:ascii="Arial" w:eastAsia="Arial" w:hAnsi="Arial" w:cs="Arial"/>
          <w:b/>
          <w:bCs/>
          <w:color w:val="1F4E79"/>
          <w:sz w:val="32"/>
          <w:szCs w:val="32"/>
          <w:lang w:val="en-US"/>
        </w:rPr>
        <w:t xml:space="preserve"> </w:t>
      </w:r>
    </w:p>
    <w:p w14:paraId="3A2639D0" w14:textId="2692D6B5" w:rsidR="4500B7D1" w:rsidRDefault="0B4BD3B6" w:rsidP="0B4BD3B6">
      <w:pPr>
        <w:jc w:val="center"/>
        <w:rPr>
          <w:rFonts w:ascii="Arial" w:eastAsia="Arial" w:hAnsi="Arial" w:cs="Arial"/>
          <w:color w:val="1F4E79"/>
          <w:sz w:val="32"/>
          <w:szCs w:val="32"/>
          <w:lang w:val="en-US"/>
        </w:rPr>
      </w:pPr>
      <w:r w:rsidRPr="0B4BD3B6">
        <w:rPr>
          <w:rFonts w:ascii="Arial" w:eastAsia="Arial" w:hAnsi="Arial" w:cs="Arial"/>
          <w:b/>
          <w:bCs/>
          <w:color w:val="1F4E79"/>
          <w:sz w:val="32"/>
          <w:szCs w:val="32"/>
          <w:lang w:val="en-US"/>
        </w:rPr>
        <w:t xml:space="preserve">Module: </w:t>
      </w:r>
      <w:r w:rsidRPr="0B4BD3B6">
        <w:rPr>
          <w:rFonts w:ascii="Arial" w:eastAsia="Arial" w:hAnsi="Arial" w:cs="Arial"/>
          <w:color w:val="1F4E79"/>
          <w:sz w:val="32"/>
          <w:szCs w:val="32"/>
          <w:lang w:val="en-US"/>
        </w:rPr>
        <w:t xml:space="preserve">Therapeutic Theories ECHC4001 </w:t>
      </w:r>
    </w:p>
    <w:p w14:paraId="7505515E" w14:textId="66AF24CD" w:rsidR="4500B7D1" w:rsidRDefault="0B4BD3B6" w:rsidP="0B4BD3B6">
      <w:pPr>
        <w:jc w:val="center"/>
        <w:rPr>
          <w:rFonts w:ascii="Arial" w:eastAsia="Arial" w:hAnsi="Arial" w:cs="Arial"/>
          <w:color w:val="1F4E79"/>
          <w:sz w:val="32"/>
          <w:szCs w:val="32"/>
          <w:lang w:val="en-US"/>
        </w:rPr>
      </w:pPr>
      <w:r w:rsidRPr="0B4BD3B6">
        <w:rPr>
          <w:rFonts w:ascii="Arial" w:eastAsia="Arial" w:hAnsi="Arial" w:cs="Arial"/>
          <w:color w:val="1F4E79"/>
          <w:sz w:val="32"/>
          <w:szCs w:val="32"/>
          <w:lang w:val="en-US"/>
        </w:rPr>
        <w:t xml:space="preserve"> </w:t>
      </w:r>
    </w:p>
    <w:p w14:paraId="2E950756" w14:textId="37796771" w:rsidR="4500B7D1" w:rsidRDefault="0B4BD3B6" w:rsidP="0B4BD3B6">
      <w:pPr>
        <w:jc w:val="center"/>
      </w:pPr>
      <w:r w:rsidRPr="0B4BD3B6">
        <w:rPr>
          <w:rFonts w:ascii="Arial" w:eastAsia="Arial" w:hAnsi="Arial" w:cs="Arial"/>
          <w:b/>
          <w:bCs/>
          <w:color w:val="1F4E79"/>
          <w:sz w:val="32"/>
          <w:szCs w:val="32"/>
          <w:lang w:val="en-US"/>
        </w:rPr>
        <w:t>Assessment Component:</w:t>
      </w:r>
      <w:r w:rsidRPr="0B4BD3B6">
        <w:rPr>
          <w:rFonts w:ascii="Arial" w:eastAsia="Arial" w:hAnsi="Arial" w:cs="Arial"/>
          <w:color w:val="1F4E79"/>
          <w:sz w:val="32"/>
          <w:szCs w:val="32"/>
          <w:lang w:val="en-US"/>
        </w:rPr>
        <w:t xml:space="preserve"> Assignment 2 - Essay</w:t>
      </w:r>
    </w:p>
    <w:p w14:paraId="2CEA4185" w14:textId="106FCBB7" w:rsidR="4500B7D1" w:rsidRDefault="0B4BD3B6" w:rsidP="0B4BD3B6">
      <w:pPr>
        <w:jc w:val="center"/>
      </w:pPr>
      <w:r w:rsidRPr="0B4BD3B6">
        <w:rPr>
          <w:rFonts w:ascii="Arial" w:eastAsia="Arial" w:hAnsi="Arial" w:cs="Arial"/>
          <w:b/>
          <w:bCs/>
          <w:color w:val="1F4E79"/>
          <w:sz w:val="32"/>
          <w:szCs w:val="32"/>
          <w:lang w:val="en-US"/>
        </w:rPr>
        <w:t xml:space="preserve"> </w:t>
      </w:r>
    </w:p>
    <w:p w14:paraId="53E612CD" w14:textId="6C43669B" w:rsidR="4500B7D1" w:rsidRDefault="0B4BD3B6" w:rsidP="0B4BD3B6">
      <w:pPr>
        <w:jc w:val="center"/>
        <w:rPr>
          <w:rFonts w:ascii="Arial" w:eastAsia="Arial" w:hAnsi="Arial" w:cs="Arial"/>
          <w:color w:val="1F4D78" w:themeColor="accent5" w:themeShade="7F"/>
          <w:sz w:val="32"/>
          <w:szCs w:val="32"/>
          <w:lang w:val="en-US"/>
        </w:rPr>
      </w:pPr>
      <w:r w:rsidRPr="0B4BD3B6">
        <w:rPr>
          <w:rFonts w:ascii="Arial" w:eastAsia="Arial" w:hAnsi="Arial" w:cs="Arial"/>
          <w:b/>
          <w:bCs/>
          <w:color w:val="1F4E79"/>
          <w:sz w:val="32"/>
          <w:szCs w:val="32"/>
          <w:lang w:val="en-US"/>
        </w:rPr>
        <w:t xml:space="preserve">Assignment Title: </w:t>
      </w:r>
      <w:r w:rsidRPr="0B4BD3B6">
        <w:rPr>
          <w:rFonts w:ascii="Arial" w:eastAsia="Arial" w:hAnsi="Arial" w:cs="Arial"/>
          <w:color w:val="1F4D78" w:themeColor="accent5" w:themeShade="7F"/>
          <w:sz w:val="32"/>
          <w:szCs w:val="32"/>
          <w:lang w:val="en-US"/>
        </w:rPr>
        <w:t>Discuss and describe the Counselling knowledge and skills that will be required when working with a particular client group.</w:t>
      </w:r>
      <w:r w:rsidR="4500B7D1">
        <w:br/>
      </w:r>
      <w:r w:rsidRPr="0B4BD3B6">
        <w:rPr>
          <w:rFonts w:ascii="Arial" w:eastAsia="Arial" w:hAnsi="Arial" w:cs="Arial"/>
          <w:color w:val="1F4D78" w:themeColor="accent5" w:themeShade="7F"/>
          <w:sz w:val="32"/>
          <w:szCs w:val="32"/>
          <w:lang w:val="en-US"/>
        </w:rPr>
        <w:t>Underpin your discussion with contemporary evidence and accurate referencing.</w:t>
      </w:r>
    </w:p>
    <w:p w14:paraId="033ED606" w14:textId="5BE09537" w:rsidR="4500B7D1" w:rsidRDefault="4500B7D1" w:rsidP="0B4BD3B6">
      <w:pPr>
        <w:jc w:val="center"/>
        <w:rPr>
          <w:rFonts w:ascii="Arial" w:eastAsia="Arial" w:hAnsi="Arial" w:cs="Arial"/>
          <w:b/>
          <w:bCs/>
          <w:color w:val="1F4E79"/>
          <w:sz w:val="32"/>
          <w:szCs w:val="32"/>
          <w:lang w:val="en-US"/>
        </w:rPr>
      </w:pPr>
    </w:p>
    <w:p w14:paraId="7195246E" w14:textId="074EC86E" w:rsidR="4500B7D1" w:rsidRDefault="0B4BD3B6" w:rsidP="0B4BD3B6">
      <w:pPr>
        <w:jc w:val="center"/>
        <w:rPr>
          <w:rFonts w:ascii="Arial" w:eastAsia="Arial" w:hAnsi="Arial" w:cs="Arial"/>
          <w:b/>
          <w:bCs/>
          <w:color w:val="1F4E79"/>
          <w:sz w:val="32"/>
          <w:szCs w:val="32"/>
          <w:lang w:val="en-US"/>
        </w:rPr>
      </w:pPr>
      <w:r w:rsidRPr="0B4BD3B6">
        <w:rPr>
          <w:rFonts w:ascii="Arial" w:eastAsia="Arial" w:hAnsi="Arial" w:cs="Arial"/>
          <w:b/>
          <w:bCs/>
          <w:color w:val="1F4E79"/>
          <w:sz w:val="32"/>
          <w:szCs w:val="32"/>
          <w:lang w:val="en-US"/>
        </w:rPr>
        <w:t xml:space="preserve">Student Name: </w:t>
      </w:r>
      <w:r w:rsidRPr="0B4BD3B6">
        <w:rPr>
          <w:rFonts w:ascii="Arial" w:eastAsia="Arial" w:hAnsi="Arial" w:cs="Arial"/>
          <w:color w:val="1F4E79"/>
          <w:sz w:val="32"/>
          <w:szCs w:val="32"/>
          <w:lang w:val="en-US"/>
        </w:rPr>
        <w:t>Rachel Jones</w:t>
      </w:r>
    </w:p>
    <w:p w14:paraId="4EE7F7F9" w14:textId="040B452E" w:rsidR="4500B7D1" w:rsidRDefault="0B4BD3B6" w:rsidP="0B4BD3B6">
      <w:pPr>
        <w:jc w:val="center"/>
      </w:pPr>
      <w:r w:rsidRPr="0B4BD3B6">
        <w:rPr>
          <w:rFonts w:ascii="Arial" w:eastAsia="Arial" w:hAnsi="Arial" w:cs="Arial"/>
          <w:b/>
          <w:bCs/>
          <w:color w:val="1F4E79"/>
          <w:sz w:val="32"/>
          <w:szCs w:val="32"/>
          <w:lang w:val="en-US"/>
        </w:rPr>
        <w:t xml:space="preserve"> </w:t>
      </w:r>
    </w:p>
    <w:p w14:paraId="2F7C9C4C" w14:textId="7940AAB2" w:rsidR="4500B7D1" w:rsidRDefault="0B4BD3B6" w:rsidP="0B4BD3B6">
      <w:pPr>
        <w:jc w:val="center"/>
        <w:rPr>
          <w:rFonts w:ascii="Arial" w:eastAsia="Arial" w:hAnsi="Arial" w:cs="Arial"/>
          <w:color w:val="1F4E79"/>
          <w:sz w:val="32"/>
          <w:szCs w:val="32"/>
          <w:lang w:val="en-US"/>
        </w:rPr>
      </w:pPr>
      <w:r w:rsidRPr="0B4BD3B6">
        <w:rPr>
          <w:rFonts w:ascii="Arial" w:eastAsia="Arial" w:hAnsi="Arial" w:cs="Arial"/>
          <w:b/>
          <w:bCs/>
          <w:color w:val="1F4E79"/>
          <w:sz w:val="32"/>
          <w:szCs w:val="32"/>
          <w:lang w:val="en-US"/>
        </w:rPr>
        <w:t xml:space="preserve">Student Number: </w:t>
      </w:r>
      <w:r w:rsidRPr="0B4BD3B6">
        <w:rPr>
          <w:rFonts w:ascii="Arial" w:eastAsia="Arial" w:hAnsi="Arial" w:cs="Arial"/>
          <w:color w:val="1F4E79"/>
          <w:sz w:val="32"/>
          <w:szCs w:val="32"/>
          <w:lang w:val="en-US"/>
        </w:rPr>
        <w:t>1809488</w:t>
      </w:r>
    </w:p>
    <w:p w14:paraId="61C26386" w14:textId="77E6D968" w:rsidR="4500B7D1" w:rsidRDefault="4500B7D1" w:rsidP="0B4BD3B6">
      <w:pPr>
        <w:jc w:val="center"/>
        <w:rPr>
          <w:rFonts w:ascii="Arial" w:eastAsia="Arial" w:hAnsi="Arial" w:cs="Arial"/>
          <w:i/>
          <w:iCs/>
          <w:color w:val="1F4E79"/>
          <w:sz w:val="32"/>
          <w:szCs w:val="32"/>
          <w:lang w:val="en-US"/>
        </w:rPr>
      </w:pPr>
    </w:p>
    <w:p w14:paraId="47029AD8" w14:textId="3BE2A8CB" w:rsidR="4500B7D1" w:rsidRDefault="4500B7D1" w:rsidP="0B4BD3B6">
      <w:pPr>
        <w:jc w:val="center"/>
        <w:rPr>
          <w:rFonts w:ascii="Arial" w:eastAsia="Arial" w:hAnsi="Arial" w:cs="Arial"/>
          <w:b/>
          <w:bCs/>
          <w:i/>
          <w:iCs/>
          <w:color w:val="1F4D78" w:themeColor="accent5" w:themeShade="7F"/>
          <w:sz w:val="32"/>
          <w:szCs w:val="32"/>
          <w:lang w:val="en-US"/>
        </w:rPr>
      </w:pPr>
    </w:p>
    <w:p w14:paraId="53117538" w14:textId="0B1989E5" w:rsidR="4500B7D1" w:rsidRDefault="0B4BD3B6" w:rsidP="0B4BD3B6">
      <w:pPr>
        <w:jc w:val="center"/>
        <w:rPr>
          <w:rFonts w:ascii="Arial" w:eastAsia="Arial" w:hAnsi="Arial" w:cs="Arial"/>
          <w:b/>
          <w:bCs/>
          <w:i/>
          <w:iCs/>
          <w:color w:val="1F4D78" w:themeColor="accent5" w:themeShade="7F"/>
          <w:sz w:val="32"/>
          <w:szCs w:val="32"/>
          <w:lang w:val="en-US"/>
        </w:rPr>
      </w:pPr>
      <w:r w:rsidRPr="0B4BD3B6">
        <w:rPr>
          <w:rFonts w:ascii="Arial" w:eastAsia="Arial" w:hAnsi="Arial" w:cs="Arial"/>
          <w:b/>
          <w:bCs/>
          <w:i/>
          <w:iCs/>
          <w:color w:val="1F4D78" w:themeColor="accent5" w:themeShade="7F"/>
          <w:sz w:val="32"/>
          <w:szCs w:val="32"/>
          <w:lang w:val="en-US"/>
        </w:rPr>
        <w:t>“Counselling should not be seen as an end in itself, nor therapist the lone agent, but as a component in the symphony of support”.</w:t>
      </w:r>
    </w:p>
    <w:p w14:paraId="6D1C84C3" w14:textId="50A55EB9" w:rsidR="4500B7D1" w:rsidRDefault="0B4BD3B6" w:rsidP="0B4BD3B6">
      <w:pPr>
        <w:jc w:val="right"/>
        <w:rPr>
          <w:color w:val="1F4D78" w:themeColor="accent5" w:themeShade="7F"/>
          <w:sz w:val="32"/>
          <w:szCs w:val="32"/>
        </w:rPr>
      </w:pPr>
      <w:r w:rsidRPr="0B4BD3B6">
        <w:rPr>
          <w:color w:val="1F4D78" w:themeColor="accent5" w:themeShade="7F"/>
          <w:sz w:val="32"/>
          <w:szCs w:val="32"/>
        </w:rPr>
        <w:t>(Liberman, 2017)</w:t>
      </w:r>
    </w:p>
    <w:p w14:paraId="426552D8" w14:textId="5E6327E0" w:rsidR="4500B7D1" w:rsidRDefault="4500B7D1" w:rsidP="0B4BD3B6"/>
    <w:p w14:paraId="77409B03" w14:textId="77777777" w:rsidR="002E28CF" w:rsidRDefault="002E28CF" w:rsidP="0B4BD3B6">
      <w:pPr>
        <w:rPr>
          <w:sz w:val="24"/>
          <w:szCs w:val="24"/>
        </w:rPr>
      </w:pPr>
    </w:p>
    <w:p w14:paraId="1DD289B2" w14:textId="52C9FEF5" w:rsidR="4500B7D1" w:rsidRDefault="00F84B81" w:rsidP="36D314A4">
      <w:pPr>
        <w:spacing w:after="0" w:line="480" w:lineRule="auto"/>
        <w:rPr>
          <w:sz w:val="24"/>
          <w:szCs w:val="24"/>
        </w:rPr>
      </w:pPr>
      <w:r>
        <w:rPr>
          <w:sz w:val="24"/>
          <w:szCs w:val="24"/>
        </w:rPr>
        <w:t xml:space="preserve">     </w:t>
      </w:r>
      <w:r w:rsidR="36D314A4" w:rsidRPr="36D314A4">
        <w:rPr>
          <w:sz w:val="24"/>
          <w:szCs w:val="24"/>
        </w:rPr>
        <w:t>The impact of experiencing sex trafficking for female victims is complex</w:t>
      </w:r>
      <w:r>
        <w:rPr>
          <w:sz w:val="24"/>
          <w:szCs w:val="24"/>
        </w:rPr>
        <w:t>. The survivors can develop</w:t>
      </w:r>
      <w:r w:rsidR="36D314A4" w:rsidRPr="36D314A4">
        <w:rPr>
          <w:sz w:val="24"/>
          <w:szCs w:val="24"/>
        </w:rPr>
        <w:t xml:space="preserve"> a wide range of psychological issues, from Borderline Personality Disorder, low self-esteem and self-harm, to helplessness, dissociation and Post-Traumatic Stress Disorder. They have most likely endured rape, torture, coercion and many other exploitative acts while imprisoned as modern-day slaves. Research</w:t>
      </w:r>
      <w:r>
        <w:rPr>
          <w:sz w:val="24"/>
          <w:szCs w:val="24"/>
        </w:rPr>
        <w:t xml:space="preserve"> suggests that the longer victims are </w:t>
      </w:r>
      <w:r w:rsidR="36D314A4" w:rsidRPr="36D314A4">
        <w:rPr>
          <w:sz w:val="24"/>
          <w:szCs w:val="24"/>
        </w:rPr>
        <w:t xml:space="preserve">exposed to the </w:t>
      </w:r>
      <w:r w:rsidR="00F143C5">
        <w:rPr>
          <w:sz w:val="24"/>
          <w:szCs w:val="24"/>
        </w:rPr>
        <w:t>trauma</w:t>
      </w:r>
      <w:r w:rsidR="36D314A4" w:rsidRPr="36D314A4">
        <w:rPr>
          <w:sz w:val="24"/>
          <w:szCs w:val="24"/>
        </w:rPr>
        <w:t>, the higher the severity of the psychological symptoms. Research also suggests that Trauma-Focused Cognitive Behavioural Therapy is an effective approach for survivors of sex trafficking. Its ten-stage model, which was originally created for trauma in children and young peop</w:t>
      </w:r>
      <w:r w:rsidR="00F143C5">
        <w:rPr>
          <w:sz w:val="24"/>
          <w:szCs w:val="24"/>
        </w:rPr>
        <w:t>le, has been adapted specifically for this client group and is designed to help victims</w:t>
      </w:r>
      <w:r w:rsidR="36D314A4" w:rsidRPr="36D314A4">
        <w:rPr>
          <w:sz w:val="24"/>
          <w:szCs w:val="24"/>
        </w:rPr>
        <w:t xml:space="preserve"> work through their trauma. This essay will aim to discuss and describe the counselling knowledge and skills needed to work with female survivors of sex trafficking.</w:t>
      </w:r>
    </w:p>
    <w:p w14:paraId="569C6F2F" w14:textId="3F3AF99B" w:rsidR="4500B7D1" w:rsidRDefault="4500B7D1" w:rsidP="002E28CF">
      <w:pPr>
        <w:spacing w:after="0" w:line="480" w:lineRule="auto"/>
        <w:rPr>
          <w:sz w:val="24"/>
          <w:szCs w:val="24"/>
        </w:rPr>
      </w:pPr>
    </w:p>
    <w:p w14:paraId="6B4AA021" w14:textId="383F382D" w:rsidR="4500B7D1" w:rsidRDefault="00F84B81" w:rsidP="36D314A4">
      <w:pPr>
        <w:spacing w:after="0" w:line="480" w:lineRule="auto"/>
        <w:rPr>
          <w:rFonts w:ascii="Calibri" w:eastAsia="Calibri" w:hAnsi="Calibri" w:cs="Calibri"/>
          <w:sz w:val="24"/>
          <w:szCs w:val="24"/>
        </w:rPr>
      </w:pPr>
      <w:r>
        <w:rPr>
          <w:sz w:val="24"/>
          <w:szCs w:val="24"/>
        </w:rPr>
        <w:t xml:space="preserve">     </w:t>
      </w:r>
      <w:r w:rsidR="36D314A4" w:rsidRPr="36D314A4">
        <w:rPr>
          <w:sz w:val="24"/>
          <w:szCs w:val="24"/>
        </w:rPr>
        <w:t>Human trafficking is a term used to describe the illegal trade of humans for forced labour or sexual exploitation. It is a violation of the Human Rights Act (1998) and can occur due to many reasons such as coercion, deception or by force. Information around trafficking is difficult to obtain, but according to the International Labour Organization (</w:t>
      </w:r>
      <w:r w:rsidR="36D314A4" w:rsidRPr="36D314A4">
        <w:rPr>
          <w:rFonts w:ascii="Calibri" w:eastAsia="Calibri" w:hAnsi="Calibri" w:cs="Calibri"/>
          <w:sz w:val="24"/>
          <w:szCs w:val="24"/>
        </w:rPr>
        <w:t xml:space="preserve">2016) an estimated 40.3 million people are trapped in modern day slavery, including 24.9 million in forced labour. </w:t>
      </w:r>
      <w:r w:rsidR="36D314A4" w:rsidRPr="36D314A4">
        <w:rPr>
          <w:rFonts w:ascii="Calibri" w:eastAsia="Calibri" w:hAnsi="Calibri" w:cs="Calibri"/>
          <w:color w:val="000000" w:themeColor="text1"/>
          <w:sz w:val="24"/>
          <w:szCs w:val="24"/>
        </w:rPr>
        <w:t>Although m</w:t>
      </w:r>
      <w:r w:rsidR="36D314A4" w:rsidRPr="36D314A4">
        <w:rPr>
          <w:rFonts w:ascii="Calibri" w:eastAsia="Calibri" w:hAnsi="Calibri" w:cs="Calibri"/>
          <w:sz w:val="24"/>
          <w:szCs w:val="24"/>
        </w:rPr>
        <w:t xml:space="preserve">en, women, and children are exploited in many economic sectors, the trafficking of women and girls for forced prostitution is among the most well recognised (Hossain et al., 2010, p. 2442). There is a disproportion in women compared to other genders affected by sex trafficking, in which they account for 99% of victims in the commercial sex industry (ILO, 2016). </w:t>
      </w:r>
    </w:p>
    <w:p w14:paraId="60C67784" w14:textId="789257EE" w:rsidR="4500B7D1" w:rsidRDefault="4500B7D1" w:rsidP="002E28CF">
      <w:pPr>
        <w:spacing w:after="0" w:line="480" w:lineRule="auto"/>
        <w:rPr>
          <w:rFonts w:ascii="Calibri" w:eastAsia="Calibri" w:hAnsi="Calibri" w:cs="Calibri"/>
          <w:sz w:val="24"/>
          <w:szCs w:val="24"/>
        </w:rPr>
      </w:pPr>
    </w:p>
    <w:p w14:paraId="471398D8" w14:textId="1AC61308" w:rsidR="4500B7D1" w:rsidRDefault="00F84B81" w:rsidP="2ED8A7C6">
      <w:pPr>
        <w:spacing w:after="0" w:line="480" w:lineRule="auto"/>
        <w:rPr>
          <w:rFonts w:ascii="Calibri" w:eastAsia="Calibri" w:hAnsi="Calibri" w:cs="Calibri"/>
          <w:sz w:val="24"/>
          <w:szCs w:val="24"/>
        </w:rPr>
      </w:pPr>
      <w:r>
        <w:rPr>
          <w:rFonts w:ascii="Calibri" w:eastAsia="Calibri" w:hAnsi="Calibri" w:cs="Calibri"/>
          <w:sz w:val="24"/>
          <w:szCs w:val="24"/>
        </w:rPr>
        <w:t xml:space="preserve">     </w:t>
      </w:r>
      <w:r w:rsidR="2ED8A7C6" w:rsidRPr="2ED8A7C6">
        <w:rPr>
          <w:rFonts w:ascii="Calibri" w:eastAsia="Calibri" w:hAnsi="Calibri" w:cs="Calibri"/>
          <w:sz w:val="24"/>
          <w:szCs w:val="24"/>
        </w:rPr>
        <w:t xml:space="preserve">Due to the psychological, sexual and physical abuse that sex trafficking inflicts, </w:t>
      </w:r>
      <w:r w:rsidRPr="2ED8A7C6">
        <w:rPr>
          <w:rFonts w:ascii="Calibri" w:eastAsia="Calibri" w:hAnsi="Calibri" w:cs="Calibri"/>
          <w:sz w:val="24"/>
          <w:szCs w:val="24"/>
        </w:rPr>
        <w:t>understandably</w:t>
      </w:r>
      <w:r>
        <w:rPr>
          <w:rFonts w:ascii="Calibri" w:eastAsia="Calibri" w:hAnsi="Calibri" w:cs="Calibri"/>
          <w:sz w:val="24"/>
          <w:szCs w:val="24"/>
        </w:rPr>
        <w:t>,</w:t>
      </w:r>
      <w:r w:rsidR="2ED8A7C6" w:rsidRPr="2ED8A7C6">
        <w:rPr>
          <w:rFonts w:ascii="Calibri" w:eastAsia="Calibri" w:hAnsi="Calibri" w:cs="Calibri"/>
          <w:sz w:val="24"/>
          <w:szCs w:val="24"/>
        </w:rPr>
        <w:t xml:space="preserve"> the mental wellbeing of its survivors is a concern. The victims have lived through experiences such as imprisonment, threats to their lives, assault and coercion, therefore </w:t>
      </w:r>
      <w:r w:rsidRPr="2ED8A7C6">
        <w:rPr>
          <w:rFonts w:ascii="Calibri" w:eastAsia="Calibri" w:hAnsi="Calibri" w:cs="Calibri"/>
          <w:sz w:val="24"/>
          <w:szCs w:val="24"/>
        </w:rPr>
        <w:t>affecting</w:t>
      </w:r>
      <w:r w:rsidR="2ED8A7C6" w:rsidRPr="2ED8A7C6">
        <w:rPr>
          <w:rFonts w:ascii="Calibri" w:eastAsia="Calibri" w:hAnsi="Calibri" w:cs="Calibri"/>
          <w:sz w:val="24"/>
          <w:szCs w:val="24"/>
        </w:rPr>
        <w:t xml:space="preserve"> their ability to trust, while leaving them feeling unloved, fearful, ashamed and guilty. These women have usually experienced violence and abuse prior to being sexually exploited and </w:t>
      </w:r>
      <w:r>
        <w:rPr>
          <w:rFonts w:ascii="Calibri" w:eastAsia="Calibri" w:hAnsi="Calibri" w:cs="Calibri"/>
          <w:sz w:val="24"/>
          <w:szCs w:val="24"/>
        </w:rPr>
        <w:t>because</w:t>
      </w:r>
      <w:r w:rsidR="2ED8A7C6" w:rsidRPr="2ED8A7C6">
        <w:rPr>
          <w:rFonts w:ascii="Calibri" w:eastAsia="Calibri" w:hAnsi="Calibri" w:cs="Calibri"/>
          <w:sz w:val="24"/>
          <w:szCs w:val="24"/>
        </w:rPr>
        <w:t xml:space="preserve"> of their experiences, are venerable to re-entering the sex trafficking syndicate (Hossain et al., 2010, p 2442). Like torture victims, these individuals have had little or no control over when they sleep, what eat, how many ‘clients’ they accept or whether they can use contraception, and most will have endured physical punishment (Hossain et al., 2010, p 2442). These elements combined can put them at greater risk of suffering with mental health issues, such as Post-Traumatic Stress Disorder (PTSD).   </w:t>
      </w:r>
    </w:p>
    <w:p w14:paraId="7A1BF261" w14:textId="6B749A88" w:rsidR="4500B7D1" w:rsidRDefault="4500B7D1" w:rsidP="002E28CF">
      <w:pPr>
        <w:spacing w:after="0" w:line="480" w:lineRule="auto"/>
        <w:rPr>
          <w:rFonts w:ascii="Calibri" w:eastAsia="Calibri" w:hAnsi="Calibri" w:cs="Calibri"/>
          <w:sz w:val="24"/>
          <w:szCs w:val="24"/>
        </w:rPr>
      </w:pPr>
    </w:p>
    <w:p w14:paraId="214D92AD" w14:textId="00E45D9A" w:rsidR="4500B7D1" w:rsidRDefault="00F84B81" w:rsidP="2ED8A7C6">
      <w:pPr>
        <w:spacing w:after="0" w:line="480" w:lineRule="auto"/>
        <w:rPr>
          <w:rFonts w:ascii="Calibri" w:eastAsia="Calibri" w:hAnsi="Calibri" w:cs="Calibri"/>
          <w:sz w:val="24"/>
          <w:szCs w:val="24"/>
        </w:rPr>
      </w:pPr>
      <w:r>
        <w:rPr>
          <w:rFonts w:ascii="Calibri" w:eastAsia="Calibri" w:hAnsi="Calibri" w:cs="Calibri"/>
          <w:sz w:val="24"/>
          <w:szCs w:val="24"/>
        </w:rPr>
        <w:t xml:space="preserve">     </w:t>
      </w:r>
      <w:r w:rsidR="2ED8A7C6" w:rsidRPr="2ED8A7C6">
        <w:rPr>
          <w:rFonts w:ascii="Calibri" w:eastAsia="Calibri" w:hAnsi="Calibri" w:cs="Calibri"/>
          <w:sz w:val="24"/>
          <w:szCs w:val="24"/>
        </w:rPr>
        <w:t xml:space="preserve">PTSD is identified as a ‘distinct psychiatric condition’ (Meichenbaum, 1994, cited in McLeod and McLeod, 2007, p.264) and can develop in a person </w:t>
      </w:r>
      <w:r w:rsidR="00F143C5">
        <w:rPr>
          <w:rFonts w:ascii="Calibri" w:eastAsia="Calibri" w:hAnsi="Calibri" w:cs="Calibri"/>
          <w:sz w:val="24"/>
          <w:szCs w:val="24"/>
        </w:rPr>
        <w:t>if they have suffered</w:t>
      </w:r>
      <w:r w:rsidR="2ED8A7C6" w:rsidRPr="2ED8A7C6">
        <w:rPr>
          <w:rFonts w:ascii="Calibri" w:eastAsia="Calibri" w:hAnsi="Calibri" w:cs="Calibri"/>
          <w:sz w:val="24"/>
          <w:szCs w:val="24"/>
        </w:rPr>
        <w:t xml:space="preserve"> a threating or traumatic event. </w:t>
      </w:r>
      <w:r w:rsidR="00F143C5" w:rsidRPr="2ED8A7C6">
        <w:rPr>
          <w:rFonts w:ascii="Calibri" w:eastAsia="Calibri" w:hAnsi="Calibri" w:cs="Calibri"/>
          <w:sz w:val="24"/>
          <w:szCs w:val="24"/>
        </w:rPr>
        <w:t xml:space="preserve">The responses of a person’s psycho-neurobiology to experiences such as fear, threat and danger is the cause of PTSD (Herbert, 2017, p. 463). </w:t>
      </w:r>
      <w:r w:rsidR="2ED8A7C6" w:rsidRPr="2ED8A7C6">
        <w:rPr>
          <w:rFonts w:ascii="Calibri" w:eastAsia="Calibri" w:hAnsi="Calibri" w:cs="Calibri"/>
          <w:sz w:val="24"/>
          <w:szCs w:val="24"/>
        </w:rPr>
        <w:t xml:space="preserve">Common symptoms include intrusive memories (flash backs) as well as attempts to avoid thinking about the event(s) in question. Rather than rationalising answers to life events, when something completely unexpected and traumatic occurs, a person may enter an existential thought process and struggle to make sense of why it may have happened. Approximately 25-30% of people suffering such traumatic events may develop PTSD (NICE, 2005, cited in Herbert, 2017, p. 463). Many therapies have been developed specifically for it, but only two have been trialled as effective and are recommended by the National Institute </w:t>
      </w:r>
      <w:r w:rsidR="2ED8A7C6" w:rsidRPr="2ED8A7C6">
        <w:rPr>
          <w:rFonts w:ascii="Calibri" w:eastAsia="Calibri" w:hAnsi="Calibri" w:cs="Calibri"/>
          <w:sz w:val="24"/>
          <w:szCs w:val="24"/>
        </w:rPr>
        <w:lastRenderedPageBreak/>
        <w:t xml:space="preserve">for Health and Care Excellence (NICE), one of which being trauma-focused cognitive behavioural therapy (TF-CBT). </w:t>
      </w:r>
    </w:p>
    <w:p w14:paraId="24875EF1" w14:textId="4CE9F860" w:rsidR="11260709" w:rsidRDefault="11260709" w:rsidP="002E28CF">
      <w:pPr>
        <w:spacing w:after="0" w:line="480" w:lineRule="auto"/>
        <w:rPr>
          <w:rFonts w:ascii="Calibri" w:eastAsia="Calibri" w:hAnsi="Calibri" w:cs="Calibri"/>
          <w:sz w:val="24"/>
          <w:szCs w:val="24"/>
        </w:rPr>
      </w:pPr>
    </w:p>
    <w:p w14:paraId="0CAEDC41" w14:textId="45072BD2" w:rsidR="11260709" w:rsidRDefault="00F84B81" w:rsidP="002E28CF">
      <w:pPr>
        <w:spacing w:after="0" w:line="480" w:lineRule="auto"/>
        <w:rPr>
          <w:rFonts w:ascii="Calibri" w:eastAsia="Calibri" w:hAnsi="Calibri" w:cs="Calibri"/>
          <w:sz w:val="24"/>
          <w:szCs w:val="24"/>
        </w:rPr>
      </w:pPr>
      <w:r>
        <w:rPr>
          <w:rFonts w:ascii="Calibri" w:eastAsia="Calibri" w:hAnsi="Calibri" w:cs="Calibri"/>
          <w:sz w:val="24"/>
          <w:szCs w:val="24"/>
        </w:rPr>
        <w:t xml:space="preserve">     </w:t>
      </w:r>
      <w:r w:rsidR="0B4BD3B6" w:rsidRPr="0B4BD3B6">
        <w:rPr>
          <w:rFonts w:ascii="Calibri" w:eastAsia="Calibri" w:hAnsi="Calibri" w:cs="Calibri"/>
          <w:sz w:val="24"/>
          <w:szCs w:val="24"/>
        </w:rPr>
        <w:t xml:space="preserve">Due to the complicated nature of PTSD, working with it is equally as complex. </w:t>
      </w:r>
      <w:r>
        <w:rPr>
          <w:rFonts w:ascii="Calibri" w:eastAsia="Calibri" w:hAnsi="Calibri" w:cs="Calibri"/>
          <w:sz w:val="24"/>
          <w:szCs w:val="24"/>
        </w:rPr>
        <w:t xml:space="preserve">There are ‘fast fixes’ </w:t>
      </w:r>
      <w:r w:rsidR="0B4BD3B6" w:rsidRPr="0B4BD3B6">
        <w:rPr>
          <w:rFonts w:ascii="Calibri" w:eastAsia="Calibri" w:hAnsi="Calibri" w:cs="Calibri"/>
          <w:sz w:val="24"/>
          <w:szCs w:val="24"/>
        </w:rPr>
        <w:t xml:space="preserve">which are promoted for their ‘so-called’ effectiveness and more damage can be done if these approaches are applied incorrectly (Herbert, 2017, p. 466). TF-CBT, as mentioned earlier, </w:t>
      </w:r>
      <w:r w:rsidR="00FD27C1">
        <w:rPr>
          <w:rFonts w:ascii="Calibri" w:eastAsia="Calibri" w:hAnsi="Calibri" w:cs="Calibri"/>
          <w:sz w:val="24"/>
          <w:szCs w:val="24"/>
        </w:rPr>
        <w:t>has been trialled as effective</w:t>
      </w:r>
      <w:r w:rsidR="0B4BD3B6" w:rsidRPr="0B4BD3B6">
        <w:rPr>
          <w:rFonts w:ascii="Calibri" w:eastAsia="Calibri" w:hAnsi="Calibri" w:cs="Calibri"/>
          <w:sz w:val="24"/>
          <w:szCs w:val="24"/>
        </w:rPr>
        <w:t>. It is a form of therapy that aims to reconnect clients with the trauma in question, which has been so distressing that they have not been able to integrate or regulate it and therefore have shut the memory out, thus leaving the client with a broken version of event(s). When clients reach a point in therapy in which they are ready to reconnect with the traumatic event, exposure to the trauma (</w:t>
      </w:r>
      <w:r w:rsidR="0B4BD3B6" w:rsidRPr="0B4BD3B6">
        <w:rPr>
          <w:rFonts w:ascii="Calibri" w:eastAsia="Calibri" w:hAnsi="Calibri" w:cs="Calibri"/>
          <w:i/>
          <w:iCs/>
          <w:sz w:val="24"/>
          <w:szCs w:val="24"/>
        </w:rPr>
        <w:t>in vivo</w:t>
      </w:r>
      <w:r w:rsidR="0B4BD3B6" w:rsidRPr="0B4BD3B6">
        <w:rPr>
          <w:rFonts w:ascii="Calibri" w:eastAsia="Calibri" w:hAnsi="Calibri" w:cs="Calibri"/>
          <w:sz w:val="24"/>
          <w:szCs w:val="24"/>
        </w:rPr>
        <w:t xml:space="preserve">) takes place. The aim is to construct a coherent narrative around the event(s). However, re-living these traumatic memories may be very difficult as each thread may hold a significant aspect of fear and terror (McLeod and McLeod, 2007, p. 265). </w:t>
      </w:r>
    </w:p>
    <w:p w14:paraId="444B3F13" w14:textId="14DBC957" w:rsidR="11260709" w:rsidRDefault="11260709" w:rsidP="002E28CF">
      <w:pPr>
        <w:spacing w:after="0" w:line="480" w:lineRule="auto"/>
        <w:rPr>
          <w:rFonts w:ascii="Calibri" w:eastAsia="Calibri" w:hAnsi="Calibri" w:cs="Calibri"/>
          <w:sz w:val="24"/>
          <w:szCs w:val="24"/>
        </w:rPr>
      </w:pPr>
    </w:p>
    <w:p w14:paraId="2815DEED" w14:textId="1A76F45F" w:rsidR="0B4BD3B6" w:rsidRDefault="00FD27C1" w:rsidP="2ED8A7C6">
      <w:pPr>
        <w:spacing w:after="0" w:line="480" w:lineRule="auto"/>
        <w:rPr>
          <w:rFonts w:ascii="Calibri" w:eastAsia="Calibri" w:hAnsi="Calibri" w:cs="Calibri"/>
          <w:sz w:val="24"/>
          <w:szCs w:val="24"/>
        </w:rPr>
      </w:pPr>
      <w:r>
        <w:rPr>
          <w:rFonts w:ascii="Calibri" w:eastAsia="Calibri" w:hAnsi="Calibri" w:cs="Calibri"/>
          <w:sz w:val="24"/>
          <w:szCs w:val="24"/>
        </w:rPr>
        <w:t xml:space="preserve">     </w:t>
      </w:r>
      <w:r w:rsidR="2ED8A7C6" w:rsidRPr="2ED8A7C6">
        <w:rPr>
          <w:rFonts w:ascii="Calibri" w:eastAsia="Calibri" w:hAnsi="Calibri" w:cs="Calibri"/>
          <w:sz w:val="24"/>
          <w:szCs w:val="24"/>
        </w:rPr>
        <w:t>Cohen, Mannarino and Deblinger originally developed TF-</w:t>
      </w:r>
      <w:r w:rsidRPr="2ED8A7C6">
        <w:rPr>
          <w:rFonts w:ascii="Calibri" w:eastAsia="Calibri" w:hAnsi="Calibri" w:cs="Calibri"/>
          <w:sz w:val="24"/>
          <w:szCs w:val="24"/>
        </w:rPr>
        <w:t>CBT;</w:t>
      </w:r>
      <w:r>
        <w:rPr>
          <w:rFonts w:ascii="Calibri" w:eastAsia="Calibri" w:hAnsi="Calibri" w:cs="Calibri"/>
          <w:sz w:val="24"/>
          <w:szCs w:val="24"/>
        </w:rPr>
        <w:t xml:space="preserve"> however, </w:t>
      </w:r>
      <w:r w:rsidRPr="2ED8A7C6">
        <w:rPr>
          <w:rFonts w:ascii="Calibri" w:eastAsia="Calibri" w:hAnsi="Calibri" w:cs="Calibri"/>
          <w:sz w:val="24"/>
          <w:szCs w:val="24"/>
        </w:rPr>
        <w:t>Johnson revised it</w:t>
      </w:r>
      <w:r>
        <w:rPr>
          <w:rFonts w:ascii="Calibri" w:eastAsia="Calibri" w:hAnsi="Calibri" w:cs="Calibri"/>
          <w:sz w:val="24"/>
          <w:szCs w:val="24"/>
        </w:rPr>
        <w:t xml:space="preserve"> for</w:t>
      </w:r>
      <w:r w:rsidR="2ED8A7C6" w:rsidRPr="2ED8A7C6">
        <w:rPr>
          <w:rFonts w:ascii="Calibri" w:eastAsia="Calibri" w:hAnsi="Calibri" w:cs="Calibri"/>
          <w:sz w:val="24"/>
          <w:szCs w:val="24"/>
        </w:rPr>
        <w:t xml:space="preserve"> spec</w:t>
      </w:r>
      <w:r>
        <w:rPr>
          <w:rFonts w:ascii="Calibri" w:eastAsia="Calibri" w:hAnsi="Calibri" w:cs="Calibri"/>
          <w:sz w:val="24"/>
          <w:szCs w:val="24"/>
        </w:rPr>
        <w:t>ific</w:t>
      </w:r>
      <w:r w:rsidR="2ED8A7C6" w:rsidRPr="2ED8A7C6">
        <w:rPr>
          <w:rFonts w:ascii="Calibri" w:eastAsia="Calibri" w:hAnsi="Calibri" w:cs="Calibri"/>
          <w:sz w:val="24"/>
          <w:szCs w:val="24"/>
        </w:rPr>
        <w:t xml:space="preserve"> use with survivors of sex trafficking (Harding-Jones, 2019, p. 21). TF-CBT harnesses a combine client-therapist approach, including ‘psychoeducation’ around common reactions to trauma (Herbert, 2017, p. 467).</w:t>
      </w:r>
      <w:r w:rsidR="00BB3EBB">
        <w:rPr>
          <w:rFonts w:ascii="Calibri" w:eastAsia="Calibri" w:hAnsi="Calibri" w:cs="Calibri"/>
          <w:sz w:val="24"/>
          <w:szCs w:val="24"/>
        </w:rPr>
        <w:t xml:space="preserve"> </w:t>
      </w:r>
      <w:r w:rsidR="00BB3EBB" w:rsidRPr="2ED8A7C6">
        <w:rPr>
          <w:rFonts w:ascii="Calibri" w:eastAsia="Calibri" w:hAnsi="Calibri" w:cs="Calibri"/>
          <w:sz w:val="24"/>
          <w:szCs w:val="24"/>
        </w:rPr>
        <w:t>This psychoeducational approach aims to teach clients how to recognise physical symptoms when they are experiencing stress and how to self-sooth and self-regulate when these symptoms are present (Harding-Jones, 2019, p. 21)</w:t>
      </w:r>
      <w:r w:rsidR="2ED8A7C6" w:rsidRPr="2ED8A7C6">
        <w:rPr>
          <w:rFonts w:ascii="Calibri" w:eastAsia="Calibri" w:hAnsi="Calibri" w:cs="Calibri"/>
          <w:sz w:val="24"/>
          <w:szCs w:val="24"/>
        </w:rPr>
        <w:t xml:space="preserve"> It also includes stress-management, exposure and cognitive therapy.</w:t>
      </w:r>
      <w:r w:rsidR="00BB3EBB">
        <w:rPr>
          <w:rFonts w:ascii="Calibri" w:eastAsia="Calibri" w:hAnsi="Calibri" w:cs="Calibri"/>
          <w:sz w:val="24"/>
          <w:szCs w:val="24"/>
        </w:rPr>
        <w:t xml:space="preserve"> </w:t>
      </w:r>
      <w:r w:rsidR="2ED8A7C6" w:rsidRPr="2ED8A7C6">
        <w:rPr>
          <w:rFonts w:ascii="Calibri" w:eastAsia="Calibri" w:hAnsi="Calibri" w:cs="Calibri"/>
          <w:sz w:val="24"/>
          <w:szCs w:val="24"/>
        </w:rPr>
        <w:t xml:space="preserve">It is a model with ten-stages, in which Johnson renamed some of the component titles to ‘client friendly’ language. These titles (since being revised by Johnson) are – Gathering, Learning, Helping, </w:t>
      </w:r>
      <w:r w:rsidR="2ED8A7C6" w:rsidRPr="2ED8A7C6">
        <w:rPr>
          <w:rFonts w:ascii="Calibri" w:eastAsia="Calibri" w:hAnsi="Calibri" w:cs="Calibri"/>
          <w:sz w:val="24"/>
          <w:szCs w:val="24"/>
        </w:rPr>
        <w:lastRenderedPageBreak/>
        <w:t>Relaxing, Feeling, Thinking, Sharing 1a and 1b, Evaluating, Sharing 2 and Living Free, Safe and Well (Harding-Jones, 2018, p. 16). Because of Johnsons work in residential settings, stage 9 - Sharing 2, was to include the trusted support staff in place of the parent/care giver. She also added Sharing 1b to incorporate a platform for clients to share the experiences of the trauma that had been inflicted on them and any trauma they may have been coerced into inflicting on others (Harding-Jones, 2019, p. 21).</w:t>
      </w:r>
    </w:p>
    <w:p w14:paraId="197C9AE6" w14:textId="228766C9" w:rsidR="0B4BD3B6" w:rsidRDefault="0B4BD3B6" w:rsidP="002E28CF">
      <w:pPr>
        <w:spacing w:after="0" w:line="480" w:lineRule="auto"/>
        <w:rPr>
          <w:rFonts w:eastAsiaTheme="minorEastAsia"/>
          <w:sz w:val="24"/>
          <w:szCs w:val="24"/>
        </w:rPr>
      </w:pPr>
    </w:p>
    <w:p w14:paraId="546B5AD9" w14:textId="6CAFD49C" w:rsidR="0B4BD3B6" w:rsidRDefault="00FD27C1" w:rsidP="36D314A4">
      <w:pPr>
        <w:spacing w:after="0" w:line="480" w:lineRule="auto"/>
        <w:rPr>
          <w:rFonts w:eastAsiaTheme="minorEastAsia"/>
          <w:sz w:val="24"/>
          <w:szCs w:val="24"/>
        </w:rPr>
      </w:pPr>
      <w:r>
        <w:rPr>
          <w:rFonts w:eastAsiaTheme="minorEastAsia"/>
          <w:sz w:val="24"/>
          <w:szCs w:val="24"/>
        </w:rPr>
        <w:t xml:space="preserve">     </w:t>
      </w:r>
      <w:r w:rsidR="36D314A4" w:rsidRPr="36D314A4">
        <w:rPr>
          <w:rFonts w:eastAsiaTheme="minorEastAsia"/>
          <w:sz w:val="24"/>
          <w:szCs w:val="24"/>
        </w:rPr>
        <w:t>Although building rapport is not specifically outlined in TF-CBT, research suggests it is an i</w:t>
      </w:r>
      <w:r>
        <w:rPr>
          <w:rFonts w:eastAsiaTheme="minorEastAsia"/>
          <w:sz w:val="24"/>
          <w:szCs w:val="24"/>
        </w:rPr>
        <w:t>mperative part of the process. By u</w:t>
      </w:r>
      <w:r w:rsidR="36D314A4" w:rsidRPr="36D314A4">
        <w:rPr>
          <w:rFonts w:eastAsiaTheme="minorEastAsia"/>
          <w:sz w:val="24"/>
          <w:szCs w:val="24"/>
        </w:rPr>
        <w:t>nderstanding the clien</w:t>
      </w:r>
      <w:r>
        <w:rPr>
          <w:rFonts w:eastAsiaTheme="minorEastAsia"/>
          <w:sz w:val="24"/>
          <w:szCs w:val="24"/>
        </w:rPr>
        <w:t>t’s ‘in life’ experiences, it</w:t>
      </w:r>
      <w:r w:rsidR="36D314A4" w:rsidRPr="36D314A4">
        <w:rPr>
          <w:rFonts w:eastAsiaTheme="minorEastAsia"/>
          <w:sz w:val="24"/>
          <w:szCs w:val="24"/>
        </w:rPr>
        <w:t xml:space="preserve"> allow</w:t>
      </w:r>
      <w:r>
        <w:rPr>
          <w:rFonts w:eastAsiaTheme="minorEastAsia"/>
          <w:sz w:val="24"/>
          <w:szCs w:val="24"/>
        </w:rPr>
        <w:t>s</w:t>
      </w:r>
      <w:r w:rsidR="36D314A4" w:rsidRPr="36D314A4">
        <w:rPr>
          <w:rFonts w:eastAsiaTheme="minorEastAsia"/>
          <w:sz w:val="24"/>
          <w:szCs w:val="24"/>
        </w:rPr>
        <w:t xml:space="preserve"> time for trust to grow (Kenny, Helpingstine, and Weber, 2018, p. 26). A research study conducted by Harding-Jones (2018) evidences that although TF-CBT is an effective approach for the client group, not only would it need to be adapted for client’s background and culture, but also be in embedded within a holistic approach. Harding-Jones' research was carried out within a ‘safe house’ for women survivors of sex trafficking, which consequently allowed for a much wider therapeutic package, which included TF-CBT. The feedback gathered from clients and staff were positive around the use of TF-CBT, however, the </w:t>
      </w:r>
      <w:r w:rsidRPr="36D314A4">
        <w:rPr>
          <w:rFonts w:eastAsiaTheme="minorEastAsia"/>
          <w:sz w:val="24"/>
          <w:szCs w:val="24"/>
        </w:rPr>
        <w:t>feedback</w:t>
      </w:r>
      <w:r w:rsidR="36D314A4" w:rsidRPr="36D314A4">
        <w:rPr>
          <w:rFonts w:eastAsiaTheme="minorEastAsia"/>
          <w:sz w:val="24"/>
          <w:szCs w:val="24"/>
        </w:rPr>
        <w:t xml:space="preserve"> </w:t>
      </w:r>
      <w:r>
        <w:rPr>
          <w:rFonts w:eastAsiaTheme="minorEastAsia"/>
          <w:sz w:val="24"/>
          <w:szCs w:val="24"/>
        </w:rPr>
        <w:t xml:space="preserve">also </w:t>
      </w:r>
      <w:r w:rsidR="36D314A4" w:rsidRPr="36D314A4">
        <w:rPr>
          <w:rFonts w:eastAsiaTheme="minorEastAsia"/>
          <w:sz w:val="24"/>
          <w:szCs w:val="24"/>
        </w:rPr>
        <w:t>evidenced that it was not only the applied model that had made a difference. The presence and availability of someone to listen, that the clients could trust, gave them the freedom to disclose things that had been suppressed. Harding-Jones suggests that the holistic support system offered by the trusted staff and counsellors outside of counselling sessions was an important contribution to increasing the clients' wellbeing</w:t>
      </w:r>
      <w:r w:rsidR="36D314A4" w:rsidRPr="36D314A4">
        <w:rPr>
          <w:rFonts w:ascii="Helvetica" w:eastAsia="Helvetica" w:hAnsi="Helvetica" w:cs="Helvetica"/>
          <w:color w:val="333333"/>
          <w:sz w:val="24"/>
          <w:szCs w:val="24"/>
        </w:rPr>
        <w:t xml:space="preserve">. </w:t>
      </w:r>
      <w:r w:rsidRPr="36D314A4">
        <w:rPr>
          <w:rFonts w:eastAsiaTheme="minorEastAsia"/>
          <w:sz w:val="24"/>
          <w:szCs w:val="24"/>
        </w:rPr>
        <w:t>Others support this notion</w:t>
      </w:r>
      <w:r w:rsidR="36D314A4" w:rsidRPr="36D314A4">
        <w:rPr>
          <w:rFonts w:eastAsiaTheme="minorEastAsia"/>
          <w:sz w:val="24"/>
          <w:szCs w:val="24"/>
        </w:rPr>
        <w:t xml:space="preserve"> such as Liberman, who </w:t>
      </w:r>
      <w:r w:rsidRPr="36D314A4">
        <w:rPr>
          <w:rFonts w:eastAsiaTheme="minorEastAsia"/>
          <w:sz w:val="24"/>
          <w:szCs w:val="24"/>
        </w:rPr>
        <w:t>argues,</w:t>
      </w:r>
      <w:r w:rsidR="36D314A4" w:rsidRPr="36D314A4">
        <w:rPr>
          <w:rFonts w:eastAsiaTheme="minorEastAsia"/>
          <w:sz w:val="24"/>
          <w:szCs w:val="24"/>
        </w:rPr>
        <w:t xml:space="preserve"> “</w:t>
      </w:r>
      <w:r w:rsidRPr="36D314A4">
        <w:rPr>
          <w:rFonts w:eastAsiaTheme="minorEastAsia"/>
          <w:sz w:val="24"/>
          <w:szCs w:val="24"/>
        </w:rPr>
        <w:t>Counselling</w:t>
      </w:r>
      <w:r w:rsidR="36D314A4" w:rsidRPr="36D314A4">
        <w:rPr>
          <w:rFonts w:eastAsiaTheme="minorEastAsia"/>
          <w:sz w:val="24"/>
          <w:szCs w:val="24"/>
        </w:rPr>
        <w:t xml:space="preserve"> should not be seen as an end in itself, nor therapist the lone agent, but as a component in the symphony of support” (2017, </w:t>
      </w:r>
      <w:r w:rsidR="36D314A4" w:rsidRPr="36D314A4">
        <w:rPr>
          <w:rFonts w:eastAsiaTheme="minorEastAsia"/>
          <w:sz w:val="24"/>
          <w:szCs w:val="24"/>
        </w:rPr>
        <w:lastRenderedPageBreak/>
        <w:t xml:space="preserve">cited in Harding-Jones 2019, p. 23). This is backed by Harding-Jones' findings that TF-CBT could be too solution focuses when used alone (Harding-Jones, 2019, p. 22). </w:t>
      </w:r>
    </w:p>
    <w:p w14:paraId="0661AB44" w14:textId="33EE5430" w:rsidR="0B4BD3B6" w:rsidRDefault="0B4BD3B6" w:rsidP="002E28CF">
      <w:pPr>
        <w:spacing w:after="0" w:line="480" w:lineRule="auto"/>
        <w:rPr>
          <w:rFonts w:eastAsiaTheme="minorEastAsia"/>
          <w:sz w:val="24"/>
          <w:szCs w:val="24"/>
        </w:rPr>
      </w:pPr>
    </w:p>
    <w:p w14:paraId="6FD74451" w14:textId="481E216D" w:rsidR="00FD27C1" w:rsidRPr="00874707" w:rsidRDefault="00FD27C1" w:rsidP="2ED8A7C6">
      <w:pPr>
        <w:spacing w:after="0" w:line="480" w:lineRule="auto"/>
        <w:rPr>
          <w:rFonts w:eastAsiaTheme="minorEastAsia"/>
          <w:sz w:val="24"/>
          <w:szCs w:val="24"/>
        </w:rPr>
      </w:pPr>
      <w:r>
        <w:rPr>
          <w:rFonts w:eastAsiaTheme="minorEastAsia"/>
          <w:sz w:val="24"/>
          <w:szCs w:val="24"/>
        </w:rPr>
        <w:t xml:space="preserve">     </w:t>
      </w:r>
      <w:r w:rsidR="2ED8A7C6" w:rsidRPr="2ED8A7C6">
        <w:rPr>
          <w:rFonts w:eastAsiaTheme="minorEastAsia"/>
          <w:sz w:val="24"/>
          <w:szCs w:val="24"/>
        </w:rPr>
        <w:t>However, working collaboratively with clients using the ‘safe-house’ model, Harding-Jones' research exhorts, has its difficulties (Harding-Jones, 2019, p. 22). Challenges such as conflict within confidentiality, a</w:t>
      </w:r>
      <w:r w:rsidR="2ED8A7C6" w:rsidRPr="2ED8A7C6">
        <w:rPr>
          <w:rFonts w:ascii="Calibri" w:eastAsia="Calibri" w:hAnsi="Calibri" w:cs="Calibri"/>
          <w:sz w:val="24"/>
          <w:szCs w:val="24"/>
        </w:rPr>
        <w:t>s the therapeutic relationship continues to exist outside of the counselling sessions.</w:t>
      </w:r>
      <w:r w:rsidR="2ED8A7C6" w:rsidRPr="2ED8A7C6">
        <w:rPr>
          <w:rFonts w:eastAsiaTheme="minorEastAsia"/>
          <w:sz w:val="24"/>
          <w:szCs w:val="24"/>
        </w:rPr>
        <w:t xml:space="preserve"> Issues arising include knowing when to </w:t>
      </w:r>
      <w:r w:rsidR="00BB3EBB">
        <w:rPr>
          <w:rFonts w:eastAsiaTheme="minorEastAsia"/>
          <w:sz w:val="24"/>
          <w:szCs w:val="24"/>
        </w:rPr>
        <w:t>share information with the safe-</w:t>
      </w:r>
      <w:r w:rsidR="2ED8A7C6" w:rsidRPr="2ED8A7C6">
        <w:rPr>
          <w:rFonts w:eastAsiaTheme="minorEastAsia"/>
          <w:sz w:val="24"/>
          <w:szCs w:val="24"/>
        </w:rPr>
        <w:t xml:space="preserve">house staff, and the often occurrence of clients attempting to speak about session content with counsellors in or around the building. Maintaining an Unconditional Positive Regard </w:t>
      </w:r>
      <w:r w:rsidR="00874707">
        <w:rPr>
          <w:rFonts w:eastAsiaTheme="minorEastAsia"/>
          <w:sz w:val="24"/>
          <w:szCs w:val="24"/>
        </w:rPr>
        <w:t>and professional boundaries beco</w:t>
      </w:r>
      <w:r w:rsidR="2ED8A7C6" w:rsidRPr="2ED8A7C6">
        <w:rPr>
          <w:rFonts w:eastAsiaTheme="minorEastAsia"/>
          <w:sz w:val="24"/>
          <w:szCs w:val="24"/>
        </w:rPr>
        <w:t>me compromised with such an in house, holistic approach. Understanding this is critical, as therapists are likely to become frustrated or even burn out (Kenny, Helpingstine, and Weber, 201</w:t>
      </w:r>
      <w:r w:rsidR="00874707">
        <w:rPr>
          <w:rFonts w:eastAsiaTheme="minorEastAsia"/>
          <w:sz w:val="24"/>
          <w:szCs w:val="24"/>
        </w:rPr>
        <w:t xml:space="preserve">8, p. 32). However, the genuine and caring </w:t>
      </w:r>
      <w:r w:rsidR="2ED8A7C6" w:rsidRPr="2ED8A7C6">
        <w:rPr>
          <w:rFonts w:eastAsiaTheme="minorEastAsia"/>
          <w:sz w:val="24"/>
          <w:szCs w:val="24"/>
        </w:rPr>
        <w:t>relationship developed between client and therapist is crucial to the successful outcomes and connecting to the client as an individual on a personal level has a high importance in aiding the client to open up during sessions. (Kenny, Helpingstine, and Weber, 2018, p. 32)</w:t>
      </w:r>
      <w:r w:rsidR="2ED8A7C6" w:rsidRPr="2ED8A7C6">
        <w:rPr>
          <w:rFonts w:ascii="Arial" w:eastAsia="Arial" w:hAnsi="Arial" w:cs="Arial"/>
          <w:color w:val="333333"/>
          <w:sz w:val="24"/>
          <w:szCs w:val="24"/>
        </w:rPr>
        <w:t>.</w:t>
      </w:r>
    </w:p>
    <w:p w14:paraId="4C7D4580" w14:textId="77777777" w:rsidR="00FD27C1" w:rsidRDefault="00FD27C1" w:rsidP="2ED8A7C6">
      <w:pPr>
        <w:spacing w:after="0" w:line="480" w:lineRule="auto"/>
        <w:rPr>
          <w:rFonts w:ascii="Arial" w:eastAsia="Arial" w:hAnsi="Arial" w:cs="Arial"/>
          <w:color w:val="333333"/>
          <w:sz w:val="24"/>
          <w:szCs w:val="24"/>
        </w:rPr>
      </w:pPr>
    </w:p>
    <w:p w14:paraId="2E72F470" w14:textId="534D9449" w:rsidR="0B4BD3B6" w:rsidRPr="00FD27C1" w:rsidRDefault="00FD27C1" w:rsidP="2ED8A7C6">
      <w:pPr>
        <w:spacing w:after="0" w:line="480" w:lineRule="auto"/>
        <w:rPr>
          <w:rFonts w:ascii="Arial" w:eastAsia="Arial" w:hAnsi="Arial" w:cs="Arial"/>
          <w:color w:val="333333"/>
          <w:sz w:val="24"/>
          <w:szCs w:val="24"/>
        </w:rPr>
      </w:pPr>
      <w:r>
        <w:rPr>
          <w:rFonts w:ascii="Arial" w:eastAsia="Arial" w:hAnsi="Arial" w:cs="Arial"/>
          <w:color w:val="333333"/>
          <w:sz w:val="24"/>
          <w:szCs w:val="24"/>
        </w:rPr>
        <w:t xml:space="preserve">     </w:t>
      </w:r>
      <w:r w:rsidR="2ED8A7C6" w:rsidRPr="2ED8A7C6">
        <w:rPr>
          <w:rFonts w:eastAsiaTheme="minorEastAsia"/>
          <w:sz w:val="24"/>
          <w:szCs w:val="24"/>
        </w:rPr>
        <w:t xml:space="preserve">To conclude, TF-CBT is a trialled and effective approach for survivors of sex trafficking that are suffering from PTSD. Its ten-stage model gives a clear and solution focused structure to allow for psychoeducation around self-regulating physical symptoms of anxiety and stress, while also allowing clients to face their trauma in a safe and held environment. From the research papers examined in this essay, it is clear that the model is best effective when integrated into a holistic package, where clients not only benefit from its structure, but also from the fluidity of the interactions and love felt from the counsellors and staff around them. Day to day living in a supported environment gives a platform for growth and </w:t>
      </w:r>
      <w:r w:rsidR="2ED8A7C6" w:rsidRPr="2ED8A7C6">
        <w:rPr>
          <w:rFonts w:eastAsiaTheme="minorEastAsia"/>
          <w:sz w:val="24"/>
          <w:szCs w:val="24"/>
        </w:rPr>
        <w:lastRenderedPageBreak/>
        <w:t xml:space="preserve">healing. Nevertheless, these healing elements of the safe house model would not be sufficient without TF-CBT. The model provides clients with tools to manage their </w:t>
      </w:r>
      <w:r w:rsidRPr="2ED8A7C6">
        <w:rPr>
          <w:rFonts w:eastAsiaTheme="minorEastAsia"/>
          <w:sz w:val="24"/>
          <w:szCs w:val="24"/>
        </w:rPr>
        <w:t>symptoms</w:t>
      </w:r>
      <w:r>
        <w:rPr>
          <w:rFonts w:eastAsiaTheme="minorEastAsia"/>
          <w:sz w:val="24"/>
          <w:szCs w:val="24"/>
        </w:rPr>
        <w:t>,</w:t>
      </w:r>
      <w:r w:rsidR="2ED8A7C6" w:rsidRPr="2ED8A7C6">
        <w:rPr>
          <w:rFonts w:eastAsiaTheme="minorEastAsia"/>
          <w:sz w:val="24"/>
          <w:szCs w:val="24"/>
        </w:rPr>
        <w:t xml:space="preserve"> plan their future positively and face their trauma by using trauma narrative, which all contribute to clients’ progression away from re-victimisation. There is very little research around the approach being applied to this particular client group without the safe house model in place. However, it is evident that being surrounded by love, genuine care and trust are important components in treating the women that have survived sex trafficking, to combat the historic lack of these elements and r</w:t>
      </w:r>
      <w:r w:rsidR="00625549">
        <w:rPr>
          <w:rFonts w:eastAsiaTheme="minorEastAsia"/>
          <w:sz w:val="24"/>
          <w:szCs w:val="24"/>
        </w:rPr>
        <w:t>esearch suggests if clients are</w:t>
      </w:r>
      <w:r w:rsidR="2ED8A7C6" w:rsidRPr="2ED8A7C6">
        <w:rPr>
          <w:rFonts w:eastAsiaTheme="minorEastAsia"/>
          <w:sz w:val="24"/>
          <w:szCs w:val="24"/>
        </w:rPr>
        <w:t xml:space="preserve"> not holistically suppo</w:t>
      </w:r>
      <w:r w:rsidR="00874707">
        <w:rPr>
          <w:rFonts w:eastAsiaTheme="minorEastAsia"/>
          <w:sz w:val="24"/>
          <w:szCs w:val="24"/>
        </w:rPr>
        <w:t>rted</w:t>
      </w:r>
      <w:r w:rsidR="00625549">
        <w:rPr>
          <w:rFonts w:eastAsiaTheme="minorEastAsia"/>
          <w:sz w:val="24"/>
          <w:szCs w:val="24"/>
        </w:rPr>
        <w:t xml:space="preserve"> then </w:t>
      </w:r>
      <w:r w:rsidR="2ED8A7C6" w:rsidRPr="2ED8A7C6">
        <w:rPr>
          <w:rFonts w:eastAsiaTheme="minorEastAsia"/>
          <w:sz w:val="24"/>
          <w:szCs w:val="24"/>
        </w:rPr>
        <w:t>therapy can have</w:t>
      </w:r>
      <w:r w:rsidR="00625549">
        <w:rPr>
          <w:rFonts w:eastAsiaTheme="minorEastAsia"/>
          <w:sz w:val="24"/>
          <w:szCs w:val="24"/>
        </w:rPr>
        <w:t xml:space="preserve"> only a limited impact</w:t>
      </w:r>
      <w:r w:rsidR="2ED8A7C6" w:rsidRPr="2ED8A7C6">
        <w:rPr>
          <w:rFonts w:eastAsiaTheme="minorEastAsia"/>
          <w:b/>
          <w:bCs/>
          <w:sz w:val="24"/>
          <w:szCs w:val="24"/>
        </w:rPr>
        <w:t xml:space="preserve">. </w:t>
      </w:r>
      <w:r w:rsidR="2ED8A7C6" w:rsidRPr="2ED8A7C6">
        <w:rPr>
          <w:rFonts w:eastAsiaTheme="minorEastAsia"/>
          <w:sz w:val="24"/>
          <w:szCs w:val="24"/>
        </w:rPr>
        <w:t xml:space="preserve">TF-CBT offers a constructive place </w:t>
      </w:r>
      <w:bookmarkStart w:id="0" w:name="_GoBack"/>
      <w:r w:rsidR="2ED8A7C6" w:rsidRPr="2ED8A7C6">
        <w:rPr>
          <w:rFonts w:eastAsiaTheme="minorEastAsia"/>
          <w:sz w:val="24"/>
          <w:szCs w:val="24"/>
        </w:rPr>
        <w:t xml:space="preserve">to </w:t>
      </w:r>
      <w:bookmarkEnd w:id="0"/>
      <w:r w:rsidR="2ED8A7C6" w:rsidRPr="2ED8A7C6">
        <w:rPr>
          <w:rFonts w:eastAsiaTheme="minorEastAsia"/>
          <w:sz w:val="24"/>
          <w:szCs w:val="24"/>
        </w:rPr>
        <w:t>sta</w:t>
      </w:r>
      <w:r w:rsidR="00874707">
        <w:rPr>
          <w:rFonts w:eastAsiaTheme="minorEastAsia"/>
          <w:sz w:val="24"/>
          <w:szCs w:val="24"/>
        </w:rPr>
        <w:t>rt but recognising the underlyi</w:t>
      </w:r>
      <w:r w:rsidR="2ED8A7C6" w:rsidRPr="2ED8A7C6">
        <w:rPr>
          <w:rFonts w:eastAsiaTheme="minorEastAsia"/>
          <w:sz w:val="24"/>
          <w:szCs w:val="24"/>
        </w:rPr>
        <w:t xml:space="preserve">ng need for a person-centred approach and emphasising the therapeutic relationship is highly important for the success of this client group, to continue forward safely, healthily and free. </w:t>
      </w:r>
    </w:p>
    <w:p w14:paraId="58DB043B" w14:textId="7193C8A0" w:rsidR="11260709" w:rsidRDefault="11260709" w:rsidP="0B4BD3B6">
      <w:pPr>
        <w:rPr>
          <w:rFonts w:ascii="Calibri" w:eastAsia="Calibri" w:hAnsi="Calibri" w:cs="Calibri"/>
          <w:sz w:val="24"/>
          <w:szCs w:val="24"/>
        </w:rPr>
      </w:pPr>
    </w:p>
    <w:p w14:paraId="51E853BB" w14:textId="1F3139A3" w:rsidR="11260709" w:rsidRDefault="11260709" w:rsidP="0B4BD3B6">
      <w:pPr>
        <w:rPr>
          <w:rFonts w:ascii="Calibri" w:eastAsia="Calibri" w:hAnsi="Calibri" w:cs="Calibri"/>
          <w:sz w:val="24"/>
          <w:szCs w:val="24"/>
        </w:rPr>
      </w:pPr>
    </w:p>
    <w:p w14:paraId="58321E27" w14:textId="77777777" w:rsidR="002E28CF" w:rsidRDefault="002E28CF" w:rsidP="0B4BD3B6">
      <w:pPr>
        <w:rPr>
          <w:rFonts w:ascii="Calibri" w:eastAsia="Calibri" w:hAnsi="Calibri" w:cs="Calibri"/>
          <w:sz w:val="24"/>
          <w:szCs w:val="24"/>
        </w:rPr>
      </w:pPr>
    </w:p>
    <w:p w14:paraId="4FF6EC3B" w14:textId="77777777" w:rsidR="002E28CF" w:rsidRDefault="002E28CF" w:rsidP="0B4BD3B6">
      <w:pPr>
        <w:rPr>
          <w:rFonts w:ascii="Calibri" w:eastAsia="Calibri" w:hAnsi="Calibri" w:cs="Calibri"/>
          <w:sz w:val="24"/>
          <w:szCs w:val="24"/>
        </w:rPr>
      </w:pPr>
    </w:p>
    <w:p w14:paraId="5128160A" w14:textId="77777777" w:rsidR="002E28CF" w:rsidRDefault="002E28CF" w:rsidP="0B4BD3B6">
      <w:pPr>
        <w:rPr>
          <w:rFonts w:ascii="Calibri" w:eastAsia="Calibri" w:hAnsi="Calibri" w:cs="Calibri"/>
          <w:sz w:val="24"/>
          <w:szCs w:val="24"/>
        </w:rPr>
      </w:pPr>
    </w:p>
    <w:p w14:paraId="319D0939" w14:textId="77777777" w:rsidR="002E28CF" w:rsidRDefault="002E28CF" w:rsidP="0B4BD3B6">
      <w:pPr>
        <w:rPr>
          <w:rFonts w:ascii="Calibri" w:eastAsia="Calibri" w:hAnsi="Calibri" w:cs="Calibri"/>
          <w:sz w:val="24"/>
          <w:szCs w:val="24"/>
        </w:rPr>
      </w:pPr>
    </w:p>
    <w:p w14:paraId="68927507" w14:textId="77777777" w:rsidR="002E28CF" w:rsidRDefault="002E28CF" w:rsidP="0B4BD3B6">
      <w:pPr>
        <w:rPr>
          <w:rFonts w:ascii="Calibri" w:eastAsia="Calibri" w:hAnsi="Calibri" w:cs="Calibri"/>
          <w:sz w:val="24"/>
          <w:szCs w:val="24"/>
        </w:rPr>
      </w:pPr>
    </w:p>
    <w:p w14:paraId="7256FC59" w14:textId="77777777" w:rsidR="002E28CF" w:rsidRDefault="002E28CF" w:rsidP="0B4BD3B6">
      <w:pPr>
        <w:rPr>
          <w:rFonts w:ascii="Calibri" w:eastAsia="Calibri" w:hAnsi="Calibri" w:cs="Calibri"/>
          <w:sz w:val="24"/>
          <w:szCs w:val="24"/>
        </w:rPr>
      </w:pPr>
    </w:p>
    <w:p w14:paraId="5A2CF193" w14:textId="77777777" w:rsidR="002E28CF" w:rsidRDefault="002E28CF" w:rsidP="0B4BD3B6">
      <w:pPr>
        <w:rPr>
          <w:rFonts w:ascii="Calibri" w:eastAsia="Calibri" w:hAnsi="Calibri" w:cs="Calibri"/>
          <w:sz w:val="24"/>
          <w:szCs w:val="24"/>
        </w:rPr>
      </w:pPr>
    </w:p>
    <w:p w14:paraId="5917479B" w14:textId="77777777" w:rsidR="002E28CF" w:rsidRDefault="002E28CF" w:rsidP="0B4BD3B6">
      <w:pPr>
        <w:rPr>
          <w:rFonts w:ascii="Calibri" w:eastAsia="Calibri" w:hAnsi="Calibri" w:cs="Calibri"/>
          <w:sz w:val="24"/>
          <w:szCs w:val="24"/>
        </w:rPr>
      </w:pPr>
    </w:p>
    <w:p w14:paraId="1179B1D1" w14:textId="77777777" w:rsidR="002E28CF" w:rsidRDefault="002E28CF" w:rsidP="0B4BD3B6">
      <w:pPr>
        <w:rPr>
          <w:rFonts w:ascii="Calibri" w:eastAsia="Calibri" w:hAnsi="Calibri" w:cs="Calibri"/>
          <w:sz w:val="24"/>
          <w:szCs w:val="24"/>
        </w:rPr>
      </w:pPr>
    </w:p>
    <w:p w14:paraId="1E0912E1" w14:textId="77777777" w:rsidR="002E28CF" w:rsidRDefault="002E28CF" w:rsidP="0B4BD3B6">
      <w:pPr>
        <w:rPr>
          <w:rFonts w:ascii="Calibri" w:eastAsia="Calibri" w:hAnsi="Calibri" w:cs="Calibri"/>
          <w:sz w:val="24"/>
          <w:szCs w:val="24"/>
        </w:rPr>
      </w:pPr>
    </w:p>
    <w:p w14:paraId="6EB534C0" w14:textId="77777777" w:rsidR="002E28CF" w:rsidRDefault="002E28CF" w:rsidP="0B4BD3B6">
      <w:pPr>
        <w:rPr>
          <w:rFonts w:ascii="Calibri" w:eastAsia="Calibri" w:hAnsi="Calibri" w:cs="Calibri"/>
          <w:sz w:val="24"/>
          <w:szCs w:val="24"/>
        </w:rPr>
      </w:pPr>
    </w:p>
    <w:p w14:paraId="08CCD567" w14:textId="77777777" w:rsidR="002E28CF" w:rsidRDefault="002E28CF" w:rsidP="0B4BD3B6">
      <w:pPr>
        <w:rPr>
          <w:rFonts w:ascii="Calibri" w:eastAsia="Calibri" w:hAnsi="Calibri" w:cs="Calibri"/>
          <w:sz w:val="24"/>
          <w:szCs w:val="24"/>
        </w:rPr>
      </w:pPr>
    </w:p>
    <w:p w14:paraId="2F270BD3" w14:textId="77777777" w:rsidR="00625549" w:rsidRDefault="00625549" w:rsidP="0B4BD3B6">
      <w:pPr>
        <w:rPr>
          <w:rFonts w:ascii="Calibri" w:eastAsia="Calibri" w:hAnsi="Calibri" w:cs="Calibri"/>
          <w:sz w:val="24"/>
          <w:szCs w:val="24"/>
          <w:u w:val="single"/>
        </w:rPr>
      </w:pPr>
    </w:p>
    <w:p w14:paraId="374AFB85" w14:textId="4A2CAE49" w:rsidR="4500B7D1" w:rsidRPr="00F23023" w:rsidRDefault="0B4BD3B6" w:rsidP="0B4BD3B6">
      <w:pPr>
        <w:rPr>
          <w:rFonts w:eastAsiaTheme="minorEastAsia"/>
          <w:sz w:val="24"/>
          <w:szCs w:val="24"/>
          <w:u w:val="single"/>
        </w:rPr>
      </w:pPr>
      <w:r w:rsidRPr="00F23023">
        <w:rPr>
          <w:rFonts w:ascii="Calibri" w:eastAsia="Calibri" w:hAnsi="Calibri" w:cs="Calibri"/>
          <w:sz w:val="24"/>
          <w:szCs w:val="24"/>
          <w:u w:val="single"/>
        </w:rPr>
        <w:t xml:space="preserve">Reference List - </w:t>
      </w:r>
    </w:p>
    <w:p w14:paraId="5FA5A159" w14:textId="3F0FE7F4" w:rsidR="4500B7D1" w:rsidRDefault="4500B7D1" w:rsidP="0B4BD3B6">
      <w:pPr>
        <w:rPr>
          <w:rFonts w:eastAsiaTheme="minorEastAsia"/>
          <w:sz w:val="24"/>
          <w:szCs w:val="24"/>
        </w:rPr>
      </w:pPr>
    </w:p>
    <w:p w14:paraId="65619446" w14:textId="17F9AF69" w:rsidR="4500B7D1" w:rsidRDefault="0B4BD3B6" w:rsidP="0B4BD3B6">
      <w:pPr>
        <w:rPr>
          <w:rFonts w:eastAsiaTheme="minorEastAsia"/>
          <w:sz w:val="24"/>
          <w:szCs w:val="24"/>
        </w:rPr>
      </w:pPr>
      <w:r w:rsidRPr="0B4BD3B6">
        <w:rPr>
          <w:rFonts w:eastAsiaTheme="minorEastAsia"/>
          <w:sz w:val="24"/>
          <w:szCs w:val="24"/>
        </w:rPr>
        <w:t xml:space="preserve">Harding-Jones, C. (2018) ‘Counselling Sex Trafficked Clients Using Trauma-Focused Cognitive Behavioural Therapy’, </w:t>
      </w:r>
      <w:r w:rsidRPr="0B4BD3B6">
        <w:rPr>
          <w:rFonts w:eastAsiaTheme="minorEastAsia"/>
          <w:i/>
          <w:iCs/>
          <w:sz w:val="24"/>
          <w:szCs w:val="24"/>
        </w:rPr>
        <w:t xml:space="preserve">Healthcare Counselling &amp; Psychotherapy Journal, </w:t>
      </w:r>
      <w:r w:rsidRPr="0B4BD3B6">
        <w:rPr>
          <w:rFonts w:eastAsiaTheme="minorEastAsia"/>
          <w:sz w:val="24"/>
          <w:szCs w:val="24"/>
        </w:rPr>
        <w:t>18(2), pp. 16-19.</w:t>
      </w:r>
    </w:p>
    <w:p w14:paraId="3882284A" w14:textId="3CE0B600" w:rsidR="4500B7D1" w:rsidRDefault="4500B7D1" w:rsidP="0B4BD3B6">
      <w:pPr>
        <w:rPr>
          <w:rFonts w:ascii="Calibri" w:eastAsia="Calibri" w:hAnsi="Calibri" w:cs="Calibri"/>
          <w:sz w:val="24"/>
          <w:szCs w:val="24"/>
        </w:rPr>
      </w:pPr>
    </w:p>
    <w:p w14:paraId="57A81C3A" w14:textId="52D1A806" w:rsidR="4500B7D1" w:rsidRDefault="0B4BD3B6" w:rsidP="0B4BD3B6">
      <w:pPr>
        <w:rPr>
          <w:rFonts w:eastAsiaTheme="minorEastAsia"/>
          <w:sz w:val="24"/>
          <w:szCs w:val="24"/>
        </w:rPr>
      </w:pPr>
      <w:r w:rsidRPr="0B4BD3B6">
        <w:rPr>
          <w:rFonts w:eastAsiaTheme="minorEastAsia"/>
          <w:sz w:val="24"/>
          <w:szCs w:val="24"/>
        </w:rPr>
        <w:t xml:space="preserve">Harding-Jones, C. (2019) ‘Counselling Survivors of Sex Trafficking’, </w:t>
      </w:r>
      <w:r w:rsidRPr="0B4BD3B6">
        <w:rPr>
          <w:rFonts w:eastAsiaTheme="minorEastAsia"/>
          <w:i/>
          <w:iCs/>
          <w:sz w:val="24"/>
          <w:szCs w:val="24"/>
        </w:rPr>
        <w:t xml:space="preserve">Therapy Today, </w:t>
      </w:r>
      <w:r w:rsidRPr="0B4BD3B6">
        <w:rPr>
          <w:rFonts w:eastAsiaTheme="minorEastAsia"/>
          <w:sz w:val="24"/>
          <w:szCs w:val="24"/>
        </w:rPr>
        <w:t>30(1), pp. 21-24.</w:t>
      </w:r>
    </w:p>
    <w:p w14:paraId="02C30CC4" w14:textId="642F72BC" w:rsidR="4500B7D1" w:rsidRDefault="4500B7D1" w:rsidP="0B4BD3B6">
      <w:pPr>
        <w:rPr>
          <w:rFonts w:ascii="Calibri" w:eastAsia="Calibri" w:hAnsi="Calibri" w:cs="Calibri"/>
          <w:sz w:val="24"/>
          <w:szCs w:val="24"/>
        </w:rPr>
      </w:pPr>
    </w:p>
    <w:p w14:paraId="56FE66CE" w14:textId="77777777" w:rsidR="00F823FB" w:rsidRDefault="0B4BD3B6" w:rsidP="0B4BD3B6">
      <w:pPr>
        <w:rPr>
          <w:rFonts w:eastAsiaTheme="minorEastAsia"/>
          <w:sz w:val="24"/>
          <w:szCs w:val="24"/>
        </w:rPr>
      </w:pPr>
      <w:r w:rsidRPr="0B4BD3B6">
        <w:rPr>
          <w:rFonts w:eastAsiaTheme="minorEastAsia"/>
          <w:sz w:val="24"/>
          <w:szCs w:val="24"/>
        </w:rPr>
        <w:t xml:space="preserve">Herbert, C. (2017) ‘Post-Traumatic Stress Disorder’, in Feltham, C., Hanley, T. and Winter, L. A. (ed.) </w:t>
      </w:r>
      <w:r w:rsidRPr="0B4BD3B6">
        <w:rPr>
          <w:rFonts w:eastAsiaTheme="minorEastAsia"/>
          <w:i/>
          <w:iCs/>
          <w:sz w:val="24"/>
          <w:szCs w:val="24"/>
        </w:rPr>
        <w:t xml:space="preserve">The SAGE Handbook of Counselling and Psychotherapy. </w:t>
      </w:r>
      <w:r w:rsidRPr="0B4BD3B6">
        <w:rPr>
          <w:rFonts w:eastAsiaTheme="minorEastAsia"/>
          <w:sz w:val="24"/>
          <w:szCs w:val="24"/>
        </w:rPr>
        <w:t>London: SAGE Publications Ltd.</w:t>
      </w:r>
    </w:p>
    <w:p w14:paraId="71FB68BE" w14:textId="77777777" w:rsidR="00F823FB" w:rsidRDefault="00F823FB" w:rsidP="0B4BD3B6">
      <w:pPr>
        <w:rPr>
          <w:rFonts w:eastAsiaTheme="minorEastAsia"/>
          <w:sz w:val="24"/>
          <w:szCs w:val="24"/>
        </w:rPr>
      </w:pPr>
    </w:p>
    <w:p w14:paraId="1382240E" w14:textId="62264A40" w:rsidR="4500B7D1" w:rsidRPr="00F823FB" w:rsidRDefault="0B4BD3B6" w:rsidP="0B4BD3B6">
      <w:pPr>
        <w:rPr>
          <w:rFonts w:eastAsiaTheme="minorEastAsia"/>
          <w:sz w:val="24"/>
          <w:szCs w:val="24"/>
        </w:rPr>
      </w:pPr>
      <w:r w:rsidRPr="0B4BD3B6">
        <w:rPr>
          <w:rFonts w:ascii="Calibri" w:eastAsia="Calibri" w:hAnsi="Calibri" w:cs="Calibri"/>
          <w:sz w:val="24"/>
          <w:szCs w:val="24"/>
        </w:rPr>
        <w:t>Hossain, M. et al. (2010) ‘</w:t>
      </w:r>
      <w:r w:rsidRPr="0B4BD3B6">
        <w:rPr>
          <w:rFonts w:eastAsiaTheme="minorEastAsia"/>
          <w:sz w:val="24"/>
          <w:szCs w:val="24"/>
        </w:rPr>
        <w:t xml:space="preserve">The Relationship of Trauma to Mental Disorders Among Trafficked and Sexually Exploited Girls and Women’, </w:t>
      </w:r>
      <w:r w:rsidRPr="0B4BD3B6">
        <w:rPr>
          <w:rFonts w:eastAsiaTheme="minorEastAsia"/>
          <w:i/>
          <w:iCs/>
          <w:sz w:val="24"/>
          <w:szCs w:val="24"/>
        </w:rPr>
        <w:t xml:space="preserve">American Journal </w:t>
      </w:r>
      <w:r w:rsidRPr="0B4BD3B6">
        <w:rPr>
          <w:rFonts w:eastAsiaTheme="minorEastAsia"/>
          <w:sz w:val="24"/>
          <w:szCs w:val="24"/>
        </w:rPr>
        <w:t>of</w:t>
      </w:r>
      <w:r w:rsidRPr="0B4BD3B6">
        <w:rPr>
          <w:rFonts w:eastAsiaTheme="minorEastAsia"/>
          <w:i/>
          <w:iCs/>
          <w:sz w:val="24"/>
          <w:szCs w:val="24"/>
        </w:rPr>
        <w:t xml:space="preserve"> Public Health, </w:t>
      </w:r>
      <w:r w:rsidRPr="0B4BD3B6">
        <w:rPr>
          <w:rFonts w:eastAsiaTheme="minorEastAsia"/>
          <w:sz w:val="24"/>
          <w:szCs w:val="24"/>
        </w:rPr>
        <w:t>100(12), pp. 2442–2449.</w:t>
      </w:r>
    </w:p>
    <w:p w14:paraId="34B39333" w14:textId="2F92323C" w:rsidR="4500B7D1" w:rsidRDefault="4500B7D1" w:rsidP="0B4BD3B6">
      <w:pPr>
        <w:rPr>
          <w:rFonts w:eastAsiaTheme="minorEastAsia"/>
          <w:sz w:val="24"/>
          <w:szCs w:val="24"/>
        </w:rPr>
      </w:pPr>
    </w:p>
    <w:p w14:paraId="37132C81" w14:textId="77777777" w:rsidR="00F823FB" w:rsidRDefault="0B4BD3B6" w:rsidP="62269C5B">
      <w:pPr>
        <w:rPr>
          <w:rFonts w:ascii="Calibri" w:eastAsia="Calibri" w:hAnsi="Calibri" w:cs="Calibri"/>
          <w:sz w:val="24"/>
          <w:szCs w:val="24"/>
        </w:rPr>
      </w:pPr>
      <w:r w:rsidRPr="0B4BD3B6">
        <w:rPr>
          <w:rFonts w:ascii="Calibri" w:eastAsia="Calibri" w:hAnsi="Calibri" w:cs="Calibri"/>
          <w:sz w:val="24"/>
          <w:szCs w:val="24"/>
        </w:rPr>
        <w:t xml:space="preserve">International Labour Organization (2017) </w:t>
      </w:r>
      <w:r w:rsidRPr="0B4BD3B6">
        <w:rPr>
          <w:rFonts w:ascii="Calibri" w:eastAsia="Calibri" w:hAnsi="Calibri" w:cs="Calibri"/>
          <w:i/>
          <w:iCs/>
          <w:sz w:val="24"/>
          <w:szCs w:val="24"/>
        </w:rPr>
        <w:t xml:space="preserve">Forced Labour, Modern Slavery and Human Trafficking. </w:t>
      </w:r>
      <w:r w:rsidRPr="0B4BD3B6">
        <w:rPr>
          <w:rFonts w:ascii="Calibri" w:eastAsia="Calibri" w:hAnsi="Calibri" w:cs="Calibri"/>
          <w:sz w:val="24"/>
          <w:szCs w:val="24"/>
        </w:rPr>
        <w:t xml:space="preserve">Available at: </w:t>
      </w:r>
      <w:hyperlink r:id="rId8">
        <w:r w:rsidRPr="0B4BD3B6">
          <w:rPr>
            <w:rStyle w:val="Hyperlink"/>
            <w:rFonts w:ascii="Calibri" w:eastAsia="Calibri" w:hAnsi="Calibri" w:cs="Calibri"/>
            <w:color w:val="auto"/>
            <w:sz w:val="24"/>
            <w:szCs w:val="24"/>
          </w:rPr>
          <w:t>http://www.ilo.org/global/topics/forced-labour/lang--en/index.htm</w:t>
        </w:r>
      </w:hyperlink>
      <w:r w:rsidRPr="0B4BD3B6">
        <w:rPr>
          <w:rFonts w:ascii="Calibri" w:eastAsia="Calibri" w:hAnsi="Calibri" w:cs="Calibri"/>
          <w:sz w:val="24"/>
          <w:szCs w:val="24"/>
        </w:rPr>
        <w:t xml:space="preserve"> (Accessed: 2</w:t>
      </w:r>
      <w:r w:rsidRPr="0B4BD3B6">
        <w:rPr>
          <w:rFonts w:ascii="Calibri" w:eastAsia="Calibri" w:hAnsi="Calibri" w:cs="Calibri"/>
          <w:sz w:val="24"/>
          <w:szCs w:val="24"/>
          <w:vertAlign w:val="superscript"/>
        </w:rPr>
        <w:t>nd</w:t>
      </w:r>
      <w:r w:rsidRPr="0B4BD3B6">
        <w:rPr>
          <w:rFonts w:ascii="Calibri" w:eastAsia="Calibri" w:hAnsi="Calibri" w:cs="Calibri"/>
          <w:sz w:val="24"/>
          <w:szCs w:val="24"/>
        </w:rPr>
        <w:t xml:space="preserve"> April 2019).</w:t>
      </w:r>
    </w:p>
    <w:p w14:paraId="187FE0C1" w14:textId="77777777" w:rsidR="00F823FB" w:rsidRDefault="00F823FB" w:rsidP="62269C5B">
      <w:pPr>
        <w:rPr>
          <w:rFonts w:ascii="Calibri" w:eastAsia="Calibri" w:hAnsi="Calibri" w:cs="Calibri"/>
          <w:sz w:val="24"/>
          <w:szCs w:val="24"/>
        </w:rPr>
      </w:pPr>
    </w:p>
    <w:p w14:paraId="7590B32E" w14:textId="7423B266" w:rsidR="4500B7D1" w:rsidRPr="00F823FB" w:rsidRDefault="0B4BD3B6" w:rsidP="62269C5B">
      <w:pPr>
        <w:rPr>
          <w:rFonts w:ascii="Calibri" w:eastAsia="Calibri" w:hAnsi="Calibri" w:cs="Calibri"/>
          <w:sz w:val="24"/>
          <w:szCs w:val="24"/>
        </w:rPr>
      </w:pPr>
      <w:r w:rsidRPr="00F823FB">
        <w:rPr>
          <w:sz w:val="24"/>
        </w:rPr>
        <w:t xml:space="preserve">Kenny, M. C., Helpingstine, C. E. and Weber, M. (2018) ‘Treatment of a Commercially Sexually Abused Girl Using Trauma-Focused Cognitive Behavioural Therapy and Legal Interventions’, </w:t>
      </w:r>
      <w:r w:rsidRPr="00F823FB">
        <w:rPr>
          <w:i/>
          <w:iCs/>
          <w:sz w:val="24"/>
        </w:rPr>
        <w:t xml:space="preserve">SAGE Journals, </w:t>
      </w:r>
      <w:r w:rsidRPr="00F823FB">
        <w:rPr>
          <w:sz w:val="24"/>
        </w:rPr>
        <w:t>18(1), pp. 18-35.</w:t>
      </w:r>
    </w:p>
    <w:p w14:paraId="03D44E8F" w14:textId="68B9CA64" w:rsidR="4500B7D1" w:rsidRDefault="4500B7D1" w:rsidP="0B4BD3B6">
      <w:pPr>
        <w:rPr>
          <w:rFonts w:ascii="Calibri" w:eastAsia="Calibri" w:hAnsi="Calibri" w:cs="Calibri"/>
          <w:sz w:val="24"/>
          <w:szCs w:val="24"/>
        </w:rPr>
      </w:pPr>
    </w:p>
    <w:p w14:paraId="38C6844B" w14:textId="77777777" w:rsidR="00F823FB" w:rsidRDefault="0B4BD3B6" w:rsidP="62269C5B">
      <w:r w:rsidRPr="0B4BD3B6">
        <w:rPr>
          <w:rFonts w:ascii="Calibri" w:eastAsia="Calibri" w:hAnsi="Calibri" w:cs="Calibri"/>
          <w:sz w:val="24"/>
          <w:szCs w:val="24"/>
        </w:rPr>
        <w:t xml:space="preserve">Legislation.gov.uk (1998) </w:t>
      </w:r>
      <w:r w:rsidRPr="0B4BD3B6">
        <w:rPr>
          <w:rFonts w:ascii="Calibri" w:eastAsia="Calibri" w:hAnsi="Calibri" w:cs="Calibri"/>
          <w:i/>
          <w:iCs/>
          <w:sz w:val="24"/>
          <w:szCs w:val="24"/>
        </w:rPr>
        <w:t xml:space="preserve">Human Rights Act. </w:t>
      </w:r>
      <w:r w:rsidRPr="0B4BD3B6">
        <w:rPr>
          <w:rFonts w:ascii="Calibri" w:eastAsia="Calibri" w:hAnsi="Calibri" w:cs="Calibri"/>
          <w:sz w:val="24"/>
          <w:szCs w:val="24"/>
        </w:rPr>
        <w:t xml:space="preserve">Available at: </w:t>
      </w:r>
      <w:hyperlink r:id="rId9">
        <w:r w:rsidRPr="0B4BD3B6">
          <w:rPr>
            <w:rStyle w:val="Hyperlink"/>
            <w:rFonts w:ascii="Calibri" w:eastAsia="Calibri" w:hAnsi="Calibri" w:cs="Calibri"/>
            <w:color w:val="auto"/>
            <w:sz w:val="24"/>
            <w:szCs w:val="24"/>
          </w:rPr>
          <w:t>https://www.legislation.gov.uk/ukpga/1998/42/contents</w:t>
        </w:r>
      </w:hyperlink>
      <w:r w:rsidRPr="0B4BD3B6">
        <w:rPr>
          <w:rFonts w:ascii="Calibri" w:eastAsia="Calibri" w:hAnsi="Calibri" w:cs="Calibri"/>
          <w:sz w:val="24"/>
          <w:szCs w:val="24"/>
        </w:rPr>
        <w:t xml:space="preserve"> (Accessed: 12</w:t>
      </w:r>
      <w:r w:rsidRPr="0B4BD3B6">
        <w:rPr>
          <w:rFonts w:ascii="Calibri" w:eastAsia="Calibri" w:hAnsi="Calibri" w:cs="Calibri"/>
          <w:sz w:val="24"/>
          <w:szCs w:val="24"/>
          <w:vertAlign w:val="superscript"/>
        </w:rPr>
        <w:t>th</w:t>
      </w:r>
      <w:r w:rsidRPr="0B4BD3B6">
        <w:rPr>
          <w:rFonts w:ascii="Calibri" w:eastAsia="Calibri" w:hAnsi="Calibri" w:cs="Calibri"/>
          <w:sz w:val="24"/>
          <w:szCs w:val="24"/>
        </w:rPr>
        <w:t xml:space="preserve"> April 2019).</w:t>
      </w:r>
    </w:p>
    <w:p w14:paraId="5964E731" w14:textId="77777777" w:rsidR="00F823FB" w:rsidRDefault="00F823FB" w:rsidP="62269C5B"/>
    <w:p w14:paraId="56940302" w14:textId="6EDAC282" w:rsidR="4500B7D1" w:rsidRDefault="0B4BD3B6" w:rsidP="62269C5B">
      <w:r w:rsidRPr="0B4BD3B6">
        <w:rPr>
          <w:rFonts w:eastAsiaTheme="minorEastAsia"/>
          <w:sz w:val="24"/>
          <w:szCs w:val="24"/>
        </w:rPr>
        <w:t xml:space="preserve">McLeod, J. and McLeod, J. (2007) </w:t>
      </w:r>
      <w:r w:rsidRPr="0B4BD3B6">
        <w:rPr>
          <w:rFonts w:eastAsiaTheme="minorEastAsia"/>
          <w:i/>
          <w:iCs/>
          <w:sz w:val="24"/>
          <w:szCs w:val="24"/>
        </w:rPr>
        <w:t xml:space="preserve">Counselling Skills: A Practical Guide for Counsellors and Helping Professionals. </w:t>
      </w:r>
      <w:r w:rsidRPr="0B4BD3B6">
        <w:rPr>
          <w:rFonts w:eastAsiaTheme="minorEastAsia"/>
          <w:sz w:val="24"/>
          <w:szCs w:val="24"/>
        </w:rPr>
        <w:t>2</w:t>
      </w:r>
      <w:r w:rsidRPr="0B4BD3B6">
        <w:rPr>
          <w:rFonts w:eastAsiaTheme="minorEastAsia"/>
          <w:sz w:val="24"/>
          <w:szCs w:val="24"/>
          <w:vertAlign w:val="superscript"/>
        </w:rPr>
        <w:t>nd</w:t>
      </w:r>
      <w:r w:rsidRPr="0B4BD3B6">
        <w:rPr>
          <w:rFonts w:eastAsiaTheme="minorEastAsia"/>
          <w:sz w:val="24"/>
          <w:szCs w:val="24"/>
        </w:rPr>
        <w:t xml:space="preserve"> Ed. Maidenhead: Open University Press.</w:t>
      </w:r>
    </w:p>
    <w:p w14:paraId="4E889871" w14:textId="602C0AD9" w:rsidR="4500B7D1" w:rsidRDefault="4500B7D1" w:rsidP="62269C5B"/>
    <w:p w14:paraId="67CB3BA9" w14:textId="40DAFA75" w:rsidR="0B4BD3B6" w:rsidRDefault="0B4BD3B6" w:rsidP="0B4BD3B6">
      <w:pPr>
        <w:rPr>
          <w:rFonts w:ascii="Calibri" w:eastAsia="Calibri" w:hAnsi="Calibri" w:cs="Calibri"/>
          <w:sz w:val="21"/>
          <w:szCs w:val="21"/>
        </w:rPr>
      </w:pPr>
    </w:p>
    <w:p w14:paraId="1E1D0DF6" w14:textId="5769AD12" w:rsidR="11260709" w:rsidRDefault="11260709" w:rsidP="11260709">
      <w:pPr>
        <w:rPr>
          <w:rFonts w:ascii="Calibri" w:eastAsia="Calibri" w:hAnsi="Calibri" w:cs="Calibri"/>
          <w:sz w:val="21"/>
          <w:szCs w:val="21"/>
        </w:rPr>
      </w:pPr>
    </w:p>
    <w:p w14:paraId="18C7CB1E" w14:textId="1E414DFB" w:rsidR="11260709" w:rsidRDefault="11260709" w:rsidP="11260709">
      <w:pPr>
        <w:rPr>
          <w:rFonts w:ascii="Calibri" w:eastAsia="Calibri" w:hAnsi="Calibri" w:cs="Calibri"/>
          <w:sz w:val="21"/>
          <w:szCs w:val="21"/>
        </w:rPr>
      </w:pPr>
    </w:p>
    <w:p w14:paraId="3E3FBE61" w14:textId="5E2B953D" w:rsidR="11260709" w:rsidRDefault="11260709" w:rsidP="11260709">
      <w:pPr>
        <w:rPr>
          <w:rFonts w:ascii="Calibri" w:eastAsia="Calibri" w:hAnsi="Calibri" w:cs="Calibri"/>
          <w:sz w:val="21"/>
          <w:szCs w:val="21"/>
        </w:rPr>
      </w:pPr>
    </w:p>
    <w:p w14:paraId="5C002610" w14:textId="193C2F7D" w:rsidR="62269C5B" w:rsidRDefault="62269C5B" w:rsidP="62269C5B">
      <w:pPr>
        <w:rPr>
          <w:rFonts w:ascii="Calibri" w:eastAsia="Calibri" w:hAnsi="Calibri" w:cs="Calibri"/>
          <w:sz w:val="21"/>
          <w:szCs w:val="21"/>
        </w:rPr>
      </w:pPr>
    </w:p>
    <w:p w14:paraId="5B7E37DB" w14:textId="5A00F24A" w:rsidR="62269C5B" w:rsidRDefault="62269C5B" w:rsidP="62269C5B">
      <w:pPr>
        <w:rPr>
          <w:rFonts w:ascii="Calibri" w:eastAsia="Calibri" w:hAnsi="Calibri" w:cs="Calibri"/>
          <w:sz w:val="21"/>
          <w:szCs w:val="21"/>
        </w:rPr>
      </w:pPr>
    </w:p>
    <w:p w14:paraId="678D9AF8" w14:textId="6CC34EF9" w:rsidR="4500B7D1" w:rsidRDefault="4500B7D1" w:rsidP="4500B7D1">
      <w:pPr>
        <w:rPr>
          <w:rFonts w:ascii="Calibri" w:eastAsia="Calibri" w:hAnsi="Calibri" w:cs="Calibri"/>
          <w:sz w:val="21"/>
          <w:szCs w:val="21"/>
        </w:rPr>
      </w:pPr>
    </w:p>
    <w:p w14:paraId="1B626387" w14:textId="47D6D131" w:rsidR="4500B7D1" w:rsidRDefault="4500B7D1" w:rsidP="4500B7D1">
      <w:pPr>
        <w:rPr>
          <w:rFonts w:ascii="Calibri" w:eastAsia="Calibri" w:hAnsi="Calibri" w:cs="Calibri"/>
          <w:sz w:val="21"/>
          <w:szCs w:val="21"/>
        </w:rPr>
      </w:pPr>
    </w:p>
    <w:p w14:paraId="5E90BB21" w14:textId="31D42918" w:rsidR="4500B7D1" w:rsidRDefault="4500B7D1" w:rsidP="4500B7D1">
      <w:pPr>
        <w:rPr>
          <w:rFonts w:ascii="Calibri" w:eastAsia="Calibri" w:hAnsi="Calibri" w:cs="Calibri"/>
          <w:color w:val="555555"/>
          <w:sz w:val="21"/>
          <w:szCs w:val="21"/>
        </w:rPr>
      </w:pPr>
    </w:p>
    <w:p w14:paraId="25D2F9FF" w14:textId="1F074259" w:rsidR="4500B7D1" w:rsidRDefault="4500B7D1">
      <w:r>
        <w:t xml:space="preserve"> </w:t>
      </w:r>
    </w:p>
    <w:sectPr w:rsidR="4500B7D1">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067B46" w14:textId="77777777" w:rsidR="008E2FD1" w:rsidRDefault="00B67BF6">
      <w:pPr>
        <w:spacing w:after="0" w:line="240" w:lineRule="auto"/>
      </w:pPr>
      <w:r>
        <w:separator/>
      </w:r>
    </w:p>
  </w:endnote>
  <w:endnote w:type="continuationSeparator" w:id="0">
    <w:p w14:paraId="79CEDD8C" w14:textId="77777777" w:rsidR="008E2FD1" w:rsidRDefault="00B67B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7460196"/>
      <w:docPartObj>
        <w:docPartGallery w:val="Page Numbers (Bottom of Page)"/>
        <w:docPartUnique/>
      </w:docPartObj>
    </w:sdtPr>
    <w:sdtEndPr>
      <w:rPr>
        <w:noProof/>
      </w:rPr>
    </w:sdtEndPr>
    <w:sdtContent>
      <w:p w14:paraId="1D9E5AAA" w14:textId="3CCC6706" w:rsidR="002E28CF" w:rsidRDefault="002E28CF">
        <w:pPr>
          <w:pStyle w:val="Footer"/>
          <w:jc w:val="right"/>
        </w:pPr>
        <w:r>
          <w:fldChar w:fldCharType="begin"/>
        </w:r>
        <w:r>
          <w:instrText xml:space="preserve"> PAGE   \* MERGEFORMAT </w:instrText>
        </w:r>
        <w:r>
          <w:fldChar w:fldCharType="separate"/>
        </w:r>
        <w:r w:rsidR="00874707">
          <w:rPr>
            <w:noProof/>
          </w:rPr>
          <w:t>7</w:t>
        </w:r>
        <w:r>
          <w:rPr>
            <w:noProof/>
          </w:rPr>
          <w:fldChar w:fldCharType="end"/>
        </w:r>
      </w:p>
    </w:sdtContent>
  </w:sdt>
  <w:p w14:paraId="13D9F5A8" w14:textId="3D1510CF" w:rsidR="0B4BD3B6" w:rsidRDefault="0B4BD3B6" w:rsidP="0B4BD3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2DD87E" w14:textId="77777777" w:rsidR="008E2FD1" w:rsidRDefault="00B67BF6">
      <w:pPr>
        <w:spacing w:after="0" w:line="240" w:lineRule="auto"/>
      </w:pPr>
      <w:r>
        <w:separator/>
      </w:r>
    </w:p>
  </w:footnote>
  <w:footnote w:type="continuationSeparator" w:id="0">
    <w:p w14:paraId="5B1FC3A3" w14:textId="77777777" w:rsidR="008E2FD1" w:rsidRDefault="00B67B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9166B" w14:textId="6C5D7FB3" w:rsidR="002E28CF" w:rsidRDefault="002E28CF">
    <w:pPr>
      <w:pStyle w:val="Header"/>
    </w:pPr>
    <w:r>
      <w:t>1809488</w:t>
    </w:r>
  </w:p>
  <w:p w14:paraId="54F47006" w14:textId="687CE640" w:rsidR="0B4BD3B6" w:rsidRDefault="0B4BD3B6" w:rsidP="0B4BD3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8540EE"/>
    <w:rsid w:val="002E28CF"/>
    <w:rsid w:val="00625549"/>
    <w:rsid w:val="006A4A29"/>
    <w:rsid w:val="0086787A"/>
    <w:rsid w:val="00874707"/>
    <w:rsid w:val="008E2FD1"/>
    <w:rsid w:val="00B67BF6"/>
    <w:rsid w:val="00BB3EBB"/>
    <w:rsid w:val="00F143C5"/>
    <w:rsid w:val="00F23023"/>
    <w:rsid w:val="00F823FB"/>
    <w:rsid w:val="00F84B81"/>
    <w:rsid w:val="00FD27C1"/>
    <w:rsid w:val="0B4BD3B6"/>
    <w:rsid w:val="11260709"/>
    <w:rsid w:val="138540EE"/>
    <w:rsid w:val="2ED8A7C6"/>
    <w:rsid w:val="36D314A4"/>
    <w:rsid w:val="4500B7D1"/>
    <w:rsid w:val="62269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540EE"/>
  <w15:chartTrackingRefBased/>
  <w15:docId w15:val="{A92A9817-97ED-48B8-9B95-B94AC5D4A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lo.org/global/topics/forced-labour/lang--en/index.ht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cid:image002.png@01D3889D.06E5258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legislation.gov.uk/ukpga/1998/4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1920</Words>
  <Characters>10947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Jones (1809488)</dc:creator>
  <cp:keywords/>
  <dc:description/>
  <cp:lastModifiedBy>Rachel Jones (1809488)</cp:lastModifiedBy>
  <cp:revision>2</cp:revision>
  <dcterms:created xsi:type="dcterms:W3CDTF">2019-04-29T09:27:00Z</dcterms:created>
  <dcterms:modified xsi:type="dcterms:W3CDTF">2019-04-29T09:27:00Z</dcterms:modified>
</cp:coreProperties>
</file>