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319C2B" w14:textId="77777777" w:rsidR="000E0EBD" w:rsidRPr="006B65E3" w:rsidRDefault="000E0EBD" w:rsidP="001044FA">
      <w:pPr>
        <w:pStyle w:val="Heading2"/>
        <w:rPr>
          <w:rFonts w:eastAsia="Arial"/>
          <w:bCs/>
          <w:sz w:val="72"/>
          <w:szCs w:val="72"/>
        </w:rPr>
      </w:pPr>
      <w:r w:rsidRPr="006B65E3">
        <w:rPr>
          <w:sz w:val="72"/>
          <w:szCs w:val="72"/>
          <w:highlight w:val="lightGray"/>
          <w:lang w:val="en-US"/>
        </w:rPr>
        <w:t>Reform of Homicide (</w:t>
      </w:r>
      <w:r w:rsidRPr="006B65E3">
        <w:rPr>
          <w:rFonts w:eastAsia="Arial"/>
          <w:bCs/>
          <w:sz w:val="72"/>
          <w:szCs w:val="72"/>
          <w:highlight w:val="lightGray"/>
        </w:rPr>
        <w:t>BMLW4005/BMPL4009)</w:t>
      </w:r>
    </w:p>
    <w:p w14:paraId="73410638" w14:textId="77777777" w:rsidR="000E0EBD" w:rsidRDefault="000E0EBD" w:rsidP="000E0EBD">
      <w:pPr>
        <w:spacing w:before="120" w:after="120"/>
        <w:rPr>
          <w:rFonts w:ascii="Arial" w:eastAsia="Arial" w:hAnsi="Arial" w:cs="Arial"/>
          <w:bCs/>
        </w:rPr>
      </w:pPr>
      <w:r>
        <w:rPr>
          <w:rFonts w:ascii="Arial" w:eastAsia="Arial" w:hAnsi="Arial" w:cs="Arial"/>
          <w:bCs/>
        </w:rPr>
        <w:t xml:space="preserve">Assignment 1 – Criminal Law </w:t>
      </w:r>
    </w:p>
    <w:p w14:paraId="20988210" w14:textId="77777777" w:rsidR="000E0EBD" w:rsidRDefault="000E0EBD" w:rsidP="000E0EBD">
      <w:pPr>
        <w:spacing w:before="120" w:after="120"/>
        <w:rPr>
          <w:rFonts w:ascii="Arial" w:eastAsia="Arial" w:hAnsi="Arial" w:cs="Arial"/>
          <w:bCs/>
        </w:rPr>
      </w:pPr>
    </w:p>
    <w:p w14:paraId="15C27310" w14:textId="77777777" w:rsidR="000E0EBD" w:rsidRDefault="000E0EBD" w:rsidP="000E0EBD">
      <w:pPr>
        <w:spacing w:before="120" w:after="120"/>
        <w:rPr>
          <w:rFonts w:ascii="Arial" w:eastAsia="Arial" w:hAnsi="Arial" w:cs="Arial"/>
          <w:bCs/>
        </w:rPr>
      </w:pPr>
    </w:p>
    <w:p w14:paraId="5FC4D8B8" w14:textId="77777777" w:rsidR="000E0EBD" w:rsidRDefault="000E0EBD" w:rsidP="000E0EBD">
      <w:pPr>
        <w:spacing w:before="120" w:after="120"/>
        <w:rPr>
          <w:rFonts w:ascii="Arial" w:eastAsia="Arial" w:hAnsi="Arial" w:cs="Arial"/>
          <w:bCs/>
        </w:rPr>
      </w:pPr>
    </w:p>
    <w:p w14:paraId="1DBAF59E" w14:textId="77777777" w:rsidR="000E0EBD" w:rsidRDefault="000E0EBD" w:rsidP="000E0EBD">
      <w:pPr>
        <w:spacing w:before="120" w:after="120"/>
        <w:rPr>
          <w:rFonts w:ascii="Arial" w:eastAsia="Arial" w:hAnsi="Arial" w:cs="Arial"/>
          <w:bCs/>
        </w:rPr>
      </w:pPr>
    </w:p>
    <w:p w14:paraId="286D8205" w14:textId="77777777" w:rsidR="000E0EBD" w:rsidRDefault="000E0EBD" w:rsidP="000E0EBD">
      <w:pPr>
        <w:spacing w:before="120" w:after="120"/>
        <w:rPr>
          <w:rFonts w:ascii="Arial" w:eastAsia="Arial" w:hAnsi="Arial" w:cs="Arial"/>
          <w:bCs/>
        </w:rPr>
      </w:pPr>
    </w:p>
    <w:p w14:paraId="0C21C892" w14:textId="77777777" w:rsidR="000E0EBD" w:rsidRDefault="000E0EBD" w:rsidP="000E0EBD">
      <w:pPr>
        <w:spacing w:before="120" w:after="120"/>
        <w:rPr>
          <w:rFonts w:ascii="Arial" w:eastAsia="Arial" w:hAnsi="Arial" w:cs="Arial"/>
          <w:bCs/>
        </w:rPr>
      </w:pPr>
    </w:p>
    <w:p w14:paraId="071838D9" w14:textId="77777777" w:rsidR="000E0EBD" w:rsidRDefault="000E0EBD" w:rsidP="000E0EBD">
      <w:pPr>
        <w:spacing w:before="120" w:after="120"/>
        <w:rPr>
          <w:rFonts w:ascii="Arial" w:eastAsia="Arial" w:hAnsi="Arial" w:cs="Arial"/>
          <w:bCs/>
        </w:rPr>
      </w:pPr>
    </w:p>
    <w:p w14:paraId="47498BF6" w14:textId="77777777" w:rsidR="000E0EBD" w:rsidRDefault="000E0EBD" w:rsidP="000E0EBD">
      <w:pPr>
        <w:spacing w:before="120" w:after="120"/>
        <w:rPr>
          <w:rFonts w:ascii="Arial" w:eastAsia="Arial" w:hAnsi="Arial" w:cs="Arial"/>
          <w:bCs/>
        </w:rPr>
      </w:pPr>
    </w:p>
    <w:p w14:paraId="6B8B3FDF" w14:textId="77777777" w:rsidR="000E0EBD" w:rsidRDefault="000E0EBD" w:rsidP="000E0EBD">
      <w:pPr>
        <w:spacing w:before="120" w:after="120"/>
        <w:rPr>
          <w:rFonts w:ascii="Arial" w:eastAsia="Arial" w:hAnsi="Arial" w:cs="Arial"/>
          <w:bCs/>
        </w:rPr>
      </w:pPr>
    </w:p>
    <w:p w14:paraId="581E303E" w14:textId="77777777" w:rsidR="000E0EBD" w:rsidRDefault="000E0EBD" w:rsidP="000E0EBD">
      <w:pPr>
        <w:spacing w:before="120" w:after="120"/>
        <w:rPr>
          <w:rFonts w:ascii="Arial" w:eastAsia="Arial" w:hAnsi="Arial" w:cs="Arial"/>
          <w:bCs/>
        </w:rPr>
      </w:pPr>
    </w:p>
    <w:p w14:paraId="192D9976" w14:textId="77777777" w:rsidR="000E0EBD" w:rsidRDefault="000E0EBD" w:rsidP="000E0EBD">
      <w:pPr>
        <w:spacing w:before="120" w:after="120"/>
        <w:rPr>
          <w:rFonts w:ascii="Arial" w:eastAsia="Arial" w:hAnsi="Arial" w:cs="Arial"/>
          <w:bCs/>
        </w:rPr>
      </w:pPr>
    </w:p>
    <w:p w14:paraId="0564FCAB" w14:textId="77777777" w:rsidR="000E0EBD" w:rsidRDefault="000E0EBD" w:rsidP="000E0EBD">
      <w:pPr>
        <w:spacing w:before="120" w:after="120"/>
        <w:rPr>
          <w:rFonts w:ascii="Arial" w:eastAsia="Arial" w:hAnsi="Arial" w:cs="Arial"/>
          <w:bCs/>
        </w:rPr>
      </w:pPr>
    </w:p>
    <w:p w14:paraId="0E3DD376" w14:textId="77777777" w:rsidR="000E0EBD" w:rsidRDefault="000E0EBD" w:rsidP="000E0EBD">
      <w:pPr>
        <w:spacing w:before="120" w:after="120"/>
        <w:rPr>
          <w:rFonts w:ascii="Arial" w:eastAsia="Arial" w:hAnsi="Arial" w:cs="Arial"/>
          <w:bCs/>
        </w:rPr>
      </w:pPr>
    </w:p>
    <w:p w14:paraId="74E61734" w14:textId="77777777" w:rsidR="000E0EBD" w:rsidRDefault="000E0EBD" w:rsidP="000E0EBD">
      <w:pPr>
        <w:spacing w:before="120" w:after="120"/>
        <w:rPr>
          <w:rFonts w:ascii="Arial" w:eastAsia="Arial" w:hAnsi="Arial" w:cs="Arial"/>
          <w:bCs/>
        </w:rPr>
      </w:pPr>
    </w:p>
    <w:p w14:paraId="3A150EB7" w14:textId="77777777" w:rsidR="000E0EBD" w:rsidRDefault="000E0EBD" w:rsidP="000E0EBD">
      <w:pPr>
        <w:spacing w:before="120" w:after="120"/>
        <w:rPr>
          <w:rFonts w:ascii="Arial" w:eastAsia="Arial" w:hAnsi="Arial" w:cs="Arial"/>
          <w:bCs/>
        </w:rPr>
      </w:pPr>
    </w:p>
    <w:p w14:paraId="54E260D0" w14:textId="77777777" w:rsidR="000E0EBD" w:rsidRDefault="000E0EBD" w:rsidP="000E0EBD">
      <w:pPr>
        <w:spacing w:before="120" w:after="120"/>
        <w:rPr>
          <w:rFonts w:ascii="Arial" w:eastAsia="Arial" w:hAnsi="Arial" w:cs="Arial"/>
          <w:bCs/>
        </w:rPr>
      </w:pPr>
    </w:p>
    <w:p w14:paraId="1F66BD54" w14:textId="437A11A3" w:rsidR="000815DE" w:rsidRDefault="000815DE" w:rsidP="000E0EBD">
      <w:pPr>
        <w:spacing w:before="120" w:after="120"/>
        <w:rPr>
          <w:rFonts w:ascii="Arial" w:eastAsia="Arial" w:hAnsi="Arial" w:cs="Arial"/>
          <w:b/>
        </w:rPr>
      </w:pPr>
    </w:p>
    <w:p w14:paraId="3D03770D" w14:textId="48FB0996" w:rsidR="000815DE" w:rsidRDefault="000815DE" w:rsidP="000E0EBD">
      <w:pPr>
        <w:spacing w:before="120" w:after="120"/>
        <w:rPr>
          <w:rFonts w:ascii="Arial" w:eastAsia="Arial" w:hAnsi="Arial" w:cs="Arial"/>
          <w:b/>
        </w:rPr>
      </w:pPr>
    </w:p>
    <w:p w14:paraId="61AB8D7E" w14:textId="0D5FF7FD" w:rsidR="000815DE" w:rsidRDefault="000815DE" w:rsidP="000E0EBD">
      <w:pPr>
        <w:spacing w:before="120" w:after="120"/>
        <w:rPr>
          <w:rFonts w:ascii="Arial" w:eastAsia="Arial" w:hAnsi="Arial" w:cs="Arial"/>
          <w:b/>
        </w:rPr>
      </w:pPr>
    </w:p>
    <w:p w14:paraId="35B956E3" w14:textId="2247223A" w:rsidR="000815DE" w:rsidRDefault="000815DE" w:rsidP="000E0EBD">
      <w:pPr>
        <w:spacing w:before="120" w:after="120"/>
        <w:rPr>
          <w:rFonts w:ascii="Arial" w:eastAsia="Arial" w:hAnsi="Arial" w:cs="Arial"/>
          <w:b/>
        </w:rPr>
      </w:pPr>
    </w:p>
    <w:p w14:paraId="1DF8C3CB" w14:textId="6B7C097A" w:rsidR="000815DE" w:rsidRDefault="000815DE" w:rsidP="000E0EBD">
      <w:pPr>
        <w:spacing w:before="120" w:after="120"/>
        <w:rPr>
          <w:rFonts w:ascii="Arial" w:eastAsia="Arial" w:hAnsi="Arial" w:cs="Arial"/>
          <w:b/>
        </w:rPr>
      </w:pPr>
    </w:p>
    <w:p w14:paraId="10847925" w14:textId="4528429A" w:rsidR="000815DE" w:rsidRDefault="000815DE" w:rsidP="000E0EBD">
      <w:pPr>
        <w:spacing w:before="120" w:after="120"/>
        <w:rPr>
          <w:rFonts w:ascii="Arial" w:eastAsia="Arial" w:hAnsi="Arial" w:cs="Arial"/>
          <w:b/>
        </w:rPr>
      </w:pPr>
    </w:p>
    <w:p w14:paraId="348FF6B2" w14:textId="11F7E1F5" w:rsidR="000815DE" w:rsidRDefault="000815DE" w:rsidP="000E0EBD">
      <w:pPr>
        <w:spacing w:before="120" w:after="120"/>
        <w:rPr>
          <w:rFonts w:ascii="Arial" w:eastAsia="Arial" w:hAnsi="Arial" w:cs="Arial"/>
          <w:b/>
        </w:rPr>
      </w:pPr>
    </w:p>
    <w:p w14:paraId="6DA43EEE" w14:textId="510F22E0" w:rsidR="000815DE" w:rsidRDefault="000815DE" w:rsidP="000E0EBD">
      <w:pPr>
        <w:spacing w:before="120" w:after="120"/>
        <w:rPr>
          <w:rFonts w:ascii="Arial" w:eastAsia="Arial" w:hAnsi="Arial" w:cs="Arial"/>
          <w:b/>
        </w:rPr>
      </w:pPr>
    </w:p>
    <w:p w14:paraId="4CB9D34D" w14:textId="0FEC0858" w:rsidR="000815DE" w:rsidRDefault="000815DE" w:rsidP="000E0EBD">
      <w:pPr>
        <w:spacing w:before="120" w:after="120"/>
        <w:rPr>
          <w:rFonts w:ascii="Arial" w:eastAsia="Arial" w:hAnsi="Arial" w:cs="Arial"/>
          <w:b/>
        </w:rPr>
      </w:pPr>
    </w:p>
    <w:p w14:paraId="6D08C380" w14:textId="0440F3CC" w:rsidR="000815DE" w:rsidRDefault="000815DE" w:rsidP="000E0EBD">
      <w:pPr>
        <w:spacing w:before="120" w:after="120"/>
        <w:rPr>
          <w:rFonts w:ascii="Arial" w:eastAsia="Arial" w:hAnsi="Arial" w:cs="Arial"/>
          <w:b/>
        </w:rPr>
      </w:pPr>
    </w:p>
    <w:p w14:paraId="4AD59AF9" w14:textId="7FA70F54" w:rsidR="000815DE" w:rsidRDefault="000815DE" w:rsidP="000E0EBD">
      <w:pPr>
        <w:spacing w:before="120" w:after="120"/>
        <w:rPr>
          <w:rFonts w:ascii="Arial" w:eastAsia="Arial" w:hAnsi="Arial" w:cs="Arial"/>
          <w:b/>
        </w:rPr>
      </w:pPr>
    </w:p>
    <w:p w14:paraId="07F0C3B8" w14:textId="77777777" w:rsidR="006B65E3" w:rsidRDefault="006B65E3" w:rsidP="00416034">
      <w:pPr>
        <w:spacing w:before="120" w:after="120"/>
        <w:rPr>
          <w:rFonts w:ascii="Arial" w:eastAsia="Arial" w:hAnsi="Arial" w:cs="Arial"/>
          <w:b/>
        </w:rPr>
      </w:pPr>
    </w:p>
    <w:p w14:paraId="6C07A57E" w14:textId="77777777" w:rsidR="006B65E3" w:rsidRDefault="006B65E3" w:rsidP="00416034">
      <w:pPr>
        <w:spacing w:before="120" w:after="120"/>
        <w:rPr>
          <w:rFonts w:ascii="Arial" w:eastAsia="Arial" w:hAnsi="Arial" w:cs="Arial"/>
          <w:b/>
        </w:rPr>
      </w:pPr>
    </w:p>
    <w:p w14:paraId="5864B7E8" w14:textId="3A911CB9" w:rsidR="00135F65" w:rsidRDefault="00BB59C8" w:rsidP="00416034">
      <w:pPr>
        <w:spacing w:before="120" w:after="120"/>
        <w:rPr>
          <w:rFonts w:ascii="Arial" w:hAnsi="Arial" w:cs="Arial"/>
          <w:color w:val="0B0C0C"/>
        </w:rPr>
      </w:pPr>
      <w:r>
        <w:rPr>
          <w:rFonts w:ascii="Arial" w:eastAsia="Arial" w:hAnsi="Arial" w:cs="Arial"/>
          <w:bCs/>
        </w:rPr>
        <w:lastRenderedPageBreak/>
        <w:t xml:space="preserve">There are many issues underlying criminal law. </w:t>
      </w:r>
      <w:r w:rsidR="00090A38">
        <w:rPr>
          <w:rFonts w:ascii="Arial" w:eastAsia="Arial" w:hAnsi="Arial" w:cs="Arial"/>
          <w:bCs/>
        </w:rPr>
        <w:t xml:space="preserve">Therefore, there are multiple defects within the law to be pointed out. </w:t>
      </w:r>
      <w:r w:rsidR="00925502">
        <w:rPr>
          <w:rFonts w:ascii="Arial" w:eastAsia="Arial" w:hAnsi="Arial" w:cs="Arial"/>
          <w:bCs/>
        </w:rPr>
        <w:t>To elaborate,</w:t>
      </w:r>
      <w:r w:rsidR="000451F9">
        <w:rPr>
          <w:rFonts w:ascii="Arial" w:eastAsia="Arial" w:hAnsi="Arial" w:cs="Arial"/>
          <w:bCs/>
        </w:rPr>
        <w:t xml:space="preserve"> </w:t>
      </w:r>
      <w:r w:rsidR="005D0566">
        <w:rPr>
          <w:rFonts w:ascii="Arial" w:eastAsia="Arial" w:hAnsi="Arial" w:cs="Arial"/>
          <w:bCs/>
        </w:rPr>
        <w:t>the law of homicide in England and Wales</w:t>
      </w:r>
      <w:r w:rsidR="008B51B6">
        <w:rPr>
          <w:rFonts w:ascii="Arial" w:eastAsia="Arial" w:hAnsi="Arial" w:cs="Arial"/>
          <w:bCs/>
        </w:rPr>
        <w:t xml:space="preserve"> is considered to be unstable. Generally, the two defences regarding homicide are murder and manslaughter. </w:t>
      </w:r>
      <w:r w:rsidR="00CE23B8">
        <w:rPr>
          <w:rFonts w:ascii="Arial" w:eastAsia="Arial" w:hAnsi="Arial" w:cs="Arial"/>
          <w:bCs/>
        </w:rPr>
        <w:t>Most homicides have to fit into one of these offences</w:t>
      </w:r>
      <w:r w:rsidR="003F1980">
        <w:rPr>
          <w:rFonts w:ascii="Arial" w:eastAsia="Arial" w:hAnsi="Arial" w:cs="Arial"/>
          <w:bCs/>
        </w:rPr>
        <w:t>, categorising them in a blunt fashion.</w:t>
      </w:r>
      <w:r w:rsidR="00CE23B8">
        <w:rPr>
          <w:rFonts w:ascii="Arial" w:eastAsia="Arial" w:hAnsi="Arial" w:cs="Arial"/>
          <w:bCs/>
        </w:rPr>
        <w:t xml:space="preserve"> Subsequently, it is difficult to define the crime as each offence has</w:t>
      </w:r>
      <w:r w:rsidR="00147F53">
        <w:rPr>
          <w:rFonts w:ascii="Arial" w:eastAsia="Arial" w:hAnsi="Arial" w:cs="Arial"/>
          <w:bCs/>
        </w:rPr>
        <w:t xml:space="preserve"> to evaluate behaviour and levels of criminality. </w:t>
      </w:r>
      <w:r w:rsidR="003F1980">
        <w:rPr>
          <w:rFonts w:ascii="Arial" w:eastAsia="Arial" w:hAnsi="Arial" w:cs="Arial"/>
          <w:bCs/>
        </w:rPr>
        <w:t xml:space="preserve">Most unlawful homicides have to be classified into one or the other offence. </w:t>
      </w:r>
      <w:r w:rsidR="00134BDE">
        <w:rPr>
          <w:rFonts w:ascii="Arial" w:hAnsi="Arial" w:cs="Arial"/>
          <w:color w:val="0B0C0C"/>
        </w:rPr>
        <w:t xml:space="preserve">(Law Commission, 2005). </w:t>
      </w:r>
    </w:p>
    <w:p w14:paraId="2C44D08B" w14:textId="77777777" w:rsidR="00135F65" w:rsidRDefault="00135F65" w:rsidP="0009290A">
      <w:pPr>
        <w:spacing w:before="120" w:after="120"/>
        <w:rPr>
          <w:rFonts w:ascii="Arial" w:hAnsi="Arial" w:cs="Arial"/>
          <w:color w:val="0B0C0C"/>
        </w:rPr>
      </w:pPr>
    </w:p>
    <w:p w14:paraId="31BF0916" w14:textId="77777777" w:rsidR="00135F65" w:rsidRDefault="00135F65" w:rsidP="0009290A">
      <w:pPr>
        <w:spacing w:before="120" w:after="120"/>
        <w:rPr>
          <w:rFonts w:ascii="Arial" w:hAnsi="Arial" w:cs="Arial"/>
          <w:color w:val="0B0C0C"/>
        </w:rPr>
      </w:pPr>
    </w:p>
    <w:p w14:paraId="741977C8" w14:textId="03680BFB" w:rsidR="00ED1004" w:rsidRDefault="00CA0678" w:rsidP="0009290A">
      <w:pPr>
        <w:spacing w:before="120" w:after="120"/>
        <w:rPr>
          <w:rFonts w:ascii="Arial" w:hAnsi="Arial" w:cs="Arial"/>
          <w:color w:val="0B0C0C"/>
        </w:rPr>
      </w:pPr>
      <w:r>
        <w:rPr>
          <w:rFonts w:ascii="Arial" w:hAnsi="Arial" w:cs="Arial"/>
          <w:color w:val="0B0C0C"/>
        </w:rPr>
        <w:t xml:space="preserve">Moreover, </w:t>
      </w:r>
      <w:r w:rsidR="00135F65">
        <w:rPr>
          <w:rFonts w:ascii="Arial" w:hAnsi="Arial" w:cs="Arial"/>
          <w:color w:val="0B0C0C"/>
        </w:rPr>
        <w:t>c</w:t>
      </w:r>
      <w:r>
        <w:rPr>
          <w:rFonts w:ascii="Arial" w:hAnsi="Arial" w:cs="Arial"/>
          <w:color w:val="0B0C0C"/>
        </w:rPr>
        <w:t>riminal law is forever changing as our values change throughout time. It can be seen that the law regarding homicide is in need of reform</w:t>
      </w:r>
      <w:r w:rsidR="00175E86">
        <w:rPr>
          <w:rFonts w:ascii="Arial" w:hAnsi="Arial" w:cs="Arial"/>
          <w:color w:val="0B0C0C"/>
        </w:rPr>
        <w:t xml:space="preserve">. There are two main factors to cover when discussing the reform of homicide, one which is whether or not it is certain and consistent, </w:t>
      </w:r>
      <w:r w:rsidR="003F1980">
        <w:rPr>
          <w:rFonts w:ascii="Arial" w:hAnsi="Arial" w:cs="Arial"/>
          <w:color w:val="0B0C0C"/>
        </w:rPr>
        <w:t>and to</w:t>
      </w:r>
      <w:r w:rsidR="00175E86">
        <w:rPr>
          <w:rFonts w:ascii="Arial" w:hAnsi="Arial" w:cs="Arial"/>
          <w:color w:val="0B0C0C"/>
        </w:rPr>
        <w:t xml:space="preserve"> </w:t>
      </w:r>
      <w:r w:rsidR="003D0E5B">
        <w:rPr>
          <w:rFonts w:ascii="Arial" w:hAnsi="Arial" w:cs="Arial"/>
          <w:color w:val="0B0C0C"/>
        </w:rPr>
        <w:t xml:space="preserve">also </w:t>
      </w:r>
      <w:r w:rsidR="008B3E7F">
        <w:rPr>
          <w:rFonts w:ascii="Arial" w:hAnsi="Arial" w:cs="Arial"/>
          <w:color w:val="0B0C0C"/>
        </w:rPr>
        <w:t xml:space="preserve">take into </w:t>
      </w:r>
      <w:r w:rsidR="00175E86">
        <w:rPr>
          <w:rFonts w:ascii="Arial" w:hAnsi="Arial" w:cs="Arial"/>
          <w:color w:val="0B0C0C"/>
        </w:rPr>
        <w:t>consider</w:t>
      </w:r>
      <w:r w:rsidR="008B3E7F">
        <w:rPr>
          <w:rFonts w:ascii="Arial" w:hAnsi="Arial" w:cs="Arial"/>
          <w:color w:val="0B0C0C"/>
        </w:rPr>
        <w:t>ation</w:t>
      </w:r>
      <w:r w:rsidR="00175E86">
        <w:rPr>
          <w:rFonts w:ascii="Arial" w:hAnsi="Arial" w:cs="Arial"/>
          <w:color w:val="0B0C0C"/>
        </w:rPr>
        <w:t xml:space="preserve"> the social values from society. Roberson. C</w:t>
      </w:r>
      <w:r w:rsidR="008E0C4F">
        <w:rPr>
          <w:rFonts w:ascii="Arial" w:hAnsi="Arial" w:cs="Arial"/>
          <w:color w:val="0B0C0C"/>
        </w:rPr>
        <w:t xml:space="preserve"> et al</w:t>
      </w:r>
      <w:r w:rsidR="00D87643">
        <w:rPr>
          <w:rFonts w:ascii="Arial" w:hAnsi="Arial" w:cs="Arial"/>
          <w:color w:val="0B0C0C"/>
        </w:rPr>
        <w:t xml:space="preserve"> (2014)</w:t>
      </w:r>
      <w:r w:rsidR="00BC6D9A">
        <w:rPr>
          <w:rFonts w:ascii="Arial" w:hAnsi="Arial" w:cs="Arial"/>
          <w:color w:val="0B0C0C"/>
        </w:rPr>
        <w:t xml:space="preserve">. </w:t>
      </w:r>
      <w:r w:rsidR="00E82929">
        <w:rPr>
          <w:rFonts w:ascii="Arial" w:hAnsi="Arial" w:cs="Arial"/>
          <w:color w:val="0B0C0C"/>
        </w:rPr>
        <w:t>In order to maintain the reform of law, Parliament set up t</w:t>
      </w:r>
      <w:r w:rsidR="004B332A">
        <w:rPr>
          <w:rFonts w:ascii="Arial" w:hAnsi="Arial" w:cs="Arial"/>
          <w:color w:val="0B0C0C"/>
        </w:rPr>
        <w:t>he Law Commiss</w:t>
      </w:r>
      <w:r w:rsidR="00E82929">
        <w:rPr>
          <w:rFonts w:ascii="Arial" w:hAnsi="Arial" w:cs="Arial"/>
          <w:color w:val="0B0C0C"/>
        </w:rPr>
        <w:t xml:space="preserve">ion as an independent law </w:t>
      </w:r>
      <w:r w:rsidR="00344506">
        <w:rPr>
          <w:rFonts w:ascii="Arial" w:hAnsi="Arial" w:cs="Arial"/>
          <w:color w:val="0B0C0C"/>
        </w:rPr>
        <w:t>in 1965</w:t>
      </w:r>
      <w:r w:rsidR="00E82929">
        <w:rPr>
          <w:rFonts w:ascii="Arial" w:hAnsi="Arial" w:cs="Arial"/>
          <w:color w:val="0B0C0C"/>
        </w:rPr>
        <w:t xml:space="preserve">, which kept the law of England and Wales under evaluation and to recommend reform. </w:t>
      </w:r>
      <w:r w:rsidR="00344506">
        <w:rPr>
          <w:rFonts w:ascii="Arial" w:hAnsi="Arial" w:cs="Arial"/>
          <w:color w:val="0B0C0C"/>
        </w:rPr>
        <w:t>According to the Law Commission</w:t>
      </w:r>
      <w:r w:rsidR="008B3E7F">
        <w:rPr>
          <w:rFonts w:ascii="Arial" w:hAnsi="Arial" w:cs="Arial"/>
          <w:color w:val="0B0C0C"/>
        </w:rPr>
        <w:t xml:space="preserve"> (2003)</w:t>
      </w:r>
      <w:r w:rsidR="00344506">
        <w:rPr>
          <w:rFonts w:ascii="Arial" w:hAnsi="Arial" w:cs="Arial"/>
          <w:color w:val="0B0C0C"/>
        </w:rPr>
        <w:t xml:space="preserve">, </w:t>
      </w:r>
      <w:r w:rsidR="004B332A">
        <w:rPr>
          <w:rFonts w:ascii="Arial" w:hAnsi="Arial" w:cs="Arial"/>
          <w:color w:val="0B0C0C"/>
        </w:rPr>
        <w:t xml:space="preserve">the law </w:t>
      </w:r>
      <w:r w:rsidR="00010B84">
        <w:rPr>
          <w:rFonts w:ascii="Arial" w:hAnsi="Arial" w:cs="Arial"/>
          <w:color w:val="0B0C0C"/>
        </w:rPr>
        <w:t xml:space="preserve">governing </w:t>
      </w:r>
      <w:r w:rsidR="004B332A">
        <w:rPr>
          <w:rFonts w:ascii="Arial" w:hAnsi="Arial" w:cs="Arial"/>
          <w:color w:val="0B0C0C"/>
        </w:rPr>
        <w:t xml:space="preserve">homicide is in need of review. It emphasises </w:t>
      </w:r>
      <w:r w:rsidR="00B96AFD">
        <w:rPr>
          <w:rFonts w:ascii="Arial" w:hAnsi="Arial" w:cs="Arial"/>
          <w:color w:val="0B0C0C"/>
        </w:rPr>
        <w:t xml:space="preserve">that </w:t>
      </w:r>
      <w:r w:rsidR="004B332A">
        <w:rPr>
          <w:rFonts w:ascii="Arial" w:hAnsi="Arial" w:cs="Arial"/>
          <w:color w:val="0B0C0C"/>
        </w:rPr>
        <w:t xml:space="preserve">the current law has proven to show difficulty throughout the legal systems. </w:t>
      </w:r>
    </w:p>
    <w:p w14:paraId="40DDDB27" w14:textId="1A2D32EC" w:rsidR="00135F65" w:rsidRDefault="00135F65" w:rsidP="0009290A">
      <w:pPr>
        <w:spacing w:before="120" w:after="120"/>
        <w:rPr>
          <w:rFonts w:ascii="Arial" w:hAnsi="Arial" w:cs="Arial"/>
          <w:color w:val="0B0C0C"/>
        </w:rPr>
      </w:pPr>
    </w:p>
    <w:p w14:paraId="530753B6" w14:textId="77777777" w:rsidR="00135F65" w:rsidRDefault="00135F65" w:rsidP="0009290A">
      <w:pPr>
        <w:spacing w:before="120" w:after="120"/>
        <w:rPr>
          <w:rFonts w:ascii="Arial" w:hAnsi="Arial" w:cs="Arial"/>
          <w:color w:val="0B0C0C"/>
        </w:rPr>
      </w:pPr>
    </w:p>
    <w:p w14:paraId="79DFC445" w14:textId="0800599B" w:rsidR="00135F65" w:rsidRDefault="00CD5CDE" w:rsidP="00FF4704">
      <w:pPr>
        <w:rPr>
          <w:rFonts w:ascii="Arial" w:hAnsi="Arial" w:cs="Arial"/>
          <w:color w:val="0B0C0C"/>
        </w:rPr>
      </w:pPr>
      <w:r w:rsidRPr="0038006D">
        <w:rPr>
          <w:rFonts w:ascii="Arial" w:hAnsi="Arial" w:cs="Arial"/>
        </w:rPr>
        <w:t xml:space="preserve">The existing law has been continually changed therefore, making the law uncertain. Although the current laws may have been </w:t>
      </w:r>
      <w:r w:rsidR="00401308">
        <w:rPr>
          <w:rFonts w:ascii="Arial" w:hAnsi="Arial" w:cs="Arial"/>
        </w:rPr>
        <w:t xml:space="preserve">valued </w:t>
      </w:r>
      <w:r w:rsidRPr="0038006D">
        <w:rPr>
          <w:rFonts w:ascii="Arial" w:hAnsi="Arial" w:cs="Arial"/>
        </w:rPr>
        <w:t>since the seventeenth century, over time it has shown it is in need of legal changes and has yet to be reformed. An issue with the law governing manslaughter is how the courts have tampered with definitions. Previous cases have exemplified the case law to determine the argument for new cases.</w:t>
      </w:r>
      <w:r w:rsidRPr="00C50675">
        <w:rPr>
          <w:rFonts w:ascii="Arial" w:hAnsi="Arial" w:cs="Arial"/>
        </w:rPr>
        <w:t xml:space="preserve"> </w:t>
      </w:r>
      <w:r w:rsidR="0025398D">
        <w:rPr>
          <w:rFonts w:ascii="Arial" w:hAnsi="Arial" w:cs="Arial"/>
          <w:color w:val="0B0C0C"/>
        </w:rPr>
        <w:t xml:space="preserve">Feedback </w:t>
      </w:r>
      <w:r>
        <w:rPr>
          <w:rFonts w:ascii="Arial" w:hAnsi="Arial" w:cs="Arial"/>
          <w:color w:val="0B0C0C"/>
        </w:rPr>
        <w:t xml:space="preserve">from victims’ families </w:t>
      </w:r>
      <w:r w:rsidR="0025398D">
        <w:rPr>
          <w:rFonts w:ascii="Arial" w:hAnsi="Arial" w:cs="Arial"/>
          <w:color w:val="0B0C0C"/>
        </w:rPr>
        <w:t xml:space="preserve">caused controversy regarding the law on manslaughter by arguing </w:t>
      </w:r>
      <w:r w:rsidR="00B63745">
        <w:rPr>
          <w:rFonts w:ascii="Arial" w:hAnsi="Arial" w:cs="Arial"/>
          <w:color w:val="0B0C0C"/>
        </w:rPr>
        <w:t>t</w:t>
      </w:r>
      <w:r w:rsidR="00711CC5">
        <w:rPr>
          <w:rFonts w:ascii="Arial" w:hAnsi="Arial" w:cs="Arial"/>
          <w:color w:val="0B0C0C"/>
        </w:rPr>
        <w:t xml:space="preserve">he </w:t>
      </w:r>
      <w:r>
        <w:rPr>
          <w:rFonts w:ascii="Arial" w:hAnsi="Arial" w:cs="Arial"/>
          <w:color w:val="0B0C0C"/>
        </w:rPr>
        <w:t xml:space="preserve">substantive law governing manslaughter is in need of reform by conveying sentences were unfair as </w:t>
      </w:r>
      <w:r w:rsidR="00B63745">
        <w:rPr>
          <w:rFonts w:ascii="Arial" w:hAnsi="Arial" w:cs="Arial"/>
          <w:color w:val="0B0C0C"/>
        </w:rPr>
        <w:t xml:space="preserve">defendants </w:t>
      </w:r>
      <w:r w:rsidR="00486673">
        <w:rPr>
          <w:rFonts w:ascii="Arial" w:hAnsi="Arial" w:cs="Arial"/>
          <w:color w:val="0B0C0C"/>
        </w:rPr>
        <w:t xml:space="preserve">should have received longer </w:t>
      </w:r>
      <w:r w:rsidR="00A72434">
        <w:rPr>
          <w:rFonts w:ascii="Arial" w:hAnsi="Arial" w:cs="Arial"/>
          <w:color w:val="0B0C0C"/>
        </w:rPr>
        <w:t>imprisonment</w:t>
      </w:r>
      <w:r>
        <w:rPr>
          <w:rFonts w:ascii="Arial" w:hAnsi="Arial" w:cs="Arial"/>
          <w:color w:val="0B0C0C"/>
        </w:rPr>
        <w:t xml:space="preserve">. </w:t>
      </w:r>
      <w:r w:rsidR="007B6BD7">
        <w:rPr>
          <w:rFonts w:ascii="Arial" w:hAnsi="Arial" w:cs="Arial"/>
          <w:color w:val="0B0C0C"/>
        </w:rPr>
        <w:t xml:space="preserve">Therefore, to add to the law of manslaughter would be considered inaccurate, </w:t>
      </w:r>
      <w:r w:rsidR="007B6BD7" w:rsidRPr="00B25780">
        <w:rPr>
          <w:rFonts w:ascii="Arial" w:hAnsi="Arial" w:cs="Arial"/>
          <w:color w:val="0B0C0C"/>
        </w:rPr>
        <w:t>as manslaughter is already an “over-broad offence”</w:t>
      </w:r>
      <w:r w:rsidR="007B6BD7">
        <w:rPr>
          <w:rFonts w:ascii="Arial" w:hAnsi="Arial" w:cs="Arial"/>
          <w:color w:val="0B0C0C"/>
        </w:rPr>
        <w:t>.</w:t>
      </w:r>
      <w:r w:rsidR="00D5681A">
        <w:rPr>
          <w:rFonts w:ascii="Arial" w:hAnsi="Arial" w:cs="Arial"/>
          <w:color w:val="0B0C0C"/>
        </w:rPr>
        <w:t xml:space="preserve"> This emphasises the controversy </w:t>
      </w:r>
      <w:r w:rsidR="00A57026">
        <w:rPr>
          <w:rFonts w:ascii="Arial" w:hAnsi="Arial" w:cs="Arial"/>
          <w:color w:val="0B0C0C"/>
        </w:rPr>
        <w:t xml:space="preserve">surrounding manslaughter. </w:t>
      </w:r>
      <w:r>
        <w:rPr>
          <w:rFonts w:ascii="Arial" w:hAnsi="Arial" w:cs="Arial"/>
          <w:color w:val="0B0C0C"/>
        </w:rPr>
        <w:t>The Law Commission (2006).</w:t>
      </w:r>
    </w:p>
    <w:p w14:paraId="4776FBBA" w14:textId="77777777" w:rsidR="00135F65" w:rsidRDefault="00135F65" w:rsidP="00FF4704">
      <w:pPr>
        <w:rPr>
          <w:rFonts w:ascii="Arial" w:hAnsi="Arial" w:cs="Arial"/>
          <w:color w:val="0B0C0C"/>
        </w:rPr>
      </w:pPr>
    </w:p>
    <w:p w14:paraId="3ED281E7" w14:textId="77777777" w:rsidR="00135F65" w:rsidRDefault="00135F65" w:rsidP="00FF4704">
      <w:pPr>
        <w:rPr>
          <w:rFonts w:ascii="Arial" w:hAnsi="Arial" w:cs="Arial"/>
          <w:color w:val="0B0C0C"/>
        </w:rPr>
      </w:pPr>
    </w:p>
    <w:p w14:paraId="6F627587" w14:textId="3AA3F3F3" w:rsidR="00ED1004" w:rsidRDefault="0038006D" w:rsidP="00FF4704">
      <w:pPr>
        <w:rPr>
          <w:rFonts w:ascii="Arial" w:hAnsi="Arial" w:cs="Arial"/>
          <w:color w:val="0B0C0C"/>
        </w:rPr>
      </w:pPr>
      <w:r>
        <w:rPr>
          <w:rFonts w:ascii="Arial" w:hAnsi="Arial" w:cs="Arial"/>
          <w:color w:val="0B0C0C"/>
        </w:rPr>
        <w:t>To elaborate on the idea of manslaughter being “over-broad”, the defence has a wide</w:t>
      </w:r>
      <w:r w:rsidR="00A72434">
        <w:rPr>
          <w:rFonts w:ascii="Arial" w:hAnsi="Arial" w:cs="Arial"/>
          <w:color w:val="0B0C0C"/>
        </w:rPr>
        <w:t xml:space="preserve"> </w:t>
      </w:r>
      <w:r>
        <w:rPr>
          <w:rFonts w:ascii="Arial" w:hAnsi="Arial" w:cs="Arial"/>
          <w:color w:val="0B0C0C"/>
        </w:rPr>
        <w:t xml:space="preserve">variety of issues. </w:t>
      </w:r>
      <w:r w:rsidR="000F4DB3">
        <w:rPr>
          <w:rFonts w:ascii="Arial" w:hAnsi="Arial" w:cs="Arial"/>
          <w:color w:val="0B0C0C"/>
        </w:rPr>
        <w:t xml:space="preserve">Involuntary manslaughter presents issues in the context regarding the defences of ‘negligent’ and ‘reckless’ manslaughter. These factors have been exchanged with judgements. </w:t>
      </w:r>
      <w:r w:rsidR="00A72434">
        <w:rPr>
          <w:rFonts w:ascii="Arial" w:hAnsi="Arial" w:cs="Arial"/>
          <w:color w:val="0B0C0C"/>
        </w:rPr>
        <w:t xml:space="preserve">Additionally, </w:t>
      </w:r>
      <w:r w:rsidR="000F4DB3">
        <w:rPr>
          <w:rFonts w:ascii="Arial" w:hAnsi="Arial" w:cs="Arial"/>
          <w:color w:val="0B0C0C"/>
        </w:rPr>
        <w:t>problems with defining recklessness have also caused controversy within the court</w:t>
      </w:r>
      <w:r w:rsidR="00BF40A9">
        <w:rPr>
          <w:rFonts w:ascii="Arial" w:hAnsi="Arial" w:cs="Arial"/>
          <w:color w:val="0B0C0C"/>
        </w:rPr>
        <w:t xml:space="preserve">, as the </w:t>
      </w:r>
      <w:r w:rsidR="000F4DB3">
        <w:rPr>
          <w:rFonts w:ascii="Arial" w:hAnsi="Arial" w:cs="Arial"/>
          <w:color w:val="0B0C0C"/>
        </w:rPr>
        <w:t xml:space="preserve">two separate forms of mens rea had formed together. Both of these elements of manslaughter cause the jury to have issues with underlying which category to decide upon, as the </w:t>
      </w:r>
      <w:r w:rsidR="00BF40A9">
        <w:rPr>
          <w:rFonts w:ascii="Arial" w:hAnsi="Arial" w:cs="Arial"/>
          <w:color w:val="0B0C0C"/>
        </w:rPr>
        <w:t xml:space="preserve">range of manslaughter is too broad. Journal of Criminal Law (2020). </w:t>
      </w:r>
    </w:p>
    <w:p w14:paraId="7F660CE0" w14:textId="77777777" w:rsidR="00135F65" w:rsidRDefault="00135F65" w:rsidP="00FF4704">
      <w:pPr>
        <w:rPr>
          <w:rFonts w:ascii="Arial" w:hAnsi="Arial" w:cs="Arial"/>
          <w:color w:val="0B0C0C"/>
        </w:rPr>
      </w:pPr>
    </w:p>
    <w:p w14:paraId="33A979E1" w14:textId="77777777" w:rsidR="00135F65" w:rsidRDefault="00135F65" w:rsidP="00FF4704">
      <w:pPr>
        <w:rPr>
          <w:rFonts w:ascii="Arial" w:hAnsi="Arial" w:cs="Arial"/>
          <w:color w:val="0B0C0C"/>
        </w:rPr>
      </w:pPr>
    </w:p>
    <w:p w14:paraId="073C7098" w14:textId="0908DA40" w:rsidR="00ED1004" w:rsidRDefault="007200F2" w:rsidP="00FF4704">
      <w:pPr>
        <w:rPr>
          <w:rFonts w:ascii="Arial" w:hAnsi="Arial" w:cs="Arial"/>
          <w:color w:val="0B0C0C"/>
        </w:rPr>
      </w:pPr>
      <w:r>
        <w:rPr>
          <w:rFonts w:ascii="Arial" w:hAnsi="Arial" w:cs="Arial"/>
          <w:color w:val="0B0C0C"/>
        </w:rPr>
        <w:lastRenderedPageBreak/>
        <w:t xml:space="preserve">The Coroners and </w:t>
      </w:r>
      <w:r w:rsidR="0046126B">
        <w:rPr>
          <w:rFonts w:ascii="Arial" w:hAnsi="Arial" w:cs="Arial"/>
          <w:color w:val="0B0C0C"/>
        </w:rPr>
        <w:t>Justice Act 2009</w:t>
      </w:r>
      <w:r w:rsidR="00AB4CC7">
        <w:rPr>
          <w:rFonts w:ascii="Arial" w:hAnsi="Arial" w:cs="Arial"/>
          <w:color w:val="0B0C0C"/>
        </w:rPr>
        <w:t xml:space="preserve"> implements reform</w:t>
      </w:r>
      <w:r w:rsidR="00580FA0">
        <w:rPr>
          <w:rFonts w:ascii="Arial" w:hAnsi="Arial" w:cs="Arial"/>
          <w:color w:val="0B0C0C"/>
        </w:rPr>
        <w:t>ation on c</w:t>
      </w:r>
      <w:r w:rsidR="00580FA0" w:rsidRPr="00580FA0">
        <w:rPr>
          <w:rFonts w:ascii="Arial" w:hAnsi="Arial" w:cs="Arial"/>
          <w:color w:val="0B0C0C"/>
        </w:rPr>
        <w:t>onsultation rules, regulations</w:t>
      </w:r>
      <w:r w:rsidR="00B83BBF">
        <w:rPr>
          <w:rFonts w:ascii="Arial" w:hAnsi="Arial" w:cs="Arial"/>
          <w:color w:val="0B0C0C"/>
        </w:rPr>
        <w:t xml:space="preserve">, </w:t>
      </w:r>
      <w:r w:rsidR="00580FA0" w:rsidRPr="00580FA0">
        <w:rPr>
          <w:rFonts w:ascii="Arial" w:hAnsi="Arial" w:cs="Arial"/>
          <w:color w:val="0B0C0C"/>
        </w:rPr>
        <w:t>coroner areas and statutory guidance</w:t>
      </w:r>
      <w:r w:rsidR="00D632C4">
        <w:rPr>
          <w:rFonts w:ascii="Arial" w:hAnsi="Arial" w:cs="Arial"/>
          <w:color w:val="0B0C0C"/>
        </w:rPr>
        <w:t xml:space="preserve"> in England and Wales.</w:t>
      </w:r>
      <w:r w:rsidR="00B83BBF">
        <w:rPr>
          <w:rFonts w:ascii="Arial" w:hAnsi="Arial" w:cs="Arial"/>
          <w:color w:val="0B0C0C"/>
        </w:rPr>
        <w:t xml:space="preserve"> </w:t>
      </w:r>
      <w:r w:rsidR="00E317D6">
        <w:rPr>
          <w:rFonts w:ascii="Arial" w:hAnsi="Arial" w:cs="Arial"/>
          <w:color w:val="0B0C0C"/>
        </w:rPr>
        <w:t xml:space="preserve">As a part of implementing </w:t>
      </w:r>
      <w:r w:rsidR="004C20C5">
        <w:rPr>
          <w:rFonts w:ascii="Arial" w:hAnsi="Arial" w:cs="Arial"/>
          <w:color w:val="0B0C0C"/>
        </w:rPr>
        <w:t xml:space="preserve">coroner reforms, </w:t>
      </w:r>
      <w:r w:rsidR="009F3D09">
        <w:rPr>
          <w:rFonts w:ascii="Arial" w:hAnsi="Arial" w:cs="Arial"/>
          <w:color w:val="0B0C0C"/>
        </w:rPr>
        <w:t>it is important t</w:t>
      </w:r>
      <w:r w:rsidR="00F74D6B">
        <w:rPr>
          <w:rFonts w:ascii="Arial" w:hAnsi="Arial" w:cs="Arial"/>
          <w:color w:val="0B0C0C"/>
        </w:rPr>
        <w:t xml:space="preserve">o </w:t>
      </w:r>
      <w:r w:rsidR="0034404C">
        <w:rPr>
          <w:rFonts w:ascii="Arial" w:hAnsi="Arial" w:cs="Arial"/>
          <w:color w:val="0B0C0C"/>
        </w:rPr>
        <w:t xml:space="preserve">recognise </w:t>
      </w:r>
      <w:r w:rsidR="00393F99">
        <w:rPr>
          <w:rFonts w:ascii="Arial" w:hAnsi="Arial" w:cs="Arial"/>
          <w:color w:val="0B0C0C"/>
        </w:rPr>
        <w:t xml:space="preserve">the </w:t>
      </w:r>
      <w:r w:rsidR="00A74BEC">
        <w:rPr>
          <w:rFonts w:ascii="Arial" w:hAnsi="Arial" w:cs="Arial"/>
          <w:color w:val="0B0C0C"/>
        </w:rPr>
        <w:t>fundamental issues</w:t>
      </w:r>
      <w:r w:rsidR="00393F99">
        <w:rPr>
          <w:rFonts w:ascii="Arial" w:hAnsi="Arial" w:cs="Arial"/>
          <w:color w:val="0B0C0C"/>
        </w:rPr>
        <w:t>. The changes introduced by the Coroners and Justice Act 2009</w:t>
      </w:r>
      <w:r w:rsidR="00285E5D">
        <w:rPr>
          <w:rFonts w:ascii="Arial" w:hAnsi="Arial" w:cs="Arial"/>
          <w:color w:val="0B0C0C"/>
        </w:rPr>
        <w:t xml:space="preserve"> verified that there </w:t>
      </w:r>
      <w:r w:rsidR="00395A7A">
        <w:rPr>
          <w:rFonts w:ascii="Arial" w:hAnsi="Arial" w:cs="Arial"/>
          <w:color w:val="0B0C0C"/>
        </w:rPr>
        <w:t xml:space="preserve">is </w:t>
      </w:r>
      <w:r w:rsidR="00F5436B">
        <w:rPr>
          <w:rFonts w:ascii="Arial" w:hAnsi="Arial" w:cs="Arial"/>
          <w:color w:val="0B0C0C"/>
        </w:rPr>
        <w:t xml:space="preserve">a lack of </w:t>
      </w:r>
      <w:r w:rsidR="00ED541E">
        <w:rPr>
          <w:rFonts w:ascii="Arial" w:hAnsi="Arial" w:cs="Arial"/>
          <w:color w:val="0B0C0C"/>
        </w:rPr>
        <w:t>stability in England and Wales</w:t>
      </w:r>
      <w:r w:rsidR="001E07A7">
        <w:rPr>
          <w:rFonts w:ascii="Arial" w:hAnsi="Arial" w:cs="Arial"/>
          <w:color w:val="0B0C0C"/>
        </w:rPr>
        <w:t xml:space="preserve">, </w:t>
      </w:r>
      <w:r w:rsidR="00D3711E">
        <w:rPr>
          <w:rFonts w:ascii="Arial" w:hAnsi="Arial" w:cs="Arial"/>
          <w:color w:val="0B0C0C"/>
        </w:rPr>
        <w:t xml:space="preserve">an absence of public </w:t>
      </w:r>
      <w:r w:rsidR="00F2266D">
        <w:rPr>
          <w:rFonts w:ascii="Arial" w:hAnsi="Arial" w:cs="Arial"/>
          <w:color w:val="0B0C0C"/>
        </w:rPr>
        <w:t>guidance or supervision a</w:t>
      </w:r>
      <w:r w:rsidR="003A1968">
        <w:rPr>
          <w:rFonts w:ascii="Arial" w:hAnsi="Arial" w:cs="Arial"/>
          <w:color w:val="0B0C0C"/>
        </w:rPr>
        <w:t xml:space="preserve">nd </w:t>
      </w:r>
      <w:r w:rsidR="00F2266D">
        <w:rPr>
          <w:rFonts w:ascii="Arial" w:hAnsi="Arial" w:cs="Arial"/>
          <w:color w:val="0B0C0C"/>
        </w:rPr>
        <w:t>above all</w:t>
      </w:r>
      <w:r w:rsidR="001A4BAF">
        <w:rPr>
          <w:rFonts w:ascii="Arial" w:hAnsi="Arial" w:cs="Arial"/>
          <w:color w:val="0B0C0C"/>
        </w:rPr>
        <w:t xml:space="preserve"> an absence of clear </w:t>
      </w:r>
      <w:r w:rsidR="009A4D3F">
        <w:rPr>
          <w:rFonts w:ascii="Arial" w:hAnsi="Arial" w:cs="Arial"/>
          <w:color w:val="0B0C0C"/>
        </w:rPr>
        <w:t xml:space="preserve">virtue </w:t>
      </w:r>
      <w:r w:rsidR="001A4BAF">
        <w:rPr>
          <w:rFonts w:ascii="Arial" w:hAnsi="Arial" w:cs="Arial"/>
          <w:color w:val="0B0C0C"/>
        </w:rPr>
        <w:t xml:space="preserve">for </w:t>
      </w:r>
      <w:r w:rsidR="009A4D3F">
        <w:rPr>
          <w:rFonts w:ascii="Arial" w:hAnsi="Arial" w:cs="Arial"/>
          <w:color w:val="0B0C0C"/>
        </w:rPr>
        <w:t xml:space="preserve">bereaved families to </w:t>
      </w:r>
      <w:r w:rsidR="004A74E7">
        <w:rPr>
          <w:rFonts w:ascii="Arial" w:hAnsi="Arial" w:cs="Arial"/>
          <w:color w:val="0B0C0C"/>
        </w:rPr>
        <w:t xml:space="preserve">join </w:t>
      </w:r>
      <w:r w:rsidR="00257FA3">
        <w:rPr>
          <w:rFonts w:ascii="Arial" w:hAnsi="Arial" w:cs="Arial"/>
          <w:color w:val="0B0C0C"/>
        </w:rPr>
        <w:t>in the procedure</w:t>
      </w:r>
      <w:r w:rsidR="001E07A7">
        <w:rPr>
          <w:rFonts w:ascii="Arial" w:hAnsi="Arial" w:cs="Arial"/>
          <w:color w:val="0B0C0C"/>
        </w:rPr>
        <w:t xml:space="preserve">. </w:t>
      </w:r>
      <w:r w:rsidR="00777C2A">
        <w:rPr>
          <w:rFonts w:ascii="Arial" w:hAnsi="Arial" w:cs="Arial"/>
          <w:color w:val="0B0C0C"/>
        </w:rPr>
        <w:t>Th</w:t>
      </w:r>
      <w:r w:rsidR="00961F16">
        <w:rPr>
          <w:rFonts w:ascii="Arial" w:hAnsi="Arial" w:cs="Arial"/>
          <w:color w:val="0B0C0C"/>
        </w:rPr>
        <w:t xml:space="preserve">e act on </w:t>
      </w:r>
      <w:r w:rsidR="004D51E4">
        <w:rPr>
          <w:rFonts w:ascii="Arial" w:hAnsi="Arial" w:cs="Arial"/>
          <w:color w:val="0B0C0C"/>
        </w:rPr>
        <w:t xml:space="preserve">corners and criminal justice has </w:t>
      </w:r>
      <w:r w:rsidR="00045393">
        <w:rPr>
          <w:rFonts w:ascii="Arial" w:hAnsi="Arial" w:cs="Arial"/>
          <w:color w:val="0B0C0C"/>
        </w:rPr>
        <w:t xml:space="preserve">made further issues throughout criminal law such as the partial defences. </w:t>
      </w:r>
      <w:r w:rsidR="001B67A3">
        <w:rPr>
          <w:rFonts w:ascii="Arial" w:hAnsi="Arial" w:cs="Arial"/>
          <w:color w:val="0B0C0C"/>
        </w:rPr>
        <w:t>Ministry of Justice (</w:t>
      </w:r>
      <w:r w:rsidR="00061E14">
        <w:rPr>
          <w:rFonts w:ascii="Arial" w:hAnsi="Arial" w:cs="Arial"/>
          <w:color w:val="0B0C0C"/>
        </w:rPr>
        <w:t xml:space="preserve">2013). </w:t>
      </w:r>
    </w:p>
    <w:p w14:paraId="594F1511" w14:textId="77777777" w:rsidR="00135F65" w:rsidRDefault="00135F65" w:rsidP="00FF4704">
      <w:pPr>
        <w:rPr>
          <w:rFonts w:ascii="Arial" w:hAnsi="Arial" w:cs="Arial"/>
          <w:color w:val="0B0C0C"/>
        </w:rPr>
      </w:pPr>
    </w:p>
    <w:p w14:paraId="67420087" w14:textId="77777777" w:rsidR="00135F65" w:rsidRDefault="00135F65" w:rsidP="00FF4704">
      <w:pPr>
        <w:rPr>
          <w:rFonts w:ascii="Arial" w:hAnsi="Arial" w:cs="Arial"/>
          <w:color w:val="0B0C0C"/>
        </w:rPr>
      </w:pPr>
    </w:p>
    <w:p w14:paraId="56EB47A2" w14:textId="49E81387" w:rsidR="00706C3D" w:rsidRDefault="00706C3D" w:rsidP="00FF4704">
      <w:pPr>
        <w:rPr>
          <w:rFonts w:ascii="Arial" w:hAnsi="Arial" w:cs="Arial"/>
          <w:color w:val="0B0C0C"/>
        </w:rPr>
      </w:pPr>
      <w:r>
        <w:rPr>
          <w:rFonts w:ascii="Arial" w:hAnsi="Arial" w:cs="Arial"/>
          <w:color w:val="0B0C0C"/>
        </w:rPr>
        <w:t>An issue</w:t>
      </w:r>
      <w:r w:rsidR="00C91268">
        <w:rPr>
          <w:rFonts w:ascii="Arial" w:hAnsi="Arial" w:cs="Arial"/>
          <w:color w:val="0B0C0C"/>
        </w:rPr>
        <w:t xml:space="preserve"> to elaborate on is how the </w:t>
      </w:r>
      <w:r>
        <w:rPr>
          <w:rFonts w:ascii="Arial" w:hAnsi="Arial" w:cs="Arial"/>
          <w:color w:val="0B0C0C"/>
        </w:rPr>
        <w:t>Law Commission stated the law on murder was in an unstable state and there was need of review on parts of the partial defences. The law governing homicide is considered uncertain, including major problems with the partial defences such as</w:t>
      </w:r>
      <w:r w:rsidR="00C91268">
        <w:rPr>
          <w:rFonts w:ascii="Arial" w:hAnsi="Arial" w:cs="Arial"/>
          <w:color w:val="0B0C0C"/>
        </w:rPr>
        <w:t xml:space="preserve"> diminished responsibility</w:t>
      </w:r>
      <w:r w:rsidR="002D1333">
        <w:rPr>
          <w:rFonts w:ascii="Arial" w:hAnsi="Arial" w:cs="Arial"/>
          <w:color w:val="0B0C0C"/>
        </w:rPr>
        <w:t xml:space="preserve"> and loss of control</w:t>
      </w:r>
      <w:r w:rsidR="00C91268">
        <w:rPr>
          <w:rFonts w:ascii="Arial" w:hAnsi="Arial" w:cs="Arial"/>
          <w:color w:val="0B0C0C"/>
        </w:rPr>
        <w:t>. Section 52</w:t>
      </w:r>
      <w:r w:rsidR="00786E96">
        <w:rPr>
          <w:rFonts w:ascii="Arial" w:hAnsi="Arial" w:cs="Arial"/>
          <w:color w:val="0B0C0C"/>
        </w:rPr>
        <w:t xml:space="preserve"> of the Coroners and Justice Act 2009</w:t>
      </w:r>
      <w:r w:rsidR="002C3D71">
        <w:rPr>
          <w:rFonts w:ascii="Arial" w:hAnsi="Arial" w:cs="Arial"/>
          <w:color w:val="0B0C0C"/>
        </w:rPr>
        <w:t xml:space="preserve"> replaced the </w:t>
      </w:r>
      <w:r w:rsidR="00A77092">
        <w:rPr>
          <w:rFonts w:ascii="Arial" w:hAnsi="Arial" w:cs="Arial"/>
          <w:color w:val="0B0C0C"/>
        </w:rPr>
        <w:t>definition of diminished responsibility in Section</w:t>
      </w:r>
      <w:r w:rsidR="00633C0C">
        <w:rPr>
          <w:rFonts w:ascii="Arial" w:hAnsi="Arial" w:cs="Arial"/>
          <w:color w:val="0B0C0C"/>
        </w:rPr>
        <w:t xml:space="preserve"> 2 of the Homicide Act 1957. </w:t>
      </w:r>
      <w:r w:rsidR="00EC7EF8">
        <w:rPr>
          <w:rFonts w:ascii="Arial" w:hAnsi="Arial" w:cs="Arial"/>
          <w:color w:val="0B0C0C"/>
        </w:rPr>
        <w:t xml:space="preserve">Within </w:t>
      </w:r>
      <w:r w:rsidR="00BB24A6">
        <w:rPr>
          <w:rFonts w:ascii="Arial" w:hAnsi="Arial" w:cs="Arial"/>
          <w:color w:val="0B0C0C"/>
        </w:rPr>
        <w:t xml:space="preserve">the defence of </w:t>
      </w:r>
      <w:r w:rsidR="00411D16">
        <w:rPr>
          <w:rFonts w:ascii="Arial" w:hAnsi="Arial" w:cs="Arial"/>
          <w:color w:val="0B0C0C"/>
        </w:rPr>
        <w:t xml:space="preserve">diminished responsibility, issues regarding the </w:t>
      </w:r>
      <w:r w:rsidR="00EF2DFA">
        <w:rPr>
          <w:rFonts w:ascii="Arial" w:hAnsi="Arial" w:cs="Arial"/>
          <w:color w:val="0B0C0C"/>
        </w:rPr>
        <w:t>‘</w:t>
      </w:r>
      <w:r w:rsidR="00411D16">
        <w:rPr>
          <w:rFonts w:ascii="Arial" w:hAnsi="Arial" w:cs="Arial"/>
          <w:color w:val="0B0C0C"/>
        </w:rPr>
        <w:t>recognised medical condition</w:t>
      </w:r>
      <w:r w:rsidR="00EF2DFA">
        <w:rPr>
          <w:rFonts w:ascii="Arial" w:hAnsi="Arial" w:cs="Arial"/>
          <w:color w:val="0B0C0C"/>
        </w:rPr>
        <w:t>’</w:t>
      </w:r>
      <w:r w:rsidR="00411D16">
        <w:rPr>
          <w:rFonts w:ascii="Arial" w:hAnsi="Arial" w:cs="Arial"/>
          <w:color w:val="0B0C0C"/>
        </w:rPr>
        <w:t xml:space="preserve"> </w:t>
      </w:r>
      <w:r w:rsidR="00053687">
        <w:rPr>
          <w:rFonts w:ascii="Arial" w:hAnsi="Arial" w:cs="Arial"/>
          <w:color w:val="0B0C0C"/>
        </w:rPr>
        <w:t xml:space="preserve">show how it </w:t>
      </w:r>
      <w:r w:rsidR="004A033B">
        <w:rPr>
          <w:rFonts w:ascii="Arial" w:hAnsi="Arial" w:cs="Arial"/>
          <w:color w:val="0B0C0C"/>
        </w:rPr>
        <w:t xml:space="preserve">does </w:t>
      </w:r>
      <w:r w:rsidR="00BB24A6">
        <w:rPr>
          <w:rFonts w:ascii="Arial" w:hAnsi="Arial" w:cs="Arial"/>
          <w:color w:val="0B0C0C"/>
        </w:rPr>
        <w:t xml:space="preserve">not </w:t>
      </w:r>
      <w:r w:rsidR="004A033B">
        <w:rPr>
          <w:rFonts w:ascii="Arial" w:hAnsi="Arial" w:cs="Arial"/>
          <w:color w:val="0B0C0C"/>
        </w:rPr>
        <w:t xml:space="preserve">completely have the ability to </w:t>
      </w:r>
      <w:r w:rsidR="007B114A">
        <w:rPr>
          <w:rFonts w:ascii="Arial" w:hAnsi="Arial" w:cs="Arial"/>
          <w:color w:val="0B0C0C"/>
        </w:rPr>
        <w:t>be relied upon to present a</w:t>
      </w:r>
      <w:r w:rsidR="003A35D3">
        <w:rPr>
          <w:rFonts w:ascii="Arial" w:hAnsi="Arial" w:cs="Arial"/>
          <w:color w:val="0B0C0C"/>
        </w:rPr>
        <w:t>bnormal behaviour of mental functioning</w:t>
      </w:r>
      <w:r w:rsidR="00EF2DFA">
        <w:rPr>
          <w:rFonts w:ascii="Arial" w:hAnsi="Arial" w:cs="Arial"/>
          <w:color w:val="0B0C0C"/>
        </w:rPr>
        <w:t>,</w:t>
      </w:r>
      <w:r w:rsidR="00C46CE1">
        <w:rPr>
          <w:rFonts w:ascii="Arial" w:hAnsi="Arial" w:cs="Arial"/>
          <w:color w:val="0B0C0C"/>
        </w:rPr>
        <w:t xml:space="preserve"> whilst being </w:t>
      </w:r>
      <w:r w:rsidR="000A2979">
        <w:rPr>
          <w:rFonts w:ascii="Arial" w:hAnsi="Arial" w:cs="Arial"/>
          <w:color w:val="0B0C0C"/>
        </w:rPr>
        <w:t>acknowledged as a medical condition</w:t>
      </w:r>
      <w:r w:rsidR="00736143">
        <w:rPr>
          <w:rFonts w:ascii="Arial" w:hAnsi="Arial" w:cs="Arial"/>
          <w:color w:val="0B0C0C"/>
        </w:rPr>
        <w:t xml:space="preserve"> adequate enough to be left to the jury. </w:t>
      </w:r>
      <w:r w:rsidR="006A379C">
        <w:rPr>
          <w:rFonts w:ascii="Arial" w:eastAsia="Arial" w:hAnsi="Arial" w:cs="Arial"/>
          <w:bCs/>
        </w:rPr>
        <w:t xml:space="preserve">The Crown Prosecution Services (2019). </w:t>
      </w:r>
    </w:p>
    <w:p w14:paraId="215CCAE5" w14:textId="77777777" w:rsidR="00135F65" w:rsidRDefault="00135F65" w:rsidP="00FF4704">
      <w:pPr>
        <w:rPr>
          <w:rFonts w:ascii="Arial" w:hAnsi="Arial" w:cs="Arial"/>
          <w:color w:val="0B0C0C"/>
        </w:rPr>
      </w:pPr>
    </w:p>
    <w:p w14:paraId="61228505" w14:textId="77777777" w:rsidR="00135F65" w:rsidRDefault="00135F65" w:rsidP="00FF4704">
      <w:pPr>
        <w:rPr>
          <w:rFonts w:ascii="Arial" w:hAnsi="Arial" w:cs="Arial"/>
          <w:color w:val="0B0C0C"/>
        </w:rPr>
      </w:pPr>
    </w:p>
    <w:p w14:paraId="46F8639F" w14:textId="7FE0762C" w:rsidR="002F5548" w:rsidRDefault="00241132" w:rsidP="00FF4704">
      <w:pPr>
        <w:rPr>
          <w:rFonts w:ascii="Arial" w:hAnsi="Arial" w:cs="Arial"/>
          <w:color w:val="000000"/>
        </w:rPr>
      </w:pPr>
      <w:r>
        <w:rPr>
          <w:rFonts w:ascii="Arial" w:hAnsi="Arial" w:cs="Arial"/>
          <w:color w:val="0B0C0C"/>
        </w:rPr>
        <w:t>A</w:t>
      </w:r>
      <w:r w:rsidR="006D0773">
        <w:rPr>
          <w:rFonts w:ascii="Arial" w:hAnsi="Arial" w:cs="Arial"/>
          <w:color w:val="0B0C0C"/>
        </w:rPr>
        <w:t xml:space="preserve"> case which demonstrates </w:t>
      </w:r>
      <w:r w:rsidR="002325F1">
        <w:rPr>
          <w:rFonts w:ascii="Arial" w:hAnsi="Arial" w:cs="Arial"/>
          <w:color w:val="0B0C0C"/>
        </w:rPr>
        <w:t xml:space="preserve">issues with </w:t>
      </w:r>
      <w:r w:rsidR="00EF2DFA">
        <w:rPr>
          <w:rFonts w:ascii="Arial" w:hAnsi="Arial" w:cs="Arial"/>
          <w:color w:val="0B0C0C"/>
        </w:rPr>
        <w:t xml:space="preserve">the </w:t>
      </w:r>
      <w:r w:rsidR="002325F1">
        <w:rPr>
          <w:rFonts w:ascii="Arial" w:hAnsi="Arial" w:cs="Arial"/>
          <w:color w:val="0B0C0C"/>
        </w:rPr>
        <w:t>partial defence</w:t>
      </w:r>
      <w:r w:rsidR="002D1333">
        <w:rPr>
          <w:rFonts w:ascii="Arial" w:hAnsi="Arial" w:cs="Arial"/>
          <w:color w:val="0B0C0C"/>
        </w:rPr>
        <w:t xml:space="preserve"> of diminished responsibility </w:t>
      </w:r>
      <w:r w:rsidR="002325F1">
        <w:rPr>
          <w:rFonts w:ascii="Arial" w:hAnsi="Arial" w:cs="Arial"/>
          <w:color w:val="0B0C0C"/>
        </w:rPr>
        <w:t xml:space="preserve">is the </w:t>
      </w:r>
      <w:r w:rsidR="004240F3">
        <w:rPr>
          <w:rFonts w:ascii="Arial" w:hAnsi="Arial" w:cs="Arial"/>
          <w:color w:val="0B0C0C"/>
        </w:rPr>
        <w:t>Dowds v The Queen (2012)</w:t>
      </w:r>
      <w:r w:rsidR="0049022F">
        <w:rPr>
          <w:rFonts w:ascii="Arial" w:hAnsi="Arial" w:cs="Arial"/>
          <w:color w:val="0B0C0C"/>
        </w:rPr>
        <w:t xml:space="preserve"> case</w:t>
      </w:r>
      <w:r w:rsidR="002325F1">
        <w:rPr>
          <w:rFonts w:ascii="Arial" w:hAnsi="Arial" w:cs="Arial"/>
          <w:color w:val="0B0C0C"/>
        </w:rPr>
        <w:t xml:space="preserve">, in the </w:t>
      </w:r>
      <w:r w:rsidR="005A1D9E">
        <w:rPr>
          <w:rFonts w:ascii="Arial" w:hAnsi="Arial" w:cs="Arial"/>
          <w:color w:val="0B0C0C"/>
        </w:rPr>
        <w:t xml:space="preserve">Court of Appeal. </w:t>
      </w:r>
      <w:r w:rsidR="0064038D">
        <w:rPr>
          <w:rFonts w:ascii="Arial" w:hAnsi="Arial" w:cs="Arial"/>
          <w:color w:val="0B0C0C"/>
        </w:rPr>
        <w:t xml:space="preserve">The defendant </w:t>
      </w:r>
      <w:r w:rsidR="00532E7E">
        <w:rPr>
          <w:rFonts w:ascii="Arial" w:hAnsi="Arial" w:cs="Arial"/>
          <w:color w:val="0B0C0C"/>
        </w:rPr>
        <w:t>caused fatal stab wounds</w:t>
      </w:r>
      <w:r w:rsidR="00FC58CC">
        <w:rPr>
          <w:rFonts w:ascii="Arial" w:hAnsi="Arial" w:cs="Arial"/>
          <w:color w:val="0B0C0C"/>
        </w:rPr>
        <w:t xml:space="preserve">, </w:t>
      </w:r>
      <w:r w:rsidR="00CB1142">
        <w:rPr>
          <w:rFonts w:ascii="Arial" w:hAnsi="Arial" w:cs="Arial"/>
          <w:color w:val="0B0C0C"/>
        </w:rPr>
        <w:t xml:space="preserve">thus killing his partner under the influence of alcohol. </w:t>
      </w:r>
      <w:r w:rsidR="005A1D9E">
        <w:rPr>
          <w:rFonts w:ascii="Arial" w:hAnsi="Arial" w:cs="Arial"/>
          <w:color w:val="0B0C0C"/>
        </w:rPr>
        <w:t>This case illustrates</w:t>
      </w:r>
      <w:r w:rsidR="006D37B4">
        <w:rPr>
          <w:rFonts w:ascii="Arial" w:hAnsi="Arial" w:cs="Arial"/>
          <w:color w:val="0B0C0C"/>
        </w:rPr>
        <w:t xml:space="preserve"> issue</w:t>
      </w:r>
      <w:r w:rsidR="006F15EB">
        <w:rPr>
          <w:rFonts w:ascii="Arial" w:hAnsi="Arial" w:cs="Arial"/>
          <w:color w:val="0B0C0C"/>
        </w:rPr>
        <w:t>s</w:t>
      </w:r>
      <w:r w:rsidR="006D37B4">
        <w:rPr>
          <w:rFonts w:ascii="Arial" w:hAnsi="Arial" w:cs="Arial"/>
          <w:color w:val="0B0C0C"/>
        </w:rPr>
        <w:t xml:space="preserve"> </w:t>
      </w:r>
      <w:r w:rsidR="006F15EB">
        <w:rPr>
          <w:rFonts w:ascii="Arial" w:hAnsi="Arial" w:cs="Arial"/>
          <w:color w:val="0B0C0C"/>
        </w:rPr>
        <w:t xml:space="preserve">on </w:t>
      </w:r>
      <w:r w:rsidR="003546A1">
        <w:rPr>
          <w:rFonts w:ascii="Arial" w:hAnsi="Arial" w:cs="Arial"/>
          <w:color w:val="0B0C0C"/>
        </w:rPr>
        <w:t xml:space="preserve">whether the defendants </w:t>
      </w:r>
      <w:r w:rsidR="00C172DB">
        <w:rPr>
          <w:rFonts w:ascii="Arial" w:hAnsi="Arial" w:cs="Arial"/>
          <w:color w:val="0B0C0C"/>
        </w:rPr>
        <w:t xml:space="preserve">voluntary intoxication </w:t>
      </w:r>
      <w:r w:rsidR="003139DE">
        <w:rPr>
          <w:rFonts w:ascii="Arial" w:hAnsi="Arial" w:cs="Arial"/>
          <w:color w:val="0B0C0C"/>
        </w:rPr>
        <w:t>is able to give</w:t>
      </w:r>
      <w:r w:rsidR="00BC59FB">
        <w:rPr>
          <w:rFonts w:ascii="Arial" w:hAnsi="Arial" w:cs="Arial"/>
          <w:color w:val="0B0C0C"/>
        </w:rPr>
        <w:t xml:space="preserve"> </w:t>
      </w:r>
      <w:r w:rsidR="00045F9D">
        <w:rPr>
          <w:rFonts w:ascii="Arial" w:hAnsi="Arial" w:cs="Arial"/>
          <w:color w:val="0B0C0C"/>
        </w:rPr>
        <w:t xml:space="preserve">potential defence </w:t>
      </w:r>
      <w:r w:rsidR="008B7D13">
        <w:rPr>
          <w:rFonts w:ascii="Arial" w:hAnsi="Arial" w:cs="Arial"/>
          <w:color w:val="0B0C0C"/>
        </w:rPr>
        <w:t xml:space="preserve">of diminished responsibility on an indictment for murder. </w:t>
      </w:r>
      <w:r w:rsidR="00962A7B">
        <w:rPr>
          <w:rFonts w:ascii="Arial" w:hAnsi="Arial" w:cs="Arial"/>
          <w:color w:val="0B0C0C"/>
        </w:rPr>
        <w:t>The amendments from</w:t>
      </w:r>
      <w:r w:rsidR="00C85DEB">
        <w:rPr>
          <w:rFonts w:ascii="Arial" w:hAnsi="Arial" w:cs="Arial"/>
          <w:color w:val="0B0C0C"/>
        </w:rPr>
        <w:t xml:space="preserve"> section 2 Homicide Act 1957 clarify that </w:t>
      </w:r>
      <w:r w:rsidR="00D01898">
        <w:rPr>
          <w:rFonts w:ascii="Arial" w:hAnsi="Arial" w:cs="Arial"/>
          <w:color w:val="0B0C0C"/>
        </w:rPr>
        <w:t>volu</w:t>
      </w:r>
      <w:r w:rsidR="00A10F35">
        <w:rPr>
          <w:rFonts w:ascii="Arial" w:hAnsi="Arial" w:cs="Arial"/>
          <w:color w:val="0B0C0C"/>
        </w:rPr>
        <w:t xml:space="preserve">ntary </w:t>
      </w:r>
      <w:r w:rsidR="005743C0">
        <w:rPr>
          <w:rFonts w:ascii="Arial" w:hAnsi="Arial" w:cs="Arial"/>
          <w:color w:val="0B0C0C"/>
        </w:rPr>
        <w:t xml:space="preserve">and temporary intoxication </w:t>
      </w:r>
      <w:r w:rsidR="00EA13BC">
        <w:rPr>
          <w:rFonts w:ascii="Arial" w:hAnsi="Arial" w:cs="Arial"/>
          <w:color w:val="0B0C0C"/>
        </w:rPr>
        <w:t xml:space="preserve">gives rise to diminished responsibility, therefore </w:t>
      </w:r>
      <w:r w:rsidR="004C262B">
        <w:rPr>
          <w:rFonts w:ascii="Arial" w:hAnsi="Arial" w:cs="Arial"/>
          <w:color w:val="0B0C0C"/>
        </w:rPr>
        <w:t xml:space="preserve">diminishing murder to manslaughter. </w:t>
      </w:r>
      <w:r w:rsidR="00FA01B5">
        <w:rPr>
          <w:rFonts w:ascii="Arial" w:hAnsi="Arial" w:cs="Arial"/>
          <w:color w:val="0B0C0C"/>
        </w:rPr>
        <w:t>This conveys how</w:t>
      </w:r>
      <w:r w:rsidR="00283243">
        <w:rPr>
          <w:rFonts w:ascii="Arial" w:hAnsi="Arial" w:cs="Arial"/>
          <w:color w:val="0B0C0C"/>
        </w:rPr>
        <w:t xml:space="preserve"> intoxication is a “recognised medical condition”</w:t>
      </w:r>
      <w:r w:rsidR="004457B5">
        <w:rPr>
          <w:rFonts w:ascii="Arial" w:hAnsi="Arial" w:cs="Arial"/>
          <w:color w:val="0B0C0C"/>
        </w:rPr>
        <w:t xml:space="preserve"> amongst section 2(1)(a) of the Homicide Act</w:t>
      </w:r>
      <w:r w:rsidR="008B56DF">
        <w:rPr>
          <w:rFonts w:ascii="Arial" w:hAnsi="Arial" w:cs="Arial"/>
          <w:color w:val="0B0C0C"/>
        </w:rPr>
        <w:t xml:space="preserve"> as </w:t>
      </w:r>
      <w:r w:rsidR="00EA5C79">
        <w:rPr>
          <w:rFonts w:ascii="Arial" w:hAnsi="Arial" w:cs="Arial"/>
          <w:color w:val="0B0C0C"/>
        </w:rPr>
        <w:t xml:space="preserve">altered. </w:t>
      </w:r>
      <w:r w:rsidR="003A07FE">
        <w:rPr>
          <w:rFonts w:ascii="Arial" w:hAnsi="Arial" w:cs="Arial"/>
          <w:color w:val="0B0C0C"/>
        </w:rPr>
        <w:t xml:space="preserve">In the course of deciding if the defendants voluntary drunkenness </w:t>
      </w:r>
      <w:r w:rsidR="00E7153B">
        <w:rPr>
          <w:rFonts w:ascii="Arial" w:hAnsi="Arial" w:cs="Arial"/>
          <w:color w:val="0B0C0C"/>
        </w:rPr>
        <w:t>was accountable</w:t>
      </w:r>
      <w:r w:rsidR="00AE209E">
        <w:rPr>
          <w:rFonts w:ascii="Arial" w:hAnsi="Arial" w:cs="Arial"/>
          <w:color w:val="0B0C0C"/>
        </w:rPr>
        <w:t xml:space="preserve">, issues </w:t>
      </w:r>
      <w:r w:rsidR="00300DD4">
        <w:rPr>
          <w:rFonts w:ascii="Arial" w:hAnsi="Arial" w:cs="Arial"/>
          <w:color w:val="0B0C0C"/>
        </w:rPr>
        <w:t>in regard to intent</w:t>
      </w:r>
      <w:r w:rsidR="00EF2E87">
        <w:rPr>
          <w:rFonts w:ascii="Arial" w:hAnsi="Arial" w:cs="Arial"/>
          <w:color w:val="0B0C0C"/>
        </w:rPr>
        <w:t>ion</w:t>
      </w:r>
      <w:r w:rsidR="00300DD4">
        <w:rPr>
          <w:rFonts w:ascii="Arial" w:hAnsi="Arial" w:cs="Arial"/>
          <w:color w:val="0B0C0C"/>
        </w:rPr>
        <w:t xml:space="preserve"> became </w:t>
      </w:r>
      <w:r w:rsidR="00632AFC">
        <w:rPr>
          <w:rFonts w:ascii="Arial" w:hAnsi="Arial" w:cs="Arial"/>
          <w:color w:val="0B0C0C"/>
        </w:rPr>
        <w:t xml:space="preserve">difficult to decide whether </w:t>
      </w:r>
      <w:r w:rsidR="00A72434">
        <w:rPr>
          <w:rFonts w:ascii="Arial" w:hAnsi="Arial" w:cs="Arial"/>
          <w:color w:val="0B0C0C"/>
        </w:rPr>
        <w:t xml:space="preserve">intent </w:t>
      </w:r>
      <w:r w:rsidR="00632AFC">
        <w:rPr>
          <w:rFonts w:ascii="Arial" w:hAnsi="Arial" w:cs="Arial"/>
          <w:color w:val="0B0C0C"/>
        </w:rPr>
        <w:t xml:space="preserve">had been present. </w:t>
      </w:r>
      <w:r w:rsidR="00EC2456" w:rsidRPr="00EC2456">
        <w:rPr>
          <w:rFonts w:ascii="Arial" w:hAnsi="Arial" w:cs="Arial"/>
          <w:color w:val="000000"/>
        </w:rPr>
        <w:t>England and Wales Court of Appeal (Criminal Division) Decisions</w:t>
      </w:r>
      <w:r w:rsidR="00A71A51">
        <w:rPr>
          <w:rFonts w:ascii="Arial" w:hAnsi="Arial" w:cs="Arial"/>
          <w:color w:val="000000"/>
        </w:rPr>
        <w:t xml:space="preserve"> (2012).  </w:t>
      </w:r>
    </w:p>
    <w:p w14:paraId="736D8EC8" w14:textId="77777777" w:rsidR="00135F65" w:rsidRDefault="00135F65" w:rsidP="001E07A7">
      <w:pPr>
        <w:rPr>
          <w:rFonts w:ascii="Arial" w:hAnsi="Arial" w:cs="Arial"/>
          <w:color w:val="000000"/>
        </w:rPr>
      </w:pPr>
    </w:p>
    <w:p w14:paraId="4CB6FF39" w14:textId="77777777" w:rsidR="00135F65" w:rsidRDefault="00135F65" w:rsidP="001E07A7">
      <w:pPr>
        <w:rPr>
          <w:rFonts w:ascii="Arial" w:hAnsi="Arial" w:cs="Arial"/>
          <w:color w:val="000000"/>
        </w:rPr>
      </w:pPr>
    </w:p>
    <w:p w14:paraId="48BD7E7A" w14:textId="77777777" w:rsidR="00135F65" w:rsidRDefault="00A47B2B" w:rsidP="001E07A7">
      <w:pPr>
        <w:rPr>
          <w:rFonts w:ascii="Arial" w:hAnsi="Arial" w:cs="Arial"/>
          <w:color w:val="0B0C0C"/>
        </w:rPr>
      </w:pPr>
      <w:r>
        <w:rPr>
          <w:rFonts w:ascii="Arial" w:hAnsi="Arial" w:cs="Arial"/>
          <w:color w:val="000000"/>
        </w:rPr>
        <w:t>Lord Bridg</w:t>
      </w:r>
      <w:r w:rsidR="00010093">
        <w:rPr>
          <w:rFonts w:ascii="Arial" w:hAnsi="Arial" w:cs="Arial"/>
          <w:color w:val="000000"/>
        </w:rPr>
        <w:t xml:space="preserve">e </w:t>
      </w:r>
      <w:r w:rsidR="0005260B">
        <w:rPr>
          <w:rFonts w:ascii="Arial" w:hAnsi="Arial" w:cs="Arial"/>
          <w:color w:val="000000"/>
        </w:rPr>
        <w:t xml:space="preserve">emphasises </w:t>
      </w:r>
      <w:r w:rsidR="00E23847">
        <w:rPr>
          <w:rFonts w:ascii="Arial" w:hAnsi="Arial" w:cs="Arial"/>
          <w:color w:val="000000"/>
        </w:rPr>
        <w:t xml:space="preserve">there are issues with applying intention in court. He states, </w:t>
      </w:r>
      <w:r w:rsidR="00E23847">
        <w:rPr>
          <w:rFonts w:ascii="Arial" w:hAnsi="Arial" w:cs="Arial"/>
          <w:color w:val="0B0C0C"/>
        </w:rPr>
        <w:t>“</w:t>
      </w:r>
      <w:r w:rsidR="00E23847" w:rsidRPr="0071187C">
        <w:rPr>
          <w:rFonts w:ascii="Arial" w:hAnsi="Arial" w:cs="Arial"/>
          <w:color w:val="0B0C0C"/>
        </w:rPr>
        <w:t>intention is something quite distinct from motive or desire</w:t>
      </w:r>
      <w:r w:rsidR="00E23847">
        <w:rPr>
          <w:rFonts w:ascii="Arial" w:hAnsi="Arial" w:cs="Arial"/>
          <w:color w:val="0B0C0C"/>
        </w:rPr>
        <w:t>”</w:t>
      </w:r>
      <w:r w:rsidR="00143131">
        <w:rPr>
          <w:rFonts w:ascii="Arial" w:hAnsi="Arial" w:cs="Arial"/>
          <w:color w:val="0B0C0C"/>
        </w:rPr>
        <w:t xml:space="preserve">. </w:t>
      </w:r>
      <w:r w:rsidR="004273CA">
        <w:rPr>
          <w:rFonts w:ascii="Arial" w:hAnsi="Arial" w:cs="Arial"/>
          <w:color w:val="0B0C0C"/>
        </w:rPr>
        <w:t xml:space="preserve">The Court of Appeal recognised cases of indirect intent valued great </w:t>
      </w:r>
      <w:r w:rsidR="0062638B">
        <w:rPr>
          <w:rFonts w:ascii="Arial" w:hAnsi="Arial" w:cs="Arial"/>
          <w:color w:val="0B0C0C"/>
        </w:rPr>
        <w:t xml:space="preserve">difficulty. </w:t>
      </w:r>
      <w:r w:rsidR="007300C0">
        <w:rPr>
          <w:rFonts w:ascii="Arial" w:hAnsi="Arial" w:cs="Arial"/>
          <w:color w:val="0B0C0C"/>
        </w:rPr>
        <w:t xml:space="preserve">R v Nedrick is a case dealt with mens rea in murder. </w:t>
      </w:r>
      <w:r w:rsidR="00410BBD">
        <w:rPr>
          <w:rFonts w:ascii="Arial" w:hAnsi="Arial" w:cs="Arial"/>
          <w:color w:val="0B0C0C"/>
        </w:rPr>
        <w:t>It provided ability to find where intention is apparent</w:t>
      </w:r>
      <w:r w:rsidR="00CE279B">
        <w:rPr>
          <w:rFonts w:ascii="Arial" w:hAnsi="Arial" w:cs="Arial"/>
          <w:color w:val="0B0C0C"/>
        </w:rPr>
        <w:t xml:space="preserve">. </w:t>
      </w:r>
      <w:r w:rsidR="0064071A">
        <w:rPr>
          <w:rFonts w:ascii="Arial" w:hAnsi="Arial" w:cs="Arial"/>
          <w:color w:val="0B0C0C"/>
        </w:rPr>
        <w:t xml:space="preserve">Although, </w:t>
      </w:r>
      <w:r w:rsidR="0007264E">
        <w:rPr>
          <w:rFonts w:ascii="Arial" w:hAnsi="Arial" w:cs="Arial"/>
          <w:color w:val="0B0C0C"/>
        </w:rPr>
        <w:t xml:space="preserve">the misdirection </w:t>
      </w:r>
      <w:r w:rsidR="002938DE">
        <w:rPr>
          <w:rFonts w:ascii="Arial" w:hAnsi="Arial" w:cs="Arial"/>
          <w:color w:val="0B0C0C"/>
        </w:rPr>
        <w:t xml:space="preserve">caused issues by wrongly phrasing </w:t>
      </w:r>
      <w:r w:rsidR="008F3C87">
        <w:rPr>
          <w:rFonts w:ascii="Arial" w:hAnsi="Arial" w:cs="Arial"/>
          <w:color w:val="0B0C0C"/>
        </w:rPr>
        <w:t>the ‘substan</w:t>
      </w:r>
      <w:r w:rsidR="00007FDD">
        <w:rPr>
          <w:rFonts w:ascii="Arial" w:hAnsi="Arial" w:cs="Arial"/>
          <w:color w:val="0B0C0C"/>
        </w:rPr>
        <w:t xml:space="preserve">tial risk’ as it </w:t>
      </w:r>
      <w:r w:rsidR="00900F46">
        <w:rPr>
          <w:rFonts w:ascii="Arial" w:hAnsi="Arial" w:cs="Arial"/>
          <w:color w:val="0B0C0C"/>
        </w:rPr>
        <w:t xml:space="preserve">regarded </w:t>
      </w:r>
      <w:r w:rsidR="008E1E76">
        <w:rPr>
          <w:rFonts w:ascii="Arial" w:hAnsi="Arial" w:cs="Arial"/>
          <w:color w:val="0B0C0C"/>
        </w:rPr>
        <w:t xml:space="preserve">difference between intention and subjective recklessness </w:t>
      </w:r>
      <w:r w:rsidR="00AB41C7">
        <w:rPr>
          <w:rFonts w:ascii="Arial" w:hAnsi="Arial" w:cs="Arial"/>
          <w:color w:val="0B0C0C"/>
        </w:rPr>
        <w:t xml:space="preserve">vague. </w:t>
      </w:r>
      <w:r w:rsidR="00E23FDB">
        <w:rPr>
          <w:rFonts w:ascii="Arial" w:hAnsi="Arial" w:cs="Arial"/>
          <w:color w:val="0B0C0C"/>
        </w:rPr>
        <w:t xml:space="preserve">It can be argued </w:t>
      </w:r>
      <w:r w:rsidR="002C5A24">
        <w:rPr>
          <w:rFonts w:ascii="Arial" w:hAnsi="Arial" w:cs="Arial"/>
          <w:color w:val="0B0C0C"/>
        </w:rPr>
        <w:t xml:space="preserve">‘intent’ </w:t>
      </w:r>
      <w:r w:rsidR="001B221B">
        <w:rPr>
          <w:rFonts w:ascii="Arial" w:hAnsi="Arial" w:cs="Arial"/>
          <w:color w:val="0B0C0C"/>
        </w:rPr>
        <w:t xml:space="preserve">does not by definition </w:t>
      </w:r>
      <w:r w:rsidR="00536AFC">
        <w:rPr>
          <w:rFonts w:ascii="Arial" w:hAnsi="Arial" w:cs="Arial"/>
          <w:color w:val="0B0C0C"/>
        </w:rPr>
        <w:t xml:space="preserve">have the same interpretation </w:t>
      </w:r>
      <w:r w:rsidR="00D75B95">
        <w:rPr>
          <w:rFonts w:ascii="Arial" w:hAnsi="Arial" w:cs="Arial"/>
          <w:color w:val="0B0C0C"/>
        </w:rPr>
        <w:t xml:space="preserve">in every </w:t>
      </w:r>
      <w:r w:rsidR="00B9638C">
        <w:rPr>
          <w:rFonts w:ascii="Arial" w:hAnsi="Arial" w:cs="Arial"/>
          <w:color w:val="0B0C0C"/>
        </w:rPr>
        <w:t>circumstance within criminal law</w:t>
      </w:r>
      <w:r w:rsidR="00CB6BC9">
        <w:rPr>
          <w:rFonts w:ascii="Arial" w:hAnsi="Arial" w:cs="Arial"/>
          <w:color w:val="0B0C0C"/>
        </w:rPr>
        <w:t xml:space="preserve">. </w:t>
      </w:r>
      <w:r w:rsidR="000E51CC">
        <w:rPr>
          <w:rFonts w:ascii="Arial" w:hAnsi="Arial" w:cs="Arial"/>
          <w:color w:val="0B0C0C"/>
        </w:rPr>
        <w:t xml:space="preserve">These types of issues with intent are still present in court today. </w:t>
      </w:r>
      <w:r w:rsidR="00CB6BC9">
        <w:rPr>
          <w:rFonts w:ascii="Arial" w:hAnsi="Arial" w:cs="Arial"/>
          <w:color w:val="0B0C0C"/>
        </w:rPr>
        <w:t>Parsons (</w:t>
      </w:r>
      <w:r w:rsidR="00F06C94">
        <w:rPr>
          <w:rFonts w:ascii="Arial" w:hAnsi="Arial" w:cs="Arial"/>
          <w:color w:val="0B0C0C"/>
        </w:rPr>
        <w:t xml:space="preserve">1998). </w:t>
      </w:r>
    </w:p>
    <w:p w14:paraId="571CB85E" w14:textId="2B0B7B02" w:rsidR="00135F65" w:rsidRDefault="003A0D2E" w:rsidP="009D3183">
      <w:pPr>
        <w:rPr>
          <w:rFonts w:ascii="Arial" w:hAnsi="Arial" w:cs="Arial"/>
          <w:color w:val="0B0C0C"/>
        </w:rPr>
      </w:pPr>
      <w:r>
        <w:rPr>
          <w:rFonts w:ascii="Arial" w:hAnsi="Arial" w:cs="Arial"/>
          <w:color w:val="0B0C0C"/>
        </w:rPr>
        <w:t>The law concerning intention is dealt with differently in other law jurisdictions around the world. Australian Courts imply they widely avoid issues English counterparts deal with, regarding intention. The Australian Courts emphasise</w:t>
      </w:r>
      <w:r w:rsidR="000925BA">
        <w:rPr>
          <w:rFonts w:ascii="Arial" w:hAnsi="Arial" w:cs="Arial"/>
          <w:color w:val="0B0C0C"/>
        </w:rPr>
        <w:t xml:space="preserve"> </w:t>
      </w:r>
      <w:r>
        <w:rPr>
          <w:rFonts w:ascii="Arial" w:hAnsi="Arial" w:cs="Arial"/>
          <w:color w:val="0B0C0C"/>
        </w:rPr>
        <w:t xml:space="preserve">England and Wales struggle with defining intention as an element of murder. Australian Courts do not feel the need to refer to intention the same way English counterparts do when </w:t>
      </w:r>
      <w:r>
        <w:rPr>
          <w:rFonts w:ascii="Arial" w:hAnsi="Arial" w:cs="Arial"/>
          <w:color w:val="0B0C0C"/>
        </w:rPr>
        <w:lastRenderedPageBreak/>
        <w:t xml:space="preserve">relating to causing death or injury. It is proven to be problematic when relying on the results of intention. It can be seen from other perspectives intention in England and Wales is considered unreliable therefore, it is used more effectively in other law jurisdictions. Elliot </w:t>
      </w:r>
      <w:r w:rsidR="006B65E3">
        <w:rPr>
          <w:rFonts w:ascii="Arial" w:hAnsi="Arial" w:cs="Arial"/>
          <w:color w:val="0B0C0C"/>
        </w:rPr>
        <w:t>(</w:t>
      </w:r>
      <w:r>
        <w:rPr>
          <w:rFonts w:ascii="Arial" w:hAnsi="Arial" w:cs="Arial"/>
          <w:color w:val="0B0C0C"/>
        </w:rPr>
        <w:t xml:space="preserve">2005). </w:t>
      </w:r>
    </w:p>
    <w:p w14:paraId="58E7B7E5" w14:textId="77777777" w:rsidR="00135F65" w:rsidRDefault="00135F65" w:rsidP="009D3183">
      <w:pPr>
        <w:rPr>
          <w:rFonts w:ascii="Arial" w:hAnsi="Arial" w:cs="Arial"/>
          <w:color w:val="0B0C0C"/>
        </w:rPr>
      </w:pPr>
    </w:p>
    <w:p w14:paraId="77B79B72" w14:textId="03D9E30A" w:rsidR="009D3183" w:rsidRPr="00021E77" w:rsidRDefault="00AD174C" w:rsidP="009D3183">
      <w:pPr>
        <w:rPr>
          <w:rFonts w:ascii="Arial" w:hAnsi="Arial" w:cs="Arial"/>
          <w:color w:val="0B0C0C"/>
        </w:rPr>
      </w:pPr>
      <w:r>
        <w:rPr>
          <w:rFonts w:ascii="Arial" w:hAnsi="Arial" w:cs="Arial"/>
          <w:color w:val="0B0C0C"/>
        </w:rPr>
        <w:t>Furthermore, problems also occur from the partial defence of loss of control.</w:t>
      </w:r>
      <w:r w:rsidR="00AC67A1">
        <w:rPr>
          <w:rFonts w:ascii="Arial" w:hAnsi="Arial" w:cs="Arial"/>
          <w:color w:val="0B0C0C"/>
        </w:rPr>
        <w:t xml:space="preserve"> </w:t>
      </w:r>
      <w:r w:rsidR="00CA4627">
        <w:rPr>
          <w:rFonts w:ascii="Arial" w:hAnsi="Arial" w:cs="Arial"/>
          <w:color w:val="0B0C0C"/>
        </w:rPr>
        <w:t xml:space="preserve">The defence of </w:t>
      </w:r>
      <w:r w:rsidR="009471F2">
        <w:rPr>
          <w:rFonts w:ascii="Arial" w:hAnsi="Arial" w:cs="Arial"/>
          <w:color w:val="0B0C0C"/>
        </w:rPr>
        <w:t xml:space="preserve">loss of control </w:t>
      </w:r>
      <w:r w:rsidR="00CA4627">
        <w:rPr>
          <w:rFonts w:ascii="Arial" w:hAnsi="Arial" w:cs="Arial"/>
          <w:color w:val="0B0C0C"/>
        </w:rPr>
        <w:t xml:space="preserve">has presented disadvantages along with its other factors in legislation. It is not justified clearly, causing a common argument of review becoming necessary. It can be seen that </w:t>
      </w:r>
      <w:r w:rsidR="008009F0">
        <w:rPr>
          <w:rFonts w:ascii="Arial" w:hAnsi="Arial" w:cs="Arial"/>
          <w:color w:val="0B0C0C"/>
        </w:rPr>
        <w:t xml:space="preserve">the loss of control is overly </w:t>
      </w:r>
      <w:r w:rsidR="00CA4627">
        <w:rPr>
          <w:rFonts w:ascii="Arial" w:hAnsi="Arial" w:cs="Arial"/>
          <w:color w:val="0B0C0C"/>
        </w:rPr>
        <w:t>lenient</w:t>
      </w:r>
      <w:r w:rsidR="008009F0">
        <w:rPr>
          <w:rFonts w:ascii="Arial" w:hAnsi="Arial" w:cs="Arial"/>
          <w:color w:val="0B0C0C"/>
        </w:rPr>
        <w:t xml:space="preserve">, </w:t>
      </w:r>
      <w:r w:rsidR="00CA4627">
        <w:rPr>
          <w:rFonts w:ascii="Arial" w:hAnsi="Arial" w:cs="Arial"/>
          <w:color w:val="0B0C0C"/>
        </w:rPr>
        <w:t>leading a judge to rely on the jury to conduct a verdict when the case information is trivial.</w:t>
      </w:r>
      <w:r w:rsidR="009471F2">
        <w:rPr>
          <w:rFonts w:ascii="Arial" w:hAnsi="Arial" w:cs="Arial"/>
          <w:color w:val="0B0C0C"/>
        </w:rPr>
        <w:t xml:space="preserve"> </w:t>
      </w:r>
      <w:r w:rsidR="00AC67A1">
        <w:rPr>
          <w:rFonts w:ascii="Arial" w:hAnsi="Arial" w:cs="Arial"/>
          <w:color w:val="0B0C0C"/>
        </w:rPr>
        <w:t xml:space="preserve">Within the court, prosecutors should </w:t>
      </w:r>
      <w:r w:rsidR="003306BF">
        <w:rPr>
          <w:rFonts w:ascii="Arial" w:hAnsi="Arial" w:cs="Arial"/>
          <w:color w:val="0B0C0C"/>
        </w:rPr>
        <w:t xml:space="preserve">observe </w:t>
      </w:r>
      <w:r w:rsidR="004D2104">
        <w:rPr>
          <w:rFonts w:ascii="Arial" w:hAnsi="Arial" w:cs="Arial"/>
          <w:color w:val="0B0C0C"/>
        </w:rPr>
        <w:t xml:space="preserve">whether </w:t>
      </w:r>
      <w:r w:rsidR="00186A3C">
        <w:rPr>
          <w:rFonts w:ascii="Arial" w:hAnsi="Arial" w:cs="Arial"/>
          <w:color w:val="0B0C0C"/>
        </w:rPr>
        <w:t xml:space="preserve">adequate </w:t>
      </w:r>
      <w:r w:rsidR="000F5990">
        <w:rPr>
          <w:rFonts w:ascii="Arial" w:hAnsi="Arial" w:cs="Arial"/>
          <w:color w:val="0B0C0C"/>
        </w:rPr>
        <w:t xml:space="preserve">proof exists to show the killing </w:t>
      </w:r>
      <w:r w:rsidR="000F1BB6">
        <w:rPr>
          <w:rFonts w:ascii="Arial" w:hAnsi="Arial" w:cs="Arial"/>
          <w:color w:val="0B0C0C"/>
        </w:rPr>
        <w:t xml:space="preserve">stemmed from loss of control. </w:t>
      </w:r>
      <w:r w:rsidR="004C3E98">
        <w:rPr>
          <w:rFonts w:ascii="Arial" w:hAnsi="Arial" w:cs="Arial"/>
          <w:color w:val="0B0C0C"/>
        </w:rPr>
        <w:t xml:space="preserve">It is unnecessary </w:t>
      </w:r>
      <w:r w:rsidR="001850A0">
        <w:rPr>
          <w:rFonts w:ascii="Arial" w:hAnsi="Arial" w:cs="Arial"/>
          <w:color w:val="0B0C0C"/>
        </w:rPr>
        <w:t>to examine further components if the first partial defence cannot be met.</w:t>
      </w:r>
      <w:r w:rsidR="008009F0">
        <w:rPr>
          <w:rFonts w:ascii="Arial" w:hAnsi="Arial" w:cs="Arial"/>
          <w:color w:val="0B0C0C"/>
        </w:rPr>
        <w:t xml:space="preserve"> </w:t>
      </w:r>
      <w:r w:rsidR="00393062">
        <w:rPr>
          <w:rFonts w:ascii="Arial" w:hAnsi="Arial" w:cs="Arial"/>
          <w:color w:val="0B0C0C"/>
        </w:rPr>
        <w:t>In the case R v Dawes, Hatter and Bowyer (2013)</w:t>
      </w:r>
      <w:r w:rsidR="006C3DDF">
        <w:rPr>
          <w:rFonts w:ascii="Arial" w:hAnsi="Arial" w:cs="Arial"/>
          <w:color w:val="0B0C0C"/>
        </w:rPr>
        <w:t xml:space="preserve">, the second defendant (H) had </w:t>
      </w:r>
      <w:r w:rsidR="00F0125A">
        <w:rPr>
          <w:rFonts w:ascii="Arial" w:hAnsi="Arial" w:cs="Arial"/>
          <w:color w:val="0B0C0C"/>
        </w:rPr>
        <w:t xml:space="preserve">violently stabbed his </w:t>
      </w:r>
      <w:r w:rsidR="00055E67">
        <w:rPr>
          <w:rFonts w:ascii="Arial" w:hAnsi="Arial" w:cs="Arial"/>
          <w:color w:val="0B0C0C"/>
        </w:rPr>
        <w:t xml:space="preserve">victim </w:t>
      </w:r>
      <w:r w:rsidR="00142E00">
        <w:rPr>
          <w:rFonts w:ascii="Arial" w:hAnsi="Arial" w:cs="Arial"/>
          <w:color w:val="0B0C0C"/>
        </w:rPr>
        <w:t>after</w:t>
      </w:r>
      <w:r w:rsidR="00EF0557">
        <w:rPr>
          <w:rFonts w:ascii="Arial" w:hAnsi="Arial" w:cs="Arial"/>
          <w:color w:val="0B0C0C"/>
        </w:rPr>
        <w:t xml:space="preserve"> the break-up of their relationship. </w:t>
      </w:r>
      <w:r w:rsidR="00A47373">
        <w:rPr>
          <w:rFonts w:ascii="Arial" w:hAnsi="Arial" w:cs="Arial"/>
          <w:color w:val="0B0C0C"/>
        </w:rPr>
        <w:t xml:space="preserve">The judge </w:t>
      </w:r>
      <w:r w:rsidR="00166D0C">
        <w:rPr>
          <w:rFonts w:ascii="Arial" w:hAnsi="Arial" w:cs="Arial"/>
          <w:color w:val="0B0C0C"/>
        </w:rPr>
        <w:t>pronounced the defence of loss of self-control</w:t>
      </w:r>
      <w:r w:rsidR="0079552A">
        <w:rPr>
          <w:rFonts w:ascii="Arial" w:hAnsi="Arial" w:cs="Arial"/>
          <w:color w:val="0B0C0C"/>
        </w:rPr>
        <w:t xml:space="preserve"> should not be left to the jury, due to the fact there was </w:t>
      </w:r>
      <w:r w:rsidR="00BF3C8F">
        <w:rPr>
          <w:rFonts w:ascii="Arial" w:hAnsi="Arial" w:cs="Arial"/>
          <w:color w:val="0B0C0C"/>
        </w:rPr>
        <w:t xml:space="preserve">poor </w:t>
      </w:r>
      <w:r w:rsidR="00204C8E">
        <w:rPr>
          <w:rFonts w:ascii="Arial" w:hAnsi="Arial" w:cs="Arial"/>
          <w:color w:val="0B0C0C"/>
        </w:rPr>
        <w:t xml:space="preserve">evidence to </w:t>
      </w:r>
      <w:r w:rsidR="00471F8C">
        <w:rPr>
          <w:rFonts w:ascii="Arial" w:hAnsi="Arial" w:cs="Arial"/>
          <w:color w:val="0B0C0C"/>
        </w:rPr>
        <w:t>argue.</w:t>
      </w:r>
      <w:r w:rsidR="008B451F">
        <w:rPr>
          <w:rFonts w:ascii="Arial" w:hAnsi="Arial" w:cs="Arial"/>
          <w:color w:val="0B0C0C"/>
        </w:rPr>
        <w:t xml:space="preserve"> </w:t>
      </w:r>
      <w:r w:rsidR="006536E1">
        <w:rPr>
          <w:rFonts w:ascii="Arial" w:hAnsi="Arial" w:cs="Arial"/>
          <w:color w:val="0B0C0C"/>
        </w:rPr>
        <w:t xml:space="preserve">This suggests </w:t>
      </w:r>
      <w:r w:rsidR="00982B78">
        <w:rPr>
          <w:rFonts w:ascii="Arial" w:hAnsi="Arial" w:cs="Arial"/>
          <w:color w:val="0B0C0C"/>
        </w:rPr>
        <w:t xml:space="preserve">loss of control </w:t>
      </w:r>
      <w:r w:rsidR="00797C02">
        <w:rPr>
          <w:rFonts w:ascii="Arial" w:hAnsi="Arial" w:cs="Arial"/>
          <w:color w:val="0B0C0C"/>
        </w:rPr>
        <w:t xml:space="preserve">has caused confusion </w:t>
      </w:r>
      <w:r w:rsidR="004A03F4">
        <w:rPr>
          <w:rFonts w:ascii="Arial" w:hAnsi="Arial" w:cs="Arial"/>
          <w:color w:val="0B0C0C"/>
        </w:rPr>
        <w:t>within the court</w:t>
      </w:r>
      <w:r w:rsidR="00797C02">
        <w:rPr>
          <w:rFonts w:ascii="Arial" w:hAnsi="Arial" w:cs="Arial"/>
          <w:color w:val="0B0C0C"/>
        </w:rPr>
        <w:t>, specifically with problematic cases.</w:t>
      </w:r>
      <w:r w:rsidR="004A03F4">
        <w:rPr>
          <w:rFonts w:ascii="Arial" w:hAnsi="Arial" w:cs="Arial"/>
          <w:color w:val="0B0C0C"/>
        </w:rPr>
        <w:t xml:space="preserve"> </w:t>
      </w:r>
      <w:r w:rsidR="008B451F" w:rsidRPr="00EC2456">
        <w:rPr>
          <w:rFonts w:ascii="Arial" w:hAnsi="Arial" w:cs="Arial"/>
          <w:color w:val="000000"/>
        </w:rPr>
        <w:t>England and Wales Court of Appeal (Criminal Division) Decisions</w:t>
      </w:r>
      <w:r w:rsidR="008B451F">
        <w:rPr>
          <w:rFonts w:ascii="Arial" w:hAnsi="Arial" w:cs="Arial"/>
          <w:color w:val="000000"/>
        </w:rPr>
        <w:t xml:space="preserve"> (201</w:t>
      </w:r>
      <w:r w:rsidR="008C0F0E">
        <w:rPr>
          <w:rFonts w:ascii="Arial" w:hAnsi="Arial" w:cs="Arial"/>
          <w:color w:val="000000"/>
        </w:rPr>
        <w:t xml:space="preserve">3). </w:t>
      </w:r>
    </w:p>
    <w:p w14:paraId="65CFE4BD" w14:textId="77777777" w:rsidR="00135F65" w:rsidRDefault="00135F65" w:rsidP="00C748E6">
      <w:pPr>
        <w:spacing w:before="120" w:after="120"/>
        <w:rPr>
          <w:rFonts w:ascii="Arial" w:hAnsi="Arial" w:cs="Arial"/>
          <w:color w:val="000000"/>
        </w:rPr>
      </w:pPr>
    </w:p>
    <w:p w14:paraId="20023F74" w14:textId="77777777" w:rsidR="00135F65" w:rsidRDefault="00135F65" w:rsidP="00C748E6">
      <w:pPr>
        <w:spacing w:before="120" w:after="120"/>
        <w:rPr>
          <w:rFonts w:ascii="Arial" w:hAnsi="Arial" w:cs="Arial"/>
          <w:color w:val="000000"/>
        </w:rPr>
      </w:pPr>
    </w:p>
    <w:p w14:paraId="0DFA7973" w14:textId="21D81453" w:rsidR="00135F65" w:rsidRDefault="00D54121" w:rsidP="00C748E6">
      <w:pPr>
        <w:spacing w:before="120" w:after="120"/>
        <w:rPr>
          <w:rFonts w:ascii="Arial" w:hAnsi="Arial" w:cs="Arial"/>
          <w:color w:val="0B0C0C"/>
        </w:rPr>
      </w:pPr>
      <w:r>
        <w:rPr>
          <w:rFonts w:ascii="Arial" w:hAnsi="Arial" w:cs="Arial"/>
          <w:color w:val="0B0C0C"/>
        </w:rPr>
        <w:t xml:space="preserve">As a part of the Law Commission’s </w:t>
      </w:r>
      <w:r w:rsidR="000E51CC">
        <w:rPr>
          <w:rFonts w:ascii="Arial" w:hAnsi="Arial" w:cs="Arial"/>
          <w:color w:val="0B0C0C"/>
        </w:rPr>
        <w:t xml:space="preserve">recent </w:t>
      </w:r>
      <w:r>
        <w:rPr>
          <w:rFonts w:ascii="Arial" w:hAnsi="Arial" w:cs="Arial"/>
          <w:color w:val="0B0C0C"/>
        </w:rPr>
        <w:t>reform suggestions</w:t>
      </w:r>
      <w:r w:rsidR="00486673">
        <w:rPr>
          <w:rFonts w:ascii="Arial" w:hAnsi="Arial" w:cs="Arial"/>
          <w:color w:val="0B0C0C"/>
        </w:rPr>
        <w:t xml:space="preserve"> for the law governing homicide</w:t>
      </w:r>
      <w:r>
        <w:rPr>
          <w:rFonts w:ascii="Arial" w:hAnsi="Arial" w:cs="Arial"/>
          <w:color w:val="0B0C0C"/>
        </w:rPr>
        <w:t xml:space="preserve">, they declared first degree murder should result in the defendant having intention to cause grievous injury, whilst also being neglectful of the danger of causing death, resulting in a mandatory life sentence. The recommendations for second degree murder include the defendant having intention to kill as well as having partial defences of loss of control and diminished responsibility, resulting in discretionary life sentence. </w:t>
      </w:r>
      <w:r w:rsidR="00B82D04">
        <w:rPr>
          <w:rFonts w:ascii="Arial" w:hAnsi="Arial" w:cs="Arial"/>
          <w:color w:val="0B0C0C"/>
        </w:rPr>
        <w:t xml:space="preserve">This would mean manslaughter would be more specific. Manslaughter would proceed to imply an objective to defendants, however they would only be responsible if they had the ability to understand the risks involved. The Government decided that the Law Commissions structure for homicide would not fall into place in 2011, as it was the wrong time to implement such a fundamental reform of criminal law. This suggestion for reform was rejected by the government. </w:t>
      </w:r>
      <w:r w:rsidR="00231326">
        <w:rPr>
          <w:rFonts w:ascii="Arial" w:hAnsi="Arial" w:cs="Arial"/>
          <w:color w:val="0B0C0C"/>
        </w:rPr>
        <w:t xml:space="preserve">The rejection of law reform proposals have an impact on case law in England and Wales, as the law governing homicide is unstable and insufficient. </w:t>
      </w:r>
      <w:r w:rsidR="00B82D04">
        <w:rPr>
          <w:rFonts w:ascii="Arial" w:hAnsi="Arial" w:cs="Arial"/>
          <w:color w:val="0B0C0C"/>
        </w:rPr>
        <w:t>Taylor</w:t>
      </w:r>
      <w:r w:rsidR="006B65E3">
        <w:rPr>
          <w:rFonts w:ascii="Arial" w:hAnsi="Arial" w:cs="Arial"/>
          <w:color w:val="0B0C0C"/>
        </w:rPr>
        <w:t xml:space="preserve"> </w:t>
      </w:r>
      <w:r w:rsidR="00B82D04">
        <w:rPr>
          <w:rFonts w:ascii="Arial" w:hAnsi="Arial" w:cs="Arial"/>
          <w:color w:val="0B0C0C"/>
        </w:rPr>
        <w:t xml:space="preserve">et al </w:t>
      </w:r>
      <w:r w:rsidR="006B65E3">
        <w:rPr>
          <w:rFonts w:ascii="Arial" w:hAnsi="Arial" w:cs="Arial"/>
          <w:color w:val="0B0C0C"/>
        </w:rPr>
        <w:t>(</w:t>
      </w:r>
      <w:r w:rsidR="00B82D04">
        <w:rPr>
          <w:rFonts w:ascii="Arial" w:hAnsi="Arial" w:cs="Arial"/>
          <w:color w:val="0B0C0C"/>
        </w:rPr>
        <w:t xml:space="preserve">2018). </w:t>
      </w:r>
    </w:p>
    <w:p w14:paraId="110CD332" w14:textId="77777777" w:rsidR="00135F65" w:rsidRDefault="00135F65" w:rsidP="00C748E6">
      <w:pPr>
        <w:spacing w:before="120" w:after="120"/>
        <w:rPr>
          <w:rFonts w:ascii="Arial" w:hAnsi="Arial" w:cs="Arial"/>
          <w:color w:val="0B0C0C"/>
        </w:rPr>
      </w:pPr>
    </w:p>
    <w:p w14:paraId="601E5460" w14:textId="77777777" w:rsidR="00135F65" w:rsidRDefault="00730A76" w:rsidP="00C748E6">
      <w:pPr>
        <w:spacing w:before="120" w:after="120"/>
        <w:rPr>
          <w:rFonts w:ascii="Arial" w:hAnsi="Arial" w:cs="Arial"/>
          <w:color w:val="0B0C0C"/>
        </w:rPr>
      </w:pPr>
      <w:r>
        <w:rPr>
          <w:rFonts w:ascii="Arial" w:hAnsi="Arial" w:cs="Arial"/>
          <w:color w:val="0B0C0C"/>
        </w:rPr>
        <w:t xml:space="preserve">Over recent years, the government has rejected reform suggestions for the law on homicide. The government believe that the US-style of first and second degree murder would provoke a “murder-lite” grouping for the majority of killings. According to the justice minister, Oliver Heald, the public would not agree to the three-tier structure, as this would resolve in lowering most homicide acts to the second-degree group. </w:t>
      </w:r>
      <w:r w:rsidR="00D046EC">
        <w:rPr>
          <w:rFonts w:ascii="Arial" w:hAnsi="Arial" w:cs="Arial"/>
          <w:color w:val="0B0C0C"/>
        </w:rPr>
        <w:t xml:space="preserve">Solicitor general’s argue there are no breaches in the current law, the public acknowledge the law is broad, and complicated cases involving intent to kill or cause GBH, partial defences under manslaughter could not be simplified by a new structure. The potential uproar of the publics reaction to the reform of homicide </w:t>
      </w:r>
      <w:r w:rsidR="00A72434">
        <w:rPr>
          <w:rFonts w:ascii="Arial" w:hAnsi="Arial" w:cs="Arial"/>
          <w:color w:val="0B0C0C"/>
        </w:rPr>
        <w:t xml:space="preserve">has reasoning behind why suggestions for reform are rejected by the government. </w:t>
      </w:r>
      <w:r w:rsidR="00135F65">
        <w:rPr>
          <w:rFonts w:ascii="Arial" w:hAnsi="Arial" w:cs="Arial"/>
          <w:color w:val="0B0C0C"/>
        </w:rPr>
        <w:t xml:space="preserve">Travis (2016). </w:t>
      </w:r>
    </w:p>
    <w:p w14:paraId="0AD3CF99" w14:textId="77777777" w:rsidR="00135F65" w:rsidRDefault="00135F65" w:rsidP="00C748E6">
      <w:pPr>
        <w:spacing w:before="120" w:after="120"/>
        <w:rPr>
          <w:rFonts w:ascii="Arial" w:hAnsi="Arial" w:cs="Arial"/>
          <w:color w:val="0B0C0C"/>
        </w:rPr>
      </w:pPr>
    </w:p>
    <w:p w14:paraId="58B63E32" w14:textId="0697DBB1" w:rsidR="009D3183" w:rsidRDefault="00BD74F9" w:rsidP="00C748E6">
      <w:pPr>
        <w:spacing w:before="120" w:after="120"/>
        <w:rPr>
          <w:rFonts w:ascii="Arial" w:hAnsi="Arial" w:cs="Arial"/>
          <w:color w:val="0B0C0C"/>
        </w:rPr>
      </w:pPr>
      <w:r>
        <w:rPr>
          <w:rFonts w:ascii="Arial" w:hAnsi="Arial" w:cs="Arial"/>
          <w:color w:val="0B0C0C"/>
        </w:rPr>
        <w:t xml:space="preserve">In conclusion, </w:t>
      </w:r>
      <w:r w:rsidR="008104C0">
        <w:rPr>
          <w:rFonts w:ascii="Arial" w:hAnsi="Arial" w:cs="Arial"/>
          <w:color w:val="0B0C0C"/>
        </w:rPr>
        <w:t>it is clear that the law governing homicide i</w:t>
      </w:r>
      <w:r w:rsidR="006B4621">
        <w:rPr>
          <w:rFonts w:ascii="Arial" w:hAnsi="Arial" w:cs="Arial"/>
          <w:color w:val="0B0C0C"/>
        </w:rPr>
        <w:t>s in need of reform</w:t>
      </w:r>
      <w:r w:rsidR="00270F77">
        <w:rPr>
          <w:rFonts w:ascii="Arial" w:hAnsi="Arial" w:cs="Arial"/>
          <w:color w:val="0B0C0C"/>
        </w:rPr>
        <w:t xml:space="preserve"> due to the many issues it displays in case law. </w:t>
      </w:r>
      <w:r w:rsidR="00B3536E">
        <w:rPr>
          <w:rFonts w:ascii="Arial" w:hAnsi="Arial" w:cs="Arial"/>
          <w:color w:val="0B0C0C"/>
        </w:rPr>
        <w:t xml:space="preserve">The fundamental problems with the partial defences and the intent required for murder </w:t>
      </w:r>
      <w:r w:rsidR="00B31077">
        <w:rPr>
          <w:rFonts w:ascii="Arial" w:hAnsi="Arial" w:cs="Arial"/>
          <w:color w:val="0B0C0C"/>
        </w:rPr>
        <w:t xml:space="preserve">make addressing sentences </w:t>
      </w:r>
      <w:r w:rsidR="00C77E52">
        <w:rPr>
          <w:rFonts w:ascii="Arial" w:hAnsi="Arial" w:cs="Arial"/>
          <w:color w:val="0B0C0C"/>
        </w:rPr>
        <w:t>confusing and difficult</w:t>
      </w:r>
      <w:r w:rsidR="00261FFC">
        <w:rPr>
          <w:rFonts w:ascii="Arial" w:hAnsi="Arial" w:cs="Arial"/>
          <w:color w:val="0B0C0C"/>
        </w:rPr>
        <w:t xml:space="preserve">. It is unfair that some of the proposals that have been put forward by the law commission have been rejected as these reform methods would benefit the criminal justice system greatly due to having a better </w:t>
      </w:r>
      <w:r w:rsidR="004E7D2E">
        <w:rPr>
          <w:rFonts w:ascii="Arial" w:hAnsi="Arial" w:cs="Arial"/>
          <w:color w:val="0B0C0C"/>
        </w:rPr>
        <w:t>functioning law.</w:t>
      </w:r>
      <w:r w:rsidR="001E07A7">
        <w:rPr>
          <w:rFonts w:ascii="Arial" w:hAnsi="Arial" w:cs="Arial"/>
          <w:color w:val="0B0C0C"/>
        </w:rPr>
        <w:t xml:space="preserve"> Although manslaughter is already an over broad offence, it is clear to see that change is in need to prevent complicity within the court. </w:t>
      </w:r>
    </w:p>
    <w:p w14:paraId="1C64BBCE" w14:textId="77777777" w:rsidR="00B82D04" w:rsidRDefault="00B82D04" w:rsidP="00FF4704">
      <w:pPr>
        <w:rPr>
          <w:rFonts w:ascii="Arial" w:hAnsi="Arial" w:cs="Arial"/>
          <w:color w:val="0B0C0C"/>
        </w:rPr>
      </w:pPr>
    </w:p>
    <w:p w14:paraId="35A67ECD" w14:textId="77777777" w:rsidR="00D87643" w:rsidRDefault="00D87643" w:rsidP="000E0EBD">
      <w:pPr>
        <w:spacing w:before="120" w:after="120"/>
        <w:rPr>
          <w:rFonts w:ascii="Arial" w:eastAsia="Arial" w:hAnsi="Arial" w:cs="Arial"/>
          <w:b/>
        </w:rPr>
      </w:pPr>
    </w:p>
    <w:p w14:paraId="7B04ED03" w14:textId="77777777" w:rsidR="00D87643" w:rsidRDefault="00D87643" w:rsidP="000E0EBD">
      <w:pPr>
        <w:spacing w:before="120" w:after="120"/>
        <w:rPr>
          <w:rFonts w:ascii="Arial" w:eastAsia="Arial" w:hAnsi="Arial" w:cs="Arial"/>
          <w:b/>
        </w:rPr>
      </w:pPr>
    </w:p>
    <w:p w14:paraId="79A7B937" w14:textId="77777777" w:rsidR="00D87643" w:rsidRDefault="00D87643" w:rsidP="000E0EBD">
      <w:pPr>
        <w:spacing w:before="120" w:after="120"/>
        <w:rPr>
          <w:rFonts w:ascii="Arial" w:eastAsia="Arial" w:hAnsi="Arial" w:cs="Arial"/>
          <w:b/>
        </w:rPr>
      </w:pPr>
    </w:p>
    <w:p w14:paraId="783084A6" w14:textId="77777777" w:rsidR="00D87643" w:rsidRDefault="00D87643" w:rsidP="000E0EBD">
      <w:pPr>
        <w:spacing w:before="120" w:after="120"/>
        <w:rPr>
          <w:rFonts w:ascii="Arial" w:eastAsia="Arial" w:hAnsi="Arial" w:cs="Arial"/>
          <w:b/>
        </w:rPr>
      </w:pPr>
    </w:p>
    <w:p w14:paraId="41300240" w14:textId="77777777" w:rsidR="00D87643" w:rsidRDefault="00D87643" w:rsidP="000E0EBD">
      <w:pPr>
        <w:spacing w:before="120" w:after="120"/>
        <w:rPr>
          <w:rFonts w:ascii="Arial" w:eastAsia="Arial" w:hAnsi="Arial" w:cs="Arial"/>
          <w:b/>
        </w:rPr>
      </w:pPr>
    </w:p>
    <w:p w14:paraId="6317FAD2" w14:textId="77777777" w:rsidR="00D87643" w:rsidRDefault="00D87643" w:rsidP="000E0EBD">
      <w:pPr>
        <w:spacing w:before="120" w:after="120"/>
        <w:rPr>
          <w:rFonts w:ascii="Arial" w:eastAsia="Arial" w:hAnsi="Arial" w:cs="Arial"/>
          <w:b/>
        </w:rPr>
      </w:pPr>
    </w:p>
    <w:p w14:paraId="1A1265BE" w14:textId="77777777" w:rsidR="00D87643" w:rsidRDefault="00D87643" w:rsidP="000E0EBD">
      <w:pPr>
        <w:spacing w:before="120" w:after="120"/>
        <w:rPr>
          <w:rFonts w:ascii="Arial" w:eastAsia="Arial" w:hAnsi="Arial" w:cs="Arial"/>
          <w:b/>
        </w:rPr>
      </w:pPr>
    </w:p>
    <w:p w14:paraId="00A1A684" w14:textId="77777777" w:rsidR="00D87643" w:rsidRDefault="00D87643" w:rsidP="000E0EBD">
      <w:pPr>
        <w:spacing w:before="120" w:after="120"/>
        <w:rPr>
          <w:rFonts w:ascii="Arial" w:eastAsia="Arial" w:hAnsi="Arial" w:cs="Arial"/>
          <w:b/>
        </w:rPr>
      </w:pPr>
    </w:p>
    <w:p w14:paraId="79CA8571" w14:textId="77777777" w:rsidR="00D87643" w:rsidRDefault="00D87643" w:rsidP="000E0EBD">
      <w:pPr>
        <w:spacing w:before="120" w:after="120"/>
        <w:rPr>
          <w:rFonts w:ascii="Arial" w:eastAsia="Arial" w:hAnsi="Arial" w:cs="Arial"/>
          <w:b/>
        </w:rPr>
      </w:pPr>
    </w:p>
    <w:p w14:paraId="41C9DBA5" w14:textId="77777777" w:rsidR="00D87643" w:rsidRDefault="00D87643" w:rsidP="000E0EBD">
      <w:pPr>
        <w:spacing w:before="120" w:after="120"/>
        <w:rPr>
          <w:rFonts w:ascii="Arial" w:eastAsia="Arial" w:hAnsi="Arial" w:cs="Arial"/>
          <w:b/>
        </w:rPr>
      </w:pPr>
    </w:p>
    <w:p w14:paraId="1DDACF53" w14:textId="77777777" w:rsidR="00D87643" w:rsidRDefault="00D87643" w:rsidP="000E0EBD">
      <w:pPr>
        <w:spacing w:before="120" w:after="120"/>
        <w:rPr>
          <w:rFonts w:ascii="Arial" w:eastAsia="Arial" w:hAnsi="Arial" w:cs="Arial"/>
          <w:b/>
        </w:rPr>
      </w:pPr>
    </w:p>
    <w:p w14:paraId="1BCA6825" w14:textId="77777777" w:rsidR="00D87643" w:rsidRDefault="00D87643" w:rsidP="000E0EBD">
      <w:pPr>
        <w:spacing w:before="120" w:after="120"/>
        <w:rPr>
          <w:rFonts w:ascii="Arial" w:eastAsia="Arial" w:hAnsi="Arial" w:cs="Arial"/>
          <w:b/>
        </w:rPr>
      </w:pPr>
    </w:p>
    <w:p w14:paraId="009B2152" w14:textId="77777777" w:rsidR="00D87643" w:rsidRDefault="00D87643" w:rsidP="000E0EBD">
      <w:pPr>
        <w:spacing w:before="120" w:after="120"/>
        <w:rPr>
          <w:rFonts w:ascii="Arial" w:eastAsia="Arial" w:hAnsi="Arial" w:cs="Arial"/>
          <w:b/>
        </w:rPr>
      </w:pPr>
    </w:p>
    <w:p w14:paraId="488C9841" w14:textId="77777777" w:rsidR="00D87643" w:rsidRDefault="00D87643" w:rsidP="000E0EBD">
      <w:pPr>
        <w:spacing w:before="120" w:after="120"/>
        <w:rPr>
          <w:rFonts w:ascii="Arial" w:eastAsia="Arial" w:hAnsi="Arial" w:cs="Arial"/>
          <w:b/>
        </w:rPr>
      </w:pPr>
    </w:p>
    <w:p w14:paraId="7A46A50E" w14:textId="77777777" w:rsidR="00D87643" w:rsidRDefault="00D87643" w:rsidP="000E0EBD">
      <w:pPr>
        <w:spacing w:before="120" w:after="120"/>
        <w:rPr>
          <w:rFonts w:ascii="Arial" w:eastAsia="Arial" w:hAnsi="Arial" w:cs="Arial"/>
          <w:b/>
        </w:rPr>
      </w:pPr>
    </w:p>
    <w:p w14:paraId="714AADEF" w14:textId="77777777" w:rsidR="00D87643" w:rsidRDefault="00D87643" w:rsidP="000E0EBD">
      <w:pPr>
        <w:spacing w:before="120" w:after="120"/>
        <w:rPr>
          <w:rFonts w:ascii="Arial" w:eastAsia="Arial" w:hAnsi="Arial" w:cs="Arial"/>
          <w:b/>
        </w:rPr>
      </w:pPr>
    </w:p>
    <w:p w14:paraId="636154D5" w14:textId="77777777" w:rsidR="00D87643" w:rsidRDefault="00D87643" w:rsidP="000E0EBD">
      <w:pPr>
        <w:spacing w:before="120" w:after="120"/>
        <w:rPr>
          <w:rFonts w:ascii="Arial" w:eastAsia="Arial" w:hAnsi="Arial" w:cs="Arial"/>
          <w:b/>
        </w:rPr>
      </w:pPr>
    </w:p>
    <w:p w14:paraId="33275FEA" w14:textId="77777777" w:rsidR="00D87643" w:rsidRDefault="00D87643" w:rsidP="000E0EBD">
      <w:pPr>
        <w:spacing w:before="120" w:after="120"/>
        <w:rPr>
          <w:rFonts w:ascii="Arial" w:eastAsia="Arial" w:hAnsi="Arial" w:cs="Arial"/>
          <w:b/>
        </w:rPr>
      </w:pPr>
    </w:p>
    <w:p w14:paraId="33C5965C" w14:textId="77777777" w:rsidR="00D87643" w:rsidRDefault="00D87643" w:rsidP="000E0EBD">
      <w:pPr>
        <w:spacing w:before="120" w:after="120"/>
        <w:rPr>
          <w:rFonts w:ascii="Arial" w:eastAsia="Arial" w:hAnsi="Arial" w:cs="Arial"/>
          <w:b/>
        </w:rPr>
      </w:pPr>
    </w:p>
    <w:p w14:paraId="56024E17" w14:textId="77777777" w:rsidR="00D87643" w:rsidRDefault="00D87643" w:rsidP="000E0EBD">
      <w:pPr>
        <w:spacing w:before="120" w:after="120"/>
        <w:rPr>
          <w:rFonts w:ascii="Arial" w:eastAsia="Arial" w:hAnsi="Arial" w:cs="Arial"/>
          <w:b/>
        </w:rPr>
      </w:pPr>
    </w:p>
    <w:p w14:paraId="4B8A28DC" w14:textId="77777777" w:rsidR="00D87643" w:rsidRDefault="00D87643" w:rsidP="000E0EBD">
      <w:pPr>
        <w:spacing w:before="120" w:after="120"/>
        <w:rPr>
          <w:rFonts w:ascii="Arial" w:eastAsia="Arial" w:hAnsi="Arial" w:cs="Arial"/>
          <w:b/>
        </w:rPr>
      </w:pPr>
    </w:p>
    <w:p w14:paraId="6C835A48" w14:textId="77777777" w:rsidR="00D87643" w:rsidRDefault="00D87643" w:rsidP="000E0EBD">
      <w:pPr>
        <w:spacing w:before="120" w:after="120"/>
        <w:rPr>
          <w:rFonts w:ascii="Arial" w:eastAsia="Arial" w:hAnsi="Arial" w:cs="Arial"/>
          <w:b/>
        </w:rPr>
      </w:pPr>
    </w:p>
    <w:p w14:paraId="48D97A96" w14:textId="77777777" w:rsidR="00D87643" w:rsidRDefault="00D87643" w:rsidP="000E0EBD">
      <w:pPr>
        <w:spacing w:before="120" w:after="120"/>
        <w:rPr>
          <w:rFonts w:ascii="Arial" w:eastAsia="Arial" w:hAnsi="Arial" w:cs="Arial"/>
          <w:b/>
        </w:rPr>
      </w:pPr>
    </w:p>
    <w:p w14:paraId="7D36FCAD" w14:textId="77777777" w:rsidR="00D87643" w:rsidRDefault="00D87643" w:rsidP="000E0EBD">
      <w:pPr>
        <w:spacing w:before="120" w:after="120"/>
        <w:rPr>
          <w:rFonts w:ascii="Arial" w:eastAsia="Arial" w:hAnsi="Arial" w:cs="Arial"/>
          <w:b/>
        </w:rPr>
      </w:pPr>
    </w:p>
    <w:p w14:paraId="2C25930F" w14:textId="77777777" w:rsidR="00D87643" w:rsidRDefault="00D87643" w:rsidP="000E0EBD">
      <w:pPr>
        <w:spacing w:before="120" w:after="120"/>
        <w:rPr>
          <w:rFonts w:ascii="Arial" w:eastAsia="Arial" w:hAnsi="Arial" w:cs="Arial"/>
          <w:b/>
        </w:rPr>
      </w:pPr>
    </w:p>
    <w:p w14:paraId="5D23C7FC" w14:textId="77777777" w:rsidR="00BE3832" w:rsidRDefault="00BE3832" w:rsidP="00B90AEE">
      <w:pPr>
        <w:pStyle w:val="NormalWeb"/>
        <w:rPr>
          <w:rFonts w:ascii="Arial" w:hAnsi="Arial" w:cs="Arial"/>
          <w:b/>
          <w:bCs/>
          <w:color w:val="000000"/>
        </w:rPr>
      </w:pPr>
    </w:p>
    <w:p w14:paraId="69266F3E" w14:textId="40BBFE7D" w:rsidR="00BE3832" w:rsidRPr="00BE3832" w:rsidRDefault="00BE3832" w:rsidP="00B90AEE">
      <w:pPr>
        <w:pStyle w:val="NormalWeb"/>
        <w:rPr>
          <w:rFonts w:ascii="Arial" w:hAnsi="Arial" w:cs="Arial"/>
          <w:b/>
          <w:bCs/>
          <w:color w:val="000000"/>
        </w:rPr>
      </w:pPr>
      <w:bookmarkStart w:id="0" w:name="_GoBack"/>
      <w:bookmarkEnd w:id="0"/>
      <w:r>
        <w:rPr>
          <w:rFonts w:ascii="Arial" w:hAnsi="Arial" w:cs="Arial"/>
          <w:b/>
          <w:bCs/>
          <w:color w:val="000000"/>
        </w:rPr>
        <w:lastRenderedPageBreak/>
        <w:t xml:space="preserve">References: </w:t>
      </w:r>
    </w:p>
    <w:p w14:paraId="02869D5B" w14:textId="77777777" w:rsidR="00BE3832" w:rsidRPr="00D87643" w:rsidRDefault="00BE3832" w:rsidP="00D87643">
      <w:pPr>
        <w:spacing w:before="120" w:after="120"/>
        <w:rPr>
          <w:rFonts w:ascii="Arial" w:hAnsi="Arial" w:cs="Arial"/>
          <w:color w:val="000000"/>
        </w:rPr>
      </w:pPr>
      <w:r w:rsidRPr="00D87643">
        <w:rPr>
          <w:rFonts w:ascii="Arial" w:hAnsi="Arial" w:cs="Arial"/>
          <w:color w:val="000000"/>
        </w:rPr>
        <w:t xml:space="preserve">England and Wales Court of Appeal (Criminal Division) Decisions (2012), </w:t>
      </w:r>
      <w:r w:rsidRPr="00D87643">
        <w:rPr>
          <w:rFonts w:ascii="Arial" w:hAnsi="Arial" w:cs="Arial"/>
          <w:i/>
          <w:iCs/>
          <w:color w:val="000000"/>
        </w:rPr>
        <w:t xml:space="preserve">Stephen Andrew Dowds and The Queen, </w:t>
      </w:r>
      <w:r w:rsidRPr="00D87643">
        <w:rPr>
          <w:rFonts w:ascii="Arial" w:hAnsi="Arial" w:cs="Arial"/>
          <w:color w:val="000000"/>
        </w:rPr>
        <w:t xml:space="preserve">Available at: </w:t>
      </w:r>
      <w:hyperlink r:id="rId5" w:history="1">
        <w:r w:rsidRPr="00D87643">
          <w:rPr>
            <w:rStyle w:val="Hyperlink"/>
            <w:rFonts w:ascii="Arial" w:hAnsi="Arial" w:cs="Arial"/>
          </w:rPr>
          <w:t>http://www.bailii.org/ew/cases/EWCA/Crim/2012/281.html</w:t>
        </w:r>
      </w:hyperlink>
      <w:r w:rsidRPr="00D87643">
        <w:rPr>
          <w:rFonts w:ascii="Arial" w:hAnsi="Arial" w:cs="Arial"/>
          <w:color w:val="000000"/>
        </w:rPr>
        <w:t>, (Accessed: 2</w:t>
      </w:r>
      <w:r w:rsidRPr="00D87643">
        <w:rPr>
          <w:rFonts w:ascii="Arial" w:hAnsi="Arial" w:cs="Arial"/>
          <w:color w:val="000000"/>
          <w:vertAlign w:val="superscript"/>
        </w:rPr>
        <w:t>nd</w:t>
      </w:r>
      <w:r w:rsidRPr="00D87643">
        <w:rPr>
          <w:rFonts w:ascii="Arial" w:hAnsi="Arial" w:cs="Arial"/>
          <w:color w:val="000000"/>
        </w:rPr>
        <w:t xml:space="preserve"> November 2021). </w:t>
      </w:r>
    </w:p>
    <w:p w14:paraId="014F5AE5" w14:textId="77777777" w:rsidR="00BE3832" w:rsidRPr="00D87643" w:rsidRDefault="00BE3832" w:rsidP="00D87643">
      <w:pPr>
        <w:spacing w:before="120" w:after="120"/>
        <w:rPr>
          <w:rFonts w:ascii="Arial" w:eastAsia="Arial" w:hAnsi="Arial" w:cs="Arial"/>
          <w:bCs/>
        </w:rPr>
      </w:pPr>
      <w:r w:rsidRPr="00D87643">
        <w:rPr>
          <w:rFonts w:ascii="Arial" w:hAnsi="Arial" w:cs="Arial"/>
          <w:color w:val="000000"/>
        </w:rPr>
        <w:t xml:space="preserve">England and Wales Court of Appeal (Criminal Division) Decisions (2013), </w:t>
      </w:r>
      <w:r w:rsidRPr="00D87643">
        <w:rPr>
          <w:rFonts w:ascii="Arial" w:hAnsi="Arial" w:cs="Arial"/>
          <w:i/>
          <w:iCs/>
          <w:color w:val="000000"/>
        </w:rPr>
        <w:t xml:space="preserve">The Lord Chief Justice of England and Wales Lady Justice Rafferty and Mr Justice Simon – Carlos Dawes, Mark John Hatter, Barry Francis Bowyer and R, </w:t>
      </w:r>
      <w:r w:rsidRPr="00D87643">
        <w:rPr>
          <w:rFonts w:ascii="Arial" w:hAnsi="Arial" w:cs="Arial"/>
          <w:color w:val="000000"/>
        </w:rPr>
        <w:t xml:space="preserve">Available at: </w:t>
      </w:r>
      <w:hyperlink r:id="rId6" w:history="1">
        <w:r w:rsidRPr="00D87643">
          <w:rPr>
            <w:rStyle w:val="Hyperlink"/>
            <w:rFonts w:ascii="Arial" w:hAnsi="Arial" w:cs="Arial"/>
          </w:rPr>
          <w:t>http://www.bailii.org/ew/cases/EWCA/Crim/2013/322.html</w:t>
        </w:r>
      </w:hyperlink>
      <w:r w:rsidRPr="00D87643">
        <w:rPr>
          <w:rFonts w:ascii="Arial" w:hAnsi="Arial" w:cs="Arial"/>
          <w:color w:val="000000"/>
        </w:rPr>
        <w:t>, (Accessed: 2</w:t>
      </w:r>
      <w:r w:rsidRPr="00D87643">
        <w:rPr>
          <w:rFonts w:ascii="Arial" w:hAnsi="Arial" w:cs="Arial"/>
          <w:color w:val="000000"/>
          <w:vertAlign w:val="superscript"/>
        </w:rPr>
        <w:t>nd</w:t>
      </w:r>
      <w:r w:rsidRPr="00D87643">
        <w:rPr>
          <w:rFonts w:ascii="Arial" w:hAnsi="Arial" w:cs="Arial"/>
          <w:color w:val="000000"/>
        </w:rPr>
        <w:t xml:space="preserve"> November 2021). </w:t>
      </w:r>
    </w:p>
    <w:p w14:paraId="5C5EA476" w14:textId="77777777" w:rsidR="00BE3832" w:rsidRPr="00D87643" w:rsidRDefault="00BE3832" w:rsidP="000E0EBD">
      <w:pPr>
        <w:spacing w:before="120" w:after="120"/>
        <w:rPr>
          <w:rFonts w:ascii="Arial" w:eastAsia="Arial" w:hAnsi="Arial" w:cs="Arial"/>
          <w:bCs/>
        </w:rPr>
      </w:pPr>
      <w:r w:rsidRPr="00D87643">
        <w:rPr>
          <w:rFonts w:ascii="Arial" w:eastAsia="Arial" w:hAnsi="Arial" w:cs="Arial"/>
          <w:bCs/>
        </w:rPr>
        <w:t xml:space="preserve">Ian Leader-Elliot (2005), </w:t>
      </w:r>
      <w:r w:rsidRPr="00D87643">
        <w:rPr>
          <w:rFonts w:ascii="Arial" w:eastAsia="Arial" w:hAnsi="Arial" w:cs="Arial"/>
          <w:bCs/>
          <w:i/>
          <w:iCs/>
        </w:rPr>
        <w:t xml:space="preserve">The Law of Murder: Overseas Comparative Studies, </w:t>
      </w:r>
      <w:r w:rsidRPr="00D87643">
        <w:rPr>
          <w:rFonts w:ascii="Arial" w:eastAsia="Arial" w:hAnsi="Arial" w:cs="Arial"/>
          <w:bCs/>
        </w:rPr>
        <w:t xml:space="preserve">Available at: </w:t>
      </w:r>
      <w:hyperlink r:id="rId7" w:history="1">
        <w:r w:rsidRPr="00D87643">
          <w:rPr>
            <w:rStyle w:val="Hyperlink"/>
            <w:rFonts w:ascii="Arial" w:eastAsia="Arial" w:hAnsi="Arial" w:cs="Arial"/>
            <w:bCs/>
          </w:rPr>
          <w:t>file:///C:/Users/nigel/AppData/Local/Packages/Microsoft.MicrosoftEdge_8wekyb3d8bbwe/TempState/Downloads/Murder__Manslaughter_and_Infanticide_comparative_studies%20(1).pdf</w:t>
        </w:r>
      </w:hyperlink>
      <w:r w:rsidRPr="00D87643">
        <w:rPr>
          <w:rFonts w:ascii="Arial" w:eastAsia="Arial" w:hAnsi="Arial" w:cs="Arial"/>
          <w:bCs/>
        </w:rPr>
        <w:t>, (Accessed: 26</w:t>
      </w:r>
      <w:r w:rsidRPr="00D87643">
        <w:rPr>
          <w:rFonts w:ascii="Arial" w:eastAsia="Arial" w:hAnsi="Arial" w:cs="Arial"/>
          <w:bCs/>
          <w:vertAlign w:val="superscript"/>
        </w:rPr>
        <w:t>th</w:t>
      </w:r>
      <w:r w:rsidRPr="00D87643">
        <w:rPr>
          <w:rFonts w:ascii="Arial" w:eastAsia="Arial" w:hAnsi="Arial" w:cs="Arial"/>
          <w:bCs/>
        </w:rPr>
        <w:t xml:space="preserve"> October 2021). </w:t>
      </w:r>
    </w:p>
    <w:p w14:paraId="35D82638" w14:textId="77777777" w:rsidR="00BE3832" w:rsidRPr="00D87643" w:rsidRDefault="00BE3832" w:rsidP="00B90AEE">
      <w:pPr>
        <w:pStyle w:val="NormalWeb"/>
        <w:rPr>
          <w:rFonts w:ascii="Arial" w:hAnsi="Arial" w:cs="Arial"/>
        </w:rPr>
      </w:pPr>
      <w:r w:rsidRPr="00D87643">
        <w:rPr>
          <w:rFonts w:ascii="Arial" w:hAnsi="Arial" w:cs="Arial"/>
          <w:color w:val="0B0C0C"/>
        </w:rPr>
        <w:t>Journal of Criminal Law (2020)</w:t>
      </w:r>
      <w:r w:rsidRPr="00D87643">
        <w:rPr>
          <w:rFonts w:ascii="Arial" w:hAnsi="Arial" w:cs="Arial"/>
          <w:color w:val="0B0C0C"/>
        </w:rPr>
        <w:t xml:space="preserve">, </w:t>
      </w:r>
      <w:r w:rsidRPr="00D87643">
        <w:rPr>
          <w:rFonts w:ascii="Arial" w:hAnsi="Arial" w:cs="Arial"/>
          <w:i/>
          <w:iCs/>
        </w:rPr>
        <w:t>Gross Negligence Manslaughter Revisited: Time for a Change of Direction?</w:t>
      </w:r>
      <w:r w:rsidRPr="00D87643">
        <w:rPr>
          <w:rFonts w:ascii="Arial" w:hAnsi="Arial" w:cs="Arial"/>
        </w:rPr>
        <w:t xml:space="preserve">, Vol 84, Issue 3, Available at: </w:t>
      </w:r>
      <w:hyperlink r:id="rId8" w:history="1">
        <w:r w:rsidRPr="00D87643">
          <w:rPr>
            <w:rStyle w:val="Hyperlink"/>
            <w:rFonts w:ascii="Arial" w:hAnsi="Arial" w:cs="Arial"/>
          </w:rPr>
          <w:t>https://journals.sagepub.com/doi/full/10.1177/0022018320926468</w:t>
        </w:r>
      </w:hyperlink>
      <w:r w:rsidRPr="00D87643">
        <w:rPr>
          <w:rFonts w:ascii="Arial" w:hAnsi="Arial" w:cs="Arial"/>
        </w:rPr>
        <w:t>, (Accessed: 29</w:t>
      </w:r>
      <w:r w:rsidRPr="00D87643">
        <w:rPr>
          <w:rFonts w:ascii="Arial" w:hAnsi="Arial" w:cs="Arial"/>
          <w:vertAlign w:val="superscript"/>
        </w:rPr>
        <w:t>th</w:t>
      </w:r>
      <w:r w:rsidRPr="00D87643">
        <w:rPr>
          <w:rFonts w:ascii="Arial" w:hAnsi="Arial" w:cs="Arial"/>
        </w:rPr>
        <w:t xml:space="preserve"> October 2021).</w:t>
      </w:r>
    </w:p>
    <w:p w14:paraId="403EF388" w14:textId="77777777" w:rsidR="00BE3832" w:rsidRPr="00D87643" w:rsidRDefault="00BE3832" w:rsidP="00B90AEE">
      <w:pPr>
        <w:pStyle w:val="NormalWeb"/>
        <w:rPr>
          <w:rFonts w:ascii="Arial" w:hAnsi="Arial" w:cs="Arial"/>
          <w:color w:val="000000"/>
        </w:rPr>
      </w:pPr>
      <w:r w:rsidRPr="00D87643">
        <w:rPr>
          <w:rFonts w:ascii="Arial" w:hAnsi="Arial" w:cs="Arial"/>
          <w:color w:val="0B0C0C"/>
        </w:rPr>
        <w:t xml:space="preserve">Ministry of Justice (2013), </w:t>
      </w:r>
      <w:r w:rsidRPr="00D87643">
        <w:rPr>
          <w:rFonts w:ascii="Arial" w:hAnsi="Arial" w:cs="Arial"/>
          <w:i/>
          <w:iCs/>
          <w:color w:val="0B0C0C"/>
        </w:rPr>
        <w:t xml:space="preserve">Implementing the coroner reforms in Part 1 of the Coroners and Justice Act 2009, </w:t>
      </w:r>
      <w:r w:rsidRPr="00D87643">
        <w:rPr>
          <w:rFonts w:ascii="Arial" w:hAnsi="Arial" w:cs="Arial"/>
          <w:color w:val="0B0C0C"/>
        </w:rPr>
        <w:t xml:space="preserve">Available at: </w:t>
      </w:r>
      <w:hyperlink r:id="rId9" w:history="1">
        <w:r w:rsidRPr="00D87643">
          <w:rPr>
            <w:rStyle w:val="Hyperlink"/>
            <w:rFonts w:ascii="Arial" w:hAnsi="Arial" w:cs="Arial"/>
          </w:rPr>
          <w:t>https://assets.publishing.service.gov.uk/government/uploads/system/uploads/attachment_data/file/181559/coroner-reforms-consultation.pdf</w:t>
        </w:r>
      </w:hyperlink>
      <w:r w:rsidRPr="00D87643">
        <w:rPr>
          <w:rFonts w:ascii="Arial" w:hAnsi="Arial" w:cs="Arial"/>
          <w:color w:val="0B0C0C"/>
        </w:rPr>
        <w:t>, (Accessed: 2</w:t>
      </w:r>
      <w:r w:rsidRPr="00D87643">
        <w:rPr>
          <w:rFonts w:ascii="Arial" w:hAnsi="Arial" w:cs="Arial"/>
          <w:color w:val="0B0C0C"/>
          <w:vertAlign w:val="superscript"/>
        </w:rPr>
        <w:t>nd</w:t>
      </w:r>
      <w:r w:rsidRPr="00D87643">
        <w:rPr>
          <w:rFonts w:ascii="Arial" w:hAnsi="Arial" w:cs="Arial"/>
          <w:color w:val="0B0C0C"/>
        </w:rPr>
        <w:t xml:space="preserve"> November) 2021). </w:t>
      </w:r>
    </w:p>
    <w:p w14:paraId="4A11834B" w14:textId="77777777" w:rsidR="00BE3832" w:rsidRPr="00D87643" w:rsidRDefault="00BE3832" w:rsidP="00B90AEE">
      <w:pPr>
        <w:pStyle w:val="NormalWeb"/>
        <w:rPr>
          <w:rFonts w:ascii="Arial" w:hAnsi="Arial" w:cs="Arial"/>
          <w:color w:val="000000"/>
        </w:rPr>
      </w:pPr>
      <w:r w:rsidRPr="00D87643">
        <w:rPr>
          <w:rFonts w:ascii="Arial" w:hAnsi="Arial" w:cs="Arial"/>
          <w:color w:val="000000"/>
        </w:rPr>
        <w:t xml:space="preserve">Parsons. S, Mountbatten Journal of Legal Studies, </w:t>
      </w:r>
      <w:r w:rsidRPr="00D87643">
        <w:rPr>
          <w:rFonts w:ascii="Arial" w:hAnsi="Arial" w:cs="Arial"/>
          <w:i/>
          <w:iCs/>
          <w:color w:val="000000"/>
        </w:rPr>
        <w:t>Intention in criminal law: why is it so difficult to find?</w:t>
      </w:r>
      <w:r w:rsidRPr="00D87643">
        <w:rPr>
          <w:rFonts w:ascii="Arial" w:hAnsi="Arial" w:cs="Arial"/>
          <w:color w:val="000000"/>
        </w:rPr>
        <w:t xml:space="preserve">, Available at:  </w:t>
      </w:r>
      <w:hyperlink r:id="rId10" w:history="1">
        <w:r w:rsidRPr="00D87643">
          <w:rPr>
            <w:rStyle w:val="Hyperlink"/>
            <w:rFonts w:ascii="Arial" w:hAnsi="Arial" w:cs="Arial"/>
          </w:rPr>
          <w:t>https://ssudl.solent.ac.uk/id/eprint/971/1/2000_4_1&amp;2.pdf</w:t>
        </w:r>
      </w:hyperlink>
      <w:r w:rsidRPr="00D87643">
        <w:rPr>
          <w:rFonts w:ascii="Arial" w:hAnsi="Arial" w:cs="Arial"/>
          <w:color w:val="000000"/>
        </w:rPr>
        <w:t>, (Accessed: 1</w:t>
      </w:r>
      <w:r w:rsidRPr="00D87643">
        <w:rPr>
          <w:rFonts w:ascii="Arial" w:hAnsi="Arial" w:cs="Arial"/>
          <w:color w:val="000000"/>
          <w:vertAlign w:val="superscript"/>
        </w:rPr>
        <w:t>st</w:t>
      </w:r>
      <w:r w:rsidRPr="00D87643">
        <w:rPr>
          <w:rFonts w:ascii="Arial" w:hAnsi="Arial" w:cs="Arial"/>
          <w:color w:val="000000"/>
        </w:rPr>
        <w:t xml:space="preserve"> November). </w:t>
      </w:r>
    </w:p>
    <w:p w14:paraId="5A971DCF" w14:textId="77777777" w:rsidR="00BE3832" w:rsidRPr="00D87643" w:rsidRDefault="00BE3832" w:rsidP="000E0EBD">
      <w:pPr>
        <w:spacing w:before="120" w:after="120"/>
        <w:rPr>
          <w:rFonts w:ascii="Arial" w:eastAsia="Arial" w:hAnsi="Arial" w:cs="Arial"/>
          <w:bCs/>
        </w:rPr>
      </w:pPr>
      <w:r w:rsidRPr="00D87643">
        <w:rPr>
          <w:rFonts w:ascii="Arial" w:eastAsia="Arial" w:hAnsi="Arial" w:cs="Arial"/>
          <w:bCs/>
        </w:rPr>
        <w:t xml:space="preserve">Roberson. C (2014), Wallace. H, Principles of Criminal Law, (sixth edition), Published by Pearson. </w:t>
      </w:r>
    </w:p>
    <w:p w14:paraId="725F61AB" w14:textId="77777777" w:rsidR="00BE3832" w:rsidRPr="00D87643" w:rsidRDefault="00BE3832" w:rsidP="000E0EBD">
      <w:pPr>
        <w:spacing w:before="120" w:after="120"/>
        <w:rPr>
          <w:rFonts w:ascii="Arial" w:eastAsia="Arial" w:hAnsi="Arial" w:cs="Arial"/>
          <w:bCs/>
        </w:rPr>
      </w:pPr>
      <w:r w:rsidRPr="00D87643">
        <w:rPr>
          <w:rFonts w:ascii="Arial" w:eastAsia="Arial" w:hAnsi="Arial" w:cs="Arial"/>
          <w:bCs/>
        </w:rPr>
        <w:t xml:space="preserve">Taylor. N, Elliot. C, Quinn. F (2018), </w:t>
      </w:r>
      <w:r w:rsidRPr="00D87643">
        <w:rPr>
          <w:rFonts w:ascii="Arial" w:eastAsia="Arial" w:hAnsi="Arial" w:cs="Arial"/>
          <w:bCs/>
          <w:i/>
          <w:iCs/>
        </w:rPr>
        <w:t>Elliot and Quinn’s Criminal Law (Twelfth Edition)</w:t>
      </w:r>
      <w:r w:rsidRPr="00D87643">
        <w:rPr>
          <w:rFonts w:ascii="Arial" w:eastAsia="Arial" w:hAnsi="Arial" w:cs="Arial"/>
          <w:bCs/>
        </w:rPr>
        <w:t>, Published by Harlow, United Kingdom; New York; Pearson.</w:t>
      </w:r>
    </w:p>
    <w:p w14:paraId="5032C44C" w14:textId="77777777" w:rsidR="00BE3832" w:rsidRPr="00D87643" w:rsidRDefault="00BE3832" w:rsidP="00D87643">
      <w:pPr>
        <w:spacing w:before="120" w:after="120"/>
        <w:rPr>
          <w:rFonts w:ascii="Arial" w:eastAsia="Arial" w:hAnsi="Arial" w:cs="Arial"/>
          <w:bCs/>
        </w:rPr>
      </w:pPr>
      <w:r w:rsidRPr="00D87643">
        <w:rPr>
          <w:rFonts w:ascii="Arial" w:eastAsia="Arial" w:hAnsi="Arial" w:cs="Arial"/>
          <w:bCs/>
        </w:rPr>
        <w:t xml:space="preserve">The Crown Prosecution Services (2019), </w:t>
      </w:r>
      <w:r w:rsidRPr="00D87643">
        <w:rPr>
          <w:rFonts w:ascii="Arial" w:eastAsia="Arial" w:hAnsi="Arial" w:cs="Arial"/>
          <w:bCs/>
          <w:i/>
          <w:iCs/>
        </w:rPr>
        <w:t xml:space="preserve">Homicide: Murder and Manslaughter, </w:t>
      </w:r>
      <w:r w:rsidRPr="00D87643">
        <w:rPr>
          <w:rFonts w:ascii="Arial" w:eastAsia="Arial" w:hAnsi="Arial" w:cs="Arial"/>
          <w:bCs/>
        </w:rPr>
        <w:t xml:space="preserve">Available at: </w:t>
      </w:r>
      <w:hyperlink r:id="rId11" w:history="1">
        <w:r w:rsidRPr="00D87643">
          <w:rPr>
            <w:rStyle w:val="Hyperlink"/>
            <w:rFonts w:ascii="Arial" w:eastAsia="Arial" w:hAnsi="Arial" w:cs="Arial"/>
            <w:bCs/>
          </w:rPr>
          <w:t>https://www.cps.gov.uk/legal-guidance/homicide-murder-and-manslaughter</w:t>
        </w:r>
      </w:hyperlink>
      <w:r w:rsidRPr="00D87643">
        <w:rPr>
          <w:rFonts w:ascii="Arial" w:eastAsia="Arial" w:hAnsi="Arial" w:cs="Arial"/>
          <w:bCs/>
        </w:rPr>
        <w:t>, (Accessed: 2</w:t>
      </w:r>
      <w:r w:rsidRPr="00D87643">
        <w:rPr>
          <w:rFonts w:ascii="Arial" w:eastAsia="Arial" w:hAnsi="Arial" w:cs="Arial"/>
          <w:bCs/>
          <w:vertAlign w:val="superscript"/>
        </w:rPr>
        <w:t>nd</w:t>
      </w:r>
      <w:r w:rsidRPr="00D87643">
        <w:rPr>
          <w:rFonts w:ascii="Arial" w:eastAsia="Arial" w:hAnsi="Arial" w:cs="Arial"/>
          <w:bCs/>
        </w:rPr>
        <w:t xml:space="preserve"> November 2021). </w:t>
      </w:r>
    </w:p>
    <w:p w14:paraId="46A17618" w14:textId="77777777" w:rsidR="00BE3832" w:rsidRPr="00D87643" w:rsidRDefault="00BE3832" w:rsidP="000E0EBD">
      <w:pPr>
        <w:spacing w:before="120" w:after="120"/>
        <w:rPr>
          <w:rFonts w:ascii="Arial" w:eastAsia="Arial" w:hAnsi="Arial" w:cs="Arial"/>
          <w:bCs/>
        </w:rPr>
      </w:pPr>
      <w:r w:rsidRPr="00D87643">
        <w:rPr>
          <w:rFonts w:ascii="Arial" w:eastAsia="Arial" w:hAnsi="Arial" w:cs="Arial"/>
          <w:bCs/>
        </w:rPr>
        <w:t xml:space="preserve">The Law Commission (2003), </w:t>
      </w:r>
      <w:r w:rsidRPr="00D87643">
        <w:rPr>
          <w:rFonts w:ascii="Arial" w:eastAsia="Arial" w:hAnsi="Arial" w:cs="Arial"/>
          <w:bCs/>
          <w:i/>
          <w:iCs/>
        </w:rPr>
        <w:t>Partial Defences to Murder</w:t>
      </w:r>
      <w:r w:rsidRPr="00D87643">
        <w:rPr>
          <w:rFonts w:ascii="Arial" w:eastAsia="Arial" w:hAnsi="Arial" w:cs="Arial"/>
          <w:bCs/>
        </w:rPr>
        <w:t>, Available at:</w:t>
      </w:r>
      <w:r w:rsidRPr="00D87643">
        <w:rPr>
          <w:rFonts w:ascii="Arial" w:hAnsi="Arial" w:cs="Arial"/>
        </w:rPr>
        <w:t xml:space="preserve"> </w:t>
      </w:r>
      <w:hyperlink r:id="rId12" w:history="1">
        <w:r w:rsidRPr="00D87643">
          <w:rPr>
            <w:rStyle w:val="Hyperlink"/>
            <w:rFonts w:ascii="Arial" w:hAnsi="Arial" w:cs="Arial"/>
          </w:rPr>
          <w:t>file:///C:/Users/nigel/AppData/Local/Packages/Microsoft.MicrosoftEdge_8wekyb3d8bbwe/TempState/Downloads/Law-Commission-consultation-paper-173-partial-defences-to-murder%20(1).pdf</w:t>
        </w:r>
      </w:hyperlink>
      <w:r w:rsidRPr="00D87643">
        <w:rPr>
          <w:rFonts w:ascii="Arial" w:eastAsia="Arial" w:hAnsi="Arial" w:cs="Arial"/>
          <w:bCs/>
        </w:rPr>
        <w:t>, (Accessed: 25</w:t>
      </w:r>
      <w:r w:rsidRPr="00D87643">
        <w:rPr>
          <w:rFonts w:ascii="Arial" w:eastAsia="Arial" w:hAnsi="Arial" w:cs="Arial"/>
          <w:bCs/>
          <w:vertAlign w:val="superscript"/>
        </w:rPr>
        <w:t>th</w:t>
      </w:r>
      <w:r w:rsidRPr="00D87643">
        <w:rPr>
          <w:rFonts w:ascii="Arial" w:eastAsia="Arial" w:hAnsi="Arial" w:cs="Arial"/>
          <w:bCs/>
        </w:rPr>
        <w:t xml:space="preserve"> October 2021). </w:t>
      </w:r>
    </w:p>
    <w:p w14:paraId="3B3C526E" w14:textId="77777777" w:rsidR="00BE3832" w:rsidRPr="00D87643" w:rsidRDefault="00BE3832" w:rsidP="000E0EBD">
      <w:pPr>
        <w:spacing w:before="120" w:after="120"/>
        <w:rPr>
          <w:rFonts w:ascii="Arial" w:eastAsia="Arial" w:hAnsi="Arial" w:cs="Arial"/>
          <w:bCs/>
        </w:rPr>
      </w:pPr>
      <w:r w:rsidRPr="00D87643">
        <w:rPr>
          <w:rFonts w:ascii="Arial" w:eastAsia="Arial" w:hAnsi="Arial" w:cs="Arial"/>
          <w:bCs/>
        </w:rPr>
        <w:t xml:space="preserve">The Law Commission (2005), </w:t>
      </w:r>
      <w:r w:rsidRPr="00D87643">
        <w:rPr>
          <w:rFonts w:ascii="Arial" w:eastAsia="Arial" w:hAnsi="Arial" w:cs="Arial"/>
          <w:bCs/>
          <w:i/>
          <w:iCs/>
        </w:rPr>
        <w:t>A NEW HOMICIDE ACT FOR ENGLAND AND WALES?,</w:t>
      </w:r>
      <w:r w:rsidRPr="00D87643">
        <w:rPr>
          <w:rFonts w:ascii="Arial" w:eastAsia="Arial" w:hAnsi="Arial" w:cs="Arial"/>
          <w:bCs/>
        </w:rPr>
        <w:t xml:space="preserve"> Available at: </w:t>
      </w:r>
      <w:hyperlink r:id="rId13" w:history="1">
        <w:r w:rsidRPr="00D87643">
          <w:rPr>
            <w:rStyle w:val="Hyperlink"/>
            <w:rFonts w:ascii="Arial" w:eastAsia="Arial" w:hAnsi="Arial" w:cs="Arial"/>
            <w:bCs/>
          </w:rPr>
          <w:t>http://www.lawcom.gov.uk/app/uploads/2015/03/cp177_Murder_Manslaughter_and_Infanticide_consultation_overview_.pdf</w:t>
        </w:r>
      </w:hyperlink>
      <w:r w:rsidRPr="00D87643">
        <w:rPr>
          <w:rFonts w:ascii="Arial" w:eastAsia="Arial" w:hAnsi="Arial" w:cs="Arial"/>
          <w:bCs/>
        </w:rPr>
        <w:t>, (Accessed: 25</w:t>
      </w:r>
      <w:r w:rsidRPr="00D87643">
        <w:rPr>
          <w:rFonts w:ascii="Arial" w:eastAsia="Arial" w:hAnsi="Arial" w:cs="Arial"/>
          <w:bCs/>
          <w:vertAlign w:val="superscript"/>
        </w:rPr>
        <w:t>th</w:t>
      </w:r>
      <w:r w:rsidRPr="00D87643">
        <w:rPr>
          <w:rFonts w:ascii="Arial" w:eastAsia="Arial" w:hAnsi="Arial" w:cs="Arial"/>
          <w:bCs/>
        </w:rPr>
        <w:t xml:space="preserve"> October 2021). </w:t>
      </w:r>
    </w:p>
    <w:p w14:paraId="14332C64" w14:textId="77777777" w:rsidR="00BE3832" w:rsidRPr="00D87643" w:rsidRDefault="00BE3832" w:rsidP="000E0EBD">
      <w:pPr>
        <w:spacing w:before="120" w:after="120"/>
        <w:rPr>
          <w:rFonts w:ascii="Arial" w:eastAsia="Arial" w:hAnsi="Arial" w:cs="Arial"/>
          <w:bCs/>
        </w:rPr>
      </w:pPr>
      <w:r w:rsidRPr="00D87643">
        <w:rPr>
          <w:rFonts w:ascii="Arial" w:eastAsia="Arial" w:hAnsi="Arial" w:cs="Arial"/>
          <w:bCs/>
        </w:rPr>
        <w:lastRenderedPageBreak/>
        <w:cr/>
        <w:t xml:space="preserve">The Law Commission (2006), </w:t>
      </w:r>
      <w:r w:rsidRPr="00D87643">
        <w:rPr>
          <w:rFonts w:ascii="Arial" w:eastAsia="Arial" w:hAnsi="Arial" w:cs="Arial"/>
          <w:bCs/>
          <w:i/>
          <w:iCs/>
        </w:rPr>
        <w:t xml:space="preserve">Murder, Manslaughter and Infanticide, Project 6 of the Ninth Programme of Law Reform: Homicide, </w:t>
      </w:r>
      <w:r w:rsidRPr="00D87643">
        <w:rPr>
          <w:rFonts w:ascii="Arial" w:eastAsia="Arial" w:hAnsi="Arial" w:cs="Arial"/>
          <w:bCs/>
        </w:rPr>
        <w:t xml:space="preserve">Available at: </w:t>
      </w:r>
      <w:hyperlink r:id="rId14" w:history="1">
        <w:r w:rsidRPr="00D87643">
          <w:rPr>
            <w:rStyle w:val="Hyperlink"/>
            <w:rFonts w:ascii="Arial" w:eastAsia="Arial" w:hAnsi="Arial" w:cs="Arial"/>
            <w:bCs/>
          </w:rPr>
          <w:t>http://www.lawcom.gov.uk/app/uploads/2015/03/lc304_Murder_Manslaughter_and_Infanticide_Report.pdf</w:t>
        </w:r>
      </w:hyperlink>
      <w:r w:rsidRPr="00D87643">
        <w:rPr>
          <w:rFonts w:ascii="Arial" w:eastAsia="Arial" w:hAnsi="Arial" w:cs="Arial"/>
          <w:bCs/>
        </w:rPr>
        <w:t>, (Accessed: 25</w:t>
      </w:r>
      <w:r w:rsidRPr="00D87643">
        <w:rPr>
          <w:rFonts w:ascii="Arial" w:eastAsia="Arial" w:hAnsi="Arial" w:cs="Arial"/>
          <w:bCs/>
          <w:vertAlign w:val="superscript"/>
        </w:rPr>
        <w:t>th</w:t>
      </w:r>
      <w:r w:rsidRPr="00D87643">
        <w:rPr>
          <w:rFonts w:ascii="Arial" w:eastAsia="Arial" w:hAnsi="Arial" w:cs="Arial"/>
          <w:bCs/>
        </w:rPr>
        <w:t xml:space="preserve"> October 2021). </w:t>
      </w:r>
    </w:p>
    <w:p w14:paraId="0A3AB76C" w14:textId="77777777" w:rsidR="00BE3832" w:rsidRPr="00D87643" w:rsidRDefault="00BE3832" w:rsidP="00B90AEE">
      <w:pPr>
        <w:pStyle w:val="NormalWeb"/>
        <w:rPr>
          <w:rFonts w:ascii="Arial" w:hAnsi="Arial" w:cs="Arial"/>
          <w:color w:val="000000"/>
        </w:rPr>
      </w:pPr>
      <w:r w:rsidRPr="00D87643">
        <w:rPr>
          <w:rFonts w:ascii="Arial" w:hAnsi="Arial" w:cs="Arial"/>
          <w:color w:val="000000"/>
        </w:rPr>
        <w:t xml:space="preserve">Travis. A (2016), The Guardian, </w:t>
      </w:r>
      <w:r w:rsidRPr="00D87643">
        <w:rPr>
          <w:rFonts w:ascii="Arial" w:hAnsi="Arial" w:cs="Arial"/>
          <w:i/>
          <w:iCs/>
          <w:color w:val="000000"/>
        </w:rPr>
        <w:t xml:space="preserve">Murder law will not be reformed, justice minister tells MPs, </w:t>
      </w:r>
      <w:r w:rsidRPr="00D87643">
        <w:rPr>
          <w:rFonts w:ascii="Arial" w:hAnsi="Arial" w:cs="Arial"/>
          <w:color w:val="000000"/>
        </w:rPr>
        <w:t xml:space="preserve">Available at: </w:t>
      </w:r>
      <w:hyperlink r:id="rId15" w:history="1">
        <w:r w:rsidRPr="00D87643">
          <w:rPr>
            <w:rStyle w:val="Hyperlink"/>
            <w:rFonts w:ascii="Arial" w:hAnsi="Arial" w:cs="Arial"/>
          </w:rPr>
          <w:t>https://www.theguardian.com/law/2016/sep/14/law-will-not-be-reformed-justice-minister-tells-mps</w:t>
        </w:r>
      </w:hyperlink>
      <w:r w:rsidRPr="00D87643">
        <w:rPr>
          <w:rFonts w:ascii="Arial" w:hAnsi="Arial" w:cs="Arial"/>
          <w:color w:val="000000"/>
        </w:rPr>
        <w:t>, (Accessed: 29</w:t>
      </w:r>
      <w:r w:rsidRPr="00D87643">
        <w:rPr>
          <w:rFonts w:ascii="Arial" w:hAnsi="Arial" w:cs="Arial"/>
          <w:color w:val="000000"/>
          <w:vertAlign w:val="superscript"/>
        </w:rPr>
        <w:t>th</w:t>
      </w:r>
      <w:r w:rsidRPr="00D87643">
        <w:rPr>
          <w:rFonts w:ascii="Arial" w:hAnsi="Arial" w:cs="Arial"/>
          <w:color w:val="000000"/>
        </w:rPr>
        <w:t xml:space="preserve"> October 2021). </w:t>
      </w:r>
    </w:p>
    <w:p w14:paraId="21729476" w14:textId="43B62FA2" w:rsidR="0038194F" w:rsidRDefault="0038194F" w:rsidP="00B90AEE">
      <w:pPr>
        <w:pStyle w:val="NormalWeb"/>
        <w:rPr>
          <w:rFonts w:ascii="Arial" w:hAnsi="Arial" w:cs="Arial"/>
          <w:color w:val="000000"/>
        </w:rPr>
      </w:pPr>
    </w:p>
    <w:p w14:paraId="3F4E3F9B" w14:textId="77777777" w:rsidR="0038194F" w:rsidRPr="00136DDC" w:rsidRDefault="0038194F" w:rsidP="00B90AEE">
      <w:pPr>
        <w:pStyle w:val="NormalWeb"/>
        <w:rPr>
          <w:rFonts w:ascii="Arial" w:hAnsi="Arial" w:cs="Arial"/>
          <w:color w:val="000000"/>
        </w:rPr>
      </w:pPr>
    </w:p>
    <w:p w14:paraId="1CFF015B" w14:textId="77777777" w:rsidR="00DD5288" w:rsidRPr="000E0EBD" w:rsidRDefault="00DD5288">
      <w:pPr>
        <w:rPr>
          <w:rFonts w:ascii="Arial" w:hAnsi="Arial" w:cs="Arial"/>
          <w:sz w:val="96"/>
          <w:szCs w:val="96"/>
          <w:lang w:val="en-US"/>
        </w:rPr>
      </w:pPr>
    </w:p>
    <w:sectPr w:rsidR="00DD5288" w:rsidRPr="000E0E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74F96"/>
    <w:multiLevelType w:val="multilevel"/>
    <w:tmpl w:val="D408E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EA4C36"/>
    <w:multiLevelType w:val="multilevel"/>
    <w:tmpl w:val="F3EC3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1461A8"/>
    <w:multiLevelType w:val="hybridMultilevel"/>
    <w:tmpl w:val="F814BFF6"/>
    <w:lvl w:ilvl="0" w:tplc="C786F31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B16619"/>
    <w:multiLevelType w:val="hybridMultilevel"/>
    <w:tmpl w:val="48100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C160F3"/>
    <w:multiLevelType w:val="multilevel"/>
    <w:tmpl w:val="142E8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DA22DDA"/>
    <w:multiLevelType w:val="hybridMultilevel"/>
    <w:tmpl w:val="928C9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AA442D"/>
    <w:multiLevelType w:val="multilevel"/>
    <w:tmpl w:val="5CD25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9DF3626"/>
    <w:multiLevelType w:val="hybridMultilevel"/>
    <w:tmpl w:val="2B56E1E2"/>
    <w:lvl w:ilvl="0" w:tplc="1BCA57A0">
      <w:start w:val="15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5"/>
  </w:num>
  <w:num w:numId="4">
    <w:abstractNumId w:val="2"/>
  </w:num>
  <w:num w:numId="5">
    <w:abstractNumId w:val="4"/>
  </w:num>
  <w:num w:numId="6">
    <w:abstractNumId w:val="6"/>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EBD"/>
    <w:rsid w:val="00004721"/>
    <w:rsid w:val="00007FDD"/>
    <w:rsid w:val="00010093"/>
    <w:rsid w:val="00010B84"/>
    <w:rsid w:val="000115AA"/>
    <w:rsid w:val="00012C5D"/>
    <w:rsid w:val="0001489F"/>
    <w:rsid w:val="00021E77"/>
    <w:rsid w:val="000226E6"/>
    <w:rsid w:val="00027EC4"/>
    <w:rsid w:val="000307B0"/>
    <w:rsid w:val="00030CF9"/>
    <w:rsid w:val="00031C02"/>
    <w:rsid w:val="000451F9"/>
    <w:rsid w:val="00045393"/>
    <w:rsid w:val="00045F9D"/>
    <w:rsid w:val="00046819"/>
    <w:rsid w:val="000475C0"/>
    <w:rsid w:val="0005260B"/>
    <w:rsid w:val="00053687"/>
    <w:rsid w:val="00055E67"/>
    <w:rsid w:val="00061E14"/>
    <w:rsid w:val="0006785B"/>
    <w:rsid w:val="00071A67"/>
    <w:rsid w:val="0007264E"/>
    <w:rsid w:val="000815DE"/>
    <w:rsid w:val="00081702"/>
    <w:rsid w:val="00090A38"/>
    <w:rsid w:val="000925BA"/>
    <w:rsid w:val="0009287F"/>
    <w:rsid w:val="0009290A"/>
    <w:rsid w:val="00097705"/>
    <w:rsid w:val="000A2979"/>
    <w:rsid w:val="000A4567"/>
    <w:rsid w:val="000C4EF4"/>
    <w:rsid w:val="000D04C1"/>
    <w:rsid w:val="000D0CC5"/>
    <w:rsid w:val="000D1B75"/>
    <w:rsid w:val="000D70DB"/>
    <w:rsid w:val="000E0EBD"/>
    <w:rsid w:val="000E51CC"/>
    <w:rsid w:val="000F1BB6"/>
    <w:rsid w:val="000F4DB3"/>
    <w:rsid w:val="000F5990"/>
    <w:rsid w:val="001044FA"/>
    <w:rsid w:val="00107F64"/>
    <w:rsid w:val="00134BDE"/>
    <w:rsid w:val="00135F65"/>
    <w:rsid w:val="00136DDC"/>
    <w:rsid w:val="001422B7"/>
    <w:rsid w:val="00142E00"/>
    <w:rsid w:val="00143131"/>
    <w:rsid w:val="0014636C"/>
    <w:rsid w:val="00147054"/>
    <w:rsid w:val="00147F53"/>
    <w:rsid w:val="0015135F"/>
    <w:rsid w:val="00153C60"/>
    <w:rsid w:val="001657BA"/>
    <w:rsid w:val="001661EA"/>
    <w:rsid w:val="00166D0C"/>
    <w:rsid w:val="00175E86"/>
    <w:rsid w:val="00183CB2"/>
    <w:rsid w:val="001850A0"/>
    <w:rsid w:val="00186A3C"/>
    <w:rsid w:val="00190052"/>
    <w:rsid w:val="001A4BAF"/>
    <w:rsid w:val="001B221B"/>
    <w:rsid w:val="001B4B40"/>
    <w:rsid w:val="001B67A3"/>
    <w:rsid w:val="001C3F97"/>
    <w:rsid w:val="001C4091"/>
    <w:rsid w:val="001D4273"/>
    <w:rsid w:val="001E07A7"/>
    <w:rsid w:val="001E7EFE"/>
    <w:rsid w:val="001F4D70"/>
    <w:rsid w:val="00200788"/>
    <w:rsid w:val="00204C8E"/>
    <w:rsid w:val="00205610"/>
    <w:rsid w:val="0021089A"/>
    <w:rsid w:val="00231326"/>
    <w:rsid w:val="002325F1"/>
    <w:rsid w:val="00234DC9"/>
    <w:rsid w:val="00241132"/>
    <w:rsid w:val="00252AB7"/>
    <w:rsid w:val="0025398D"/>
    <w:rsid w:val="002568C8"/>
    <w:rsid w:val="00257FA3"/>
    <w:rsid w:val="00261FFC"/>
    <w:rsid w:val="00263358"/>
    <w:rsid w:val="0027074D"/>
    <w:rsid w:val="00270F77"/>
    <w:rsid w:val="00272338"/>
    <w:rsid w:val="002822A7"/>
    <w:rsid w:val="00283243"/>
    <w:rsid w:val="002857F2"/>
    <w:rsid w:val="00285E5D"/>
    <w:rsid w:val="00286A5E"/>
    <w:rsid w:val="002938DE"/>
    <w:rsid w:val="002A3397"/>
    <w:rsid w:val="002A351B"/>
    <w:rsid w:val="002A689E"/>
    <w:rsid w:val="002B1EC7"/>
    <w:rsid w:val="002C205C"/>
    <w:rsid w:val="002C3D71"/>
    <w:rsid w:val="002C3F5D"/>
    <w:rsid w:val="002C5A24"/>
    <w:rsid w:val="002D1333"/>
    <w:rsid w:val="002E1DAD"/>
    <w:rsid w:val="002E5138"/>
    <w:rsid w:val="002E5320"/>
    <w:rsid w:val="002F3189"/>
    <w:rsid w:val="002F5548"/>
    <w:rsid w:val="00300DD4"/>
    <w:rsid w:val="00302F88"/>
    <w:rsid w:val="0030501C"/>
    <w:rsid w:val="00305317"/>
    <w:rsid w:val="003057E4"/>
    <w:rsid w:val="00307889"/>
    <w:rsid w:val="003139DE"/>
    <w:rsid w:val="00322AC4"/>
    <w:rsid w:val="00323DA3"/>
    <w:rsid w:val="00326301"/>
    <w:rsid w:val="003306BF"/>
    <w:rsid w:val="003315D2"/>
    <w:rsid w:val="00332B3E"/>
    <w:rsid w:val="0034404C"/>
    <w:rsid w:val="00344506"/>
    <w:rsid w:val="00350F80"/>
    <w:rsid w:val="00353C0D"/>
    <w:rsid w:val="003546A1"/>
    <w:rsid w:val="003566A9"/>
    <w:rsid w:val="003664CB"/>
    <w:rsid w:val="00374413"/>
    <w:rsid w:val="0038006D"/>
    <w:rsid w:val="0038194F"/>
    <w:rsid w:val="00386E20"/>
    <w:rsid w:val="00387D51"/>
    <w:rsid w:val="00392F50"/>
    <w:rsid w:val="00393062"/>
    <w:rsid w:val="00393F99"/>
    <w:rsid w:val="00395A7A"/>
    <w:rsid w:val="003A07FE"/>
    <w:rsid w:val="003A0D2E"/>
    <w:rsid w:val="003A1968"/>
    <w:rsid w:val="003A35D3"/>
    <w:rsid w:val="003C31C2"/>
    <w:rsid w:val="003D0E5B"/>
    <w:rsid w:val="003F1980"/>
    <w:rsid w:val="00401308"/>
    <w:rsid w:val="00410BBD"/>
    <w:rsid w:val="00411D16"/>
    <w:rsid w:val="00416034"/>
    <w:rsid w:val="004240F3"/>
    <w:rsid w:val="004273CA"/>
    <w:rsid w:val="004457B5"/>
    <w:rsid w:val="004514A3"/>
    <w:rsid w:val="004515CC"/>
    <w:rsid w:val="0046126B"/>
    <w:rsid w:val="00462578"/>
    <w:rsid w:val="00471B8B"/>
    <w:rsid w:val="00471F8C"/>
    <w:rsid w:val="00474EDC"/>
    <w:rsid w:val="0047648E"/>
    <w:rsid w:val="00486673"/>
    <w:rsid w:val="00486F92"/>
    <w:rsid w:val="0049022F"/>
    <w:rsid w:val="004A033B"/>
    <w:rsid w:val="004A03F4"/>
    <w:rsid w:val="004A04D5"/>
    <w:rsid w:val="004A06E7"/>
    <w:rsid w:val="004A0EDA"/>
    <w:rsid w:val="004A1B68"/>
    <w:rsid w:val="004A446C"/>
    <w:rsid w:val="004A74E7"/>
    <w:rsid w:val="004B332A"/>
    <w:rsid w:val="004C20C5"/>
    <w:rsid w:val="004C262B"/>
    <w:rsid w:val="004C2FA2"/>
    <w:rsid w:val="004C3E98"/>
    <w:rsid w:val="004D1313"/>
    <w:rsid w:val="004D2104"/>
    <w:rsid w:val="004D51E4"/>
    <w:rsid w:val="004D6D6D"/>
    <w:rsid w:val="004E52C4"/>
    <w:rsid w:val="004E7D2E"/>
    <w:rsid w:val="004F240C"/>
    <w:rsid w:val="004F3CF5"/>
    <w:rsid w:val="004F7777"/>
    <w:rsid w:val="004F7BD2"/>
    <w:rsid w:val="00501E7D"/>
    <w:rsid w:val="005125F1"/>
    <w:rsid w:val="00532E7E"/>
    <w:rsid w:val="00536AFC"/>
    <w:rsid w:val="00541C92"/>
    <w:rsid w:val="005433F5"/>
    <w:rsid w:val="00554265"/>
    <w:rsid w:val="005677FB"/>
    <w:rsid w:val="00570607"/>
    <w:rsid w:val="00570BB7"/>
    <w:rsid w:val="00570D43"/>
    <w:rsid w:val="00573D2A"/>
    <w:rsid w:val="005743C0"/>
    <w:rsid w:val="00576DEE"/>
    <w:rsid w:val="00580FA0"/>
    <w:rsid w:val="005843E0"/>
    <w:rsid w:val="005846D6"/>
    <w:rsid w:val="005A1D9E"/>
    <w:rsid w:val="005A2F61"/>
    <w:rsid w:val="005A427C"/>
    <w:rsid w:val="005A474F"/>
    <w:rsid w:val="005A7EFB"/>
    <w:rsid w:val="005B0646"/>
    <w:rsid w:val="005C6063"/>
    <w:rsid w:val="005D0566"/>
    <w:rsid w:val="005D3B52"/>
    <w:rsid w:val="005D5242"/>
    <w:rsid w:val="005D626E"/>
    <w:rsid w:val="005F291B"/>
    <w:rsid w:val="005F5F25"/>
    <w:rsid w:val="006040D6"/>
    <w:rsid w:val="00611F30"/>
    <w:rsid w:val="00611F8B"/>
    <w:rsid w:val="00620987"/>
    <w:rsid w:val="0062638B"/>
    <w:rsid w:val="00632AFC"/>
    <w:rsid w:val="00633C0C"/>
    <w:rsid w:val="00635A2E"/>
    <w:rsid w:val="00636E72"/>
    <w:rsid w:val="0064038D"/>
    <w:rsid w:val="0064071A"/>
    <w:rsid w:val="006536E1"/>
    <w:rsid w:val="006568DE"/>
    <w:rsid w:val="00671A25"/>
    <w:rsid w:val="006926CE"/>
    <w:rsid w:val="0069379A"/>
    <w:rsid w:val="00694392"/>
    <w:rsid w:val="00694A19"/>
    <w:rsid w:val="00695FF8"/>
    <w:rsid w:val="006A1C76"/>
    <w:rsid w:val="006A379C"/>
    <w:rsid w:val="006B4621"/>
    <w:rsid w:val="006B65E3"/>
    <w:rsid w:val="006C1121"/>
    <w:rsid w:val="006C3DDF"/>
    <w:rsid w:val="006D0773"/>
    <w:rsid w:val="006D37B4"/>
    <w:rsid w:val="006F0E81"/>
    <w:rsid w:val="006F15EB"/>
    <w:rsid w:val="006F1D71"/>
    <w:rsid w:val="006F34B3"/>
    <w:rsid w:val="006F5F8B"/>
    <w:rsid w:val="00702D55"/>
    <w:rsid w:val="00705B82"/>
    <w:rsid w:val="00706C3D"/>
    <w:rsid w:val="0071187C"/>
    <w:rsid w:val="00711CC5"/>
    <w:rsid w:val="00713F17"/>
    <w:rsid w:val="00714CC8"/>
    <w:rsid w:val="00716F69"/>
    <w:rsid w:val="007200F2"/>
    <w:rsid w:val="007270D1"/>
    <w:rsid w:val="007300C0"/>
    <w:rsid w:val="00730A76"/>
    <w:rsid w:val="00732AC6"/>
    <w:rsid w:val="00734E6D"/>
    <w:rsid w:val="00735B7D"/>
    <w:rsid w:val="00736143"/>
    <w:rsid w:val="007469C2"/>
    <w:rsid w:val="00756203"/>
    <w:rsid w:val="007708D1"/>
    <w:rsid w:val="00777C2A"/>
    <w:rsid w:val="007817F7"/>
    <w:rsid w:val="00783428"/>
    <w:rsid w:val="007834B5"/>
    <w:rsid w:val="00786E96"/>
    <w:rsid w:val="0079552A"/>
    <w:rsid w:val="00795D5A"/>
    <w:rsid w:val="007979A5"/>
    <w:rsid w:val="00797C02"/>
    <w:rsid w:val="007A3518"/>
    <w:rsid w:val="007A36C9"/>
    <w:rsid w:val="007B114A"/>
    <w:rsid w:val="007B28EA"/>
    <w:rsid w:val="007B5ACB"/>
    <w:rsid w:val="007B6BD7"/>
    <w:rsid w:val="007C089B"/>
    <w:rsid w:val="007C2943"/>
    <w:rsid w:val="007C3B79"/>
    <w:rsid w:val="007C6837"/>
    <w:rsid w:val="007D37E9"/>
    <w:rsid w:val="007F29CB"/>
    <w:rsid w:val="008009F0"/>
    <w:rsid w:val="00800EC9"/>
    <w:rsid w:val="008104C0"/>
    <w:rsid w:val="00817F81"/>
    <w:rsid w:val="00822939"/>
    <w:rsid w:val="0082305A"/>
    <w:rsid w:val="0082641D"/>
    <w:rsid w:val="00833009"/>
    <w:rsid w:val="008675C7"/>
    <w:rsid w:val="00877B47"/>
    <w:rsid w:val="00886E31"/>
    <w:rsid w:val="00895FBB"/>
    <w:rsid w:val="008B13DD"/>
    <w:rsid w:val="008B1791"/>
    <w:rsid w:val="008B3E7F"/>
    <w:rsid w:val="008B451F"/>
    <w:rsid w:val="008B5048"/>
    <w:rsid w:val="008B51B6"/>
    <w:rsid w:val="008B56DF"/>
    <w:rsid w:val="008B7D13"/>
    <w:rsid w:val="008C0F0E"/>
    <w:rsid w:val="008C1983"/>
    <w:rsid w:val="008C1EA3"/>
    <w:rsid w:val="008C299C"/>
    <w:rsid w:val="008D510B"/>
    <w:rsid w:val="008E0C4F"/>
    <w:rsid w:val="008E1E76"/>
    <w:rsid w:val="008F0193"/>
    <w:rsid w:val="008F1E3A"/>
    <w:rsid w:val="008F3C87"/>
    <w:rsid w:val="008F64D9"/>
    <w:rsid w:val="00900F46"/>
    <w:rsid w:val="009117BF"/>
    <w:rsid w:val="009200F6"/>
    <w:rsid w:val="00920281"/>
    <w:rsid w:val="00925502"/>
    <w:rsid w:val="009471F2"/>
    <w:rsid w:val="009476B3"/>
    <w:rsid w:val="009511A9"/>
    <w:rsid w:val="00956086"/>
    <w:rsid w:val="00960EA3"/>
    <w:rsid w:val="00961F16"/>
    <w:rsid w:val="00962A7B"/>
    <w:rsid w:val="00963313"/>
    <w:rsid w:val="00965B9B"/>
    <w:rsid w:val="00971432"/>
    <w:rsid w:val="00982B78"/>
    <w:rsid w:val="00986F10"/>
    <w:rsid w:val="00987222"/>
    <w:rsid w:val="00987D67"/>
    <w:rsid w:val="009A4D3F"/>
    <w:rsid w:val="009A5D71"/>
    <w:rsid w:val="009B03A1"/>
    <w:rsid w:val="009C483B"/>
    <w:rsid w:val="009C6035"/>
    <w:rsid w:val="009D0D44"/>
    <w:rsid w:val="009D3183"/>
    <w:rsid w:val="009E375E"/>
    <w:rsid w:val="009F186B"/>
    <w:rsid w:val="009F2779"/>
    <w:rsid w:val="009F3D09"/>
    <w:rsid w:val="009F5C7E"/>
    <w:rsid w:val="009F5FBE"/>
    <w:rsid w:val="009F65A1"/>
    <w:rsid w:val="00A10F35"/>
    <w:rsid w:val="00A2321C"/>
    <w:rsid w:val="00A33DAE"/>
    <w:rsid w:val="00A47373"/>
    <w:rsid w:val="00A47B2B"/>
    <w:rsid w:val="00A57026"/>
    <w:rsid w:val="00A6217C"/>
    <w:rsid w:val="00A63EA4"/>
    <w:rsid w:val="00A7006E"/>
    <w:rsid w:val="00A71A51"/>
    <w:rsid w:val="00A72434"/>
    <w:rsid w:val="00A72645"/>
    <w:rsid w:val="00A74BEC"/>
    <w:rsid w:val="00A77092"/>
    <w:rsid w:val="00A81D2F"/>
    <w:rsid w:val="00A945F5"/>
    <w:rsid w:val="00AA6410"/>
    <w:rsid w:val="00AB1D40"/>
    <w:rsid w:val="00AB41C7"/>
    <w:rsid w:val="00AB4CC7"/>
    <w:rsid w:val="00AC1EB3"/>
    <w:rsid w:val="00AC21D8"/>
    <w:rsid w:val="00AC67A1"/>
    <w:rsid w:val="00AD174C"/>
    <w:rsid w:val="00AE209E"/>
    <w:rsid w:val="00AE4621"/>
    <w:rsid w:val="00AE665D"/>
    <w:rsid w:val="00B0183F"/>
    <w:rsid w:val="00B0344D"/>
    <w:rsid w:val="00B2286A"/>
    <w:rsid w:val="00B245CA"/>
    <w:rsid w:val="00B25780"/>
    <w:rsid w:val="00B275BB"/>
    <w:rsid w:val="00B305BF"/>
    <w:rsid w:val="00B31077"/>
    <w:rsid w:val="00B313FF"/>
    <w:rsid w:val="00B33511"/>
    <w:rsid w:val="00B3536E"/>
    <w:rsid w:val="00B372CA"/>
    <w:rsid w:val="00B41CD6"/>
    <w:rsid w:val="00B44862"/>
    <w:rsid w:val="00B44FA8"/>
    <w:rsid w:val="00B542B6"/>
    <w:rsid w:val="00B63745"/>
    <w:rsid w:val="00B65A58"/>
    <w:rsid w:val="00B77989"/>
    <w:rsid w:val="00B82D04"/>
    <w:rsid w:val="00B83BBF"/>
    <w:rsid w:val="00B90AEE"/>
    <w:rsid w:val="00B9638C"/>
    <w:rsid w:val="00B96827"/>
    <w:rsid w:val="00B96AFD"/>
    <w:rsid w:val="00B97081"/>
    <w:rsid w:val="00BA65C2"/>
    <w:rsid w:val="00BB24A6"/>
    <w:rsid w:val="00BB59C8"/>
    <w:rsid w:val="00BB7357"/>
    <w:rsid w:val="00BC1AEE"/>
    <w:rsid w:val="00BC59FB"/>
    <w:rsid w:val="00BC6D9A"/>
    <w:rsid w:val="00BD6BCB"/>
    <w:rsid w:val="00BD74F9"/>
    <w:rsid w:val="00BE3832"/>
    <w:rsid w:val="00BF3C8F"/>
    <w:rsid w:val="00BF40A9"/>
    <w:rsid w:val="00C0066C"/>
    <w:rsid w:val="00C07698"/>
    <w:rsid w:val="00C14D12"/>
    <w:rsid w:val="00C172DB"/>
    <w:rsid w:val="00C23F70"/>
    <w:rsid w:val="00C319AC"/>
    <w:rsid w:val="00C37764"/>
    <w:rsid w:val="00C467B2"/>
    <w:rsid w:val="00C46CE1"/>
    <w:rsid w:val="00C50259"/>
    <w:rsid w:val="00C50675"/>
    <w:rsid w:val="00C643C9"/>
    <w:rsid w:val="00C6742E"/>
    <w:rsid w:val="00C70FC8"/>
    <w:rsid w:val="00C716D9"/>
    <w:rsid w:val="00C748E6"/>
    <w:rsid w:val="00C77E52"/>
    <w:rsid w:val="00C81FDF"/>
    <w:rsid w:val="00C8579A"/>
    <w:rsid w:val="00C85DEB"/>
    <w:rsid w:val="00C91268"/>
    <w:rsid w:val="00C92BE8"/>
    <w:rsid w:val="00CA0678"/>
    <w:rsid w:val="00CA4627"/>
    <w:rsid w:val="00CA5E02"/>
    <w:rsid w:val="00CB1142"/>
    <w:rsid w:val="00CB39A7"/>
    <w:rsid w:val="00CB6BC9"/>
    <w:rsid w:val="00CC21ED"/>
    <w:rsid w:val="00CD2E22"/>
    <w:rsid w:val="00CD5CDE"/>
    <w:rsid w:val="00CE23B8"/>
    <w:rsid w:val="00CE279B"/>
    <w:rsid w:val="00D01898"/>
    <w:rsid w:val="00D0296A"/>
    <w:rsid w:val="00D046EC"/>
    <w:rsid w:val="00D1167B"/>
    <w:rsid w:val="00D116E6"/>
    <w:rsid w:val="00D1473C"/>
    <w:rsid w:val="00D15BA2"/>
    <w:rsid w:val="00D31E62"/>
    <w:rsid w:val="00D3711E"/>
    <w:rsid w:val="00D40884"/>
    <w:rsid w:val="00D43E8A"/>
    <w:rsid w:val="00D50808"/>
    <w:rsid w:val="00D514FB"/>
    <w:rsid w:val="00D54121"/>
    <w:rsid w:val="00D5681A"/>
    <w:rsid w:val="00D571B5"/>
    <w:rsid w:val="00D601ED"/>
    <w:rsid w:val="00D632C4"/>
    <w:rsid w:val="00D71D34"/>
    <w:rsid w:val="00D72D9D"/>
    <w:rsid w:val="00D75B95"/>
    <w:rsid w:val="00D87643"/>
    <w:rsid w:val="00D9731F"/>
    <w:rsid w:val="00DA31FF"/>
    <w:rsid w:val="00DB474B"/>
    <w:rsid w:val="00DC202E"/>
    <w:rsid w:val="00DD5288"/>
    <w:rsid w:val="00DE0FC2"/>
    <w:rsid w:val="00DE6BC0"/>
    <w:rsid w:val="00DE7542"/>
    <w:rsid w:val="00DF7D59"/>
    <w:rsid w:val="00E0506E"/>
    <w:rsid w:val="00E23847"/>
    <w:rsid w:val="00E23FDB"/>
    <w:rsid w:val="00E241F6"/>
    <w:rsid w:val="00E317D6"/>
    <w:rsid w:val="00E32CF6"/>
    <w:rsid w:val="00E4463F"/>
    <w:rsid w:val="00E51A12"/>
    <w:rsid w:val="00E52CAA"/>
    <w:rsid w:val="00E7153B"/>
    <w:rsid w:val="00E77BF8"/>
    <w:rsid w:val="00E82929"/>
    <w:rsid w:val="00E85573"/>
    <w:rsid w:val="00E923A9"/>
    <w:rsid w:val="00E92A6F"/>
    <w:rsid w:val="00E93B00"/>
    <w:rsid w:val="00E95A09"/>
    <w:rsid w:val="00E97ACE"/>
    <w:rsid w:val="00EA029D"/>
    <w:rsid w:val="00EA139C"/>
    <w:rsid w:val="00EA13BC"/>
    <w:rsid w:val="00EA5C79"/>
    <w:rsid w:val="00EC2456"/>
    <w:rsid w:val="00EC2E21"/>
    <w:rsid w:val="00EC7EF8"/>
    <w:rsid w:val="00ED1004"/>
    <w:rsid w:val="00ED1DF0"/>
    <w:rsid w:val="00ED51AE"/>
    <w:rsid w:val="00ED541E"/>
    <w:rsid w:val="00ED78E4"/>
    <w:rsid w:val="00EE78DF"/>
    <w:rsid w:val="00EF0557"/>
    <w:rsid w:val="00EF2DFA"/>
    <w:rsid w:val="00EF2E87"/>
    <w:rsid w:val="00EF7C19"/>
    <w:rsid w:val="00F0008F"/>
    <w:rsid w:val="00F0125A"/>
    <w:rsid w:val="00F0688B"/>
    <w:rsid w:val="00F06C94"/>
    <w:rsid w:val="00F11003"/>
    <w:rsid w:val="00F11441"/>
    <w:rsid w:val="00F14C2E"/>
    <w:rsid w:val="00F15DA8"/>
    <w:rsid w:val="00F20D53"/>
    <w:rsid w:val="00F21F8B"/>
    <w:rsid w:val="00F2266D"/>
    <w:rsid w:val="00F26759"/>
    <w:rsid w:val="00F34501"/>
    <w:rsid w:val="00F5436B"/>
    <w:rsid w:val="00F646E2"/>
    <w:rsid w:val="00F64B50"/>
    <w:rsid w:val="00F74D6B"/>
    <w:rsid w:val="00F811E5"/>
    <w:rsid w:val="00F8680C"/>
    <w:rsid w:val="00F90289"/>
    <w:rsid w:val="00F96319"/>
    <w:rsid w:val="00FA01B5"/>
    <w:rsid w:val="00FA102F"/>
    <w:rsid w:val="00FA3D5B"/>
    <w:rsid w:val="00FB46FF"/>
    <w:rsid w:val="00FB545F"/>
    <w:rsid w:val="00FC0EE4"/>
    <w:rsid w:val="00FC58CC"/>
    <w:rsid w:val="00FC5F8D"/>
    <w:rsid w:val="00FD3407"/>
    <w:rsid w:val="00FD4E8E"/>
    <w:rsid w:val="00FF0521"/>
    <w:rsid w:val="00FF46D4"/>
    <w:rsid w:val="00FF4704"/>
    <w:rsid w:val="00FF507D"/>
    <w:rsid w:val="00FF6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840E9"/>
  <w15:chartTrackingRefBased/>
  <w15:docId w15:val="{6C3A4A27-574A-4945-B8F0-1EC965F38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8194F"/>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uiPriority w:val="9"/>
    <w:unhideWhenUsed/>
    <w:qFormat/>
    <w:rsid w:val="001044F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1A12"/>
    <w:pPr>
      <w:ind w:left="720"/>
      <w:contextualSpacing/>
    </w:pPr>
  </w:style>
  <w:style w:type="character" w:styleId="Hyperlink">
    <w:name w:val="Hyperlink"/>
    <w:basedOn w:val="DefaultParagraphFont"/>
    <w:uiPriority w:val="99"/>
    <w:unhideWhenUsed/>
    <w:rsid w:val="00BB59C8"/>
    <w:rPr>
      <w:color w:val="0563C1" w:themeColor="hyperlink"/>
      <w:u w:val="single"/>
    </w:rPr>
  </w:style>
  <w:style w:type="character" w:styleId="UnresolvedMention">
    <w:name w:val="Unresolved Mention"/>
    <w:basedOn w:val="DefaultParagraphFont"/>
    <w:uiPriority w:val="99"/>
    <w:semiHidden/>
    <w:unhideWhenUsed/>
    <w:rsid w:val="00BB59C8"/>
    <w:rPr>
      <w:color w:val="605E5C"/>
      <w:shd w:val="clear" w:color="auto" w:fill="E1DFDD"/>
    </w:rPr>
  </w:style>
  <w:style w:type="paragraph" w:styleId="NormalWeb">
    <w:name w:val="Normal (Web)"/>
    <w:basedOn w:val="Normal"/>
    <w:uiPriority w:val="99"/>
    <w:semiHidden/>
    <w:unhideWhenUsed/>
    <w:rsid w:val="009511A9"/>
    <w:pPr>
      <w:spacing w:before="100" w:beforeAutospacing="1" w:after="100" w:afterAutospacing="1"/>
    </w:pPr>
  </w:style>
  <w:style w:type="character" w:styleId="Emphasis">
    <w:name w:val="Emphasis"/>
    <w:basedOn w:val="DefaultParagraphFont"/>
    <w:uiPriority w:val="20"/>
    <w:qFormat/>
    <w:rsid w:val="00734E6D"/>
    <w:rPr>
      <w:i/>
      <w:iCs/>
    </w:rPr>
  </w:style>
  <w:style w:type="character" w:customStyle="1" w:styleId="Heading2Char">
    <w:name w:val="Heading 2 Char"/>
    <w:basedOn w:val="DefaultParagraphFont"/>
    <w:link w:val="Heading2"/>
    <w:uiPriority w:val="9"/>
    <w:rsid w:val="001044FA"/>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5944282">
      <w:bodyDiv w:val="1"/>
      <w:marLeft w:val="0"/>
      <w:marRight w:val="0"/>
      <w:marTop w:val="0"/>
      <w:marBottom w:val="0"/>
      <w:divBdr>
        <w:top w:val="none" w:sz="0" w:space="0" w:color="auto"/>
        <w:left w:val="none" w:sz="0" w:space="0" w:color="auto"/>
        <w:bottom w:val="none" w:sz="0" w:space="0" w:color="auto"/>
        <w:right w:val="none" w:sz="0" w:space="0" w:color="auto"/>
      </w:divBdr>
    </w:div>
    <w:div w:id="1028488586">
      <w:bodyDiv w:val="1"/>
      <w:marLeft w:val="0"/>
      <w:marRight w:val="0"/>
      <w:marTop w:val="0"/>
      <w:marBottom w:val="0"/>
      <w:divBdr>
        <w:top w:val="none" w:sz="0" w:space="0" w:color="auto"/>
        <w:left w:val="none" w:sz="0" w:space="0" w:color="auto"/>
        <w:bottom w:val="none" w:sz="0" w:space="0" w:color="auto"/>
        <w:right w:val="none" w:sz="0" w:space="0" w:color="auto"/>
      </w:divBdr>
    </w:div>
    <w:div w:id="2011903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0022018320926468" TargetMode="External"/><Relationship Id="rId13" Type="http://schemas.openxmlformats.org/officeDocument/2006/relationships/hyperlink" Target="http://www.lawcom.gov.uk/app/uploads/2015/03/cp177_Murder_Manslaughter_and_Infanticide_consultation_overview_.pdf" TargetMode="External"/><Relationship Id="rId3" Type="http://schemas.openxmlformats.org/officeDocument/2006/relationships/settings" Target="settings.xml"/><Relationship Id="rId7" Type="http://schemas.openxmlformats.org/officeDocument/2006/relationships/hyperlink" Target="file:///C:/Users/nigel/AppData/Local/Packages/Microsoft.MicrosoftEdge_8wekyb3d8bbwe/TempState/Downloads/Murder__Manslaughter_and_Infanticide_comparative_studies%20(1).pdf" TargetMode="External"/><Relationship Id="rId12" Type="http://schemas.openxmlformats.org/officeDocument/2006/relationships/hyperlink" Target="file:///C:/Users/nigel/AppData/Local/Packages/Microsoft.MicrosoftEdge_8wekyb3d8bbwe/TempState/Downloads/Law-Commission-consultation-paper-173-partial-defences-to-murder%20(1).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bailii.org/ew/cases/EWCA/Crim/2013/322.html" TargetMode="External"/><Relationship Id="rId11" Type="http://schemas.openxmlformats.org/officeDocument/2006/relationships/hyperlink" Target="https://www.cps.gov.uk/legal-guidance/homicide-murder-and-manslaughter" TargetMode="External"/><Relationship Id="rId5" Type="http://schemas.openxmlformats.org/officeDocument/2006/relationships/hyperlink" Target="http://www.bailii.org/ew/cases/EWCA/Crim/2012/281.html" TargetMode="External"/><Relationship Id="rId15" Type="http://schemas.openxmlformats.org/officeDocument/2006/relationships/hyperlink" Target="https://www.theguardian.com/law/2016/sep/14/law-will-not-be-reformed-justice-minister-tells-mps" TargetMode="External"/><Relationship Id="rId10" Type="http://schemas.openxmlformats.org/officeDocument/2006/relationships/hyperlink" Target="https://ssudl.solent.ac.uk/id/eprint/971/1/2000_4_1&amp;2.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81559/coroner-reforms-consultation.pdf" TargetMode="External"/><Relationship Id="rId14" Type="http://schemas.openxmlformats.org/officeDocument/2006/relationships/hyperlink" Target="http://www.lawcom.gov.uk/app/uploads/2015/03/lc304_Murder_Manslaughter_and_Infanticide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2219</Words>
  <Characters>12653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dc:creator>
  <cp:keywords/>
  <dc:description/>
  <cp:lastModifiedBy>nigella williams</cp:lastModifiedBy>
  <cp:revision>2</cp:revision>
  <dcterms:created xsi:type="dcterms:W3CDTF">2021-11-05T15:46:00Z</dcterms:created>
  <dcterms:modified xsi:type="dcterms:W3CDTF">2021-11-05T15:46:00Z</dcterms:modified>
</cp:coreProperties>
</file>