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DF781" w14:textId="77777777" w:rsidR="003C6EC3" w:rsidRDefault="003C6EC3" w:rsidP="00C24527">
      <w:pPr>
        <w:pStyle w:val="Heading1"/>
        <w:rPr>
          <w:rFonts w:ascii="Arial" w:hAnsi="Arial" w:cs="Arial"/>
          <w:b/>
          <w:bCs/>
          <w:sz w:val="24"/>
          <w:szCs w:val="24"/>
        </w:rPr>
      </w:pPr>
    </w:p>
    <w:p w14:paraId="5086D7D7" w14:textId="77777777" w:rsidR="003C6EC3" w:rsidRDefault="003C6EC3" w:rsidP="003C6EC3">
      <w:pPr>
        <w:rPr>
          <w:rFonts w:ascii="Arial" w:hAnsi="Arial" w:cs="Arial"/>
          <w:b/>
          <w:bCs/>
          <w:sz w:val="24"/>
          <w:szCs w:val="24"/>
        </w:rPr>
      </w:pPr>
    </w:p>
    <w:p w14:paraId="1C561058" w14:textId="533735A3" w:rsidR="003C6EC3" w:rsidRDefault="00EF4D37" w:rsidP="003C6EC3">
      <w:pPr>
        <w:rPr>
          <w:rFonts w:ascii="Arial" w:hAnsi="Arial" w:cs="Arial"/>
          <w:sz w:val="28"/>
          <w:szCs w:val="28"/>
        </w:rPr>
      </w:pPr>
      <w:r w:rsidRPr="00EF4D37">
        <w:rPr>
          <w:rFonts w:ascii="Arial" w:hAnsi="Arial" w:cs="Arial"/>
          <w:sz w:val="28"/>
          <w:szCs w:val="28"/>
        </w:rPr>
        <w:t>Charging Ahead: Assessing and Validating Tesla's Competitive Advantage in the UK Auto Industry</w:t>
      </w:r>
    </w:p>
    <w:p w14:paraId="157412DA" w14:textId="7400B0A7" w:rsidR="003C6EC3" w:rsidRDefault="003C6EC3" w:rsidP="003C6EC3">
      <w:pPr>
        <w:rPr>
          <w:rFonts w:ascii="Arial" w:hAnsi="Arial" w:cs="Arial"/>
          <w:b/>
          <w:bCs/>
          <w:sz w:val="24"/>
          <w:szCs w:val="24"/>
        </w:rPr>
      </w:pPr>
      <w:r w:rsidRPr="003C6EC3">
        <w:rPr>
          <w:rFonts w:ascii="Arial" w:hAnsi="Arial" w:cs="Arial"/>
          <w:sz w:val="28"/>
          <w:szCs w:val="28"/>
        </w:rPr>
        <w:br w:type="page"/>
      </w:r>
    </w:p>
    <w:sdt>
      <w:sdtPr>
        <w:rPr>
          <w:rFonts w:asciiTheme="minorHAnsi" w:eastAsiaTheme="minorHAnsi" w:hAnsiTheme="minorHAnsi" w:cstheme="minorBidi"/>
          <w:color w:val="auto"/>
          <w:kern w:val="2"/>
          <w:sz w:val="22"/>
          <w:szCs w:val="22"/>
          <w:lang w:val="en-GB"/>
          <w14:ligatures w14:val="standardContextual"/>
        </w:rPr>
        <w:id w:val="-1776155860"/>
        <w:docPartObj>
          <w:docPartGallery w:val="Table of Contents"/>
          <w:docPartUnique/>
        </w:docPartObj>
      </w:sdtPr>
      <w:sdtEndPr>
        <w:rPr>
          <w:b/>
          <w:bCs/>
          <w:noProof/>
        </w:rPr>
      </w:sdtEndPr>
      <w:sdtContent>
        <w:p w14:paraId="0AEE680E" w14:textId="5E9857FB" w:rsidR="00C24527" w:rsidRDefault="00C24527" w:rsidP="003C6EC3">
          <w:pPr>
            <w:pStyle w:val="TOCHeading"/>
          </w:pPr>
          <w:r>
            <w:t>Table of Contents</w:t>
          </w:r>
        </w:p>
        <w:p w14:paraId="40677782" w14:textId="59B90FF5" w:rsidR="009C3462" w:rsidRDefault="00C24527">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55128310" w:history="1">
            <w:r w:rsidR="009C3462" w:rsidRPr="00EB6BFB">
              <w:rPr>
                <w:rStyle w:val="Hyperlink"/>
                <w:rFonts w:ascii="Arial" w:hAnsi="Arial" w:cs="Arial"/>
                <w:b/>
                <w:bCs/>
                <w:noProof/>
              </w:rPr>
              <w:t>1. Introduction</w:t>
            </w:r>
            <w:r w:rsidR="009C3462">
              <w:rPr>
                <w:noProof/>
                <w:webHidden/>
              </w:rPr>
              <w:tab/>
            </w:r>
            <w:r w:rsidR="009C3462">
              <w:rPr>
                <w:noProof/>
                <w:webHidden/>
              </w:rPr>
              <w:fldChar w:fldCharType="begin"/>
            </w:r>
            <w:r w:rsidR="009C3462">
              <w:rPr>
                <w:noProof/>
                <w:webHidden/>
              </w:rPr>
              <w:instrText xml:space="preserve"> PAGEREF _Toc155128310 \h </w:instrText>
            </w:r>
            <w:r w:rsidR="009C3462">
              <w:rPr>
                <w:noProof/>
                <w:webHidden/>
              </w:rPr>
            </w:r>
            <w:r w:rsidR="009C3462">
              <w:rPr>
                <w:noProof/>
                <w:webHidden/>
              </w:rPr>
              <w:fldChar w:fldCharType="separate"/>
            </w:r>
            <w:r w:rsidR="009C3462">
              <w:rPr>
                <w:noProof/>
                <w:webHidden/>
              </w:rPr>
              <w:t>3</w:t>
            </w:r>
            <w:r w:rsidR="009C3462">
              <w:rPr>
                <w:noProof/>
                <w:webHidden/>
              </w:rPr>
              <w:fldChar w:fldCharType="end"/>
            </w:r>
          </w:hyperlink>
        </w:p>
        <w:p w14:paraId="5C607A09" w14:textId="1DFE2E9C" w:rsidR="009C3462" w:rsidRDefault="009C3462">
          <w:pPr>
            <w:pStyle w:val="TOC1"/>
            <w:tabs>
              <w:tab w:val="right" w:leader="dot" w:pos="9016"/>
            </w:tabs>
            <w:rPr>
              <w:rFonts w:eastAsiaTheme="minorEastAsia"/>
              <w:noProof/>
              <w:lang w:val="en-IN" w:eastAsia="en-IN"/>
            </w:rPr>
          </w:pPr>
          <w:hyperlink w:anchor="_Toc155128311" w:history="1">
            <w:r w:rsidRPr="00EB6BFB">
              <w:rPr>
                <w:rStyle w:val="Hyperlink"/>
                <w:rFonts w:ascii="Arial" w:hAnsi="Arial" w:cs="Arial"/>
                <w:b/>
                <w:bCs/>
                <w:noProof/>
              </w:rPr>
              <w:t>2. Methodology</w:t>
            </w:r>
            <w:r>
              <w:rPr>
                <w:noProof/>
                <w:webHidden/>
              </w:rPr>
              <w:tab/>
            </w:r>
            <w:r>
              <w:rPr>
                <w:noProof/>
                <w:webHidden/>
              </w:rPr>
              <w:fldChar w:fldCharType="begin"/>
            </w:r>
            <w:r>
              <w:rPr>
                <w:noProof/>
                <w:webHidden/>
              </w:rPr>
              <w:instrText xml:space="preserve"> PAGEREF _Toc155128311 \h </w:instrText>
            </w:r>
            <w:r>
              <w:rPr>
                <w:noProof/>
                <w:webHidden/>
              </w:rPr>
            </w:r>
            <w:r>
              <w:rPr>
                <w:noProof/>
                <w:webHidden/>
              </w:rPr>
              <w:fldChar w:fldCharType="separate"/>
            </w:r>
            <w:r>
              <w:rPr>
                <w:noProof/>
                <w:webHidden/>
              </w:rPr>
              <w:t>3</w:t>
            </w:r>
            <w:r>
              <w:rPr>
                <w:noProof/>
                <w:webHidden/>
              </w:rPr>
              <w:fldChar w:fldCharType="end"/>
            </w:r>
          </w:hyperlink>
        </w:p>
        <w:p w14:paraId="7C3693DE" w14:textId="0246974D" w:rsidR="009C3462" w:rsidRDefault="009C3462">
          <w:pPr>
            <w:pStyle w:val="TOC2"/>
            <w:tabs>
              <w:tab w:val="right" w:leader="dot" w:pos="9016"/>
            </w:tabs>
            <w:rPr>
              <w:rFonts w:eastAsiaTheme="minorEastAsia"/>
              <w:noProof/>
              <w:lang w:val="en-IN" w:eastAsia="en-IN"/>
            </w:rPr>
          </w:pPr>
          <w:hyperlink w:anchor="_Toc155128312" w:history="1">
            <w:r w:rsidRPr="00EB6BFB">
              <w:rPr>
                <w:rStyle w:val="Hyperlink"/>
                <w:rFonts w:ascii="Arial" w:hAnsi="Arial" w:cs="Arial"/>
                <w:b/>
                <w:bCs/>
                <w:noProof/>
              </w:rPr>
              <w:t>2.1 Research Design</w:t>
            </w:r>
            <w:r>
              <w:rPr>
                <w:noProof/>
                <w:webHidden/>
              </w:rPr>
              <w:tab/>
            </w:r>
            <w:r>
              <w:rPr>
                <w:noProof/>
                <w:webHidden/>
              </w:rPr>
              <w:fldChar w:fldCharType="begin"/>
            </w:r>
            <w:r>
              <w:rPr>
                <w:noProof/>
                <w:webHidden/>
              </w:rPr>
              <w:instrText xml:space="preserve"> PAGEREF _Toc155128312 \h </w:instrText>
            </w:r>
            <w:r>
              <w:rPr>
                <w:noProof/>
                <w:webHidden/>
              </w:rPr>
            </w:r>
            <w:r>
              <w:rPr>
                <w:noProof/>
                <w:webHidden/>
              </w:rPr>
              <w:fldChar w:fldCharType="separate"/>
            </w:r>
            <w:r>
              <w:rPr>
                <w:noProof/>
                <w:webHidden/>
              </w:rPr>
              <w:t>3</w:t>
            </w:r>
            <w:r>
              <w:rPr>
                <w:noProof/>
                <w:webHidden/>
              </w:rPr>
              <w:fldChar w:fldCharType="end"/>
            </w:r>
          </w:hyperlink>
        </w:p>
        <w:p w14:paraId="54D39B5E" w14:textId="41096705" w:rsidR="009C3462" w:rsidRDefault="009C3462">
          <w:pPr>
            <w:pStyle w:val="TOC2"/>
            <w:tabs>
              <w:tab w:val="right" w:leader="dot" w:pos="9016"/>
            </w:tabs>
            <w:rPr>
              <w:rFonts w:eastAsiaTheme="minorEastAsia"/>
              <w:noProof/>
              <w:lang w:val="en-IN" w:eastAsia="en-IN"/>
            </w:rPr>
          </w:pPr>
          <w:hyperlink w:anchor="_Toc155128313" w:history="1">
            <w:r w:rsidRPr="00EB6BFB">
              <w:rPr>
                <w:rStyle w:val="Hyperlink"/>
                <w:rFonts w:ascii="Arial" w:hAnsi="Arial" w:cs="Arial"/>
                <w:b/>
                <w:bCs/>
                <w:noProof/>
              </w:rPr>
              <w:t>2.2 Data Collection Methods</w:t>
            </w:r>
            <w:r>
              <w:rPr>
                <w:noProof/>
                <w:webHidden/>
              </w:rPr>
              <w:tab/>
            </w:r>
            <w:r>
              <w:rPr>
                <w:noProof/>
                <w:webHidden/>
              </w:rPr>
              <w:fldChar w:fldCharType="begin"/>
            </w:r>
            <w:r>
              <w:rPr>
                <w:noProof/>
                <w:webHidden/>
              </w:rPr>
              <w:instrText xml:space="preserve"> PAGEREF _Toc155128313 \h </w:instrText>
            </w:r>
            <w:r>
              <w:rPr>
                <w:noProof/>
                <w:webHidden/>
              </w:rPr>
            </w:r>
            <w:r>
              <w:rPr>
                <w:noProof/>
                <w:webHidden/>
              </w:rPr>
              <w:fldChar w:fldCharType="separate"/>
            </w:r>
            <w:r>
              <w:rPr>
                <w:noProof/>
                <w:webHidden/>
              </w:rPr>
              <w:t>4</w:t>
            </w:r>
            <w:r>
              <w:rPr>
                <w:noProof/>
                <w:webHidden/>
              </w:rPr>
              <w:fldChar w:fldCharType="end"/>
            </w:r>
          </w:hyperlink>
        </w:p>
        <w:p w14:paraId="54FC3865" w14:textId="247F9C31" w:rsidR="009C3462" w:rsidRDefault="009C3462">
          <w:pPr>
            <w:pStyle w:val="TOC2"/>
            <w:tabs>
              <w:tab w:val="right" w:leader="dot" w:pos="9016"/>
            </w:tabs>
            <w:rPr>
              <w:rFonts w:eastAsiaTheme="minorEastAsia"/>
              <w:noProof/>
              <w:lang w:val="en-IN" w:eastAsia="en-IN"/>
            </w:rPr>
          </w:pPr>
          <w:hyperlink w:anchor="_Toc155128314" w:history="1">
            <w:r w:rsidRPr="00EB6BFB">
              <w:rPr>
                <w:rStyle w:val="Hyperlink"/>
                <w:rFonts w:ascii="Arial" w:hAnsi="Arial" w:cs="Arial"/>
                <w:b/>
                <w:bCs/>
                <w:noProof/>
              </w:rPr>
              <w:t>2.3 Data Analysis Techniques</w:t>
            </w:r>
            <w:r>
              <w:rPr>
                <w:noProof/>
                <w:webHidden/>
              </w:rPr>
              <w:tab/>
            </w:r>
            <w:r>
              <w:rPr>
                <w:noProof/>
                <w:webHidden/>
              </w:rPr>
              <w:fldChar w:fldCharType="begin"/>
            </w:r>
            <w:r>
              <w:rPr>
                <w:noProof/>
                <w:webHidden/>
              </w:rPr>
              <w:instrText xml:space="preserve"> PAGEREF _Toc155128314 \h </w:instrText>
            </w:r>
            <w:r>
              <w:rPr>
                <w:noProof/>
                <w:webHidden/>
              </w:rPr>
            </w:r>
            <w:r>
              <w:rPr>
                <w:noProof/>
                <w:webHidden/>
              </w:rPr>
              <w:fldChar w:fldCharType="separate"/>
            </w:r>
            <w:r>
              <w:rPr>
                <w:noProof/>
                <w:webHidden/>
              </w:rPr>
              <w:t>4</w:t>
            </w:r>
            <w:r>
              <w:rPr>
                <w:noProof/>
                <w:webHidden/>
              </w:rPr>
              <w:fldChar w:fldCharType="end"/>
            </w:r>
          </w:hyperlink>
        </w:p>
        <w:p w14:paraId="6B0C4CF6" w14:textId="5F5C9E9B" w:rsidR="009C3462" w:rsidRDefault="009C3462">
          <w:pPr>
            <w:pStyle w:val="TOC2"/>
            <w:tabs>
              <w:tab w:val="right" w:leader="dot" w:pos="9016"/>
            </w:tabs>
            <w:rPr>
              <w:rFonts w:eastAsiaTheme="minorEastAsia"/>
              <w:noProof/>
              <w:lang w:val="en-IN" w:eastAsia="en-IN"/>
            </w:rPr>
          </w:pPr>
          <w:hyperlink w:anchor="_Toc155128315" w:history="1">
            <w:r w:rsidRPr="00EB6BFB">
              <w:rPr>
                <w:rStyle w:val="Hyperlink"/>
                <w:rFonts w:ascii="Arial" w:hAnsi="Arial" w:cs="Arial"/>
                <w:b/>
                <w:bCs/>
                <w:noProof/>
              </w:rPr>
              <w:t>2.4 Sampling Strategy</w:t>
            </w:r>
            <w:r>
              <w:rPr>
                <w:noProof/>
                <w:webHidden/>
              </w:rPr>
              <w:tab/>
            </w:r>
            <w:r>
              <w:rPr>
                <w:noProof/>
                <w:webHidden/>
              </w:rPr>
              <w:fldChar w:fldCharType="begin"/>
            </w:r>
            <w:r>
              <w:rPr>
                <w:noProof/>
                <w:webHidden/>
              </w:rPr>
              <w:instrText xml:space="preserve"> PAGEREF _Toc155128315 \h </w:instrText>
            </w:r>
            <w:r>
              <w:rPr>
                <w:noProof/>
                <w:webHidden/>
              </w:rPr>
            </w:r>
            <w:r>
              <w:rPr>
                <w:noProof/>
                <w:webHidden/>
              </w:rPr>
              <w:fldChar w:fldCharType="separate"/>
            </w:r>
            <w:r>
              <w:rPr>
                <w:noProof/>
                <w:webHidden/>
              </w:rPr>
              <w:t>4</w:t>
            </w:r>
            <w:r>
              <w:rPr>
                <w:noProof/>
                <w:webHidden/>
              </w:rPr>
              <w:fldChar w:fldCharType="end"/>
            </w:r>
          </w:hyperlink>
        </w:p>
        <w:p w14:paraId="51F16424" w14:textId="31A325BE" w:rsidR="009C3462" w:rsidRDefault="009C3462">
          <w:pPr>
            <w:pStyle w:val="TOC2"/>
            <w:tabs>
              <w:tab w:val="right" w:leader="dot" w:pos="9016"/>
            </w:tabs>
            <w:rPr>
              <w:rFonts w:eastAsiaTheme="minorEastAsia"/>
              <w:noProof/>
              <w:lang w:val="en-IN" w:eastAsia="en-IN"/>
            </w:rPr>
          </w:pPr>
          <w:hyperlink w:anchor="_Toc155128316" w:history="1">
            <w:r w:rsidRPr="00EB6BFB">
              <w:rPr>
                <w:rStyle w:val="Hyperlink"/>
                <w:rFonts w:ascii="Arial" w:hAnsi="Arial" w:cs="Arial"/>
                <w:b/>
                <w:bCs/>
                <w:noProof/>
              </w:rPr>
              <w:t>2.5 Ethical Considerations</w:t>
            </w:r>
            <w:r>
              <w:rPr>
                <w:noProof/>
                <w:webHidden/>
              </w:rPr>
              <w:tab/>
            </w:r>
            <w:r>
              <w:rPr>
                <w:noProof/>
                <w:webHidden/>
              </w:rPr>
              <w:fldChar w:fldCharType="begin"/>
            </w:r>
            <w:r>
              <w:rPr>
                <w:noProof/>
                <w:webHidden/>
              </w:rPr>
              <w:instrText xml:space="preserve"> PAGEREF _Toc155128316 \h </w:instrText>
            </w:r>
            <w:r>
              <w:rPr>
                <w:noProof/>
                <w:webHidden/>
              </w:rPr>
            </w:r>
            <w:r>
              <w:rPr>
                <w:noProof/>
                <w:webHidden/>
              </w:rPr>
              <w:fldChar w:fldCharType="separate"/>
            </w:r>
            <w:r>
              <w:rPr>
                <w:noProof/>
                <w:webHidden/>
              </w:rPr>
              <w:t>4</w:t>
            </w:r>
            <w:r>
              <w:rPr>
                <w:noProof/>
                <w:webHidden/>
              </w:rPr>
              <w:fldChar w:fldCharType="end"/>
            </w:r>
          </w:hyperlink>
        </w:p>
        <w:p w14:paraId="349B8CC6" w14:textId="5F9C5940" w:rsidR="009C3462" w:rsidRDefault="009C3462">
          <w:pPr>
            <w:pStyle w:val="TOC1"/>
            <w:tabs>
              <w:tab w:val="right" w:leader="dot" w:pos="9016"/>
            </w:tabs>
            <w:rPr>
              <w:rFonts w:eastAsiaTheme="minorEastAsia"/>
              <w:noProof/>
              <w:lang w:val="en-IN" w:eastAsia="en-IN"/>
            </w:rPr>
          </w:pPr>
          <w:hyperlink w:anchor="_Toc155128317" w:history="1">
            <w:r w:rsidRPr="00EB6BFB">
              <w:rPr>
                <w:rStyle w:val="Hyperlink"/>
                <w:rFonts w:ascii="Arial" w:hAnsi="Arial" w:cs="Arial"/>
                <w:b/>
                <w:bCs/>
                <w:noProof/>
              </w:rPr>
              <w:t>3. Aims and Objectives</w:t>
            </w:r>
            <w:r>
              <w:rPr>
                <w:noProof/>
                <w:webHidden/>
              </w:rPr>
              <w:tab/>
            </w:r>
            <w:r>
              <w:rPr>
                <w:noProof/>
                <w:webHidden/>
              </w:rPr>
              <w:fldChar w:fldCharType="begin"/>
            </w:r>
            <w:r>
              <w:rPr>
                <w:noProof/>
                <w:webHidden/>
              </w:rPr>
              <w:instrText xml:space="preserve"> PAGEREF _Toc155128317 \h </w:instrText>
            </w:r>
            <w:r>
              <w:rPr>
                <w:noProof/>
                <w:webHidden/>
              </w:rPr>
            </w:r>
            <w:r>
              <w:rPr>
                <w:noProof/>
                <w:webHidden/>
              </w:rPr>
              <w:fldChar w:fldCharType="separate"/>
            </w:r>
            <w:r>
              <w:rPr>
                <w:noProof/>
                <w:webHidden/>
              </w:rPr>
              <w:t>5</w:t>
            </w:r>
            <w:r>
              <w:rPr>
                <w:noProof/>
                <w:webHidden/>
              </w:rPr>
              <w:fldChar w:fldCharType="end"/>
            </w:r>
          </w:hyperlink>
        </w:p>
        <w:p w14:paraId="4E745DA6" w14:textId="0E162148" w:rsidR="009C3462" w:rsidRDefault="009C3462">
          <w:pPr>
            <w:pStyle w:val="TOC1"/>
            <w:tabs>
              <w:tab w:val="right" w:leader="dot" w:pos="9016"/>
            </w:tabs>
            <w:rPr>
              <w:rFonts w:eastAsiaTheme="minorEastAsia"/>
              <w:noProof/>
              <w:lang w:val="en-IN" w:eastAsia="en-IN"/>
            </w:rPr>
          </w:pPr>
          <w:hyperlink w:anchor="_Toc155128318" w:history="1">
            <w:r w:rsidRPr="00EB6BFB">
              <w:rPr>
                <w:rStyle w:val="Hyperlink"/>
                <w:rFonts w:ascii="Arial" w:hAnsi="Arial" w:cs="Arial"/>
                <w:b/>
                <w:bCs/>
                <w:noProof/>
              </w:rPr>
              <w:t>4. Literature Review</w:t>
            </w:r>
            <w:r>
              <w:rPr>
                <w:noProof/>
                <w:webHidden/>
              </w:rPr>
              <w:tab/>
            </w:r>
            <w:r>
              <w:rPr>
                <w:noProof/>
                <w:webHidden/>
              </w:rPr>
              <w:fldChar w:fldCharType="begin"/>
            </w:r>
            <w:r>
              <w:rPr>
                <w:noProof/>
                <w:webHidden/>
              </w:rPr>
              <w:instrText xml:space="preserve"> PAGEREF _Toc155128318 \h </w:instrText>
            </w:r>
            <w:r>
              <w:rPr>
                <w:noProof/>
                <w:webHidden/>
              </w:rPr>
            </w:r>
            <w:r>
              <w:rPr>
                <w:noProof/>
                <w:webHidden/>
              </w:rPr>
              <w:fldChar w:fldCharType="separate"/>
            </w:r>
            <w:r>
              <w:rPr>
                <w:noProof/>
                <w:webHidden/>
              </w:rPr>
              <w:t>6</w:t>
            </w:r>
            <w:r>
              <w:rPr>
                <w:noProof/>
                <w:webHidden/>
              </w:rPr>
              <w:fldChar w:fldCharType="end"/>
            </w:r>
          </w:hyperlink>
        </w:p>
        <w:p w14:paraId="61397B59" w14:textId="162889AB" w:rsidR="009C3462" w:rsidRDefault="009C3462">
          <w:pPr>
            <w:pStyle w:val="TOC2"/>
            <w:tabs>
              <w:tab w:val="right" w:leader="dot" w:pos="9016"/>
            </w:tabs>
            <w:rPr>
              <w:rFonts w:eastAsiaTheme="minorEastAsia"/>
              <w:noProof/>
              <w:lang w:val="en-IN" w:eastAsia="en-IN"/>
            </w:rPr>
          </w:pPr>
          <w:hyperlink w:anchor="_Toc155128319" w:history="1">
            <w:r w:rsidRPr="00EB6BFB">
              <w:rPr>
                <w:rStyle w:val="Hyperlink"/>
                <w:rFonts w:ascii="Arial" w:hAnsi="Arial" w:cs="Arial"/>
                <w:b/>
                <w:bCs/>
                <w:noProof/>
              </w:rPr>
              <w:t>4.1 Consumer Decision-Making in Electric Vehicle Adoption</w:t>
            </w:r>
            <w:r>
              <w:rPr>
                <w:noProof/>
                <w:webHidden/>
              </w:rPr>
              <w:tab/>
            </w:r>
            <w:r>
              <w:rPr>
                <w:noProof/>
                <w:webHidden/>
              </w:rPr>
              <w:fldChar w:fldCharType="begin"/>
            </w:r>
            <w:r>
              <w:rPr>
                <w:noProof/>
                <w:webHidden/>
              </w:rPr>
              <w:instrText xml:space="preserve"> PAGEREF _Toc155128319 \h </w:instrText>
            </w:r>
            <w:r>
              <w:rPr>
                <w:noProof/>
                <w:webHidden/>
              </w:rPr>
            </w:r>
            <w:r>
              <w:rPr>
                <w:noProof/>
                <w:webHidden/>
              </w:rPr>
              <w:fldChar w:fldCharType="separate"/>
            </w:r>
            <w:r>
              <w:rPr>
                <w:noProof/>
                <w:webHidden/>
              </w:rPr>
              <w:t>6</w:t>
            </w:r>
            <w:r>
              <w:rPr>
                <w:noProof/>
                <w:webHidden/>
              </w:rPr>
              <w:fldChar w:fldCharType="end"/>
            </w:r>
          </w:hyperlink>
        </w:p>
        <w:p w14:paraId="753E018F" w14:textId="2FAE315C" w:rsidR="009C3462" w:rsidRDefault="009C3462">
          <w:pPr>
            <w:pStyle w:val="TOC2"/>
            <w:tabs>
              <w:tab w:val="right" w:leader="dot" w:pos="9016"/>
            </w:tabs>
            <w:rPr>
              <w:rFonts w:eastAsiaTheme="minorEastAsia"/>
              <w:noProof/>
              <w:lang w:val="en-IN" w:eastAsia="en-IN"/>
            </w:rPr>
          </w:pPr>
          <w:hyperlink w:anchor="_Toc155128320" w:history="1">
            <w:r w:rsidRPr="00EB6BFB">
              <w:rPr>
                <w:rStyle w:val="Hyperlink"/>
                <w:rFonts w:ascii="Arial" w:hAnsi="Arial" w:cs="Arial"/>
                <w:b/>
                <w:bCs/>
                <w:noProof/>
              </w:rPr>
              <w:t>4.2 The Role of Branding and Marketing in Shaping Consumer Perceptions in the Automotive Industry</w:t>
            </w:r>
            <w:r>
              <w:rPr>
                <w:noProof/>
                <w:webHidden/>
              </w:rPr>
              <w:tab/>
            </w:r>
            <w:r>
              <w:rPr>
                <w:noProof/>
                <w:webHidden/>
              </w:rPr>
              <w:fldChar w:fldCharType="begin"/>
            </w:r>
            <w:r>
              <w:rPr>
                <w:noProof/>
                <w:webHidden/>
              </w:rPr>
              <w:instrText xml:space="preserve"> PAGEREF _Toc155128320 \h </w:instrText>
            </w:r>
            <w:r>
              <w:rPr>
                <w:noProof/>
                <w:webHidden/>
              </w:rPr>
            </w:r>
            <w:r>
              <w:rPr>
                <w:noProof/>
                <w:webHidden/>
              </w:rPr>
              <w:fldChar w:fldCharType="separate"/>
            </w:r>
            <w:r>
              <w:rPr>
                <w:noProof/>
                <w:webHidden/>
              </w:rPr>
              <w:t>7</w:t>
            </w:r>
            <w:r>
              <w:rPr>
                <w:noProof/>
                <w:webHidden/>
              </w:rPr>
              <w:fldChar w:fldCharType="end"/>
            </w:r>
          </w:hyperlink>
        </w:p>
        <w:p w14:paraId="66CED14B" w14:textId="2F279023" w:rsidR="009C3462" w:rsidRDefault="009C3462">
          <w:pPr>
            <w:pStyle w:val="TOC2"/>
            <w:tabs>
              <w:tab w:val="right" w:leader="dot" w:pos="9016"/>
            </w:tabs>
            <w:rPr>
              <w:rFonts w:eastAsiaTheme="minorEastAsia"/>
              <w:noProof/>
              <w:lang w:val="en-IN" w:eastAsia="en-IN"/>
            </w:rPr>
          </w:pPr>
          <w:hyperlink w:anchor="_Toc155128321" w:history="1">
            <w:r w:rsidRPr="00EB6BFB">
              <w:rPr>
                <w:rStyle w:val="Hyperlink"/>
                <w:rFonts w:ascii="Arial" w:hAnsi="Arial" w:cs="Arial"/>
                <w:b/>
                <w:bCs/>
                <w:noProof/>
              </w:rPr>
              <w:t>4.3 Charging Infrastructure and its Impact on Electric Vehicle Adoption</w:t>
            </w:r>
            <w:r>
              <w:rPr>
                <w:noProof/>
                <w:webHidden/>
              </w:rPr>
              <w:tab/>
            </w:r>
            <w:r>
              <w:rPr>
                <w:noProof/>
                <w:webHidden/>
              </w:rPr>
              <w:fldChar w:fldCharType="begin"/>
            </w:r>
            <w:r>
              <w:rPr>
                <w:noProof/>
                <w:webHidden/>
              </w:rPr>
              <w:instrText xml:space="preserve"> PAGEREF _Toc155128321 \h </w:instrText>
            </w:r>
            <w:r>
              <w:rPr>
                <w:noProof/>
                <w:webHidden/>
              </w:rPr>
            </w:r>
            <w:r>
              <w:rPr>
                <w:noProof/>
                <w:webHidden/>
              </w:rPr>
              <w:fldChar w:fldCharType="separate"/>
            </w:r>
            <w:r>
              <w:rPr>
                <w:noProof/>
                <w:webHidden/>
              </w:rPr>
              <w:t>8</w:t>
            </w:r>
            <w:r>
              <w:rPr>
                <w:noProof/>
                <w:webHidden/>
              </w:rPr>
              <w:fldChar w:fldCharType="end"/>
            </w:r>
          </w:hyperlink>
        </w:p>
        <w:p w14:paraId="27401E50" w14:textId="641583AD" w:rsidR="009C3462" w:rsidRDefault="009C3462">
          <w:pPr>
            <w:pStyle w:val="TOC2"/>
            <w:tabs>
              <w:tab w:val="right" w:leader="dot" w:pos="9016"/>
            </w:tabs>
            <w:rPr>
              <w:rFonts w:eastAsiaTheme="minorEastAsia"/>
              <w:noProof/>
              <w:lang w:val="en-IN" w:eastAsia="en-IN"/>
            </w:rPr>
          </w:pPr>
          <w:hyperlink w:anchor="_Toc155128322" w:history="1">
            <w:r w:rsidRPr="00EB6BFB">
              <w:rPr>
                <w:rStyle w:val="Hyperlink"/>
                <w:rFonts w:ascii="Arial" w:hAnsi="Arial" w:cs="Arial"/>
                <w:b/>
                <w:bCs/>
                <w:noProof/>
              </w:rPr>
              <w:t>4.4 Government Policies and Regulatory Frameworks Shaping the Electric Vehicle Market</w:t>
            </w:r>
            <w:r>
              <w:rPr>
                <w:noProof/>
                <w:webHidden/>
              </w:rPr>
              <w:tab/>
            </w:r>
            <w:r>
              <w:rPr>
                <w:noProof/>
                <w:webHidden/>
              </w:rPr>
              <w:fldChar w:fldCharType="begin"/>
            </w:r>
            <w:r>
              <w:rPr>
                <w:noProof/>
                <w:webHidden/>
              </w:rPr>
              <w:instrText xml:space="preserve"> PAGEREF _Toc155128322 \h </w:instrText>
            </w:r>
            <w:r>
              <w:rPr>
                <w:noProof/>
                <w:webHidden/>
              </w:rPr>
            </w:r>
            <w:r>
              <w:rPr>
                <w:noProof/>
                <w:webHidden/>
              </w:rPr>
              <w:fldChar w:fldCharType="separate"/>
            </w:r>
            <w:r>
              <w:rPr>
                <w:noProof/>
                <w:webHidden/>
              </w:rPr>
              <w:t>8</w:t>
            </w:r>
            <w:r>
              <w:rPr>
                <w:noProof/>
                <w:webHidden/>
              </w:rPr>
              <w:fldChar w:fldCharType="end"/>
            </w:r>
          </w:hyperlink>
        </w:p>
        <w:p w14:paraId="61D7A466" w14:textId="20BAE597" w:rsidR="009C3462" w:rsidRDefault="009C3462">
          <w:pPr>
            <w:pStyle w:val="TOC1"/>
            <w:tabs>
              <w:tab w:val="right" w:leader="dot" w:pos="9016"/>
            </w:tabs>
            <w:rPr>
              <w:rFonts w:eastAsiaTheme="minorEastAsia"/>
              <w:noProof/>
              <w:lang w:val="en-IN" w:eastAsia="en-IN"/>
            </w:rPr>
          </w:pPr>
          <w:hyperlink w:anchor="_Toc155128323" w:history="1">
            <w:r w:rsidRPr="00EB6BFB">
              <w:rPr>
                <w:rStyle w:val="Hyperlink"/>
                <w:rFonts w:ascii="Arial" w:hAnsi="Arial" w:cs="Arial"/>
                <w:b/>
                <w:bCs/>
                <w:noProof/>
              </w:rPr>
              <w:t>5. Limitations</w:t>
            </w:r>
            <w:r>
              <w:rPr>
                <w:noProof/>
                <w:webHidden/>
              </w:rPr>
              <w:tab/>
            </w:r>
            <w:r>
              <w:rPr>
                <w:noProof/>
                <w:webHidden/>
              </w:rPr>
              <w:fldChar w:fldCharType="begin"/>
            </w:r>
            <w:r>
              <w:rPr>
                <w:noProof/>
                <w:webHidden/>
              </w:rPr>
              <w:instrText xml:space="preserve"> PAGEREF _Toc155128323 \h </w:instrText>
            </w:r>
            <w:r>
              <w:rPr>
                <w:noProof/>
                <w:webHidden/>
              </w:rPr>
            </w:r>
            <w:r>
              <w:rPr>
                <w:noProof/>
                <w:webHidden/>
              </w:rPr>
              <w:fldChar w:fldCharType="separate"/>
            </w:r>
            <w:r>
              <w:rPr>
                <w:noProof/>
                <w:webHidden/>
              </w:rPr>
              <w:t>9</w:t>
            </w:r>
            <w:r>
              <w:rPr>
                <w:noProof/>
                <w:webHidden/>
              </w:rPr>
              <w:fldChar w:fldCharType="end"/>
            </w:r>
          </w:hyperlink>
        </w:p>
        <w:p w14:paraId="28CAC5E2" w14:textId="608563EF" w:rsidR="009C3462" w:rsidRDefault="009C3462">
          <w:pPr>
            <w:pStyle w:val="TOC1"/>
            <w:tabs>
              <w:tab w:val="right" w:leader="dot" w:pos="9016"/>
            </w:tabs>
            <w:rPr>
              <w:rFonts w:eastAsiaTheme="minorEastAsia"/>
              <w:noProof/>
              <w:lang w:val="en-IN" w:eastAsia="en-IN"/>
            </w:rPr>
          </w:pPr>
          <w:hyperlink w:anchor="_Toc155128324" w:history="1">
            <w:r w:rsidRPr="00EB6BFB">
              <w:rPr>
                <w:rStyle w:val="Hyperlink"/>
                <w:rFonts w:ascii="Arial" w:hAnsi="Arial" w:cs="Arial"/>
                <w:b/>
                <w:bCs/>
                <w:noProof/>
              </w:rPr>
              <w:t>6. Timeframe</w:t>
            </w:r>
            <w:r>
              <w:rPr>
                <w:noProof/>
                <w:webHidden/>
              </w:rPr>
              <w:tab/>
            </w:r>
            <w:r>
              <w:rPr>
                <w:noProof/>
                <w:webHidden/>
              </w:rPr>
              <w:fldChar w:fldCharType="begin"/>
            </w:r>
            <w:r>
              <w:rPr>
                <w:noProof/>
                <w:webHidden/>
              </w:rPr>
              <w:instrText xml:space="preserve"> PAGEREF _Toc155128324 \h </w:instrText>
            </w:r>
            <w:r>
              <w:rPr>
                <w:noProof/>
                <w:webHidden/>
              </w:rPr>
            </w:r>
            <w:r>
              <w:rPr>
                <w:noProof/>
                <w:webHidden/>
              </w:rPr>
              <w:fldChar w:fldCharType="separate"/>
            </w:r>
            <w:r>
              <w:rPr>
                <w:noProof/>
                <w:webHidden/>
              </w:rPr>
              <w:t>9</w:t>
            </w:r>
            <w:r>
              <w:rPr>
                <w:noProof/>
                <w:webHidden/>
              </w:rPr>
              <w:fldChar w:fldCharType="end"/>
            </w:r>
          </w:hyperlink>
        </w:p>
        <w:p w14:paraId="06162700" w14:textId="761E4FF4" w:rsidR="009C3462" w:rsidRDefault="009C3462">
          <w:pPr>
            <w:pStyle w:val="TOC1"/>
            <w:tabs>
              <w:tab w:val="right" w:leader="dot" w:pos="9016"/>
            </w:tabs>
            <w:rPr>
              <w:rFonts w:eastAsiaTheme="minorEastAsia"/>
              <w:noProof/>
              <w:lang w:val="en-IN" w:eastAsia="en-IN"/>
            </w:rPr>
          </w:pPr>
          <w:hyperlink w:anchor="_Toc155128325" w:history="1">
            <w:r w:rsidRPr="00EB6BFB">
              <w:rPr>
                <w:rStyle w:val="Hyperlink"/>
                <w:rFonts w:ascii="Arial" w:hAnsi="Arial" w:cs="Arial"/>
                <w:b/>
                <w:bCs/>
                <w:noProof/>
              </w:rPr>
              <w:t>7. Conclusion</w:t>
            </w:r>
            <w:r>
              <w:rPr>
                <w:noProof/>
                <w:webHidden/>
              </w:rPr>
              <w:tab/>
            </w:r>
            <w:r>
              <w:rPr>
                <w:noProof/>
                <w:webHidden/>
              </w:rPr>
              <w:fldChar w:fldCharType="begin"/>
            </w:r>
            <w:r>
              <w:rPr>
                <w:noProof/>
                <w:webHidden/>
              </w:rPr>
              <w:instrText xml:space="preserve"> PAGEREF _Toc155128325 \h </w:instrText>
            </w:r>
            <w:r>
              <w:rPr>
                <w:noProof/>
                <w:webHidden/>
              </w:rPr>
            </w:r>
            <w:r>
              <w:rPr>
                <w:noProof/>
                <w:webHidden/>
              </w:rPr>
              <w:fldChar w:fldCharType="separate"/>
            </w:r>
            <w:r>
              <w:rPr>
                <w:noProof/>
                <w:webHidden/>
              </w:rPr>
              <w:t>10</w:t>
            </w:r>
            <w:r>
              <w:rPr>
                <w:noProof/>
                <w:webHidden/>
              </w:rPr>
              <w:fldChar w:fldCharType="end"/>
            </w:r>
          </w:hyperlink>
        </w:p>
        <w:p w14:paraId="1AE2F1CF" w14:textId="4847E08E" w:rsidR="009C3462" w:rsidRDefault="009C3462">
          <w:pPr>
            <w:pStyle w:val="TOC1"/>
            <w:tabs>
              <w:tab w:val="right" w:leader="dot" w:pos="9016"/>
            </w:tabs>
            <w:rPr>
              <w:rFonts w:eastAsiaTheme="minorEastAsia"/>
              <w:noProof/>
              <w:lang w:val="en-IN" w:eastAsia="en-IN"/>
            </w:rPr>
          </w:pPr>
          <w:hyperlink w:anchor="_Toc155128326" w:history="1">
            <w:r w:rsidRPr="00EB6BF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_Toc155128326 \h </w:instrText>
            </w:r>
            <w:r>
              <w:rPr>
                <w:noProof/>
                <w:webHidden/>
              </w:rPr>
            </w:r>
            <w:r>
              <w:rPr>
                <w:noProof/>
                <w:webHidden/>
              </w:rPr>
              <w:fldChar w:fldCharType="separate"/>
            </w:r>
            <w:r>
              <w:rPr>
                <w:noProof/>
                <w:webHidden/>
              </w:rPr>
              <w:t>11</w:t>
            </w:r>
            <w:r>
              <w:rPr>
                <w:noProof/>
                <w:webHidden/>
              </w:rPr>
              <w:fldChar w:fldCharType="end"/>
            </w:r>
          </w:hyperlink>
        </w:p>
        <w:p w14:paraId="771AA87D" w14:textId="0F635EA1" w:rsidR="00C24527" w:rsidRDefault="00C24527">
          <w:r>
            <w:rPr>
              <w:b/>
              <w:bCs/>
              <w:noProof/>
            </w:rPr>
            <w:fldChar w:fldCharType="end"/>
          </w:r>
        </w:p>
      </w:sdtContent>
    </w:sdt>
    <w:p w14:paraId="7C56BD9B" w14:textId="488FB7B6" w:rsidR="00C24527" w:rsidRDefault="00C24527" w:rsidP="00C24527">
      <w:pPr>
        <w:pStyle w:val="Heading1"/>
        <w:rPr>
          <w:rFonts w:ascii="Arial" w:hAnsi="Arial" w:cs="Arial"/>
          <w:b/>
          <w:bCs/>
          <w:sz w:val="24"/>
          <w:szCs w:val="24"/>
        </w:rPr>
      </w:pPr>
    </w:p>
    <w:p w14:paraId="0FA8F811" w14:textId="77777777" w:rsidR="00C24527" w:rsidRDefault="00C24527" w:rsidP="00C24527"/>
    <w:p w14:paraId="4884140B" w14:textId="77777777" w:rsidR="00C24527" w:rsidRDefault="00C24527" w:rsidP="00C24527"/>
    <w:p w14:paraId="6165FE0B" w14:textId="77777777" w:rsidR="00C24527" w:rsidRDefault="00C24527" w:rsidP="00C24527"/>
    <w:p w14:paraId="16E66BA4" w14:textId="77777777" w:rsidR="00C24527" w:rsidRDefault="00C24527" w:rsidP="00C24527"/>
    <w:p w14:paraId="1EBA43F6" w14:textId="77777777" w:rsidR="00C24527" w:rsidRDefault="00C24527" w:rsidP="00C24527"/>
    <w:p w14:paraId="22F47B38" w14:textId="77777777" w:rsidR="003C6EC3" w:rsidRDefault="003C6EC3" w:rsidP="00C24527"/>
    <w:p w14:paraId="49BB2FAF" w14:textId="77777777" w:rsidR="003C6EC3" w:rsidRDefault="003C6EC3" w:rsidP="00C24527"/>
    <w:p w14:paraId="6C723AAD" w14:textId="77777777" w:rsidR="003C6EC3" w:rsidRDefault="003C6EC3" w:rsidP="00C24527"/>
    <w:p w14:paraId="01CFEC9C" w14:textId="77777777" w:rsidR="003C6EC3" w:rsidRDefault="003C6EC3" w:rsidP="00C24527"/>
    <w:p w14:paraId="539973DE" w14:textId="77777777" w:rsidR="003C6EC3" w:rsidRDefault="003C6EC3" w:rsidP="00C24527"/>
    <w:p w14:paraId="49624678" w14:textId="77777777" w:rsidR="00C24527" w:rsidRPr="00C24527" w:rsidRDefault="00C24527" w:rsidP="00C24527"/>
    <w:p w14:paraId="4107202A" w14:textId="227B4001" w:rsidR="00C24527" w:rsidRPr="006B4129" w:rsidRDefault="00C24527" w:rsidP="006B4129">
      <w:pPr>
        <w:pStyle w:val="Heading1"/>
        <w:spacing w:line="360" w:lineRule="auto"/>
        <w:jc w:val="both"/>
        <w:rPr>
          <w:rFonts w:ascii="Arial" w:hAnsi="Arial" w:cs="Arial"/>
          <w:b/>
          <w:bCs/>
          <w:sz w:val="24"/>
          <w:szCs w:val="24"/>
        </w:rPr>
      </w:pPr>
      <w:bookmarkStart w:id="0" w:name="_Toc155128310"/>
      <w:r w:rsidRPr="006B4129">
        <w:rPr>
          <w:rFonts w:ascii="Arial" w:hAnsi="Arial" w:cs="Arial"/>
          <w:b/>
          <w:bCs/>
          <w:sz w:val="24"/>
          <w:szCs w:val="24"/>
        </w:rPr>
        <w:lastRenderedPageBreak/>
        <w:t>1. Introduction</w:t>
      </w:r>
      <w:bookmarkEnd w:id="0"/>
    </w:p>
    <w:p w14:paraId="6589AE8A" w14:textId="77777777" w:rsidR="006779D8" w:rsidRPr="006B4129" w:rsidRDefault="006779D8" w:rsidP="006B4129">
      <w:pPr>
        <w:pStyle w:val="NormalWeb"/>
        <w:spacing w:line="360" w:lineRule="auto"/>
        <w:jc w:val="both"/>
        <w:rPr>
          <w:rFonts w:ascii="Arial" w:hAnsi="Arial" w:cs="Arial"/>
        </w:rPr>
      </w:pPr>
      <w:r w:rsidRPr="006B4129">
        <w:rPr>
          <w:rFonts w:ascii="Arial" w:hAnsi="Arial" w:cs="Arial"/>
        </w:rPr>
        <w:t>In the ever-evolving landscape of the automotive industry, the paradigm shift towards sustainable and eco-friendly transportation has become increasingly palpable. Within this transformative milieu, electric vehicles (EVs) have emerged as pivotal contributors to a future marked by reduced environmental impact and enhanced energy efficiency. The United Kingdom, aligning with global efforts, has witnessed a surge in the adoption of EVs, with Tesla, a trailblazer in electric mobility, playing a distinctive role in this transition. This dissertation, titled "Charging Ahead: Assessing and Validating Tesla's Competitive Advantage in the UK Auto Industry through Comprehensive Surveys," embarks on a nuanced exploration of Tesla's competitive standing within the dynamic UK automotive market.</w:t>
      </w:r>
    </w:p>
    <w:p w14:paraId="6DF9DBDE" w14:textId="08A6E062" w:rsidR="006779D8" w:rsidRPr="006B4129" w:rsidRDefault="006779D8" w:rsidP="006B4129">
      <w:pPr>
        <w:pStyle w:val="NormalWeb"/>
        <w:spacing w:line="360" w:lineRule="auto"/>
        <w:jc w:val="both"/>
        <w:rPr>
          <w:rFonts w:ascii="Arial" w:hAnsi="Arial" w:cs="Arial"/>
        </w:rPr>
      </w:pPr>
      <w:r w:rsidRPr="006B4129">
        <w:rPr>
          <w:rFonts w:ascii="Arial" w:hAnsi="Arial" w:cs="Arial"/>
        </w:rPr>
        <w:t>As the demand for EVs continues to escalate, understanding the intricate dynamics that shape consumer preferences and influence purchasing decisions is paramount. By employing surveys as the primary instrument of investigation, this study seeks to meticulously dissect the multifaceted factors that underpin Tesla's competitive advantage. These factors include, but are not limited to, consumer perceptions, the intricate interplay of charging infrastructure on decision-making processes, the efficacy of Tesla's branding and marketing strategies, and the alignment of the company's approaches with the intricate tapestry of government policies and regulations.</w:t>
      </w:r>
    </w:p>
    <w:p w14:paraId="4969B630" w14:textId="34089BB8" w:rsidR="00C24527" w:rsidRPr="006B4129" w:rsidRDefault="00C24527" w:rsidP="006B4129">
      <w:pPr>
        <w:pStyle w:val="Heading1"/>
        <w:spacing w:line="360" w:lineRule="auto"/>
        <w:jc w:val="both"/>
        <w:rPr>
          <w:rFonts w:ascii="Arial" w:hAnsi="Arial" w:cs="Arial"/>
          <w:b/>
          <w:bCs/>
          <w:sz w:val="24"/>
          <w:szCs w:val="24"/>
        </w:rPr>
      </w:pPr>
      <w:bookmarkStart w:id="1" w:name="_Toc155128311"/>
      <w:r w:rsidRPr="006B4129">
        <w:rPr>
          <w:rFonts w:ascii="Arial" w:hAnsi="Arial" w:cs="Arial"/>
          <w:b/>
          <w:bCs/>
          <w:sz w:val="24"/>
          <w:szCs w:val="24"/>
        </w:rPr>
        <w:t>2. Methodology</w:t>
      </w:r>
      <w:bookmarkEnd w:id="1"/>
    </w:p>
    <w:p w14:paraId="777F1B7D" w14:textId="1947479A" w:rsidR="00C24527" w:rsidRPr="006B4129" w:rsidRDefault="00C24527" w:rsidP="006B4129">
      <w:pPr>
        <w:pStyle w:val="Heading2"/>
        <w:spacing w:before="240" w:line="360" w:lineRule="auto"/>
        <w:jc w:val="both"/>
        <w:rPr>
          <w:rFonts w:ascii="Arial" w:hAnsi="Arial" w:cs="Arial"/>
          <w:b/>
          <w:bCs/>
          <w:sz w:val="24"/>
          <w:szCs w:val="24"/>
        </w:rPr>
      </w:pPr>
      <w:bookmarkStart w:id="2" w:name="_Toc155128312"/>
      <w:r w:rsidRPr="006B4129">
        <w:rPr>
          <w:rFonts w:ascii="Arial" w:hAnsi="Arial" w:cs="Arial"/>
          <w:b/>
          <w:bCs/>
          <w:sz w:val="24"/>
          <w:szCs w:val="24"/>
        </w:rPr>
        <w:t>2.1 Research Design</w:t>
      </w:r>
      <w:bookmarkEnd w:id="2"/>
    </w:p>
    <w:p w14:paraId="0863256A" w14:textId="0DBF634C" w:rsidR="006779D8" w:rsidRPr="006B4129" w:rsidRDefault="006779D8" w:rsidP="006B4129">
      <w:pPr>
        <w:pStyle w:val="NormalWeb"/>
        <w:spacing w:line="360" w:lineRule="auto"/>
        <w:jc w:val="both"/>
        <w:rPr>
          <w:rFonts w:ascii="Arial" w:hAnsi="Arial" w:cs="Arial"/>
        </w:rPr>
      </w:pPr>
      <w:r w:rsidRPr="006B4129">
        <w:rPr>
          <w:rFonts w:ascii="Arial" w:hAnsi="Arial" w:cs="Arial"/>
        </w:rPr>
        <w:t>A quantitative</w:t>
      </w:r>
      <w:r w:rsidR="00A8113A">
        <w:rPr>
          <w:rFonts w:ascii="Arial" w:hAnsi="Arial" w:cs="Arial"/>
        </w:rPr>
        <w:t xml:space="preserve"> approach</w:t>
      </w:r>
      <w:r w:rsidRPr="006B4129">
        <w:rPr>
          <w:rFonts w:ascii="Arial" w:hAnsi="Arial" w:cs="Arial"/>
        </w:rPr>
        <w:t xml:space="preserve">, has been chosen to provide a comprehensive and nuanced understanding of the diverse factors influencing consumer perceptions and the competitive landscape. The quantitative strand of the research design will predominantly rely on structured questions in the form of multiple-choice (MCQ) and Likert scale queries embedded within the survey instrument. These methods are instrumental in systematically gathering numerical data, offering quantifiable insights into consumer preferences, decision-making patterns, and the perceived value of Tesla in comparison to other players in the market. The structured nature of these </w:t>
      </w:r>
      <w:r w:rsidRPr="006B4129">
        <w:rPr>
          <w:rFonts w:ascii="Arial" w:hAnsi="Arial" w:cs="Arial"/>
        </w:rPr>
        <w:lastRenderedPageBreak/>
        <w:t>questions facilitates the analysis necessary for discerning patterns, trends, and correlations within the data.</w:t>
      </w:r>
    </w:p>
    <w:p w14:paraId="624E7242" w14:textId="6D5FCC20" w:rsidR="00C24527" w:rsidRPr="006B4129" w:rsidRDefault="00C24527" w:rsidP="006B4129">
      <w:pPr>
        <w:pStyle w:val="Heading2"/>
        <w:spacing w:before="240" w:line="360" w:lineRule="auto"/>
        <w:jc w:val="both"/>
        <w:rPr>
          <w:rFonts w:ascii="Arial" w:hAnsi="Arial" w:cs="Arial"/>
          <w:b/>
          <w:bCs/>
          <w:sz w:val="24"/>
          <w:szCs w:val="24"/>
        </w:rPr>
      </w:pPr>
      <w:bookmarkStart w:id="3" w:name="_Toc155128313"/>
      <w:r w:rsidRPr="006B4129">
        <w:rPr>
          <w:rFonts w:ascii="Arial" w:hAnsi="Arial" w:cs="Arial"/>
          <w:b/>
          <w:bCs/>
          <w:sz w:val="24"/>
          <w:szCs w:val="24"/>
        </w:rPr>
        <w:t>2.2 Data Collection Methods</w:t>
      </w:r>
      <w:bookmarkEnd w:id="3"/>
    </w:p>
    <w:p w14:paraId="79A80AD7" w14:textId="5B97199A" w:rsidR="006779D8" w:rsidRPr="006B4129" w:rsidRDefault="006779D8" w:rsidP="00A8113A">
      <w:pPr>
        <w:pStyle w:val="NormalWeb"/>
        <w:spacing w:line="360" w:lineRule="auto"/>
        <w:jc w:val="both"/>
        <w:rPr>
          <w:rFonts w:ascii="Arial" w:hAnsi="Arial" w:cs="Arial"/>
        </w:rPr>
      </w:pPr>
      <w:r w:rsidRPr="006B4129">
        <w:rPr>
          <w:rFonts w:ascii="Arial" w:hAnsi="Arial" w:cs="Arial"/>
        </w:rPr>
        <w:t xml:space="preserve">The data collection for this research will be conducted through a survey using Microsoft Forms, catering to the specific context of the UK automotive market. Microsoft Forms offers a versatile and user-friendly platform that aligns seamlessly with the survey objectives, allowing for a systematic gathering of both quantitative and qualitative data. The survey will feature a structured section comprising multiple-choice questions (MCQs) and Likert scale inquiries. </w:t>
      </w:r>
    </w:p>
    <w:p w14:paraId="768244E2" w14:textId="2D1BBF56" w:rsidR="00C24527" w:rsidRPr="006B4129" w:rsidRDefault="00C24527" w:rsidP="006B4129">
      <w:pPr>
        <w:pStyle w:val="Heading2"/>
        <w:spacing w:before="240" w:line="360" w:lineRule="auto"/>
        <w:jc w:val="both"/>
        <w:rPr>
          <w:rFonts w:ascii="Arial" w:hAnsi="Arial" w:cs="Arial"/>
          <w:b/>
          <w:bCs/>
          <w:sz w:val="24"/>
          <w:szCs w:val="24"/>
        </w:rPr>
      </w:pPr>
      <w:bookmarkStart w:id="4" w:name="_Toc155128314"/>
      <w:r w:rsidRPr="006B4129">
        <w:rPr>
          <w:rFonts w:ascii="Arial" w:hAnsi="Arial" w:cs="Arial"/>
          <w:b/>
          <w:bCs/>
          <w:sz w:val="24"/>
          <w:szCs w:val="24"/>
        </w:rPr>
        <w:t>2.3 Data Analysis Techniques</w:t>
      </w:r>
      <w:bookmarkEnd w:id="4"/>
    </w:p>
    <w:p w14:paraId="6EFD0704" w14:textId="7ABDB05F" w:rsidR="006779D8" w:rsidRPr="006B4129" w:rsidRDefault="00A8113A" w:rsidP="006B4129">
      <w:pPr>
        <w:pStyle w:val="NormalWeb"/>
        <w:spacing w:line="360" w:lineRule="auto"/>
        <w:jc w:val="both"/>
        <w:rPr>
          <w:rFonts w:ascii="Arial" w:hAnsi="Arial" w:cs="Arial"/>
        </w:rPr>
      </w:pPr>
      <w:r>
        <w:rPr>
          <w:rFonts w:ascii="Arial" w:hAnsi="Arial" w:cs="Arial"/>
        </w:rPr>
        <w:t xml:space="preserve">The </w:t>
      </w:r>
      <w:r w:rsidR="006779D8" w:rsidRPr="006B4129">
        <w:rPr>
          <w:rFonts w:ascii="Arial" w:hAnsi="Arial" w:cs="Arial"/>
        </w:rPr>
        <w:t xml:space="preserve">data gathered through multiple-choice questions (MCQs) and Likert scales will be subjected to </w:t>
      </w:r>
      <w:r w:rsidR="00256D06">
        <w:rPr>
          <w:rFonts w:ascii="Arial" w:hAnsi="Arial" w:cs="Arial"/>
        </w:rPr>
        <w:t>quantitative</w:t>
      </w:r>
      <w:r w:rsidR="006779D8" w:rsidRPr="006B4129">
        <w:rPr>
          <w:rFonts w:ascii="Arial" w:hAnsi="Arial" w:cs="Arial"/>
        </w:rPr>
        <w:t xml:space="preserve"> analysis. </w:t>
      </w:r>
      <w:r w:rsidRPr="006B4129">
        <w:rPr>
          <w:rFonts w:ascii="Arial" w:hAnsi="Arial" w:cs="Arial"/>
        </w:rPr>
        <w:t>Bar charts</w:t>
      </w:r>
      <w:r w:rsidR="006779D8" w:rsidRPr="006B4129">
        <w:rPr>
          <w:rFonts w:ascii="Arial" w:hAnsi="Arial" w:cs="Arial"/>
        </w:rPr>
        <w:t xml:space="preserve"> and graphs will be utilized to visually represent and compare the distribution of responses, facilitating a clearer understanding of patterns and trends within the dataset. </w:t>
      </w:r>
    </w:p>
    <w:p w14:paraId="7E999C6A" w14:textId="153D2417" w:rsidR="00C24527" w:rsidRPr="006B4129" w:rsidRDefault="00C24527" w:rsidP="006B4129">
      <w:pPr>
        <w:pStyle w:val="Heading2"/>
        <w:spacing w:before="240" w:line="360" w:lineRule="auto"/>
        <w:jc w:val="both"/>
        <w:rPr>
          <w:rFonts w:ascii="Arial" w:hAnsi="Arial" w:cs="Arial"/>
          <w:b/>
          <w:bCs/>
          <w:sz w:val="24"/>
          <w:szCs w:val="24"/>
        </w:rPr>
      </w:pPr>
      <w:bookmarkStart w:id="5" w:name="_Toc155128315"/>
      <w:r w:rsidRPr="006B4129">
        <w:rPr>
          <w:rFonts w:ascii="Arial" w:hAnsi="Arial" w:cs="Arial"/>
          <w:b/>
          <w:bCs/>
          <w:sz w:val="24"/>
          <w:szCs w:val="24"/>
        </w:rPr>
        <w:t>2.4 Sampling Strategy</w:t>
      </w:r>
      <w:bookmarkEnd w:id="5"/>
    </w:p>
    <w:p w14:paraId="24C47192" w14:textId="7755F766" w:rsidR="006779D8" w:rsidRPr="006B4129" w:rsidRDefault="006779D8" w:rsidP="006B4129">
      <w:pPr>
        <w:pStyle w:val="NormalWeb"/>
        <w:spacing w:line="360" w:lineRule="auto"/>
        <w:jc w:val="both"/>
        <w:rPr>
          <w:rFonts w:ascii="Arial" w:hAnsi="Arial" w:cs="Arial"/>
        </w:rPr>
      </w:pPr>
      <w:r w:rsidRPr="006B4129">
        <w:rPr>
          <w:rFonts w:ascii="Arial" w:hAnsi="Arial" w:cs="Arial"/>
        </w:rPr>
        <w:t xml:space="preserve">A stratified random sampling approach will be employed to categorize the population into distinct </w:t>
      </w:r>
      <w:r w:rsidR="00256D06">
        <w:rPr>
          <w:rFonts w:ascii="Arial" w:hAnsi="Arial" w:cs="Arial"/>
        </w:rPr>
        <w:t>groups</w:t>
      </w:r>
      <w:r w:rsidRPr="006B4129">
        <w:rPr>
          <w:rFonts w:ascii="Arial" w:hAnsi="Arial" w:cs="Arial"/>
        </w:rPr>
        <w:t xml:space="preserve"> based on relevant demographic variables, such as age, gender, geographical location, and prior experience with electric vehicles. This strategy ensures that each stratum</w:t>
      </w:r>
      <w:r w:rsidR="00256D06">
        <w:rPr>
          <w:rFonts w:ascii="Arial" w:hAnsi="Arial" w:cs="Arial"/>
        </w:rPr>
        <w:t xml:space="preserve"> or group</w:t>
      </w:r>
      <w:r w:rsidRPr="006B4129">
        <w:rPr>
          <w:rFonts w:ascii="Arial" w:hAnsi="Arial" w:cs="Arial"/>
        </w:rPr>
        <w:t xml:space="preserve"> is adequately represented, allowing for a more nuanced understanding of how different demographic factors may influence perceptions and preferences related to Tesla's competitive advantage.</w:t>
      </w:r>
    </w:p>
    <w:p w14:paraId="66129AB2" w14:textId="1620BDA7" w:rsidR="00C24527" w:rsidRPr="006B4129" w:rsidRDefault="00C24527" w:rsidP="006B4129">
      <w:pPr>
        <w:pStyle w:val="Heading2"/>
        <w:spacing w:before="240" w:line="360" w:lineRule="auto"/>
        <w:jc w:val="both"/>
        <w:rPr>
          <w:rFonts w:ascii="Arial" w:hAnsi="Arial" w:cs="Arial"/>
          <w:b/>
          <w:bCs/>
          <w:sz w:val="24"/>
          <w:szCs w:val="24"/>
        </w:rPr>
      </w:pPr>
      <w:bookmarkStart w:id="6" w:name="_Toc155128316"/>
      <w:r w:rsidRPr="006B4129">
        <w:rPr>
          <w:rFonts w:ascii="Arial" w:hAnsi="Arial" w:cs="Arial"/>
          <w:b/>
          <w:bCs/>
          <w:sz w:val="24"/>
          <w:szCs w:val="24"/>
        </w:rPr>
        <w:t>2.5 Ethical Considerations</w:t>
      </w:r>
      <w:bookmarkEnd w:id="6"/>
    </w:p>
    <w:p w14:paraId="165FA630" w14:textId="77777777" w:rsidR="006779D8" w:rsidRPr="006B4129" w:rsidRDefault="006779D8" w:rsidP="006B4129">
      <w:pPr>
        <w:pStyle w:val="NormalWeb"/>
        <w:spacing w:line="360" w:lineRule="auto"/>
        <w:jc w:val="both"/>
        <w:rPr>
          <w:rFonts w:ascii="Arial" w:hAnsi="Arial" w:cs="Arial"/>
        </w:rPr>
      </w:pPr>
      <w:r w:rsidRPr="006B4129">
        <w:rPr>
          <w:rFonts w:ascii="Arial" w:hAnsi="Arial" w:cs="Arial"/>
        </w:rPr>
        <w:t>Ensuring ethical conduct throughout the research process is of paramount importance. An ethical form, to be completed and signed by both the researcher and the supervisor, will serve as a formal commitment to upholding ethical standards in the study. The anonymity of survey participants will be rigorously maintained, and stringent measures will be implemented to securely store the collected data.</w:t>
      </w:r>
    </w:p>
    <w:p w14:paraId="6E77403F" w14:textId="77777777" w:rsidR="006779D8" w:rsidRPr="006B4129" w:rsidRDefault="006779D8" w:rsidP="006B4129">
      <w:pPr>
        <w:pStyle w:val="NormalWeb"/>
        <w:spacing w:line="360" w:lineRule="auto"/>
        <w:jc w:val="both"/>
        <w:rPr>
          <w:rFonts w:ascii="Arial" w:hAnsi="Arial" w:cs="Arial"/>
        </w:rPr>
      </w:pPr>
      <w:r w:rsidRPr="006B4129">
        <w:rPr>
          <w:rFonts w:ascii="Arial" w:hAnsi="Arial" w:cs="Arial"/>
        </w:rPr>
        <w:lastRenderedPageBreak/>
        <w:t>The ethical form will encompass a comprehensive overview of the ethical principles governing the research, including informed consent, voluntary participation, confidentiality, and the right to withdraw from the study at any point without consequence. This form will also address potential risks and benefits associated with participation, providing participants with a clear understanding of their involvement in the research.</w:t>
      </w:r>
    </w:p>
    <w:p w14:paraId="6FE8B5A8" w14:textId="77777777" w:rsidR="006779D8" w:rsidRPr="006B4129" w:rsidRDefault="006779D8" w:rsidP="006B4129">
      <w:pPr>
        <w:pStyle w:val="NormalWeb"/>
        <w:spacing w:line="360" w:lineRule="auto"/>
        <w:jc w:val="both"/>
        <w:rPr>
          <w:rFonts w:ascii="Arial" w:hAnsi="Arial" w:cs="Arial"/>
        </w:rPr>
      </w:pPr>
      <w:r w:rsidRPr="006B4129">
        <w:rPr>
          <w:rFonts w:ascii="Arial" w:hAnsi="Arial" w:cs="Arial"/>
        </w:rPr>
        <w:t xml:space="preserve">In terms of anonymity, participants will not be required to provide any personally identifiable information. Survey responses will be aggregated and </w:t>
      </w:r>
      <w:proofErr w:type="spellStart"/>
      <w:r w:rsidRPr="006B4129">
        <w:rPr>
          <w:rFonts w:ascii="Arial" w:hAnsi="Arial" w:cs="Arial"/>
        </w:rPr>
        <w:t>analyzed</w:t>
      </w:r>
      <w:proofErr w:type="spellEnd"/>
      <w:r w:rsidRPr="006B4129">
        <w:rPr>
          <w:rFonts w:ascii="Arial" w:hAnsi="Arial" w:cs="Arial"/>
        </w:rPr>
        <w:t xml:space="preserve"> collectively, ensuring that individual responses cannot be traced back to specific participants. This anonymity fosters a sense of security among participants, promoting candid and truthful responses.</w:t>
      </w:r>
    </w:p>
    <w:p w14:paraId="3C9BB901" w14:textId="61C42CD4" w:rsidR="006779D8" w:rsidRPr="006B4129" w:rsidRDefault="006779D8" w:rsidP="006B4129">
      <w:pPr>
        <w:pStyle w:val="NormalWeb"/>
        <w:spacing w:line="360" w:lineRule="auto"/>
        <w:jc w:val="both"/>
        <w:rPr>
          <w:rFonts w:ascii="Arial" w:hAnsi="Arial" w:cs="Arial"/>
        </w:rPr>
      </w:pPr>
      <w:r w:rsidRPr="006B4129">
        <w:rPr>
          <w:rFonts w:ascii="Arial" w:hAnsi="Arial" w:cs="Arial"/>
        </w:rPr>
        <w:t>To safeguard the confidentiality of data, secure storage measures will be implemented. The collected data will be stored on password-protected servers, accessible only to the research team. Access to the data will be restricted, and any personally identifiable information, even if inadvertently collected, will be promptly anonymized or deleted.</w:t>
      </w:r>
    </w:p>
    <w:p w14:paraId="21920627" w14:textId="6341F391" w:rsidR="00C24527" w:rsidRPr="006B4129" w:rsidRDefault="00C24527" w:rsidP="006B4129">
      <w:pPr>
        <w:pStyle w:val="Heading1"/>
        <w:spacing w:line="360" w:lineRule="auto"/>
        <w:jc w:val="both"/>
        <w:rPr>
          <w:rFonts w:ascii="Arial" w:hAnsi="Arial" w:cs="Arial"/>
          <w:b/>
          <w:bCs/>
          <w:sz w:val="24"/>
          <w:szCs w:val="24"/>
        </w:rPr>
      </w:pPr>
      <w:bookmarkStart w:id="7" w:name="_Toc155128317"/>
      <w:r w:rsidRPr="006B4129">
        <w:rPr>
          <w:rFonts w:ascii="Arial" w:hAnsi="Arial" w:cs="Arial"/>
          <w:b/>
          <w:bCs/>
          <w:sz w:val="24"/>
          <w:szCs w:val="24"/>
        </w:rPr>
        <w:t>3. Aims and Objectives</w:t>
      </w:r>
      <w:bookmarkEnd w:id="7"/>
    </w:p>
    <w:p w14:paraId="3A51C0C8" w14:textId="77777777" w:rsidR="00C24527" w:rsidRPr="006B4129" w:rsidRDefault="00C24527" w:rsidP="006B4129">
      <w:pPr>
        <w:spacing w:before="240" w:after="100" w:afterAutospacing="1" w:line="360" w:lineRule="auto"/>
        <w:jc w:val="both"/>
        <w:rPr>
          <w:rFonts w:ascii="Arial" w:eastAsia="Times New Roman" w:hAnsi="Arial" w:cs="Arial"/>
          <w:kern w:val="0"/>
          <w:sz w:val="24"/>
          <w:szCs w:val="24"/>
          <w:lang w:val="en-IN" w:eastAsia="en-IN"/>
          <w14:ligatures w14:val="none"/>
        </w:rPr>
      </w:pPr>
      <w:r w:rsidRPr="006B4129">
        <w:rPr>
          <w:rFonts w:ascii="Arial" w:eastAsia="Times New Roman" w:hAnsi="Arial" w:cs="Arial"/>
          <w:b/>
          <w:bCs/>
          <w:kern w:val="0"/>
          <w:sz w:val="24"/>
          <w:szCs w:val="24"/>
          <w:lang w:val="en-IN" w:eastAsia="en-IN"/>
          <w14:ligatures w14:val="none"/>
        </w:rPr>
        <w:t>Research Questions (RQs)</w:t>
      </w:r>
    </w:p>
    <w:p w14:paraId="12A6C026" w14:textId="77777777" w:rsidR="00716897" w:rsidRPr="006B4129" w:rsidRDefault="00716897" w:rsidP="006B4129">
      <w:pPr>
        <w:pStyle w:val="ListParagraph"/>
        <w:numPr>
          <w:ilvl w:val="0"/>
          <w:numId w:val="9"/>
        </w:numPr>
        <w:spacing w:before="240" w:after="100" w:afterAutospacing="1" w:line="360" w:lineRule="auto"/>
        <w:jc w:val="both"/>
        <w:rPr>
          <w:rFonts w:ascii="Arial" w:eastAsia="Times New Roman" w:hAnsi="Arial" w:cs="Arial"/>
          <w:kern w:val="0"/>
          <w:sz w:val="24"/>
          <w:szCs w:val="24"/>
          <w:lang w:val="en-IN" w:eastAsia="en-IN"/>
          <w14:ligatures w14:val="none"/>
        </w:rPr>
      </w:pPr>
      <w:r w:rsidRPr="006B4129">
        <w:rPr>
          <w:rFonts w:ascii="Arial" w:eastAsia="Times New Roman" w:hAnsi="Arial" w:cs="Arial"/>
          <w:kern w:val="0"/>
          <w:sz w:val="24"/>
          <w:szCs w:val="24"/>
          <w:lang w:val="en-IN" w:eastAsia="en-IN"/>
          <w14:ligatures w14:val="none"/>
        </w:rPr>
        <w:t>How do UK consumers prioritize factors such as brand image, technology, and environmental considerations when making purchasing decisions in the electric vehicle (EV) market, and how does this impact Tesla's competitive advantage?</w:t>
      </w:r>
    </w:p>
    <w:p w14:paraId="22263C10" w14:textId="77777777" w:rsidR="00716897" w:rsidRPr="006B4129" w:rsidRDefault="00716897" w:rsidP="006B4129">
      <w:pPr>
        <w:pStyle w:val="ListParagraph"/>
        <w:numPr>
          <w:ilvl w:val="0"/>
          <w:numId w:val="9"/>
        </w:numPr>
        <w:spacing w:before="240" w:after="100" w:afterAutospacing="1" w:line="360" w:lineRule="auto"/>
        <w:jc w:val="both"/>
        <w:rPr>
          <w:rFonts w:ascii="Arial" w:eastAsia="Times New Roman" w:hAnsi="Arial" w:cs="Arial"/>
          <w:kern w:val="0"/>
          <w:sz w:val="24"/>
          <w:szCs w:val="24"/>
          <w:lang w:val="en-IN" w:eastAsia="en-IN"/>
          <w14:ligatures w14:val="none"/>
        </w:rPr>
      </w:pPr>
      <w:r w:rsidRPr="006B4129">
        <w:rPr>
          <w:rFonts w:ascii="Arial" w:eastAsia="Times New Roman" w:hAnsi="Arial" w:cs="Arial"/>
          <w:kern w:val="0"/>
          <w:sz w:val="24"/>
          <w:szCs w:val="24"/>
          <w:lang w:val="en-IN" w:eastAsia="en-IN"/>
          <w14:ligatures w14:val="none"/>
        </w:rPr>
        <w:t>To what extent does the accessibility and satisfaction with electric vehicle charging infrastructure influence consumers' likelihood to choose Tesla over other electric or traditional vehicles, and how does this impact Tesla's competitive position in the UK auto industry?</w:t>
      </w:r>
    </w:p>
    <w:p w14:paraId="60268C1F" w14:textId="77777777" w:rsidR="00C24527" w:rsidRPr="006B4129" w:rsidRDefault="00C24527" w:rsidP="006B4129">
      <w:pPr>
        <w:spacing w:before="240" w:after="100" w:afterAutospacing="1" w:line="360" w:lineRule="auto"/>
        <w:jc w:val="both"/>
        <w:rPr>
          <w:rFonts w:ascii="Arial" w:eastAsia="Times New Roman" w:hAnsi="Arial" w:cs="Arial"/>
          <w:b/>
          <w:bCs/>
          <w:kern w:val="0"/>
          <w:sz w:val="24"/>
          <w:szCs w:val="24"/>
          <w:lang w:val="en-IN" w:eastAsia="en-IN"/>
          <w14:ligatures w14:val="none"/>
        </w:rPr>
      </w:pPr>
      <w:r w:rsidRPr="006B4129">
        <w:rPr>
          <w:rFonts w:ascii="Arial" w:eastAsia="Times New Roman" w:hAnsi="Arial" w:cs="Arial"/>
          <w:b/>
          <w:bCs/>
          <w:kern w:val="0"/>
          <w:sz w:val="24"/>
          <w:szCs w:val="24"/>
          <w:lang w:val="en-IN" w:eastAsia="en-IN"/>
          <w14:ligatures w14:val="none"/>
        </w:rPr>
        <w:t>Research Objectives (ROs)</w:t>
      </w:r>
    </w:p>
    <w:p w14:paraId="29F90EC6" w14:textId="23069762" w:rsidR="00716897" w:rsidRPr="006B4129" w:rsidRDefault="00716897" w:rsidP="006B4129">
      <w:pPr>
        <w:pStyle w:val="ListParagraph"/>
        <w:numPr>
          <w:ilvl w:val="0"/>
          <w:numId w:val="8"/>
        </w:numPr>
        <w:spacing w:before="240" w:after="100" w:afterAutospacing="1" w:line="360" w:lineRule="auto"/>
        <w:jc w:val="both"/>
        <w:rPr>
          <w:rFonts w:ascii="Arial" w:eastAsia="Times New Roman" w:hAnsi="Arial" w:cs="Arial"/>
          <w:kern w:val="0"/>
          <w:sz w:val="24"/>
          <w:szCs w:val="24"/>
          <w:lang w:val="en-IN" w:eastAsia="en-IN"/>
          <w14:ligatures w14:val="none"/>
        </w:rPr>
      </w:pPr>
      <w:r w:rsidRPr="006B4129">
        <w:rPr>
          <w:rFonts w:ascii="Arial" w:eastAsia="Times New Roman" w:hAnsi="Arial" w:cs="Arial"/>
          <w:kern w:val="0"/>
          <w:sz w:val="24"/>
          <w:szCs w:val="24"/>
          <w:lang w:val="en-IN" w:eastAsia="en-IN"/>
          <w14:ligatures w14:val="none"/>
        </w:rPr>
        <w:t xml:space="preserve">To evaluate the relative importance of factors such as brand image, technology, and environmental considerations in the decision-making process of UK consumers when choosing electric vehicles, employing surveys to quantify and </w:t>
      </w:r>
      <w:r w:rsidRPr="006B4129">
        <w:rPr>
          <w:rFonts w:ascii="Arial" w:eastAsia="Times New Roman" w:hAnsi="Arial" w:cs="Arial"/>
          <w:kern w:val="0"/>
          <w:sz w:val="24"/>
          <w:szCs w:val="24"/>
          <w:lang w:val="en-IN" w:eastAsia="en-IN"/>
          <w14:ligatures w14:val="none"/>
        </w:rPr>
        <w:lastRenderedPageBreak/>
        <w:t>rank these factors for understanding their impact on Tesla's competitive advantage.</w:t>
      </w:r>
    </w:p>
    <w:p w14:paraId="0A4BDF25" w14:textId="4EEA5E25" w:rsidR="00716897" w:rsidRPr="006B4129" w:rsidRDefault="00716897" w:rsidP="006B4129">
      <w:pPr>
        <w:pStyle w:val="ListParagraph"/>
        <w:numPr>
          <w:ilvl w:val="0"/>
          <w:numId w:val="8"/>
        </w:numPr>
        <w:spacing w:before="240" w:after="100" w:afterAutospacing="1" w:line="360" w:lineRule="auto"/>
        <w:jc w:val="both"/>
        <w:rPr>
          <w:rFonts w:ascii="Arial" w:eastAsia="Times New Roman" w:hAnsi="Arial" w:cs="Arial"/>
          <w:kern w:val="0"/>
          <w:sz w:val="24"/>
          <w:szCs w:val="24"/>
          <w:lang w:val="en-IN" w:eastAsia="en-IN"/>
          <w14:ligatures w14:val="none"/>
        </w:rPr>
      </w:pPr>
      <w:r w:rsidRPr="006B4129">
        <w:rPr>
          <w:rFonts w:ascii="Arial" w:eastAsia="Times New Roman" w:hAnsi="Arial" w:cs="Arial"/>
          <w:kern w:val="0"/>
          <w:sz w:val="24"/>
          <w:szCs w:val="24"/>
          <w:lang w:val="en-IN" w:eastAsia="en-IN"/>
          <w14:ligatures w14:val="none"/>
        </w:rPr>
        <w:t xml:space="preserve">To examine the influence of the accessibility and satisfaction with electric vehicle charging infrastructure on consumer preferences in the UK auto industry, utilizing surveys to measure and </w:t>
      </w:r>
      <w:proofErr w:type="spellStart"/>
      <w:r w:rsidRPr="006B4129">
        <w:rPr>
          <w:rFonts w:ascii="Arial" w:eastAsia="Times New Roman" w:hAnsi="Arial" w:cs="Arial"/>
          <w:kern w:val="0"/>
          <w:sz w:val="24"/>
          <w:szCs w:val="24"/>
          <w:lang w:val="en-IN" w:eastAsia="en-IN"/>
          <w14:ligatures w14:val="none"/>
        </w:rPr>
        <w:t>analyze</w:t>
      </w:r>
      <w:proofErr w:type="spellEnd"/>
      <w:r w:rsidRPr="006B4129">
        <w:rPr>
          <w:rFonts w:ascii="Arial" w:eastAsia="Times New Roman" w:hAnsi="Arial" w:cs="Arial"/>
          <w:kern w:val="0"/>
          <w:sz w:val="24"/>
          <w:szCs w:val="24"/>
          <w:lang w:val="en-IN" w:eastAsia="en-IN"/>
          <w14:ligatures w14:val="none"/>
        </w:rPr>
        <w:t xml:space="preserve"> these factors' impact on the likelihood of consumers choosing Tesla over other electric or traditional vehicles, thereby contributing to Tesla's competitive positioning.</w:t>
      </w:r>
    </w:p>
    <w:p w14:paraId="567EB644" w14:textId="0F5E031F" w:rsidR="00C24527" w:rsidRPr="006B4129" w:rsidRDefault="00C24527" w:rsidP="006B4129">
      <w:pPr>
        <w:pStyle w:val="Heading1"/>
        <w:spacing w:line="360" w:lineRule="auto"/>
        <w:jc w:val="both"/>
        <w:rPr>
          <w:rFonts w:ascii="Arial" w:hAnsi="Arial" w:cs="Arial"/>
          <w:b/>
          <w:bCs/>
          <w:sz w:val="24"/>
          <w:szCs w:val="24"/>
        </w:rPr>
      </w:pPr>
      <w:bookmarkStart w:id="8" w:name="_Toc155128318"/>
      <w:r w:rsidRPr="006B4129">
        <w:rPr>
          <w:rFonts w:ascii="Arial" w:hAnsi="Arial" w:cs="Arial"/>
          <w:b/>
          <w:bCs/>
          <w:sz w:val="24"/>
          <w:szCs w:val="24"/>
        </w:rPr>
        <w:t>4. Literature Review</w:t>
      </w:r>
      <w:bookmarkEnd w:id="8"/>
    </w:p>
    <w:p w14:paraId="175730F7" w14:textId="35C760BF" w:rsidR="00716897" w:rsidRPr="006B4129" w:rsidRDefault="00716897" w:rsidP="006B4129">
      <w:pPr>
        <w:pStyle w:val="Heading2"/>
        <w:spacing w:line="360" w:lineRule="auto"/>
        <w:jc w:val="both"/>
        <w:rPr>
          <w:rStyle w:val="Strong"/>
          <w:rFonts w:ascii="Arial" w:hAnsi="Arial" w:cs="Arial"/>
          <w:sz w:val="24"/>
          <w:szCs w:val="24"/>
        </w:rPr>
      </w:pPr>
      <w:bookmarkStart w:id="9" w:name="_Toc155128319"/>
      <w:r w:rsidRPr="006B4129">
        <w:rPr>
          <w:rStyle w:val="Strong"/>
          <w:rFonts w:ascii="Arial" w:hAnsi="Arial" w:cs="Arial"/>
          <w:sz w:val="24"/>
          <w:szCs w:val="24"/>
        </w:rPr>
        <w:t>4.1 Consumer Decision-Making in Electric Vehicle Adoption</w:t>
      </w:r>
      <w:bookmarkEnd w:id="9"/>
    </w:p>
    <w:p w14:paraId="155F3756" w14:textId="0FF612E2" w:rsidR="006779D8" w:rsidRPr="006B4129" w:rsidRDefault="002F4DB6" w:rsidP="006B4129">
      <w:pPr>
        <w:pStyle w:val="NormalWeb"/>
        <w:spacing w:line="360" w:lineRule="auto"/>
        <w:jc w:val="both"/>
        <w:rPr>
          <w:rFonts w:ascii="Arial" w:hAnsi="Arial" w:cs="Arial"/>
        </w:rPr>
      </w:pPr>
      <w:r w:rsidRPr="002F4DB6">
        <w:rPr>
          <w:rFonts w:ascii="Arial" w:hAnsi="Arial" w:cs="Arial"/>
        </w:rPr>
        <w:t>Consumer decision-making pertains to the procedure through which individuals arrive at conclusions regarding the adoption of electric vehicles (EVs</w:t>
      </w:r>
      <w:r>
        <w:rPr>
          <w:rFonts w:ascii="Arial" w:hAnsi="Arial" w:cs="Arial"/>
        </w:rPr>
        <w:t>)</w:t>
      </w:r>
      <w:r w:rsidRPr="002F4DB6">
        <w:rPr>
          <w:rFonts w:ascii="Arial" w:hAnsi="Arial" w:cs="Arial"/>
        </w:rPr>
        <w:t>. The decision-making process encompasses several stages and factors that impact consumers' inclinations and choices regarding EVs. In addition to brand image and technology, environmental concerns, customer satisfaction with charging infrastructure, and the influence of government regulations</w:t>
      </w:r>
      <w:r>
        <w:rPr>
          <w:rFonts w:ascii="Arial" w:hAnsi="Arial" w:cs="Arial"/>
        </w:rPr>
        <w:t xml:space="preserve"> also </w:t>
      </w:r>
      <w:r w:rsidRPr="002F4DB6">
        <w:rPr>
          <w:rFonts w:ascii="Arial" w:hAnsi="Arial" w:cs="Arial"/>
        </w:rPr>
        <w:t>significantly impact customer decision-making</w:t>
      </w:r>
      <w:r w:rsidR="00624034">
        <w:rPr>
          <w:rFonts w:ascii="Arial" w:hAnsi="Arial" w:cs="Arial"/>
        </w:rPr>
        <w:t xml:space="preserve"> (Patil, 2023)</w:t>
      </w:r>
      <w:r w:rsidRPr="002F4DB6">
        <w:rPr>
          <w:rFonts w:ascii="Arial" w:hAnsi="Arial" w:cs="Arial"/>
        </w:rPr>
        <w:t>.</w:t>
      </w:r>
      <w:r>
        <w:rPr>
          <w:rFonts w:ascii="Arial" w:hAnsi="Arial" w:cs="Arial"/>
        </w:rPr>
        <w:t xml:space="preserve"> </w:t>
      </w:r>
      <w:r w:rsidR="006779D8" w:rsidRPr="006B4129">
        <w:rPr>
          <w:rFonts w:ascii="Arial" w:hAnsi="Arial" w:cs="Arial"/>
        </w:rPr>
        <w:t xml:space="preserve">Scholars such as </w:t>
      </w:r>
      <w:r w:rsidR="009F1B3D" w:rsidRPr="009F1B3D">
        <w:rPr>
          <w:rFonts w:ascii="Arial" w:hAnsi="Arial" w:cs="Arial"/>
        </w:rPr>
        <w:t>Noel et al. (2020)</w:t>
      </w:r>
      <w:r w:rsidR="009F1B3D">
        <w:rPr>
          <w:rFonts w:ascii="Arial" w:hAnsi="Arial" w:cs="Arial"/>
        </w:rPr>
        <w:t xml:space="preserve"> </w:t>
      </w:r>
      <w:r w:rsidR="006779D8" w:rsidRPr="006B4129">
        <w:rPr>
          <w:rFonts w:ascii="Arial" w:hAnsi="Arial" w:cs="Arial"/>
        </w:rPr>
        <w:t xml:space="preserve">argue that the decision to adopt an electric vehicle is contingent upon a myriad of considerations, ranging from individual attitudes towards environmental sustainability to the perceived economic viability of owning and operating an EV. Notably, environmental concerns emerge as a significant driver in the decision-making process, as consumers increasingly prioritize eco-friendly transportation options </w:t>
      </w:r>
      <w:r w:rsidR="009F1B3D" w:rsidRPr="009F1B3D">
        <w:rPr>
          <w:rFonts w:ascii="Arial" w:hAnsi="Arial" w:cs="Arial"/>
        </w:rPr>
        <w:t>(</w:t>
      </w:r>
      <w:proofErr w:type="spellStart"/>
      <w:r w:rsidR="009F1B3D" w:rsidRPr="009F1B3D">
        <w:rPr>
          <w:rFonts w:ascii="Arial" w:hAnsi="Arial" w:cs="Arial"/>
        </w:rPr>
        <w:t>Biresselioğlu</w:t>
      </w:r>
      <w:proofErr w:type="spellEnd"/>
      <w:r w:rsidR="009F1B3D" w:rsidRPr="009F1B3D">
        <w:rPr>
          <w:rFonts w:ascii="Arial" w:hAnsi="Arial" w:cs="Arial"/>
        </w:rPr>
        <w:t>, Kaplan and Yilmaz, 2018)</w:t>
      </w:r>
      <w:r w:rsidR="006779D8" w:rsidRPr="006B4129">
        <w:rPr>
          <w:rFonts w:ascii="Arial" w:hAnsi="Arial" w:cs="Arial"/>
        </w:rPr>
        <w:t xml:space="preserve">. Moreover, studies by </w:t>
      </w:r>
      <w:r w:rsidR="009F1B3D" w:rsidRPr="009F1B3D">
        <w:rPr>
          <w:rFonts w:ascii="Arial" w:hAnsi="Arial" w:cs="Arial"/>
        </w:rPr>
        <w:t>Wolske, Gillingham and Schultz (2020)</w:t>
      </w:r>
      <w:r w:rsidR="006779D8" w:rsidRPr="006B4129">
        <w:rPr>
          <w:rFonts w:ascii="Arial" w:hAnsi="Arial" w:cs="Arial"/>
        </w:rPr>
        <w:t xml:space="preserve"> emphasize the role of social norms and the influence of peer </w:t>
      </w:r>
      <w:proofErr w:type="spellStart"/>
      <w:r w:rsidR="006779D8" w:rsidRPr="006B4129">
        <w:rPr>
          <w:rFonts w:ascii="Arial" w:hAnsi="Arial" w:cs="Arial"/>
        </w:rPr>
        <w:t>behavior</w:t>
      </w:r>
      <w:proofErr w:type="spellEnd"/>
      <w:r w:rsidR="006779D8" w:rsidRPr="006B4129">
        <w:rPr>
          <w:rFonts w:ascii="Arial" w:hAnsi="Arial" w:cs="Arial"/>
        </w:rPr>
        <w:t xml:space="preserve"> in shaping consumer attitudes toward sustainable mobility, shedding light on the interpersonal dynamics that contribute to the diffusion of electric vehicles within communities.</w:t>
      </w:r>
    </w:p>
    <w:p w14:paraId="528DB134" w14:textId="2774658C" w:rsidR="006779D8" w:rsidRPr="006B4129" w:rsidRDefault="006779D8" w:rsidP="006B4129">
      <w:pPr>
        <w:pStyle w:val="NormalWeb"/>
        <w:spacing w:line="360" w:lineRule="auto"/>
        <w:jc w:val="both"/>
        <w:rPr>
          <w:rFonts w:ascii="Arial" w:hAnsi="Arial" w:cs="Arial"/>
        </w:rPr>
      </w:pPr>
      <w:r w:rsidRPr="006B4129">
        <w:rPr>
          <w:rFonts w:ascii="Arial" w:hAnsi="Arial" w:cs="Arial"/>
        </w:rPr>
        <w:t xml:space="preserve">In addition to environmental consciousness, economic factors play a pivotal role in the decision-making process, as underscored by research from </w:t>
      </w:r>
      <w:r w:rsidR="009F1B3D" w:rsidRPr="009F1B3D">
        <w:rPr>
          <w:rFonts w:ascii="Arial" w:hAnsi="Arial" w:cs="Arial"/>
        </w:rPr>
        <w:t>Li et al. (2017)</w:t>
      </w:r>
      <w:r w:rsidRPr="006B4129">
        <w:rPr>
          <w:rFonts w:ascii="Arial" w:hAnsi="Arial" w:cs="Arial"/>
        </w:rPr>
        <w:t xml:space="preserve">. The perceived cost of ownership, including initial purchase prices, maintenance expenses, and operational costs, significantly influences consumers' willingness to embrace electric vehicles. The </w:t>
      </w:r>
      <w:r w:rsidR="009F1B3D">
        <w:rPr>
          <w:rFonts w:ascii="Arial" w:hAnsi="Arial" w:cs="Arial"/>
        </w:rPr>
        <w:t>study also</w:t>
      </w:r>
      <w:r w:rsidRPr="006B4129">
        <w:rPr>
          <w:rFonts w:ascii="Arial" w:hAnsi="Arial" w:cs="Arial"/>
        </w:rPr>
        <w:t xml:space="preserve"> indicates that government incentives, subsidies, and advancements in battery technology can mitigate economic barriers, making EVs </w:t>
      </w:r>
      <w:r w:rsidRPr="006B4129">
        <w:rPr>
          <w:rFonts w:ascii="Arial" w:hAnsi="Arial" w:cs="Arial"/>
        </w:rPr>
        <w:lastRenderedPageBreak/>
        <w:t>more attractive to a broader consumer base.</w:t>
      </w:r>
      <w:r w:rsidR="002F4DB6">
        <w:rPr>
          <w:rFonts w:ascii="Arial" w:hAnsi="Arial" w:cs="Arial"/>
        </w:rPr>
        <w:t xml:space="preserve"> </w:t>
      </w:r>
      <w:r w:rsidRPr="006B4129">
        <w:rPr>
          <w:rFonts w:ascii="Arial" w:hAnsi="Arial" w:cs="Arial"/>
        </w:rPr>
        <w:t>Furthermore,</w:t>
      </w:r>
      <w:r w:rsidR="009F1B3D">
        <w:rPr>
          <w:rFonts w:ascii="Arial" w:hAnsi="Arial" w:cs="Arial"/>
        </w:rPr>
        <w:t xml:space="preserve"> a</w:t>
      </w:r>
      <w:r w:rsidRPr="006B4129">
        <w:rPr>
          <w:rFonts w:ascii="Arial" w:hAnsi="Arial" w:cs="Arial"/>
        </w:rPr>
        <w:t xml:space="preserve"> </w:t>
      </w:r>
      <w:r w:rsidR="009F1B3D">
        <w:rPr>
          <w:rFonts w:ascii="Arial" w:hAnsi="Arial" w:cs="Arial"/>
        </w:rPr>
        <w:t xml:space="preserve">study by </w:t>
      </w:r>
      <w:r w:rsidR="009F1B3D" w:rsidRPr="009F1B3D">
        <w:rPr>
          <w:rFonts w:ascii="Arial" w:hAnsi="Arial" w:cs="Arial"/>
        </w:rPr>
        <w:t>Singh, Singh, and Vaibhav (2020)</w:t>
      </w:r>
      <w:r w:rsidRPr="006B4129">
        <w:rPr>
          <w:rFonts w:ascii="Arial" w:hAnsi="Arial" w:cs="Arial"/>
        </w:rPr>
        <w:t xml:space="preserve"> underscores the importance of psychological factors, including risk perceptions and attitudes towards innovation, in shaping consumer decisions regarding electric vehicle adoption. The unfamiliarity and perceived risks associated with new technologies can create barriers to adoption, emphasizing the need for targeted educational initiatives and effective communication strategies to enhance consumer confidence.</w:t>
      </w:r>
    </w:p>
    <w:p w14:paraId="34707D72" w14:textId="48DB8DCA" w:rsidR="00716897" w:rsidRPr="006B4129" w:rsidRDefault="006779D8" w:rsidP="006B4129">
      <w:pPr>
        <w:pStyle w:val="Heading2"/>
        <w:spacing w:line="360" w:lineRule="auto"/>
        <w:jc w:val="both"/>
        <w:rPr>
          <w:rStyle w:val="Strong"/>
          <w:rFonts w:ascii="Arial" w:hAnsi="Arial" w:cs="Arial"/>
          <w:sz w:val="24"/>
          <w:szCs w:val="24"/>
        </w:rPr>
      </w:pPr>
      <w:bookmarkStart w:id="10" w:name="_Toc155128320"/>
      <w:r w:rsidRPr="006B4129">
        <w:rPr>
          <w:rStyle w:val="Strong"/>
          <w:rFonts w:ascii="Arial" w:hAnsi="Arial" w:cs="Arial"/>
          <w:sz w:val="24"/>
          <w:szCs w:val="24"/>
        </w:rPr>
        <w:t xml:space="preserve">4.2 </w:t>
      </w:r>
      <w:r w:rsidR="00716897" w:rsidRPr="006B4129">
        <w:rPr>
          <w:rStyle w:val="Strong"/>
          <w:rFonts w:ascii="Arial" w:hAnsi="Arial" w:cs="Arial"/>
          <w:sz w:val="24"/>
          <w:szCs w:val="24"/>
        </w:rPr>
        <w:t>The Role of Branding and Marketing in Shaping Consumer Perceptions in the Automotive Industry</w:t>
      </w:r>
      <w:bookmarkEnd w:id="10"/>
    </w:p>
    <w:p w14:paraId="7AEC6826" w14:textId="4F652A57" w:rsidR="002F4DB6" w:rsidRDefault="002F4DB6" w:rsidP="006B4129">
      <w:pPr>
        <w:pStyle w:val="NormalWeb"/>
        <w:spacing w:line="360" w:lineRule="auto"/>
        <w:jc w:val="both"/>
        <w:rPr>
          <w:rFonts w:ascii="Arial" w:hAnsi="Arial" w:cs="Arial"/>
        </w:rPr>
      </w:pPr>
      <w:r w:rsidRPr="002F4DB6">
        <w:rPr>
          <w:rFonts w:ascii="Arial" w:hAnsi="Arial" w:cs="Arial"/>
        </w:rPr>
        <w:t>Branding encompasses the process of establishing and sustaining a unique and favourable perception of a business or product</w:t>
      </w:r>
      <w:r w:rsidR="00624034">
        <w:rPr>
          <w:rFonts w:ascii="Arial" w:hAnsi="Arial" w:cs="Arial"/>
        </w:rPr>
        <w:t xml:space="preserve"> </w:t>
      </w:r>
      <w:r w:rsidR="00624034" w:rsidRPr="00624034">
        <w:rPr>
          <w:rFonts w:ascii="Arial" w:hAnsi="Arial" w:cs="Arial"/>
        </w:rPr>
        <w:t>(Wood, 2000)</w:t>
      </w:r>
      <w:r w:rsidRPr="002F4DB6">
        <w:rPr>
          <w:rFonts w:ascii="Arial" w:hAnsi="Arial" w:cs="Arial"/>
        </w:rPr>
        <w:t>. Within the automotive industry, consumer attitudes towards a specific brand are profoundly impacted by brand equity and brand personality. These factors significantly influence perceptions of quality, dependability, and overall desirability</w:t>
      </w:r>
      <w:r>
        <w:rPr>
          <w:rFonts w:ascii="Arial" w:hAnsi="Arial" w:cs="Arial"/>
        </w:rPr>
        <w:t xml:space="preserve"> of EVs</w:t>
      </w:r>
      <w:r w:rsidRPr="002F4DB6">
        <w:rPr>
          <w:rFonts w:ascii="Arial" w:hAnsi="Arial" w:cs="Arial"/>
        </w:rPr>
        <w:t xml:space="preserve">. </w:t>
      </w:r>
      <w:r w:rsidR="006779D8" w:rsidRPr="006B4129">
        <w:rPr>
          <w:rFonts w:ascii="Arial" w:hAnsi="Arial" w:cs="Arial"/>
        </w:rPr>
        <w:t>Notably, studies by Keller (1993) and Aaker (1996) emphasize the pivotal role of brand equity and brand personality in influencing consumer preferences, arguing that strong, positively perceived brands can significantly impact consumers' attitudes towards a product or company. In the automotive sector, this extends to the establishment of a brand's image and reputation, which plays a crucial role in shaping consumer perceptions of quality, reliability, and overall desirability (Keller, 1993; Aaker, 1996).</w:t>
      </w:r>
      <w:r>
        <w:rPr>
          <w:rFonts w:ascii="Arial" w:hAnsi="Arial" w:cs="Arial"/>
        </w:rPr>
        <w:t xml:space="preserve"> </w:t>
      </w:r>
    </w:p>
    <w:p w14:paraId="03C1DF57" w14:textId="5C7B46F5" w:rsidR="006779D8" w:rsidRPr="006B4129" w:rsidRDefault="006779D8" w:rsidP="006B4129">
      <w:pPr>
        <w:pStyle w:val="NormalWeb"/>
        <w:spacing w:line="360" w:lineRule="auto"/>
        <w:jc w:val="both"/>
        <w:rPr>
          <w:rFonts w:ascii="Arial" w:hAnsi="Arial" w:cs="Arial"/>
        </w:rPr>
      </w:pPr>
      <w:r w:rsidRPr="006B4129">
        <w:rPr>
          <w:rFonts w:ascii="Arial" w:hAnsi="Arial" w:cs="Arial"/>
        </w:rPr>
        <w:t xml:space="preserve">Moreover, </w:t>
      </w:r>
      <w:r w:rsidR="009F1B3D">
        <w:rPr>
          <w:rFonts w:ascii="Arial" w:hAnsi="Arial" w:cs="Arial"/>
        </w:rPr>
        <w:t>r</w:t>
      </w:r>
      <w:r w:rsidRPr="006B4129">
        <w:rPr>
          <w:rFonts w:ascii="Arial" w:hAnsi="Arial" w:cs="Arial"/>
        </w:rPr>
        <w:t xml:space="preserve">esearch by </w:t>
      </w:r>
      <w:proofErr w:type="spellStart"/>
      <w:r w:rsidR="009F1B3D" w:rsidRPr="009F1B3D">
        <w:rPr>
          <w:rFonts w:ascii="Arial" w:hAnsi="Arial" w:cs="Arial"/>
        </w:rPr>
        <w:t>Schivinski</w:t>
      </w:r>
      <w:proofErr w:type="spellEnd"/>
      <w:r w:rsidR="009F1B3D" w:rsidRPr="009F1B3D">
        <w:rPr>
          <w:rFonts w:ascii="Arial" w:hAnsi="Arial" w:cs="Arial"/>
        </w:rPr>
        <w:t xml:space="preserve"> and Dąbrowski (2014) </w:t>
      </w:r>
      <w:r w:rsidRPr="006B4129">
        <w:rPr>
          <w:rFonts w:ascii="Arial" w:hAnsi="Arial" w:cs="Arial"/>
        </w:rPr>
        <w:t xml:space="preserve">underscores the impact of advertising and promotional activities in shaping consumer perceptions of automotive brands. Specifically, the use of emotionally resonant and environmentally conscious messaging has been found to positively influence consumers' attitudes toward electric vehicles, aligning with broader trends in corporate social responsibility </w:t>
      </w:r>
      <w:r w:rsidR="00D47935" w:rsidRPr="00D47935">
        <w:rPr>
          <w:rFonts w:ascii="Arial" w:hAnsi="Arial" w:cs="Arial"/>
        </w:rPr>
        <w:t>(</w:t>
      </w:r>
      <w:proofErr w:type="spellStart"/>
      <w:r w:rsidR="00D47935" w:rsidRPr="00D47935">
        <w:rPr>
          <w:rFonts w:ascii="Arial" w:hAnsi="Arial" w:cs="Arial"/>
        </w:rPr>
        <w:t>Degirmenci</w:t>
      </w:r>
      <w:proofErr w:type="spellEnd"/>
      <w:r w:rsidR="00D47935" w:rsidRPr="00D47935">
        <w:rPr>
          <w:rFonts w:ascii="Arial" w:hAnsi="Arial" w:cs="Arial"/>
        </w:rPr>
        <w:t xml:space="preserve"> and Breitner, 2017)</w:t>
      </w:r>
      <w:r w:rsidRPr="006B4129">
        <w:rPr>
          <w:rFonts w:ascii="Arial" w:hAnsi="Arial" w:cs="Arial"/>
        </w:rPr>
        <w:t>.</w:t>
      </w:r>
      <w:r w:rsidR="002F4DB6">
        <w:rPr>
          <w:rFonts w:ascii="Arial" w:hAnsi="Arial" w:cs="Arial"/>
        </w:rPr>
        <w:t xml:space="preserve"> </w:t>
      </w:r>
      <w:r w:rsidRPr="006B4129">
        <w:rPr>
          <w:rFonts w:ascii="Arial" w:hAnsi="Arial" w:cs="Arial"/>
        </w:rPr>
        <w:t xml:space="preserve">The concept of brand loyalty emerges as another critical aspect in the automotive context, with scholars such as </w:t>
      </w:r>
      <w:r w:rsidR="00D47935" w:rsidRPr="00D47935">
        <w:rPr>
          <w:rFonts w:ascii="Arial" w:hAnsi="Arial" w:cs="Arial"/>
        </w:rPr>
        <w:t xml:space="preserve">Nasir, </w:t>
      </w:r>
      <w:proofErr w:type="spellStart"/>
      <w:r w:rsidR="00D47935" w:rsidRPr="00D47935">
        <w:rPr>
          <w:rFonts w:ascii="Arial" w:hAnsi="Arial" w:cs="Arial"/>
        </w:rPr>
        <w:t>Sularso</w:t>
      </w:r>
      <w:proofErr w:type="spellEnd"/>
      <w:r w:rsidR="00D47935" w:rsidRPr="00D47935">
        <w:rPr>
          <w:rFonts w:ascii="Arial" w:hAnsi="Arial" w:cs="Arial"/>
        </w:rPr>
        <w:t>, Irawan, &amp; Paramu</w:t>
      </w:r>
      <w:r w:rsidR="00D47935">
        <w:rPr>
          <w:rFonts w:ascii="Arial" w:hAnsi="Arial" w:cs="Arial"/>
        </w:rPr>
        <w:t xml:space="preserve"> (</w:t>
      </w:r>
      <w:r w:rsidR="00D47935" w:rsidRPr="00D47935">
        <w:rPr>
          <w:rFonts w:ascii="Arial" w:hAnsi="Arial" w:cs="Arial"/>
        </w:rPr>
        <w:t>2020)</w:t>
      </w:r>
      <w:r w:rsidRPr="006B4129">
        <w:rPr>
          <w:rFonts w:ascii="Arial" w:hAnsi="Arial" w:cs="Arial"/>
        </w:rPr>
        <w:t xml:space="preserve"> emphasizing the enduring impact of a positive brand image on consumer loyalty and repeat purchase intentions. In the electric vehicle market, where consumers may be more inclined to stick with familiar and reputable brands, the role of branding becomes even more pronounced.</w:t>
      </w:r>
    </w:p>
    <w:p w14:paraId="5E2A79D2" w14:textId="105CE7A1" w:rsidR="00716897" w:rsidRPr="006B4129" w:rsidRDefault="006779D8" w:rsidP="006B4129">
      <w:pPr>
        <w:pStyle w:val="Heading2"/>
        <w:spacing w:line="360" w:lineRule="auto"/>
        <w:jc w:val="both"/>
        <w:rPr>
          <w:rStyle w:val="Strong"/>
          <w:rFonts w:ascii="Arial" w:hAnsi="Arial" w:cs="Arial"/>
          <w:sz w:val="24"/>
          <w:szCs w:val="24"/>
        </w:rPr>
      </w:pPr>
      <w:bookmarkStart w:id="11" w:name="_Toc155128321"/>
      <w:r w:rsidRPr="006B4129">
        <w:rPr>
          <w:rStyle w:val="Strong"/>
          <w:rFonts w:ascii="Arial" w:hAnsi="Arial" w:cs="Arial"/>
          <w:sz w:val="24"/>
          <w:szCs w:val="24"/>
        </w:rPr>
        <w:lastRenderedPageBreak/>
        <w:t xml:space="preserve">4.3 </w:t>
      </w:r>
      <w:r w:rsidR="00716897" w:rsidRPr="006B4129">
        <w:rPr>
          <w:rStyle w:val="Strong"/>
          <w:rFonts w:ascii="Arial" w:hAnsi="Arial" w:cs="Arial"/>
          <w:sz w:val="24"/>
          <w:szCs w:val="24"/>
        </w:rPr>
        <w:t>Charging Infrastructure and its Impact on Electric Vehicle Adoption</w:t>
      </w:r>
      <w:bookmarkEnd w:id="11"/>
    </w:p>
    <w:p w14:paraId="3D88EE70" w14:textId="252B7FA7" w:rsidR="006779D8" w:rsidRPr="006B4129" w:rsidRDefault="002F4DB6" w:rsidP="006B4129">
      <w:pPr>
        <w:pStyle w:val="NormalWeb"/>
        <w:spacing w:line="360" w:lineRule="auto"/>
        <w:jc w:val="both"/>
        <w:rPr>
          <w:rFonts w:ascii="Arial" w:hAnsi="Arial" w:cs="Arial"/>
        </w:rPr>
      </w:pPr>
      <w:r w:rsidRPr="002F4DB6">
        <w:rPr>
          <w:rFonts w:ascii="Arial" w:hAnsi="Arial" w:cs="Arial"/>
        </w:rPr>
        <w:t>Charging infrastructure comprises the systems and facilities that facilitate the recharging process for electric vehicles</w:t>
      </w:r>
      <w:r w:rsidR="00624034">
        <w:rPr>
          <w:rFonts w:ascii="Arial" w:hAnsi="Arial" w:cs="Arial"/>
        </w:rPr>
        <w:t xml:space="preserve"> </w:t>
      </w:r>
      <w:r w:rsidR="00624034" w:rsidRPr="00624034">
        <w:rPr>
          <w:rFonts w:ascii="Arial" w:hAnsi="Arial" w:cs="Arial"/>
        </w:rPr>
        <w:t>(Das et al., 2020)</w:t>
      </w:r>
      <w:r>
        <w:rPr>
          <w:rFonts w:ascii="Arial" w:hAnsi="Arial" w:cs="Arial"/>
        </w:rPr>
        <w:t xml:space="preserve">. </w:t>
      </w:r>
      <w:r w:rsidR="006779D8" w:rsidRPr="006B4129">
        <w:rPr>
          <w:rFonts w:ascii="Arial" w:hAnsi="Arial" w:cs="Arial"/>
        </w:rPr>
        <w:t xml:space="preserve">Research by </w:t>
      </w:r>
      <w:proofErr w:type="spellStart"/>
      <w:r w:rsidR="00D47935" w:rsidRPr="00D47935">
        <w:rPr>
          <w:rFonts w:ascii="Arial" w:hAnsi="Arial" w:cs="Arial"/>
        </w:rPr>
        <w:t>Mahiban</w:t>
      </w:r>
      <w:proofErr w:type="spellEnd"/>
      <w:r w:rsidR="00D47935" w:rsidRPr="00D47935">
        <w:rPr>
          <w:rFonts w:ascii="Arial" w:hAnsi="Arial" w:cs="Arial"/>
        </w:rPr>
        <w:t xml:space="preserve"> and </w:t>
      </w:r>
      <w:proofErr w:type="spellStart"/>
      <w:r w:rsidR="00D47935" w:rsidRPr="00D47935">
        <w:rPr>
          <w:rFonts w:ascii="Arial" w:hAnsi="Arial" w:cs="Arial"/>
        </w:rPr>
        <w:t>Emimal</w:t>
      </w:r>
      <w:proofErr w:type="spellEnd"/>
      <w:r w:rsidR="00D47935" w:rsidRPr="00D47935">
        <w:rPr>
          <w:rFonts w:ascii="Arial" w:hAnsi="Arial" w:cs="Arial"/>
        </w:rPr>
        <w:t xml:space="preserve"> (2023)</w:t>
      </w:r>
      <w:r w:rsidR="006779D8" w:rsidRPr="006B4129">
        <w:rPr>
          <w:rFonts w:ascii="Arial" w:hAnsi="Arial" w:cs="Arial"/>
        </w:rPr>
        <w:t xml:space="preserve"> underscores that a robust charging infrastructure is a linchpin for the successful integration of electric vehicles into mainstream markets. The proximity and convenience of charging stations are pivotal determinants, significantly influencing consumers' perceptions of EVs as viable alternatives to traditional internal combustion engine vehicles.</w:t>
      </w:r>
      <w:r>
        <w:rPr>
          <w:rFonts w:ascii="Arial" w:hAnsi="Arial" w:cs="Arial"/>
        </w:rPr>
        <w:t xml:space="preserve"> </w:t>
      </w:r>
      <w:r w:rsidR="006779D8" w:rsidRPr="006B4129">
        <w:rPr>
          <w:rFonts w:ascii="Arial" w:hAnsi="Arial" w:cs="Arial"/>
        </w:rPr>
        <w:t xml:space="preserve">Studies also consistently assert that range anxiety, or the fear of running out of battery power without access to charging facilities, is a prominent barrier to EV adoption </w:t>
      </w:r>
      <w:r w:rsidR="00D47935" w:rsidRPr="00D47935">
        <w:rPr>
          <w:rFonts w:ascii="Arial" w:hAnsi="Arial" w:cs="Arial"/>
        </w:rPr>
        <w:t>(Gopal, 2021</w:t>
      </w:r>
      <w:r w:rsidR="00D47935">
        <w:rPr>
          <w:rFonts w:ascii="Arial" w:hAnsi="Arial" w:cs="Arial"/>
        </w:rPr>
        <w:t xml:space="preserve">; </w:t>
      </w:r>
      <w:r w:rsidR="00D47935" w:rsidRPr="00D47935">
        <w:rPr>
          <w:rFonts w:ascii="Arial" w:hAnsi="Arial" w:cs="Arial"/>
        </w:rPr>
        <w:t>Adhikari et al., 2020)</w:t>
      </w:r>
      <w:r w:rsidR="006779D8" w:rsidRPr="006B4129">
        <w:rPr>
          <w:rFonts w:ascii="Arial" w:hAnsi="Arial" w:cs="Arial"/>
        </w:rPr>
        <w:t xml:space="preserve">. The </w:t>
      </w:r>
      <w:r w:rsidR="00D47935">
        <w:rPr>
          <w:rFonts w:ascii="Arial" w:hAnsi="Arial" w:cs="Arial"/>
        </w:rPr>
        <w:t>study</w:t>
      </w:r>
      <w:r w:rsidR="006779D8" w:rsidRPr="006B4129">
        <w:rPr>
          <w:rFonts w:ascii="Arial" w:hAnsi="Arial" w:cs="Arial"/>
        </w:rPr>
        <w:t xml:space="preserve"> contends that strategically located and well-distributed charging infrastructure alleviates range anxiety, fostering greater consumer confidence in the practicality and reliability of electric vehicles for daily use.</w:t>
      </w:r>
    </w:p>
    <w:p w14:paraId="4930209E" w14:textId="77D103FB" w:rsidR="006779D8" w:rsidRPr="006B4129" w:rsidRDefault="006779D8" w:rsidP="006B4129">
      <w:pPr>
        <w:pStyle w:val="NormalWeb"/>
        <w:spacing w:line="360" w:lineRule="auto"/>
        <w:jc w:val="both"/>
        <w:rPr>
          <w:rFonts w:ascii="Arial" w:hAnsi="Arial" w:cs="Arial"/>
        </w:rPr>
      </w:pPr>
      <w:r w:rsidRPr="006B4129">
        <w:rPr>
          <w:rFonts w:ascii="Arial" w:hAnsi="Arial" w:cs="Arial"/>
        </w:rPr>
        <w:t xml:space="preserve">Moreover, research by </w:t>
      </w:r>
      <w:r w:rsidR="00D47935" w:rsidRPr="00D47935">
        <w:rPr>
          <w:rFonts w:ascii="Arial" w:hAnsi="Arial" w:cs="Arial"/>
        </w:rPr>
        <w:t xml:space="preserve">Barth, </w:t>
      </w:r>
      <w:proofErr w:type="spellStart"/>
      <w:r w:rsidR="00D47935" w:rsidRPr="00D47935">
        <w:rPr>
          <w:rFonts w:ascii="Arial" w:hAnsi="Arial" w:cs="Arial"/>
        </w:rPr>
        <w:t>Jugert</w:t>
      </w:r>
      <w:proofErr w:type="spellEnd"/>
      <w:r w:rsidR="00D47935" w:rsidRPr="00D47935">
        <w:rPr>
          <w:rFonts w:ascii="Arial" w:hAnsi="Arial" w:cs="Arial"/>
        </w:rPr>
        <w:t xml:space="preserve"> and Fritsche</w:t>
      </w:r>
      <w:r w:rsidR="00D47935">
        <w:rPr>
          <w:rFonts w:ascii="Arial" w:hAnsi="Arial" w:cs="Arial"/>
        </w:rPr>
        <w:t xml:space="preserve"> (</w:t>
      </w:r>
      <w:r w:rsidR="00D47935" w:rsidRPr="00D47935">
        <w:rPr>
          <w:rFonts w:ascii="Arial" w:hAnsi="Arial" w:cs="Arial"/>
        </w:rPr>
        <w:t xml:space="preserve">2016) </w:t>
      </w:r>
      <w:r w:rsidRPr="006B4129">
        <w:rPr>
          <w:rFonts w:ascii="Arial" w:hAnsi="Arial" w:cs="Arial"/>
        </w:rPr>
        <w:t xml:space="preserve">highlights the reciprocity between charging infrastructure and consumer </w:t>
      </w:r>
      <w:proofErr w:type="spellStart"/>
      <w:r w:rsidRPr="006B4129">
        <w:rPr>
          <w:rFonts w:ascii="Arial" w:hAnsi="Arial" w:cs="Arial"/>
        </w:rPr>
        <w:t>behavior</w:t>
      </w:r>
      <w:proofErr w:type="spellEnd"/>
      <w:r w:rsidRPr="006B4129">
        <w:rPr>
          <w:rFonts w:ascii="Arial" w:hAnsi="Arial" w:cs="Arial"/>
        </w:rPr>
        <w:t>, suggesting that the presence of an extensive charging network not only alleviates practical concerns but also shapes social norms and influences individuals to consider electric vehicles as socially acceptable choices. The growth of charging infrastructure is posited to contribute to the normalization of electric mobility, making EV adoption a more socially endorsed and mainstream decision</w:t>
      </w:r>
      <w:r w:rsidR="00D47935">
        <w:rPr>
          <w:rFonts w:ascii="Arial" w:hAnsi="Arial" w:cs="Arial"/>
        </w:rPr>
        <w:t xml:space="preserve"> </w:t>
      </w:r>
      <w:r w:rsidR="00D47935" w:rsidRPr="00D47935">
        <w:rPr>
          <w:rFonts w:ascii="Arial" w:hAnsi="Arial" w:cs="Arial"/>
        </w:rPr>
        <w:t>(</w:t>
      </w:r>
      <w:proofErr w:type="spellStart"/>
      <w:r w:rsidR="00D47935" w:rsidRPr="00D47935">
        <w:rPr>
          <w:rFonts w:ascii="Arial" w:hAnsi="Arial" w:cs="Arial"/>
        </w:rPr>
        <w:t>Sovacool</w:t>
      </w:r>
      <w:proofErr w:type="spellEnd"/>
      <w:r w:rsidR="00D47935" w:rsidRPr="00D47935">
        <w:rPr>
          <w:rFonts w:ascii="Arial" w:hAnsi="Arial" w:cs="Arial"/>
        </w:rPr>
        <w:t>, 2017)</w:t>
      </w:r>
      <w:r w:rsidR="00D47935">
        <w:rPr>
          <w:rFonts w:ascii="Arial" w:hAnsi="Arial" w:cs="Arial"/>
        </w:rPr>
        <w:t>.</w:t>
      </w:r>
    </w:p>
    <w:p w14:paraId="01669C53" w14:textId="43906732" w:rsidR="00A30FFD" w:rsidRPr="006B4129" w:rsidRDefault="006779D8" w:rsidP="006B4129">
      <w:pPr>
        <w:pStyle w:val="Heading2"/>
        <w:spacing w:line="360" w:lineRule="auto"/>
        <w:jc w:val="both"/>
        <w:rPr>
          <w:rStyle w:val="Strong"/>
          <w:rFonts w:ascii="Arial" w:hAnsi="Arial" w:cs="Arial"/>
          <w:sz w:val="24"/>
          <w:szCs w:val="24"/>
        </w:rPr>
      </w:pPr>
      <w:bookmarkStart w:id="12" w:name="_Toc155128322"/>
      <w:r w:rsidRPr="006B4129">
        <w:rPr>
          <w:rStyle w:val="Strong"/>
          <w:rFonts w:ascii="Arial" w:hAnsi="Arial" w:cs="Arial"/>
          <w:sz w:val="24"/>
          <w:szCs w:val="24"/>
        </w:rPr>
        <w:t xml:space="preserve">4.4 </w:t>
      </w:r>
      <w:r w:rsidR="00716897" w:rsidRPr="006B4129">
        <w:rPr>
          <w:rStyle w:val="Strong"/>
          <w:rFonts w:ascii="Arial" w:hAnsi="Arial" w:cs="Arial"/>
          <w:sz w:val="24"/>
          <w:szCs w:val="24"/>
        </w:rPr>
        <w:t>Government Policies and Regulatory Frameworks Shaping the Electric Vehicle Market</w:t>
      </w:r>
      <w:bookmarkEnd w:id="12"/>
    </w:p>
    <w:p w14:paraId="726D135C" w14:textId="3250E413" w:rsidR="006B4129" w:rsidRPr="006B4129" w:rsidRDefault="006B4129" w:rsidP="006B4129">
      <w:pPr>
        <w:pStyle w:val="NormalWeb"/>
        <w:spacing w:line="360" w:lineRule="auto"/>
        <w:jc w:val="both"/>
        <w:rPr>
          <w:rFonts w:ascii="Arial" w:hAnsi="Arial" w:cs="Arial"/>
        </w:rPr>
      </w:pPr>
      <w:r w:rsidRPr="006B4129">
        <w:rPr>
          <w:rFonts w:ascii="Arial" w:hAnsi="Arial" w:cs="Arial"/>
        </w:rPr>
        <w:t xml:space="preserve">Studies emphasize that a cohesive and forward-looking regulatory environment is instrumental in fostering innovation, creating market stability, and addressing barriers to entry for electric vehicles </w:t>
      </w:r>
      <w:r w:rsidR="00D47935" w:rsidRPr="00D47935">
        <w:rPr>
          <w:rFonts w:ascii="Arial" w:hAnsi="Arial" w:cs="Arial"/>
        </w:rPr>
        <w:t>(Nilsson and Nykvist, 2016)</w:t>
      </w:r>
      <w:r w:rsidRPr="006B4129">
        <w:rPr>
          <w:rFonts w:ascii="Arial" w:hAnsi="Arial" w:cs="Arial"/>
        </w:rPr>
        <w:t>. Government support, in the form of financial incentives or tax credits, has been found to positively correlate with increased EV adoption rates, highlighting the integral role of regulatory frameworks in shaping market dynamics.</w:t>
      </w:r>
    </w:p>
    <w:p w14:paraId="7A5DB07D" w14:textId="017B938E" w:rsidR="006B4129" w:rsidRPr="006B4129" w:rsidRDefault="006B4129" w:rsidP="006B4129">
      <w:pPr>
        <w:pStyle w:val="NormalWeb"/>
        <w:spacing w:line="360" w:lineRule="auto"/>
        <w:jc w:val="both"/>
        <w:rPr>
          <w:rFonts w:ascii="Arial" w:hAnsi="Arial" w:cs="Arial"/>
        </w:rPr>
      </w:pPr>
      <w:r w:rsidRPr="006B4129">
        <w:rPr>
          <w:rFonts w:ascii="Arial" w:hAnsi="Arial" w:cs="Arial"/>
        </w:rPr>
        <w:t xml:space="preserve">Moreover, </w:t>
      </w:r>
      <w:r w:rsidR="00D47935">
        <w:rPr>
          <w:rFonts w:ascii="Arial" w:hAnsi="Arial" w:cs="Arial"/>
        </w:rPr>
        <w:t xml:space="preserve">studies also </w:t>
      </w:r>
      <w:r w:rsidR="00D47935" w:rsidRPr="006B4129">
        <w:rPr>
          <w:rFonts w:ascii="Arial" w:hAnsi="Arial" w:cs="Arial"/>
        </w:rPr>
        <w:t>recognize</w:t>
      </w:r>
      <w:r w:rsidRPr="006B4129">
        <w:rPr>
          <w:rFonts w:ascii="Arial" w:hAnsi="Arial" w:cs="Arial"/>
        </w:rPr>
        <w:t xml:space="preserve"> the significance of regulatory initiatives aimed at building charging infrastructure. Government interventions that promote the </w:t>
      </w:r>
      <w:r w:rsidRPr="006B4129">
        <w:rPr>
          <w:rFonts w:ascii="Arial" w:hAnsi="Arial" w:cs="Arial"/>
        </w:rPr>
        <w:lastRenderedPageBreak/>
        <w:t xml:space="preserve">establishment of a robust and accessible charging network contribute to alleviating range anxiety, a crucial factor influencing consumers' decisions to adopt electric vehicles </w:t>
      </w:r>
      <w:r w:rsidR="00D47935" w:rsidRPr="00D47935">
        <w:rPr>
          <w:rFonts w:ascii="Arial" w:hAnsi="Arial" w:cs="Arial"/>
        </w:rPr>
        <w:t>(Zhang et al., 2018</w:t>
      </w:r>
      <w:r w:rsidR="00D47935">
        <w:rPr>
          <w:rFonts w:ascii="Arial" w:hAnsi="Arial" w:cs="Arial"/>
        </w:rPr>
        <w:t xml:space="preserve">; </w:t>
      </w:r>
      <w:r w:rsidR="00D47935" w:rsidRPr="00D47935">
        <w:rPr>
          <w:rFonts w:ascii="Arial" w:hAnsi="Arial" w:cs="Arial"/>
        </w:rPr>
        <w:t>Coffman, Bernstein and Wee, 2016</w:t>
      </w:r>
      <w:r w:rsidRPr="006B4129">
        <w:rPr>
          <w:rFonts w:ascii="Arial" w:hAnsi="Arial" w:cs="Arial"/>
        </w:rPr>
        <w:t>).</w:t>
      </w:r>
      <w:r w:rsidR="00A8113A">
        <w:rPr>
          <w:rFonts w:ascii="Arial" w:hAnsi="Arial" w:cs="Arial"/>
        </w:rPr>
        <w:t xml:space="preserve"> </w:t>
      </w:r>
      <w:r w:rsidRPr="006B4129">
        <w:rPr>
          <w:rFonts w:ascii="Arial" w:hAnsi="Arial" w:cs="Arial"/>
        </w:rPr>
        <w:t xml:space="preserve">Additionally, studies </w:t>
      </w:r>
      <w:r w:rsidR="00D47935">
        <w:rPr>
          <w:rFonts w:ascii="Arial" w:hAnsi="Arial" w:cs="Arial"/>
        </w:rPr>
        <w:t xml:space="preserve">by </w:t>
      </w:r>
      <w:r w:rsidR="00D47935" w:rsidRPr="00D47935">
        <w:rPr>
          <w:rFonts w:ascii="Arial" w:hAnsi="Arial" w:cs="Arial"/>
        </w:rPr>
        <w:t xml:space="preserve">Das et al. (2020) </w:t>
      </w:r>
      <w:r w:rsidR="00D47935">
        <w:rPr>
          <w:rFonts w:ascii="Arial" w:hAnsi="Arial" w:cs="Arial"/>
        </w:rPr>
        <w:t xml:space="preserve">and </w:t>
      </w:r>
      <w:r w:rsidR="00D47935" w:rsidRPr="00D47935">
        <w:rPr>
          <w:rFonts w:ascii="Arial" w:hAnsi="Arial" w:cs="Arial"/>
        </w:rPr>
        <w:t xml:space="preserve">Mahmud, Town and </w:t>
      </w:r>
      <w:proofErr w:type="spellStart"/>
      <w:r w:rsidR="00D47935" w:rsidRPr="00D47935">
        <w:rPr>
          <w:rFonts w:ascii="Arial" w:hAnsi="Arial" w:cs="Arial"/>
        </w:rPr>
        <w:t>Morsalin</w:t>
      </w:r>
      <w:proofErr w:type="spellEnd"/>
      <w:r w:rsidR="00D47935" w:rsidRPr="00D47935">
        <w:rPr>
          <w:rFonts w:ascii="Arial" w:hAnsi="Arial" w:cs="Arial"/>
        </w:rPr>
        <w:t xml:space="preserve"> (2018) </w:t>
      </w:r>
      <w:r w:rsidRPr="006B4129">
        <w:rPr>
          <w:rFonts w:ascii="Arial" w:hAnsi="Arial" w:cs="Arial"/>
        </w:rPr>
        <w:t>underscore the need for a coordinated and standardized approach to regulations across regions and countries to facilitate the seamless integration of EVs into the global automotive market. Harmonized regulations provide a stable foundation for automakers, investors, and consumers, fostering confidence in the long-term viability of electric vehicles.</w:t>
      </w:r>
    </w:p>
    <w:p w14:paraId="0EF30D55" w14:textId="6B92DD6C" w:rsidR="00C24527" w:rsidRPr="006B4129" w:rsidRDefault="00C24527" w:rsidP="006B4129">
      <w:pPr>
        <w:pStyle w:val="Heading1"/>
        <w:spacing w:line="360" w:lineRule="auto"/>
        <w:jc w:val="both"/>
        <w:rPr>
          <w:rFonts w:ascii="Arial" w:hAnsi="Arial" w:cs="Arial"/>
          <w:b/>
          <w:bCs/>
          <w:sz w:val="24"/>
          <w:szCs w:val="24"/>
        </w:rPr>
      </w:pPr>
      <w:bookmarkStart w:id="13" w:name="_Toc155128323"/>
      <w:r w:rsidRPr="006B4129">
        <w:rPr>
          <w:rFonts w:ascii="Arial" w:hAnsi="Arial" w:cs="Arial"/>
          <w:b/>
          <w:bCs/>
          <w:sz w:val="24"/>
          <w:szCs w:val="24"/>
        </w:rPr>
        <w:t>5. Limitations</w:t>
      </w:r>
      <w:bookmarkEnd w:id="13"/>
    </w:p>
    <w:p w14:paraId="29A49FBB" w14:textId="7CD8522C" w:rsidR="006B4129" w:rsidRPr="006B4129" w:rsidRDefault="006B4129" w:rsidP="006B4129">
      <w:pPr>
        <w:pStyle w:val="NormalWeb"/>
        <w:spacing w:line="360" w:lineRule="auto"/>
        <w:jc w:val="both"/>
        <w:rPr>
          <w:rFonts w:ascii="Arial" w:hAnsi="Arial" w:cs="Arial"/>
        </w:rPr>
      </w:pPr>
      <w:r w:rsidRPr="006B4129">
        <w:rPr>
          <w:rFonts w:ascii="Arial" w:hAnsi="Arial" w:cs="Arial"/>
        </w:rPr>
        <w:t xml:space="preserve">Firstly, the generalizability of the findings may be constrained by the nature of the sample. Despite employing a stratified random sampling strategy to ensure demographic diversity, the study's outcomes may primarily reflect the perspectives of certain demographic groups, potentially limiting the broader applicability of the results. Secondly, the reliance on self-reported data through the survey instrument introduces the possibility of response bias. Participants may provide socially desirable responses or their perceptions may be influenced by external factors not accounted for in the survey. </w:t>
      </w:r>
    </w:p>
    <w:p w14:paraId="404A1A4E" w14:textId="4CB9C200" w:rsidR="00C24527" w:rsidRPr="006B4129" w:rsidRDefault="00A30FFD" w:rsidP="006B4129">
      <w:pPr>
        <w:pStyle w:val="Heading1"/>
        <w:spacing w:line="360" w:lineRule="auto"/>
        <w:jc w:val="both"/>
        <w:rPr>
          <w:rFonts w:ascii="Arial" w:hAnsi="Arial" w:cs="Arial"/>
          <w:b/>
          <w:bCs/>
          <w:sz w:val="24"/>
          <w:szCs w:val="24"/>
        </w:rPr>
      </w:pPr>
      <w:bookmarkStart w:id="14" w:name="_Toc155128324"/>
      <w:r w:rsidRPr="006B4129">
        <w:rPr>
          <w:rFonts w:ascii="Arial" w:hAnsi="Arial" w:cs="Arial"/>
          <w:b/>
          <w:bCs/>
          <w:sz w:val="24"/>
          <w:szCs w:val="24"/>
        </w:rPr>
        <w:t>6</w:t>
      </w:r>
      <w:r w:rsidR="00C24527" w:rsidRPr="006B4129">
        <w:rPr>
          <w:rFonts w:ascii="Arial" w:hAnsi="Arial" w:cs="Arial"/>
          <w:b/>
          <w:bCs/>
          <w:sz w:val="24"/>
          <w:szCs w:val="24"/>
        </w:rPr>
        <w:t>. Timeframe</w:t>
      </w:r>
      <w:bookmarkEnd w:id="14"/>
    </w:p>
    <w:p w14:paraId="1B78713B" w14:textId="2C13E9C0" w:rsidR="006B4129" w:rsidRDefault="00FC6C95" w:rsidP="006B4129">
      <w:pPr>
        <w:spacing w:line="360" w:lineRule="auto"/>
        <w:jc w:val="both"/>
        <w:rPr>
          <w:rFonts w:ascii="Arial" w:hAnsi="Arial" w:cs="Arial"/>
          <w:sz w:val="24"/>
          <w:szCs w:val="24"/>
        </w:rPr>
      </w:pPr>
      <w:r>
        <w:rPr>
          <w:rFonts w:ascii="Arial" w:hAnsi="Arial" w:cs="Arial"/>
          <w:sz w:val="24"/>
          <w:szCs w:val="24"/>
        </w:rPr>
        <w:t>The time frame of the research is provided in the table below:</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850"/>
        <w:gridCol w:w="851"/>
        <w:gridCol w:w="850"/>
        <w:gridCol w:w="851"/>
        <w:gridCol w:w="926"/>
        <w:gridCol w:w="917"/>
        <w:gridCol w:w="992"/>
        <w:gridCol w:w="992"/>
      </w:tblGrid>
      <w:tr w:rsidR="00FC6C95" w:rsidRPr="00877F80" w14:paraId="41481694" w14:textId="77777777" w:rsidTr="007D21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14:paraId="17E0E152" w14:textId="77777777" w:rsidR="00FC6C95" w:rsidRPr="00877F80" w:rsidRDefault="00FC6C95" w:rsidP="007D2185">
            <w:pPr>
              <w:spacing w:after="0" w:line="240" w:lineRule="auto"/>
              <w:jc w:val="center"/>
              <w:rPr>
                <w:rFonts w:ascii="Arial" w:eastAsia="Times New Roman" w:hAnsi="Arial" w:cs="Arial"/>
                <w:b/>
                <w:bCs/>
                <w:kern w:val="0"/>
                <w:sz w:val="20"/>
                <w:szCs w:val="20"/>
                <w:lang w:val="en-IN" w:eastAsia="en-IN"/>
                <w14:ligatures w14:val="none"/>
              </w:rPr>
            </w:pPr>
            <w:r w:rsidRPr="00877F80">
              <w:rPr>
                <w:rFonts w:ascii="Arial" w:eastAsia="Times New Roman" w:hAnsi="Arial" w:cs="Arial"/>
                <w:b/>
                <w:bCs/>
                <w:color w:val="FFFFFF" w:themeColor="background1"/>
                <w:kern w:val="0"/>
                <w:sz w:val="20"/>
                <w:szCs w:val="20"/>
                <w:lang w:val="en-IN" w:eastAsia="en-IN"/>
                <w14:ligatures w14:val="none"/>
              </w:rPr>
              <w:t>Task</w:t>
            </w:r>
          </w:p>
        </w:tc>
        <w:tc>
          <w:tcPr>
            <w:tcW w:w="850" w:type="dxa"/>
            <w:hideMark/>
          </w:tcPr>
          <w:p w14:paraId="2930B3D3" w14:textId="77777777" w:rsidR="00FC6C95" w:rsidRPr="00877F80" w:rsidRDefault="00FC6C95" w:rsidP="007D21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Week 1-2</w:t>
            </w:r>
          </w:p>
        </w:tc>
        <w:tc>
          <w:tcPr>
            <w:tcW w:w="851" w:type="dxa"/>
            <w:hideMark/>
          </w:tcPr>
          <w:p w14:paraId="4C6F5F7F" w14:textId="77777777" w:rsidR="00FC6C95" w:rsidRPr="00877F80" w:rsidRDefault="00FC6C95" w:rsidP="007D21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Week 3-4</w:t>
            </w:r>
          </w:p>
        </w:tc>
        <w:tc>
          <w:tcPr>
            <w:tcW w:w="850" w:type="dxa"/>
            <w:hideMark/>
          </w:tcPr>
          <w:p w14:paraId="67AF6DAA" w14:textId="77777777" w:rsidR="00FC6C95" w:rsidRPr="00877F80" w:rsidRDefault="00FC6C95" w:rsidP="007D21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Week 5-6</w:t>
            </w:r>
          </w:p>
        </w:tc>
        <w:tc>
          <w:tcPr>
            <w:tcW w:w="851" w:type="dxa"/>
            <w:hideMark/>
          </w:tcPr>
          <w:p w14:paraId="500F0D7D" w14:textId="77777777" w:rsidR="00FC6C95" w:rsidRPr="00877F80" w:rsidRDefault="00FC6C95" w:rsidP="007D21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Week 7-8</w:t>
            </w:r>
          </w:p>
        </w:tc>
        <w:tc>
          <w:tcPr>
            <w:tcW w:w="926" w:type="dxa"/>
            <w:hideMark/>
          </w:tcPr>
          <w:p w14:paraId="6C85627A" w14:textId="77777777" w:rsidR="00FC6C95" w:rsidRPr="00877F80" w:rsidRDefault="00FC6C95" w:rsidP="007D21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Week 9-10</w:t>
            </w:r>
          </w:p>
        </w:tc>
        <w:tc>
          <w:tcPr>
            <w:tcW w:w="917" w:type="dxa"/>
            <w:hideMark/>
          </w:tcPr>
          <w:p w14:paraId="541FDC01" w14:textId="77777777" w:rsidR="00FC6C95" w:rsidRPr="00877F80" w:rsidRDefault="00FC6C95" w:rsidP="007D21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Week 11-12</w:t>
            </w:r>
          </w:p>
        </w:tc>
        <w:tc>
          <w:tcPr>
            <w:tcW w:w="992" w:type="dxa"/>
            <w:hideMark/>
          </w:tcPr>
          <w:p w14:paraId="6547EB9A" w14:textId="77777777" w:rsidR="00FC6C95" w:rsidRPr="00877F80" w:rsidRDefault="00FC6C95" w:rsidP="007D21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Week 13-14</w:t>
            </w:r>
          </w:p>
        </w:tc>
        <w:tc>
          <w:tcPr>
            <w:tcW w:w="992" w:type="dxa"/>
            <w:hideMark/>
          </w:tcPr>
          <w:p w14:paraId="1326599A" w14:textId="77777777" w:rsidR="00FC6C95" w:rsidRPr="00877F80" w:rsidRDefault="00FC6C95" w:rsidP="007D21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Week 15-16</w:t>
            </w:r>
          </w:p>
        </w:tc>
      </w:tr>
      <w:tr w:rsidR="00FC6C95" w:rsidRPr="00877F80" w14:paraId="6F590573" w14:textId="77777777" w:rsidTr="007D21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14:paraId="0596F6FF" w14:textId="77777777" w:rsidR="00FC6C95" w:rsidRPr="00877F80" w:rsidRDefault="00FC6C95" w:rsidP="007D2185">
            <w:pPr>
              <w:rPr>
                <w:rFonts w:ascii="Arial" w:eastAsia="Times New Roman" w:hAnsi="Arial" w:cs="Arial"/>
                <w:b w:val="0"/>
                <w:bCs w:val="0"/>
                <w:kern w:val="0"/>
                <w:sz w:val="20"/>
                <w:szCs w:val="20"/>
                <w:lang w:val="en-IN" w:eastAsia="en-IN"/>
                <w14:ligatures w14:val="none"/>
              </w:rPr>
            </w:pPr>
            <w:r w:rsidRPr="00877F80">
              <w:rPr>
                <w:rFonts w:ascii="Arial" w:eastAsia="Times New Roman" w:hAnsi="Arial" w:cs="Arial"/>
                <w:b w:val="0"/>
                <w:bCs w:val="0"/>
                <w:kern w:val="0"/>
                <w:sz w:val="20"/>
                <w:szCs w:val="20"/>
                <w:lang w:val="en-IN" w:eastAsia="en-IN"/>
                <w14:ligatures w14:val="none"/>
              </w:rPr>
              <w:t xml:space="preserve">Proposal </w:t>
            </w:r>
          </w:p>
        </w:tc>
        <w:tc>
          <w:tcPr>
            <w:tcW w:w="850" w:type="dxa"/>
            <w:hideMark/>
          </w:tcPr>
          <w:p w14:paraId="0B8E5634"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Pr>
                <w:rFonts w:ascii="Arial" w:eastAsia="Times New Roman" w:hAnsi="Arial" w:cs="Arial"/>
                <w:kern w:val="0"/>
                <w:sz w:val="20"/>
                <w:szCs w:val="20"/>
                <w:lang w:val="en-IN" w:eastAsia="en-IN"/>
                <w14:ligatures w14:val="none"/>
              </w:rPr>
              <w:t>-</w:t>
            </w:r>
          </w:p>
        </w:tc>
        <w:tc>
          <w:tcPr>
            <w:tcW w:w="851" w:type="dxa"/>
            <w:hideMark/>
          </w:tcPr>
          <w:p w14:paraId="6E8DB9E4"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0" w:type="dxa"/>
            <w:hideMark/>
          </w:tcPr>
          <w:p w14:paraId="4E215816"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703D325C"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26" w:type="dxa"/>
            <w:hideMark/>
          </w:tcPr>
          <w:p w14:paraId="76C1E29D"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17" w:type="dxa"/>
            <w:hideMark/>
          </w:tcPr>
          <w:p w14:paraId="071F9028"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60EA1064"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0E83BF92"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r>
      <w:tr w:rsidR="00FC6C95" w:rsidRPr="00877F80" w14:paraId="48C1C71F" w14:textId="77777777" w:rsidTr="007D2185">
        <w:tc>
          <w:tcPr>
            <w:cnfStyle w:val="001000000000" w:firstRow="0" w:lastRow="0" w:firstColumn="1" w:lastColumn="0" w:oddVBand="0" w:evenVBand="0" w:oddHBand="0" w:evenHBand="0" w:firstRowFirstColumn="0" w:firstRowLastColumn="0" w:lastRowFirstColumn="0" w:lastRowLastColumn="0"/>
            <w:tcW w:w="1413" w:type="dxa"/>
            <w:hideMark/>
          </w:tcPr>
          <w:p w14:paraId="4532FC92" w14:textId="77777777" w:rsidR="00FC6C95" w:rsidRPr="00877F80" w:rsidRDefault="00FC6C95" w:rsidP="007D2185">
            <w:pPr>
              <w:spacing w:after="0" w:line="240" w:lineRule="auto"/>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 xml:space="preserve">Literature Review </w:t>
            </w:r>
          </w:p>
        </w:tc>
        <w:tc>
          <w:tcPr>
            <w:tcW w:w="850" w:type="dxa"/>
            <w:hideMark/>
          </w:tcPr>
          <w:p w14:paraId="5010472D"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1B8776E5"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Pr>
                <w:rFonts w:ascii="Arial" w:eastAsia="Times New Roman" w:hAnsi="Arial" w:cs="Arial"/>
                <w:kern w:val="0"/>
                <w:sz w:val="20"/>
                <w:szCs w:val="20"/>
                <w:lang w:val="en-IN" w:eastAsia="en-IN"/>
                <w14:ligatures w14:val="none"/>
              </w:rPr>
              <w:t>-</w:t>
            </w:r>
          </w:p>
        </w:tc>
        <w:tc>
          <w:tcPr>
            <w:tcW w:w="850" w:type="dxa"/>
            <w:hideMark/>
          </w:tcPr>
          <w:p w14:paraId="36E8F819"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2282A6CF"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26" w:type="dxa"/>
            <w:hideMark/>
          </w:tcPr>
          <w:p w14:paraId="094610DE"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17" w:type="dxa"/>
            <w:hideMark/>
          </w:tcPr>
          <w:p w14:paraId="6001DAEE"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4238C4D6"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16E4208F"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r>
      <w:tr w:rsidR="00FC6C95" w:rsidRPr="00877F80" w14:paraId="05AC8404" w14:textId="77777777" w:rsidTr="007D21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14:paraId="4D00BA71" w14:textId="77777777" w:rsidR="00FC6C95" w:rsidRPr="00877F80" w:rsidRDefault="00FC6C95" w:rsidP="007D2185">
            <w:pPr>
              <w:spacing w:after="0" w:line="240" w:lineRule="auto"/>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Methodology</w:t>
            </w:r>
          </w:p>
        </w:tc>
        <w:tc>
          <w:tcPr>
            <w:tcW w:w="850" w:type="dxa"/>
            <w:hideMark/>
          </w:tcPr>
          <w:p w14:paraId="2FFD5426"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2491FA24"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0" w:type="dxa"/>
            <w:hideMark/>
          </w:tcPr>
          <w:p w14:paraId="0F3603BC"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Pr>
                <w:rFonts w:ascii="Arial" w:eastAsia="Times New Roman" w:hAnsi="Arial" w:cs="Arial"/>
                <w:kern w:val="0"/>
                <w:sz w:val="20"/>
                <w:szCs w:val="20"/>
                <w:lang w:val="en-IN" w:eastAsia="en-IN"/>
                <w14:ligatures w14:val="none"/>
              </w:rPr>
              <w:t>-</w:t>
            </w:r>
          </w:p>
        </w:tc>
        <w:tc>
          <w:tcPr>
            <w:tcW w:w="851" w:type="dxa"/>
            <w:hideMark/>
          </w:tcPr>
          <w:p w14:paraId="2639EFCE"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26" w:type="dxa"/>
            <w:hideMark/>
          </w:tcPr>
          <w:p w14:paraId="17B187A2"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17" w:type="dxa"/>
            <w:hideMark/>
          </w:tcPr>
          <w:p w14:paraId="10AD0482"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58929A9C"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0B423308"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r>
      <w:tr w:rsidR="00FC6C95" w:rsidRPr="00877F80" w14:paraId="01D866AD" w14:textId="77777777" w:rsidTr="007D2185">
        <w:tc>
          <w:tcPr>
            <w:cnfStyle w:val="001000000000" w:firstRow="0" w:lastRow="0" w:firstColumn="1" w:lastColumn="0" w:oddVBand="0" w:evenVBand="0" w:oddHBand="0" w:evenHBand="0" w:firstRowFirstColumn="0" w:firstRowLastColumn="0" w:lastRowFirstColumn="0" w:lastRowLastColumn="0"/>
            <w:tcW w:w="1413" w:type="dxa"/>
            <w:hideMark/>
          </w:tcPr>
          <w:p w14:paraId="46513338" w14:textId="77777777" w:rsidR="00FC6C95" w:rsidRPr="00877F80" w:rsidRDefault="00FC6C95" w:rsidP="007D2185">
            <w:pPr>
              <w:spacing w:after="0" w:line="240" w:lineRule="auto"/>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Data Collection</w:t>
            </w:r>
          </w:p>
        </w:tc>
        <w:tc>
          <w:tcPr>
            <w:tcW w:w="850" w:type="dxa"/>
            <w:hideMark/>
          </w:tcPr>
          <w:p w14:paraId="3426B3CD"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4BCC8BC0"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0" w:type="dxa"/>
            <w:hideMark/>
          </w:tcPr>
          <w:p w14:paraId="011A1B26"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61901E79"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Pr>
                <w:rFonts w:ascii="Arial" w:eastAsia="Times New Roman" w:hAnsi="Arial" w:cs="Arial"/>
                <w:kern w:val="0"/>
                <w:sz w:val="20"/>
                <w:szCs w:val="20"/>
                <w:lang w:val="en-IN" w:eastAsia="en-IN"/>
                <w14:ligatures w14:val="none"/>
              </w:rPr>
              <w:t>-</w:t>
            </w:r>
          </w:p>
        </w:tc>
        <w:tc>
          <w:tcPr>
            <w:tcW w:w="926" w:type="dxa"/>
            <w:hideMark/>
          </w:tcPr>
          <w:p w14:paraId="70EE0576"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17" w:type="dxa"/>
            <w:hideMark/>
          </w:tcPr>
          <w:p w14:paraId="76546EAF"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2027224B"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185B4E52"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r>
      <w:tr w:rsidR="00FC6C95" w:rsidRPr="00877F80" w14:paraId="359F8CDD" w14:textId="77777777" w:rsidTr="007D21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14:paraId="65E7A7E1" w14:textId="77777777" w:rsidR="00FC6C95" w:rsidRPr="00877F80" w:rsidRDefault="00FC6C95" w:rsidP="007D2185">
            <w:pPr>
              <w:spacing w:after="0" w:line="240" w:lineRule="auto"/>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Data Analysis</w:t>
            </w:r>
          </w:p>
        </w:tc>
        <w:tc>
          <w:tcPr>
            <w:tcW w:w="850" w:type="dxa"/>
            <w:hideMark/>
          </w:tcPr>
          <w:p w14:paraId="032042F4"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07B53774"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0" w:type="dxa"/>
            <w:hideMark/>
          </w:tcPr>
          <w:p w14:paraId="4E1D0215"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49E5BF27"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26" w:type="dxa"/>
            <w:hideMark/>
          </w:tcPr>
          <w:p w14:paraId="0DE31C6E"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Pr>
                <w:rFonts w:ascii="Arial" w:eastAsia="Times New Roman" w:hAnsi="Arial" w:cs="Arial"/>
                <w:kern w:val="0"/>
                <w:sz w:val="20"/>
                <w:szCs w:val="20"/>
                <w:lang w:val="en-IN" w:eastAsia="en-IN"/>
                <w14:ligatures w14:val="none"/>
              </w:rPr>
              <w:t>-</w:t>
            </w:r>
          </w:p>
        </w:tc>
        <w:tc>
          <w:tcPr>
            <w:tcW w:w="917" w:type="dxa"/>
            <w:hideMark/>
          </w:tcPr>
          <w:p w14:paraId="5CC65298"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3F5B789F"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332F38B7"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r>
      <w:tr w:rsidR="00FC6C95" w:rsidRPr="00877F80" w14:paraId="602393D9" w14:textId="77777777" w:rsidTr="007D2185">
        <w:tc>
          <w:tcPr>
            <w:cnfStyle w:val="001000000000" w:firstRow="0" w:lastRow="0" w:firstColumn="1" w:lastColumn="0" w:oddVBand="0" w:evenVBand="0" w:oddHBand="0" w:evenHBand="0" w:firstRowFirstColumn="0" w:firstRowLastColumn="0" w:lastRowFirstColumn="0" w:lastRowLastColumn="0"/>
            <w:tcW w:w="1413" w:type="dxa"/>
            <w:hideMark/>
          </w:tcPr>
          <w:p w14:paraId="44EBBF98" w14:textId="77777777" w:rsidR="00FC6C95" w:rsidRPr="00877F80" w:rsidRDefault="00FC6C95" w:rsidP="007D2185">
            <w:pPr>
              <w:spacing w:after="0" w:line="240" w:lineRule="auto"/>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Discussion and Conclusion</w:t>
            </w:r>
          </w:p>
        </w:tc>
        <w:tc>
          <w:tcPr>
            <w:tcW w:w="850" w:type="dxa"/>
            <w:hideMark/>
          </w:tcPr>
          <w:p w14:paraId="232204BC"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6B1C63F4"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0" w:type="dxa"/>
            <w:hideMark/>
          </w:tcPr>
          <w:p w14:paraId="3B3388AB"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430ED9DE"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26" w:type="dxa"/>
            <w:hideMark/>
          </w:tcPr>
          <w:p w14:paraId="2BC8FA02"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17" w:type="dxa"/>
            <w:hideMark/>
          </w:tcPr>
          <w:p w14:paraId="582BE8D4"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Pr>
                <w:rFonts w:ascii="Arial" w:eastAsia="Times New Roman" w:hAnsi="Arial" w:cs="Arial"/>
                <w:kern w:val="0"/>
                <w:sz w:val="20"/>
                <w:szCs w:val="20"/>
                <w:lang w:val="en-IN" w:eastAsia="en-IN"/>
                <w14:ligatures w14:val="none"/>
              </w:rPr>
              <w:t>-</w:t>
            </w:r>
          </w:p>
        </w:tc>
        <w:tc>
          <w:tcPr>
            <w:tcW w:w="992" w:type="dxa"/>
            <w:hideMark/>
          </w:tcPr>
          <w:p w14:paraId="278FFF82"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5A49E6AE" w14:textId="77777777" w:rsidR="00FC6C95" w:rsidRPr="00877F80" w:rsidRDefault="00FC6C95" w:rsidP="007D2185">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p>
        </w:tc>
      </w:tr>
      <w:tr w:rsidR="00FC6C95" w:rsidRPr="00877F80" w14:paraId="031A2F35" w14:textId="77777777" w:rsidTr="007D21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hideMark/>
          </w:tcPr>
          <w:p w14:paraId="4FEBE896" w14:textId="77777777" w:rsidR="00FC6C95" w:rsidRPr="00877F80" w:rsidRDefault="00FC6C95" w:rsidP="007D2185">
            <w:pPr>
              <w:spacing w:after="0" w:line="240" w:lineRule="auto"/>
              <w:rPr>
                <w:rFonts w:ascii="Arial" w:eastAsia="Times New Roman" w:hAnsi="Arial" w:cs="Arial"/>
                <w:kern w:val="0"/>
                <w:sz w:val="20"/>
                <w:szCs w:val="20"/>
                <w:lang w:val="en-IN" w:eastAsia="en-IN"/>
                <w14:ligatures w14:val="none"/>
              </w:rPr>
            </w:pPr>
            <w:r w:rsidRPr="00877F80">
              <w:rPr>
                <w:rFonts w:ascii="Arial" w:eastAsia="Times New Roman" w:hAnsi="Arial" w:cs="Arial"/>
                <w:kern w:val="0"/>
                <w:sz w:val="20"/>
                <w:szCs w:val="20"/>
                <w:lang w:val="en-IN" w:eastAsia="en-IN"/>
                <w14:ligatures w14:val="none"/>
              </w:rPr>
              <w:t>Finalize and Review</w:t>
            </w:r>
          </w:p>
        </w:tc>
        <w:tc>
          <w:tcPr>
            <w:tcW w:w="850" w:type="dxa"/>
            <w:hideMark/>
          </w:tcPr>
          <w:p w14:paraId="2846ACE4"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3A637DF8"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0" w:type="dxa"/>
            <w:hideMark/>
          </w:tcPr>
          <w:p w14:paraId="15E47674"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851" w:type="dxa"/>
            <w:hideMark/>
          </w:tcPr>
          <w:p w14:paraId="78A0EE12"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26" w:type="dxa"/>
            <w:hideMark/>
          </w:tcPr>
          <w:p w14:paraId="50DA0FA4"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17" w:type="dxa"/>
            <w:hideMark/>
          </w:tcPr>
          <w:p w14:paraId="5896DE05"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p>
        </w:tc>
        <w:tc>
          <w:tcPr>
            <w:tcW w:w="992" w:type="dxa"/>
            <w:hideMark/>
          </w:tcPr>
          <w:p w14:paraId="2ED03EAF"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Pr>
                <w:rFonts w:ascii="Arial" w:eastAsia="Times New Roman" w:hAnsi="Arial" w:cs="Arial"/>
                <w:kern w:val="0"/>
                <w:sz w:val="20"/>
                <w:szCs w:val="20"/>
                <w:lang w:val="en-IN" w:eastAsia="en-IN"/>
                <w14:ligatures w14:val="none"/>
              </w:rPr>
              <w:t>-</w:t>
            </w:r>
          </w:p>
        </w:tc>
        <w:tc>
          <w:tcPr>
            <w:tcW w:w="992" w:type="dxa"/>
            <w:hideMark/>
          </w:tcPr>
          <w:p w14:paraId="06018363" w14:textId="77777777" w:rsidR="00FC6C95" w:rsidRPr="00877F80" w:rsidRDefault="00FC6C95" w:rsidP="007D2185">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Pr>
                <w:rFonts w:ascii="Arial" w:eastAsia="Times New Roman" w:hAnsi="Arial" w:cs="Arial"/>
                <w:kern w:val="0"/>
                <w:sz w:val="20"/>
                <w:szCs w:val="20"/>
                <w:lang w:val="en-IN" w:eastAsia="en-IN"/>
                <w14:ligatures w14:val="none"/>
              </w:rPr>
              <w:t>-</w:t>
            </w:r>
          </w:p>
        </w:tc>
      </w:tr>
    </w:tbl>
    <w:p w14:paraId="4A5E1F3A" w14:textId="77777777" w:rsidR="00FC6C95" w:rsidRPr="006B4129" w:rsidRDefault="00FC6C95" w:rsidP="006B4129">
      <w:pPr>
        <w:spacing w:line="360" w:lineRule="auto"/>
        <w:jc w:val="both"/>
        <w:rPr>
          <w:rFonts w:ascii="Arial" w:hAnsi="Arial" w:cs="Arial"/>
          <w:sz w:val="24"/>
          <w:szCs w:val="24"/>
        </w:rPr>
      </w:pPr>
    </w:p>
    <w:p w14:paraId="111BF139" w14:textId="70A68795" w:rsidR="00442C71" w:rsidRPr="006B4129" w:rsidRDefault="00A30FFD" w:rsidP="006B4129">
      <w:pPr>
        <w:pStyle w:val="Heading1"/>
        <w:spacing w:line="360" w:lineRule="auto"/>
        <w:jc w:val="both"/>
        <w:rPr>
          <w:rFonts w:ascii="Arial" w:hAnsi="Arial" w:cs="Arial"/>
          <w:b/>
          <w:bCs/>
          <w:sz w:val="24"/>
          <w:szCs w:val="24"/>
        </w:rPr>
      </w:pPr>
      <w:bookmarkStart w:id="15" w:name="_Toc155128325"/>
      <w:r w:rsidRPr="006B4129">
        <w:rPr>
          <w:rFonts w:ascii="Arial" w:hAnsi="Arial" w:cs="Arial"/>
          <w:b/>
          <w:bCs/>
          <w:sz w:val="24"/>
          <w:szCs w:val="24"/>
        </w:rPr>
        <w:lastRenderedPageBreak/>
        <w:t>7</w:t>
      </w:r>
      <w:r w:rsidR="00C24527" w:rsidRPr="006B4129">
        <w:rPr>
          <w:rFonts w:ascii="Arial" w:hAnsi="Arial" w:cs="Arial"/>
          <w:b/>
          <w:bCs/>
          <w:sz w:val="24"/>
          <w:szCs w:val="24"/>
        </w:rPr>
        <w:t>. Conclusion</w:t>
      </w:r>
      <w:bookmarkEnd w:id="15"/>
    </w:p>
    <w:p w14:paraId="285D6D96" w14:textId="2CBBE703" w:rsidR="003C6EC3" w:rsidRPr="006B4129" w:rsidRDefault="006B4129" w:rsidP="006B4129">
      <w:pPr>
        <w:spacing w:before="240" w:line="360" w:lineRule="auto"/>
        <w:jc w:val="both"/>
        <w:rPr>
          <w:rFonts w:ascii="Arial" w:hAnsi="Arial" w:cs="Arial"/>
          <w:sz w:val="24"/>
          <w:szCs w:val="24"/>
        </w:rPr>
      </w:pPr>
      <w:r w:rsidRPr="006B4129">
        <w:rPr>
          <w:rFonts w:ascii="Arial" w:hAnsi="Arial" w:cs="Arial"/>
          <w:sz w:val="24"/>
          <w:szCs w:val="24"/>
        </w:rPr>
        <w:t xml:space="preserve">This research </w:t>
      </w:r>
      <w:r w:rsidR="00A8113A" w:rsidRPr="006B4129">
        <w:rPr>
          <w:rFonts w:ascii="Arial" w:hAnsi="Arial" w:cs="Arial"/>
          <w:sz w:val="24"/>
          <w:szCs w:val="24"/>
        </w:rPr>
        <w:t>endeavour</w:t>
      </w:r>
      <w:r w:rsidRPr="006B4129">
        <w:rPr>
          <w:rFonts w:ascii="Arial" w:hAnsi="Arial" w:cs="Arial"/>
          <w:sz w:val="24"/>
          <w:szCs w:val="24"/>
        </w:rPr>
        <w:t xml:space="preserve"> aims to provide a comprehensive understanding of Tesla's competitive advantage in the UK auto industry, specifically focusing on factors such as consumer decision-making in electric vehicle adoption, the role of branding and marketing, the impact of charging infrastructure, and government policies shaping the electric vehicle market. The projected 16-week timeline outlines a systematic approach, from project inception and literature review to survey design, data collection, analysis, and finalization. Recognizing the limitations, such as potential sample biases and the reliance on self-reported data, this study seeks to contribute valuable insights to the dynamic discourse surrounding electric vehicle adoption and competitive positioning within the automotive sector. </w:t>
      </w:r>
      <w:r w:rsidR="00A8113A">
        <w:rPr>
          <w:rFonts w:ascii="Arial" w:hAnsi="Arial" w:cs="Arial"/>
          <w:sz w:val="24"/>
          <w:szCs w:val="24"/>
        </w:rPr>
        <w:t>This</w:t>
      </w:r>
      <w:r w:rsidRPr="006B4129">
        <w:rPr>
          <w:rFonts w:ascii="Arial" w:hAnsi="Arial" w:cs="Arial"/>
          <w:sz w:val="24"/>
          <w:szCs w:val="24"/>
        </w:rPr>
        <w:t xml:space="preserve"> research </w:t>
      </w:r>
      <w:r w:rsidR="00A8113A" w:rsidRPr="006B4129">
        <w:rPr>
          <w:rFonts w:ascii="Arial" w:hAnsi="Arial" w:cs="Arial"/>
          <w:sz w:val="24"/>
          <w:szCs w:val="24"/>
        </w:rPr>
        <w:t>endeavours</w:t>
      </w:r>
      <w:r w:rsidRPr="006B4129">
        <w:rPr>
          <w:rFonts w:ascii="Arial" w:hAnsi="Arial" w:cs="Arial"/>
          <w:sz w:val="24"/>
          <w:szCs w:val="24"/>
        </w:rPr>
        <w:t xml:space="preserve"> to shed light on the nuanced interplay of factors influencing consumer perceptions of Tesla in the UK, ultimately providing a foundation for informed </w:t>
      </w:r>
      <w:r w:rsidR="00D47935" w:rsidRPr="006B4129">
        <w:rPr>
          <w:rFonts w:ascii="Arial" w:hAnsi="Arial" w:cs="Arial"/>
          <w:sz w:val="24"/>
          <w:szCs w:val="24"/>
        </w:rPr>
        <w:t>recommendations,</w:t>
      </w:r>
      <w:r w:rsidRPr="006B4129">
        <w:rPr>
          <w:rFonts w:ascii="Arial" w:hAnsi="Arial" w:cs="Arial"/>
          <w:sz w:val="24"/>
          <w:szCs w:val="24"/>
        </w:rPr>
        <w:t xml:space="preserve"> and contributing to the broader understanding of sustainable transportation dynamics. </w:t>
      </w:r>
    </w:p>
    <w:p w14:paraId="09A0C913" w14:textId="77777777" w:rsidR="003C6EC3" w:rsidRDefault="003C6EC3" w:rsidP="003C6EC3">
      <w:pPr>
        <w:spacing w:before="240" w:line="360" w:lineRule="auto"/>
        <w:jc w:val="both"/>
        <w:rPr>
          <w:rFonts w:ascii="Arial" w:hAnsi="Arial" w:cs="Arial"/>
          <w:sz w:val="24"/>
          <w:szCs w:val="24"/>
        </w:rPr>
      </w:pPr>
    </w:p>
    <w:p w14:paraId="77FB559E" w14:textId="77777777" w:rsidR="003C6EC3" w:rsidRDefault="003C6EC3" w:rsidP="003C6EC3">
      <w:pPr>
        <w:spacing w:before="240" w:line="360" w:lineRule="auto"/>
        <w:jc w:val="both"/>
        <w:rPr>
          <w:rFonts w:ascii="Arial" w:hAnsi="Arial" w:cs="Arial"/>
          <w:sz w:val="24"/>
          <w:szCs w:val="24"/>
        </w:rPr>
      </w:pPr>
    </w:p>
    <w:p w14:paraId="09F1DB9F" w14:textId="77777777" w:rsidR="00E20E92" w:rsidRDefault="00E20E92" w:rsidP="003C6EC3">
      <w:pPr>
        <w:spacing w:before="240" w:line="360" w:lineRule="auto"/>
        <w:jc w:val="both"/>
        <w:rPr>
          <w:rFonts w:ascii="Arial" w:hAnsi="Arial" w:cs="Arial"/>
          <w:sz w:val="24"/>
          <w:szCs w:val="24"/>
        </w:rPr>
      </w:pPr>
    </w:p>
    <w:p w14:paraId="370DE636" w14:textId="77777777" w:rsidR="003C6EC3" w:rsidRDefault="003C6EC3" w:rsidP="003C6EC3">
      <w:pPr>
        <w:spacing w:before="240" w:line="360" w:lineRule="auto"/>
        <w:jc w:val="both"/>
        <w:rPr>
          <w:rFonts w:ascii="Arial" w:hAnsi="Arial" w:cs="Arial"/>
          <w:sz w:val="24"/>
          <w:szCs w:val="24"/>
        </w:rPr>
      </w:pPr>
    </w:p>
    <w:p w14:paraId="24207E36" w14:textId="77777777" w:rsidR="003C6EC3" w:rsidRDefault="003C6EC3" w:rsidP="003C6EC3">
      <w:pPr>
        <w:spacing w:before="240" w:line="360" w:lineRule="auto"/>
        <w:jc w:val="both"/>
        <w:rPr>
          <w:rFonts w:ascii="Arial" w:hAnsi="Arial" w:cs="Arial"/>
          <w:sz w:val="24"/>
          <w:szCs w:val="24"/>
        </w:rPr>
      </w:pPr>
    </w:p>
    <w:p w14:paraId="2206B45B" w14:textId="77777777" w:rsidR="00DA7663" w:rsidRDefault="00DA7663" w:rsidP="003C6EC3">
      <w:pPr>
        <w:spacing w:before="240" w:line="360" w:lineRule="auto"/>
        <w:jc w:val="both"/>
        <w:rPr>
          <w:rFonts w:ascii="Arial" w:hAnsi="Arial" w:cs="Arial"/>
          <w:sz w:val="24"/>
          <w:szCs w:val="24"/>
        </w:rPr>
      </w:pPr>
    </w:p>
    <w:p w14:paraId="086C4660" w14:textId="77777777" w:rsidR="00DA7663" w:rsidRDefault="00DA7663" w:rsidP="003C6EC3">
      <w:pPr>
        <w:spacing w:before="240" w:line="360" w:lineRule="auto"/>
        <w:jc w:val="both"/>
        <w:rPr>
          <w:rFonts w:ascii="Arial" w:hAnsi="Arial" w:cs="Arial"/>
          <w:sz w:val="24"/>
          <w:szCs w:val="24"/>
        </w:rPr>
      </w:pPr>
    </w:p>
    <w:p w14:paraId="70D3C2C8" w14:textId="77777777" w:rsidR="00DA7663" w:rsidRDefault="00DA7663" w:rsidP="003C6EC3">
      <w:pPr>
        <w:spacing w:before="240" w:line="360" w:lineRule="auto"/>
        <w:jc w:val="both"/>
        <w:rPr>
          <w:rFonts w:ascii="Arial" w:hAnsi="Arial" w:cs="Arial"/>
          <w:sz w:val="24"/>
          <w:szCs w:val="24"/>
        </w:rPr>
      </w:pPr>
    </w:p>
    <w:p w14:paraId="1AA6A54A" w14:textId="77777777" w:rsidR="00DA7663" w:rsidRDefault="00DA7663" w:rsidP="003C6EC3">
      <w:pPr>
        <w:spacing w:before="240" w:line="360" w:lineRule="auto"/>
        <w:jc w:val="both"/>
        <w:rPr>
          <w:rFonts w:ascii="Arial" w:hAnsi="Arial" w:cs="Arial"/>
          <w:sz w:val="24"/>
          <w:szCs w:val="24"/>
        </w:rPr>
      </w:pPr>
    </w:p>
    <w:p w14:paraId="794AD762" w14:textId="77777777" w:rsidR="00DA7663" w:rsidRDefault="00DA7663" w:rsidP="003C6EC3">
      <w:pPr>
        <w:spacing w:before="240" w:line="360" w:lineRule="auto"/>
        <w:jc w:val="both"/>
        <w:rPr>
          <w:rFonts w:ascii="Arial" w:hAnsi="Arial" w:cs="Arial"/>
          <w:sz w:val="24"/>
          <w:szCs w:val="24"/>
        </w:rPr>
      </w:pPr>
    </w:p>
    <w:p w14:paraId="3B581FD7" w14:textId="60D918A4" w:rsidR="003C6EC3" w:rsidRPr="003C6EC3" w:rsidRDefault="003C6EC3" w:rsidP="003C6EC3">
      <w:pPr>
        <w:pStyle w:val="Heading1"/>
        <w:spacing w:line="360" w:lineRule="auto"/>
        <w:jc w:val="both"/>
        <w:rPr>
          <w:rFonts w:ascii="Arial" w:hAnsi="Arial" w:cs="Arial"/>
          <w:b/>
          <w:bCs/>
          <w:sz w:val="24"/>
          <w:szCs w:val="24"/>
        </w:rPr>
      </w:pPr>
      <w:bookmarkStart w:id="16" w:name="_Toc155128326"/>
      <w:r>
        <w:rPr>
          <w:rFonts w:ascii="Arial" w:hAnsi="Arial" w:cs="Arial"/>
          <w:b/>
          <w:bCs/>
          <w:sz w:val="24"/>
          <w:szCs w:val="24"/>
        </w:rPr>
        <w:lastRenderedPageBreak/>
        <w:t>References</w:t>
      </w:r>
      <w:bookmarkEnd w:id="16"/>
    </w:p>
    <w:p w14:paraId="41518B82"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Aaker, D.A. (1996) 'Measuring brand equity across products and markets,' </w:t>
      </w:r>
      <w:r w:rsidRPr="00FC6C95">
        <w:rPr>
          <w:rFonts w:ascii="Arial" w:hAnsi="Arial" w:cs="Arial"/>
          <w:i/>
          <w:iCs/>
        </w:rPr>
        <w:t>California Management Review</w:t>
      </w:r>
      <w:r w:rsidRPr="00FC6C95">
        <w:rPr>
          <w:rFonts w:ascii="Arial" w:hAnsi="Arial" w:cs="Arial"/>
        </w:rPr>
        <w:t>, 38(3), pp. 102–120. https://doi.org/10.2307/41165845.</w:t>
      </w:r>
    </w:p>
    <w:p w14:paraId="7061C288"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Adhikari, M. </w:t>
      </w:r>
      <w:r w:rsidRPr="00FC6C95">
        <w:rPr>
          <w:rFonts w:ascii="Arial" w:hAnsi="Arial" w:cs="Arial"/>
          <w:i/>
          <w:iCs/>
        </w:rPr>
        <w:t>et al.</w:t>
      </w:r>
      <w:r w:rsidRPr="00FC6C95">
        <w:rPr>
          <w:rFonts w:ascii="Arial" w:hAnsi="Arial" w:cs="Arial"/>
        </w:rPr>
        <w:t xml:space="preserve"> (2020) 'Identification and Analysis of Barriers against Electric Vehicle Use,' </w:t>
      </w:r>
      <w:r w:rsidRPr="00FC6C95">
        <w:rPr>
          <w:rFonts w:ascii="Arial" w:hAnsi="Arial" w:cs="Arial"/>
          <w:i/>
          <w:iCs/>
        </w:rPr>
        <w:t>Sustainability</w:t>
      </w:r>
      <w:r w:rsidRPr="00FC6C95">
        <w:rPr>
          <w:rFonts w:ascii="Arial" w:hAnsi="Arial" w:cs="Arial"/>
        </w:rPr>
        <w:t>, 12(12), p. 4850. https://doi.org/10.3390/su12124850.</w:t>
      </w:r>
    </w:p>
    <w:p w14:paraId="7170C01B"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Barth, M., </w:t>
      </w:r>
      <w:proofErr w:type="spellStart"/>
      <w:r w:rsidRPr="00FC6C95">
        <w:rPr>
          <w:rFonts w:ascii="Arial" w:hAnsi="Arial" w:cs="Arial"/>
        </w:rPr>
        <w:t>Jugert</w:t>
      </w:r>
      <w:proofErr w:type="spellEnd"/>
      <w:r w:rsidRPr="00FC6C95">
        <w:rPr>
          <w:rFonts w:ascii="Arial" w:hAnsi="Arial" w:cs="Arial"/>
        </w:rPr>
        <w:t xml:space="preserve">, P. and Fritsche, I. (2016) 'Still </w:t>
      </w:r>
      <w:proofErr w:type="spellStart"/>
      <w:r w:rsidRPr="00FC6C95">
        <w:rPr>
          <w:rFonts w:ascii="Arial" w:hAnsi="Arial" w:cs="Arial"/>
        </w:rPr>
        <w:t>underdetected</w:t>
      </w:r>
      <w:proofErr w:type="spellEnd"/>
      <w:r w:rsidRPr="00FC6C95">
        <w:rPr>
          <w:rFonts w:ascii="Arial" w:hAnsi="Arial" w:cs="Arial"/>
        </w:rPr>
        <w:t xml:space="preserve"> – Social norms and collective efficacy predict the acceptance of electric vehicles in Germany,' </w:t>
      </w:r>
      <w:r w:rsidRPr="00FC6C95">
        <w:rPr>
          <w:rFonts w:ascii="Arial" w:hAnsi="Arial" w:cs="Arial"/>
          <w:i/>
          <w:iCs/>
        </w:rPr>
        <w:t>Transportation Research Part F: Traffic Psychology and Behaviour</w:t>
      </w:r>
      <w:r w:rsidRPr="00FC6C95">
        <w:rPr>
          <w:rFonts w:ascii="Arial" w:hAnsi="Arial" w:cs="Arial"/>
        </w:rPr>
        <w:t>, 37, pp. 64–77. https://doi.org/10.1016/j.trf.2015.11.011.</w:t>
      </w:r>
    </w:p>
    <w:p w14:paraId="0D86D0CF" w14:textId="77777777" w:rsidR="00FC6C95" w:rsidRPr="00FC6C95" w:rsidRDefault="00FC6C95" w:rsidP="00D47935">
      <w:pPr>
        <w:pStyle w:val="NormalWeb"/>
        <w:spacing w:before="240" w:beforeAutospacing="0" w:after="0" w:afterAutospacing="0" w:line="360" w:lineRule="auto"/>
        <w:rPr>
          <w:rFonts w:ascii="Arial" w:hAnsi="Arial" w:cs="Arial"/>
        </w:rPr>
      </w:pPr>
      <w:proofErr w:type="spellStart"/>
      <w:r w:rsidRPr="00FC6C95">
        <w:rPr>
          <w:rFonts w:ascii="Arial" w:hAnsi="Arial" w:cs="Arial"/>
        </w:rPr>
        <w:t>Biresselioğlu</w:t>
      </w:r>
      <w:proofErr w:type="spellEnd"/>
      <w:r w:rsidRPr="00FC6C95">
        <w:rPr>
          <w:rFonts w:ascii="Arial" w:hAnsi="Arial" w:cs="Arial"/>
        </w:rPr>
        <w:t xml:space="preserve">, M.E., Kaplan, </w:t>
      </w:r>
      <w:proofErr w:type="gramStart"/>
      <w:r w:rsidRPr="00FC6C95">
        <w:rPr>
          <w:rFonts w:ascii="Arial" w:hAnsi="Arial" w:cs="Arial"/>
        </w:rPr>
        <w:t>M.D.</w:t>
      </w:r>
      <w:proofErr w:type="gramEnd"/>
      <w:r w:rsidRPr="00FC6C95">
        <w:rPr>
          <w:rFonts w:ascii="Arial" w:hAnsi="Arial" w:cs="Arial"/>
        </w:rPr>
        <w:t xml:space="preserve"> and Yilmaz, B.K. (2018) 'Electric mobility in Europe: A comprehensive review of motivators and barriers in decision making processes,' </w:t>
      </w:r>
      <w:r w:rsidRPr="00FC6C95">
        <w:rPr>
          <w:rFonts w:ascii="Arial" w:hAnsi="Arial" w:cs="Arial"/>
          <w:i/>
          <w:iCs/>
        </w:rPr>
        <w:t>Transportation Research Part A: Policy and Practice</w:t>
      </w:r>
      <w:r w:rsidRPr="00FC6C95">
        <w:rPr>
          <w:rFonts w:ascii="Arial" w:hAnsi="Arial" w:cs="Arial"/>
        </w:rPr>
        <w:t>, 109, pp. 1–13. https://doi.org/10.1016/j.tra.2018.01.017.</w:t>
      </w:r>
    </w:p>
    <w:p w14:paraId="08055890"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Coffman, M., Bernstein, P. and Wee, S. (2016) 'Electric vehicles revisited: a review of factors that affect adoption,' </w:t>
      </w:r>
      <w:r w:rsidRPr="00FC6C95">
        <w:rPr>
          <w:rFonts w:ascii="Arial" w:hAnsi="Arial" w:cs="Arial"/>
          <w:i/>
          <w:iCs/>
        </w:rPr>
        <w:t>Transport Reviews</w:t>
      </w:r>
      <w:r w:rsidRPr="00FC6C95">
        <w:rPr>
          <w:rFonts w:ascii="Arial" w:hAnsi="Arial" w:cs="Arial"/>
        </w:rPr>
        <w:t>, 37(1), pp. 79–93. https://doi.org/10.1080/01441647.2016.1217282.</w:t>
      </w:r>
    </w:p>
    <w:p w14:paraId="50234B1A"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Das, H.S. </w:t>
      </w:r>
      <w:r w:rsidRPr="00FC6C95">
        <w:rPr>
          <w:rFonts w:ascii="Arial" w:hAnsi="Arial" w:cs="Arial"/>
          <w:i/>
          <w:iCs/>
        </w:rPr>
        <w:t>et al.</w:t>
      </w:r>
      <w:r w:rsidRPr="00FC6C95">
        <w:rPr>
          <w:rFonts w:ascii="Arial" w:hAnsi="Arial" w:cs="Arial"/>
        </w:rPr>
        <w:t xml:space="preserve"> (2020) 'Electric vehicles standards, charging infrastructure, and impact on grid integration: A technological review,' </w:t>
      </w:r>
      <w:r w:rsidRPr="00FC6C95">
        <w:rPr>
          <w:rFonts w:ascii="Arial" w:hAnsi="Arial" w:cs="Arial"/>
          <w:i/>
          <w:iCs/>
        </w:rPr>
        <w:t>Renewable &amp; Sustainable Energy Reviews</w:t>
      </w:r>
      <w:r w:rsidRPr="00FC6C95">
        <w:rPr>
          <w:rFonts w:ascii="Arial" w:hAnsi="Arial" w:cs="Arial"/>
        </w:rPr>
        <w:t>, 120, p. 109618. https://doi.org/10.1016/j.rser.2019.109618.</w:t>
      </w:r>
    </w:p>
    <w:p w14:paraId="75050686" w14:textId="77777777" w:rsidR="00FC6C95" w:rsidRPr="00FC6C95" w:rsidRDefault="00FC6C95" w:rsidP="00FC6C95">
      <w:pPr>
        <w:pStyle w:val="NormalWeb"/>
        <w:spacing w:before="240" w:beforeAutospacing="0" w:after="0" w:afterAutospacing="0" w:line="360" w:lineRule="auto"/>
        <w:rPr>
          <w:rFonts w:ascii="Arial" w:hAnsi="Arial" w:cs="Arial"/>
        </w:rPr>
      </w:pPr>
      <w:r w:rsidRPr="00FC6C95">
        <w:rPr>
          <w:rFonts w:ascii="Arial" w:hAnsi="Arial" w:cs="Arial"/>
        </w:rPr>
        <w:t xml:space="preserve">Das, H.S. </w:t>
      </w:r>
      <w:r w:rsidRPr="00FC6C95">
        <w:rPr>
          <w:rFonts w:ascii="Arial" w:hAnsi="Arial" w:cs="Arial"/>
          <w:i/>
          <w:iCs/>
        </w:rPr>
        <w:t>et al.</w:t>
      </w:r>
      <w:r w:rsidRPr="00FC6C95">
        <w:rPr>
          <w:rFonts w:ascii="Arial" w:hAnsi="Arial" w:cs="Arial"/>
        </w:rPr>
        <w:t xml:space="preserve"> (2020) 'Electric vehicles standards, charging infrastructure, and impact on grid integration: A technological review,' </w:t>
      </w:r>
      <w:r w:rsidRPr="00FC6C95">
        <w:rPr>
          <w:rFonts w:ascii="Arial" w:hAnsi="Arial" w:cs="Arial"/>
          <w:i/>
          <w:iCs/>
        </w:rPr>
        <w:t>Renewable &amp; Sustainable Energy Reviews</w:t>
      </w:r>
      <w:r w:rsidRPr="00FC6C95">
        <w:rPr>
          <w:rFonts w:ascii="Arial" w:hAnsi="Arial" w:cs="Arial"/>
        </w:rPr>
        <w:t>, 120, p. 109618. https://doi.org/10.1016/j.rser.2019.109618.</w:t>
      </w:r>
    </w:p>
    <w:p w14:paraId="5CD839F7" w14:textId="77777777" w:rsidR="00FC6C95" w:rsidRPr="00FC6C95" w:rsidRDefault="00FC6C95" w:rsidP="00D47935">
      <w:pPr>
        <w:pStyle w:val="NormalWeb"/>
        <w:spacing w:before="240" w:beforeAutospacing="0" w:after="0" w:afterAutospacing="0" w:line="360" w:lineRule="auto"/>
        <w:rPr>
          <w:rFonts w:ascii="Arial" w:hAnsi="Arial" w:cs="Arial"/>
        </w:rPr>
      </w:pPr>
      <w:proofErr w:type="spellStart"/>
      <w:r w:rsidRPr="00FC6C95">
        <w:rPr>
          <w:rFonts w:ascii="Arial" w:hAnsi="Arial" w:cs="Arial"/>
        </w:rPr>
        <w:t>Degirmenci</w:t>
      </w:r>
      <w:proofErr w:type="spellEnd"/>
      <w:r w:rsidRPr="00FC6C95">
        <w:rPr>
          <w:rFonts w:ascii="Arial" w:hAnsi="Arial" w:cs="Arial"/>
        </w:rPr>
        <w:t xml:space="preserve">, K. and Breitner, M.H. (2017) 'Consumer purchase intentions for electric vehicles: Is green more important than price and </w:t>
      </w:r>
      <w:proofErr w:type="gramStart"/>
      <w:r w:rsidRPr="00FC6C95">
        <w:rPr>
          <w:rFonts w:ascii="Arial" w:hAnsi="Arial" w:cs="Arial"/>
        </w:rPr>
        <w:t>range?,</w:t>
      </w:r>
      <w:proofErr w:type="gramEnd"/>
      <w:r w:rsidRPr="00FC6C95">
        <w:rPr>
          <w:rFonts w:ascii="Arial" w:hAnsi="Arial" w:cs="Arial"/>
        </w:rPr>
        <w:t xml:space="preserve">' </w:t>
      </w:r>
      <w:r w:rsidRPr="00FC6C95">
        <w:rPr>
          <w:rFonts w:ascii="Arial" w:hAnsi="Arial" w:cs="Arial"/>
          <w:i/>
          <w:iCs/>
        </w:rPr>
        <w:t>Transportation Research Part D: Transport and Environment</w:t>
      </w:r>
      <w:r w:rsidRPr="00FC6C95">
        <w:rPr>
          <w:rFonts w:ascii="Arial" w:hAnsi="Arial" w:cs="Arial"/>
        </w:rPr>
        <w:t>, 51, pp. 250–260. https://doi.org/10.1016/j.trd.2017.01.001.</w:t>
      </w:r>
    </w:p>
    <w:p w14:paraId="6E349929"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lastRenderedPageBreak/>
        <w:t xml:space="preserve">Gopal, K. (2021) 'Understanding and identifying barriers to electric vehicle adoption through thematic analysis,' </w:t>
      </w:r>
      <w:r w:rsidRPr="00FC6C95">
        <w:rPr>
          <w:rFonts w:ascii="Arial" w:hAnsi="Arial" w:cs="Arial"/>
          <w:i/>
          <w:iCs/>
        </w:rPr>
        <w:t>Transportation Research Interdisciplinary Perspectives</w:t>
      </w:r>
      <w:r w:rsidRPr="00FC6C95">
        <w:rPr>
          <w:rFonts w:ascii="Arial" w:hAnsi="Arial" w:cs="Arial"/>
        </w:rPr>
        <w:t>, 10, p. 100364. https://doi.org/10.1016/j.trip.2021.100364.</w:t>
      </w:r>
    </w:p>
    <w:p w14:paraId="72E4B154"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Keller, K.L. (1993) 'Conceptualizing, measuring, and managing Customer-Based Brand Equity,' </w:t>
      </w:r>
      <w:r w:rsidRPr="00FC6C95">
        <w:rPr>
          <w:rFonts w:ascii="Arial" w:hAnsi="Arial" w:cs="Arial"/>
          <w:i/>
          <w:iCs/>
        </w:rPr>
        <w:t>Journal of Marketing</w:t>
      </w:r>
      <w:r w:rsidRPr="00FC6C95">
        <w:rPr>
          <w:rFonts w:ascii="Arial" w:hAnsi="Arial" w:cs="Arial"/>
        </w:rPr>
        <w:t>, 57(1), p. 1. https://doi.org/10.2307/1252054.</w:t>
      </w:r>
    </w:p>
    <w:p w14:paraId="4A73D209"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Li, W. </w:t>
      </w:r>
      <w:r w:rsidRPr="00FC6C95">
        <w:rPr>
          <w:rFonts w:ascii="Arial" w:hAnsi="Arial" w:cs="Arial"/>
          <w:i/>
          <w:iCs/>
        </w:rPr>
        <w:t>et al.</w:t>
      </w:r>
      <w:r w:rsidRPr="00FC6C95">
        <w:rPr>
          <w:rFonts w:ascii="Arial" w:hAnsi="Arial" w:cs="Arial"/>
        </w:rPr>
        <w:t xml:space="preserve"> (2017) 'A review of factors influencing consumer intentions to adopt battery electric vehicles,' </w:t>
      </w:r>
      <w:r w:rsidRPr="00FC6C95">
        <w:rPr>
          <w:rFonts w:ascii="Arial" w:hAnsi="Arial" w:cs="Arial"/>
          <w:i/>
          <w:iCs/>
        </w:rPr>
        <w:t>Renewable &amp; Sustainable Energy Reviews</w:t>
      </w:r>
      <w:r w:rsidRPr="00FC6C95">
        <w:rPr>
          <w:rFonts w:ascii="Arial" w:hAnsi="Arial" w:cs="Arial"/>
        </w:rPr>
        <w:t>, 78, pp. 318–328. https://doi.org/10.1016/j.rser.2017.04.076.</w:t>
      </w:r>
    </w:p>
    <w:p w14:paraId="584D7A1C" w14:textId="77777777" w:rsidR="00FC6C95" w:rsidRPr="00FC6C95" w:rsidRDefault="00FC6C95" w:rsidP="00D47935">
      <w:pPr>
        <w:pStyle w:val="NormalWeb"/>
        <w:spacing w:before="240" w:beforeAutospacing="0" w:after="0" w:afterAutospacing="0" w:line="360" w:lineRule="auto"/>
        <w:rPr>
          <w:rFonts w:ascii="Arial" w:hAnsi="Arial" w:cs="Arial"/>
        </w:rPr>
      </w:pPr>
      <w:proofErr w:type="spellStart"/>
      <w:r w:rsidRPr="00FC6C95">
        <w:rPr>
          <w:rFonts w:ascii="Arial" w:hAnsi="Arial" w:cs="Arial"/>
        </w:rPr>
        <w:t>Mahiban</w:t>
      </w:r>
      <w:proofErr w:type="spellEnd"/>
      <w:r w:rsidRPr="00FC6C95">
        <w:rPr>
          <w:rFonts w:ascii="Arial" w:hAnsi="Arial" w:cs="Arial"/>
        </w:rPr>
        <w:t xml:space="preserve">, L.N. and </w:t>
      </w:r>
      <w:proofErr w:type="spellStart"/>
      <w:r w:rsidRPr="00FC6C95">
        <w:rPr>
          <w:rFonts w:ascii="Arial" w:hAnsi="Arial" w:cs="Arial"/>
        </w:rPr>
        <w:t>Emimal</w:t>
      </w:r>
      <w:proofErr w:type="spellEnd"/>
      <w:r w:rsidRPr="00FC6C95">
        <w:rPr>
          <w:rFonts w:ascii="Arial" w:hAnsi="Arial" w:cs="Arial"/>
        </w:rPr>
        <w:t xml:space="preserve">, M. (2023) 'Longevity of electric vehicle operations,' </w:t>
      </w:r>
      <w:proofErr w:type="spellStart"/>
      <w:r w:rsidRPr="00FC6C95">
        <w:rPr>
          <w:rFonts w:ascii="Arial" w:hAnsi="Arial" w:cs="Arial"/>
          <w:i/>
          <w:iCs/>
        </w:rPr>
        <w:t>Qeios</w:t>
      </w:r>
      <w:proofErr w:type="spellEnd"/>
      <w:r w:rsidRPr="00FC6C95">
        <w:rPr>
          <w:rFonts w:ascii="Arial" w:hAnsi="Arial" w:cs="Arial"/>
        </w:rPr>
        <w:t xml:space="preserve"> [Preprint]. https://doi.org/10.32388/zapc23.</w:t>
      </w:r>
    </w:p>
    <w:p w14:paraId="2F527205"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Mahmud, K., Town, G. and </w:t>
      </w:r>
      <w:proofErr w:type="spellStart"/>
      <w:r w:rsidRPr="00FC6C95">
        <w:rPr>
          <w:rFonts w:ascii="Arial" w:hAnsi="Arial" w:cs="Arial"/>
        </w:rPr>
        <w:t>Morsalin</w:t>
      </w:r>
      <w:proofErr w:type="spellEnd"/>
      <w:r w:rsidRPr="00FC6C95">
        <w:rPr>
          <w:rFonts w:ascii="Arial" w:hAnsi="Arial" w:cs="Arial"/>
        </w:rPr>
        <w:t xml:space="preserve">, S. (2018) 'Integration of electric vehicles and management in the internet of energy,' </w:t>
      </w:r>
      <w:r w:rsidRPr="00FC6C95">
        <w:rPr>
          <w:rFonts w:ascii="Arial" w:hAnsi="Arial" w:cs="Arial"/>
          <w:i/>
          <w:iCs/>
        </w:rPr>
        <w:t>Renewable &amp; Sustainable Energy Reviews</w:t>
      </w:r>
      <w:r w:rsidRPr="00FC6C95">
        <w:rPr>
          <w:rFonts w:ascii="Arial" w:hAnsi="Arial" w:cs="Arial"/>
        </w:rPr>
        <w:t>, 82, pp. 4179–4203. https://doi.org/10.1016/j.rser.2017.11.004.</w:t>
      </w:r>
    </w:p>
    <w:p w14:paraId="08ECE83C" w14:textId="77777777" w:rsidR="00FC6C95" w:rsidRPr="00FC6C95" w:rsidRDefault="00FC6C95" w:rsidP="00D47935">
      <w:pPr>
        <w:spacing w:before="240" w:after="0" w:line="360" w:lineRule="auto"/>
        <w:rPr>
          <w:rFonts w:ascii="Arial" w:eastAsia="Times New Roman" w:hAnsi="Arial" w:cs="Arial"/>
          <w:kern w:val="0"/>
          <w:sz w:val="24"/>
          <w:szCs w:val="24"/>
          <w:lang w:val="en-IN" w:eastAsia="en-IN"/>
          <w14:ligatures w14:val="none"/>
        </w:rPr>
      </w:pPr>
      <w:r w:rsidRPr="00FC6C95">
        <w:rPr>
          <w:rFonts w:ascii="Arial" w:eastAsia="Times New Roman" w:hAnsi="Arial" w:cs="Arial"/>
          <w:kern w:val="0"/>
          <w:sz w:val="24"/>
          <w:szCs w:val="24"/>
          <w:lang w:val="en-IN" w:eastAsia="en-IN"/>
          <w14:ligatures w14:val="none"/>
        </w:rPr>
        <w:t xml:space="preserve">Nasir, M., </w:t>
      </w:r>
      <w:proofErr w:type="spellStart"/>
      <w:r w:rsidRPr="00FC6C95">
        <w:rPr>
          <w:rFonts w:ascii="Arial" w:eastAsia="Times New Roman" w:hAnsi="Arial" w:cs="Arial"/>
          <w:kern w:val="0"/>
          <w:sz w:val="24"/>
          <w:szCs w:val="24"/>
          <w:lang w:val="en-IN" w:eastAsia="en-IN"/>
          <w14:ligatures w14:val="none"/>
        </w:rPr>
        <w:t>Sularso</w:t>
      </w:r>
      <w:proofErr w:type="spellEnd"/>
      <w:r w:rsidRPr="00FC6C95">
        <w:rPr>
          <w:rFonts w:ascii="Arial" w:eastAsia="Times New Roman" w:hAnsi="Arial" w:cs="Arial"/>
          <w:kern w:val="0"/>
          <w:sz w:val="24"/>
          <w:szCs w:val="24"/>
          <w:lang w:val="en-IN" w:eastAsia="en-IN"/>
          <w14:ligatures w14:val="none"/>
        </w:rPr>
        <w:t xml:space="preserve">, A., Irawan, B. and Paramu, H., (2020). Brand trust for creating brand loyalty in automotive products. </w:t>
      </w:r>
      <w:r w:rsidRPr="00FC6C95">
        <w:rPr>
          <w:rFonts w:ascii="Arial" w:eastAsia="Times New Roman" w:hAnsi="Arial" w:cs="Arial"/>
          <w:i/>
          <w:iCs/>
          <w:kern w:val="0"/>
          <w:sz w:val="24"/>
          <w:szCs w:val="24"/>
          <w:lang w:val="en-IN" w:eastAsia="en-IN"/>
          <w14:ligatures w14:val="none"/>
        </w:rPr>
        <w:t>International Journal of Management</w:t>
      </w:r>
      <w:r w:rsidRPr="00FC6C95">
        <w:rPr>
          <w:rFonts w:ascii="Arial" w:eastAsia="Times New Roman" w:hAnsi="Arial" w:cs="Arial"/>
          <w:kern w:val="0"/>
          <w:sz w:val="24"/>
          <w:szCs w:val="24"/>
          <w:lang w:val="en-IN" w:eastAsia="en-IN"/>
          <w14:ligatures w14:val="none"/>
        </w:rPr>
        <w:t xml:space="preserve">, </w:t>
      </w:r>
      <w:r w:rsidRPr="00FC6C95">
        <w:rPr>
          <w:rFonts w:ascii="Arial" w:eastAsia="Times New Roman" w:hAnsi="Arial" w:cs="Arial"/>
          <w:i/>
          <w:iCs/>
          <w:kern w:val="0"/>
          <w:sz w:val="24"/>
          <w:szCs w:val="24"/>
          <w:lang w:val="en-IN" w:eastAsia="en-IN"/>
          <w14:ligatures w14:val="none"/>
        </w:rPr>
        <w:t>11</w:t>
      </w:r>
      <w:r w:rsidRPr="00FC6C95">
        <w:rPr>
          <w:rFonts w:ascii="Arial" w:eastAsia="Times New Roman" w:hAnsi="Arial" w:cs="Arial"/>
          <w:kern w:val="0"/>
          <w:sz w:val="24"/>
          <w:szCs w:val="24"/>
          <w:lang w:val="en-IN" w:eastAsia="en-IN"/>
          <w14:ligatures w14:val="none"/>
        </w:rPr>
        <w:t>(06), pp.1237-1250.</w:t>
      </w:r>
    </w:p>
    <w:p w14:paraId="0396050A"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Nilsson, M. and Nykvist, B. (2016) 'Governing the electric vehicle transition – Near term interventions to support a green energy economy,' </w:t>
      </w:r>
      <w:r w:rsidRPr="00FC6C95">
        <w:rPr>
          <w:rFonts w:ascii="Arial" w:hAnsi="Arial" w:cs="Arial"/>
          <w:i/>
          <w:iCs/>
        </w:rPr>
        <w:t>Applied Energy</w:t>
      </w:r>
      <w:r w:rsidRPr="00FC6C95">
        <w:rPr>
          <w:rFonts w:ascii="Arial" w:hAnsi="Arial" w:cs="Arial"/>
        </w:rPr>
        <w:t>, 179, pp. 1360–1371. https://doi.org/10.1016/j.apenergy.2016.03.056.</w:t>
      </w:r>
    </w:p>
    <w:p w14:paraId="2D4C0FCD"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Noel, L. </w:t>
      </w:r>
      <w:r w:rsidRPr="00FC6C95">
        <w:rPr>
          <w:rFonts w:ascii="Arial" w:hAnsi="Arial" w:cs="Arial"/>
          <w:i/>
          <w:iCs/>
        </w:rPr>
        <w:t>et al.</w:t>
      </w:r>
      <w:r w:rsidRPr="00FC6C95">
        <w:rPr>
          <w:rFonts w:ascii="Arial" w:hAnsi="Arial" w:cs="Arial"/>
        </w:rPr>
        <w:t xml:space="preserve"> (2020) 'Understanding the socio-technical nexus of Nordic electric vehicle (EV) barriers: A qualitative discussion of range, price, charging and knowledge,' </w:t>
      </w:r>
      <w:r w:rsidRPr="00FC6C95">
        <w:rPr>
          <w:rFonts w:ascii="Arial" w:hAnsi="Arial" w:cs="Arial"/>
          <w:i/>
          <w:iCs/>
        </w:rPr>
        <w:t>Energy Policy</w:t>
      </w:r>
      <w:r w:rsidRPr="00FC6C95">
        <w:rPr>
          <w:rFonts w:ascii="Arial" w:hAnsi="Arial" w:cs="Arial"/>
        </w:rPr>
        <w:t>, 138, p. 111292. https://doi.org/10.1016/j.enpol.2020.111292.</w:t>
      </w:r>
    </w:p>
    <w:p w14:paraId="5A06E3AB" w14:textId="77777777" w:rsidR="00FC6C95" w:rsidRPr="00FC6C95" w:rsidRDefault="00FC6C95" w:rsidP="00FC6C95">
      <w:pPr>
        <w:spacing w:before="240" w:line="360" w:lineRule="auto"/>
        <w:rPr>
          <w:rFonts w:ascii="Arial" w:hAnsi="Arial" w:cs="Arial"/>
          <w:sz w:val="24"/>
          <w:szCs w:val="24"/>
        </w:rPr>
      </w:pPr>
      <w:r w:rsidRPr="00FC6C95">
        <w:rPr>
          <w:rFonts w:ascii="Arial" w:hAnsi="Arial" w:cs="Arial"/>
          <w:sz w:val="24"/>
          <w:szCs w:val="24"/>
        </w:rPr>
        <w:t xml:space="preserve">Patil, G. J. (2023). </w:t>
      </w:r>
      <w:r w:rsidRPr="00FC6C95">
        <w:rPr>
          <w:rFonts w:ascii="Arial" w:hAnsi="Arial" w:cs="Arial"/>
          <w:i/>
          <w:iCs/>
          <w:sz w:val="24"/>
          <w:szCs w:val="24"/>
        </w:rPr>
        <w:t>Investigating Consumer Satisfaction and Price Sensitivity for Electric Vehicle Charging Infrastructure: An Irish Case Study</w:t>
      </w:r>
      <w:r w:rsidRPr="00FC6C95">
        <w:rPr>
          <w:rFonts w:ascii="Arial" w:hAnsi="Arial" w:cs="Arial"/>
          <w:sz w:val="24"/>
          <w:szCs w:val="24"/>
        </w:rPr>
        <w:t xml:space="preserve"> (Doctoral dissertation, Dublin, National College of Ireland).</w:t>
      </w:r>
    </w:p>
    <w:p w14:paraId="5558F9CD" w14:textId="77777777" w:rsidR="00FC6C95" w:rsidRPr="00FC6C95" w:rsidRDefault="00FC6C95" w:rsidP="00D47935">
      <w:pPr>
        <w:pStyle w:val="NormalWeb"/>
        <w:spacing w:before="240" w:beforeAutospacing="0" w:after="0" w:afterAutospacing="0" w:line="360" w:lineRule="auto"/>
        <w:rPr>
          <w:rFonts w:ascii="Arial" w:hAnsi="Arial" w:cs="Arial"/>
        </w:rPr>
      </w:pPr>
      <w:proofErr w:type="spellStart"/>
      <w:r w:rsidRPr="00FC6C95">
        <w:rPr>
          <w:rFonts w:ascii="Arial" w:hAnsi="Arial" w:cs="Arial"/>
        </w:rPr>
        <w:lastRenderedPageBreak/>
        <w:t>Schivinski</w:t>
      </w:r>
      <w:proofErr w:type="spellEnd"/>
      <w:r w:rsidRPr="00FC6C95">
        <w:rPr>
          <w:rFonts w:ascii="Arial" w:hAnsi="Arial" w:cs="Arial"/>
        </w:rPr>
        <w:t xml:space="preserve">, B. and Dąbrowski, D. (2014) 'The effect of social media communication on consumer perceptions of brands,' </w:t>
      </w:r>
      <w:r w:rsidRPr="00FC6C95">
        <w:rPr>
          <w:rFonts w:ascii="Arial" w:hAnsi="Arial" w:cs="Arial"/>
          <w:i/>
          <w:iCs/>
        </w:rPr>
        <w:t>Journal of Marketing Communications</w:t>
      </w:r>
      <w:r w:rsidRPr="00FC6C95">
        <w:rPr>
          <w:rFonts w:ascii="Arial" w:hAnsi="Arial" w:cs="Arial"/>
        </w:rPr>
        <w:t>, 22(2), pp. 189–214. https://doi.org/10.1080/13527266.2013.871323.</w:t>
      </w:r>
    </w:p>
    <w:p w14:paraId="51740FC7"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Singh, Virender, Singh, Vedant and Vaibhav, S. (2020) 'A review and simple meta-analysis of factors influencing adoption of electric vehicles,' </w:t>
      </w:r>
      <w:r w:rsidRPr="00FC6C95">
        <w:rPr>
          <w:rFonts w:ascii="Arial" w:hAnsi="Arial" w:cs="Arial"/>
          <w:i/>
          <w:iCs/>
        </w:rPr>
        <w:t>Transportation Research Part D: Transport and Environment</w:t>
      </w:r>
      <w:r w:rsidRPr="00FC6C95">
        <w:rPr>
          <w:rFonts w:ascii="Arial" w:hAnsi="Arial" w:cs="Arial"/>
        </w:rPr>
        <w:t>, 86, p. 102436. https://doi.org/10.1016/j.trd.2020.102436.</w:t>
      </w:r>
    </w:p>
    <w:p w14:paraId="6C8E2B1E" w14:textId="77777777" w:rsidR="00FC6C95" w:rsidRPr="00FC6C95" w:rsidRDefault="00FC6C95" w:rsidP="00D47935">
      <w:pPr>
        <w:pStyle w:val="NormalWeb"/>
        <w:spacing w:before="240" w:beforeAutospacing="0" w:after="0" w:afterAutospacing="0" w:line="360" w:lineRule="auto"/>
        <w:rPr>
          <w:rFonts w:ascii="Arial" w:hAnsi="Arial" w:cs="Arial"/>
        </w:rPr>
      </w:pPr>
      <w:proofErr w:type="spellStart"/>
      <w:r w:rsidRPr="00FC6C95">
        <w:rPr>
          <w:rFonts w:ascii="Arial" w:hAnsi="Arial" w:cs="Arial"/>
        </w:rPr>
        <w:t>Sovacool</w:t>
      </w:r>
      <w:proofErr w:type="spellEnd"/>
      <w:r w:rsidRPr="00FC6C95">
        <w:rPr>
          <w:rFonts w:ascii="Arial" w:hAnsi="Arial" w:cs="Arial"/>
        </w:rPr>
        <w:t xml:space="preserve">, B.K. (2017) 'Experts, theories, and electric mobility transitions: Toward an integrated conceptual framework for the adoption of electric vehicles,' </w:t>
      </w:r>
      <w:r w:rsidRPr="00FC6C95">
        <w:rPr>
          <w:rFonts w:ascii="Arial" w:hAnsi="Arial" w:cs="Arial"/>
          <w:i/>
          <w:iCs/>
        </w:rPr>
        <w:t>Energy Research &amp; Social Science</w:t>
      </w:r>
      <w:r w:rsidRPr="00FC6C95">
        <w:rPr>
          <w:rFonts w:ascii="Arial" w:hAnsi="Arial" w:cs="Arial"/>
        </w:rPr>
        <w:t>, 27, pp. 78–95. https://doi.org/10.1016/j.erss.2017.02.014.</w:t>
      </w:r>
    </w:p>
    <w:p w14:paraId="25191855"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Wolske, K.S., Gillingham, </w:t>
      </w:r>
      <w:proofErr w:type="gramStart"/>
      <w:r w:rsidRPr="00FC6C95">
        <w:rPr>
          <w:rFonts w:ascii="Arial" w:hAnsi="Arial" w:cs="Arial"/>
        </w:rPr>
        <w:t>K.</w:t>
      </w:r>
      <w:proofErr w:type="gramEnd"/>
      <w:r w:rsidRPr="00FC6C95">
        <w:rPr>
          <w:rFonts w:ascii="Arial" w:hAnsi="Arial" w:cs="Arial"/>
        </w:rPr>
        <w:t xml:space="preserve"> and Schultz, P.W. (2020) 'Peer influence on household energy behaviours,' </w:t>
      </w:r>
      <w:r w:rsidRPr="00FC6C95">
        <w:rPr>
          <w:rFonts w:ascii="Arial" w:hAnsi="Arial" w:cs="Arial"/>
          <w:i/>
          <w:iCs/>
        </w:rPr>
        <w:t>Nature Energy</w:t>
      </w:r>
      <w:r w:rsidRPr="00FC6C95">
        <w:rPr>
          <w:rFonts w:ascii="Arial" w:hAnsi="Arial" w:cs="Arial"/>
        </w:rPr>
        <w:t>, 5(3), pp. 202–212. https://doi.org/10.1038/s41560-019-0541-9.</w:t>
      </w:r>
    </w:p>
    <w:p w14:paraId="4EC74739" w14:textId="77777777" w:rsidR="00FC6C95" w:rsidRPr="00FC6C95" w:rsidRDefault="00FC6C95" w:rsidP="00FC6C95">
      <w:pPr>
        <w:pStyle w:val="NormalWeb"/>
        <w:spacing w:before="240" w:beforeAutospacing="0" w:after="0" w:afterAutospacing="0" w:line="360" w:lineRule="auto"/>
        <w:rPr>
          <w:rFonts w:ascii="Arial" w:hAnsi="Arial" w:cs="Arial"/>
        </w:rPr>
      </w:pPr>
      <w:r w:rsidRPr="00FC6C95">
        <w:rPr>
          <w:rFonts w:ascii="Arial" w:hAnsi="Arial" w:cs="Arial"/>
        </w:rPr>
        <w:t xml:space="preserve">Wood, L.M.C. (2000) 'Brands and brand equity: definition and management,' </w:t>
      </w:r>
      <w:r w:rsidRPr="00FC6C95">
        <w:rPr>
          <w:rFonts w:ascii="Arial" w:hAnsi="Arial" w:cs="Arial"/>
          <w:i/>
          <w:iCs/>
        </w:rPr>
        <w:t>Management Decision</w:t>
      </w:r>
      <w:r w:rsidRPr="00FC6C95">
        <w:rPr>
          <w:rFonts w:ascii="Arial" w:hAnsi="Arial" w:cs="Arial"/>
        </w:rPr>
        <w:t>, 38(9), pp. 662–669. https://doi.org/10.1108/00251740010379100.</w:t>
      </w:r>
    </w:p>
    <w:p w14:paraId="4E044773" w14:textId="77777777" w:rsidR="00FC6C95" w:rsidRPr="00FC6C95" w:rsidRDefault="00FC6C95" w:rsidP="00D47935">
      <w:pPr>
        <w:pStyle w:val="NormalWeb"/>
        <w:spacing w:before="240" w:beforeAutospacing="0" w:after="0" w:afterAutospacing="0" w:line="360" w:lineRule="auto"/>
        <w:rPr>
          <w:rFonts w:ascii="Arial" w:hAnsi="Arial" w:cs="Arial"/>
        </w:rPr>
      </w:pPr>
      <w:r w:rsidRPr="00FC6C95">
        <w:rPr>
          <w:rFonts w:ascii="Arial" w:hAnsi="Arial" w:cs="Arial"/>
        </w:rPr>
        <w:t xml:space="preserve">Zhang, Q. </w:t>
      </w:r>
      <w:r w:rsidRPr="00FC6C95">
        <w:rPr>
          <w:rFonts w:ascii="Arial" w:hAnsi="Arial" w:cs="Arial"/>
          <w:i/>
          <w:iCs/>
        </w:rPr>
        <w:t>et al.</w:t>
      </w:r>
      <w:r w:rsidRPr="00FC6C95">
        <w:rPr>
          <w:rFonts w:ascii="Arial" w:hAnsi="Arial" w:cs="Arial"/>
        </w:rPr>
        <w:t xml:space="preserve"> (2018) 'Factors influencing the economics of public charging infrastructures for EV – A review,' </w:t>
      </w:r>
      <w:r w:rsidRPr="00FC6C95">
        <w:rPr>
          <w:rFonts w:ascii="Arial" w:hAnsi="Arial" w:cs="Arial"/>
          <w:i/>
          <w:iCs/>
        </w:rPr>
        <w:t>Renewable &amp; Sustainable Energy Reviews</w:t>
      </w:r>
      <w:r w:rsidRPr="00FC6C95">
        <w:rPr>
          <w:rFonts w:ascii="Arial" w:hAnsi="Arial" w:cs="Arial"/>
        </w:rPr>
        <w:t xml:space="preserve">, 94, pp. 500–509. </w:t>
      </w:r>
      <w:hyperlink r:id="rId8" w:history="1">
        <w:r w:rsidRPr="00FC6C95">
          <w:rPr>
            <w:rStyle w:val="Hyperlink"/>
            <w:rFonts w:ascii="Arial" w:hAnsi="Arial" w:cs="Arial"/>
          </w:rPr>
          <w:t>https://doi.org/10.1016/j.rser.2018.06.022</w:t>
        </w:r>
      </w:hyperlink>
      <w:r w:rsidRPr="00FC6C95">
        <w:rPr>
          <w:rFonts w:ascii="Arial" w:hAnsi="Arial" w:cs="Arial"/>
        </w:rPr>
        <w:t>.</w:t>
      </w:r>
    </w:p>
    <w:p w14:paraId="63A3AC41" w14:textId="77777777" w:rsidR="00FC6C95" w:rsidRPr="003C6EC3" w:rsidRDefault="00FC6C95" w:rsidP="00D47935">
      <w:pPr>
        <w:pStyle w:val="NormalWeb"/>
        <w:spacing w:before="240" w:beforeAutospacing="0" w:after="0" w:afterAutospacing="0" w:line="360" w:lineRule="auto"/>
        <w:rPr>
          <w:rFonts w:ascii="Arial" w:hAnsi="Arial" w:cs="Arial"/>
        </w:rPr>
      </w:pPr>
    </w:p>
    <w:sectPr w:rsidR="00FC6C95" w:rsidRPr="003C6EC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EA260" w14:textId="77777777" w:rsidR="00684ACC" w:rsidRDefault="00684ACC" w:rsidP="00FF0F31">
      <w:pPr>
        <w:spacing w:after="0" w:line="240" w:lineRule="auto"/>
      </w:pPr>
      <w:r>
        <w:separator/>
      </w:r>
    </w:p>
  </w:endnote>
  <w:endnote w:type="continuationSeparator" w:id="0">
    <w:p w14:paraId="4D0E592D" w14:textId="77777777" w:rsidR="00684ACC" w:rsidRDefault="00684ACC" w:rsidP="00FF0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266658"/>
      <w:docPartObj>
        <w:docPartGallery w:val="Page Numbers (Bottom of Page)"/>
        <w:docPartUnique/>
      </w:docPartObj>
    </w:sdtPr>
    <w:sdtContent>
      <w:p w14:paraId="46ABDB43" w14:textId="45D69D93" w:rsidR="00927384" w:rsidRDefault="0092738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73EED2A" w14:textId="77777777" w:rsidR="00927384" w:rsidRDefault="009273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7D854" w14:textId="77777777" w:rsidR="00684ACC" w:rsidRDefault="00684ACC" w:rsidP="00FF0F31">
      <w:pPr>
        <w:spacing w:after="0" w:line="240" w:lineRule="auto"/>
      </w:pPr>
      <w:r>
        <w:separator/>
      </w:r>
    </w:p>
  </w:footnote>
  <w:footnote w:type="continuationSeparator" w:id="0">
    <w:p w14:paraId="79EAA3D7" w14:textId="77777777" w:rsidR="00684ACC" w:rsidRDefault="00684ACC" w:rsidP="00FF0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29B8"/>
    <w:multiLevelType w:val="multilevel"/>
    <w:tmpl w:val="859C4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91B17"/>
    <w:multiLevelType w:val="hybridMultilevel"/>
    <w:tmpl w:val="F1EEE5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7019E4"/>
    <w:multiLevelType w:val="multilevel"/>
    <w:tmpl w:val="CFE6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D8625E"/>
    <w:multiLevelType w:val="multilevel"/>
    <w:tmpl w:val="03DA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57177C"/>
    <w:multiLevelType w:val="multilevel"/>
    <w:tmpl w:val="5630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0F50AF"/>
    <w:multiLevelType w:val="hybridMultilevel"/>
    <w:tmpl w:val="163C47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3D70728"/>
    <w:multiLevelType w:val="multilevel"/>
    <w:tmpl w:val="07DE43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3878A5"/>
    <w:multiLevelType w:val="multilevel"/>
    <w:tmpl w:val="2786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651C43"/>
    <w:multiLevelType w:val="hybridMultilevel"/>
    <w:tmpl w:val="DBFE58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70591208">
    <w:abstractNumId w:val="0"/>
  </w:num>
  <w:num w:numId="2" w16cid:durableId="192041543">
    <w:abstractNumId w:val="4"/>
  </w:num>
  <w:num w:numId="3" w16cid:durableId="1088576494">
    <w:abstractNumId w:val="3"/>
  </w:num>
  <w:num w:numId="4" w16cid:durableId="176426110">
    <w:abstractNumId w:val="2"/>
  </w:num>
  <w:num w:numId="5" w16cid:durableId="1417749996">
    <w:abstractNumId w:val="7"/>
  </w:num>
  <w:num w:numId="6" w16cid:durableId="556471295">
    <w:abstractNumId w:val="5"/>
  </w:num>
  <w:num w:numId="7" w16cid:durableId="1264268724">
    <w:abstractNumId w:val="6"/>
  </w:num>
  <w:num w:numId="8" w16cid:durableId="1998604989">
    <w:abstractNumId w:val="1"/>
  </w:num>
  <w:num w:numId="9" w16cid:durableId="7933322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527"/>
    <w:rsid w:val="000F4624"/>
    <w:rsid w:val="00210428"/>
    <w:rsid w:val="0025222F"/>
    <w:rsid w:val="00256D06"/>
    <w:rsid w:val="002873D0"/>
    <w:rsid w:val="002F4DB6"/>
    <w:rsid w:val="002F785E"/>
    <w:rsid w:val="00317E33"/>
    <w:rsid w:val="003C6EC3"/>
    <w:rsid w:val="00442C71"/>
    <w:rsid w:val="004B5A51"/>
    <w:rsid w:val="00624034"/>
    <w:rsid w:val="006779D8"/>
    <w:rsid w:val="00684ACC"/>
    <w:rsid w:val="006B4129"/>
    <w:rsid w:val="006D522B"/>
    <w:rsid w:val="00716897"/>
    <w:rsid w:val="00840C40"/>
    <w:rsid w:val="00927384"/>
    <w:rsid w:val="009C3462"/>
    <w:rsid w:val="009F1B3D"/>
    <w:rsid w:val="00A30FFD"/>
    <w:rsid w:val="00A8113A"/>
    <w:rsid w:val="00B129B3"/>
    <w:rsid w:val="00BD7AD6"/>
    <w:rsid w:val="00C24527"/>
    <w:rsid w:val="00CD02D3"/>
    <w:rsid w:val="00D37EB6"/>
    <w:rsid w:val="00D47935"/>
    <w:rsid w:val="00DA7663"/>
    <w:rsid w:val="00E20E92"/>
    <w:rsid w:val="00E20F74"/>
    <w:rsid w:val="00EF4D37"/>
    <w:rsid w:val="00FB2A0B"/>
    <w:rsid w:val="00FC6C95"/>
    <w:rsid w:val="00FF0F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1D2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245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45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4527"/>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Strong">
    <w:name w:val="Strong"/>
    <w:basedOn w:val="DefaultParagraphFont"/>
    <w:uiPriority w:val="22"/>
    <w:qFormat/>
    <w:rsid w:val="00C24527"/>
    <w:rPr>
      <w:b/>
      <w:bCs/>
    </w:rPr>
  </w:style>
  <w:style w:type="paragraph" w:styleId="ListParagraph">
    <w:name w:val="List Paragraph"/>
    <w:basedOn w:val="Normal"/>
    <w:uiPriority w:val="34"/>
    <w:qFormat/>
    <w:rsid w:val="00C24527"/>
    <w:pPr>
      <w:ind w:left="720"/>
      <w:contextualSpacing/>
    </w:pPr>
  </w:style>
  <w:style w:type="character" w:customStyle="1" w:styleId="Heading1Char">
    <w:name w:val="Heading 1 Char"/>
    <w:basedOn w:val="DefaultParagraphFont"/>
    <w:link w:val="Heading1"/>
    <w:uiPriority w:val="9"/>
    <w:rsid w:val="00C24527"/>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24527"/>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C24527"/>
    <w:pPr>
      <w:outlineLvl w:val="9"/>
    </w:pPr>
    <w:rPr>
      <w:kern w:val="0"/>
      <w:lang w:val="en-US"/>
      <w14:ligatures w14:val="none"/>
    </w:rPr>
  </w:style>
  <w:style w:type="paragraph" w:styleId="TOC1">
    <w:name w:val="toc 1"/>
    <w:basedOn w:val="Normal"/>
    <w:next w:val="Normal"/>
    <w:autoRedefine/>
    <w:uiPriority w:val="39"/>
    <w:unhideWhenUsed/>
    <w:rsid w:val="00C24527"/>
    <w:pPr>
      <w:spacing w:after="100"/>
    </w:pPr>
  </w:style>
  <w:style w:type="paragraph" w:styleId="TOC2">
    <w:name w:val="toc 2"/>
    <w:basedOn w:val="Normal"/>
    <w:next w:val="Normal"/>
    <w:autoRedefine/>
    <w:uiPriority w:val="39"/>
    <w:unhideWhenUsed/>
    <w:rsid w:val="00C24527"/>
    <w:pPr>
      <w:spacing w:after="100"/>
      <w:ind w:left="220"/>
    </w:pPr>
  </w:style>
  <w:style w:type="character" w:styleId="Hyperlink">
    <w:name w:val="Hyperlink"/>
    <w:basedOn w:val="DefaultParagraphFont"/>
    <w:uiPriority w:val="99"/>
    <w:unhideWhenUsed/>
    <w:rsid w:val="00C24527"/>
    <w:rPr>
      <w:color w:val="0563C1" w:themeColor="hyperlink"/>
      <w:u w:val="single"/>
    </w:rPr>
  </w:style>
  <w:style w:type="paragraph" w:styleId="Header">
    <w:name w:val="header"/>
    <w:basedOn w:val="Normal"/>
    <w:link w:val="HeaderChar"/>
    <w:uiPriority w:val="99"/>
    <w:unhideWhenUsed/>
    <w:rsid w:val="00FF0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F31"/>
    <w:rPr>
      <w:lang w:val="en-GB"/>
    </w:rPr>
  </w:style>
  <w:style w:type="paragraph" w:styleId="Footer">
    <w:name w:val="footer"/>
    <w:basedOn w:val="Normal"/>
    <w:link w:val="FooterChar"/>
    <w:uiPriority w:val="99"/>
    <w:unhideWhenUsed/>
    <w:rsid w:val="00FF0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F31"/>
    <w:rPr>
      <w:lang w:val="en-GB"/>
    </w:rPr>
  </w:style>
  <w:style w:type="table" w:styleId="GridTable4-Accent1">
    <w:name w:val="Grid Table 4 Accent 1"/>
    <w:basedOn w:val="TableNormal"/>
    <w:uiPriority w:val="49"/>
    <w:rsid w:val="00FC6C9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UnresolvedMention">
    <w:name w:val="Unresolved Mention"/>
    <w:basedOn w:val="DefaultParagraphFont"/>
    <w:uiPriority w:val="99"/>
    <w:semiHidden/>
    <w:unhideWhenUsed/>
    <w:rsid w:val="00FC6C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38471">
      <w:bodyDiv w:val="1"/>
      <w:marLeft w:val="0"/>
      <w:marRight w:val="0"/>
      <w:marTop w:val="0"/>
      <w:marBottom w:val="0"/>
      <w:divBdr>
        <w:top w:val="none" w:sz="0" w:space="0" w:color="auto"/>
        <w:left w:val="none" w:sz="0" w:space="0" w:color="auto"/>
        <w:bottom w:val="none" w:sz="0" w:space="0" w:color="auto"/>
        <w:right w:val="none" w:sz="0" w:space="0" w:color="auto"/>
      </w:divBdr>
    </w:div>
    <w:div w:id="124081539">
      <w:bodyDiv w:val="1"/>
      <w:marLeft w:val="0"/>
      <w:marRight w:val="0"/>
      <w:marTop w:val="0"/>
      <w:marBottom w:val="0"/>
      <w:divBdr>
        <w:top w:val="none" w:sz="0" w:space="0" w:color="auto"/>
        <w:left w:val="none" w:sz="0" w:space="0" w:color="auto"/>
        <w:bottom w:val="none" w:sz="0" w:space="0" w:color="auto"/>
        <w:right w:val="none" w:sz="0" w:space="0" w:color="auto"/>
      </w:divBdr>
      <w:divsChild>
        <w:div w:id="580991831">
          <w:marLeft w:val="-720"/>
          <w:marRight w:val="0"/>
          <w:marTop w:val="0"/>
          <w:marBottom w:val="0"/>
          <w:divBdr>
            <w:top w:val="none" w:sz="0" w:space="0" w:color="auto"/>
            <w:left w:val="none" w:sz="0" w:space="0" w:color="auto"/>
            <w:bottom w:val="none" w:sz="0" w:space="0" w:color="auto"/>
            <w:right w:val="none" w:sz="0" w:space="0" w:color="auto"/>
          </w:divBdr>
        </w:div>
      </w:divsChild>
    </w:div>
    <w:div w:id="153690411">
      <w:bodyDiv w:val="1"/>
      <w:marLeft w:val="0"/>
      <w:marRight w:val="0"/>
      <w:marTop w:val="0"/>
      <w:marBottom w:val="0"/>
      <w:divBdr>
        <w:top w:val="none" w:sz="0" w:space="0" w:color="auto"/>
        <w:left w:val="none" w:sz="0" w:space="0" w:color="auto"/>
        <w:bottom w:val="none" w:sz="0" w:space="0" w:color="auto"/>
        <w:right w:val="none" w:sz="0" w:space="0" w:color="auto"/>
      </w:divBdr>
    </w:div>
    <w:div w:id="186985475">
      <w:bodyDiv w:val="1"/>
      <w:marLeft w:val="0"/>
      <w:marRight w:val="0"/>
      <w:marTop w:val="0"/>
      <w:marBottom w:val="0"/>
      <w:divBdr>
        <w:top w:val="none" w:sz="0" w:space="0" w:color="auto"/>
        <w:left w:val="none" w:sz="0" w:space="0" w:color="auto"/>
        <w:bottom w:val="none" w:sz="0" w:space="0" w:color="auto"/>
        <w:right w:val="none" w:sz="0" w:space="0" w:color="auto"/>
      </w:divBdr>
    </w:div>
    <w:div w:id="381828573">
      <w:bodyDiv w:val="1"/>
      <w:marLeft w:val="0"/>
      <w:marRight w:val="0"/>
      <w:marTop w:val="0"/>
      <w:marBottom w:val="0"/>
      <w:divBdr>
        <w:top w:val="none" w:sz="0" w:space="0" w:color="auto"/>
        <w:left w:val="none" w:sz="0" w:space="0" w:color="auto"/>
        <w:bottom w:val="none" w:sz="0" w:space="0" w:color="auto"/>
        <w:right w:val="none" w:sz="0" w:space="0" w:color="auto"/>
      </w:divBdr>
    </w:div>
    <w:div w:id="449670927">
      <w:bodyDiv w:val="1"/>
      <w:marLeft w:val="0"/>
      <w:marRight w:val="0"/>
      <w:marTop w:val="0"/>
      <w:marBottom w:val="0"/>
      <w:divBdr>
        <w:top w:val="none" w:sz="0" w:space="0" w:color="auto"/>
        <w:left w:val="none" w:sz="0" w:space="0" w:color="auto"/>
        <w:bottom w:val="none" w:sz="0" w:space="0" w:color="auto"/>
        <w:right w:val="none" w:sz="0" w:space="0" w:color="auto"/>
      </w:divBdr>
    </w:div>
    <w:div w:id="597910226">
      <w:bodyDiv w:val="1"/>
      <w:marLeft w:val="0"/>
      <w:marRight w:val="0"/>
      <w:marTop w:val="0"/>
      <w:marBottom w:val="0"/>
      <w:divBdr>
        <w:top w:val="none" w:sz="0" w:space="0" w:color="auto"/>
        <w:left w:val="none" w:sz="0" w:space="0" w:color="auto"/>
        <w:bottom w:val="none" w:sz="0" w:space="0" w:color="auto"/>
        <w:right w:val="none" w:sz="0" w:space="0" w:color="auto"/>
      </w:divBdr>
    </w:div>
    <w:div w:id="650986245">
      <w:bodyDiv w:val="1"/>
      <w:marLeft w:val="0"/>
      <w:marRight w:val="0"/>
      <w:marTop w:val="0"/>
      <w:marBottom w:val="0"/>
      <w:divBdr>
        <w:top w:val="none" w:sz="0" w:space="0" w:color="auto"/>
        <w:left w:val="none" w:sz="0" w:space="0" w:color="auto"/>
        <w:bottom w:val="none" w:sz="0" w:space="0" w:color="auto"/>
        <w:right w:val="none" w:sz="0" w:space="0" w:color="auto"/>
      </w:divBdr>
    </w:div>
    <w:div w:id="663555629">
      <w:bodyDiv w:val="1"/>
      <w:marLeft w:val="0"/>
      <w:marRight w:val="0"/>
      <w:marTop w:val="0"/>
      <w:marBottom w:val="0"/>
      <w:divBdr>
        <w:top w:val="none" w:sz="0" w:space="0" w:color="auto"/>
        <w:left w:val="none" w:sz="0" w:space="0" w:color="auto"/>
        <w:bottom w:val="none" w:sz="0" w:space="0" w:color="auto"/>
        <w:right w:val="none" w:sz="0" w:space="0" w:color="auto"/>
      </w:divBdr>
    </w:div>
    <w:div w:id="885677433">
      <w:bodyDiv w:val="1"/>
      <w:marLeft w:val="0"/>
      <w:marRight w:val="0"/>
      <w:marTop w:val="0"/>
      <w:marBottom w:val="0"/>
      <w:divBdr>
        <w:top w:val="none" w:sz="0" w:space="0" w:color="auto"/>
        <w:left w:val="none" w:sz="0" w:space="0" w:color="auto"/>
        <w:bottom w:val="none" w:sz="0" w:space="0" w:color="auto"/>
        <w:right w:val="none" w:sz="0" w:space="0" w:color="auto"/>
      </w:divBdr>
    </w:div>
    <w:div w:id="910965240">
      <w:bodyDiv w:val="1"/>
      <w:marLeft w:val="0"/>
      <w:marRight w:val="0"/>
      <w:marTop w:val="0"/>
      <w:marBottom w:val="0"/>
      <w:divBdr>
        <w:top w:val="none" w:sz="0" w:space="0" w:color="auto"/>
        <w:left w:val="none" w:sz="0" w:space="0" w:color="auto"/>
        <w:bottom w:val="none" w:sz="0" w:space="0" w:color="auto"/>
        <w:right w:val="none" w:sz="0" w:space="0" w:color="auto"/>
      </w:divBdr>
    </w:div>
    <w:div w:id="992951386">
      <w:bodyDiv w:val="1"/>
      <w:marLeft w:val="0"/>
      <w:marRight w:val="0"/>
      <w:marTop w:val="0"/>
      <w:marBottom w:val="0"/>
      <w:divBdr>
        <w:top w:val="none" w:sz="0" w:space="0" w:color="auto"/>
        <w:left w:val="none" w:sz="0" w:space="0" w:color="auto"/>
        <w:bottom w:val="none" w:sz="0" w:space="0" w:color="auto"/>
        <w:right w:val="none" w:sz="0" w:space="0" w:color="auto"/>
      </w:divBdr>
    </w:div>
    <w:div w:id="1134328589">
      <w:bodyDiv w:val="1"/>
      <w:marLeft w:val="0"/>
      <w:marRight w:val="0"/>
      <w:marTop w:val="0"/>
      <w:marBottom w:val="0"/>
      <w:divBdr>
        <w:top w:val="none" w:sz="0" w:space="0" w:color="auto"/>
        <w:left w:val="none" w:sz="0" w:space="0" w:color="auto"/>
        <w:bottom w:val="none" w:sz="0" w:space="0" w:color="auto"/>
        <w:right w:val="none" w:sz="0" w:space="0" w:color="auto"/>
      </w:divBdr>
      <w:divsChild>
        <w:div w:id="1594776481">
          <w:marLeft w:val="0"/>
          <w:marRight w:val="0"/>
          <w:marTop w:val="0"/>
          <w:marBottom w:val="0"/>
          <w:divBdr>
            <w:top w:val="none" w:sz="0" w:space="0" w:color="auto"/>
            <w:left w:val="none" w:sz="0" w:space="0" w:color="auto"/>
            <w:bottom w:val="none" w:sz="0" w:space="0" w:color="auto"/>
            <w:right w:val="none" w:sz="0" w:space="0" w:color="auto"/>
          </w:divBdr>
          <w:divsChild>
            <w:div w:id="2107268041">
              <w:marLeft w:val="0"/>
              <w:marRight w:val="0"/>
              <w:marTop w:val="0"/>
              <w:marBottom w:val="0"/>
              <w:divBdr>
                <w:top w:val="none" w:sz="0" w:space="0" w:color="auto"/>
                <w:left w:val="none" w:sz="0" w:space="0" w:color="auto"/>
                <w:bottom w:val="none" w:sz="0" w:space="0" w:color="auto"/>
                <w:right w:val="none" w:sz="0" w:space="0" w:color="auto"/>
              </w:divBdr>
              <w:divsChild>
                <w:div w:id="6314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252966">
      <w:bodyDiv w:val="1"/>
      <w:marLeft w:val="0"/>
      <w:marRight w:val="0"/>
      <w:marTop w:val="0"/>
      <w:marBottom w:val="0"/>
      <w:divBdr>
        <w:top w:val="none" w:sz="0" w:space="0" w:color="auto"/>
        <w:left w:val="none" w:sz="0" w:space="0" w:color="auto"/>
        <w:bottom w:val="none" w:sz="0" w:space="0" w:color="auto"/>
        <w:right w:val="none" w:sz="0" w:space="0" w:color="auto"/>
      </w:divBdr>
    </w:div>
    <w:div w:id="1222133421">
      <w:bodyDiv w:val="1"/>
      <w:marLeft w:val="0"/>
      <w:marRight w:val="0"/>
      <w:marTop w:val="0"/>
      <w:marBottom w:val="0"/>
      <w:divBdr>
        <w:top w:val="none" w:sz="0" w:space="0" w:color="auto"/>
        <w:left w:val="none" w:sz="0" w:space="0" w:color="auto"/>
        <w:bottom w:val="none" w:sz="0" w:space="0" w:color="auto"/>
        <w:right w:val="none" w:sz="0" w:space="0" w:color="auto"/>
      </w:divBdr>
    </w:div>
    <w:div w:id="1231118552">
      <w:bodyDiv w:val="1"/>
      <w:marLeft w:val="0"/>
      <w:marRight w:val="0"/>
      <w:marTop w:val="0"/>
      <w:marBottom w:val="0"/>
      <w:divBdr>
        <w:top w:val="none" w:sz="0" w:space="0" w:color="auto"/>
        <w:left w:val="none" w:sz="0" w:space="0" w:color="auto"/>
        <w:bottom w:val="none" w:sz="0" w:space="0" w:color="auto"/>
        <w:right w:val="none" w:sz="0" w:space="0" w:color="auto"/>
      </w:divBdr>
    </w:div>
    <w:div w:id="1442915502">
      <w:bodyDiv w:val="1"/>
      <w:marLeft w:val="0"/>
      <w:marRight w:val="0"/>
      <w:marTop w:val="0"/>
      <w:marBottom w:val="0"/>
      <w:divBdr>
        <w:top w:val="none" w:sz="0" w:space="0" w:color="auto"/>
        <w:left w:val="none" w:sz="0" w:space="0" w:color="auto"/>
        <w:bottom w:val="none" w:sz="0" w:space="0" w:color="auto"/>
        <w:right w:val="none" w:sz="0" w:space="0" w:color="auto"/>
      </w:divBdr>
    </w:div>
    <w:div w:id="1733505764">
      <w:bodyDiv w:val="1"/>
      <w:marLeft w:val="0"/>
      <w:marRight w:val="0"/>
      <w:marTop w:val="0"/>
      <w:marBottom w:val="0"/>
      <w:divBdr>
        <w:top w:val="none" w:sz="0" w:space="0" w:color="auto"/>
        <w:left w:val="none" w:sz="0" w:space="0" w:color="auto"/>
        <w:bottom w:val="none" w:sz="0" w:space="0" w:color="auto"/>
        <w:right w:val="none" w:sz="0" w:space="0" w:color="auto"/>
      </w:divBdr>
    </w:div>
    <w:div w:id="1973510695">
      <w:bodyDiv w:val="1"/>
      <w:marLeft w:val="0"/>
      <w:marRight w:val="0"/>
      <w:marTop w:val="0"/>
      <w:marBottom w:val="0"/>
      <w:divBdr>
        <w:top w:val="none" w:sz="0" w:space="0" w:color="auto"/>
        <w:left w:val="none" w:sz="0" w:space="0" w:color="auto"/>
        <w:bottom w:val="none" w:sz="0" w:space="0" w:color="auto"/>
        <w:right w:val="none" w:sz="0" w:space="0" w:color="auto"/>
      </w:divBdr>
    </w:div>
    <w:div w:id="1974362463">
      <w:bodyDiv w:val="1"/>
      <w:marLeft w:val="0"/>
      <w:marRight w:val="0"/>
      <w:marTop w:val="0"/>
      <w:marBottom w:val="0"/>
      <w:divBdr>
        <w:top w:val="none" w:sz="0" w:space="0" w:color="auto"/>
        <w:left w:val="none" w:sz="0" w:space="0" w:color="auto"/>
        <w:bottom w:val="none" w:sz="0" w:space="0" w:color="auto"/>
        <w:right w:val="none" w:sz="0" w:space="0" w:color="auto"/>
      </w:divBdr>
    </w:div>
    <w:div w:id="2005011377">
      <w:bodyDiv w:val="1"/>
      <w:marLeft w:val="0"/>
      <w:marRight w:val="0"/>
      <w:marTop w:val="0"/>
      <w:marBottom w:val="0"/>
      <w:divBdr>
        <w:top w:val="none" w:sz="0" w:space="0" w:color="auto"/>
        <w:left w:val="none" w:sz="0" w:space="0" w:color="auto"/>
        <w:bottom w:val="none" w:sz="0" w:space="0" w:color="auto"/>
        <w:right w:val="none" w:sz="0" w:space="0" w:color="auto"/>
      </w:divBdr>
    </w:div>
    <w:div w:id="208726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rser.2018.06.02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6277D-DEC8-4681-85A4-95DA84CD4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3366</Words>
  <Characters>19190</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2023-11-09T20:16:00Z</dcterms:created>
  <dcterms:modified xsi:type="dcterms:W3CDTF">2024-01-02T22:51:00Z</dcterms:modified>
</cp:coreProperties>
</file>