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3F7B4" w14:textId="77777777" w:rsidR="00C72315" w:rsidRDefault="00C72315"/>
    <w:p w14:paraId="36226791" w14:textId="77777777" w:rsidR="00C72315" w:rsidRDefault="00C72315">
      <w:pPr>
        <w:jc w:val="center"/>
        <w:rPr>
          <w:b/>
          <w:sz w:val="32"/>
          <w:szCs w:val="32"/>
        </w:rPr>
      </w:pPr>
    </w:p>
    <w:p w14:paraId="60EC01D6" w14:textId="77777777" w:rsidR="00C72315" w:rsidRDefault="00C72315">
      <w:pPr>
        <w:jc w:val="center"/>
        <w:rPr>
          <w:b/>
          <w:sz w:val="32"/>
          <w:szCs w:val="32"/>
        </w:rPr>
      </w:pPr>
    </w:p>
    <w:p w14:paraId="590F589D" w14:textId="77777777" w:rsidR="00C72315" w:rsidRDefault="006B62C5">
      <w:pPr>
        <w:jc w:val="center"/>
        <w:rPr>
          <w:b/>
          <w:sz w:val="32"/>
          <w:szCs w:val="32"/>
        </w:rPr>
      </w:pPr>
      <w:r>
        <w:rPr>
          <w:b/>
          <w:noProof/>
          <w:sz w:val="32"/>
          <w:szCs w:val="32"/>
        </w:rPr>
        <w:drawing>
          <wp:inline distT="114300" distB="114300" distL="114300" distR="114300" wp14:anchorId="09678FC5" wp14:editId="65032E37">
            <wp:extent cx="3298988" cy="1514475"/>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298988" cy="1514475"/>
                    </a:xfrm>
                    <a:prstGeom prst="rect">
                      <a:avLst/>
                    </a:prstGeom>
                    <a:ln/>
                  </pic:spPr>
                </pic:pic>
              </a:graphicData>
            </a:graphic>
          </wp:inline>
        </w:drawing>
      </w:r>
    </w:p>
    <w:p w14:paraId="3CC77220" w14:textId="77777777" w:rsidR="00C72315" w:rsidRDefault="006B62C5">
      <w:pPr>
        <w:jc w:val="center"/>
        <w:rPr>
          <w:b/>
          <w:sz w:val="40"/>
          <w:szCs w:val="40"/>
        </w:rPr>
      </w:pPr>
      <w:r>
        <w:rPr>
          <w:b/>
          <w:sz w:val="32"/>
          <w:szCs w:val="32"/>
        </w:rPr>
        <w:t>LEVEL 7 ASSESSMENT SPECIFICATION</w:t>
      </w:r>
    </w:p>
    <w:p w14:paraId="4A720F77" w14:textId="77777777" w:rsidR="00C72315" w:rsidRDefault="006B62C5">
      <w:pPr>
        <w:jc w:val="center"/>
        <w:rPr>
          <w:b/>
          <w:sz w:val="40"/>
          <w:szCs w:val="40"/>
        </w:rPr>
      </w:pPr>
      <w:r>
        <w:rPr>
          <w:b/>
          <w:sz w:val="40"/>
          <w:szCs w:val="40"/>
        </w:rPr>
        <w:t xml:space="preserve">LCMB7020 </w:t>
      </w:r>
    </w:p>
    <w:p w14:paraId="14C819E8" w14:textId="77777777" w:rsidR="00C72315" w:rsidRDefault="00C72315">
      <w:pPr>
        <w:jc w:val="center"/>
        <w:rPr>
          <w:b/>
          <w:sz w:val="40"/>
          <w:szCs w:val="40"/>
        </w:rPr>
      </w:pPr>
    </w:p>
    <w:p w14:paraId="5B968C4E" w14:textId="77777777" w:rsidR="00C72315" w:rsidRDefault="006B62C5">
      <w:pPr>
        <w:jc w:val="center"/>
        <w:rPr>
          <w:sz w:val="32"/>
          <w:szCs w:val="32"/>
        </w:rPr>
      </w:pPr>
      <w:r>
        <w:rPr>
          <w:b/>
          <w:sz w:val="32"/>
          <w:szCs w:val="32"/>
        </w:rPr>
        <w:t>PROGRAMME:</w:t>
      </w:r>
      <w:r>
        <w:rPr>
          <w:sz w:val="32"/>
          <w:szCs w:val="32"/>
        </w:rPr>
        <w:t xml:space="preserve"> MBA</w:t>
      </w:r>
    </w:p>
    <w:p w14:paraId="399180ED" w14:textId="77777777" w:rsidR="00C72315" w:rsidRDefault="006B62C5">
      <w:pPr>
        <w:jc w:val="center"/>
        <w:rPr>
          <w:sz w:val="32"/>
          <w:szCs w:val="32"/>
        </w:rPr>
      </w:pPr>
      <w:r>
        <w:rPr>
          <w:b/>
          <w:sz w:val="32"/>
          <w:szCs w:val="32"/>
        </w:rPr>
        <w:t>MODULE:</w:t>
      </w:r>
      <w:r>
        <w:rPr>
          <w:sz w:val="32"/>
          <w:szCs w:val="32"/>
        </w:rPr>
        <w:t xml:space="preserve"> DISSERTATION</w:t>
      </w:r>
    </w:p>
    <w:p w14:paraId="1E0BCFDA" w14:textId="77777777" w:rsidR="00C72315" w:rsidRDefault="00C72315">
      <w:pPr>
        <w:jc w:val="left"/>
        <w:rPr>
          <w:sz w:val="32"/>
          <w:szCs w:val="32"/>
        </w:rPr>
      </w:pPr>
    </w:p>
    <w:p w14:paraId="035B89DC" w14:textId="77777777" w:rsidR="00C72315" w:rsidRDefault="006B62C5">
      <w:pPr>
        <w:jc w:val="center"/>
        <w:rPr>
          <w:sz w:val="32"/>
          <w:szCs w:val="32"/>
        </w:rPr>
      </w:pPr>
      <w:r>
        <w:rPr>
          <w:sz w:val="32"/>
          <w:szCs w:val="32"/>
        </w:rPr>
        <w:t>EXAMINING THE EMPLOYEE WELLNESS PROGRAM’S EFFECTIVENESS IN FOSTERING A PRODUCTIVE AND HEALTHY WORK ENVIRONMENT</w:t>
      </w:r>
    </w:p>
    <w:p w14:paraId="69C47783" w14:textId="77777777" w:rsidR="00C72315" w:rsidRDefault="00C72315">
      <w:pPr>
        <w:jc w:val="center"/>
        <w:rPr>
          <w:sz w:val="32"/>
          <w:szCs w:val="32"/>
        </w:rPr>
      </w:pPr>
    </w:p>
    <w:p w14:paraId="3129DE71" w14:textId="6C3DBA66" w:rsidR="00C72315" w:rsidRDefault="006B62C5">
      <w:pPr>
        <w:jc w:val="center"/>
        <w:rPr>
          <w:b/>
          <w:sz w:val="32"/>
          <w:szCs w:val="32"/>
        </w:rPr>
      </w:pPr>
      <w:r>
        <w:rPr>
          <w:b/>
          <w:sz w:val="32"/>
          <w:szCs w:val="32"/>
        </w:rPr>
        <w:t>STUDENT NAME:</w:t>
      </w:r>
      <w:r w:rsidR="00F0742D">
        <w:rPr>
          <w:b/>
          <w:sz w:val="32"/>
          <w:szCs w:val="32"/>
        </w:rPr>
        <w:t xml:space="preserve"> KEVINKUMAR DABHI</w:t>
      </w:r>
    </w:p>
    <w:p w14:paraId="2E476693" w14:textId="62E4F1D3" w:rsidR="00C72315" w:rsidRDefault="006B62C5">
      <w:pPr>
        <w:jc w:val="center"/>
        <w:rPr>
          <w:b/>
          <w:sz w:val="32"/>
          <w:szCs w:val="32"/>
        </w:rPr>
      </w:pPr>
      <w:r>
        <w:rPr>
          <w:b/>
          <w:sz w:val="32"/>
          <w:szCs w:val="32"/>
        </w:rPr>
        <w:t>STUDENT ID:</w:t>
      </w:r>
      <w:r w:rsidR="00F0742D">
        <w:rPr>
          <w:b/>
          <w:sz w:val="32"/>
          <w:szCs w:val="32"/>
        </w:rPr>
        <w:t xml:space="preserve"> 2241836</w:t>
      </w:r>
    </w:p>
    <w:p w14:paraId="0436E0DC" w14:textId="30DF657A" w:rsidR="00C72315" w:rsidRDefault="006B62C5">
      <w:pPr>
        <w:jc w:val="center"/>
        <w:rPr>
          <w:sz w:val="32"/>
          <w:szCs w:val="32"/>
        </w:rPr>
      </w:pPr>
      <w:r>
        <w:rPr>
          <w:b/>
          <w:sz w:val="32"/>
          <w:szCs w:val="32"/>
        </w:rPr>
        <w:t>DATE OF SUBMISSION:</w:t>
      </w:r>
      <w:r w:rsidR="00F0742D">
        <w:rPr>
          <w:b/>
          <w:sz w:val="32"/>
          <w:szCs w:val="32"/>
        </w:rPr>
        <w:t xml:space="preserve"> </w:t>
      </w:r>
      <w:r w:rsidR="00FB4C36">
        <w:rPr>
          <w:b/>
          <w:sz w:val="32"/>
          <w:szCs w:val="32"/>
        </w:rPr>
        <w:t>13/05/2024</w:t>
      </w:r>
    </w:p>
    <w:p w14:paraId="485D0807" w14:textId="77777777" w:rsidR="00C72315" w:rsidRDefault="00C72315">
      <w:pPr>
        <w:jc w:val="center"/>
        <w:rPr>
          <w:b/>
          <w:sz w:val="32"/>
          <w:szCs w:val="32"/>
          <w:u w:val="single"/>
        </w:rPr>
      </w:pPr>
    </w:p>
    <w:p w14:paraId="3409BF8C" w14:textId="77777777" w:rsidR="00C72315" w:rsidRDefault="00C72315">
      <w:pPr>
        <w:jc w:val="center"/>
        <w:rPr>
          <w:b/>
          <w:sz w:val="32"/>
          <w:szCs w:val="32"/>
          <w:u w:val="single"/>
        </w:rPr>
      </w:pPr>
    </w:p>
    <w:p w14:paraId="750630E1" w14:textId="77777777" w:rsidR="00C72315" w:rsidRDefault="00C72315">
      <w:pPr>
        <w:jc w:val="center"/>
        <w:rPr>
          <w:b/>
          <w:sz w:val="32"/>
          <w:szCs w:val="32"/>
          <w:u w:val="single"/>
        </w:rPr>
      </w:pPr>
    </w:p>
    <w:p w14:paraId="69011EE5" w14:textId="77777777" w:rsidR="000455E6" w:rsidRDefault="000455E6">
      <w:pPr>
        <w:jc w:val="center"/>
        <w:rPr>
          <w:b/>
          <w:sz w:val="32"/>
          <w:szCs w:val="32"/>
          <w:u w:val="single"/>
        </w:rPr>
      </w:pPr>
    </w:p>
    <w:p w14:paraId="098E0B79" w14:textId="77777777" w:rsidR="00C72315" w:rsidRDefault="006B62C5">
      <w:pPr>
        <w:jc w:val="center"/>
        <w:rPr>
          <w:b/>
          <w:sz w:val="32"/>
          <w:szCs w:val="32"/>
          <w:u w:val="single"/>
        </w:rPr>
      </w:pPr>
      <w:r>
        <w:rPr>
          <w:b/>
          <w:sz w:val="32"/>
          <w:szCs w:val="32"/>
          <w:u w:val="single"/>
        </w:rPr>
        <w:lastRenderedPageBreak/>
        <w:t>DECLARATION</w:t>
      </w:r>
    </w:p>
    <w:p w14:paraId="295ACB71" w14:textId="77777777" w:rsidR="00C72315" w:rsidRDefault="00C72315"/>
    <w:p w14:paraId="1B3B8785" w14:textId="7119C293" w:rsidR="00C72315" w:rsidRDefault="006B62C5">
      <w:r>
        <w:t xml:space="preserve">I, </w:t>
      </w:r>
      <w:r w:rsidR="00FB4C36">
        <w:t>Kevinkumar Dabhi</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5CAA825" w14:textId="77777777" w:rsidR="00C72315" w:rsidRDefault="00C72315"/>
    <w:p w14:paraId="5AA1816F" w14:textId="77777777" w:rsidR="00C72315" w:rsidRDefault="006B62C5">
      <w:r>
        <w:t xml:space="preserve"> </w:t>
      </w:r>
    </w:p>
    <w:p w14:paraId="00EF720B" w14:textId="4A501C84" w:rsidR="00C72315" w:rsidRDefault="006B62C5">
      <w:r>
        <w:rPr>
          <w:noProof/>
        </w:rPr>
        <mc:AlternateContent>
          <mc:Choice Requires="wpi">
            <w:drawing>
              <wp:anchor distT="0" distB="0" distL="114300" distR="114300" simplePos="0" relativeHeight="251659264" behindDoc="0" locked="0" layoutInCell="1" allowOverlap="1" wp14:anchorId="7E62D522" wp14:editId="403D7097">
                <wp:simplePos x="0" y="0"/>
                <wp:positionH relativeFrom="column">
                  <wp:posOffset>822186</wp:posOffset>
                </wp:positionH>
                <wp:positionV relativeFrom="paragraph">
                  <wp:posOffset>-198055</wp:posOffset>
                </wp:positionV>
                <wp:extent cx="838800" cy="556920"/>
                <wp:effectExtent l="38100" t="38100" r="38100" b="40005"/>
                <wp:wrapNone/>
                <wp:docPr id="1"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838800" cy="556920"/>
                      </w14:xfrm>
                    </w14:contentPart>
                  </a:graphicData>
                </a:graphic>
              </wp:anchor>
            </w:drawing>
          </mc:Choice>
          <mc:Fallback>
            <w:pict>
              <v:shapetype w14:anchorId="7354B2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4.05pt;margin-top:-16.3pt;width:67.5pt;height:45.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">
                <v:imagedata r:id="rId10" o:title=""/>
              </v:shape>
            </w:pict>
          </mc:Fallback>
        </mc:AlternateContent>
      </w:r>
    </w:p>
    <w:p w14:paraId="7CF6C6FD" w14:textId="77777777" w:rsidR="00C72315" w:rsidRDefault="006B62C5">
      <w:r>
        <w:t xml:space="preserve">Signature:...................................................... </w:t>
      </w:r>
    </w:p>
    <w:p w14:paraId="223CE48E" w14:textId="77777777" w:rsidR="00C72315" w:rsidRDefault="00C72315"/>
    <w:p w14:paraId="1518D835" w14:textId="2E859F79" w:rsidR="00C72315" w:rsidRDefault="006B62C5">
      <w:r>
        <w:t xml:space="preserve">Date: </w:t>
      </w:r>
      <w:r w:rsidR="000455E6">
        <w:t>13/05/2024</w:t>
      </w:r>
    </w:p>
    <w:p w14:paraId="752B1AB4" w14:textId="77777777" w:rsidR="00C72315" w:rsidRDefault="00C72315"/>
    <w:p w14:paraId="11AC671A" w14:textId="77777777" w:rsidR="00C72315" w:rsidRDefault="00C72315"/>
    <w:p w14:paraId="1DFBFFBA" w14:textId="77777777" w:rsidR="00C72315" w:rsidRDefault="006B62C5">
      <w:r>
        <w:br w:type="page"/>
      </w:r>
    </w:p>
    <w:p w14:paraId="678E4DA5" w14:textId="77777777" w:rsidR="00C72315" w:rsidRDefault="00C72315">
      <w:pPr>
        <w:jc w:val="center"/>
        <w:rPr>
          <w:b/>
          <w:sz w:val="28"/>
          <w:szCs w:val="28"/>
          <w:u w:val="single"/>
        </w:rPr>
      </w:pPr>
    </w:p>
    <w:p w14:paraId="5945B34B" w14:textId="77777777" w:rsidR="00C72315" w:rsidRDefault="00C72315">
      <w:pPr>
        <w:jc w:val="center"/>
        <w:rPr>
          <w:b/>
          <w:sz w:val="28"/>
          <w:szCs w:val="28"/>
          <w:u w:val="single"/>
        </w:rPr>
      </w:pPr>
    </w:p>
    <w:p w14:paraId="61FC23DA" w14:textId="77777777" w:rsidR="00C72315" w:rsidRDefault="006B62C5">
      <w:pPr>
        <w:jc w:val="center"/>
        <w:rPr>
          <w:b/>
          <w:sz w:val="28"/>
          <w:szCs w:val="28"/>
          <w:u w:val="single"/>
        </w:rPr>
      </w:pPr>
      <w:r>
        <w:rPr>
          <w:b/>
          <w:sz w:val="28"/>
          <w:szCs w:val="28"/>
          <w:u w:val="single"/>
        </w:rPr>
        <w:t>ACKNOWLEDGEMENT</w:t>
      </w:r>
    </w:p>
    <w:p w14:paraId="20F859B5" w14:textId="77777777" w:rsidR="00C72315" w:rsidRDefault="00C72315">
      <w:pPr>
        <w:jc w:val="left"/>
        <w:rPr>
          <w:b/>
          <w:sz w:val="28"/>
          <w:szCs w:val="28"/>
          <w:u w:val="single"/>
        </w:rPr>
      </w:pPr>
    </w:p>
    <w:p w14:paraId="729643BA" w14:textId="77777777" w:rsidR="00C72315" w:rsidRDefault="006B62C5">
      <w:r>
        <w:t>I like to convey my profound and heartfelt appreciation to my research supervisor for affording me the chance to engage in research and provide vital mentorship throughout this endeavour. My supervisor has instructed me on the many procedures involved in doing research and delivering presentations. In a precise manner, the research functions with utmost clarity. Working and studying under such supervision and support was a tremendous pleasure and honor. I am profoundly appreciative and fortunate. I am profo</w:t>
      </w:r>
      <w:r>
        <w:t>undly appreciative of my parents for their affection, prayers, nurturing, and selfless efforts in providing me with an education and preparing me for my future. I am also thankful to my friends and classmates for their support throughout the research process.</w:t>
      </w:r>
    </w:p>
    <w:p w14:paraId="09B121A6" w14:textId="77777777" w:rsidR="00C72315" w:rsidRDefault="00C72315"/>
    <w:p w14:paraId="6B648025" w14:textId="77777777" w:rsidR="00C72315" w:rsidRDefault="00C72315"/>
    <w:p w14:paraId="0994F70B" w14:textId="77777777" w:rsidR="00C72315" w:rsidRDefault="00C72315"/>
    <w:p w14:paraId="32D60E2E" w14:textId="77777777" w:rsidR="00C72315" w:rsidRDefault="00C72315"/>
    <w:p w14:paraId="58EAC27E" w14:textId="77777777" w:rsidR="00C72315" w:rsidRDefault="006B62C5">
      <w:pPr>
        <w:rPr>
          <w:b/>
        </w:rPr>
      </w:pPr>
      <w:r>
        <w:rPr>
          <w:b/>
        </w:rPr>
        <w:t>THANKYOU</w:t>
      </w:r>
    </w:p>
    <w:p w14:paraId="41343610" w14:textId="77777777" w:rsidR="00C72315" w:rsidRDefault="00C72315"/>
    <w:p w14:paraId="0B0AD8EF" w14:textId="77777777" w:rsidR="00C72315" w:rsidRDefault="00C72315">
      <w:pPr>
        <w:jc w:val="left"/>
      </w:pPr>
    </w:p>
    <w:p w14:paraId="3A31097D" w14:textId="77777777" w:rsidR="00C72315" w:rsidRDefault="00C72315">
      <w:pPr>
        <w:jc w:val="left"/>
        <w:rPr>
          <w:b/>
          <w:sz w:val="28"/>
          <w:szCs w:val="28"/>
          <w:u w:val="single"/>
        </w:rPr>
      </w:pPr>
    </w:p>
    <w:p w14:paraId="0645D0E3" w14:textId="77777777" w:rsidR="00C72315" w:rsidRDefault="00C72315">
      <w:pPr>
        <w:jc w:val="left"/>
        <w:rPr>
          <w:b/>
          <w:sz w:val="28"/>
          <w:szCs w:val="28"/>
          <w:u w:val="single"/>
        </w:rPr>
      </w:pPr>
    </w:p>
    <w:p w14:paraId="3F6B4B17" w14:textId="77777777" w:rsidR="00C72315" w:rsidRDefault="00C72315">
      <w:pPr>
        <w:jc w:val="left"/>
        <w:rPr>
          <w:b/>
          <w:sz w:val="28"/>
          <w:szCs w:val="28"/>
          <w:u w:val="single"/>
        </w:rPr>
      </w:pPr>
    </w:p>
    <w:p w14:paraId="122C74CB" w14:textId="77777777" w:rsidR="00C72315" w:rsidRDefault="00C72315">
      <w:pPr>
        <w:jc w:val="left"/>
        <w:rPr>
          <w:b/>
          <w:sz w:val="28"/>
          <w:szCs w:val="28"/>
          <w:u w:val="single"/>
        </w:rPr>
      </w:pPr>
    </w:p>
    <w:p w14:paraId="4E895581" w14:textId="77777777" w:rsidR="00C72315" w:rsidRDefault="006B62C5">
      <w:pPr>
        <w:pStyle w:val="Heading1"/>
        <w:spacing w:before="0" w:after="0"/>
      </w:pPr>
      <w:bookmarkStart w:id="0" w:name="_heading=h.6mgoy9nwefml" w:colFirst="0" w:colLast="0"/>
      <w:bookmarkEnd w:id="0"/>
      <w:r>
        <w:br w:type="page"/>
      </w:r>
    </w:p>
    <w:p w14:paraId="05A213D4" w14:textId="77777777" w:rsidR="00C72315" w:rsidRDefault="00C72315">
      <w:pPr>
        <w:jc w:val="center"/>
        <w:rPr>
          <w:b/>
          <w:sz w:val="28"/>
          <w:szCs w:val="28"/>
        </w:rPr>
      </w:pPr>
    </w:p>
    <w:p w14:paraId="35DF56F3" w14:textId="77777777" w:rsidR="00C72315" w:rsidRDefault="006B62C5">
      <w:pPr>
        <w:jc w:val="center"/>
        <w:rPr>
          <w:b/>
          <w:sz w:val="28"/>
          <w:szCs w:val="28"/>
        </w:rPr>
      </w:pPr>
      <w:r>
        <w:rPr>
          <w:b/>
          <w:sz w:val="28"/>
          <w:szCs w:val="28"/>
        </w:rPr>
        <w:t>TABLE OF CONTENTS</w:t>
      </w:r>
    </w:p>
    <w:p w14:paraId="54178530" w14:textId="77777777" w:rsidR="00C72315" w:rsidRDefault="00C72315">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p>
    <w:sdt>
      <w:sdtPr>
        <w:id w:val="-1256280954"/>
        <w:docPartObj>
          <w:docPartGallery w:val="Table of Contents"/>
          <w:docPartUnique/>
        </w:docPartObj>
      </w:sdtPr>
      <w:sdtEndPr/>
      <w:sdtContent>
        <w:p w14:paraId="255D6545" w14:textId="77777777" w:rsidR="00C72315" w:rsidRDefault="006B62C5">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9ilab7s326ms">
            <w:r>
              <w:rPr>
                <w:color w:val="000000"/>
              </w:rPr>
              <w:t>CHAPTER 1: INTRODUCTION</w:t>
            </w:r>
            <w:r>
              <w:rPr>
                <w:color w:val="000000"/>
              </w:rPr>
              <w:tab/>
              <w:t>4</w:t>
            </w:r>
          </w:hyperlink>
        </w:p>
        <w:p w14:paraId="0B02D1F3"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m0xy8wn1d2sc">
            <w:r>
              <w:rPr>
                <w:color w:val="000000"/>
              </w:rPr>
              <w:t>1.1Introduction</w:t>
            </w:r>
            <w:r>
              <w:rPr>
                <w:color w:val="000000"/>
              </w:rPr>
              <w:tab/>
              <w:t>4</w:t>
            </w:r>
          </w:hyperlink>
        </w:p>
        <w:p w14:paraId="063D0E81"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uvxsda70d0ts">
            <w:r>
              <w:rPr>
                <w:color w:val="000000"/>
              </w:rPr>
              <w:t>1.2 Background of the Research and Problem Statement</w:t>
            </w:r>
            <w:r>
              <w:rPr>
                <w:color w:val="000000"/>
              </w:rPr>
              <w:tab/>
              <w:t>4</w:t>
            </w:r>
          </w:hyperlink>
        </w:p>
        <w:p w14:paraId="6F621951"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2w57wjihdeib">
            <w:r>
              <w:rPr>
                <w:color w:val="000000"/>
              </w:rPr>
              <w:t>1.3 Research Aim and Objectives</w:t>
            </w:r>
            <w:r>
              <w:rPr>
                <w:color w:val="000000"/>
              </w:rPr>
              <w:tab/>
              <w:t>7</w:t>
            </w:r>
          </w:hyperlink>
        </w:p>
        <w:p w14:paraId="217229F2"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6esqhuucgiii">
            <w:r>
              <w:rPr>
                <w:color w:val="000000"/>
              </w:rPr>
              <w:t>1.4 Research Questions</w:t>
            </w:r>
            <w:r>
              <w:rPr>
                <w:color w:val="000000"/>
              </w:rPr>
              <w:tab/>
              <w:t>8</w:t>
            </w:r>
          </w:hyperlink>
        </w:p>
        <w:p w14:paraId="33BFE396"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8n5mt17ceze5">
            <w:r>
              <w:rPr>
                <w:color w:val="000000"/>
              </w:rPr>
              <w:t>1.5 Significance / Relevance of the Research</w:t>
            </w:r>
            <w:r>
              <w:rPr>
                <w:color w:val="000000"/>
              </w:rPr>
              <w:tab/>
              <w:t>8</w:t>
            </w:r>
          </w:hyperlink>
        </w:p>
        <w:p w14:paraId="638AAD95"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bwmzkv3e28k3">
            <w:r>
              <w:rPr>
                <w:color w:val="000000"/>
              </w:rPr>
              <w:t>1.6 Brief Research Methodology</w:t>
            </w:r>
            <w:r>
              <w:rPr>
                <w:color w:val="000000"/>
              </w:rPr>
              <w:tab/>
              <w:t>9</w:t>
            </w:r>
          </w:hyperlink>
        </w:p>
        <w:p w14:paraId="5A3220E4"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7hmtojlaqaxf">
            <w:r>
              <w:rPr>
                <w:color w:val="000000"/>
              </w:rPr>
              <w:t>1.7 Brief Research Methodology</w:t>
            </w:r>
            <w:r>
              <w:rPr>
                <w:color w:val="000000"/>
              </w:rPr>
              <w:tab/>
              <w:t>9</w:t>
            </w:r>
          </w:hyperlink>
        </w:p>
        <w:p w14:paraId="5024BD05"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khu5974nk9j7">
            <w:r>
              <w:rPr>
                <w:color w:val="000000"/>
              </w:rPr>
              <w:t>1.8 Structure of the rest of the project</w:t>
            </w:r>
            <w:r>
              <w:rPr>
                <w:color w:val="000000"/>
              </w:rPr>
              <w:tab/>
              <w:t>10</w:t>
            </w:r>
          </w:hyperlink>
        </w:p>
        <w:p w14:paraId="2C743BC3" w14:textId="77777777" w:rsidR="00C72315" w:rsidRDefault="006B62C5">
          <w:pPr>
            <w:pBdr>
              <w:top w:val="nil"/>
              <w:left w:val="nil"/>
              <w:bottom w:val="nil"/>
              <w:right w:val="nil"/>
              <w:between w:val="nil"/>
            </w:pBdr>
            <w:tabs>
              <w:tab w:val="right" w:leader="dot" w:pos="9019"/>
            </w:tabs>
            <w:spacing w:after="100"/>
            <w:rPr>
              <w:color w:val="000000"/>
            </w:rPr>
          </w:pPr>
          <w:hyperlink w:anchor="_heading=h.2et92p0">
            <w:r>
              <w:rPr>
                <w:color w:val="000000"/>
              </w:rPr>
              <w:t>CHAPTER 2: LITERATURE REVIEW</w:t>
            </w:r>
            <w:r>
              <w:rPr>
                <w:color w:val="000000"/>
              </w:rPr>
              <w:tab/>
              <w:t>11</w:t>
            </w:r>
          </w:hyperlink>
        </w:p>
        <w:p w14:paraId="0225849B"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bjad64dp9ud6">
            <w:r>
              <w:rPr>
                <w:color w:val="000000"/>
              </w:rPr>
              <w:t>2.1 Introduction</w:t>
            </w:r>
            <w:r>
              <w:rPr>
                <w:color w:val="000000"/>
              </w:rPr>
              <w:tab/>
              <w:t>11</w:t>
            </w:r>
          </w:hyperlink>
        </w:p>
        <w:p w14:paraId="745CDCD6"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gjdgxs">
            <w:r>
              <w:rPr>
                <w:color w:val="000000"/>
              </w:rPr>
              <w:t>2.2 Research Areas</w:t>
            </w:r>
            <w:r>
              <w:rPr>
                <w:color w:val="000000"/>
              </w:rPr>
              <w:tab/>
              <w:t>11</w:t>
            </w:r>
          </w:hyperlink>
        </w:p>
        <w:p w14:paraId="2990F63B"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ijhv0hiuggjl">
            <w:r>
              <w:rPr>
                <w:color w:val="000000"/>
              </w:rPr>
              <w:t>2.2.1 The significance of wellness programs</w:t>
            </w:r>
            <w:r>
              <w:rPr>
                <w:color w:val="000000"/>
              </w:rPr>
              <w:tab/>
              <w:t>11</w:t>
            </w:r>
          </w:hyperlink>
        </w:p>
        <w:p w14:paraId="394302D6"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7wcxokw4agvj">
            <w:r>
              <w:rPr>
                <w:color w:val="000000"/>
              </w:rPr>
              <w:t>2.2.2 Wellness program on the workforce’s physical health, mental well-being and work satisfaction</w:t>
            </w:r>
            <w:r>
              <w:rPr>
                <w:color w:val="000000"/>
              </w:rPr>
              <w:tab/>
              <w:t>12</w:t>
            </w:r>
          </w:hyperlink>
        </w:p>
        <w:p w14:paraId="5AD09791"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7ol2g8b5r0z6">
            <w:r>
              <w:rPr>
                <w:color w:val="000000"/>
              </w:rPr>
              <w:t>2.2.3 Factors impacting the engagement of employees with the wellness program</w:t>
            </w:r>
            <w:r>
              <w:rPr>
                <w:color w:val="000000"/>
              </w:rPr>
              <w:tab/>
              <w:t>14</w:t>
            </w:r>
          </w:hyperlink>
        </w:p>
        <w:p w14:paraId="0F538EFD"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lfwht7pxp4sv">
            <w:r>
              <w:rPr>
                <w:color w:val="000000"/>
              </w:rPr>
              <w:t>2.2.4 Challenges or barriers obstructing the successful implementation of wellness programs</w:t>
            </w:r>
            <w:r>
              <w:rPr>
                <w:color w:val="000000"/>
              </w:rPr>
              <w:tab/>
              <w:t>14</w:t>
            </w:r>
          </w:hyperlink>
        </w:p>
        <w:p w14:paraId="13A13650"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tjsdjv4cahq4">
            <w:r>
              <w:rPr>
                <w:color w:val="000000"/>
              </w:rPr>
              <w:t>2.2.5 Relationship between different factors and employee welfare program participation</w:t>
            </w:r>
            <w:r>
              <w:rPr>
                <w:color w:val="000000"/>
              </w:rPr>
              <w:tab/>
              <w:t>15</w:t>
            </w:r>
          </w:hyperlink>
        </w:p>
        <w:p w14:paraId="2AAD4998"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3lyna4u64zt0">
            <w:r>
              <w:rPr>
                <w:color w:val="000000"/>
              </w:rPr>
              <w:t>2.3 Theoretical discussions</w:t>
            </w:r>
            <w:r>
              <w:rPr>
                <w:color w:val="000000"/>
              </w:rPr>
              <w:tab/>
              <w:t>16</w:t>
            </w:r>
          </w:hyperlink>
        </w:p>
        <w:p w14:paraId="54ED1E57"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oxw1e8n39nli">
            <w:r>
              <w:rPr>
                <w:color w:val="000000"/>
              </w:rPr>
              <w:t>2.3.1 Resource-based view (RBV) theory</w:t>
            </w:r>
            <w:r>
              <w:rPr>
                <w:color w:val="000000"/>
              </w:rPr>
              <w:tab/>
              <w:t>16</w:t>
            </w:r>
          </w:hyperlink>
        </w:p>
        <w:p w14:paraId="27B1CC72"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pcsjpodktqbj">
            <w:r>
              <w:rPr>
                <w:color w:val="000000"/>
              </w:rPr>
              <w:t>2.3.2 Social Exchange theory (SET)</w:t>
            </w:r>
            <w:r>
              <w:rPr>
                <w:color w:val="000000"/>
              </w:rPr>
              <w:tab/>
              <w:t>18</w:t>
            </w:r>
          </w:hyperlink>
        </w:p>
        <w:p w14:paraId="6AFCE6E9" w14:textId="77777777" w:rsidR="00C72315" w:rsidRDefault="006B62C5">
          <w:pPr>
            <w:pBdr>
              <w:top w:val="nil"/>
              <w:left w:val="nil"/>
              <w:bottom w:val="nil"/>
              <w:right w:val="nil"/>
              <w:between w:val="nil"/>
            </w:pBdr>
            <w:tabs>
              <w:tab w:val="right" w:leader="dot" w:pos="9019"/>
            </w:tabs>
            <w:spacing w:after="100"/>
            <w:ind w:left="480"/>
            <w:rPr>
              <w:color w:val="000000"/>
            </w:rPr>
          </w:pPr>
          <w:hyperlink w:anchor="_heading=h.ymzros74jmhp">
            <w:r>
              <w:rPr>
                <w:color w:val="000000"/>
              </w:rPr>
              <w:t>2.4 Research gaps</w:t>
            </w:r>
            <w:r>
              <w:rPr>
                <w:color w:val="000000"/>
              </w:rPr>
              <w:tab/>
              <w:t>18</w:t>
            </w:r>
          </w:hyperlink>
        </w:p>
        <w:p w14:paraId="03336D03"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9j00i0lwk5ey">
            <w:r>
              <w:rPr>
                <w:color w:val="000000"/>
              </w:rPr>
              <w:t>3.0 Summary</w:t>
            </w:r>
            <w:r>
              <w:rPr>
                <w:color w:val="000000"/>
              </w:rPr>
              <w:tab/>
              <w:t>20</w:t>
            </w:r>
          </w:hyperlink>
        </w:p>
        <w:p w14:paraId="66E9C303" w14:textId="77777777" w:rsidR="00C72315" w:rsidRDefault="006B62C5">
          <w:pPr>
            <w:pBdr>
              <w:top w:val="nil"/>
              <w:left w:val="nil"/>
              <w:bottom w:val="nil"/>
              <w:right w:val="nil"/>
              <w:between w:val="nil"/>
            </w:pBdr>
            <w:tabs>
              <w:tab w:val="right" w:leader="dot" w:pos="9019"/>
            </w:tabs>
            <w:spacing w:after="100"/>
            <w:rPr>
              <w:color w:val="000000"/>
            </w:rPr>
          </w:pPr>
          <w:hyperlink w:anchor="_heading=h.338ge1gebnav">
            <w:r>
              <w:rPr>
                <w:color w:val="000000"/>
              </w:rPr>
              <w:t>CHAPTER 3: METHODOLOGY</w:t>
            </w:r>
            <w:r>
              <w:rPr>
                <w:color w:val="000000"/>
              </w:rPr>
              <w:tab/>
              <w:t>21</w:t>
            </w:r>
          </w:hyperlink>
        </w:p>
        <w:p w14:paraId="30EB2967"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x9f0g8jzi8fr">
            <w:r>
              <w:rPr>
                <w:color w:val="000000"/>
              </w:rPr>
              <w:t>3.1 Introduction</w:t>
            </w:r>
            <w:r>
              <w:rPr>
                <w:color w:val="000000"/>
              </w:rPr>
              <w:tab/>
              <w:t>21</w:t>
            </w:r>
          </w:hyperlink>
        </w:p>
        <w:p w14:paraId="48A020B2"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tyjcwt">
            <w:r>
              <w:rPr>
                <w:color w:val="000000"/>
              </w:rPr>
              <w:t>3.2 Research Approach and Philosophy</w:t>
            </w:r>
            <w:r>
              <w:rPr>
                <w:color w:val="000000"/>
              </w:rPr>
              <w:tab/>
              <w:t>21</w:t>
            </w:r>
          </w:hyperlink>
        </w:p>
        <w:p w14:paraId="4213230E"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3dy6vkm">
            <w:r>
              <w:rPr>
                <w:color w:val="000000"/>
              </w:rPr>
              <w:t>3.3 Research Design</w:t>
            </w:r>
            <w:r>
              <w:rPr>
                <w:color w:val="000000"/>
              </w:rPr>
              <w:tab/>
              <w:t>22</w:t>
            </w:r>
          </w:hyperlink>
        </w:p>
        <w:p w14:paraId="7334BA7B"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1t3h5sf">
            <w:r>
              <w:rPr>
                <w:color w:val="000000"/>
              </w:rPr>
              <w:t>3.4 Research Strategy</w:t>
            </w:r>
            <w:r>
              <w:rPr>
                <w:color w:val="000000"/>
              </w:rPr>
              <w:tab/>
              <w:t>23</w:t>
            </w:r>
          </w:hyperlink>
        </w:p>
        <w:p w14:paraId="48E2FE30"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4d34og8">
            <w:r>
              <w:rPr>
                <w:color w:val="000000"/>
              </w:rPr>
              <w:t>3.5 Time Horizon</w:t>
            </w:r>
            <w:r>
              <w:rPr>
                <w:color w:val="000000"/>
              </w:rPr>
              <w:tab/>
              <w:t>23</w:t>
            </w:r>
          </w:hyperlink>
        </w:p>
        <w:p w14:paraId="473E5ADE"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2s8eyo1">
            <w:r>
              <w:rPr>
                <w:color w:val="000000"/>
              </w:rPr>
              <w:t>3.6 Research Methods</w:t>
            </w:r>
            <w:r>
              <w:rPr>
                <w:color w:val="000000"/>
              </w:rPr>
              <w:tab/>
              <w:t>23</w:t>
            </w:r>
          </w:hyperlink>
        </w:p>
        <w:p w14:paraId="3E30D1E9"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17dp8vu">
            <w:r>
              <w:rPr>
                <w:color w:val="000000"/>
              </w:rPr>
              <w:t>3.7 Data Collection</w:t>
            </w:r>
            <w:r>
              <w:rPr>
                <w:color w:val="000000"/>
              </w:rPr>
              <w:tab/>
              <w:t>24</w:t>
            </w:r>
          </w:hyperlink>
        </w:p>
        <w:p w14:paraId="71F1BA9F"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3rdcrjn">
            <w:r>
              <w:rPr>
                <w:color w:val="000000"/>
              </w:rPr>
              <w:t>3.8 Data Analysis</w:t>
            </w:r>
            <w:r>
              <w:rPr>
                <w:color w:val="000000"/>
              </w:rPr>
              <w:tab/>
              <w:t>25</w:t>
            </w:r>
          </w:hyperlink>
        </w:p>
        <w:p w14:paraId="619163F0"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26in1rg">
            <w:r>
              <w:rPr>
                <w:color w:val="000000"/>
              </w:rPr>
              <w:t>3.9 Ethical considerations</w:t>
            </w:r>
            <w:r>
              <w:rPr>
                <w:color w:val="000000"/>
              </w:rPr>
              <w:tab/>
              <w:t>26</w:t>
            </w:r>
          </w:hyperlink>
        </w:p>
        <w:p w14:paraId="21B3E9E5"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lnxbz9">
            <w:r>
              <w:rPr>
                <w:color w:val="000000"/>
              </w:rPr>
              <w:t>3.10 Validity and reliability</w:t>
            </w:r>
            <w:r>
              <w:rPr>
                <w:color w:val="000000"/>
              </w:rPr>
              <w:tab/>
              <w:t>26</w:t>
            </w:r>
          </w:hyperlink>
        </w:p>
        <w:p w14:paraId="0E20CBC3"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35nkun2">
            <w:r>
              <w:rPr>
                <w:color w:val="000000"/>
              </w:rPr>
              <w:t>3.11 Summary</w:t>
            </w:r>
            <w:r>
              <w:rPr>
                <w:color w:val="000000"/>
              </w:rPr>
              <w:tab/>
              <w:t>27</w:t>
            </w:r>
          </w:hyperlink>
        </w:p>
        <w:p w14:paraId="1B35BBF4" w14:textId="77777777" w:rsidR="00C72315" w:rsidRDefault="006B62C5">
          <w:pPr>
            <w:pBdr>
              <w:top w:val="nil"/>
              <w:left w:val="nil"/>
              <w:bottom w:val="nil"/>
              <w:right w:val="nil"/>
              <w:between w:val="nil"/>
            </w:pBdr>
            <w:tabs>
              <w:tab w:val="right" w:leader="dot" w:pos="9019"/>
            </w:tabs>
            <w:spacing w:after="100"/>
            <w:rPr>
              <w:color w:val="000000"/>
            </w:rPr>
          </w:pPr>
          <w:hyperlink w:anchor="_heading=h.yvie6dtjoa9w">
            <w:r>
              <w:rPr>
                <w:color w:val="000000"/>
              </w:rPr>
              <w:t>CHAPTER 4: DATA ANALYSIS</w:t>
            </w:r>
            <w:r>
              <w:rPr>
                <w:color w:val="000000"/>
              </w:rPr>
              <w:tab/>
              <w:t>28</w:t>
            </w:r>
          </w:hyperlink>
        </w:p>
        <w:p w14:paraId="77783762"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pnbkaxerq4ni">
            <w:r>
              <w:rPr>
                <w:color w:val="000000"/>
              </w:rPr>
              <w:t>4.1 Introduction</w:t>
            </w:r>
            <w:r>
              <w:rPr>
                <w:color w:val="000000"/>
              </w:rPr>
              <w:tab/>
              <w:t>28</w:t>
            </w:r>
          </w:hyperlink>
        </w:p>
        <w:p w14:paraId="59F1B033"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6mb3qo4yiqib">
            <w:r>
              <w:rPr>
                <w:color w:val="000000"/>
              </w:rPr>
              <w:t>4.2 Data extraction table</w:t>
            </w:r>
            <w:r>
              <w:rPr>
                <w:color w:val="000000"/>
              </w:rPr>
              <w:tab/>
              <w:t>28</w:t>
            </w:r>
          </w:hyperlink>
        </w:p>
        <w:p w14:paraId="28016946"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ftgsjn55z9p3">
            <w:r>
              <w:rPr>
                <w:color w:val="000000"/>
              </w:rPr>
              <w:t>4.3 Generation of themes</w:t>
            </w:r>
            <w:r>
              <w:rPr>
                <w:color w:val="000000"/>
              </w:rPr>
              <w:tab/>
              <w:t>36</w:t>
            </w:r>
          </w:hyperlink>
        </w:p>
        <w:p w14:paraId="5930669D"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9mlo4wtgzit5">
            <w:r>
              <w:rPr>
                <w:color w:val="000000"/>
              </w:rPr>
              <w:t>4.4 Explanation of themes and secondary data</w:t>
            </w:r>
            <w:r>
              <w:rPr>
                <w:color w:val="000000"/>
              </w:rPr>
              <w:tab/>
              <w:t>38</w:t>
            </w:r>
          </w:hyperlink>
        </w:p>
        <w:p w14:paraId="30DD7A1D"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frd6owe7mt61">
            <w:r>
              <w:rPr>
                <w:color w:val="000000"/>
              </w:rPr>
              <w:t>4.5 Summary</w:t>
            </w:r>
            <w:r>
              <w:rPr>
                <w:color w:val="000000"/>
              </w:rPr>
              <w:tab/>
              <w:t>39</w:t>
            </w:r>
          </w:hyperlink>
        </w:p>
        <w:p w14:paraId="3BA285A6" w14:textId="77777777" w:rsidR="00C72315" w:rsidRDefault="006B62C5">
          <w:pPr>
            <w:pBdr>
              <w:top w:val="nil"/>
              <w:left w:val="nil"/>
              <w:bottom w:val="nil"/>
              <w:right w:val="nil"/>
              <w:between w:val="nil"/>
            </w:pBdr>
            <w:tabs>
              <w:tab w:val="right" w:leader="dot" w:pos="9019"/>
            </w:tabs>
            <w:spacing w:after="100"/>
            <w:rPr>
              <w:color w:val="000000"/>
            </w:rPr>
          </w:pPr>
          <w:hyperlink w:anchor="_heading=h.37vhm0r9es5h">
            <w:r>
              <w:rPr>
                <w:color w:val="000000"/>
              </w:rPr>
              <w:t>CHAPTER 5: FINDINGS AND ANALYSIS</w:t>
            </w:r>
            <w:r>
              <w:rPr>
                <w:color w:val="000000"/>
              </w:rPr>
              <w:tab/>
              <w:t>40</w:t>
            </w:r>
          </w:hyperlink>
        </w:p>
        <w:p w14:paraId="64EE0659"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rol03vwesl7r">
            <w:r>
              <w:rPr>
                <w:color w:val="000000"/>
              </w:rPr>
              <w:t>5.1 Introduction</w:t>
            </w:r>
            <w:r>
              <w:rPr>
                <w:color w:val="000000"/>
              </w:rPr>
              <w:tab/>
              <w:t>40</w:t>
            </w:r>
          </w:hyperlink>
        </w:p>
        <w:p w14:paraId="1A766465"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jaubit42whmb">
            <w:r>
              <w:rPr>
                <w:color w:val="000000"/>
              </w:rPr>
              <w:t>5.2 Thematic Analysis</w:t>
            </w:r>
            <w:r>
              <w:rPr>
                <w:color w:val="000000"/>
              </w:rPr>
              <w:tab/>
              <w:t>40</w:t>
            </w:r>
          </w:hyperlink>
        </w:p>
        <w:p w14:paraId="4AF624EC"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mbnbbzb4r64">
            <w:r>
              <w:rPr>
                <w:color w:val="000000"/>
              </w:rPr>
              <w:t>5.3 Discussion</w:t>
            </w:r>
            <w:r>
              <w:rPr>
                <w:color w:val="000000"/>
              </w:rPr>
              <w:tab/>
              <w:t>45</w:t>
            </w:r>
          </w:hyperlink>
        </w:p>
        <w:p w14:paraId="5FF34E58" w14:textId="77777777" w:rsidR="00C72315" w:rsidRDefault="006B62C5">
          <w:pPr>
            <w:pBdr>
              <w:top w:val="nil"/>
              <w:left w:val="nil"/>
              <w:bottom w:val="nil"/>
              <w:right w:val="nil"/>
              <w:between w:val="nil"/>
            </w:pBdr>
            <w:tabs>
              <w:tab w:val="right" w:leader="dot" w:pos="9019"/>
            </w:tabs>
            <w:spacing w:after="100"/>
            <w:rPr>
              <w:color w:val="000000"/>
            </w:rPr>
          </w:pPr>
          <w:hyperlink w:anchor="_heading=h.j6kvz7ioipe">
            <w:r>
              <w:rPr>
                <w:color w:val="000000"/>
              </w:rPr>
              <w:t>CHAPTER 6: CONCLUSION AND RECOMMENDATION</w:t>
            </w:r>
            <w:r>
              <w:rPr>
                <w:color w:val="000000"/>
              </w:rPr>
              <w:tab/>
              <w:t>47</w:t>
            </w:r>
          </w:hyperlink>
        </w:p>
        <w:p w14:paraId="1411734B"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rs9pexvxyxqm">
            <w:r>
              <w:rPr>
                <w:color w:val="000000"/>
              </w:rPr>
              <w:t>6.1 Conclusion</w:t>
            </w:r>
            <w:r>
              <w:rPr>
                <w:color w:val="000000"/>
              </w:rPr>
              <w:tab/>
              <w:t>47</w:t>
            </w:r>
          </w:hyperlink>
        </w:p>
        <w:p w14:paraId="7C80B83E"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9hzf8t487e4j">
            <w:r>
              <w:rPr>
                <w:color w:val="000000"/>
              </w:rPr>
              <w:t>6.2 Objective Linking</w:t>
            </w:r>
            <w:r>
              <w:rPr>
                <w:color w:val="000000"/>
              </w:rPr>
              <w:tab/>
              <w:t>47</w:t>
            </w:r>
          </w:hyperlink>
        </w:p>
        <w:p w14:paraId="712924F9"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29zecfe44yti">
            <w:r>
              <w:rPr>
                <w:color w:val="000000"/>
              </w:rPr>
              <w:t>6.3 Recommendations</w:t>
            </w:r>
            <w:r>
              <w:rPr>
                <w:color w:val="000000"/>
              </w:rPr>
              <w:tab/>
              <w:t>48</w:t>
            </w:r>
          </w:hyperlink>
        </w:p>
        <w:p w14:paraId="527C4770"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n4hqtwoo3irh">
            <w:r>
              <w:rPr>
                <w:color w:val="000000"/>
              </w:rPr>
              <w:t>6.4 Research Limitations</w:t>
            </w:r>
            <w:r>
              <w:rPr>
                <w:color w:val="000000"/>
              </w:rPr>
              <w:tab/>
              <w:t>49</w:t>
            </w:r>
          </w:hyperlink>
        </w:p>
        <w:p w14:paraId="04CD6B95" w14:textId="77777777" w:rsidR="00C72315" w:rsidRDefault="006B62C5">
          <w:pPr>
            <w:pBdr>
              <w:top w:val="nil"/>
              <w:left w:val="nil"/>
              <w:bottom w:val="nil"/>
              <w:right w:val="nil"/>
              <w:between w:val="nil"/>
            </w:pBdr>
            <w:tabs>
              <w:tab w:val="right" w:leader="dot" w:pos="9019"/>
            </w:tabs>
            <w:spacing w:after="100"/>
            <w:ind w:left="240"/>
            <w:rPr>
              <w:color w:val="000000"/>
            </w:rPr>
          </w:pPr>
          <w:hyperlink w:anchor="_heading=h.pl6qsmrhrcbk">
            <w:r>
              <w:rPr>
                <w:color w:val="000000"/>
              </w:rPr>
              <w:t>6.5 Future Scope</w:t>
            </w:r>
            <w:r>
              <w:rPr>
                <w:color w:val="000000"/>
              </w:rPr>
              <w:tab/>
              <w:t>49</w:t>
            </w:r>
          </w:hyperlink>
        </w:p>
        <w:p w14:paraId="57A4E913" w14:textId="77777777" w:rsidR="00C72315" w:rsidRDefault="006B62C5">
          <w:pPr>
            <w:pBdr>
              <w:top w:val="nil"/>
              <w:left w:val="nil"/>
              <w:bottom w:val="nil"/>
              <w:right w:val="nil"/>
              <w:between w:val="nil"/>
            </w:pBdr>
            <w:tabs>
              <w:tab w:val="right" w:leader="dot" w:pos="9019"/>
            </w:tabs>
            <w:spacing w:after="100"/>
            <w:rPr>
              <w:color w:val="000000"/>
            </w:rPr>
          </w:pPr>
          <w:hyperlink w:anchor="_heading=h.1ksv4uv">
            <w:r>
              <w:rPr>
                <w:color w:val="000000"/>
              </w:rPr>
              <w:t>References</w:t>
            </w:r>
            <w:r>
              <w:rPr>
                <w:color w:val="000000"/>
              </w:rPr>
              <w:tab/>
              <w:t>51</w:t>
            </w:r>
          </w:hyperlink>
        </w:p>
        <w:p w14:paraId="6C8E75B6" w14:textId="77777777" w:rsidR="00C72315" w:rsidRDefault="006B62C5">
          <w:r>
            <w:fldChar w:fldCharType="end"/>
          </w:r>
        </w:p>
      </w:sdtContent>
    </w:sdt>
    <w:p w14:paraId="3046B1F7" w14:textId="77777777" w:rsidR="00C72315" w:rsidRDefault="00C72315">
      <w:pPr>
        <w:jc w:val="left"/>
        <w:rPr>
          <w:b/>
          <w:sz w:val="28"/>
          <w:szCs w:val="28"/>
        </w:rPr>
      </w:pPr>
    </w:p>
    <w:p w14:paraId="23262B52" w14:textId="77777777" w:rsidR="00C72315" w:rsidRDefault="00C72315">
      <w:pPr>
        <w:jc w:val="left"/>
        <w:rPr>
          <w:b/>
          <w:sz w:val="28"/>
          <w:szCs w:val="28"/>
        </w:rPr>
      </w:pPr>
    </w:p>
    <w:p w14:paraId="0A58B36C" w14:textId="77777777" w:rsidR="00C72315" w:rsidRDefault="006B62C5">
      <w:pPr>
        <w:pStyle w:val="Heading1"/>
        <w:spacing w:before="0" w:after="0"/>
        <w:jc w:val="left"/>
      </w:pPr>
      <w:bookmarkStart w:id="1" w:name="_heading=h.e9lnhb56jbf5" w:colFirst="0" w:colLast="0"/>
      <w:bookmarkEnd w:id="1"/>
      <w:r>
        <w:br w:type="page"/>
      </w:r>
    </w:p>
    <w:p w14:paraId="07E7E66B" w14:textId="77777777" w:rsidR="00C72315" w:rsidRDefault="00C72315">
      <w:pPr>
        <w:pStyle w:val="Heading1"/>
        <w:spacing w:before="0" w:after="0"/>
        <w:jc w:val="center"/>
        <w:rPr>
          <w:sz w:val="36"/>
          <w:szCs w:val="36"/>
          <w:u w:val="single"/>
        </w:rPr>
      </w:pPr>
      <w:bookmarkStart w:id="2" w:name="_heading=h.9ilab7s326ms" w:colFirst="0" w:colLast="0"/>
      <w:bookmarkEnd w:id="2"/>
    </w:p>
    <w:p w14:paraId="667F427A" w14:textId="77777777" w:rsidR="00C72315" w:rsidRDefault="006B62C5">
      <w:pPr>
        <w:pStyle w:val="Heading1"/>
        <w:spacing w:before="0" w:after="0"/>
        <w:jc w:val="center"/>
        <w:rPr>
          <w:sz w:val="36"/>
          <w:szCs w:val="36"/>
          <w:u w:val="single"/>
        </w:rPr>
      </w:pPr>
      <w:r>
        <w:rPr>
          <w:sz w:val="36"/>
          <w:szCs w:val="36"/>
          <w:u w:val="single"/>
        </w:rPr>
        <w:t>CHAPTER 1: INTRODUCTION</w:t>
      </w:r>
    </w:p>
    <w:p w14:paraId="3B263795" w14:textId="77777777" w:rsidR="00C72315" w:rsidRDefault="00C72315"/>
    <w:p w14:paraId="442F333C" w14:textId="77777777" w:rsidR="00C72315" w:rsidRDefault="00C72315"/>
    <w:p w14:paraId="61CD520C" w14:textId="77777777" w:rsidR="00C72315" w:rsidRDefault="006B62C5">
      <w:pPr>
        <w:pStyle w:val="Heading2"/>
        <w:spacing w:before="0" w:after="0"/>
        <w:jc w:val="left"/>
      </w:pPr>
      <w:bookmarkStart w:id="3" w:name="_heading=h.m0xy8wn1d2sc" w:colFirst="0" w:colLast="0"/>
      <w:bookmarkEnd w:id="3"/>
      <w:r>
        <w:t>1.1Introduction</w:t>
      </w:r>
    </w:p>
    <w:p w14:paraId="1CD17A9E" w14:textId="77777777" w:rsidR="00C72315" w:rsidRDefault="006B62C5">
      <w:r>
        <w:t xml:space="preserve">The study discusses and analyses “Examining the employee wellness program's effectiveness in fostering a productive and </w:t>
      </w:r>
      <w:r>
        <w:t>healthy work environment”. Wellness programs always involve measures like fitness challenges, nutrition education as well as health screenings. By encouraging the workforce to embrace healthier lifestyles, these events and initiatives decrease absenteeism because of illness as well as enhance overall energy levels, resulting in higher productivity. Several wellness programs provide stress management assistance and resources like counselling services, workshops specifically on work-life balance and mindfulne</w:t>
      </w:r>
      <w:r>
        <w:t>ss meditation sessions. By giving tools to deal with stress, these measures help the workforce of different sectors stay focused as well as perform at a high level at work. When the workforce perceives that their prosperity and well-being are taken into account and valued mainly by their manager, they are likely to be perceived as engaged and also satisfied in their job.</w:t>
      </w:r>
    </w:p>
    <w:p w14:paraId="2B59B439" w14:textId="77777777" w:rsidR="00C72315" w:rsidRDefault="006B62C5">
      <w:pPr>
        <w:pStyle w:val="Heading2"/>
        <w:spacing w:before="0" w:after="0"/>
      </w:pPr>
      <w:bookmarkStart w:id="4" w:name="_heading=h.uvxsda70d0ts" w:colFirst="0" w:colLast="0"/>
      <w:bookmarkEnd w:id="4"/>
      <w:r>
        <w:t>1.2 Background of the Research and Problem Statement</w:t>
      </w:r>
    </w:p>
    <w:p w14:paraId="2B63CAB8" w14:textId="77777777" w:rsidR="00C72315" w:rsidRDefault="006B62C5">
      <w:r>
        <w:t>The business organisation that focus on workforce wellness are always viewed favourably by employment seekers and consumers alike. A robust focus on wellness strengthens the employer brand, also making the company more appealing to top candidates and upgrading its reputation and position within the sector. Wellness programs help alleviate different risks related to employee health, like workplace injuries, chronic diseases and stress-associated burnout (</w:t>
      </w:r>
      <w:r>
        <w:rPr>
          <w:color w:val="222222"/>
          <w:highlight w:val="white"/>
        </w:rPr>
        <w:t>Peñalvo, et al. 2021</w:t>
      </w:r>
      <w:r>
        <w:t>). By fostering healthy lifestyles as well as giving resources for precautionary care, companies decrease the probability of legal liabilities and costly incidents. The problem statement of the study is that modern organisations and workplaces are growingly recognizing the significance of employee wellness initiatives and programs as a great way to improve both well-being and productivity levels (</w:t>
      </w:r>
      <w:r>
        <w:rPr>
          <w:color w:val="222222"/>
          <w:highlight w:val="white"/>
        </w:rPr>
        <w:t>Berry, Mirabito and Baun, 2020</w:t>
      </w:r>
      <w:r>
        <w:t>). Even though such wellness programs have also become mainstr</w:t>
      </w:r>
      <w:r>
        <w:t xml:space="preserve">eam in most companies, there remains a requirement for empirical exploration to examine their effectiveness and potency in accomplishing their intended objectives. This research focuses on investigating the employee wellness programs' effectiveness in enhancing a productive as well as healthy work atmosphere. The requirement to understand and evaluate the employee wellness program's effectiveness in stimulating a healthy and productive work environment is apparent. Many companies invest resources mainly in </w:t>
      </w:r>
      <w:r>
        <w:t>executing these programs or measures, but there is an inadequate comprehensive exploration that systematically assesses their effect on various aspects of workplace productivity and well-being. Without a deep and clear comprehension of these programs' effectiveness, organizations struggle to mainly make informed decisions regarding program design as well as resource allocation, potentially resulting in missed opportunities and wasted investments for upgrading employee outcomes (</w:t>
      </w:r>
      <w:r>
        <w:rPr>
          <w:color w:val="222222"/>
          <w:highlight w:val="white"/>
        </w:rPr>
        <w:t>Priya, et al. 2023</w:t>
      </w:r>
      <w:r>
        <w:t>). Wellness</w:t>
      </w:r>
      <w:r>
        <w:t xml:space="preserve"> programs contribute towards a positive organisation culture where the workforce also feels motivated as well as supported to do their best. Taking part and engaging in wellness programs and activities together, like group fitness classes and team sports, promotes camaraderie among the workforce. This strengthens connection and upgrades teamwork, resulting in better productivity and collaboration. Moreover, by fostering healthy behaviours as well as preventive care, wellness programs decrease healthcare exp</w:t>
      </w:r>
      <w:r>
        <w:t>enses for both employers and employees (</w:t>
      </w:r>
      <w:r>
        <w:rPr>
          <w:color w:val="222222"/>
          <w:highlight w:val="white"/>
        </w:rPr>
        <w:t>Reif, et al. 2020</w:t>
      </w:r>
      <w:r>
        <w:t>). This results in huge savings for the organisation, enabling resources to be assigned to other domains that further support employee well-being and also productivity. Employees are likely to serve an organisation that shows dedication towards their well-being. Apart from this, wellness programs in today’s world become a valuable and beneficial perk that retains as well as attracts top talent, lessening turnover and the costs of training and hiring n</w:t>
      </w:r>
      <w:r>
        <w:t>ew employees. Business organisations like Salesforce, Google, Zappos and many more, that constantly focus on employee wellness initiatives are always observed more favourably mainly by investors, the public and customers. A reputation and image for caring regarding employees’ happiness as well as health enhance the organisation's brand image and appeal to stakeholders who mainly value socially accountable businesses. For example, Google provides an inclusive wellness program which is known by the name of “G</w:t>
      </w:r>
      <w:r>
        <w:t>oogle Wellness” that involves healthy meals specifically at on-site cafeterias, on-site fitness and meditation centers, meditation and mindfulness classes, as well as access towards health coaches. Thus, they also give financial incentives, particularly for the workforce who take part in wellness activities.</w:t>
      </w:r>
    </w:p>
    <w:p w14:paraId="2E64D0C8" w14:textId="77777777" w:rsidR="00C72315" w:rsidRDefault="006B62C5">
      <w:r>
        <w:t>Additionally, Salesforce has an effective and successful wellness program which is recognised by the initiative of “Wellness at Salesforce”, which involvers multiple resources like mental health resources, wellness challenges, fitness reimbursements, and also access towards yoga and mindfulness classes. They provide workforce assistance programs as well as flexible arrangements of work to support mainly work-life balance (</w:t>
      </w:r>
      <w:r>
        <w:rPr>
          <w:color w:val="222222"/>
          <w:highlight w:val="white"/>
        </w:rPr>
        <w:t>Leitão, Pereira and Gonçalves, 2021</w:t>
      </w:r>
      <w:r>
        <w:t>). The Ohana Culture of Salesforce is closely rooted in the organisation’s core values, involving trust, innovation, equality and customer success. These key values assist how the workforce relates with one another, conducts business as well as makes decisions, fostering an ambience and culture of purpose and integrity. This type of culture highlights the commitment of Salesforce to diversity, inclusion and equity. This business organisation dynamically works to develop di</w:t>
      </w:r>
      <w:r>
        <w:t>verse employees and promote an inclusive ambience where a workforce from every background feels respected, empowered and valued to succeed. This Salesforce culture is not only a slogan or motto but an assisting philosophy that improves the company's values, behaviours and identity (</w:t>
      </w:r>
      <w:r>
        <w:rPr>
          <w:color w:val="222222"/>
          <w:highlight w:val="white"/>
        </w:rPr>
        <w:t>Schwepker Jr, et al. 2021</w:t>
      </w:r>
      <w:r>
        <w:t xml:space="preserve">). It strengthens the concept that every person is a key part of this company family, merged by common objectives, shared values, as well as a commitment towards making the whole universe a better place. </w:t>
      </w:r>
      <w:r>
        <w:t>On the other hand, Zappos is a famous online clothing and shoe retailer (</w:t>
      </w:r>
      <w:r>
        <w:rPr>
          <w:color w:val="222222"/>
          <w:highlight w:val="white"/>
        </w:rPr>
        <w:t>Varga,  et al. 2021</w:t>
      </w:r>
      <w:r>
        <w:t>). This company has a distinctive approach towards employee wellness. However, they provide on-site fitness sessions or classes, wellness challenges and healthy snacks. Moreover, this company has built a "Zapponian" culture and ambience that prioritizes workforce well-being, with measures like "Zapponian of the Month" reward and award for workers who represent the organisation's core values, involving wellness (Zappo</w:t>
      </w:r>
      <w:r>
        <w:t>s, 2022).</w:t>
      </w:r>
    </w:p>
    <w:p w14:paraId="6CAA5D9F" w14:textId="77777777" w:rsidR="00C72315" w:rsidRDefault="006B62C5">
      <w:r>
        <w:t xml:space="preserve"> </w:t>
      </w:r>
      <w:r>
        <w:rPr>
          <w:noProof/>
        </w:rPr>
        <w:drawing>
          <wp:inline distT="114300" distB="114300" distL="114300" distR="114300" wp14:anchorId="4610CFEB" wp14:editId="0E053F58">
            <wp:extent cx="5731200" cy="29845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984500"/>
                    </a:xfrm>
                    <a:prstGeom prst="rect">
                      <a:avLst/>
                    </a:prstGeom>
                    <a:ln/>
                  </pic:spPr>
                </pic:pic>
              </a:graphicData>
            </a:graphic>
          </wp:inline>
        </w:drawing>
      </w:r>
    </w:p>
    <w:p w14:paraId="5ED69C37" w14:textId="77777777" w:rsidR="00C72315" w:rsidRDefault="006B62C5">
      <w:r>
        <w:t xml:space="preserve"> </w:t>
      </w:r>
    </w:p>
    <w:p w14:paraId="6A33C2C5" w14:textId="77777777" w:rsidR="00C72315" w:rsidRDefault="006B62C5">
      <w:pPr>
        <w:jc w:val="center"/>
        <w:rPr>
          <w:b/>
        </w:rPr>
      </w:pPr>
      <w:r>
        <w:rPr>
          <w:b/>
        </w:rPr>
        <w:t>Figure 1: In the U.S Employers percentage who declared their organisation’s wellness program and initiative has positive influence from 2015 to 2019</w:t>
      </w:r>
    </w:p>
    <w:p w14:paraId="5EC3E2C5" w14:textId="77777777" w:rsidR="00C72315" w:rsidRDefault="006B62C5">
      <w:pPr>
        <w:jc w:val="center"/>
      </w:pPr>
      <w:r>
        <w:t>(Source: Yang, 2023)</w:t>
      </w:r>
    </w:p>
    <w:p w14:paraId="1BDF8C4A" w14:textId="77777777" w:rsidR="00C72315" w:rsidRDefault="006B62C5">
      <w:r>
        <w:t xml:space="preserve">The above figure shows the degree of supervisors in the U.S. who essentially communicated their association's representative program or occasions had constructive outcomes between 2015 and 2019. Nearly 83% of organizations said their association's prosperity and health program firmly impacted workers' prosperity commencing around 2019. Moreover, employee wellness programs are intensely effective in nurturing a healthy and productive work atmosphere by nurturing physical health, decreasing stress, enhancing </w:t>
      </w:r>
      <w:r>
        <w:t>engagement as well as morale, improving teamwork, decreasing healthcare costs, increasing retention rates, and establishing a positive and good brand image.</w:t>
      </w:r>
    </w:p>
    <w:p w14:paraId="6A15BBDC" w14:textId="77777777" w:rsidR="00C72315" w:rsidRDefault="006B62C5">
      <w:pPr>
        <w:jc w:val="center"/>
      </w:pPr>
      <w:r>
        <w:rPr>
          <w:noProof/>
        </w:rPr>
        <w:drawing>
          <wp:inline distT="114300" distB="114300" distL="114300" distR="114300" wp14:anchorId="7A5BC5B1" wp14:editId="2DBC1661">
            <wp:extent cx="3538538" cy="2263018"/>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538538" cy="2263018"/>
                    </a:xfrm>
                    <a:prstGeom prst="rect">
                      <a:avLst/>
                    </a:prstGeom>
                    <a:ln/>
                  </pic:spPr>
                </pic:pic>
              </a:graphicData>
            </a:graphic>
          </wp:inline>
        </w:drawing>
      </w:r>
    </w:p>
    <w:p w14:paraId="5ED4E3FA" w14:textId="77777777" w:rsidR="00C72315" w:rsidRDefault="006B62C5">
      <w:pPr>
        <w:jc w:val="center"/>
        <w:rPr>
          <w:b/>
        </w:rPr>
      </w:pPr>
      <w:r>
        <w:rPr>
          <w:b/>
        </w:rPr>
        <w:t>Figure 2:  Wellness engagement effect employees</w:t>
      </w:r>
    </w:p>
    <w:p w14:paraId="283ACDBB" w14:textId="77777777" w:rsidR="00C72315" w:rsidRDefault="006B62C5">
      <w:pPr>
        <w:jc w:val="center"/>
      </w:pPr>
      <w:r>
        <w:t>(Source: Madsen, 2020)</w:t>
      </w:r>
    </w:p>
    <w:p w14:paraId="72F34597" w14:textId="77777777" w:rsidR="00C72315" w:rsidRDefault="006B62C5">
      <w:r>
        <w:t>The above figure demonstrates that to help workers' well-being and diminish costs related to clinical consideration, managers all around the country keep on spending capital on prosperity drives. As per research led by the "National Business Group on Health", huge as well as average-size managers are principally expected to contribute nearly $3.6 million to workforce health programs and initiatives in 2019. Upheld by this enormous investment, various labourers are enumerating positive outcomes from these ac</w:t>
      </w:r>
      <w:r>
        <w:t>tions and drives. Among people with access explicitly to manager or leader upheld health measures, 57% report that the actions vehemently impacted their prosperity, according to another UnitedHealthcare well-being study.</w:t>
      </w:r>
    </w:p>
    <w:p w14:paraId="79C196B5" w14:textId="77777777" w:rsidR="00C72315" w:rsidRDefault="006B62C5">
      <w:pPr>
        <w:pStyle w:val="Heading2"/>
        <w:spacing w:before="0" w:after="0"/>
      </w:pPr>
      <w:bookmarkStart w:id="5" w:name="_heading=h.2w57wjihdeib" w:colFirst="0" w:colLast="0"/>
      <w:bookmarkEnd w:id="5"/>
      <w:r>
        <w:t>1.3 Research Aim and Objectives</w:t>
      </w:r>
    </w:p>
    <w:p w14:paraId="12BF8A54" w14:textId="77777777" w:rsidR="00C72315" w:rsidRDefault="006B62C5">
      <w:pPr>
        <w:rPr>
          <w:b/>
        </w:rPr>
      </w:pPr>
      <w:r>
        <w:rPr>
          <w:b/>
        </w:rPr>
        <w:t>1.3.1 Research Aim</w:t>
      </w:r>
    </w:p>
    <w:p w14:paraId="592A73A2" w14:textId="77777777" w:rsidR="00C72315" w:rsidRDefault="006B62C5">
      <w:r>
        <w:t>The research aim is to analyse the effectiveness and potency of an employee wellness program specifically in nurturing a healthy as well as productive work environment within a business organisation.</w:t>
      </w:r>
    </w:p>
    <w:p w14:paraId="4CA2F3C1" w14:textId="77777777" w:rsidR="00C72315" w:rsidRDefault="006B62C5">
      <w:pPr>
        <w:rPr>
          <w:b/>
        </w:rPr>
      </w:pPr>
      <w:r>
        <w:rPr>
          <w:b/>
        </w:rPr>
        <w:t>1.3.2 Research Objectives</w:t>
      </w:r>
    </w:p>
    <w:p w14:paraId="226E0E27" w14:textId="77777777" w:rsidR="00C72315" w:rsidRDefault="006B62C5">
      <w:pPr>
        <w:numPr>
          <w:ilvl w:val="0"/>
          <w:numId w:val="7"/>
        </w:numPr>
      </w:pPr>
      <w:r>
        <w:t xml:space="preserve">To understand the significance of wellness programs for employees and their effect on employee health and productivity. </w:t>
      </w:r>
    </w:p>
    <w:p w14:paraId="7321BC3E" w14:textId="77777777" w:rsidR="00C72315" w:rsidRDefault="006B62C5">
      <w:pPr>
        <w:numPr>
          <w:ilvl w:val="0"/>
          <w:numId w:val="7"/>
        </w:numPr>
      </w:pPr>
      <w:r>
        <w:t>To examine the components, features and implementation of employee wellness programs in multiple organizations.</w:t>
      </w:r>
    </w:p>
    <w:p w14:paraId="703F7AB3" w14:textId="77777777" w:rsidR="00C72315" w:rsidRDefault="006B62C5">
      <w:pPr>
        <w:numPr>
          <w:ilvl w:val="0"/>
          <w:numId w:val="7"/>
        </w:numPr>
      </w:pPr>
      <w:r>
        <w:t>To analyse the effect of the wellness program on the workforce's mental well-being, physical health, and job satisfaction.</w:t>
      </w:r>
    </w:p>
    <w:p w14:paraId="4E531FAF" w14:textId="77777777" w:rsidR="00C72315" w:rsidRDefault="006B62C5">
      <w:pPr>
        <w:numPr>
          <w:ilvl w:val="0"/>
          <w:numId w:val="7"/>
        </w:numPr>
      </w:pPr>
      <w:r>
        <w:t>To identify and examine the factors impacting the engagement of employees with the wellness program.</w:t>
      </w:r>
    </w:p>
    <w:p w14:paraId="65F363C0" w14:textId="77777777" w:rsidR="00C72315" w:rsidRDefault="006B62C5">
      <w:pPr>
        <w:numPr>
          <w:ilvl w:val="0"/>
          <w:numId w:val="7"/>
        </w:numPr>
      </w:pPr>
      <w:r>
        <w:t>To determine any challenges or barriers obstructing the successful implementation as well as the effectiveness of workforce wellness programs.</w:t>
      </w:r>
    </w:p>
    <w:p w14:paraId="45469B29" w14:textId="77777777" w:rsidR="00C72315" w:rsidRDefault="006B62C5">
      <w:pPr>
        <w:numPr>
          <w:ilvl w:val="0"/>
          <w:numId w:val="7"/>
        </w:numPr>
      </w:pPr>
      <w:r>
        <w:t>To evaluate the relationship between indicators of productivity, like turnover rate, job performance absenteeism rates and workforce participation mainly in the wellness program.</w:t>
      </w:r>
    </w:p>
    <w:p w14:paraId="40BB48A4" w14:textId="77777777" w:rsidR="00C72315" w:rsidRDefault="006B62C5">
      <w:pPr>
        <w:numPr>
          <w:ilvl w:val="0"/>
          <w:numId w:val="7"/>
        </w:numPr>
      </w:pPr>
      <w:r>
        <w:t>To provide suggestions for improving the wellness program's effectiveness in nurturing a healthy as well as productive environment of work.</w:t>
      </w:r>
    </w:p>
    <w:p w14:paraId="6BDE7FC3" w14:textId="77777777" w:rsidR="00C72315" w:rsidRDefault="006B62C5">
      <w:pPr>
        <w:pStyle w:val="Heading2"/>
        <w:spacing w:before="0" w:after="0"/>
      </w:pPr>
      <w:bookmarkStart w:id="6" w:name="_heading=h.6esqhuucgiii" w:colFirst="0" w:colLast="0"/>
      <w:bookmarkEnd w:id="6"/>
      <w:r>
        <w:t>1.4 Research Questions</w:t>
      </w:r>
    </w:p>
    <w:p w14:paraId="51D840EB" w14:textId="77777777" w:rsidR="00C72315" w:rsidRDefault="006B62C5">
      <w:pPr>
        <w:numPr>
          <w:ilvl w:val="0"/>
          <w:numId w:val="6"/>
        </w:numPr>
      </w:pPr>
      <w:r>
        <w:t xml:space="preserve">What is the significance of wellness programs for employees and their effect on employee health and productivity? </w:t>
      </w:r>
    </w:p>
    <w:p w14:paraId="703F528E" w14:textId="77777777" w:rsidR="00C72315" w:rsidRDefault="006B62C5">
      <w:pPr>
        <w:numPr>
          <w:ilvl w:val="0"/>
          <w:numId w:val="6"/>
        </w:numPr>
      </w:pPr>
      <w:r>
        <w:t>What are the components, features and implementation of employee wellness programs in multiple organizations?</w:t>
      </w:r>
    </w:p>
    <w:p w14:paraId="484F13F6" w14:textId="77777777" w:rsidR="00C72315" w:rsidRDefault="006B62C5">
      <w:pPr>
        <w:numPr>
          <w:ilvl w:val="0"/>
          <w:numId w:val="6"/>
        </w:numPr>
      </w:pPr>
      <w:r>
        <w:t>What are the effects of the wellness program on the workforce’s mental well-being, physical health, and job satisfaction?</w:t>
      </w:r>
    </w:p>
    <w:p w14:paraId="1CBDA04F" w14:textId="77777777" w:rsidR="00C72315" w:rsidRDefault="006B62C5">
      <w:pPr>
        <w:numPr>
          <w:ilvl w:val="0"/>
          <w:numId w:val="6"/>
        </w:numPr>
      </w:pPr>
      <w:r>
        <w:t>What are the factors key impacting the engagement of employees with the wellness program?</w:t>
      </w:r>
    </w:p>
    <w:p w14:paraId="31BBA54E" w14:textId="77777777" w:rsidR="00C72315" w:rsidRDefault="006B62C5">
      <w:pPr>
        <w:numPr>
          <w:ilvl w:val="0"/>
          <w:numId w:val="6"/>
        </w:numPr>
      </w:pPr>
      <w:r>
        <w:t>What are the challenges or barriers obstructing the successful implementation as well as the effectiveness of workforce wellness programs?</w:t>
      </w:r>
    </w:p>
    <w:p w14:paraId="06C17A6E" w14:textId="77777777" w:rsidR="00C72315" w:rsidRDefault="006B62C5">
      <w:pPr>
        <w:numPr>
          <w:ilvl w:val="0"/>
          <w:numId w:val="6"/>
        </w:numPr>
      </w:pPr>
      <w:r>
        <w:t>What is the relationship between indicators of productivity, like turnover rate, job performance absenteeism rates and workforce participation mainly in the wellness program?</w:t>
      </w:r>
    </w:p>
    <w:p w14:paraId="47828050" w14:textId="77777777" w:rsidR="00C72315" w:rsidRDefault="006B62C5">
      <w:pPr>
        <w:numPr>
          <w:ilvl w:val="0"/>
          <w:numId w:val="6"/>
        </w:numPr>
      </w:pPr>
      <w:r>
        <w:t>What are the suggestions for improving the wellness program's effectiveness in nurturing a healthy as well as productive environment of work?</w:t>
      </w:r>
    </w:p>
    <w:p w14:paraId="7481594C" w14:textId="77777777" w:rsidR="00C72315" w:rsidRDefault="006B62C5">
      <w:pPr>
        <w:pStyle w:val="Heading2"/>
        <w:spacing w:before="0" w:after="0"/>
      </w:pPr>
      <w:bookmarkStart w:id="7" w:name="_heading=h.8n5mt17ceze5" w:colFirst="0" w:colLast="0"/>
      <w:bookmarkEnd w:id="7"/>
      <w:r>
        <w:t>1.5 Significance / Relevance of the Research</w:t>
      </w:r>
    </w:p>
    <w:p w14:paraId="214BA974" w14:textId="77777777" w:rsidR="00C72315" w:rsidRDefault="006B62C5">
      <w:r>
        <w:t>The significance of this study is that at present fast-paced environments of work, employee well-being or wellness is an imperative concern. Stress, mental health processes and burnout are growing common, impacting morale, productivity and workforce retention. Comprehending how wellness measures and programs contribute towards addressing and highlighting these problems is significant for fostering overall workforce well-being (Van Kirk, 2021). A healthy as well as engaged workforce are likely to be efficien</w:t>
      </w:r>
      <w:r>
        <w:t>t, and productive as well as perform better and effectively at their work. By assessing the wellness program's effectiveness, organizations determine strategies to improve employee performance, decrease the percentage of absenteeism, and enhance overall productivity (Pauer and O’Donnell, 2020). Moreover, wellness programs or initiatives contribute towards higher employee engagement levels and morale. Workforces who perceive support, particularly in their mental and physical well-being are likely to become s</w:t>
      </w:r>
      <w:r>
        <w:t>atisfied and happy with their work and stay committed towards their organizations. Comprehending how wellness events impact workforce engagement helps companies develop a supportive as well as positive work environment. Workforces are increasingly looking for employers who focus on their well-being, as well as a strong wellness program contributes towards employee loyalty and satisfaction (Cheon, Naufal and Kash, 2020). Organising research on workforce wellness program effectiveness allows companies to accu</w:t>
      </w:r>
      <w:r>
        <w:t>mulate data and assess the effect of their investments equitably and objectively. This information can notify future decision-making procedures, like improving program offerings, reassigning resources, and scaling successful measures.</w:t>
      </w:r>
    </w:p>
    <w:p w14:paraId="6EB08FBE" w14:textId="77777777" w:rsidR="00C72315" w:rsidRDefault="006B62C5">
      <w:pPr>
        <w:pStyle w:val="Heading2"/>
        <w:spacing w:before="0" w:after="0"/>
      </w:pPr>
      <w:bookmarkStart w:id="8" w:name="_heading=h.bwmzkv3e28k3" w:colFirst="0" w:colLast="0"/>
      <w:bookmarkEnd w:id="8"/>
      <w:r>
        <w:t>1.6 Brief Research Methodology</w:t>
      </w:r>
    </w:p>
    <w:p w14:paraId="06876C9B" w14:textId="77777777" w:rsidR="00C72315" w:rsidRDefault="006B62C5">
      <w:r>
        <w:t>Secondary research enables the examiner to procure a historical outlook and view of the subject matter. By assessing past literature as well as studies on wellness programs of employees, the examiner can determine trends, best practices and patterns that have developed over time. Thus, these historical circumstances can notify the present study and aid the examiner in comprehending what has been unsuccessful or successful in similar measures. Through this research method, the examiner can compare key findin</w:t>
      </w:r>
      <w:r>
        <w:t>gs from various sources or studies. This comparative study can support to finding of common themes, areas of consensus and also discrepancies regarding the employee wellness program’s effectiveness. By analysing a large range of studies, the examiner can enhance a more holistic comprehension of the aspects that contribute towards program effectiveness. Secondary research also presents minimum ethical concerns in contrast to primary research, specifically when it comes to problems like privacy and informed c</w:t>
      </w:r>
      <w:r>
        <w:t xml:space="preserve">onsent. Since this research method involves examining existing sources that are generally aggregated and anonymised, there are fewer ethical issues associated with data collection. </w:t>
      </w:r>
    </w:p>
    <w:p w14:paraId="145E1E19" w14:textId="77777777" w:rsidR="00C72315" w:rsidRDefault="006B62C5">
      <w:pPr>
        <w:pStyle w:val="Heading2"/>
        <w:spacing w:before="0" w:after="0"/>
      </w:pPr>
      <w:bookmarkStart w:id="9" w:name="_heading=h.7hmtojlaqaxf" w:colFirst="0" w:colLast="0"/>
      <w:bookmarkEnd w:id="9"/>
      <w:r>
        <w:t>1.7 Brief Research Methodology</w:t>
      </w:r>
    </w:p>
    <w:p w14:paraId="79B569DD" w14:textId="77777777" w:rsidR="00C72315" w:rsidRDefault="006B62C5">
      <w:r>
        <w:t>Secondary research enables the examiner to procure a historical outlook and view of the subject matter. By assessing past literature as well as studies on wellness programs of employees, the examiner can determine trends, best practices and patterns that have developed over time. Thus, these historical circumstances can notify the present study and aid the examiner in comprehending what has been unsuccessful or successful in similar measures. Through this research method, the examiner can compare key findin</w:t>
      </w:r>
      <w:r>
        <w:t>gs from various sources or studies. This comparative study can support to finding of common themes, areas of consensus and also discrepancies regarding the employee wellness program’s effectiveness (</w:t>
      </w:r>
      <w:r>
        <w:rPr>
          <w:color w:val="222222"/>
          <w:highlight w:val="white"/>
        </w:rPr>
        <w:t>Peloquin, et al.  2020</w:t>
      </w:r>
      <w:r>
        <w:t>). By analysing a large range of studies, the examiner can enhance a more holistic comprehension of the aspects that contribute towards program effectiveness. Secondary research also presents minimum ethical concerns in contrast to primary research, specifically when it comes to problems li</w:t>
      </w:r>
      <w:r>
        <w:t>ke privacy and informed consent. Since this research method involves examining existing sources that are generally aggregated and anonymized, there are fewer ethical issues associated with data collection (</w:t>
      </w:r>
      <w:r>
        <w:rPr>
          <w:color w:val="222222"/>
          <w:highlight w:val="white"/>
        </w:rPr>
        <w:t>Pederson, et al. 2020</w:t>
      </w:r>
      <w:r>
        <w:t>).</w:t>
      </w:r>
    </w:p>
    <w:p w14:paraId="3FAB39BF" w14:textId="77777777" w:rsidR="00C72315" w:rsidRDefault="006B62C5">
      <w:pPr>
        <w:pStyle w:val="Heading2"/>
        <w:spacing w:before="0" w:after="0"/>
      </w:pPr>
      <w:bookmarkStart w:id="10" w:name="_heading=h.khu5974nk9j7" w:colFirst="0" w:colLast="0"/>
      <w:bookmarkEnd w:id="10"/>
      <w:r>
        <w:t>1.8 Structure of the rest of the project</w:t>
      </w:r>
    </w:p>
    <w:p w14:paraId="26D334F9" w14:textId="77777777" w:rsidR="00C72315" w:rsidRDefault="006B62C5">
      <w:pPr>
        <w:numPr>
          <w:ilvl w:val="0"/>
          <w:numId w:val="8"/>
        </w:numPr>
      </w:pPr>
      <w:r>
        <w:t>Chapter 2: Literature Review</w:t>
      </w:r>
    </w:p>
    <w:p w14:paraId="0FA3ED1B" w14:textId="77777777" w:rsidR="00C72315" w:rsidRDefault="006B62C5">
      <w:pPr>
        <w:numPr>
          <w:ilvl w:val="0"/>
          <w:numId w:val="8"/>
        </w:numPr>
      </w:pPr>
      <w:r>
        <w:t>Chapter 3: Research Methodology</w:t>
      </w:r>
    </w:p>
    <w:p w14:paraId="1ECBE493" w14:textId="77777777" w:rsidR="00C72315" w:rsidRDefault="006B62C5">
      <w:pPr>
        <w:numPr>
          <w:ilvl w:val="0"/>
          <w:numId w:val="8"/>
        </w:numPr>
      </w:pPr>
      <w:r>
        <w:t>Chapter 4: Findings/ Results, Analysis/ Discussion</w:t>
      </w:r>
    </w:p>
    <w:p w14:paraId="0F0CA4FC" w14:textId="77777777" w:rsidR="00C72315" w:rsidRDefault="006B62C5">
      <w:pPr>
        <w:numPr>
          <w:ilvl w:val="0"/>
          <w:numId w:val="8"/>
        </w:numPr>
      </w:pPr>
      <w:r>
        <w:t>Chapter 5: Conclusion and Recommendation</w:t>
      </w:r>
    </w:p>
    <w:p w14:paraId="73221942" w14:textId="77777777" w:rsidR="00C72315" w:rsidRDefault="00C72315"/>
    <w:p w14:paraId="7E2FDE47" w14:textId="77777777" w:rsidR="00C72315" w:rsidRDefault="00C72315"/>
    <w:p w14:paraId="0D6F39D0" w14:textId="77777777" w:rsidR="00C72315" w:rsidRDefault="00C72315">
      <w:pPr>
        <w:pStyle w:val="Heading1"/>
        <w:spacing w:before="0" w:after="0"/>
      </w:pPr>
    </w:p>
    <w:p w14:paraId="7F09A950" w14:textId="77777777" w:rsidR="00C72315" w:rsidRDefault="006B62C5">
      <w:pPr>
        <w:pStyle w:val="Heading1"/>
        <w:spacing w:before="0" w:after="0"/>
      </w:pPr>
      <w:r>
        <w:br w:type="page"/>
      </w:r>
    </w:p>
    <w:p w14:paraId="30B17094" w14:textId="77777777" w:rsidR="00C72315" w:rsidRDefault="00C72315">
      <w:pPr>
        <w:pStyle w:val="Heading1"/>
        <w:jc w:val="center"/>
        <w:rPr>
          <w:sz w:val="36"/>
          <w:szCs w:val="36"/>
          <w:u w:val="single"/>
        </w:rPr>
      </w:pPr>
      <w:bookmarkStart w:id="11" w:name="_heading=h.2et92p0" w:colFirst="0" w:colLast="0"/>
      <w:bookmarkEnd w:id="11"/>
    </w:p>
    <w:p w14:paraId="2238A3AD" w14:textId="77777777" w:rsidR="00C72315" w:rsidRDefault="006B62C5">
      <w:pPr>
        <w:pStyle w:val="Heading1"/>
        <w:jc w:val="center"/>
        <w:rPr>
          <w:sz w:val="36"/>
          <w:szCs w:val="36"/>
          <w:u w:val="single"/>
        </w:rPr>
      </w:pPr>
      <w:r>
        <w:rPr>
          <w:sz w:val="36"/>
          <w:szCs w:val="36"/>
          <w:u w:val="single"/>
        </w:rPr>
        <w:t>CHAPTER 2: LITERATURE REVIEW</w:t>
      </w:r>
    </w:p>
    <w:p w14:paraId="71EBE961" w14:textId="77777777" w:rsidR="00C72315" w:rsidRDefault="00C72315"/>
    <w:p w14:paraId="02651DA9" w14:textId="77777777" w:rsidR="00C72315" w:rsidRDefault="006B62C5">
      <w:pPr>
        <w:pStyle w:val="Heading2"/>
        <w:spacing w:before="0" w:after="0"/>
        <w:jc w:val="left"/>
      </w:pPr>
      <w:bookmarkStart w:id="12" w:name="_heading=h.bjad64dp9ud6" w:colFirst="0" w:colLast="0"/>
      <w:bookmarkEnd w:id="12"/>
      <w:r>
        <w:t>2.1 Introduction</w:t>
      </w:r>
    </w:p>
    <w:p w14:paraId="7C2F93C3" w14:textId="77777777" w:rsidR="00C72315" w:rsidRDefault="006B62C5">
      <w:pPr>
        <w:rPr>
          <w:b/>
          <w:sz w:val="28"/>
          <w:szCs w:val="28"/>
        </w:rPr>
      </w:pPr>
      <w:r>
        <w:t xml:space="preserve">Employee wellness programs have become increasingly prevalent in organisations worldwide, </w:t>
      </w:r>
      <w:r>
        <w:t>reflecting a growing recognition of the importance of fostering a productive and healthy work environment. This chapter will explore existing literature to examine the effectiveness of employee wellness programs in achieving the research objectives. The overarching goal of this literature review is to synthesise empirical evidence and theoretical frameworks that elucidate the impact of employee wellness programs on workplace productivity and employee well-being. Drawing upon the Resource-Based View (RBV) th</w:t>
      </w:r>
      <w:r>
        <w:t>eory and the Social Exchange theory to analyse the strategic and relational aspects of employee wellness initiatives. By amalgamating insights gleaned from these studies, common patterns, exemplary strategies, and areas necessitating further inquiry are discerned. These gaps will be probed to redress the research areas in question.</w:t>
      </w:r>
    </w:p>
    <w:p w14:paraId="4844A8F6" w14:textId="77777777" w:rsidR="00C72315" w:rsidRDefault="006B62C5">
      <w:pPr>
        <w:pStyle w:val="Heading2"/>
        <w:spacing w:before="0" w:after="0"/>
        <w:jc w:val="left"/>
      </w:pPr>
      <w:bookmarkStart w:id="13" w:name="_heading=h.gjdgxs" w:colFirst="0" w:colLast="0"/>
      <w:bookmarkEnd w:id="13"/>
      <w:r>
        <w:t>2.2 Research Areas</w:t>
      </w:r>
    </w:p>
    <w:p w14:paraId="0D12BF36" w14:textId="77777777" w:rsidR="00C72315" w:rsidRDefault="006B62C5">
      <w:pPr>
        <w:pStyle w:val="Heading3"/>
      </w:pPr>
      <w:bookmarkStart w:id="14" w:name="_heading=h.ijhv0hiuggjl" w:colFirst="0" w:colLast="0"/>
      <w:bookmarkEnd w:id="14"/>
      <w:r>
        <w:t>2.2.1 The significance of wellness programs</w:t>
      </w:r>
    </w:p>
    <w:p w14:paraId="233E25EE" w14:textId="77777777" w:rsidR="00C72315" w:rsidRDefault="006B62C5">
      <w:bookmarkStart w:id="15" w:name="_heading=h.7wcxokw4agvj" w:colFirst="0" w:colLast="0"/>
      <w:bookmarkEnd w:id="15"/>
      <w:r>
        <w:t>Jones</w:t>
      </w:r>
      <w:r>
        <w:rPr>
          <w:i/>
        </w:rPr>
        <w:t xml:space="preserve"> et al.,</w:t>
      </w:r>
      <w:r>
        <w:t xml:space="preserve"> (2019) discussed two workplace wellness programs: “Live Well, Be Well” and “The Well at Work Series.” They were a six-week program, focusing on chronic disease self-management. It is designed to empower participants by teaching essential lifestyle skills to effectively manage ongoing health conditions. On the other hand, the second program is an eight-week program providing practical tips for maintaining health in the workplace. Each session of this program addresses various aspects of workplace we</w:t>
      </w:r>
      <w:r>
        <w:t xml:space="preserve">llness. Tringali </w:t>
      </w:r>
      <w:r>
        <w:rPr>
          <w:i/>
        </w:rPr>
        <w:t xml:space="preserve">et al., </w:t>
      </w:r>
      <w:r>
        <w:t xml:space="preserve">(2022) found that a positive workplace health atmosphere correlates with increased engagement in wellness initiatives by employees. While these programs offer advantages for both employers and employees, their effectiveness hinges on achieving substantial participation rates. Janssen </w:t>
      </w:r>
      <w:r>
        <w:rPr>
          <w:i/>
        </w:rPr>
        <w:t xml:space="preserve">et al., </w:t>
      </w:r>
      <w:r>
        <w:t>(2018) discussed mindfulness interventions come in diverse delivery modes and are tailored to enhance workplace functioning, with objectives ranging from stress reduction and improved decision-m</w:t>
      </w:r>
      <w:r>
        <w:t xml:space="preserve">aking to building resilience and promoting self-care. These interventions aim to reduce sensitivity to stress and alleviate symptoms of anxiety and depression. Berry </w:t>
      </w:r>
      <w:r>
        <w:rPr>
          <w:i/>
        </w:rPr>
        <w:t>et al.,</w:t>
      </w:r>
      <w:r>
        <w:t xml:space="preserve"> (2020) highlighted Johnson &amp; Johnson’s deliberate investment in their employees’ social, mental, and physical well-being has proven to be a strategic and beneficial decision. Their wellness programs have caused $250 millions of healthcare expenses for the company over the past decade.</w:t>
      </w:r>
    </w:p>
    <w:p w14:paraId="2241CE7D" w14:textId="77777777" w:rsidR="00C72315" w:rsidRDefault="00C72315"/>
    <w:p w14:paraId="519B5FA2" w14:textId="77777777" w:rsidR="00C72315" w:rsidRDefault="006B62C5">
      <w:r>
        <w:t>Factors like providing a positive organizational culture and a wellness-friendly environment favor employees to participate in activities that are associated with the promotion of wellbeing (Tringali et al. , 2022). Nevertheless, notwithstanding the fact that they can bring about improvement, it is not uncommon for the programs to record low response level from some population groups within the workforce. As Marshall's (2020) report demonstrates, hospitality companies introduce wellness programs into the wo</w:t>
      </w:r>
      <w:r>
        <w:t>rk environment as a way to approach the unlikely difference between extrinsic and intrinsic job satisfaction levels among those employees who follow the program and those who are not. In addition, studies demonstrate that the social sphere in the workplace significantly impacts the employees’ health practices. This reveals the significance of considering the organizational as well as social barriers to participation in the wellness programs and optimizing their influence on the employees well-being and corp</w:t>
      </w:r>
      <w:r>
        <w:t>orate goals.</w:t>
      </w:r>
    </w:p>
    <w:p w14:paraId="50B0BBF7" w14:textId="77777777" w:rsidR="00C72315" w:rsidRDefault="00C72315"/>
    <w:p w14:paraId="2727E513" w14:textId="77777777" w:rsidR="00C72315" w:rsidRDefault="006B62C5">
      <w:r>
        <w:t>Investigating the elements, characteristics and application of the employee wellness programs in workplace is the key aspect of assessing the needs, resources and way of the implementation. Acknowledging the importance of mental well-being, many programs have included stress reduction activities and mental health-related programs. This can be through mindfulness meditation sessions, stress management courses, counselling services or access to mental health resources. According to information provided by (Ho</w:t>
      </w:r>
      <w:r>
        <w:t>lman et al., 2018), the role of stress management interventions is to generally improve the wellbeing of employees by creating an environment in which the stress can be alleviated. These interventions cover different approaches like cognitive-behavioural therapy, mindfulness training and relaxation techniques, that aim to solve problems of stress by possible modification of organizational practices. On the contrary, the idea of wide-scale implementation cannot be justified due to the lack of hard facts behi</w:t>
      </w:r>
      <w:r>
        <w:t>nd these grand claims. This implies the significant hole in the literature and calls for subsequent researches on how much the stress management interventions can be of use to both the employees and the organizations as a whole.</w:t>
      </w:r>
    </w:p>
    <w:p w14:paraId="408BC46C" w14:textId="77777777" w:rsidR="00C72315" w:rsidRDefault="006B62C5">
      <w:pPr>
        <w:pStyle w:val="Heading3"/>
      </w:pPr>
      <w:r>
        <w:t>2.2.2 Wellness program on the workforce’s physical health, mental well-being and work satisfaction</w:t>
      </w:r>
    </w:p>
    <w:p w14:paraId="4CFB37C1" w14:textId="77777777" w:rsidR="00C72315" w:rsidRDefault="006B62C5">
      <w:r>
        <w:t>Johnson et al (2020) acknowledge a rising number of mindfulness practices as such meditation sessions are introduced in various workplace settings, for training and development purposes. These techniques are gaining popularity because they have been proven to be directly related to better mental health and improved cognitive function. While the growing evidence on the benefits of mindfulness for workspace is undoubtedly positive, the slow adoption indicates a need for a deeper understanding of challenges an</w:t>
      </w:r>
      <w:r>
        <w:t>d the ways they can be solved to increase its rate of implementation in the workplace. Cleary et al. (2020 ) underline the huge difference between happiness at work and job satisfaction, suggesting that work relations play the key role in the professional success of organisations. Different variables would play a role in the workplace wellness, ranging from personal and team dynamics to interprofessional collaboration and getting positive feedback at the end of the day. On the other hand, the stress could l</w:t>
      </w:r>
      <w:r>
        <w:t>ead to burnout and compassion fatigue if the state of well-being is absent. The whole idea of well-being includes personal and professional aspects signaling the necessity for thoughtful strategies that help create and maintain it. The note underlines the crucially important of implementing positive lifestyle habits as an element of happiness, on the other hand, the negative emotions should be paid attention to.</w:t>
      </w:r>
    </w:p>
    <w:p w14:paraId="5C96BCC1" w14:textId="77777777" w:rsidR="00C72315" w:rsidRDefault="00C72315"/>
    <w:p w14:paraId="1DD4298F" w14:textId="77777777" w:rsidR="00C72315" w:rsidRDefault="006B62C5">
      <w:r>
        <w:t>Chung et al. (2020) explore the correspondence of health-promoting behaviors, wellness, and satisfaction with the workplace. The study discovered that positive workplace experience was associated with an increased level of wellness and greater employee retention, having a positive impact on the health status of the workforce as a whole. Promotion of management decision making towards the health and mental wellbeing of employees is central to this issue. Also, research points out that people enjoy a well-bei</w:t>
      </w:r>
      <w:r>
        <w:t xml:space="preserve">ng increase if they are able to properly function in order to manoeuvre the difficulties that come their way which puts emphasis on having resources in a balance for well-being promotion. The works of Schwatka et al. (2018) pointed out that workers in small businesses experienced a variety of health improvements such as stress levels, overall health, depresion, smoking cessation, physical activity, and notions of job health culture. Conversely to workers in large corporations who experienced an increase in </w:t>
      </w:r>
      <w:r>
        <w:t>stress rates, vegetable consumption, and alcohol intakes, respectively. Holcomb (2020) basically mentions the impact of negative emotions and high stress level on individuals’ quality of life. Employees who report experiencing occupational stress often also report poorer health and a lower overall quality of life. However, individuals may experience less stress or manage stress more effectively if they work in a supportive environment or have access to health-focused wellness programs. There are contrasting</w:t>
      </w:r>
      <w:r>
        <w:t xml:space="preserve"> studies to address the link between wellness programs and different indicators. Such as the study by Ledikwe </w:t>
      </w:r>
      <w:r>
        <w:rPr>
          <w:i/>
        </w:rPr>
        <w:t>et al.,</w:t>
      </w:r>
      <w:r>
        <w:t xml:space="preserve"> (2018) showed that participation in workplace wellness programs in Botswana is strongly linked to increased satisfaction across various job aspects, including overall job satisfaction, pay, and professional efficacy. Additionally, employees who engage in these wellness activities report lower levels of stress, exhaustion, and cynicism. </w:t>
      </w:r>
    </w:p>
    <w:p w14:paraId="6F4B0692" w14:textId="77777777" w:rsidR="00C72315" w:rsidRDefault="006B62C5">
      <w:pPr>
        <w:pStyle w:val="Heading3"/>
        <w:spacing w:before="0" w:after="0"/>
      </w:pPr>
      <w:bookmarkStart w:id="16" w:name="_heading=h.7ol2g8b5r0z6" w:colFirst="0" w:colLast="0"/>
      <w:bookmarkEnd w:id="16"/>
      <w:r>
        <w:t>2.2.3 Factors impacting the engagement of employees with the wellness program</w:t>
      </w:r>
    </w:p>
    <w:p w14:paraId="2C481503" w14:textId="77777777" w:rsidR="00C72315" w:rsidRDefault="006B62C5">
      <w:r>
        <w:t>The study of Goetzel</w:t>
      </w:r>
      <w:r>
        <w:rPr>
          <w:i/>
        </w:rPr>
        <w:t xml:space="preserve"> et al.,</w:t>
      </w:r>
      <w:r>
        <w:t xml:space="preserve"> (2018) caution against categorising health issues solely into physical or mental health categories, as this approach may obscure the comprehensive treatment needed and contribute to inadequate care received. The employees are more attracted to the health programs if they see their utilisation value and interest. Efforts, which raise awareness on personal health concerns or are aligned with one’s goals, are likely to draw more numbers. External factors like self-efficacy and decisional balance are i</w:t>
      </w:r>
      <w:r>
        <w:t>mportant factors that contribute to employees adopting to wellness programme participation (Holden, 2021). Even though the company’s culture of wellness exercises a certain amount of influence on employee participation, its impact on this is less evident than among other individual factors including the attitude towards health behaviours, work-life balance, and self-efficacy. Goetzel</w:t>
      </w:r>
      <w:r>
        <w:rPr>
          <w:i/>
        </w:rPr>
        <w:t xml:space="preserve"> et al.,</w:t>
      </w:r>
      <w:r>
        <w:t xml:space="preserve"> (2018) highlight the growing recognition among business leaders and occupational health professionals regarding the o</w:t>
      </w:r>
      <w:r>
        <w:t xml:space="preserve">verlooked importance of mental health in the workplace. They emphasise the necessity for proactive measures to address mental health issues, with approximately one-third of the cost burden associated with mental health stemming from productivity losses and decreased work performance. According to Sinsky </w:t>
      </w:r>
      <w:r>
        <w:rPr>
          <w:i/>
        </w:rPr>
        <w:t xml:space="preserve">et al., </w:t>
      </w:r>
      <w:r>
        <w:t>(2020), organisations aiming to mitigate burnout and enhance well-being can enhance their work environment by ensuring that their commitments, policies and actions leadership structures align with ev</w:t>
      </w:r>
      <w:r>
        <w:t xml:space="preserve">idence-based best practices. This approach emphasises addressing workplace issues rather than solely focusing on individual employees. By adopting this strategy, organisations can promote well-being and resilience. </w:t>
      </w:r>
    </w:p>
    <w:p w14:paraId="645AE53C" w14:textId="77777777" w:rsidR="00C72315" w:rsidRDefault="006B62C5">
      <w:pPr>
        <w:pStyle w:val="Heading3"/>
        <w:spacing w:before="0" w:after="0"/>
      </w:pPr>
      <w:bookmarkStart w:id="17" w:name="_heading=h.lfwht7pxp4sv" w:colFirst="0" w:colLast="0"/>
      <w:bookmarkEnd w:id="17"/>
      <w:r>
        <w:t>2.2.4 Challenges or barriers obstructing the successful implementation of wellness programs</w:t>
      </w:r>
    </w:p>
    <w:p w14:paraId="0E192423" w14:textId="77777777" w:rsidR="00C72315" w:rsidRDefault="006B62C5">
      <w:r>
        <w:t>While there may be concerns about low attendance or lack of interest in implementing wellness programs, employees tend to perceive a greater sense of commitment from their company when such programs are available (Holcomb, 2020). Proper and van Oostrom (2019) found robust evidence supporting the beneficial impacts of workplace interventions, particularly those focusing on physical activity and/or diet. However, they noted a lack of evidence supporting the effectiveness of workplace health promotion interven</w:t>
      </w:r>
      <w:r>
        <w:t xml:space="preserve">tions due to the absence of high-quality reviews. Workplace psychological interventions, utilising e-health platforms and cognitive-behavioural therapy techniques, demonstrated a small but notable effect on preventing mental health disorders. </w:t>
      </w:r>
    </w:p>
    <w:p w14:paraId="758C176C" w14:textId="77777777" w:rsidR="00C72315" w:rsidRDefault="00C72315"/>
    <w:p w14:paraId="1A6B79BB" w14:textId="77777777" w:rsidR="00C72315" w:rsidRDefault="006B62C5">
      <w:bookmarkStart w:id="18" w:name="_heading=h.tjsdjv4cahq4" w:colFirst="0" w:colLast="0"/>
      <w:bookmarkEnd w:id="18"/>
      <w:r>
        <w:t>In contrast, small businesses tend to achieve higher employee participation rates and witness more significant health improvements compared to employees in larger organisations (Schwatka</w:t>
      </w:r>
      <w:r>
        <w:rPr>
          <w:i/>
        </w:rPr>
        <w:t xml:space="preserve"> et al.,</w:t>
      </w:r>
      <w:r>
        <w:t xml:space="preserve"> 2018). The measured productivity uptick of higher employee participation rates and the deeper health impacts attained by smaller businesses compared to large organizations means several elements are involved. For instance, in small businesses, staff often have close relationships with one another whereby they feel more of a family bond and are better taken care of. This tends to be the case, where the culture of wellness becomes more attractive amongst individuals who are willing to join programs t</w:t>
      </w:r>
      <w:r>
        <w:t>hat promote health improvement. In addition to this small businesses have the advantage of the ability to customize and make a wellness program that meets the specific interests and needs of their workforce. This individualization can further enhance the programs and make them more appealing and purposeful for employees, increasing the levels of commitment and efficient results.</w:t>
      </w:r>
    </w:p>
    <w:p w14:paraId="2829B933" w14:textId="77777777" w:rsidR="00C72315" w:rsidRDefault="00C72315"/>
    <w:p w14:paraId="63B2B131" w14:textId="77777777" w:rsidR="00C72315" w:rsidRDefault="006B62C5">
      <w:r>
        <w:t>A strong organisation, in which activities are streamlined with available resources, supported with an “open door” culture of connection and continuous improvement, has a greater chance of achieving their goals both in normal times and in crisis situations (Sinsky, et al. , 2020). Engaging in wellness programs is connected with better experience in an extrinsic and intrinsic way for employees. Nevertheless, creating desire for employees to take part proves to be a hurdle, but this might be overcome by offer</w:t>
      </w:r>
      <w:r>
        <w:t>ing incentives and other plans. (Marshall, 2020). In addition, leaders should ensure the law and ethical considerations are well-observed while installing wellness programs. The wellness programs should employ avenues such providing easy and convenient access to member participation. It entails the identification of these key factors like the location, time and flexibility in order to comfortably fit everyone's routine and lifestyle. Virtual workforce arrangements have been, according to Caligiuri et al. (2</w:t>
      </w:r>
      <w:r>
        <w:t>020), the prevailing thinking during the pandemic because of the possibilities afforded by remote work that were clearly demonstrated. Despite of physical distancing one might not end up getting more emotionally distance. The pandemic has dilated the arena for managers to research the flexible work arrangements that would safeguard the well-being of employees.</w:t>
      </w:r>
    </w:p>
    <w:p w14:paraId="59449292" w14:textId="77777777" w:rsidR="00C72315" w:rsidRDefault="006B62C5">
      <w:pPr>
        <w:pStyle w:val="Heading3"/>
      </w:pPr>
      <w:r>
        <w:t>2.2.5 Relationship between different factors and employee welfare program participation</w:t>
      </w:r>
    </w:p>
    <w:p w14:paraId="36B7C8DA" w14:textId="77777777" w:rsidR="00C72315" w:rsidRDefault="006B62C5">
      <w:r>
        <w:rPr>
          <w:rFonts w:ascii="Inter" w:eastAsia="Inter" w:hAnsi="Inter" w:cs="Inter"/>
          <w:color w:val="101828"/>
          <w:highlight w:val="white"/>
        </w:rPr>
        <w:t xml:space="preserve">Interestingly, the study by Holcomb (2020) didn't find a strong link between the number of wellness programs that were available and the presenteeism levels that employees displayed. </w:t>
      </w:r>
      <w:r>
        <w:t>This suggests that the presence of wellness programs alone may not have a profound impact on employees’ attendance or self-perceived productivity. This presents a gap to explore whether wellness programs can support productivity or reduce absenteeism and other related factors. Holden (2021) addressed that employers often establish employee wellness programs with the goal of fostering healthier lifestyle choices among their workforce, ultimately aiming to mitigate healthcare costs and enhance productivity. T</w:t>
      </w:r>
      <w:r>
        <w:t>hese programs are designed to actively engage individuals and promote positive health behaviours.</w:t>
      </w:r>
    </w:p>
    <w:p w14:paraId="43A1168E" w14:textId="77777777" w:rsidR="00C72315" w:rsidRDefault="00C72315"/>
    <w:p w14:paraId="15EB2ABE" w14:textId="77777777" w:rsidR="00C72315" w:rsidRDefault="006B62C5">
      <w:r>
        <w:t>Proactively addressing rising healthcare costs, integrated wellness programs prioritise employee well-being and total health awareness as wellness programs become a standard practice in the workplace, organisations can enhance competitiveness and attract top talent through these initiatives (Marshall, 2020). According to Song and Baicker (2021), workplace wellness programs are associated with enhancements in employee health and reductions in healthcare costs, along with better self-reported health behaviour</w:t>
      </w:r>
      <w:r>
        <w:t>s and increased efforts to manage weight. However, upon critical examination, their research did not find significant differences in self-reported health outcomes, job performance, absenteeism rates, or tenure between participants and non-participants. Moreover, longer follow-up periods failed to reveal detectable improvements in economic or employment outcomes. The evaluation of productivity indicators such as turnover rate, job performance, and absenteeism rates concerning workforce participation in welln</w:t>
      </w:r>
      <w:r>
        <w:t>ess programs can be examined. Despite the purported benefits of wellness programs, the lack of significant improvements in these key productivity metrics raises questions about the effectiveness of these initiatives in directly impacting workplace performance and organisational outcomes.</w:t>
      </w:r>
    </w:p>
    <w:p w14:paraId="79D376BD" w14:textId="77777777" w:rsidR="00C72315" w:rsidRDefault="006B62C5">
      <w:pPr>
        <w:pStyle w:val="Heading2"/>
        <w:spacing w:before="0" w:after="0"/>
        <w:jc w:val="left"/>
      </w:pPr>
      <w:bookmarkStart w:id="19" w:name="_heading=h.3lyna4u64zt0" w:colFirst="0" w:colLast="0"/>
      <w:bookmarkEnd w:id="19"/>
      <w:r>
        <w:t>2.3 Theoretical discussions</w:t>
      </w:r>
    </w:p>
    <w:p w14:paraId="407F27F2" w14:textId="77777777" w:rsidR="00C72315" w:rsidRDefault="006B62C5">
      <w:pPr>
        <w:pStyle w:val="Heading3"/>
        <w:spacing w:before="0" w:after="0"/>
      </w:pPr>
      <w:bookmarkStart w:id="20" w:name="_heading=h.oxw1e8n39nli" w:colFirst="0" w:colLast="0"/>
      <w:bookmarkEnd w:id="20"/>
      <w:r>
        <w:t>2.3.1 Resource-based view (RBV) theory</w:t>
      </w:r>
    </w:p>
    <w:p w14:paraId="692C4F58" w14:textId="77777777" w:rsidR="00C72315" w:rsidRDefault="006B62C5">
      <w:r>
        <w:t xml:space="preserve">Bamgbade </w:t>
      </w:r>
      <w:r>
        <w:rPr>
          <w:i/>
        </w:rPr>
        <w:t>et al.,</w:t>
      </w:r>
      <w:r>
        <w:t xml:space="preserve"> (2022) outlined that to improve a firm’s social sustainability performance through orientation, considering an intermediate variable like organisational capabilities is crucial. According to the RBV theory, firms possess distinctive sets of tangible and intangible resources and capabilities. By leveraging these resources effectively, firms can adopt various strategies, achieve above-average returns, and establish a sustainable competitive advantage. The RBV theory suggests that resources that are un</w:t>
      </w:r>
      <w:r>
        <w:t>ique, scarce, and valuable enhance firm operations, and firms can achieve sustainable competitive advantages when specific firm-level competencies support their development. RBV suggests that a firm’s competitive advantage lies in its unique bundle of resources and capabilities (Madhani, 2010). In an employee wellness program, human resources are considered a vital asset. A well-designed wellness program can be viewed as a strategic resource that contributes to organisational performance by enhancing employ</w:t>
      </w:r>
      <w:r>
        <w:t>ee well-being, satisfaction, and productivity. By providing employees with resources such as access to fitness facilities, healthy lifestyle education, and mental health support, the organisation invests in enhancing the overall health and capabilities of its workforce. The effectiveness of the wellness program can be evaluated by assessing its ability to attract, retain, and motivate talented employees who perceive the program as a valuable resource provided by the organisation.</w:t>
      </w:r>
    </w:p>
    <w:p w14:paraId="63ECDA67" w14:textId="77777777" w:rsidR="00C72315" w:rsidRDefault="00C72315"/>
    <w:p w14:paraId="10838FCA" w14:textId="77777777" w:rsidR="00C72315" w:rsidRDefault="006B62C5">
      <w:pPr>
        <w:jc w:val="center"/>
      </w:pPr>
      <w:r>
        <w:rPr>
          <w:noProof/>
        </w:rPr>
        <w:drawing>
          <wp:inline distT="114300" distB="114300" distL="114300" distR="114300" wp14:anchorId="23B3637A" wp14:editId="33FC09CD">
            <wp:extent cx="3999962" cy="4119563"/>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999962" cy="4119563"/>
                    </a:xfrm>
                    <a:prstGeom prst="rect">
                      <a:avLst/>
                    </a:prstGeom>
                    <a:ln/>
                  </pic:spPr>
                </pic:pic>
              </a:graphicData>
            </a:graphic>
          </wp:inline>
        </w:drawing>
      </w:r>
    </w:p>
    <w:p w14:paraId="22300137" w14:textId="77777777" w:rsidR="00C72315" w:rsidRDefault="006B62C5">
      <w:pPr>
        <w:jc w:val="center"/>
        <w:rPr>
          <w:b/>
        </w:rPr>
      </w:pPr>
      <w:r>
        <w:rPr>
          <w:b/>
        </w:rPr>
        <w:t>Figure 1: RBV Model</w:t>
      </w:r>
    </w:p>
    <w:p w14:paraId="26AB63BD" w14:textId="77777777" w:rsidR="00C72315" w:rsidRDefault="006B62C5">
      <w:pPr>
        <w:jc w:val="center"/>
      </w:pPr>
      <w:r>
        <w:t xml:space="preserve">(Source: Bamgbade </w:t>
      </w:r>
      <w:r>
        <w:rPr>
          <w:i/>
        </w:rPr>
        <w:t>et al.,</w:t>
      </w:r>
      <w:r>
        <w:t xml:space="preserve"> 2022)</w:t>
      </w:r>
    </w:p>
    <w:p w14:paraId="181E0B73" w14:textId="77777777" w:rsidR="00C72315" w:rsidRDefault="006B62C5">
      <w:pPr>
        <w:pStyle w:val="Heading3"/>
        <w:spacing w:before="0" w:after="0"/>
      </w:pPr>
      <w:bookmarkStart w:id="21" w:name="_heading=h.pcsjpodktqbj" w:colFirst="0" w:colLast="0"/>
      <w:bookmarkEnd w:id="21"/>
      <w:r>
        <w:t>2.3.2 Social Exchange theory (SET)</w:t>
      </w:r>
    </w:p>
    <w:p w14:paraId="53AA00AF" w14:textId="77777777" w:rsidR="00C72315" w:rsidRDefault="006B62C5">
      <w:pPr>
        <w:jc w:val="center"/>
        <w:rPr>
          <w:b/>
        </w:rPr>
      </w:pPr>
      <w:r>
        <w:rPr>
          <w:b/>
          <w:noProof/>
        </w:rPr>
        <w:drawing>
          <wp:inline distT="114300" distB="114300" distL="114300" distR="114300" wp14:anchorId="6710C613" wp14:editId="098BC77C">
            <wp:extent cx="5738813" cy="2507156"/>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8813" cy="2507156"/>
                    </a:xfrm>
                    <a:prstGeom prst="rect">
                      <a:avLst/>
                    </a:prstGeom>
                    <a:ln/>
                  </pic:spPr>
                </pic:pic>
              </a:graphicData>
            </a:graphic>
          </wp:inline>
        </w:drawing>
      </w:r>
    </w:p>
    <w:p w14:paraId="3BE92579" w14:textId="77777777" w:rsidR="00C72315" w:rsidRDefault="006B62C5">
      <w:pPr>
        <w:jc w:val="center"/>
        <w:rPr>
          <w:b/>
        </w:rPr>
      </w:pPr>
      <w:r>
        <w:rPr>
          <w:b/>
        </w:rPr>
        <w:t>Figure  2: Social Exchange Theory Model</w:t>
      </w:r>
    </w:p>
    <w:p w14:paraId="7A4F5C02" w14:textId="77777777" w:rsidR="00C72315" w:rsidRDefault="006B62C5">
      <w:pPr>
        <w:jc w:val="center"/>
      </w:pPr>
      <w:r>
        <w:t>(Source: Jeong and Oh, 2017)</w:t>
      </w:r>
    </w:p>
    <w:p w14:paraId="5189BCC0" w14:textId="77777777" w:rsidR="00C72315" w:rsidRDefault="00C72315"/>
    <w:p w14:paraId="2C1AED8A" w14:textId="77777777" w:rsidR="00C72315" w:rsidRDefault="006B62C5">
      <w:r>
        <w:t>According to Jeong and Oh (2017), SET is applicable in social relationship contexts, where individuals decide to sustain or end relationships by weighing the benefits against the costs of maintaining them. In such relationships, these benefits and costs extend beyond economic consequences to include a range of social outcomes like companionship, reliance, emotional comfort and support. Social Exchange theory explains how employees perceive wellness programs as investments with expected returns like improved</w:t>
      </w:r>
      <w:r>
        <w:t xml:space="preserve"> health, job satisfaction, and work-life balance. Employees’ participation benefits the organisation by reducing absenteeism, boosting morale, and increasing commitment. Effectiveness is gauged by employees’ perception of fairness and valuable rewards for engagement, indicating a productive, healthy work environment. Employees may view participation in the wellness program as an investment of their time and effort, expecting tangible returns in the form of improved health outcomes, increased job satisfactio</w:t>
      </w:r>
      <w:r>
        <w:t>n, and enhanced work-life balance.</w:t>
      </w:r>
    </w:p>
    <w:p w14:paraId="20178E2B" w14:textId="77777777" w:rsidR="00C72315" w:rsidRDefault="006B62C5">
      <w:pPr>
        <w:pStyle w:val="Heading3"/>
        <w:spacing w:before="0" w:after="0"/>
      </w:pPr>
      <w:bookmarkStart w:id="22" w:name="_heading=h.ymzros74jmhp" w:colFirst="0" w:colLast="0"/>
      <w:bookmarkEnd w:id="22"/>
      <w:r>
        <w:t>2.4 Research gaps</w:t>
      </w:r>
    </w:p>
    <w:p w14:paraId="42B5C297" w14:textId="77777777" w:rsidR="00C72315" w:rsidRDefault="006B62C5">
      <w:r>
        <w:t>While many studies have examined the immediate effects of wellness programs on employee health and productivity, there may be a gap in research focusing on the long-term impact. In this context, Song and Baicker (2019) outlined that the wellness program led to a higher percentage of employees reporting regular exercise and actively managing their weight. However, there were no notable variances in other health behaviours, tenure, job performance, or absenteeism among participants who self-reported them. Lon</w:t>
      </w:r>
      <w:r>
        <w:t>gitudinal studies tracking employees’ health outcomes, job satisfaction, and productivity over several years could provide valuable insights into the sustained effectiveness of wellness programs. Although there is existing research highlighting the advantages of wellness programs, there might be a gap in comprehending the obstacles and hurdles encountered during the implementation process. Delving into issues such as employee or leadership resistance, financial limitations, and cultural barriers could aid o</w:t>
      </w:r>
      <w:r>
        <w:t>rganisations in better tackling these challenges. There may exist a lack of research-based comparisons among different formats of wellness programs and their different efficiency. By conducting a comparative study, it can be discovered which particular components or features of the program are effective in leading to a drastic improvement of the employees' well-being and performance.</w:t>
      </w:r>
    </w:p>
    <w:p w14:paraId="51F6F2D2" w14:textId="77777777" w:rsidR="00C72315" w:rsidRDefault="00C72315"/>
    <w:p w14:paraId="09CE4593" w14:textId="77777777" w:rsidR="00C72315" w:rsidRDefault="006B62C5">
      <w:r>
        <w:t>According to Schwatka et al. (2018), wellness programs can have the power to lead to healthier employees with lowered absenteeism and presenteeism contributing towards lowering healthcare costs. Science shows that people at small companies are more willing to take part in fitness programs than those who work for large companies. While several researches have studied the consequences of wellness program attendance on turnover rate and absenteeism as among the productivity variables, the knowledge on what exa</w:t>
      </w:r>
      <w:r>
        <w:t>ctly is causing this may be lacking or there might be contrasting studies that have provided conflicting findings. Their research showed that absenteeism and presenteeism were unaffected by wellness programs, reported in 2018 by Schwatka et al.</w:t>
      </w:r>
    </w:p>
    <w:p w14:paraId="494FBF5D" w14:textId="77777777" w:rsidR="00C72315" w:rsidRDefault="00C72315"/>
    <w:p w14:paraId="136D3E03" w14:textId="77777777" w:rsidR="00C72315" w:rsidRDefault="006B62C5">
      <w:pPr>
        <w:rPr>
          <w:b/>
          <w:sz w:val="28"/>
          <w:szCs w:val="28"/>
        </w:rPr>
      </w:pPr>
      <w:r>
        <w:t>Other studies going deep into the matter will show how wellness initiatives might affect employee morale, job satisfaction and organisational commitment which in the end make people more productive. Many studies show that the application of mindfulness makes a significant difference in the mental health &amp; well-being of employees, leading to improved performance. Despite that, only a few companies have adopted this approach (Johnson et al., 2020). Such a difference between the accepted gains from mindfulness</w:t>
      </w:r>
      <w:r>
        <w:t xml:space="preserve"> training and its poor implementation calls into questions whether the organizational priorities, allocation of resources, and barriers to implementation are viable or not. Unlike earlier studies that have not greatly focused on the implications of wellness programs on job satisfaction, organisational leaders are more and more willing to spend money on these initiatives as per Marshall's (2020) expression. There may be a gap in research on the effectiveness of tailored wellness interventions that address th</w:t>
      </w:r>
      <w:r>
        <w:t xml:space="preserve">e specific needs and preferences of different employee populations. Involvement in workplace wellness initiatives is associated with heightened job satisfaction across multiple dimensions and reduced levels of stress, exhaustion, and cynicism among employees as outlined by Ledikwe </w:t>
      </w:r>
      <w:r>
        <w:rPr>
          <w:i/>
        </w:rPr>
        <w:t>et al.,</w:t>
      </w:r>
      <w:r>
        <w:t xml:space="preserve"> (2018) which creates a conflict when gauging other studies. This creates a debate and a gap that must be assessed. Studies examining the outcomes of personalised wellness programs could provide insights into how firms can </w:t>
      </w:r>
      <w:r>
        <w:t xml:space="preserve">optimise their wellness initiatives to maximise employee engagement and impact. </w:t>
      </w:r>
    </w:p>
    <w:p w14:paraId="60F0A9CB" w14:textId="77777777" w:rsidR="00C72315" w:rsidRDefault="006B62C5">
      <w:pPr>
        <w:pStyle w:val="Heading2"/>
      </w:pPr>
      <w:bookmarkStart w:id="23" w:name="_heading=h.9j00i0lwk5ey" w:colFirst="0" w:colLast="0"/>
      <w:bookmarkEnd w:id="23"/>
      <w:r>
        <w:t>3.0 Summary</w:t>
      </w:r>
    </w:p>
    <w:p w14:paraId="0BAEAD23" w14:textId="77777777" w:rsidR="00C72315" w:rsidRDefault="006B62C5">
      <w:bookmarkStart w:id="24" w:name="_heading=h.30j0zll" w:colFirst="0" w:colLast="0"/>
      <w:bookmarkEnd w:id="24"/>
      <w:r>
        <w:t xml:space="preserve">The literature review comprehensively explores the impact of employee wellness programs on workplace productivity and well-being, drawing from empirical evidence and theoretical frameworks such as the Resource-Based View (RBV) and Social Exchange theory. While some studies highlight the immediate benefits of wellness programs, such as improved health outcomes and job satisfaction, others point out gaps and challenges in their implementation and effectiveness. Research suggests that small businesses tend to </w:t>
      </w:r>
      <w:r>
        <w:t>achieve higher participation rates and witness more significant health improvements compared to larger organisations. However, there is a need for longitudinal studies to assess the sustained impact of wellness programs over time. The review identifies gaps in understanding the obstacles to implementation, mechanisms underlying the relationship between wellness programs and productivity indicators, and the effectiveness of tailored interventions. The next chapter will detail the methodology and research des</w:t>
      </w:r>
      <w:r>
        <w:t>ign employed to address these gaps.</w:t>
      </w:r>
    </w:p>
    <w:p w14:paraId="4734C9C4" w14:textId="77777777" w:rsidR="00C72315" w:rsidRDefault="006B62C5">
      <w:pPr>
        <w:jc w:val="left"/>
      </w:pPr>
      <w:r>
        <w:br w:type="page"/>
      </w:r>
    </w:p>
    <w:p w14:paraId="4F2D4AEE" w14:textId="77777777" w:rsidR="00C72315" w:rsidRDefault="006B62C5">
      <w:pPr>
        <w:pStyle w:val="Heading1"/>
        <w:jc w:val="center"/>
        <w:rPr>
          <w:sz w:val="36"/>
          <w:szCs w:val="36"/>
          <w:u w:val="single"/>
        </w:rPr>
      </w:pPr>
      <w:bookmarkStart w:id="25" w:name="_heading=h.338ge1gebnav" w:colFirst="0" w:colLast="0"/>
      <w:bookmarkEnd w:id="25"/>
      <w:r>
        <w:rPr>
          <w:sz w:val="36"/>
          <w:szCs w:val="36"/>
          <w:u w:val="single"/>
        </w:rPr>
        <w:t>CHAPTER 3: METHODOLOGY</w:t>
      </w:r>
    </w:p>
    <w:p w14:paraId="17A0676D" w14:textId="77777777" w:rsidR="00C72315" w:rsidRDefault="00C72315">
      <w:pPr>
        <w:jc w:val="center"/>
        <w:rPr>
          <w:b/>
          <w:sz w:val="32"/>
          <w:szCs w:val="32"/>
          <w:u w:val="single"/>
        </w:rPr>
      </w:pPr>
    </w:p>
    <w:p w14:paraId="7FAC87B3" w14:textId="77777777" w:rsidR="00C72315" w:rsidRDefault="006B62C5">
      <w:pPr>
        <w:pStyle w:val="Heading2"/>
        <w:spacing w:before="0" w:after="0"/>
        <w:jc w:val="left"/>
      </w:pPr>
      <w:bookmarkStart w:id="26" w:name="_heading=h.x9f0g8jzi8fr" w:colFirst="0" w:colLast="0"/>
      <w:bookmarkEnd w:id="26"/>
      <w:r>
        <w:t>3.1 Introduction</w:t>
      </w:r>
    </w:p>
    <w:p w14:paraId="18DEECB2" w14:textId="77777777" w:rsidR="00C72315" w:rsidRDefault="006B62C5">
      <w:pPr>
        <w:rPr>
          <w:b/>
        </w:rPr>
      </w:pPr>
      <w:r>
        <w:t xml:space="preserve">In this chapter on research methodology, there is a shift in design and structure for collecting data from the theoretical framework and literature review. This will enable the researcher to focus on the practical application to investigate the effectiveness of employee wellness programs. The methodology in this study is vital for collecting reliable and relevant data to generate trustworthy results. According to </w:t>
      </w:r>
      <w:r>
        <w:rPr>
          <w:color w:val="222222"/>
          <w:highlight w:val="white"/>
        </w:rPr>
        <w:t xml:space="preserve">Dissanayake (2023), research methodology is a significant part that delineates how research will be undertaken based on general principles and guidelines, justifying the research through a system of beliefs and philosophical assumptions. This allows assessing the research questions and underpinning the choice of research methods. </w:t>
      </w:r>
      <w:r>
        <w:t xml:space="preserve">The researcher will follow the research onion by Saunders </w:t>
      </w:r>
      <w:r>
        <w:rPr>
          <w:i/>
        </w:rPr>
        <w:t>et al.,</w:t>
      </w:r>
      <w:r>
        <w:t xml:space="preserve"> (2019) that accurately reflects appropriate methods such as qualitative technique to collect secondary data in thi</w:t>
      </w:r>
      <w:r>
        <w:t xml:space="preserve">s research. A clear rationale is provided by the researcher for selecting the research design based on factors like the research objectives, and questions outlining the nature of the wellness program from the available data sources. </w:t>
      </w:r>
    </w:p>
    <w:p w14:paraId="3B2B1625" w14:textId="77777777" w:rsidR="00C72315" w:rsidRDefault="006B62C5">
      <w:pPr>
        <w:pStyle w:val="Heading2"/>
        <w:spacing w:before="0" w:after="0"/>
      </w:pPr>
      <w:bookmarkStart w:id="27" w:name="_heading=h.tyjcwt" w:colFirst="0" w:colLast="0"/>
      <w:bookmarkEnd w:id="27"/>
      <w:r>
        <w:t>3.2 Research Approach and Philosophy</w:t>
      </w:r>
    </w:p>
    <w:p w14:paraId="7EFD6D18" w14:textId="77777777" w:rsidR="00C72315" w:rsidRDefault="006B62C5">
      <w:r>
        <w:t>The researcher makes different assumptions based on research philosophy that consists of ontological, epistemological and axiological assumptions. It consists of the nature of reality, assumptions of human knowledge and the level of influence of the values of the investigator on the research process (Tengli, 2020). The researcher will use and follow the interpretivism philosophy in this study. A critique of positivism develops interpretivism through subjective perspective which is concerned with in-depth va</w:t>
      </w:r>
      <w:r>
        <w:t>riables related to a context creating further depth and assumptions. Interpretive consists of differences of circumstances, times, cultures and differential realities. This philosophy focuses on the richness of collected data instead of defining it through universal laws. Interpretivism allows perceiving reality to intersubjectivity and considers meanings and different aspects in research whereas subjective epistemology provides a clear link integrating knowledge (Alharahsheh and Pius, 2020). Based on the e</w:t>
      </w:r>
      <w:r>
        <w:t xml:space="preserve">pistemological and ontological dimensions, positivism and interpretivism are significant in social sciences. Interpretivism focuses on the complexity of individuals and the world corresponding to explanations outlining the generalisation of universal patterns with complexities and social constructivism rejects objectivist views (Junjie and Yingxin, 2022). </w:t>
      </w:r>
    </w:p>
    <w:p w14:paraId="5B4F21E3" w14:textId="77777777" w:rsidR="00C72315" w:rsidRDefault="00C72315"/>
    <w:p w14:paraId="05D3D829" w14:textId="77777777" w:rsidR="00C72315" w:rsidRDefault="006B62C5">
      <w:r>
        <w:t>The rationale for selecting because the interpretivism philosophy will enable the researcher to explore the unique circumstances of the business environment and how the experiences of the workforce interpret the employee wellness program. This will help the employees to respond to such initiatives based on their professional requirements and backgrounds. This philosophy is aligned with the secondary qualitative research methods and deductive approaches.  Deductive approaches are highly structured. The resea</w:t>
      </w:r>
      <w:r>
        <w:t xml:space="preserve">rcher uses deductive approaches as it can use analysis for different ranges of data and collect facts instead of impressions for providing the basis to implement the theories for exploring phenomena (Saunders and Bristow, 2023). </w:t>
      </w:r>
    </w:p>
    <w:p w14:paraId="2B185671" w14:textId="77777777" w:rsidR="00C72315" w:rsidRDefault="00C72315"/>
    <w:p w14:paraId="5FB8F3B5" w14:textId="77777777" w:rsidR="00C72315" w:rsidRDefault="006B62C5">
      <w:r>
        <w:t>A high-level research paradigm which is interpretivism focuses on ontological and epistemological viewpoints. An interpreted search is usually interchanged with qualitative research that is based on social realities shaping human experience which makes it suitable for undertaking research on human behaviour. This philosophy is important as it enables the researcher to explore social truth embedded in current surroundings and explain truth using understanding in place of hypothesis and subjective experiences</w:t>
      </w:r>
      <w:r>
        <w:t xml:space="preserve">, beliefs and notions in social and cultural contexts (Pervin and Mokhtar, 2022). It is important to use interpretive and deductive approaches to search, extract and assess the depth, complexities and richness of workforce experiences of organisations that are well-integrated and aligned with the wellness initiative and program to create a healthy work environemnt. </w:t>
      </w:r>
    </w:p>
    <w:p w14:paraId="556A4B9B" w14:textId="77777777" w:rsidR="00C72315" w:rsidRDefault="006B62C5">
      <w:pPr>
        <w:pStyle w:val="Heading2"/>
        <w:spacing w:before="0" w:after="0"/>
      </w:pPr>
      <w:bookmarkStart w:id="28" w:name="_heading=h.3dy6vkm" w:colFirst="0" w:colLast="0"/>
      <w:bookmarkEnd w:id="28"/>
      <w:r>
        <w:t>3.3 Research Design</w:t>
      </w:r>
    </w:p>
    <w:p w14:paraId="69E365E1" w14:textId="77777777" w:rsidR="00C72315" w:rsidRDefault="006B62C5">
      <w:r>
        <w:t>Investigators need a detailed plan for collecting data, different methods and an analysis plan through a research design for answering questions. A robust research design will produce valid answers whereas a weak design can create unreliability or irrelevant answers. A Research design can be constructed based on a particular research question and data determining the nature of the question, research goals, availability of resources and effect the validity of research outcomes (Ranganathan and Aggarwal, 2018</w:t>
      </w:r>
      <w:r>
        <w:t xml:space="preserve">). In this context, the research design will help to develop an appropriate blueprint through the design process including approaches and interrelated decisions for collecting relevant information. </w:t>
      </w:r>
    </w:p>
    <w:p w14:paraId="53C84A25" w14:textId="77777777" w:rsidR="00C72315" w:rsidRDefault="00C72315"/>
    <w:p w14:paraId="45D14C60" w14:textId="77777777" w:rsidR="00C72315" w:rsidRDefault="006B62C5">
      <w:r>
        <w:t>In this study, a descriptive design is suitable for understanding the accurate profile of individuals in situations from an organisation, situational or industry-oriented perspective (Sileyew, 2019). The research design is qualitative in nature. Descriptive studies are non-analytical studies and will try to describe the data based on the characteristics of individuals are groups without establishing a relationship between variables (Ranganathan and Aggarwal, 2018). Descriptive studies will allow to use of c</w:t>
      </w:r>
      <w:r>
        <w:t xml:space="preserve">ase studies and cross-sectional studies. </w:t>
      </w:r>
    </w:p>
    <w:p w14:paraId="096BDE0A" w14:textId="77777777" w:rsidR="00C72315" w:rsidRDefault="006B62C5">
      <w:pPr>
        <w:pStyle w:val="Heading2"/>
        <w:spacing w:before="0" w:after="0"/>
      </w:pPr>
      <w:bookmarkStart w:id="29" w:name="_heading=h.1t3h5sf" w:colFirst="0" w:colLast="0"/>
      <w:bookmarkEnd w:id="29"/>
      <w:r>
        <w:t>3.4 Research Strategy</w:t>
      </w:r>
    </w:p>
    <w:p w14:paraId="0A31CCF9" w14:textId="77777777" w:rsidR="00C72315" w:rsidRDefault="006B62C5">
      <w:r>
        <w:t>The process of collecting and interpreting data outlines a research strategy through identified objectives that focus on research questions and contemporary events. Case studies are research strategies that allow defining an intensive research strategy regarding a person, people or unit without generalising to describe a systematic investigation through in-depth data (Heale and Twycross, 2018). Case studies will allow examining complex phenomena in a natural setting and understanding them with a holistic na</w:t>
      </w:r>
      <w:r>
        <w:t>ture where a researcher takes a complex and broad topic. As a research strategy, the investigator will use case studies that outline a written description of situations or problems and focus on particular issues (Rahi, 2017). The rationale of case studies in research will allow enquiry regarding an investigation of a temporary issue within a real-life context through an in-depth investigation of a single or small number of units. Researchers can collect data including empirical elements of case studies, dir</w:t>
      </w:r>
      <w:r>
        <w:t xml:space="preserve">ectly from multiple sources consisting of real-world data which can be qualitative, quantitative, primary or secondary collected over multiple periods using different research strategies (Farquhar </w:t>
      </w:r>
      <w:r>
        <w:rPr>
          <w:i/>
        </w:rPr>
        <w:t>et al.,</w:t>
      </w:r>
      <w:r>
        <w:t xml:space="preserve"> 2020). The research strategy with case studies can be deductive, inductive, or abductive allowing one to test, build or refine theory while enabling the investigator to analyse phenomena to explain multiple perspectives.</w:t>
      </w:r>
    </w:p>
    <w:p w14:paraId="33912DCC" w14:textId="77777777" w:rsidR="00C72315" w:rsidRDefault="006B62C5">
      <w:pPr>
        <w:pStyle w:val="Heading2"/>
        <w:spacing w:before="0" w:after="0"/>
      </w:pPr>
      <w:bookmarkStart w:id="30" w:name="_heading=h.4d34og8" w:colFirst="0" w:colLast="0"/>
      <w:bookmarkEnd w:id="30"/>
      <w:r>
        <w:t>3.5 Time Horizon</w:t>
      </w:r>
    </w:p>
    <w:p w14:paraId="6396AD92" w14:textId="77777777" w:rsidR="00C72315" w:rsidRDefault="006B62C5">
      <w:pPr>
        <w:rPr>
          <w:b/>
        </w:rPr>
      </w:pPr>
      <w:r>
        <w:t>The study following the research onion shows the intricate layer related to the time frame. Considering the time frame in research, it is the choice to use either a longitudinal or a cross-sectional route for collecting data (Melnikovas, 2018). The researcher selected a cross-sectional time horizon in this study to collect data. Cross-sectional studies can be identified as observational studies that investigate data at a single point in time concerning a population and can be used to measure outcomes and un</w:t>
      </w:r>
      <w:r>
        <w:t>derstand and describe features of a population attribute at a given time (</w:t>
      </w:r>
      <w:r>
        <w:rPr>
          <w:color w:val="222222"/>
          <w:highlight w:val="white"/>
        </w:rPr>
        <w:t>Wang and Cheng, 2020</w:t>
      </w:r>
      <w:r>
        <w:t xml:space="preserve">). </w:t>
      </w:r>
    </w:p>
    <w:p w14:paraId="268D984D" w14:textId="77777777" w:rsidR="00C72315" w:rsidRDefault="006B62C5">
      <w:pPr>
        <w:pStyle w:val="Heading2"/>
        <w:spacing w:before="0" w:after="0"/>
      </w:pPr>
      <w:bookmarkStart w:id="31" w:name="_heading=h.2s8eyo1" w:colFirst="0" w:colLast="0"/>
      <w:bookmarkEnd w:id="31"/>
      <w:r>
        <w:t>3.6 Research Methods</w:t>
      </w:r>
    </w:p>
    <w:p w14:paraId="211888C8" w14:textId="77777777" w:rsidR="00C72315" w:rsidRDefault="006B62C5">
      <w:r>
        <w:t xml:space="preserve">Research methods allow the collection of data and analysis techniques to produce and develop knowledge (Alharahsheh and Pius, 2020). The researcher can use three methods to collect data. By selecting either quantitative or qualitative research. Mixed methods can be implemented which is a combination of quantitative and qualitative data.  Qualitative studies can be defined as the investigation of the nature of phenomena through appropriate questions for observing and assessing complex multi-components based </w:t>
      </w:r>
      <w:r>
        <w:t>on qualitative manifestations and perspectives (</w:t>
      </w:r>
      <w:r>
        <w:rPr>
          <w:color w:val="222222"/>
          <w:highlight w:val="white"/>
        </w:rPr>
        <w:t xml:space="preserve">Busetto </w:t>
      </w:r>
      <w:r>
        <w:rPr>
          <w:i/>
        </w:rPr>
        <w:t>et al.,</w:t>
      </w:r>
      <w:r>
        <w:t xml:space="preserve"> 2020). This enables assessing the frequency and objectivity for determining cause and effect whereas qualitative research includes data in a textual form instead of numbers or quantification.  </w:t>
      </w:r>
    </w:p>
    <w:p w14:paraId="45442D15" w14:textId="77777777" w:rsidR="00C72315" w:rsidRDefault="00C72315"/>
    <w:p w14:paraId="638262F5" w14:textId="77777777" w:rsidR="00C72315" w:rsidRDefault="006B62C5">
      <w:pPr>
        <w:rPr>
          <w:b/>
        </w:rPr>
      </w:pPr>
      <w:r>
        <w:t>Quantitative research is interested in exploring numbers are quantitative measures compared to qualitative analysis which focuses on exploring the meaning constructed and how experiences are perceived (</w:t>
      </w:r>
      <w:r>
        <w:rPr>
          <w:color w:val="222222"/>
          <w:highlight w:val="white"/>
        </w:rPr>
        <w:t>Nayak and Singh, 2021</w:t>
      </w:r>
      <w:r>
        <w:t>). Qualitative studies focus on understanding the richness of real experience with interpretation cannot be judged as true or false allowing textual interpretation. The researcher will use and collect secondary data using the secondary research method with a qualitative approach. Using secondary qualitative data is important in this case because this will enable the researcher to examine information that has previously been collected or has been amassed by other researchers. In the rese</w:t>
      </w:r>
      <w:r>
        <w:t>arch of analysing an employee wellness program, the researcher can look for already existing reports, data and studies to investigate the effectiveness and success of wellness programs in different firms. Using existing data sources will present valuable insights and knowledge without the researcher to collect new information collection, enabling them to save time and resources.</w:t>
      </w:r>
    </w:p>
    <w:p w14:paraId="1C1B332A" w14:textId="77777777" w:rsidR="00C72315" w:rsidRDefault="006B62C5">
      <w:pPr>
        <w:pStyle w:val="Heading2"/>
        <w:spacing w:before="0" w:after="0"/>
      </w:pPr>
      <w:bookmarkStart w:id="32" w:name="_heading=h.17dp8vu" w:colFirst="0" w:colLast="0"/>
      <w:bookmarkEnd w:id="32"/>
      <w:r>
        <w:t>3.7 Data Collection</w:t>
      </w:r>
    </w:p>
    <w:p w14:paraId="5A8683C9" w14:textId="77777777" w:rsidR="00C72315" w:rsidRDefault="006B62C5">
      <w:r>
        <w:t xml:space="preserve">After designing the research problem and plan, the researcher creates strategies for collecting information based on primary or secondary data. Primary data is original and fresh while secondary data is previously </w:t>
      </w:r>
      <w:r>
        <w:t>collected by others (</w:t>
      </w:r>
      <w:r>
        <w:rPr>
          <w:color w:val="222222"/>
          <w:highlight w:val="white"/>
        </w:rPr>
        <w:t xml:space="preserve">Mazhar </w:t>
      </w:r>
      <w:r>
        <w:rPr>
          <w:i/>
        </w:rPr>
        <w:t>et al.,</w:t>
      </w:r>
      <w:r>
        <w:t xml:space="preserve"> 2021). The researcher will collect secondary data in this research. The researcher will use secondary data collection techniques because of the availability of existing data related to the research objectives and questions developed. Secondary data collection will allow the investigator to collect insights and knowledge from different sources such as online databases. The researcher can explore data involving different strategies, outcomes and approaches in diverse indust</w:t>
      </w:r>
      <w:r>
        <w:t>ries and organisational contexts.</w:t>
      </w:r>
      <w:r>
        <w:rPr>
          <w:b/>
        </w:rPr>
        <w:t xml:space="preserve"> </w:t>
      </w:r>
      <w:r>
        <w:t>The researcher will use online databases like Google Scholar to collect data from 2019 onwards. Other databases like IEEE, Springer, ResearchGate, ScienceDirect, MDPI, Elsevier, Academia.Edu, Wiley, and NIH.Gov will be used. This outlook will present an inclusive understanding of employee wellness programs. It can be important to establish inclusion and exclusion criteria in this study when exploring employee wellness programs. This will help the researcher to use inclusion</w:t>
      </w:r>
      <w:r>
        <w:t xml:space="preserve"> and exclusion criteria based on the key features for answering research questions and exclude additional characteristics interfering with the successful outcomes, inaccuracy or bias (</w:t>
      </w:r>
      <w:r>
        <w:rPr>
          <w:color w:val="222222"/>
          <w:highlight w:val="white"/>
        </w:rPr>
        <w:t>Patino and Ferreira, 2018</w:t>
      </w:r>
      <w:r>
        <w:t>). The research will use inclusion and exclusion criteria which are as follows:</w:t>
      </w:r>
    </w:p>
    <w:p w14:paraId="757A9254" w14:textId="77777777" w:rsidR="00C72315" w:rsidRDefault="00C72315"/>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72315" w14:paraId="31232189" w14:textId="77777777">
        <w:tc>
          <w:tcPr>
            <w:tcW w:w="4514" w:type="dxa"/>
            <w:shd w:val="clear" w:color="auto" w:fill="auto"/>
            <w:tcMar>
              <w:top w:w="100" w:type="dxa"/>
              <w:left w:w="100" w:type="dxa"/>
              <w:bottom w:w="100" w:type="dxa"/>
              <w:right w:w="100" w:type="dxa"/>
            </w:tcMar>
          </w:tcPr>
          <w:p w14:paraId="7A4C9853" w14:textId="77777777" w:rsidR="00C72315" w:rsidRDefault="006B62C5">
            <w:pPr>
              <w:widowControl w:val="0"/>
              <w:pBdr>
                <w:top w:val="nil"/>
                <w:left w:val="nil"/>
                <w:bottom w:val="nil"/>
                <w:right w:val="nil"/>
                <w:between w:val="nil"/>
              </w:pBdr>
            </w:pPr>
            <w:r>
              <w:t xml:space="preserve">Inclusion </w:t>
            </w:r>
          </w:p>
        </w:tc>
        <w:tc>
          <w:tcPr>
            <w:tcW w:w="4515" w:type="dxa"/>
            <w:shd w:val="clear" w:color="auto" w:fill="auto"/>
            <w:tcMar>
              <w:top w:w="100" w:type="dxa"/>
              <w:left w:w="100" w:type="dxa"/>
              <w:bottom w:w="100" w:type="dxa"/>
              <w:right w:w="100" w:type="dxa"/>
            </w:tcMar>
          </w:tcPr>
          <w:p w14:paraId="677C9313" w14:textId="77777777" w:rsidR="00C72315" w:rsidRDefault="006B62C5">
            <w:pPr>
              <w:widowControl w:val="0"/>
              <w:pBdr>
                <w:top w:val="nil"/>
                <w:left w:val="nil"/>
                <w:bottom w:val="nil"/>
                <w:right w:val="nil"/>
                <w:between w:val="nil"/>
              </w:pBdr>
            </w:pPr>
            <w:r>
              <w:t xml:space="preserve">Exclusion </w:t>
            </w:r>
          </w:p>
        </w:tc>
      </w:tr>
      <w:tr w:rsidR="00C72315" w14:paraId="06F0A6FC" w14:textId="77777777">
        <w:tc>
          <w:tcPr>
            <w:tcW w:w="4514" w:type="dxa"/>
            <w:shd w:val="clear" w:color="auto" w:fill="auto"/>
            <w:tcMar>
              <w:top w:w="100" w:type="dxa"/>
              <w:left w:w="100" w:type="dxa"/>
              <w:bottom w:w="100" w:type="dxa"/>
              <w:right w:w="100" w:type="dxa"/>
            </w:tcMar>
          </w:tcPr>
          <w:p w14:paraId="2BCA523F" w14:textId="77777777" w:rsidR="00C72315" w:rsidRDefault="006B62C5">
            <w:pPr>
              <w:widowControl w:val="0"/>
              <w:numPr>
                <w:ilvl w:val="0"/>
                <w:numId w:val="3"/>
              </w:numPr>
              <w:pBdr>
                <w:top w:val="nil"/>
                <w:left w:val="nil"/>
                <w:bottom w:val="nil"/>
                <w:right w:val="nil"/>
                <w:between w:val="nil"/>
              </w:pBdr>
            </w:pPr>
            <w:r>
              <w:t>Research papers, journals, articles</w:t>
            </w:r>
          </w:p>
          <w:p w14:paraId="0BC20DB0" w14:textId="77777777" w:rsidR="00C72315" w:rsidRDefault="006B62C5">
            <w:pPr>
              <w:widowControl w:val="0"/>
              <w:numPr>
                <w:ilvl w:val="0"/>
                <w:numId w:val="3"/>
              </w:numPr>
              <w:pBdr>
                <w:top w:val="nil"/>
                <w:left w:val="nil"/>
                <w:bottom w:val="nil"/>
                <w:right w:val="nil"/>
                <w:between w:val="nil"/>
              </w:pBdr>
            </w:pPr>
            <w:r>
              <w:t>Research from 2019-2024</w:t>
            </w:r>
          </w:p>
          <w:p w14:paraId="2E93C166" w14:textId="77777777" w:rsidR="00C72315" w:rsidRDefault="006B62C5">
            <w:pPr>
              <w:widowControl w:val="0"/>
              <w:numPr>
                <w:ilvl w:val="0"/>
                <w:numId w:val="3"/>
              </w:numPr>
              <w:pBdr>
                <w:top w:val="nil"/>
                <w:left w:val="nil"/>
                <w:bottom w:val="nil"/>
                <w:right w:val="nil"/>
                <w:between w:val="nil"/>
              </w:pBdr>
            </w:pPr>
            <w:r>
              <w:t>English Language only</w:t>
            </w:r>
          </w:p>
          <w:p w14:paraId="756F4330" w14:textId="77777777" w:rsidR="00C72315" w:rsidRDefault="006B62C5">
            <w:pPr>
              <w:widowControl w:val="0"/>
              <w:numPr>
                <w:ilvl w:val="0"/>
                <w:numId w:val="3"/>
              </w:numPr>
              <w:pBdr>
                <w:top w:val="nil"/>
                <w:left w:val="nil"/>
                <w:bottom w:val="nil"/>
                <w:right w:val="nil"/>
                <w:between w:val="nil"/>
              </w:pBdr>
            </w:pPr>
            <w:r>
              <w:t>PDF, full-text files, open access or HTML files.</w:t>
            </w:r>
          </w:p>
        </w:tc>
        <w:tc>
          <w:tcPr>
            <w:tcW w:w="4515" w:type="dxa"/>
            <w:shd w:val="clear" w:color="auto" w:fill="auto"/>
            <w:tcMar>
              <w:top w:w="100" w:type="dxa"/>
              <w:left w:w="100" w:type="dxa"/>
              <w:bottom w:w="100" w:type="dxa"/>
              <w:right w:w="100" w:type="dxa"/>
            </w:tcMar>
          </w:tcPr>
          <w:p w14:paraId="4871802C" w14:textId="77777777" w:rsidR="00C72315" w:rsidRDefault="006B62C5">
            <w:pPr>
              <w:widowControl w:val="0"/>
              <w:numPr>
                <w:ilvl w:val="0"/>
                <w:numId w:val="1"/>
              </w:numPr>
              <w:pBdr>
                <w:top w:val="nil"/>
                <w:left w:val="nil"/>
                <w:bottom w:val="nil"/>
                <w:right w:val="nil"/>
                <w:between w:val="nil"/>
              </w:pBdr>
            </w:pPr>
            <w:r>
              <w:t>Books</w:t>
            </w:r>
          </w:p>
          <w:p w14:paraId="454EFBDD" w14:textId="77777777" w:rsidR="00C72315" w:rsidRDefault="006B62C5">
            <w:pPr>
              <w:widowControl w:val="0"/>
              <w:numPr>
                <w:ilvl w:val="0"/>
                <w:numId w:val="1"/>
              </w:numPr>
              <w:pBdr>
                <w:top w:val="nil"/>
                <w:left w:val="nil"/>
                <w:bottom w:val="nil"/>
                <w:right w:val="nil"/>
                <w:between w:val="nil"/>
              </w:pBdr>
            </w:pPr>
            <w:r>
              <w:t>Grey literature</w:t>
            </w:r>
          </w:p>
          <w:p w14:paraId="02212C00" w14:textId="77777777" w:rsidR="00C72315" w:rsidRDefault="006B62C5">
            <w:pPr>
              <w:widowControl w:val="0"/>
              <w:numPr>
                <w:ilvl w:val="0"/>
                <w:numId w:val="1"/>
              </w:numPr>
              <w:pBdr>
                <w:top w:val="nil"/>
                <w:left w:val="nil"/>
                <w:bottom w:val="nil"/>
                <w:right w:val="nil"/>
                <w:between w:val="nil"/>
              </w:pBdr>
            </w:pPr>
            <w:r>
              <w:t>Incomplete files</w:t>
            </w:r>
          </w:p>
          <w:p w14:paraId="4DA19FE4" w14:textId="77777777" w:rsidR="00C72315" w:rsidRDefault="006B62C5">
            <w:pPr>
              <w:widowControl w:val="0"/>
              <w:numPr>
                <w:ilvl w:val="0"/>
                <w:numId w:val="1"/>
              </w:numPr>
              <w:pBdr>
                <w:top w:val="nil"/>
                <w:left w:val="nil"/>
                <w:bottom w:val="nil"/>
                <w:right w:val="nil"/>
                <w:between w:val="nil"/>
              </w:pBdr>
            </w:pPr>
            <w:r>
              <w:t>Paid access</w:t>
            </w:r>
          </w:p>
          <w:p w14:paraId="4C7FC7E5" w14:textId="77777777" w:rsidR="00C72315" w:rsidRDefault="006B62C5">
            <w:pPr>
              <w:widowControl w:val="0"/>
              <w:numPr>
                <w:ilvl w:val="0"/>
                <w:numId w:val="1"/>
              </w:numPr>
              <w:pBdr>
                <w:top w:val="nil"/>
                <w:left w:val="nil"/>
                <w:bottom w:val="nil"/>
                <w:right w:val="nil"/>
                <w:between w:val="nil"/>
              </w:pBdr>
            </w:pPr>
            <w:r>
              <w:t xml:space="preserve">Files </w:t>
            </w:r>
            <w:r>
              <w:t>before 2019</w:t>
            </w:r>
          </w:p>
          <w:p w14:paraId="5D247368" w14:textId="77777777" w:rsidR="00C72315" w:rsidRDefault="006B62C5">
            <w:pPr>
              <w:widowControl w:val="0"/>
              <w:numPr>
                <w:ilvl w:val="0"/>
                <w:numId w:val="1"/>
              </w:numPr>
              <w:pBdr>
                <w:top w:val="nil"/>
                <w:left w:val="nil"/>
                <w:bottom w:val="nil"/>
                <w:right w:val="nil"/>
                <w:between w:val="nil"/>
              </w:pBdr>
            </w:pPr>
            <w:r>
              <w:t>Not in the English language</w:t>
            </w:r>
          </w:p>
          <w:p w14:paraId="5A6C471A" w14:textId="77777777" w:rsidR="00C72315" w:rsidRDefault="006B62C5">
            <w:pPr>
              <w:widowControl w:val="0"/>
              <w:numPr>
                <w:ilvl w:val="0"/>
                <w:numId w:val="1"/>
              </w:numPr>
              <w:pBdr>
                <w:top w:val="nil"/>
                <w:left w:val="nil"/>
                <w:bottom w:val="nil"/>
                <w:right w:val="nil"/>
                <w:between w:val="nil"/>
              </w:pBdr>
            </w:pPr>
            <w:r>
              <w:t>Non-peer reviewed files</w:t>
            </w:r>
          </w:p>
        </w:tc>
      </w:tr>
    </w:tbl>
    <w:p w14:paraId="5942D2A9" w14:textId="77777777" w:rsidR="00C72315" w:rsidRDefault="006B62C5">
      <w:pPr>
        <w:jc w:val="center"/>
        <w:rPr>
          <w:b/>
        </w:rPr>
      </w:pPr>
      <w:r>
        <w:rPr>
          <w:b/>
        </w:rPr>
        <w:t>Table 1: Inclusion/Exclusion criteria</w:t>
      </w:r>
    </w:p>
    <w:p w14:paraId="73987150" w14:textId="77777777" w:rsidR="00C72315" w:rsidRDefault="006B62C5">
      <w:pPr>
        <w:jc w:val="center"/>
      </w:pPr>
      <w:r>
        <w:t>(Source: Self-created)</w:t>
      </w:r>
    </w:p>
    <w:p w14:paraId="3A3FF4B0" w14:textId="77777777" w:rsidR="00C72315" w:rsidRDefault="00C72315"/>
    <w:p w14:paraId="429AC9B2" w14:textId="77777777" w:rsidR="00C72315" w:rsidRDefault="006B62C5">
      <w:r>
        <w:t>There are two types of sampling strategies. The research uses non-probability convenience sampling. In this sampling strategy, the investigator has the ease of access to collect data at convenience based on evident characteristics and population of interest (Etikan and Bala, 2017). The researcher will collect 15 data sources for secondary studies to investigate the research areas. Using the search strings and boolean format (AND, OR, NOT), the researcher will search for relevant data in the databases mentio</w:t>
      </w:r>
      <w:r>
        <w:t xml:space="preserve">ned. </w:t>
      </w:r>
    </w:p>
    <w:p w14:paraId="47388FA0" w14:textId="77777777" w:rsidR="00C72315" w:rsidRDefault="00C72315"/>
    <w:p w14:paraId="5FEABE6C" w14:textId="77777777" w:rsidR="00C72315" w:rsidRDefault="006B62C5">
      <w:r>
        <w:rPr>
          <w:noProof/>
        </w:rPr>
        <w:drawing>
          <wp:inline distT="114300" distB="114300" distL="114300" distR="114300" wp14:anchorId="527087D5" wp14:editId="4217E187">
            <wp:extent cx="5591175" cy="6010275"/>
            <wp:effectExtent l="0" t="0" r="0" b="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591175" cy="6010275"/>
                    </a:xfrm>
                    <a:prstGeom prst="rect">
                      <a:avLst/>
                    </a:prstGeom>
                    <a:ln/>
                  </pic:spPr>
                </pic:pic>
              </a:graphicData>
            </a:graphic>
          </wp:inline>
        </w:drawing>
      </w:r>
    </w:p>
    <w:p w14:paraId="4B981225" w14:textId="77777777" w:rsidR="00C72315" w:rsidRDefault="006B62C5">
      <w:pPr>
        <w:jc w:val="center"/>
      </w:pPr>
      <w:r>
        <w:t>Figure 3: PRISMA Chart</w:t>
      </w:r>
    </w:p>
    <w:p w14:paraId="23FCF846" w14:textId="77777777" w:rsidR="00C72315" w:rsidRDefault="006B62C5">
      <w:pPr>
        <w:jc w:val="center"/>
      </w:pPr>
      <w:r>
        <w:t>(Source: Self-developed)</w:t>
      </w:r>
    </w:p>
    <w:p w14:paraId="3ACD5F4F" w14:textId="77777777" w:rsidR="00C72315" w:rsidRDefault="00C72315"/>
    <w:p w14:paraId="73CE3748" w14:textId="77777777" w:rsidR="00C72315" w:rsidRDefault="006B62C5">
      <w:r>
        <w:rPr>
          <w:b/>
          <w:i/>
        </w:rPr>
        <w:t>Key search strings</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C72315" w14:paraId="2E7E94C3" w14:textId="77777777">
        <w:tc>
          <w:tcPr>
            <w:tcW w:w="9029" w:type="dxa"/>
            <w:shd w:val="clear" w:color="auto" w:fill="auto"/>
            <w:tcMar>
              <w:top w:w="100" w:type="dxa"/>
              <w:left w:w="100" w:type="dxa"/>
              <w:bottom w:w="100" w:type="dxa"/>
              <w:right w:w="100" w:type="dxa"/>
            </w:tcMar>
          </w:tcPr>
          <w:p w14:paraId="492BC057" w14:textId="77777777" w:rsidR="00C72315" w:rsidRDefault="006B62C5">
            <w:pPr>
              <w:widowControl w:val="0"/>
              <w:pBdr>
                <w:top w:val="nil"/>
                <w:left w:val="nil"/>
                <w:bottom w:val="nil"/>
                <w:right w:val="nil"/>
                <w:between w:val="nil"/>
              </w:pBdr>
            </w:pPr>
            <w:r>
              <w:t>“Employee wellness programs”, “productive and healthy work environment”, “positive workplace health atmosphere”, “mindfulness interventions”, “employees’ social, mental, and physical well-being”, “The significance of wellness”, “mental well-being and work satisfaction”, “training and development”, “health-promoting lifestyles”, “engagement of employees with the wellness program”, “Factors impacting the engagement of employees”, “Challenges or barriers obstructing the successful implementation of wellness pr</w:t>
            </w:r>
            <w:r>
              <w:t>ograms”, “Relationship between different factors” and “employee welfare program participation”.</w:t>
            </w:r>
          </w:p>
        </w:tc>
      </w:tr>
    </w:tbl>
    <w:p w14:paraId="491DB76F" w14:textId="77777777" w:rsidR="00C72315" w:rsidRDefault="006B62C5">
      <w:pPr>
        <w:pStyle w:val="Heading2"/>
        <w:spacing w:before="0" w:after="0"/>
      </w:pPr>
      <w:bookmarkStart w:id="33" w:name="_heading=h.3rdcrjn" w:colFirst="0" w:colLast="0"/>
      <w:bookmarkEnd w:id="33"/>
      <w:r>
        <w:t>3.8 Data Analysis</w:t>
      </w:r>
    </w:p>
    <w:p w14:paraId="1412F8D1" w14:textId="77777777" w:rsidR="00C72315" w:rsidRDefault="006B62C5">
      <w:r>
        <w:t xml:space="preserve">It can be vital to determine how to conduct qualitative analysis which can be often challenging due to limited approaches. Due to diverse and vast qualitative analytics, researchers use qualitative research to support a deep and nuanced understanding of phenomena under investigation and provide detailed descriptions of given problems (Lester </w:t>
      </w:r>
      <w:r>
        <w:rPr>
          <w:i/>
        </w:rPr>
        <w:t>et al.,</w:t>
      </w:r>
      <w:r>
        <w:t xml:space="preserve"> 2020). This enables investigators to gain insights into the context related to the subjective qualitative nature. The researcher will use the analysis techniques of qualitative data through thematic analysis to investigate and uncover emerging themes, patterns and meanings emerging from the analysis in organisation performance research from secondary data regarding employee involvement in the program. Secondary data analysis with qualitative data usually receives criticism. Using secondary data anal</w:t>
      </w:r>
      <w:r>
        <w:t>ysis in literature and qualitative data sets focuses on potential methodological and ethical problems (Ruggiano and Perry, 2019). However secondary data analysis allows answers to new research questions sharing data through new knowledge and implementing additional data collection to maximise large-scale studies.</w:t>
      </w:r>
    </w:p>
    <w:p w14:paraId="36E01516" w14:textId="77777777" w:rsidR="00C72315" w:rsidRDefault="00C72315"/>
    <w:p w14:paraId="4D95B872" w14:textId="77777777" w:rsidR="00C72315" w:rsidRDefault="006B62C5">
      <w:r>
        <w:t>Thematic analysis is implemented due to the power and flexibility of analysing qualitative data applicable to different orientations and paradigms. This will allow extracting data and actively constructing patterns or themes from the data set to address the research question instead of creating a summary and can be implemented with deductive or inductive approaches (</w:t>
      </w:r>
      <w:r>
        <w:rPr>
          <w:color w:val="222222"/>
          <w:highlight w:val="white"/>
        </w:rPr>
        <w:t>Kiger and Varpio, 2020</w:t>
      </w:r>
      <w:r>
        <w:t>). Thematic analysis is a qualitative method for analysing, interpreting and identifying patterns or things and is a common qualitative method/technique which is not bounded by theoretical commitments (Clarke and Braun, 2017). Thematic analysis is realistic and essential which can be applied across different theoretical frameworks and paradigms with favourable approaches given by qualitative researchers.</w:t>
      </w:r>
    </w:p>
    <w:p w14:paraId="03D1C3E3" w14:textId="77777777" w:rsidR="00C72315" w:rsidRDefault="006B62C5">
      <w:pPr>
        <w:pStyle w:val="Heading2"/>
        <w:spacing w:before="0" w:after="0"/>
      </w:pPr>
      <w:bookmarkStart w:id="34" w:name="_heading=h.26in1rg" w:colFirst="0" w:colLast="0"/>
      <w:bookmarkEnd w:id="34"/>
      <w:r>
        <w:t>3.9 Ethical considerations</w:t>
      </w:r>
    </w:p>
    <w:p w14:paraId="2154801B" w14:textId="77777777" w:rsidR="00C72315" w:rsidRDefault="006B62C5">
      <w:pPr>
        <w:rPr>
          <w:b/>
        </w:rPr>
      </w:pPr>
      <w:r>
        <w:t>The researcher must ensure to follow ethical guidelines as mandated by the institution. It is necessary to avoid copying or plagiarism by correctly citing every reference used. They must pay attention to referencing every original data source used in the study. It is vital to appropriately represent the main findings, arguments and ideas deriving from other research and give credit where appropriate.  It will be important to ensure data integrity and data diversity without biases. This will be important for</w:t>
      </w:r>
      <w:r>
        <w:t xml:space="preserve"> supporting the trustworthiness, rigour, reliability and validity of research findings from secondary data analysed.</w:t>
      </w:r>
    </w:p>
    <w:p w14:paraId="41C35ED4" w14:textId="77777777" w:rsidR="00C72315" w:rsidRDefault="006B62C5">
      <w:pPr>
        <w:pStyle w:val="Heading2"/>
        <w:spacing w:before="0" w:after="0"/>
      </w:pPr>
      <w:bookmarkStart w:id="35" w:name="_heading=h.lnxbz9" w:colFirst="0" w:colLast="0"/>
      <w:bookmarkEnd w:id="35"/>
      <w:r>
        <w:t>3.10 Validity and reliability</w:t>
      </w:r>
    </w:p>
    <w:p w14:paraId="7F19CEBE" w14:textId="77777777" w:rsidR="00C72315" w:rsidRDefault="006B62C5">
      <w:pPr>
        <w:rPr>
          <w:b/>
        </w:rPr>
      </w:pPr>
      <w:r>
        <w:t>There are often issues of trustworthiness in qualitative studies that require focusing on techniques to ensure validity and reliability to maintain overall trustworthiness in qualitative studies. Ensuring trustworthiness will allow systematic rigour in the study, the credibility of the investigator, believability of research outcomes and demonstrate credible studies (Rose and Johnson, 2020). Moreover, reliability and validity through subjectivity and reflexivity can be significant and qualitative research a</w:t>
      </w:r>
      <w:r>
        <w:t>nd reduce bias through experiences and positions in research outcomes. Triangulation will be important for recognising multiplicity in different references, maintaining the best accurate description and presentation of context and clearly locating the phenomena. Maintaining qualities of case study research to ensure rich insights for the context-specific phenomenon is recommended to maintain triangulation as a good practice for offering validity of findings methods or sources. Triangulation of interpretatio</w:t>
      </w:r>
      <w:r>
        <w:t xml:space="preserve">n will allow for maintaining consistency with a case study in naturalistic settings and allows one to interpret while allowing to reappraise them (Farquhar </w:t>
      </w:r>
      <w:r>
        <w:rPr>
          <w:i/>
        </w:rPr>
        <w:t>et al.,</w:t>
      </w:r>
      <w:r>
        <w:t xml:space="preserve"> 2020).</w:t>
      </w:r>
    </w:p>
    <w:p w14:paraId="1C1D4629" w14:textId="77777777" w:rsidR="00C72315" w:rsidRDefault="006B62C5">
      <w:pPr>
        <w:pStyle w:val="Heading2"/>
        <w:spacing w:before="0" w:after="0"/>
      </w:pPr>
      <w:bookmarkStart w:id="36" w:name="_heading=h.35nkun2" w:colFirst="0" w:colLast="0"/>
      <w:bookmarkEnd w:id="36"/>
      <w:r>
        <w:t xml:space="preserve">3.11 Summary </w:t>
      </w:r>
    </w:p>
    <w:p w14:paraId="2A196564" w14:textId="77777777" w:rsidR="00C72315" w:rsidRDefault="006B62C5">
      <w:r>
        <w:t>This chapter outlines a systematic approach for examining the research based on the research objectives. The integration of a deductive approach is aligned with positivism, through a descriptive qualitative design to investigate the core issues. The researcher uses a case study strategy in this study.  Through the selection of qualitative research methods, secondary data collection from different databases and ethical considerations are maintained while following the research onion model. In the next chapte</w:t>
      </w:r>
      <w:r>
        <w:t xml:space="preserve">r, the researcher will collect data to interpret, analyse and discuss the findings based on the identified research questions. </w:t>
      </w:r>
    </w:p>
    <w:p w14:paraId="2B5386A5" w14:textId="77777777" w:rsidR="00C72315" w:rsidRDefault="006B62C5">
      <w:r>
        <w:br w:type="page"/>
      </w:r>
    </w:p>
    <w:p w14:paraId="3E612F33" w14:textId="77777777" w:rsidR="00C72315" w:rsidRDefault="006B62C5">
      <w:pPr>
        <w:pStyle w:val="Heading1"/>
        <w:jc w:val="center"/>
        <w:rPr>
          <w:sz w:val="36"/>
          <w:szCs w:val="36"/>
          <w:u w:val="single"/>
        </w:rPr>
      </w:pPr>
      <w:bookmarkStart w:id="37" w:name="_heading=h.yvie6dtjoa9w" w:colFirst="0" w:colLast="0"/>
      <w:bookmarkEnd w:id="37"/>
      <w:r>
        <w:rPr>
          <w:sz w:val="36"/>
          <w:szCs w:val="36"/>
          <w:u w:val="single"/>
        </w:rPr>
        <w:t>CHAPTER 4: DATA ANALYSIS</w:t>
      </w:r>
    </w:p>
    <w:p w14:paraId="315C8767" w14:textId="77777777" w:rsidR="00C72315" w:rsidRDefault="006B62C5">
      <w:pPr>
        <w:pStyle w:val="Heading2"/>
        <w:spacing w:before="0" w:after="0"/>
      </w:pPr>
      <w:bookmarkStart w:id="38" w:name="_heading=h.pnbkaxerq4ni" w:colFirst="0" w:colLast="0"/>
      <w:bookmarkEnd w:id="38"/>
      <w:r>
        <w:t>4.1 Introduction</w:t>
      </w:r>
    </w:p>
    <w:p w14:paraId="45C34605" w14:textId="77777777" w:rsidR="00C72315" w:rsidRDefault="006B62C5">
      <w:r>
        <w:t xml:space="preserve">The study encapsulates that Chapter 4 examines the analysis of data extracted from various articles related to the effectiveness of employee </w:t>
      </w:r>
      <w:r>
        <w:t>wellness programs in fostering a productive and healthy work environment as well as the employee wellness programs have become increasingly popular among organisations as a means to enhance employee well-being, job satisfaction, and overall productivity alongside these programs often include a variety of initiatives such as health screenings, fitness programs, mental health support and stress management resource as well as the importance of employee wellness programs is underscored by the growing recognitio</w:t>
      </w:r>
      <w:r>
        <w:t>n of the impact of employee well-being on organisational success. On the reverse side, a healthy and engaged workforce is more likely to be productive, innovative, and resilient in the face of challenges as well as a wellness program that ought to help reduce healthcare costs, absenteeism, and turnover rates thereby providing tangible benefits to organisations as well as the effectiveness of employee wellness programs in achieving their intended objectives is a topic of ongoing interest and debate while man</w:t>
      </w:r>
      <w:r>
        <w:t>y organisations invest significant resources in implementing these programs as well there is a lack of comprehensive research that systematically evaluates their impact on various aspects of workplace productivity and well-being respectively. In a precise manner, the chapter seeks to address this gap by analysing the findings of relevant studies to determine the effectiveness and potency of employee wellness programs in nurturing a healthy and productive work environment as well as by understanding the fact</w:t>
      </w:r>
      <w:r>
        <w:t>ors that contribute to the success of employee wellness programs that organisations ought to make more informed decisions about program design and resource allocation ultimately leading to improved employee outcomes and organisational performance as well as the analysis presented in this chapter aims to provide valuable insights that ought to help organisations enhance the effectiveness of their employee wellness programs and create a more supportive and conducive work environment for their employees respec</w:t>
      </w:r>
      <w:r>
        <w:t>tively.</w:t>
      </w:r>
    </w:p>
    <w:p w14:paraId="6F621238" w14:textId="77777777" w:rsidR="00C72315" w:rsidRDefault="006B62C5">
      <w:pPr>
        <w:pStyle w:val="Heading2"/>
        <w:spacing w:before="0" w:after="0" w:line="240" w:lineRule="auto"/>
      </w:pPr>
      <w:bookmarkStart w:id="39" w:name="_heading=h.6mb3qo4yiqib" w:colFirst="0" w:colLast="0"/>
      <w:bookmarkEnd w:id="39"/>
      <w:r>
        <w:t>4.2 Data extraction table</w:t>
      </w:r>
    </w:p>
    <w:p w14:paraId="2061D778" w14:textId="77777777" w:rsidR="00C72315" w:rsidRDefault="00C72315">
      <w:pPr>
        <w:spacing w:line="240" w:lineRule="auto"/>
      </w:pPr>
    </w:p>
    <w:tbl>
      <w:tblPr>
        <w:tblStyle w:val="a5"/>
        <w:tblW w:w="9025" w:type="dxa"/>
        <w:tblBorders>
          <w:top w:val="nil"/>
          <w:left w:val="nil"/>
          <w:bottom w:val="nil"/>
          <w:right w:val="nil"/>
          <w:insideH w:val="nil"/>
          <w:insideV w:val="nil"/>
        </w:tblBorders>
        <w:tblLayout w:type="fixed"/>
        <w:tblLook w:val="0600" w:firstRow="0" w:lastRow="0" w:firstColumn="0" w:lastColumn="0" w:noHBand="1" w:noVBand="1"/>
      </w:tblPr>
      <w:tblGrid>
        <w:gridCol w:w="852"/>
        <w:gridCol w:w="1619"/>
        <w:gridCol w:w="772"/>
        <w:gridCol w:w="3213"/>
        <w:gridCol w:w="2569"/>
      </w:tblGrid>
      <w:tr w:rsidR="00C72315" w14:paraId="19602741" w14:textId="77777777">
        <w:trPr>
          <w:trHeight w:val="695"/>
        </w:trPr>
        <w:tc>
          <w:tcPr>
            <w:tcW w:w="852"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vAlign w:val="bottom"/>
          </w:tcPr>
          <w:p w14:paraId="6493EA70" w14:textId="77777777" w:rsidR="00C72315" w:rsidRDefault="006B62C5">
            <w:pPr>
              <w:spacing w:line="240" w:lineRule="auto"/>
              <w:jc w:val="center"/>
            </w:pPr>
            <w:r>
              <w:rPr>
                <w:b/>
              </w:rPr>
              <w:t>Index</w:t>
            </w:r>
          </w:p>
        </w:tc>
        <w:tc>
          <w:tcPr>
            <w:tcW w:w="1619" w:type="dxa"/>
            <w:tcBorders>
              <w:top w:val="single" w:sz="4" w:space="0" w:color="000000"/>
              <w:left w:val="single" w:sz="4" w:space="0" w:color="000000"/>
              <w:bottom w:val="single" w:sz="4" w:space="0" w:color="000000"/>
              <w:right w:val="single" w:sz="4" w:space="0" w:color="000000"/>
            </w:tcBorders>
            <w:shd w:val="clear" w:color="auto" w:fill="00FFFF"/>
            <w:tcMar>
              <w:top w:w="100" w:type="dxa"/>
              <w:left w:w="100" w:type="dxa"/>
              <w:bottom w:w="100" w:type="dxa"/>
              <w:right w:w="100" w:type="dxa"/>
            </w:tcMar>
            <w:vAlign w:val="bottom"/>
          </w:tcPr>
          <w:p w14:paraId="1995AE58" w14:textId="77777777" w:rsidR="00C72315" w:rsidRDefault="006B62C5">
            <w:pPr>
              <w:spacing w:line="240" w:lineRule="auto"/>
              <w:jc w:val="center"/>
            </w:pPr>
            <w:r>
              <w:rPr>
                <w:b/>
              </w:rPr>
              <w:t>Authors</w:t>
            </w:r>
          </w:p>
        </w:tc>
        <w:tc>
          <w:tcPr>
            <w:tcW w:w="772" w:type="dxa"/>
            <w:tcBorders>
              <w:top w:val="single" w:sz="4" w:space="0" w:color="000000"/>
              <w:left w:val="single" w:sz="4" w:space="0" w:color="000000"/>
              <w:bottom w:val="single" w:sz="4" w:space="0" w:color="000000"/>
              <w:right w:val="single" w:sz="4" w:space="0" w:color="000000"/>
            </w:tcBorders>
            <w:shd w:val="clear" w:color="auto" w:fill="FF00FF"/>
            <w:tcMar>
              <w:top w:w="100" w:type="dxa"/>
              <w:left w:w="100" w:type="dxa"/>
              <w:bottom w:w="100" w:type="dxa"/>
              <w:right w:w="100" w:type="dxa"/>
            </w:tcMar>
            <w:vAlign w:val="bottom"/>
          </w:tcPr>
          <w:p w14:paraId="1E4E2FC7" w14:textId="77777777" w:rsidR="00C72315" w:rsidRDefault="006B62C5">
            <w:pPr>
              <w:spacing w:line="240" w:lineRule="auto"/>
              <w:jc w:val="center"/>
            </w:pPr>
            <w:r>
              <w:rPr>
                <w:b/>
              </w:rPr>
              <w:t>Year</w:t>
            </w:r>
          </w:p>
        </w:tc>
        <w:tc>
          <w:tcPr>
            <w:tcW w:w="3213" w:type="dxa"/>
            <w:tcBorders>
              <w:top w:val="single" w:sz="4" w:space="0" w:color="000000"/>
              <w:left w:val="single" w:sz="4" w:space="0" w:color="000000"/>
              <w:bottom w:val="single" w:sz="4" w:space="0" w:color="000000"/>
              <w:right w:val="single" w:sz="4" w:space="0" w:color="000000"/>
            </w:tcBorders>
            <w:shd w:val="clear" w:color="auto" w:fill="00FF00"/>
            <w:tcMar>
              <w:top w:w="100" w:type="dxa"/>
              <w:left w:w="100" w:type="dxa"/>
              <w:bottom w:w="100" w:type="dxa"/>
              <w:right w:w="100" w:type="dxa"/>
            </w:tcMar>
            <w:vAlign w:val="bottom"/>
          </w:tcPr>
          <w:p w14:paraId="388B958C" w14:textId="77777777" w:rsidR="00C72315" w:rsidRDefault="006B62C5">
            <w:pPr>
              <w:spacing w:line="240" w:lineRule="auto"/>
              <w:jc w:val="center"/>
            </w:pPr>
            <w:r>
              <w:rPr>
                <w:b/>
              </w:rPr>
              <w:t>Title</w:t>
            </w:r>
          </w:p>
        </w:tc>
        <w:tc>
          <w:tcPr>
            <w:tcW w:w="2569" w:type="dxa"/>
            <w:tcBorders>
              <w:top w:val="single" w:sz="4" w:space="0" w:color="000000"/>
              <w:left w:val="single" w:sz="4" w:space="0" w:color="000000"/>
              <w:bottom w:val="single" w:sz="4" w:space="0" w:color="000000"/>
              <w:right w:val="single" w:sz="4" w:space="0" w:color="000000"/>
            </w:tcBorders>
            <w:shd w:val="clear" w:color="auto" w:fill="4A86E8"/>
            <w:tcMar>
              <w:top w:w="100" w:type="dxa"/>
              <w:left w:w="100" w:type="dxa"/>
              <w:bottom w:w="100" w:type="dxa"/>
              <w:right w:w="100" w:type="dxa"/>
            </w:tcMar>
            <w:vAlign w:val="bottom"/>
          </w:tcPr>
          <w:p w14:paraId="5DF4F4CC" w14:textId="77777777" w:rsidR="00C72315" w:rsidRDefault="006B62C5">
            <w:pPr>
              <w:spacing w:line="240" w:lineRule="auto"/>
              <w:jc w:val="center"/>
            </w:pPr>
            <w:r>
              <w:rPr>
                <w:b/>
              </w:rPr>
              <w:t>Key Themes or Keywords</w:t>
            </w:r>
          </w:p>
        </w:tc>
      </w:tr>
      <w:tr w:rsidR="00C72315" w14:paraId="269E7704" w14:textId="77777777">
        <w:trPr>
          <w:trHeight w:val="213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8CEA6BB" w14:textId="77777777" w:rsidR="00C72315" w:rsidRDefault="006B62C5">
            <w:pPr>
              <w:spacing w:line="240" w:lineRule="auto"/>
              <w:jc w:val="center"/>
              <w:rPr>
                <w:i/>
              </w:rPr>
            </w:pPr>
            <w:r>
              <w:rPr>
                <w:i/>
              </w:rPr>
              <w:t>1</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4ADF1DAA" w14:textId="77777777" w:rsidR="00C72315" w:rsidRDefault="006B62C5">
            <w:pPr>
              <w:spacing w:line="240" w:lineRule="auto"/>
              <w:jc w:val="center"/>
              <w:rPr>
                <w:i/>
              </w:rPr>
            </w:pPr>
            <w:r>
              <w:rPr>
                <w:i/>
              </w:rPr>
              <w:t>Teo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C81D267"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B71BCD8" w14:textId="77777777" w:rsidR="00C72315" w:rsidRDefault="006B62C5">
            <w:pPr>
              <w:spacing w:line="240" w:lineRule="auto"/>
              <w:rPr>
                <w:i/>
              </w:rPr>
            </w:pPr>
            <w:r>
              <w:rPr>
                <w:i/>
              </w:rPr>
              <w:t xml:space="preserve">Psychosocial work environment, work engagement, and employee commitment: A moderated, mediation model. International Journal of Hospitality </w:t>
            </w:r>
            <w:r>
              <w:rPr>
                <w:i/>
              </w:rPr>
              <w:t>Management</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56674DF" w14:textId="77777777" w:rsidR="00C72315" w:rsidRDefault="006B62C5">
            <w:pPr>
              <w:spacing w:line="240" w:lineRule="auto"/>
              <w:rPr>
                <w:i/>
              </w:rPr>
            </w:pPr>
            <w:r>
              <w:rPr>
                <w:i/>
              </w:rPr>
              <w:t>Work environment, Employee engagement, Employee commitment, Job satisfaction, Turnover intention, Hotel industry</w:t>
            </w:r>
          </w:p>
        </w:tc>
      </w:tr>
      <w:tr w:rsidR="00C72315" w14:paraId="397FDB27" w14:textId="77777777">
        <w:trPr>
          <w:trHeight w:val="213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8488C6D" w14:textId="77777777" w:rsidR="00C72315" w:rsidRDefault="006B62C5">
            <w:pPr>
              <w:spacing w:line="240" w:lineRule="auto"/>
              <w:jc w:val="center"/>
              <w:rPr>
                <w:i/>
              </w:rPr>
            </w:pPr>
            <w:r>
              <w:rPr>
                <w:i/>
              </w:rPr>
              <w:t>2</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023FFF61" w14:textId="77777777" w:rsidR="00C72315" w:rsidRDefault="006B62C5">
            <w:pPr>
              <w:spacing w:line="240" w:lineRule="auto"/>
              <w:jc w:val="center"/>
              <w:rPr>
                <w:i/>
              </w:rPr>
            </w:pPr>
            <w:r>
              <w:rPr>
                <w:i/>
              </w:rPr>
              <w:t>Esthi and Setiawan</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C34CE2E" w14:textId="77777777" w:rsidR="00C72315" w:rsidRDefault="006B62C5">
            <w:pPr>
              <w:spacing w:line="240" w:lineRule="auto"/>
              <w:rPr>
                <w:b/>
                <w:i/>
              </w:rPr>
            </w:pPr>
            <w:r>
              <w:rPr>
                <w:b/>
                <w:i/>
              </w:rPr>
              <w:t>2023</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0D69F6B" w14:textId="77777777" w:rsidR="00C72315" w:rsidRDefault="006B62C5">
            <w:pPr>
              <w:spacing w:line="240" w:lineRule="auto"/>
              <w:rPr>
                <w:i/>
              </w:rPr>
            </w:pPr>
            <w:r>
              <w:rPr>
                <w:i/>
              </w:rPr>
              <w:t xml:space="preserve">Green human resources management of the small and micro-enterprises in Indonesia. Enrichment: </w:t>
            </w:r>
            <w:r>
              <w:rPr>
                <w:i/>
              </w:rPr>
              <w:t>Journal of Management</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04AE9B13" w14:textId="77777777" w:rsidR="00C72315" w:rsidRDefault="006B62C5">
            <w:pPr>
              <w:spacing w:line="240" w:lineRule="auto"/>
              <w:rPr>
                <w:i/>
              </w:rPr>
            </w:pPr>
            <w:r>
              <w:rPr>
                <w:i/>
              </w:rPr>
              <w:t>This research article discusses Green Human Resources Management (GHRM) practices in small and micro-enterprises (SMEs) in Indonesia, emphasizing the integration of environmental sustainability into HR practices. It stresses the importance of aligning company goals with environmental concerns and creating a corporate environment that supports environmental well-being.</w:t>
            </w:r>
          </w:p>
        </w:tc>
      </w:tr>
      <w:tr w:rsidR="00C72315" w14:paraId="7FB50440" w14:textId="77777777">
        <w:trPr>
          <w:trHeight w:val="4508"/>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9074A4C" w14:textId="77777777" w:rsidR="00C72315" w:rsidRDefault="006B62C5">
            <w:pPr>
              <w:spacing w:line="240" w:lineRule="auto"/>
              <w:jc w:val="center"/>
              <w:rPr>
                <w:i/>
              </w:rPr>
            </w:pPr>
            <w:r>
              <w:rPr>
                <w:i/>
              </w:rPr>
              <w:t>3</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7BA2B5D" w14:textId="77777777" w:rsidR="00C72315" w:rsidRDefault="006B62C5">
            <w:pPr>
              <w:spacing w:line="240" w:lineRule="auto"/>
              <w:jc w:val="center"/>
              <w:rPr>
                <w:i/>
              </w:rPr>
            </w:pPr>
            <w:r>
              <w:rPr>
                <w:i/>
              </w:rPr>
              <w:t>Rahmadani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C1E5BE3"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3B7E9C9" w14:textId="77777777" w:rsidR="00C72315" w:rsidRDefault="006B62C5">
            <w:pPr>
              <w:spacing w:line="240" w:lineRule="auto"/>
              <w:rPr>
                <w:i/>
              </w:rPr>
            </w:pPr>
            <w:r>
              <w:rPr>
                <w:i/>
              </w:rPr>
              <w:t>Engaging leadership and its implication for work engagement and job outcomes at the individual and team level: A multi-level longitudinal study. International journal of environmental research and public health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1908116" w14:textId="77777777" w:rsidR="00C72315" w:rsidRDefault="006B62C5">
            <w:pPr>
              <w:spacing w:line="240" w:lineRule="auto"/>
              <w:rPr>
                <w:i/>
              </w:rPr>
            </w:pPr>
            <w:r>
              <w:rPr>
                <w:i/>
              </w:rPr>
              <w:t>This study explores the impact of engaging leadership on work engagement and job outcomes at the individual and team levels. It emphasizes the positive effects of engaging leadership on work engagement and job outcomes, highlighting the importance of leadership in creating a positive work environment and enhancing employee well-being and performance.</w:t>
            </w:r>
          </w:p>
        </w:tc>
      </w:tr>
      <w:tr w:rsidR="00C72315" w14:paraId="14A1795A" w14:textId="77777777">
        <w:trPr>
          <w:trHeight w:val="105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E711498" w14:textId="77777777" w:rsidR="00C72315" w:rsidRDefault="006B62C5">
            <w:pPr>
              <w:spacing w:line="240" w:lineRule="auto"/>
              <w:jc w:val="center"/>
              <w:rPr>
                <w:i/>
              </w:rPr>
            </w:pPr>
            <w:r>
              <w:rPr>
                <w:i/>
              </w:rPr>
              <w:t>4</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332FE31C" w14:textId="77777777" w:rsidR="00C72315" w:rsidRDefault="006B62C5">
            <w:pPr>
              <w:spacing w:line="240" w:lineRule="auto"/>
              <w:jc w:val="center"/>
              <w:rPr>
                <w:i/>
              </w:rPr>
            </w:pPr>
            <w:r>
              <w:rPr>
                <w:i/>
              </w:rPr>
              <w:t>Kuknor and Bhattacharya</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F28857C"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095B77E" w14:textId="77777777" w:rsidR="00C72315" w:rsidRDefault="006B62C5">
            <w:pPr>
              <w:spacing w:line="240" w:lineRule="auto"/>
              <w:rPr>
                <w:i/>
              </w:rPr>
            </w:pPr>
            <w:r>
              <w:rPr>
                <w:i/>
              </w:rPr>
              <w:t>Inclusive leadership: new age leadership to foster organizational inclusion. European Journal of Training and Development</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AAD479E" w14:textId="77777777" w:rsidR="00C72315" w:rsidRDefault="006B62C5">
            <w:pPr>
              <w:spacing w:line="240" w:lineRule="auto"/>
              <w:rPr>
                <w:i/>
              </w:rPr>
            </w:pPr>
            <w:r>
              <w:rPr>
                <w:i/>
              </w:rPr>
              <w:t>Inclusive leadership, Organizational inclusion, Human resources development (HRD)</w:t>
            </w:r>
          </w:p>
        </w:tc>
      </w:tr>
      <w:tr w:rsidR="00C72315" w14:paraId="106670D6" w14:textId="77777777">
        <w:trPr>
          <w:trHeight w:val="177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1B93C54" w14:textId="77777777" w:rsidR="00C72315" w:rsidRDefault="006B62C5">
            <w:pPr>
              <w:spacing w:line="240" w:lineRule="auto"/>
              <w:jc w:val="center"/>
              <w:rPr>
                <w:i/>
              </w:rPr>
            </w:pPr>
            <w:r>
              <w:rPr>
                <w:i/>
              </w:rPr>
              <w:t>5</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0A4C12B3" w14:textId="77777777" w:rsidR="00C72315" w:rsidRDefault="006B62C5">
            <w:pPr>
              <w:spacing w:line="240" w:lineRule="auto"/>
              <w:jc w:val="center"/>
              <w:rPr>
                <w:i/>
              </w:rPr>
            </w:pPr>
            <w:r>
              <w:rPr>
                <w:i/>
              </w:rPr>
              <w:t>Olaniyan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37608A3"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236241E" w14:textId="77777777" w:rsidR="00C72315" w:rsidRDefault="006B62C5">
            <w:pPr>
              <w:spacing w:line="240" w:lineRule="auto"/>
              <w:rPr>
                <w:i/>
              </w:rPr>
            </w:pPr>
            <w:r>
              <w:rPr>
                <w:i/>
              </w:rPr>
              <w:t>Lean on me: A scoping review of the essence of workplace support among child welfare workers. Frontiers in Psychology</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21450A3" w14:textId="77777777" w:rsidR="00C72315" w:rsidRDefault="006B62C5">
            <w:pPr>
              <w:spacing w:line="240" w:lineRule="auto"/>
              <w:rPr>
                <w:i/>
              </w:rPr>
            </w:pPr>
            <w:r>
              <w:rPr>
                <w:i/>
              </w:rPr>
              <w:t xml:space="preserve">Workplace support, Child </w:t>
            </w:r>
            <w:r>
              <w:rPr>
                <w:i/>
              </w:rPr>
              <w:t>welfare workers, Well-being, Job performance</w:t>
            </w:r>
          </w:p>
        </w:tc>
      </w:tr>
      <w:tr w:rsidR="00C72315" w14:paraId="05575A07" w14:textId="77777777">
        <w:trPr>
          <w:trHeight w:val="165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5037046" w14:textId="77777777" w:rsidR="00C72315" w:rsidRDefault="006B62C5">
            <w:pPr>
              <w:spacing w:line="240" w:lineRule="auto"/>
              <w:jc w:val="center"/>
              <w:rPr>
                <w:i/>
              </w:rPr>
            </w:pPr>
            <w:r>
              <w:rPr>
                <w:i/>
              </w:rPr>
              <w:t>6</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FF6FF8D" w14:textId="77777777" w:rsidR="00C72315" w:rsidRDefault="006B62C5">
            <w:pPr>
              <w:spacing w:line="240" w:lineRule="auto"/>
              <w:jc w:val="center"/>
              <w:rPr>
                <w:i/>
              </w:rPr>
            </w:pPr>
            <w:r>
              <w:rPr>
                <w:i/>
              </w:rPr>
              <w:t>Molino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1B6A10F"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64D9850" w14:textId="77777777" w:rsidR="00C72315" w:rsidRDefault="006B62C5">
            <w:pPr>
              <w:spacing w:line="240" w:lineRule="auto"/>
              <w:rPr>
                <w:i/>
              </w:rPr>
            </w:pPr>
            <w:r>
              <w:rPr>
                <w:i/>
              </w:rPr>
              <w:t xml:space="preserve">The promotion of technology acceptance and work engagement in industry 4.0: From personal resources to information and training. International journal of environmental research and </w:t>
            </w:r>
            <w:r>
              <w:rPr>
                <w:i/>
              </w:rPr>
              <w:t>public health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9D90311" w14:textId="77777777" w:rsidR="00C72315" w:rsidRDefault="006B62C5">
            <w:pPr>
              <w:spacing w:line="240" w:lineRule="auto"/>
              <w:rPr>
                <w:i/>
              </w:rPr>
            </w:pPr>
            <w:r>
              <w:rPr>
                <w:i/>
              </w:rPr>
              <w:t>Technology acceptance, Work engagement, Industry 4.0, Personal resources, Information, Training</w:t>
            </w:r>
          </w:p>
        </w:tc>
      </w:tr>
      <w:tr w:rsidR="00C72315" w14:paraId="219BFD71" w14:textId="77777777">
        <w:trPr>
          <w:trHeight w:val="157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3257086" w14:textId="77777777" w:rsidR="00C72315" w:rsidRDefault="006B62C5">
            <w:pPr>
              <w:spacing w:line="240" w:lineRule="auto"/>
              <w:jc w:val="center"/>
              <w:rPr>
                <w:i/>
              </w:rPr>
            </w:pPr>
            <w:r>
              <w:rPr>
                <w:i/>
              </w:rPr>
              <w:t>7</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4E5A7E13" w14:textId="77777777" w:rsidR="00C72315" w:rsidRDefault="006B62C5">
            <w:pPr>
              <w:spacing w:line="240" w:lineRule="auto"/>
              <w:jc w:val="center"/>
              <w:rPr>
                <w:i/>
              </w:rPr>
            </w:pPr>
            <w:r>
              <w:rPr>
                <w:i/>
              </w:rPr>
              <w:t>AlHamad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0A37DFE"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B2530A6" w14:textId="77777777" w:rsidR="00C72315" w:rsidRDefault="006B62C5">
            <w:pPr>
              <w:spacing w:line="240" w:lineRule="auto"/>
              <w:rPr>
                <w:i/>
              </w:rPr>
            </w:pPr>
            <w:r>
              <w:rPr>
                <w:i/>
              </w:rPr>
              <w:t>The effect of electronic human resources management on organizational</w:t>
            </w:r>
            <w:r>
              <w:rPr>
                <w:i/>
              </w:rPr>
              <w:t xml:space="preserve"> health of telecommunications companies in Jordan. International Journal of Data and Network Science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CC80CB2" w14:textId="77777777" w:rsidR="00C72315" w:rsidRDefault="006B62C5">
            <w:pPr>
              <w:spacing w:line="240" w:lineRule="auto"/>
              <w:rPr>
                <w:i/>
              </w:rPr>
            </w:pPr>
            <w:r>
              <w:rPr>
                <w:i/>
              </w:rPr>
              <w:t>Electronic HR management (e-HRM), Organizational health, Telecommunications companies</w:t>
            </w:r>
          </w:p>
        </w:tc>
      </w:tr>
      <w:tr w:rsidR="00C72315" w14:paraId="488AACFE" w14:textId="77777777">
        <w:trPr>
          <w:trHeight w:val="174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856A200" w14:textId="77777777" w:rsidR="00C72315" w:rsidRDefault="006B62C5">
            <w:pPr>
              <w:spacing w:line="240" w:lineRule="auto"/>
              <w:jc w:val="center"/>
              <w:rPr>
                <w:i/>
              </w:rPr>
            </w:pPr>
            <w:r>
              <w:rPr>
                <w:i/>
              </w:rPr>
              <w:t>8</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E91E4EB" w14:textId="77777777" w:rsidR="00C72315" w:rsidRDefault="006B62C5">
            <w:pPr>
              <w:spacing w:line="240" w:lineRule="auto"/>
              <w:jc w:val="center"/>
              <w:rPr>
                <w:i/>
              </w:rPr>
            </w:pPr>
            <w:r>
              <w:rPr>
                <w:i/>
              </w:rPr>
              <w:t>Pozo-Rico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E07DC12"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E926A10" w14:textId="77777777" w:rsidR="00C72315" w:rsidRDefault="006B62C5">
            <w:pPr>
              <w:spacing w:line="240" w:lineRule="auto"/>
              <w:rPr>
                <w:i/>
              </w:rPr>
            </w:pPr>
            <w:r>
              <w:rPr>
                <w:i/>
              </w:rPr>
              <w:t xml:space="preserve">Teacher training can make a </w:t>
            </w:r>
            <w:r>
              <w:rPr>
                <w:i/>
              </w:rPr>
              <w:t>difference: tools to overcome the impact of COVID-19 on primary schools. An experimental study. International journal of environmental research and public health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1FBEB9C" w14:textId="77777777" w:rsidR="00C72315" w:rsidRDefault="006B62C5">
            <w:pPr>
              <w:spacing w:line="240" w:lineRule="auto"/>
              <w:rPr>
                <w:i/>
              </w:rPr>
            </w:pPr>
            <w:r>
              <w:rPr>
                <w:i/>
              </w:rPr>
              <w:t>Teacher training, COVID-19 impact, Primary schools, Job performance, Well-being</w:t>
            </w:r>
          </w:p>
        </w:tc>
      </w:tr>
      <w:tr w:rsidR="00C72315" w14:paraId="04389E34" w14:textId="77777777">
        <w:trPr>
          <w:trHeight w:val="54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B1B66A4" w14:textId="77777777" w:rsidR="00C72315" w:rsidRDefault="006B62C5">
            <w:pPr>
              <w:spacing w:line="240" w:lineRule="auto"/>
              <w:jc w:val="center"/>
              <w:rPr>
                <w:i/>
              </w:rPr>
            </w:pPr>
            <w:r>
              <w:rPr>
                <w:i/>
              </w:rPr>
              <w:t>9</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353D574D" w14:textId="77777777" w:rsidR="00C72315" w:rsidRDefault="006B62C5">
            <w:pPr>
              <w:spacing w:line="240" w:lineRule="auto"/>
              <w:jc w:val="center"/>
              <w:rPr>
                <w:i/>
              </w:rPr>
            </w:pPr>
            <w:r>
              <w:rPr>
                <w:i/>
              </w:rPr>
              <w:t xml:space="preserve">Berry et </w:t>
            </w:r>
            <w:r>
              <w:rPr>
                <w:i/>
              </w:rPr>
              <w:t>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D4B07E2"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27A1397" w14:textId="77777777" w:rsidR="00C72315" w:rsidRDefault="006B62C5">
            <w:pPr>
              <w:spacing w:line="240" w:lineRule="auto"/>
              <w:rPr>
                <w:i/>
              </w:rPr>
            </w:pPr>
            <w:r>
              <w:rPr>
                <w:i/>
              </w:rPr>
              <w:t>What's the hard return on employee wellness programs?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04E3AF4" w14:textId="77777777" w:rsidR="00C72315" w:rsidRDefault="006B62C5">
            <w:pPr>
              <w:spacing w:line="240" w:lineRule="auto"/>
              <w:rPr>
                <w:i/>
              </w:rPr>
            </w:pPr>
            <w:r>
              <w:rPr>
                <w:i/>
              </w:rPr>
              <w:t>Employee wellness programs, Financial benefits</w:t>
            </w:r>
          </w:p>
        </w:tc>
      </w:tr>
      <w:tr w:rsidR="00C72315" w14:paraId="3B889290" w14:textId="77777777">
        <w:trPr>
          <w:trHeight w:val="106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B19D23D" w14:textId="77777777" w:rsidR="00C72315" w:rsidRDefault="006B62C5">
            <w:pPr>
              <w:spacing w:line="240" w:lineRule="auto"/>
              <w:jc w:val="center"/>
              <w:rPr>
                <w:i/>
              </w:rPr>
            </w:pPr>
            <w:r>
              <w:rPr>
                <w:i/>
              </w:rPr>
              <w:t>10</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78A31B1D" w14:textId="77777777" w:rsidR="00C72315" w:rsidRDefault="006B62C5">
            <w:pPr>
              <w:spacing w:line="240" w:lineRule="auto"/>
              <w:jc w:val="center"/>
              <w:rPr>
                <w:i/>
              </w:rPr>
            </w:pPr>
            <w:r>
              <w:rPr>
                <w:i/>
              </w:rPr>
              <w:t>Weziak-Bialowolska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4542724"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B6E5071" w14:textId="77777777" w:rsidR="00C72315" w:rsidRDefault="006B62C5">
            <w:pPr>
              <w:spacing w:line="240" w:lineRule="auto"/>
              <w:rPr>
                <w:i/>
              </w:rPr>
            </w:pPr>
            <w:r>
              <w:rPr>
                <w:i/>
              </w:rPr>
              <w:t xml:space="preserve">Well-being in life and well-being at work: Which comes first? Evidence from a longitudinal study. </w:t>
            </w:r>
            <w:r>
              <w:rPr>
                <w:i/>
              </w:rPr>
              <w:t>Frontiers in public health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210DA03" w14:textId="77777777" w:rsidR="00C72315" w:rsidRDefault="006B62C5">
            <w:pPr>
              <w:spacing w:line="240" w:lineRule="auto"/>
              <w:rPr>
                <w:i/>
              </w:rPr>
            </w:pPr>
            <w:r>
              <w:rPr>
                <w:i/>
              </w:rPr>
              <w:t>Well-being, Life, Work, Longitudinal study</w:t>
            </w:r>
          </w:p>
        </w:tc>
      </w:tr>
      <w:tr w:rsidR="00C72315" w14:paraId="1365641C" w14:textId="77777777">
        <w:trPr>
          <w:trHeight w:val="136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16B6041" w14:textId="77777777" w:rsidR="00C72315" w:rsidRDefault="006B62C5">
            <w:pPr>
              <w:spacing w:line="240" w:lineRule="auto"/>
              <w:jc w:val="center"/>
              <w:rPr>
                <w:i/>
              </w:rPr>
            </w:pPr>
            <w:r>
              <w:rPr>
                <w:i/>
              </w:rPr>
              <w:t>11</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0F584B19" w14:textId="77777777" w:rsidR="00C72315" w:rsidRDefault="006B62C5">
            <w:pPr>
              <w:spacing w:line="240" w:lineRule="auto"/>
              <w:jc w:val="center"/>
              <w:rPr>
                <w:i/>
              </w:rPr>
            </w:pPr>
            <w:r>
              <w:rPr>
                <w:i/>
              </w:rPr>
              <w:t>López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945BB60"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332272F" w14:textId="77777777" w:rsidR="00C72315" w:rsidRDefault="006B62C5">
            <w:pPr>
              <w:spacing w:line="240" w:lineRule="auto"/>
              <w:rPr>
                <w:i/>
              </w:rPr>
            </w:pPr>
            <w:r>
              <w:rPr>
                <w:i/>
              </w:rPr>
              <w:t>An approach to employees’ job performance through work environmental variables and leadership behaviours. Journal of Business Research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0615F505" w14:textId="77777777" w:rsidR="00C72315" w:rsidRDefault="006B62C5">
            <w:pPr>
              <w:spacing w:line="240" w:lineRule="auto"/>
              <w:rPr>
                <w:i/>
              </w:rPr>
            </w:pPr>
            <w:r>
              <w:rPr>
                <w:i/>
              </w:rPr>
              <w:t xml:space="preserve">Work </w:t>
            </w:r>
            <w:r>
              <w:rPr>
                <w:i/>
              </w:rPr>
              <w:t>environmental variables, Leadership behaviours, Job performance</w:t>
            </w:r>
          </w:p>
        </w:tc>
      </w:tr>
      <w:tr w:rsidR="00C72315" w14:paraId="54AD3235" w14:textId="77777777">
        <w:trPr>
          <w:trHeight w:val="168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3BE4EDA" w14:textId="77777777" w:rsidR="00C72315" w:rsidRDefault="006B62C5">
            <w:pPr>
              <w:spacing w:line="240" w:lineRule="auto"/>
              <w:jc w:val="center"/>
              <w:rPr>
                <w:i/>
              </w:rPr>
            </w:pPr>
            <w:r>
              <w:rPr>
                <w:i/>
              </w:rPr>
              <w:t>12</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6E3E261" w14:textId="77777777" w:rsidR="00C72315" w:rsidRDefault="006B62C5">
            <w:pPr>
              <w:spacing w:line="240" w:lineRule="auto"/>
              <w:jc w:val="center"/>
              <w:rPr>
                <w:i/>
              </w:rPr>
            </w:pPr>
            <w:r>
              <w:rPr>
                <w:i/>
              </w:rPr>
              <w:t>Finstad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F706D45" w14:textId="77777777" w:rsidR="00C72315" w:rsidRDefault="006B62C5">
            <w:pPr>
              <w:spacing w:line="240" w:lineRule="auto"/>
              <w:rPr>
                <w:b/>
                <w:i/>
              </w:rPr>
            </w:pPr>
            <w:r>
              <w:rPr>
                <w:b/>
                <w:i/>
              </w:rPr>
              <w:t>2021</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71CB539" w14:textId="77777777" w:rsidR="00C72315" w:rsidRDefault="006B62C5">
            <w:pPr>
              <w:spacing w:line="240" w:lineRule="auto"/>
              <w:rPr>
                <w:i/>
              </w:rPr>
            </w:pPr>
            <w:r>
              <w:rPr>
                <w:i/>
              </w:rPr>
              <w:t>Resilience, coping strategies and posttraumatic</w:t>
            </w:r>
            <w:r>
              <w:rPr>
                <w:i/>
              </w:rPr>
              <w:t xml:space="preserve"> growth in the workplace following COVID-19: A narrative review on the positive aspects of trauma. International journal of environmental research and public health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3613EA5" w14:textId="77777777" w:rsidR="00C72315" w:rsidRDefault="006B62C5">
            <w:pPr>
              <w:spacing w:line="240" w:lineRule="auto"/>
              <w:rPr>
                <w:i/>
              </w:rPr>
            </w:pPr>
            <w:r>
              <w:rPr>
                <w:i/>
              </w:rPr>
              <w:t>Resilience, Coping strategies, Posttraumatic growth, COVID-19, Workplace</w:t>
            </w:r>
          </w:p>
        </w:tc>
      </w:tr>
      <w:tr w:rsidR="00C72315" w14:paraId="1701BF22" w14:textId="77777777">
        <w:trPr>
          <w:trHeight w:val="118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36BF52C" w14:textId="77777777" w:rsidR="00C72315" w:rsidRDefault="006B62C5">
            <w:pPr>
              <w:spacing w:line="240" w:lineRule="auto"/>
              <w:jc w:val="center"/>
              <w:rPr>
                <w:i/>
              </w:rPr>
            </w:pPr>
            <w:r>
              <w:rPr>
                <w:i/>
              </w:rPr>
              <w:t>13</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FA94B43" w14:textId="77777777" w:rsidR="00C72315" w:rsidRDefault="006B62C5">
            <w:pPr>
              <w:spacing w:line="240" w:lineRule="auto"/>
              <w:jc w:val="center"/>
              <w:rPr>
                <w:i/>
              </w:rPr>
            </w:pPr>
            <w:r>
              <w:rPr>
                <w:i/>
              </w:rPr>
              <w:t>Stirpe</w:t>
            </w:r>
            <w:r>
              <w:rPr>
                <w:i/>
              </w:rPr>
              <w:t xml:space="preserve">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CB91E9D"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4D81546" w14:textId="77777777" w:rsidR="00C72315" w:rsidRDefault="006B62C5">
            <w:pPr>
              <w:spacing w:line="240" w:lineRule="auto"/>
              <w:rPr>
                <w:i/>
              </w:rPr>
            </w:pPr>
            <w:r>
              <w:rPr>
                <w:i/>
              </w:rPr>
              <w:t>Satisfaction with HR practices and employee performance: A moderated mediation model of engagement and health. European Management Journal</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0B4E6A9" w14:textId="77777777" w:rsidR="00C72315" w:rsidRDefault="006B62C5">
            <w:pPr>
              <w:spacing w:line="240" w:lineRule="auto"/>
              <w:rPr>
                <w:i/>
              </w:rPr>
            </w:pPr>
            <w:r>
              <w:rPr>
                <w:i/>
              </w:rPr>
              <w:t>HR practices, Employee engagement, Health, Performance</w:t>
            </w:r>
          </w:p>
        </w:tc>
      </w:tr>
      <w:tr w:rsidR="00C72315" w14:paraId="6984F901" w14:textId="77777777">
        <w:trPr>
          <w:trHeight w:val="91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90E37BF" w14:textId="77777777" w:rsidR="00C72315" w:rsidRDefault="006B62C5">
            <w:pPr>
              <w:spacing w:line="240" w:lineRule="auto"/>
              <w:jc w:val="center"/>
              <w:rPr>
                <w:i/>
              </w:rPr>
            </w:pPr>
            <w:r>
              <w:rPr>
                <w:i/>
              </w:rPr>
              <w:t>14</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717D5D4C" w14:textId="77777777" w:rsidR="00C72315" w:rsidRDefault="006B62C5">
            <w:pPr>
              <w:spacing w:line="240" w:lineRule="auto"/>
              <w:jc w:val="center"/>
              <w:rPr>
                <w:i/>
              </w:rPr>
            </w:pPr>
            <w:r>
              <w:rPr>
                <w:i/>
              </w:rPr>
              <w:t>Pamidimukkala and Kermanshachi</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1710E50" w14:textId="77777777" w:rsidR="00C72315" w:rsidRDefault="006B62C5">
            <w:pPr>
              <w:spacing w:line="240" w:lineRule="auto"/>
              <w:rPr>
                <w:b/>
                <w:i/>
              </w:rPr>
            </w:pPr>
            <w:r>
              <w:rPr>
                <w:b/>
                <w:i/>
              </w:rPr>
              <w:t>2021</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93F0DDF" w14:textId="77777777" w:rsidR="00C72315" w:rsidRDefault="006B62C5">
            <w:pPr>
              <w:spacing w:line="240" w:lineRule="auto"/>
              <w:rPr>
                <w:i/>
              </w:rPr>
            </w:pPr>
            <w:r>
              <w:rPr>
                <w:i/>
              </w:rPr>
              <w:t>Impact of Covid-19 on field and office workforce in construction industry. Project leadership and society</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303F2C3" w14:textId="77777777" w:rsidR="00C72315" w:rsidRDefault="006B62C5">
            <w:pPr>
              <w:spacing w:line="240" w:lineRule="auto"/>
              <w:rPr>
                <w:i/>
              </w:rPr>
            </w:pPr>
            <w:r>
              <w:rPr>
                <w:i/>
              </w:rPr>
              <w:t>Covid-19 impact, Construction industry, Field workforce, Office workforce</w:t>
            </w:r>
          </w:p>
        </w:tc>
      </w:tr>
      <w:tr w:rsidR="00C72315" w14:paraId="62D28072"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D519739" w14:textId="77777777" w:rsidR="00C72315" w:rsidRDefault="006B62C5">
            <w:pPr>
              <w:spacing w:line="240" w:lineRule="auto"/>
              <w:jc w:val="center"/>
              <w:rPr>
                <w:i/>
              </w:rPr>
            </w:pPr>
            <w:r>
              <w:rPr>
                <w:i/>
              </w:rPr>
              <w:t>15</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E2322DA" w14:textId="77777777" w:rsidR="00C72315" w:rsidRDefault="006B62C5">
            <w:pPr>
              <w:spacing w:line="240" w:lineRule="auto"/>
              <w:jc w:val="center"/>
              <w:rPr>
                <w:i/>
              </w:rPr>
            </w:pPr>
            <w:r>
              <w:rPr>
                <w:i/>
              </w:rPr>
              <w:t>Zada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4FCC111"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F8761AC" w14:textId="77777777" w:rsidR="00C72315" w:rsidRDefault="006B62C5">
            <w:pPr>
              <w:spacing w:line="240" w:lineRule="auto"/>
              <w:rPr>
                <w:i/>
              </w:rPr>
            </w:pPr>
            <w:r>
              <w:rPr>
                <w:i/>
              </w:rPr>
              <w:t>Servant leadership behavior</w:t>
            </w:r>
            <w:r>
              <w:rPr>
                <w:i/>
              </w:rPr>
              <w:t xml:space="preserve"> at workplace and knowledge hoarding: a moderation mediation examination. Frontiers in psychology</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47BADBAD" w14:textId="77777777" w:rsidR="00C72315" w:rsidRDefault="006B62C5">
            <w:pPr>
              <w:spacing w:line="240" w:lineRule="auto"/>
              <w:rPr>
                <w:i/>
              </w:rPr>
            </w:pPr>
            <w:r>
              <w:rPr>
                <w:i/>
              </w:rPr>
              <w:t>Servant leadership, Knowledge hoarding, Moderation, Mediation</w:t>
            </w:r>
          </w:p>
          <w:p w14:paraId="668A4DAB" w14:textId="77777777" w:rsidR="00C72315" w:rsidRDefault="00C72315">
            <w:pPr>
              <w:spacing w:line="240" w:lineRule="auto"/>
              <w:rPr>
                <w:i/>
              </w:rPr>
            </w:pPr>
          </w:p>
        </w:tc>
      </w:tr>
      <w:tr w:rsidR="00C72315" w14:paraId="1C2D3E13" w14:textId="77777777">
        <w:trPr>
          <w:trHeight w:val="893"/>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09681C3" w14:textId="77777777" w:rsidR="00C72315" w:rsidRDefault="006B62C5">
            <w:pPr>
              <w:spacing w:line="240" w:lineRule="auto"/>
              <w:jc w:val="center"/>
              <w:rPr>
                <w:i/>
              </w:rPr>
            </w:pPr>
            <w:r>
              <w:rPr>
                <w:i/>
              </w:rPr>
              <w:t>16</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8FCE257" w14:textId="77777777" w:rsidR="00C72315" w:rsidRDefault="006B62C5">
            <w:pPr>
              <w:spacing w:line="240" w:lineRule="auto"/>
              <w:jc w:val="center"/>
              <w:rPr>
                <w:i/>
              </w:rPr>
            </w:pPr>
            <w:r>
              <w:rPr>
                <w:i/>
              </w:rPr>
              <w:t>Baicker, K., Cutler, D. and Song, Z.</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8840EE7" w14:textId="77777777" w:rsidR="00C72315" w:rsidRDefault="006B62C5">
            <w:pPr>
              <w:spacing w:line="240" w:lineRule="auto"/>
              <w:rPr>
                <w:b/>
                <w:i/>
              </w:rPr>
            </w:pPr>
            <w:r>
              <w:rPr>
                <w:b/>
                <w:i/>
              </w:rPr>
              <w:t>2010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D3C91F5" w14:textId="77777777" w:rsidR="00C72315" w:rsidRDefault="006B62C5">
            <w:pPr>
              <w:spacing w:line="240" w:lineRule="auto"/>
              <w:rPr>
                <w:i/>
              </w:rPr>
            </w:pPr>
            <w:r>
              <w:rPr>
                <w:i/>
              </w:rPr>
              <w:t xml:space="preserve">Workplace wellness programs can generate </w:t>
            </w:r>
            <w:r>
              <w:rPr>
                <w:i/>
              </w:rPr>
              <w:t>savings. Health affairs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7B815E7" w14:textId="77777777" w:rsidR="00C72315" w:rsidRDefault="006B62C5">
            <w:pPr>
              <w:spacing w:line="240" w:lineRule="auto"/>
              <w:rPr>
                <w:i/>
              </w:rPr>
            </w:pPr>
            <w:r>
              <w:rPr>
                <w:i/>
              </w:rPr>
              <w:t>Workplace wellness programs, cost savings, medical costs, absenteeism costs</w:t>
            </w:r>
          </w:p>
        </w:tc>
      </w:tr>
      <w:tr w:rsidR="00C72315" w14:paraId="737FE01C"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EB31BBF" w14:textId="77777777" w:rsidR="00C72315" w:rsidRDefault="006B62C5">
            <w:pPr>
              <w:spacing w:line="240" w:lineRule="auto"/>
              <w:jc w:val="center"/>
              <w:rPr>
                <w:i/>
              </w:rPr>
            </w:pPr>
            <w:r>
              <w:rPr>
                <w:i/>
              </w:rPr>
              <w:t>17</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083C34C0" w14:textId="77777777" w:rsidR="00C72315" w:rsidRDefault="006B62C5">
            <w:pPr>
              <w:spacing w:line="240" w:lineRule="auto"/>
              <w:jc w:val="center"/>
              <w:rPr>
                <w:i/>
              </w:rPr>
            </w:pPr>
            <w:r>
              <w:rPr>
                <w:i/>
              </w:rPr>
              <w:t>Kent, K., Goetzel, R.Z., Roemer, E.C., Prasad, A. and Freundlich, N.</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8C04C5F" w14:textId="77777777" w:rsidR="00C72315" w:rsidRDefault="006B62C5">
            <w:pPr>
              <w:spacing w:line="240" w:lineRule="auto"/>
              <w:rPr>
                <w:b/>
                <w:i/>
              </w:rPr>
            </w:pPr>
            <w:r>
              <w:rPr>
                <w:b/>
                <w:i/>
              </w:rPr>
              <w:t>2016</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43E88D7" w14:textId="77777777" w:rsidR="00C72315" w:rsidRDefault="006B62C5">
            <w:pPr>
              <w:spacing w:line="240" w:lineRule="auto"/>
              <w:rPr>
                <w:i/>
              </w:rPr>
            </w:pPr>
            <w:r>
              <w:rPr>
                <w:i/>
              </w:rPr>
              <w:t xml:space="preserve">Promoting healthy workplaces by building cultures of health and </w:t>
            </w:r>
            <w:r>
              <w:rPr>
                <w:i/>
              </w:rPr>
              <w:t>applying strategic communications. Journal of occupational and environmental medicine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E148003" w14:textId="77777777" w:rsidR="00C72315" w:rsidRDefault="006B62C5">
            <w:pPr>
              <w:spacing w:line="240" w:lineRule="auto"/>
              <w:rPr>
                <w:i/>
              </w:rPr>
            </w:pPr>
            <w:r>
              <w:rPr>
                <w:i/>
              </w:rPr>
              <w:t>Employer-sponsored health promotion programs, wellness programs, culture of health, strategic communications</w:t>
            </w:r>
          </w:p>
        </w:tc>
      </w:tr>
      <w:tr w:rsidR="00C72315" w14:paraId="4D3CAD4E"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BC5771B" w14:textId="77777777" w:rsidR="00C72315" w:rsidRDefault="006B62C5">
            <w:pPr>
              <w:spacing w:line="240" w:lineRule="auto"/>
              <w:jc w:val="center"/>
              <w:rPr>
                <w:i/>
              </w:rPr>
            </w:pPr>
            <w:r>
              <w:rPr>
                <w:i/>
              </w:rPr>
              <w:t>18</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3176EDB3" w14:textId="77777777" w:rsidR="00C72315" w:rsidRDefault="006B62C5">
            <w:pPr>
              <w:spacing w:line="240" w:lineRule="auto"/>
              <w:jc w:val="center"/>
              <w:rPr>
                <w:i/>
              </w:rPr>
            </w:pPr>
            <w:r>
              <w:rPr>
                <w:i/>
              </w:rPr>
              <w:t>González, L.R.</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A89A9EB"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E48778F" w14:textId="77777777" w:rsidR="00C72315" w:rsidRDefault="006B62C5">
            <w:pPr>
              <w:spacing w:line="240" w:lineRule="auto"/>
              <w:rPr>
                <w:i/>
              </w:rPr>
            </w:pPr>
            <w:r>
              <w:rPr>
                <w:i/>
              </w:rPr>
              <w:t xml:space="preserve">Wellness Programs: </w:t>
            </w:r>
            <w:r>
              <w:rPr>
                <w:i/>
              </w:rPr>
              <w:t>strategies for increasing employees’ Productivity and reducing Health Care costs. Doctoral dissertation, Walden University</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4D1F84F6" w14:textId="77777777" w:rsidR="00C72315" w:rsidRDefault="006B62C5">
            <w:pPr>
              <w:spacing w:line="240" w:lineRule="auto"/>
              <w:rPr>
                <w:i/>
              </w:rPr>
            </w:pPr>
            <w:r>
              <w:rPr>
                <w:i/>
              </w:rPr>
              <w:t>Wellness programs, productivity, healthcare costs, cost-effective strategies, leadership roles</w:t>
            </w:r>
          </w:p>
        </w:tc>
      </w:tr>
      <w:tr w:rsidR="00C72315" w14:paraId="26A8D4BF"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BD15E4E" w14:textId="77777777" w:rsidR="00C72315" w:rsidRDefault="006B62C5">
            <w:pPr>
              <w:spacing w:line="240" w:lineRule="auto"/>
              <w:jc w:val="center"/>
              <w:rPr>
                <w:i/>
              </w:rPr>
            </w:pPr>
            <w:r>
              <w:rPr>
                <w:i/>
              </w:rPr>
              <w:t>19</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1A1BAF6E" w14:textId="77777777" w:rsidR="00C72315" w:rsidRDefault="006B62C5">
            <w:pPr>
              <w:spacing w:line="240" w:lineRule="auto"/>
              <w:jc w:val="center"/>
              <w:rPr>
                <w:i/>
              </w:rPr>
            </w:pPr>
            <w:r>
              <w:rPr>
                <w:i/>
              </w:rPr>
              <w:t>Harter, J.K., Schmidt, F.L. and Keyes, C.L.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325C150" w14:textId="77777777" w:rsidR="00C72315" w:rsidRDefault="006B62C5">
            <w:pPr>
              <w:spacing w:line="240" w:lineRule="auto"/>
              <w:rPr>
                <w:b/>
                <w:i/>
              </w:rPr>
            </w:pPr>
            <w:r>
              <w:rPr>
                <w:b/>
                <w:i/>
              </w:rPr>
              <w:t>2003</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A75F64D" w14:textId="77777777" w:rsidR="00C72315" w:rsidRDefault="006B62C5">
            <w:pPr>
              <w:spacing w:line="240" w:lineRule="auto"/>
              <w:rPr>
                <w:i/>
              </w:rPr>
            </w:pPr>
            <w:r>
              <w:rPr>
                <w:i/>
              </w:rPr>
              <w:t>Well-being in the workplace and its relationship to business outcomes: A review of the Gallup studies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A76B274" w14:textId="77777777" w:rsidR="00C72315" w:rsidRDefault="006B62C5">
            <w:pPr>
              <w:spacing w:line="240" w:lineRule="auto"/>
              <w:rPr>
                <w:i/>
              </w:rPr>
            </w:pPr>
            <w:r>
              <w:rPr>
                <w:i/>
              </w:rPr>
              <w:t>Well-being, positive workplace perceptions, employee engagement, business outcomes</w:t>
            </w:r>
          </w:p>
        </w:tc>
      </w:tr>
      <w:tr w:rsidR="00C72315" w14:paraId="17EFCA3C"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5F67D9A" w14:textId="77777777" w:rsidR="00C72315" w:rsidRDefault="006B62C5">
            <w:pPr>
              <w:spacing w:line="240" w:lineRule="auto"/>
              <w:jc w:val="center"/>
              <w:rPr>
                <w:i/>
              </w:rPr>
            </w:pPr>
            <w:r>
              <w:rPr>
                <w:i/>
              </w:rPr>
              <w:t>20</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4C3D4B18" w14:textId="77777777" w:rsidR="00C72315" w:rsidRDefault="006B62C5">
            <w:pPr>
              <w:spacing w:line="240" w:lineRule="auto"/>
              <w:jc w:val="center"/>
              <w:rPr>
                <w:i/>
              </w:rPr>
            </w:pPr>
            <w:r>
              <w:rPr>
                <w:i/>
              </w:rPr>
              <w:t>Cipriano, C., Kilag, O.K., Echavez</w:t>
            </w:r>
            <w:r>
              <w:rPr>
                <w:i/>
              </w:rPr>
              <w:t>, R., Book, J.F., Taboada, A.R. and Rabi, J.I.I.</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676C2DD"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51E8EBE" w14:textId="77777777" w:rsidR="00C72315" w:rsidRDefault="006B62C5">
            <w:pPr>
              <w:spacing w:line="240" w:lineRule="auto"/>
              <w:rPr>
                <w:i/>
              </w:rPr>
            </w:pPr>
            <w:r>
              <w:rPr>
                <w:i/>
              </w:rPr>
              <w:t>Exploring the Landscape of Fitness Programs for Government Employees. International Multidisciplinary Journal of Research for Innovation, Sustainability, and Excellence (IMJRISE)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305715E5" w14:textId="77777777" w:rsidR="00C72315" w:rsidRDefault="006B62C5">
            <w:pPr>
              <w:spacing w:line="240" w:lineRule="auto"/>
              <w:rPr>
                <w:i/>
              </w:rPr>
            </w:pPr>
            <w:r>
              <w:rPr>
                <w:i/>
              </w:rPr>
              <w:t>Fitness programs, government employees, program effectiveness, organizational benefits</w:t>
            </w:r>
          </w:p>
        </w:tc>
      </w:tr>
      <w:tr w:rsidR="00C72315" w14:paraId="2E3A7152"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52E23AE" w14:textId="77777777" w:rsidR="00C72315" w:rsidRDefault="006B62C5">
            <w:pPr>
              <w:spacing w:line="240" w:lineRule="auto"/>
              <w:jc w:val="center"/>
              <w:rPr>
                <w:i/>
              </w:rPr>
            </w:pPr>
            <w:r>
              <w:rPr>
                <w:i/>
              </w:rPr>
              <w:t>21</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361BB9C8" w14:textId="77777777" w:rsidR="00C72315" w:rsidRDefault="006B62C5">
            <w:pPr>
              <w:spacing w:line="240" w:lineRule="auto"/>
              <w:jc w:val="center"/>
              <w:rPr>
                <w:i/>
              </w:rPr>
            </w:pPr>
            <w:r>
              <w:rPr>
                <w:i/>
              </w:rPr>
              <w:t>Hassan, S., Ansari, N. and Rehman, A.</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0B2F2E3"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C1CE85F" w14:textId="77777777" w:rsidR="00C72315" w:rsidRDefault="006B62C5">
            <w:pPr>
              <w:spacing w:line="240" w:lineRule="auto"/>
              <w:rPr>
                <w:i/>
              </w:rPr>
            </w:pPr>
            <w:r>
              <w:rPr>
                <w:i/>
              </w:rPr>
              <w:t xml:space="preserve">An exploratory study of workplace spirituality and employee well-being affecting public service motivation: an institutional </w:t>
            </w:r>
            <w:r>
              <w:rPr>
                <w:i/>
              </w:rPr>
              <w:t>perspective. Qualitative Research Journal</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0C0B72A9" w14:textId="77777777" w:rsidR="00C72315" w:rsidRDefault="006B62C5">
            <w:pPr>
              <w:spacing w:line="240" w:lineRule="auto"/>
              <w:rPr>
                <w:i/>
              </w:rPr>
            </w:pPr>
            <w:r>
              <w:rPr>
                <w:i/>
              </w:rPr>
              <w:t>Workplace spirituality, employee well-being, public service motivation, organizational culture</w:t>
            </w:r>
          </w:p>
        </w:tc>
      </w:tr>
      <w:tr w:rsidR="00C72315" w14:paraId="65979EE5"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31A2BE9" w14:textId="77777777" w:rsidR="00C72315" w:rsidRDefault="006B62C5">
            <w:pPr>
              <w:spacing w:line="240" w:lineRule="auto"/>
              <w:jc w:val="center"/>
              <w:rPr>
                <w:i/>
              </w:rPr>
            </w:pPr>
            <w:r>
              <w:rPr>
                <w:i/>
              </w:rPr>
              <w:t>22</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E134A4E" w14:textId="77777777" w:rsidR="00C72315" w:rsidRDefault="006B62C5">
            <w:pPr>
              <w:spacing w:line="240" w:lineRule="auto"/>
              <w:jc w:val="center"/>
              <w:rPr>
                <w:i/>
              </w:rPr>
            </w:pPr>
            <w:r>
              <w:rPr>
                <w:i/>
              </w:rPr>
              <w:t>Bennett, J.B., Weaver, J., Senft, M. and Neeper, M.</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516892B" w14:textId="77777777" w:rsidR="00C72315" w:rsidRDefault="006B62C5">
            <w:pPr>
              <w:spacing w:line="240" w:lineRule="auto"/>
              <w:rPr>
                <w:b/>
                <w:i/>
              </w:rPr>
            </w:pPr>
            <w:r>
              <w:rPr>
                <w:b/>
                <w:i/>
              </w:rPr>
              <w:t>2017</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C9939F8" w14:textId="77777777" w:rsidR="00C72315" w:rsidRDefault="006B62C5">
            <w:pPr>
              <w:spacing w:line="240" w:lineRule="auto"/>
              <w:rPr>
                <w:i/>
              </w:rPr>
            </w:pPr>
            <w:r>
              <w:rPr>
                <w:i/>
              </w:rPr>
              <w:t>Creating workplace well‐being: Time for practical wisdom. The handbook of stress and health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1D51C8F8" w14:textId="77777777" w:rsidR="00C72315" w:rsidRDefault="006B62C5">
            <w:pPr>
              <w:spacing w:line="240" w:lineRule="auto"/>
              <w:rPr>
                <w:i/>
              </w:rPr>
            </w:pPr>
            <w:r>
              <w:rPr>
                <w:i/>
              </w:rPr>
              <w:t>Workplace conditions, well-being, evidence-based practices, managerial decision-making</w:t>
            </w:r>
          </w:p>
        </w:tc>
      </w:tr>
      <w:tr w:rsidR="00C72315" w14:paraId="726847A7"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4B79801" w14:textId="77777777" w:rsidR="00C72315" w:rsidRDefault="006B62C5">
            <w:pPr>
              <w:spacing w:line="240" w:lineRule="auto"/>
              <w:jc w:val="center"/>
              <w:rPr>
                <w:i/>
              </w:rPr>
            </w:pPr>
            <w:r>
              <w:rPr>
                <w:i/>
              </w:rPr>
              <w:t>23</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124F058E" w14:textId="77777777" w:rsidR="00C72315" w:rsidRDefault="006B62C5">
            <w:pPr>
              <w:spacing w:line="240" w:lineRule="auto"/>
              <w:jc w:val="center"/>
              <w:rPr>
                <w:i/>
              </w:rPr>
            </w:pPr>
            <w:r>
              <w:rPr>
                <w:i/>
              </w:rPr>
              <w:t>Attridge, M.</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C94CBFC" w14:textId="77777777" w:rsidR="00C72315" w:rsidRDefault="006B62C5">
            <w:pPr>
              <w:spacing w:line="240" w:lineRule="auto"/>
              <w:rPr>
                <w:b/>
                <w:i/>
              </w:rPr>
            </w:pPr>
            <w:r>
              <w:rPr>
                <w:b/>
                <w:i/>
              </w:rPr>
              <w:t>2009</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362739C" w14:textId="77777777" w:rsidR="00C72315" w:rsidRDefault="006B62C5">
            <w:pPr>
              <w:spacing w:line="240" w:lineRule="auto"/>
              <w:rPr>
                <w:i/>
              </w:rPr>
            </w:pPr>
            <w:r>
              <w:rPr>
                <w:i/>
              </w:rPr>
              <w:t>Measuring and managing employee work engagement: A review of the research and business literature. Journal of workplace behavioral health</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2FA2B9F" w14:textId="77777777" w:rsidR="00C72315" w:rsidRDefault="006B62C5">
            <w:pPr>
              <w:spacing w:line="240" w:lineRule="auto"/>
              <w:rPr>
                <w:i/>
              </w:rPr>
            </w:pPr>
            <w:r>
              <w:rPr>
                <w:i/>
              </w:rPr>
              <w:t>Employee work engagement, measurement, costs of disengagement, business benefits, workplace practices</w:t>
            </w:r>
          </w:p>
        </w:tc>
      </w:tr>
      <w:tr w:rsidR="00C72315" w14:paraId="5EE81917" w14:textId="77777777">
        <w:trPr>
          <w:trHeight w:val="2153"/>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591CA28" w14:textId="77777777" w:rsidR="00C72315" w:rsidRDefault="006B62C5">
            <w:pPr>
              <w:spacing w:line="240" w:lineRule="auto"/>
              <w:jc w:val="center"/>
              <w:rPr>
                <w:i/>
              </w:rPr>
            </w:pPr>
            <w:r>
              <w:rPr>
                <w:i/>
              </w:rPr>
              <w:t>24</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5051701" w14:textId="77777777" w:rsidR="00C72315" w:rsidRDefault="006B62C5">
            <w:pPr>
              <w:spacing w:line="240" w:lineRule="auto"/>
              <w:jc w:val="center"/>
              <w:rPr>
                <w:i/>
              </w:rPr>
            </w:pPr>
            <w:r>
              <w:rPr>
                <w:i/>
              </w:rPr>
              <w:t>Rajoo, H.H.</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F505D3B" w14:textId="77777777" w:rsidR="00C72315" w:rsidRDefault="006B62C5">
            <w:pPr>
              <w:spacing w:line="240" w:lineRule="auto"/>
              <w:rPr>
                <w:b/>
                <w:i/>
              </w:rPr>
            </w:pPr>
            <w:r>
              <w:rPr>
                <w:b/>
                <w:i/>
              </w:rPr>
              <w:t>2020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9154813" w14:textId="77777777" w:rsidR="00C72315" w:rsidRDefault="006B62C5">
            <w:pPr>
              <w:spacing w:line="240" w:lineRule="auto"/>
              <w:rPr>
                <w:i/>
              </w:rPr>
            </w:pPr>
            <w:r>
              <w:rPr>
                <w:i/>
              </w:rPr>
              <w:t xml:space="preserve">The importance of creative and positive workplace culture: A case study on how creative initiatives foster better relationships, resilience and mindfulness at work for Special Education Teachers. Asia Pacific Journal of Developmental </w:t>
            </w:r>
            <w:r>
              <w:rPr>
                <w:i/>
              </w:rPr>
              <w:t>Differences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07AB7C0" w14:textId="77777777" w:rsidR="00C72315" w:rsidRDefault="006B62C5">
            <w:pPr>
              <w:spacing w:line="240" w:lineRule="auto"/>
              <w:rPr>
                <w:i/>
              </w:rPr>
            </w:pPr>
            <w:r>
              <w:rPr>
                <w:i/>
              </w:rPr>
              <w:t>Workplace culture, creative initiatives, relationships, resilience, mindfulness</w:t>
            </w:r>
          </w:p>
        </w:tc>
      </w:tr>
      <w:tr w:rsidR="00C72315" w14:paraId="0CEC4DE8"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917671E" w14:textId="77777777" w:rsidR="00C72315" w:rsidRDefault="006B62C5">
            <w:pPr>
              <w:spacing w:line="240" w:lineRule="auto"/>
              <w:jc w:val="center"/>
              <w:rPr>
                <w:i/>
              </w:rPr>
            </w:pPr>
            <w:r>
              <w:rPr>
                <w:i/>
              </w:rPr>
              <w:t>25</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1DBA29E" w14:textId="77777777" w:rsidR="00C72315" w:rsidRDefault="006B62C5">
            <w:pPr>
              <w:spacing w:line="240" w:lineRule="auto"/>
              <w:jc w:val="center"/>
              <w:rPr>
                <w:i/>
              </w:rPr>
            </w:pPr>
            <w:r>
              <w:rPr>
                <w:i/>
              </w:rPr>
              <w:t>Baicker, K., Cutler, D. and Song, Z.</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1FA747F" w14:textId="77777777" w:rsidR="00C72315" w:rsidRDefault="006B62C5">
            <w:pPr>
              <w:spacing w:line="240" w:lineRule="auto"/>
              <w:rPr>
                <w:b/>
                <w:i/>
              </w:rPr>
            </w:pPr>
            <w:r>
              <w:rPr>
                <w:b/>
                <w:i/>
              </w:rPr>
              <w:t>2010</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053F198" w14:textId="77777777" w:rsidR="00C72315" w:rsidRDefault="006B62C5">
            <w:pPr>
              <w:spacing w:line="240" w:lineRule="auto"/>
              <w:rPr>
                <w:i/>
              </w:rPr>
            </w:pPr>
            <w:r>
              <w:rPr>
                <w:i/>
              </w:rPr>
              <w:t>Workplace wellness programs can generate savings. Health affairs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F683CAB" w14:textId="77777777" w:rsidR="00C72315" w:rsidRDefault="006B62C5">
            <w:pPr>
              <w:spacing w:line="240" w:lineRule="auto"/>
              <w:rPr>
                <w:i/>
              </w:rPr>
            </w:pPr>
            <w:r>
              <w:rPr>
                <w:i/>
              </w:rPr>
              <w:t xml:space="preserve">Workplace wellness programs, cost savings, </w:t>
            </w:r>
            <w:r>
              <w:rPr>
                <w:i/>
              </w:rPr>
              <w:t>medical costs, absenteeism costs</w:t>
            </w:r>
          </w:p>
        </w:tc>
      </w:tr>
      <w:tr w:rsidR="00C72315" w14:paraId="0789908D" w14:textId="77777777">
        <w:trPr>
          <w:trHeight w:val="89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0757267" w14:textId="77777777" w:rsidR="00C72315" w:rsidRDefault="006B62C5">
            <w:pPr>
              <w:spacing w:line="240" w:lineRule="auto"/>
              <w:jc w:val="center"/>
              <w:rPr>
                <w:i/>
              </w:rPr>
            </w:pPr>
            <w:r>
              <w:rPr>
                <w:i/>
              </w:rPr>
              <w:t>26</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14B2D14E" w14:textId="77777777" w:rsidR="00C72315" w:rsidRDefault="006B62C5">
            <w:pPr>
              <w:spacing w:line="240" w:lineRule="auto"/>
              <w:jc w:val="center"/>
              <w:rPr>
                <w:i/>
              </w:rPr>
            </w:pPr>
            <w:r>
              <w:rPr>
                <w:i/>
              </w:rPr>
              <w:t>Kent, K., Goetzel, R.Z., Roemer, E.C., Prasad, A. and Freundlich, N.</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B1468CA" w14:textId="77777777" w:rsidR="00C72315" w:rsidRDefault="006B62C5">
            <w:pPr>
              <w:spacing w:line="240" w:lineRule="auto"/>
              <w:rPr>
                <w:b/>
                <w:i/>
              </w:rPr>
            </w:pPr>
            <w:r>
              <w:rPr>
                <w:b/>
                <w:i/>
              </w:rPr>
              <w:t>2016</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904E3DA" w14:textId="77777777" w:rsidR="00C72315" w:rsidRDefault="006B62C5">
            <w:pPr>
              <w:spacing w:line="240" w:lineRule="auto"/>
              <w:rPr>
                <w:i/>
              </w:rPr>
            </w:pPr>
            <w:r>
              <w:rPr>
                <w:i/>
              </w:rPr>
              <w:t xml:space="preserve">Promoting healthy workplaces by building cultures of health and applying strategic communications. Journal of occupational and </w:t>
            </w:r>
            <w:r>
              <w:rPr>
                <w:i/>
              </w:rPr>
              <w:t>environmental medicine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BA5ED32" w14:textId="77777777" w:rsidR="00C72315" w:rsidRDefault="006B62C5">
            <w:pPr>
              <w:spacing w:line="240" w:lineRule="auto"/>
              <w:rPr>
                <w:i/>
              </w:rPr>
            </w:pPr>
            <w:r>
              <w:rPr>
                <w:i/>
              </w:rPr>
              <w:t>Employer-sponsored health promotion programs, wellness programs, culture of health, strategic communications</w:t>
            </w:r>
          </w:p>
        </w:tc>
      </w:tr>
      <w:tr w:rsidR="00C72315" w14:paraId="7EB4E25E" w14:textId="77777777">
        <w:trPr>
          <w:trHeight w:val="785"/>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37B2E97" w14:textId="77777777" w:rsidR="00C72315" w:rsidRDefault="006B62C5">
            <w:pPr>
              <w:spacing w:line="240" w:lineRule="auto"/>
              <w:jc w:val="center"/>
              <w:rPr>
                <w:i/>
              </w:rPr>
            </w:pPr>
            <w:r>
              <w:rPr>
                <w:i/>
              </w:rPr>
              <w:t>27</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7B727A0" w14:textId="77777777" w:rsidR="00C72315" w:rsidRDefault="006B62C5">
            <w:pPr>
              <w:spacing w:line="240" w:lineRule="auto"/>
              <w:jc w:val="center"/>
              <w:rPr>
                <w:i/>
              </w:rPr>
            </w:pPr>
            <w:r>
              <w:rPr>
                <w:i/>
              </w:rPr>
              <w:t>González, L.R.</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8781DFB"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32325DD" w14:textId="77777777" w:rsidR="00C72315" w:rsidRDefault="006B62C5">
            <w:pPr>
              <w:spacing w:line="240" w:lineRule="auto"/>
              <w:rPr>
                <w:i/>
              </w:rPr>
            </w:pPr>
            <w:r>
              <w:rPr>
                <w:i/>
              </w:rPr>
              <w:t xml:space="preserve">Wellness Programs: strategies for increasing employees’ Productivity and reducing Health Care </w:t>
            </w:r>
            <w:r>
              <w:rPr>
                <w:i/>
              </w:rPr>
              <w:t>costs. Doctoral dissertation, Walden University</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670568A" w14:textId="77777777" w:rsidR="00C72315" w:rsidRDefault="006B62C5">
            <w:pPr>
              <w:spacing w:line="240" w:lineRule="auto"/>
              <w:rPr>
                <w:i/>
              </w:rPr>
            </w:pPr>
            <w:r>
              <w:rPr>
                <w:i/>
              </w:rPr>
              <w:t>Wellness programs, productivity, healthcare costs, cost-effective strategies, leadership roles</w:t>
            </w:r>
          </w:p>
        </w:tc>
      </w:tr>
      <w:tr w:rsidR="00C72315" w14:paraId="74574FAC"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C5D221C" w14:textId="77777777" w:rsidR="00C72315" w:rsidRDefault="006B62C5">
            <w:pPr>
              <w:spacing w:line="240" w:lineRule="auto"/>
              <w:jc w:val="center"/>
              <w:rPr>
                <w:i/>
              </w:rPr>
            </w:pPr>
            <w:r>
              <w:rPr>
                <w:i/>
              </w:rPr>
              <w:t>28</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1BF29704" w14:textId="77777777" w:rsidR="00C72315" w:rsidRDefault="006B62C5">
            <w:pPr>
              <w:spacing w:line="240" w:lineRule="auto"/>
              <w:jc w:val="center"/>
              <w:rPr>
                <w:i/>
              </w:rPr>
            </w:pPr>
            <w:r>
              <w:rPr>
                <w:i/>
              </w:rPr>
              <w:t>Harter, J.K., Schmidt, F.L. and Keyes, C.L.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4983E42" w14:textId="77777777" w:rsidR="00C72315" w:rsidRDefault="006B62C5">
            <w:pPr>
              <w:spacing w:line="240" w:lineRule="auto"/>
              <w:rPr>
                <w:b/>
                <w:i/>
              </w:rPr>
            </w:pPr>
            <w:r>
              <w:rPr>
                <w:b/>
                <w:i/>
              </w:rPr>
              <w:t>2003</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F994099" w14:textId="77777777" w:rsidR="00C72315" w:rsidRDefault="006B62C5">
            <w:pPr>
              <w:spacing w:line="240" w:lineRule="auto"/>
              <w:rPr>
                <w:i/>
              </w:rPr>
            </w:pPr>
            <w:r>
              <w:rPr>
                <w:i/>
              </w:rPr>
              <w:t xml:space="preserve">Well-being in the workplace and its relationship to </w:t>
            </w:r>
            <w:r>
              <w:rPr>
                <w:i/>
              </w:rPr>
              <w:t>business outcomes: A review of the Gallup studies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54FE028" w14:textId="77777777" w:rsidR="00C72315" w:rsidRDefault="006B62C5">
            <w:pPr>
              <w:spacing w:line="240" w:lineRule="auto"/>
              <w:rPr>
                <w:i/>
              </w:rPr>
            </w:pPr>
            <w:r>
              <w:rPr>
                <w:i/>
              </w:rPr>
              <w:t>Well-being, positive workplace perceptions, employee engagement, business outcomes</w:t>
            </w:r>
          </w:p>
        </w:tc>
      </w:tr>
      <w:tr w:rsidR="00C72315" w14:paraId="705600ED"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4985DF6" w14:textId="77777777" w:rsidR="00C72315" w:rsidRDefault="006B62C5">
            <w:pPr>
              <w:spacing w:line="240" w:lineRule="auto"/>
              <w:jc w:val="center"/>
              <w:rPr>
                <w:i/>
              </w:rPr>
            </w:pPr>
            <w:r>
              <w:rPr>
                <w:i/>
              </w:rPr>
              <w:t>29</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74599688" w14:textId="77777777" w:rsidR="00C72315" w:rsidRDefault="006B62C5">
            <w:pPr>
              <w:spacing w:line="240" w:lineRule="auto"/>
              <w:jc w:val="center"/>
              <w:rPr>
                <w:i/>
              </w:rPr>
            </w:pPr>
            <w:r>
              <w:rPr>
                <w:i/>
              </w:rPr>
              <w:t>Cipriano, C., Kilag, O.K., Echavez, R., Book, J.F., Taboada, A.R. and Rabi, J.I.I.</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BF0DC63"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2439AE7" w14:textId="77777777" w:rsidR="00C72315" w:rsidRDefault="006B62C5">
            <w:pPr>
              <w:spacing w:line="240" w:lineRule="auto"/>
              <w:rPr>
                <w:i/>
              </w:rPr>
            </w:pPr>
            <w:r>
              <w:rPr>
                <w:i/>
              </w:rPr>
              <w:t xml:space="preserve">Exploring the </w:t>
            </w:r>
            <w:r>
              <w:rPr>
                <w:i/>
              </w:rPr>
              <w:t>Landscape of Fitness Programs for Government Employees. International Multidisciplinary Journal of Research for Innovation, Sustainability, and Excellence (IMJRISE)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069A8110" w14:textId="77777777" w:rsidR="00C72315" w:rsidRDefault="006B62C5">
            <w:pPr>
              <w:spacing w:line="240" w:lineRule="auto"/>
              <w:rPr>
                <w:i/>
              </w:rPr>
            </w:pPr>
            <w:r>
              <w:rPr>
                <w:i/>
              </w:rPr>
              <w:t>Fitness programs, government employees, program effectiveness, organizational benefits</w:t>
            </w:r>
          </w:p>
        </w:tc>
      </w:tr>
      <w:tr w:rsidR="00C72315" w14:paraId="2E4BAB5A"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E6E7431" w14:textId="77777777" w:rsidR="00C72315" w:rsidRDefault="006B62C5">
            <w:pPr>
              <w:spacing w:line="240" w:lineRule="auto"/>
              <w:jc w:val="center"/>
              <w:rPr>
                <w:i/>
              </w:rPr>
            </w:pPr>
            <w:r>
              <w:rPr>
                <w:i/>
              </w:rPr>
              <w:t>30</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5E6C4B73" w14:textId="77777777" w:rsidR="00C72315" w:rsidRDefault="006B62C5">
            <w:pPr>
              <w:spacing w:line="240" w:lineRule="auto"/>
              <w:jc w:val="center"/>
              <w:rPr>
                <w:i/>
              </w:rPr>
            </w:pPr>
            <w:r>
              <w:rPr>
                <w:i/>
              </w:rPr>
              <w:t>Hassan, S., Ansari, N. and Rehman, A.</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B9757D6" w14:textId="77777777" w:rsidR="00C72315" w:rsidRDefault="006B62C5">
            <w:pPr>
              <w:spacing w:line="240" w:lineRule="auto"/>
              <w:rPr>
                <w:b/>
                <w:i/>
              </w:rPr>
            </w:pPr>
            <w:r>
              <w:rPr>
                <w:b/>
                <w:i/>
              </w:rPr>
              <w:t>2022</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8119D82" w14:textId="77777777" w:rsidR="00C72315" w:rsidRDefault="006B62C5">
            <w:pPr>
              <w:spacing w:line="240" w:lineRule="auto"/>
              <w:rPr>
                <w:i/>
              </w:rPr>
            </w:pPr>
            <w:r>
              <w:rPr>
                <w:i/>
              </w:rPr>
              <w:t>An exploratory study of workplace spirituality and employee well-being affecting public service motivation: an institutional perspective. Qualitative Research Journal</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6D46C4D" w14:textId="77777777" w:rsidR="00C72315" w:rsidRDefault="006B62C5">
            <w:pPr>
              <w:spacing w:line="240" w:lineRule="auto"/>
              <w:rPr>
                <w:i/>
              </w:rPr>
            </w:pPr>
            <w:r>
              <w:rPr>
                <w:i/>
              </w:rPr>
              <w:t>Workplace spirituality, employee well-being, public service motivation, organizational culture</w:t>
            </w:r>
          </w:p>
        </w:tc>
      </w:tr>
      <w:tr w:rsidR="00C72315" w14:paraId="749A3B57"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7F96C52" w14:textId="77777777" w:rsidR="00C72315" w:rsidRDefault="006B62C5">
            <w:pPr>
              <w:spacing w:line="240" w:lineRule="auto"/>
              <w:jc w:val="center"/>
              <w:rPr>
                <w:i/>
              </w:rPr>
            </w:pPr>
            <w:r>
              <w:rPr>
                <w:i/>
              </w:rPr>
              <w:t>31</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6BD4A5A" w14:textId="77777777" w:rsidR="00C72315" w:rsidRDefault="006B62C5">
            <w:pPr>
              <w:spacing w:line="240" w:lineRule="auto"/>
              <w:jc w:val="center"/>
              <w:rPr>
                <w:i/>
              </w:rPr>
            </w:pPr>
            <w:r>
              <w:rPr>
                <w:i/>
              </w:rPr>
              <w:t>Iswarya, V.S., Babima, M., Muhila, M.G., Dhaneesh, R.</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6DA19E3"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8200656" w14:textId="77777777" w:rsidR="00C72315" w:rsidRDefault="006B62C5">
            <w:pPr>
              <w:spacing w:line="240" w:lineRule="auto"/>
              <w:rPr>
                <w:i/>
              </w:rPr>
            </w:pPr>
            <w:r>
              <w:rPr>
                <w:i/>
              </w:rPr>
              <w:t>Enhancing well-being: evaluating the impact of stress management interventions for IT professionals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3F9FE829" w14:textId="77777777" w:rsidR="00C72315" w:rsidRDefault="006B62C5">
            <w:pPr>
              <w:spacing w:line="240" w:lineRule="auto"/>
              <w:rPr>
                <w:i/>
              </w:rPr>
            </w:pPr>
            <w:r>
              <w:rPr>
                <w:i/>
              </w:rPr>
              <w:t>Stress management, IT professionals, well-being, mindfulness</w:t>
            </w:r>
          </w:p>
        </w:tc>
      </w:tr>
      <w:tr w:rsidR="00C72315" w14:paraId="63B69920"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BE37FA0" w14:textId="77777777" w:rsidR="00C72315" w:rsidRDefault="006B62C5">
            <w:pPr>
              <w:spacing w:line="240" w:lineRule="auto"/>
              <w:jc w:val="center"/>
              <w:rPr>
                <w:i/>
              </w:rPr>
            </w:pPr>
            <w:r>
              <w:rPr>
                <w:i/>
              </w:rPr>
              <w:t>32</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41A4031A" w14:textId="77777777" w:rsidR="00C72315" w:rsidRDefault="006B62C5">
            <w:pPr>
              <w:spacing w:line="240" w:lineRule="auto"/>
              <w:jc w:val="center"/>
              <w:rPr>
                <w:i/>
              </w:rPr>
            </w:pPr>
            <w:r>
              <w:rPr>
                <w:i/>
              </w:rPr>
              <w:t>Joy, S., Kumar, A.A., Nair, S., Chandar, K.S.</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C17DE73"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ABDD218" w14:textId="77777777" w:rsidR="00C72315" w:rsidRDefault="006B62C5">
            <w:pPr>
              <w:spacing w:line="240" w:lineRule="auto"/>
              <w:rPr>
                <w:i/>
              </w:rPr>
            </w:pPr>
            <w:r>
              <w:rPr>
                <w:i/>
              </w:rPr>
              <w:t>Transforming Workplace Stress: The Importance of Neuroleadership</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F31C745" w14:textId="77777777" w:rsidR="00C72315" w:rsidRDefault="006B62C5">
            <w:pPr>
              <w:spacing w:line="240" w:lineRule="auto"/>
              <w:rPr>
                <w:i/>
              </w:rPr>
            </w:pPr>
            <w:r>
              <w:rPr>
                <w:i/>
              </w:rPr>
              <w:t xml:space="preserve">Workplace stress, neuroleadership, resilience, emotional </w:t>
            </w:r>
            <w:r>
              <w:rPr>
                <w:i/>
              </w:rPr>
              <w:t>intelligence</w:t>
            </w:r>
          </w:p>
        </w:tc>
      </w:tr>
      <w:tr w:rsidR="00C72315" w14:paraId="36DCA10C"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F1D5297" w14:textId="77777777" w:rsidR="00C72315" w:rsidRDefault="006B62C5">
            <w:pPr>
              <w:spacing w:line="240" w:lineRule="auto"/>
              <w:jc w:val="center"/>
              <w:rPr>
                <w:i/>
              </w:rPr>
            </w:pPr>
            <w:r>
              <w:rPr>
                <w:i/>
              </w:rPr>
              <w:t>33</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52F64F42" w14:textId="77777777" w:rsidR="00C72315" w:rsidRDefault="006B62C5">
            <w:pPr>
              <w:spacing w:line="240" w:lineRule="auto"/>
              <w:jc w:val="center"/>
              <w:rPr>
                <w:i/>
              </w:rPr>
            </w:pPr>
            <w:r>
              <w:rPr>
                <w:i/>
              </w:rPr>
              <w:t>Thangaraja, T., Munusamy, P., Ramya, R.,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E4B801A"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17E3937" w14:textId="77777777" w:rsidR="00C72315" w:rsidRDefault="006B62C5">
            <w:pPr>
              <w:spacing w:line="240" w:lineRule="auto"/>
              <w:rPr>
                <w:i/>
              </w:rPr>
            </w:pPr>
            <w:r>
              <w:rPr>
                <w:i/>
              </w:rPr>
              <w:t>The Role Of Employee Engagement In The Relationship Between Staff Morale And Employee Wellbeing</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265CFAB" w14:textId="77777777" w:rsidR="00C72315" w:rsidRDefault="006B62C5">
            <w:pPr>
              <w:spacing w:line="240" w:lineRule="auto"/>
              <w:rPr>
                <w:i/>
              </w:rPr>
            </w:pPr>
            <w:r>
              <w:rPr>
                <w:i/>
              </w:rPr>
              <w:t>Employee engagement, staff morale, education, well-being</w:t>
            </w:r>
          </w:p>
        </w:tc>
      </w:tr>
      <w:tr w:rsidR="00C72315" w14:paraId="45D273B6"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91B1F9A" w14:textId="77777777" w:rsidR="00C72315" w:rsidRDefault="006B62C5">
            <w:pPr>
              <w:spacing w:line="240" w:lineRule="auto"/>
              <w:jc w:val="center"/>
              <w:rPr>
                <w:i/>
              </w:rPr>
            </w:pPr>
            <w:r>
              <w:rPr>
                <w:i/>
              </w:rPr>
              <w:t>34</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30983368" w14:textId="77777777" w:rsidR="00C72315" w:rsidRDefault="006B62C5">
            <w:pPr>
              <w:spacing w:line="240" w:lineRule="auto"/>
              <w:jc w:val="center"/>
              <w:rPr>
                <w:i/>
              </w:rPr>
            </w:pPr>
            <w:r>
              <w:rPr>
                <w:i/>
              </w:rPr>
              <w:t xml:space="preserve">Vojtechovský, J., </w:t>
            </w:r>
            <w:r>
              <w:rPr>
                <w:i/>
              </w:rPr>
              <w:t>Poráziková, E.</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9F8FC2A" w14:textId="77777777" w:rsidR="00C72315" w:rsidRDefault="006B62C5">
            <w:pPr>
              <w:spacing w:line="240" w:lineRule="auto"/>
              <w:rPr>
                <w:b/>
                <w:i/>
              </w:rPr>
            </w:pPr>
            <w:r>
              <w:rPr>
                <w:b/>
                <w:i/>
              </w:rPr>
              <w:t>2023</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FEEB9DD" w14:textId="77777777" w:rsidR="00C72315" w:rsidRDefault="006B62C5">
            <w:pPr>
              <w:spacing w:line="240" w:lineRule="auto"/>
              <w:rPr>
                <w:i/>
              </w:rPr>
            </w:pPr>
            <w:r>
              <w:rPr>
                <w:i/>
              </w:rPr>
              <w:t>Elimination of Stress in the Work of Managers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445D2E9F" w14:textId="77777777" w:rsidR="00C72315" w:rsidRDefault="006B62C5">
            <w:pPr>
              <w:spacing w:line="240" w:lineRule="auto"/>
              <w:rPr>
                <w:i/>
              </w:rPr>
            </w:pPr>
            <w:r>
              <w:rPr>
                <w:i/>
              </w:rPr>
              <w:t>Stress management, work-life balance, managerial support</w:t>
            </w:r>
          </w:p>
        </w:tc>
      </w:tr>
      <w:tr w:rsidR="00C72315" w14:paraId="43BB437E"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5ADE0D0" w14:textId="77777777" w:rsidR="00C72315" w:rsidRDefault="006B62C5">
            <w:pPr>
              <w:spacing w:line="240" w:lineRule="auto"/>
              <w:jc w:val="center"/>
              <w:rPr>
                <w:i/>
              </w:rPr>
            </w:pPr>
            <w:r>
              <w:rPr>
                <w:i/>
              </w:rPr>
              <w:t>35</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A966147" w14:textId="77777777" w:rsidR="00C72315" w:rsidRDefault="006B62C5">
            <w:pPr>
              <w:spacing w:line="240" w:lineRule="auto"/>
              <w:jc w:val="center"/>
              <w:rPr>
                <w:i/>
              </w:rPr>
            </w:pPr>
            <w:r>
              <w:rPr>
                <w:i/>
              </w:rPr>
              <w:t>Putra, A.S.B., Kusumawati, E.D., Kartikasari, D.</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61ED934"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87F75C3" w14:textId="77777777" w:rsidR="00C72315" w:rsidRDefault="006B62C5">
            <w:pPr>
              <w:spacing w:line="240" w:lineRule="auto"/>
              <w:rPr>
                <w:i/>
              </w:rPr>
            </w:pPr>
            <w:r>
              <w:rPr>
                <w:i/>
              </w:rPr>
              <w:t xml:space="preserve">Unpacking the Roots and Impact of Workplace Well-being: A </w:t>
            </w:r>
            <w:r>
              <w:rPr>
                <w:i/>
              </w:rPr>
              <w:t>Literature Review</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1CD57376" w14:textId="77777777" w:rsidR="00C72315" w:rsidRDefault="006B62C5">
            <w:pPr>
              <w:spacing w:line="240" w:lineRule="auto"/>
              <w:rPr>
                <w:i/>
              </w:rPr>
            </w:pPr>
            <w:r>
              <w:rPr>
                <w:i/>
              </w:rPr>
              <w:t>Workplace well-being, job satisfaction, psychosocial factors</w:t>
            </w:r>
          </w:p>
        </w:tc>
      </w:tr>
      <w:tr w:rsidR="00C72315" w14:paraId="7F24842D"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2191983" w14:textId="77777777" w:rsidR="00C72315" w:rsidRDefault="006B62C5">
            <w:pPr>
              <w:spacing w:line="240" w:lineRule="auto"/>
              <w:jc w:val="center"/>
              <w:rPr>
                <w:i/>
              </w:rPr>
            </w:pPr>
            <w:r>
              <w:rPr>
                <w:i/>
              </w:rPr>
              <w:t>36</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17F456D0" w14:textId="77777777" w:rsidR="00C72315" w:rsidRDefault="006B62C5">
            <w:pPr>
              <w:spacing w:line="240" w:lineRule="auto"/>
              <w:jc w:val="center"/>
              <w:rPr>
                <w:i/>
              </w:rPr>
            </w:pPr>
            <w:r>
              <w:rPr>
                <w:i/>
              </w:rPr>
              <w:t>Anyamesem-Poku, F., Parmar, R.M.</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3B32117"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A092A53" w14:textId="77777777" w:rsidR="00C72315" w:rsidRDefault="006B62C5">
            <w:pPr>
              <w:spacing w:line="240" w:lineRule="auto"/>
              <w:rPr>
                <w:i/>
              </w:rPr>
            </w:pPr>
            <w:r>
              <w:rPr>
                <w:i/>
              </w:rPr>
              <w:t>Evaluating The Impact Of Teachers’ Psychological Well-Being On Work Performance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CA98A1F" w14:textId="77777777" w:rsidR="00C72315" w:rsidRDefault="006B62C5">
            <w:pPr>
              <w:spacing w:line="240" w:lineRule="auto"/>
              <w:rPr>
                <w:i/>
              </w:rPr>
            </w:pPr>
            <w:r>
              <w:rPr>
                <w:i/>
              </w:rPr>
              <w:t xml:space="preserve">Psychological well-being, teachers, work </w:t>
            </w:r>
            <w:r>
              <w:rPr>
                <w:i/>
              </w:rPr>
              <w:t>performance, education</w:t>
            </w:r>
          </w:p>
        </w:tc>
      </w:tr>
      <w:tr w:rsidR="00C72315" w14:paraId="2E870809"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6EFA60A" w14:textId="77777777" w:rsidR="00C72315" w:rsidRDefault="006B62C5">
            <w:pPr>
              <w:spacing w:line="240" w:lineRule="auto"/>
              <w:jc w:val="center"/>
              <w:rPr>
                <w:i/>
              </w:rPr>
            </w:pPr>
            <w:r>
              <w:rPr>
                <w:i/>
              </w:rPr>
              <w:t>37</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2C1927E" w14:textId="77777777" w:rsidR="00C72315" w:rsidRDefault="006B62C5">
            <w:pPr>
              <w:spacing w:line="240" w:lineRule="auto"/>
              <w:jc w:val="center"/>
              <w:rPr>
                <w:i/>
              </w:rPr>
            </w:pPr>
            <w:r>
              <w:rPr>
                <w:i/>
              </w:rPr>
              <w:t>Bello, B.G., Tula, S.T., Omotoye, G.B.,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71DC2D6"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BC88E7E" w14:textId="77777777" w:rsidR="00C72315" w:rsidRDefault="006B62C5">
            <w:pPr>
              <w:spacing w:line="240" w:lineRule="auto"/>
              <w:rPr>
                <w:i/>
              </w:rPr>
            </w:pPr>
            <w:r>
              <w:rPr>
                <w:i/>
              </w:rPr>
              <w:t>Work-life balance and its impact in modern organizations: An HR review</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80F5043" w14:textId="77777777" w:rsidR="00C72315" w:rsidRDefault="006B62C5">
            <w:pPr>
              <w:spacing w:line="240" w:lineRule="auto"/>
              <w:rPr>
                <w:i/>
              </w:rPr>
            </w:pPr>
            <w:r>
              <w:rPr>
                <w:i/>
              </w:rPr>
              <w:t>Work-life balance, HR, modern organization, productivity</w:t>
            </w:r>
          </w:p>
        </w:tc>
      </w:tr>
      <w:tr w:rsidR="00C72315" w14:paraId="49C7352C"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D4C181D" w14:textId="77777777" w:rsidR="00C72315" w:rsidRDefault="006B62C5">
            <w:pPr>
              <w:spacing w:line="240" w:lineRule="auto"/>
              <w:jc w:val="center"/>
              <w:rPr>
                <w:i/>
              </w:rPr>
            </w:pPr>
            <w:r>
              <w:rPr>
                <w:i/>
              </w:rPr>
              <w:t>38</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3B45D804" w14:textId="77777777" w:rsidR="00C72315" w:rsidRDefault="006B62C5">
            <w:pPr>
              <w:spacing w:line="240" w:lineRule="auto"/>
              <w:jc w:val="center"/>
              <w:rPr>
                <w:i/>
              </w:rPr>
            </w:pPr>
            <w:r>
              <w:rPr>
                <w:i/>
              </w:rPr>
              <w:t>Mopkins, D., Lee, M., Malecha, A.</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17CF63C"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1FF1B0A" w14:textId="77777777" w:rsidR="00C72315" w:rsidRDefault="006B62C5">
            <w:pPr>
              <w:spacing w:line="240" w:lineRule="auto"/>
              <w:rPr>
                <w:i/>
              </w:rPr>
            </w:pPr>
            <w:r>
              <w:rPr>
                <w:i/>
              </w:rPr>
              <w:t>Personal, Social, and Workplace Environmental Factors Related to Psychological Well-Being</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2BD0DCD" w14:textId="77777777" w:rsidR="00C72315" w:rsidRDefault="006B62C5">
            <w:pPr>
              <w:spacing w:line="240" w:lineRule="auto"/>
              <w:rPr>
                <w:i/>
              </w:rPr>
            </w:pPr>
            <w:r>
              <w:rPr>
                <w:i/>
              </w:rPr>
              <w:t>Psychological well-being, university staff, and workplace factors</w:t>
            </w:r>
          </w:p>
        </w:tc>
      </w:tr>
      <w:tr w:rsidR="00C72315" w14:paraId="1EE7011A"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A4FA3F2" w14:textId="77777777" w:rsidR="00C72315" w:rsidRDefault="006B62C5">
            <w:pPr>
              <w:spacing w:line="240" w:lineRule="auto"/>
              <w:jc w:val="center"/>
              <w:rPr>
                <w:i/>
              </w:rPr>
            </w:pPr>
            <w:r>
              <w:rPr>
                <w:i/>
              </w:rPr>
              <w:t>39</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5C518408" w14:textId="77777777" w:rsidR="00C72315" w:rsidRDefault="006B62C5">
            <w:pPr>
              <w:spacing w:line="240" w:lineRule="auto"/>
              <w:jc w:val="center"/>
              <w:rPr>
                <w:i/>
              </w:rPr>
            </w:pPr>
            <w:r>
              <w:rPr>
                <w:i/>
              </w:rPr>
              <w:t>SYLEJMANI, M., MEŠKO, M.</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E43102E"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DD0966B" w14:textId="77777777" w:rsidR="00C72315" w:rsidRDefault="006B62C5">
            <w:pPr>
              <w:spacing w:line="240" w:lineRule="auto"/>
              <w:rPr>
                <w:i/>
              </w:rPr>
            </w:pPr>
            <w:r>
              <w:rPr>
                <w:i/>
              </w:rPr>
              <w:t>Managing Workplace Stress in Businesses in the Prishtina Region to Enhance Performance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36275B51" w14:textId="77777777" w:rsidR="00C72315" w:rsidRDefault="006B62C5">
            <w:pPr>
              <w:spacing w:line="240" w:lineRule="auto"/>
              <w:rPr>
                <w:i/>
              </w:rPr>
            </w:pPr>
            <w:r>
              <w:rPr>
                <w:i/>
              </w:rPr>
              <w:t>Workplace stress, business performance, Prishtina</w:t>
            </w:r>
          </w:p>
        </w:tc>
      </w:tr>
      <w:tr w:rsidR="00C72315" w14:paraId="44E10DC3"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F2211A6" w14:textId="77777777" w:rsidR="00C72315" w:rsidRDefault="006B62C5">
            <w:pPr>
              <w:spacing w:line="240" w:lineRule="auto"/>
              <w:jc w:val="center"/>
              <w:rPr>
                <w:i/>
              </w:rPr>
            </w:pPr>
            <w:r>
              <w:rPr>
                <w:i/>
              </w:rPr>
              <w:t>40</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790BC08D" w14:textId="77777777" w:rsidR="00C72315" w:rsidRDefault="006B62C5">
            <w:pPr>
              <w:spacing w:line="240" w:lineRule="auto"/>
              <w:jc w:val="center"/>
              <w:rPr>
                <w:i/>
              </w:rPr>
            </w:pPr>
            <w:r>
              <w:rPr>
                <w:i/>
              </w:rPr>
              <w:t>Powell, J., Conlon, J., Chivers, P., Cripps, A.</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52E6EAB7"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FC7544E" w14:textId="77777777" w:rsidR="00C72315" w:rsidRDefault="006B62C5">
            <w:pPr>
              <w:spacing w:line="240" w:lineRule="auto"/>
              <w:rPr>
                <w:i/>
              </w:rPr>
            </w:pPr>
            <w:r>
              <w:rPr>
                <w:i/>
              </w:rPr>
              <w:t>Training Smart; Exploring the Impact of a University Staff Fitness Program</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1CFA2EC5" w14:textId="77777777" w:rsidR="00C72315" w:rsidRDefault="006B62C5">
            <w:pPr>
              <w:spacing w:line="240" w:lineRule="auto"/>
              <w:rPr>
                <w:i/>
              </w:rPr>
            </w:pPr>
            <w:r>
              <w:rPr>
                <w:i/>
              </w:rPr>
              <w:t xml:space="preserve">Employee productivity, cognition, </w:t>
            </w:r>
            <w:r>
              <w:rPr>
                <w:i/>
              </w:rPr>
              <w:t>university staff, fitness program</w:t>
            </w:r>
          </w:p>
        </w:tc>
      </w:tr>
      <w:tr w:rsidR="00C72315" w14:paraId="3BF60FA6"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8D9D5A6" w14:textId="77777777" w:rsidR="00C72315" w:rsidRDefault="006B62C5">
            <w:pPr>
              <w:spacing w:line="240" w:lineRule="auto"/>
              <w:jc w:val="center"/>
              <w:rPr>
                <w:i/>
              </w:rPr>
            </w:pPr>
            <w:r>
              <w:rPr>
                <w:i/>
              </w:rPr>
              <w:t>41</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7E5F2AF" w14:textId="77777777" w:rsidR="00C72315" w:rsidRDefault="006B62C5">
            <w:pPr>
              <w:spacing w:line="240" w:lineRule="auto"/>
              <w:jc w:val="center"/>
              <w:rPr>
                <w:i/>
              </w:rPr>
            </w:pPr>
            <w:r>
              <w:rPr>
                <w:i/>
              </w:rPr>
              <w:t>Iswarya, V.S., Babima, M., Muhila, M.G., Dhaneesh, R.</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B9BF1F3"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89DD0F7" w14:textId="77777777" w:rsidR="00C72315" w:rsidRDefault="006B62C5">
            <w:pPr>
              <w:spacing w:line="240" w:lineRule="auto"/>
              <w:rPr>
                <w:i/>
              </w:rPr>
            </w:pPr>
            <w:r>
              <w:rPr>
                <w:i/>
              </w:rPr>
              <w:t>Enhancing well-being: evaluating the impact of stress management interventions for IT professionals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09667DD5" w14:textId="77777777" w:rsidR="00C72315" w:rsidRDefault="006B62C5">
            <w:pPr>
              <w:spacing w:line="240" w:lineRule="auto"/>
              <w:rPr>
                <w:i/>
              </w:rPr>
            </w:pPr>
            <w:r>
              <w:rPr>
                <w:i/>
              </w:rPr>
              <w:t xml:space="preserve">Stress management, IT professionals, well-being, </w:t>
            </w:r>
            <w:r>
              <w:rPr>
                <w:i/>
              </w:rPr>
              <w:t>mindfulness</w:t>
            </w:r>
          </w:p>
        </w:tc>
      </w:tr>
      <w:tr w:rsidR="00C72315" w14:paraId="0670CCB3"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9C320C7" w14:textId="77777777" w:rsidR="00C72315" w:rsidRDefault="006B62C5">
            <w:pPr>
              <w:spacing w:line="240" w:lineRule="auto"/>
              <w:jc w:val="center"/>
              <w:rPr>
                <w:i/>
              </w:rPr>
            </w:pPr>
            <w:r>
              <w:rPr>
                <w:i/>
              </w:rPr>
              <w:t>42</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7DCD6B73" w14:textId="77777777" w:rsidR="00C72315" w:rsidRDefault="006B62C5">
            <w:pPr>
              <w:spacing w:line="240" w:lineRule="auto"/>
              <w:jc w:val="center"/>
              <w:rPr>
                <w:i/>
              </w:rPr>
            </w:pPr>
            <w:r>
              <w:rPr>
                <w:i/>
              </w:rPr>
              <w:t>Joy, S., Kumar, A.A., Nair, S., Chandar, K.S.</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CA00FF7"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39153DE" w14:textId="77777777" w:rsidR="00C72315" w:rsidRDefault="006B62C5">
            <w:pPr>
              <w:spacing w:line="240" w:lineRule="auto"/>
              <w:rPr>
                <w:i/>
              </w:rPr>
            </w:pPr>
            <w:r>
              <w:rPr>
                <w:i/>
              </w:rPr>
              <w:t>Transforming Workplace Stress: The Importance of Neuroleadership</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94B3D05" w14:textId="77777777" w:rsidR="00C72315" w:rsidRDefault="006B62C5">
            <w:pPr>
              <w:spacing w:line="240" w:lineRule="auto"/>
              <w:rPr>
                <w:i/>
              </w:rPr>
            </w:pPr>
            <w:r>
              <w:rPr>
                <w:i/>
              </w:rPr>
              <w:t>Workplace stress, neuro leadership, resilience, emotional intelligence</w:t>
            </w:r>
          </w:p>
        </w:tc>
      </w:tr>
      <w:tr w:rsidR="00C72315" w14:paraId="59231F59"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069A760" w14:textId="77777777" w:rsidR="00C72315" w:rsidRDefault="006B62C5">
            <w:pPr>
              <w:spacing w:line="240" w:lineRule="auto"/>
              <w:jc w:val="center"/>
              <w:rPr>
                <w:i/>
              </w:rPr>
            </w:pPr>
            <w:r>
              <w:rPr>
                <w:i/>
              </w:rPr>
              <w:t>43</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046D821" w14:textId="77777777" w:rsidR="00C72315" w:rsidRDefault="006B62C5">
            <w:pPr>
              <w:spacing w:line="240" w:lineRule="auto"/>
              <w:jc w:val="center"/>
              <w:rPr>
                <w:i/>
              </w:rPr>
            </w:pPr>
            <w:r>
              <w:rPr>
                <w:i/>
              </w:rPr>
              <w:t>Thangaraja, T., Munusamy, P., Ramya, R.,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8DE440E"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1E58D4D" w14:textId="77777777" w:rsidR="00C72315" w:rsidRDefault="006B62C5">
            <w:pPr>
              <w:spacing w:line="240" w:lineRule="auto"/>
              <w:rPr>
                <w:i/>
              </w:rPr>
            </w:pPr>
            <w:r>
              <w:rPr>
                <w:i/>
              </w:rPr>
              <w:t>The Role Of Employee Engagement In The Relationship Between Staff Morale And Employee Wellbeing</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E6A8FFF" w14:textId="77777777" w:rsidR="00C72315" w:rsidRDefault="006B62C5">
            <w:pPr>
              <w:spacing w:line="240" w:lineRule="auto"/>
              <w:rPr>
                <w:i/>
              </w:rPr>
            </w:pPr>
            <w:r>
              <w:rPr>
                <w:i/>
              </w:rPr>
              <w:t>Employee engagement, staff morale, education, well-being</w:t>
            </w:r>
          </w:p>
        </w:tc>
      </w:tr>
      <w:tr w:rsidR="00C72315" w14:paraId="7C00FB85" w14:textId="77777777">
        <w:trPr>
          <w:trHeight w:val="878"/>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37680F5" w14:textId="77777777" w:rsidR="00C72315" w:rsidRDefault="006B62C5">
            <w:pPr>
              <w:spacing w:line="240" w:lineRule="auto"/>
              <w:jc w:val="center"/>
              <w:rPr>
                <w:i/>
              </w:rPr>
            </w:pPr>
            <w:r>
              <w:rPr>
                <w:i/>
              </w:rPr>
              <w:t>44</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43E18DC" w14:textId="77777777" w:rsidR="00C72315" w:rsidRDefault="006B62C5">
            <w:pPr>
              <w:spacing w:line="240" w:lineRule="auto"/>
              <w:jc w:val="center"/>
              <w:rPr>
                <w:i/>
              </w:rPr>
            </w:pPr>
            <w:r>
              <w:rPr>
                <w:i/>
              </w:rPr>
              <w:t>Vojtechovský, J., Poráziková, E.</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D4C924E" w14:textId="77777777" w:rsidR="00C72315" w:rsidRDefault="006B62C5">
            <w:pPr>
              <w:spacing w:line="240" w:lineRule="auto"/>
              <w:rPr>
                <w:b/>
                <w:i/>
              </w:rPr>
            </w:pPr>
            <w:r>
              <w:rPr>
                <w:b/>
                <w:i/>
              </w:rPr>
              <w:t>2023</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D9580C5" w14:textId="77777777" w:rsidR="00C72315" w:rsidRDefault="006B62C5">
            <w:pPr>
              <w:spacing w:line="240" w:lineRule="auto"/>
              <w:rPr>
                <w:i/>
              </w:rPr>
            </w:pPr>
            <w:r>
              <w:rPr>
                <w:i/>
              </w:rPr>
              <w:t>Elimination of Stress in the Work of Managers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B79D584" w14:textId="77777777" w:rsidR="00C72315" w:rsidRDefault="006B62C5">
            <w:pPr>
              <w:spacing w:line="240" w:lineRule="auto"/>
              <w:rPr>
                <w:i/>
              </w:rPr>
            </w:pPr>
            <w:r>
              <w:rPr>
                <w:i/>
              </w:rPr>
              <w:t>Stress management, work-life balance, managerial support</w:t>
            </w:r>
          </w:p>
        </w:tc>
      </w:tr>
      <w:tr w:rsidR="00C72315" w14:paraId="356C4675"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CBE23F6" w14:textId="77777777" w:rsidR="00C72315" w:rsidRDefault="006B62C5">
            <w:pPr>
              <w:spacing w:line="240" w:lineRule="auto"/>
              <w:jc w:val="center"/>
              <w:rPr>
                <w:i/>
              </w:rPr>
            </w:pPr>
            <w:r>
              <w:rPr>
                <w:i/>
              </w:rPr>
              <w:t>45</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35767DF1" w14:textId="77777777" w:rsidR="00C72315" w:rsidRDefault="006B62C5">
            <w:pPr>
              <w:spacing w:line="240" w:lineRule="auto"/>
              <w:jc w:val="center"/>
              <w:rPr>
                <w:i/>
              </w:rPr>
            </w:pPr>
            <w:r>
              <w:rPr>
                <w:i/>
              </w:rPr>
              <w:t>Putra, A.S.B., Kusumawati, E.D., Kartikasari, D.</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DCA5DC5"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777C1286" w14:textId="77777777" w:rsidR="00C72315" w:rsidRDefault="006B62C5">
            <w:pPr>
              <w:spacing w:line="240" w:lineRule="auto"/>
              <w:rPr>
                <w:i/>
              </w:rPr>
            </w:pPr>
            <w:r>
              <w:rPr>
                <w:i/>
              </w:rPr>
              <w:t>Unpacking the Roots and Impact of Workplace Well-being: A Literature Review</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DDF9537" w14:textId="77777777" w:rsidR="00C72315" w:rsidRDefault="006B62C5">
            <w:pPr>
              <w:spacing w:line="240" w:lineRule="auto"/>
              <w:rPr>
                <w:i/>
              </w:rPr>
            </w:pPr>
            <w:r>
              <w:rPr>
                <w:i/>
              </w:rPr>
              <w:t xml:space="preserve">Workplace well-being, job satisfaction, psychosocial </w:t>
            </w:r>
            <w:r>
              <w:rPr>
                <w:i/>
              </w:rPr>
              <w:t>factors</w:t>
            </w:r>
          </w:p>
        </w:tc>
      </w:tr>
      <w:tr w:rsidR="00C72315" w14:paraId="77D013C5"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5D7CA80" w14:textId="77777777" w:rsidR="00C72315" w:rsidRDefault="006B62C5">
            <w:pPr>
              <w:spacing w:line="240" w:lineRule="auto"/>
              <w:jc w:val="center"/>
              <w:rPr>
                <w:i/>
              </w:rPr>
            </w:pPr>
            <w:r>
              <w:rPr>
                <w:i/>
              </w:rPr>
              <w:t>46</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12805BBB" w14:textId="77777777" w:rsidR="00C72315" w:rsidRDefault="006B62C5">
            <w:pPr>
              <w:spacing w:line="240" w:lineRule="auto"/>
              <w:jc w:val="center"/>
              <w:rPr>
                <w:i/>
              </w:rPr>
            </w:pPr>
            <w:r>
              <w:rPr>
                <w:i/>
              </w:rPr>
              <w:t>Anyamesem-Poku, F., Parmar, R.M.</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14BD67F"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5709D81" w14:textId="77777777" w:rsidR="00C72315" w:rsidRDefault="006B62C5">
            <w:pPr>
              <w:spacing w:line="240" w:lineRule="auto"/>
              <w:rPr>
                <w:i/>
              </w:rPr>
            </w:pPr>
            <w:r>
              <w:rPr>
                <w:i/>
              </w:rPr>
              <w:t>Evaluating The Impact Of Teachers’ Psychological Well-Being On Work Performance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3C572FC3" w14:textId="77777777" w:rsidR="00C72315" w:rsidRDefault="006B62C5">
            <w:pPr>
              <w:spacing w:line="240" w:lineRule="auto"/>
              <w:rPr>
                <w:i/>
              </w:rPr>
            </w:pPr>
            <w:r>
              <w:rPr>
                <w:i/>
              </w:rPr>
              <w:t>Psychological well-being, teachers, work performance, education</w:t>
            </w:r>
          </w:p>
        </w:tc>
      </w:tr>
      <w:tr w:rsidR="00C72315" w14:paraId="576E6890"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049354CC" w14:textId="77777777" w:rsidR="00C72315" w:rsidRDefault="006B62C5">
            <w:pPr>
              <w:spacing w:line="240" w:lineRule="auto"/>
              <w:jc w:val="center"/>
              <w:rPr>
                <w:i/>
              </w:rPr>
            </w:pPr>
            <w:r>
              <w:rPr>
                <w:i/>
              </w:rPr>
              <w:t>47</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2328BCB3" w14:textId="77777777" w:rsidR="00C72315" w:rsidRDefault="006B62C5">
            <w:pPr>
              <w:spacing w:line="240" w:lineRule="auto"/>
              <w:jc w:val="center"/>
              <w:rPr>
                <w:i/>
              </w:rPr>
            </w:pPr>
            <w:r>
              <w:rPr>
                <w:i/>
              </w:rPr>
              <w:t>Bello, B.G., Tula, S.T., Omotoye, G.B., et al.</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6CDBE768"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B496C74" w14:textId="77777777" w:rsidR="00C72315" w:rsidRDefault="006B62C5">
            <w:pPr>
              <w:spacing w:line="240" w:lineRule="auto"/>
              <w:rPr>
                <w:i/>
              </w:rPr>
            </w:pPr>
            <w:r>
              <w:rPr>
                <w:i/>
              </w:rPr>
              <w:t>Work-life balance and its impact in modern organizations: An HR review</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AD278BA" w14:textId="77777777" w:rsidR="00C72315" w:rsidRDefault="006B62C5">
            <w:pPr>
              <w:spacing w:line="240" w:lineRule="auto"/>
              <w:rPr>
                <w:i/>
              </w:rPr>
            </w:pPr>
            <w:r>
              <w:rPr>
                <w:i/>
              </w:rPr>
              <w:t>Work-life balance, HR, modern organization, productivity</w:t>
            </w:r>
          </w:p>
        </w:tc>
      </w:tr>
      <w:tr w:rsidR="00C72315" w14:paraId="5F573B3A"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41AE32DB" w14:textId="77777777" w:rsidR="00C72315" w:rsidRDefault="006B62C5">
            <w:pPr>
              <w:spacing w:line="240" w:lineRule="auto"/>
              <w:jc w:val="center"/>
              <w:rPr>
                <w:i/>
              </w:rPr>
            </w:pPr>
            <w:r>
              <w:rPr>
                <w:i/>
              </w:rPr>
              <w:t>48</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52E1CD88" w14:textId="77777777" w:rsidR="00C72315" w:rsidRDefault="006B62C5">
            <w:pPr>
              <w:spacing w:line="240" w:lineRule="auto"/>
              <w:jc w:val="center"/>
              <w:rPr>
                <w:i/>
              </w:rPr>
            </w:pPr>
            <w:r>
              <w:rPr>
                <w:i/>
              </w:rPr>
              <w:t>Mopkins, D., Lee, M., Malecha, A.</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B96A94E"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DE9F971" w14:textId="77777777" w:rsidR="00C72315" w:rsidRDefault="006B62C5">
            <w:pPr>
              <w:spacing w:line="240" w:lineRule="auto"/>
              <w:rPr>
                <w:i/>
              </w:rPr>
            </w:pPr>
            <w:r>
              <w:rPr>
                <w:i/>
              </w:rPr>
              <w:t xml:space="preserve">Personal, Social, and Workplace Environmental Factors Related to </w:t>
            </w:r>
            <w:r>
              <w:rPr>
                <w:i/>
              </w:rPr>
              <w:t>Psychological Well-Being</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3413314E" w14:textId="77777777" w:rsidR="00C72315" w:rsidRDefault="006B62C5">
            <w:pPr>
              <w:spacing w:line="240" w:lineRule="auto"/>
              <w:rPr>
                <w:i/>
              </w:rPr>
            </w:pPr>
            <w:r>
              <w:rPr>
                <w:i/>
              </w:rPr>
              <w:t>Psychological well-being, university staff, and workplace factors</w:t>
            </w:r>
          </w:p>
        </w:tc>
      </w:tr>
      <w:tr w:rsidR="00C72315" w14:paraId="319A8BEB" w14:textId="77777777">
        <w:trPr>
          <w:trHeight w:val="1170"/>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087FB42" w14:textId="77777777" w:rsidR="00C72315" w:rsidRDefault="006B62C5">
            <w:pPr>
              <w:spacing w:line="240" w:lineRule="auto"/>
              <w:jc w:val="center"/>
              <w:rPr>
                <w:i/>
              </w:rPr>
            </w:pPr>
            <w:r>
              <w:rPr>
                <w:i/>
              </w:rPr>
              <w:t>49</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6BBEEEFC" w14:textId="77777777" w:rsidR="00C72315" w:rsidRDefault="006B62C5">
            <w:pPr>
              <w:spacing w:line="240" w:lineRule="auto"/>
              <w:jc w:val="center"/>
              <w:rPr>
                <w:i/>
              </w:rPr>
            </w:pPr>
            <w:r>
              <w:rPr>
                <w:i/>
              </w:rPr>
              <w:t>SYLEJMANI, M., MEŠKO, M.</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6E33BDA"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67BC8E1" w14:textId="77777777" w:rsidR="00C72315" w:rsidRDefault="006B62C5">
            <w:pPr>
              <w:spacing w:line="240" w:lineRule="auto"/>
              <w:rPr>
                <w:i/>
              </w:rPr>
            </w:pPr>
            <w:r>
              <w:rPr>
                <w:i/>
              </w:rPr>
              <w:t>Managing Workplace Stress in Businesses in the Prishtina Region to Enhance Performance</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5D6196E" w14:textId="77777777" w:rsidR="00C72315" w:rsidRDefault="006B62C5">
            <w:pPr>
              <w:spacing w:line="240" w:lineRule="auto"/>
              <w:rPr>
                <w:i/>
              </w:rPr>
            </w:pPr>
            <w:r>
              <w:rPr>
                <w:i/>
              </w:rPr>
              <w:t>Workplace stress, business performance, Prishtina</w:t>
            </w:r>
          </w:p>
        </w:tc>
      </w:tr>
      <w:tr w:rsidR="00C72315" w14:paraId="1D690D72" w14:textId="77777777">
        <w:trPr>
          <w:trHeight w:val="2243"/>
        </w:trPr>
        <w:tc>
          <w:tcPr>
            <w:tcW w:w="85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10F69310" w14:textId="77777777" w:rsidR="00C72315" w:rsidRDefault="006B62C5">
            <w:pPr>
              <w:spacing w:line="240" w:lineRule="auto"/>
              <w:jc w:val="center"/>
              <w:rPr>
                <w:i/>
              </w:rPr>
            </w:pPr>
            <w:r>
              <w:rPr>
                <w:i/>
              </w:rPr>
              <w:t>50</w:t>
            </w:r>
          </w:p>
        </w:tc>
        <w:tc>
          <w:tcPr>
            <w:tcW w:w="1619"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vAlign w:val="center"/>
          </w:tcPr>
          <w:p w14:paraId="5E747460" w14:textId="77777777" w:rsidR="00C72315" w:rsidRDefault="006B62C5">
            <w:pPr>
              <w:spacing w:line="240" w:lineRule="auto"/>
              <w:jc w:val="center"/>
              <w:rPr>
                <w:i/>
              </w:rPr>
            </w:pPr>
            <w:r>
              <w:rPr>
                <w:i/>
              </w:rPr>
              <w:t>Daghagh Yazd, S., Karaman, M.A., Fathi, S., Alsarraf, A., Alajmi, S., Rutabian, S. and Aladwani, M.</w:t>
            </w:r>
          </w:p>
        </w:tc>
        <w:tc>
          <w:tcPr>
            <w:tcW w:w="772"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34A15D1E" w14:textId="77777777" w:rsidR="00C72315" w:rsidRDefault="006B62C5">
            <w:pPr>
              <w:spacing w:line="240" w:lineRule="auto"/>
              <w:rPr>
                <w:b/>
                <w:i/>
              </w:rPr>
            </w:pPr>
            <w:r>
              <w:rPr>
                <w:b/>
                <w:i/>
              </w:rPr>
              <w:t>2024</w:t>
            </w:r>
          </w:p>
        </w:tc>
        <w:tc>
          <w:tcPr>
            <w:tcW w:w="3213" w:type="dxa"/>
            <w:tcBorders>
              <w:top w:val="single" w:sz="4" w:space="0" w:color="000000"/>
              <w:left w:val="single" w:sz="4" w:space="0" w:color="000000"/>
              <w:bottom w:val="single" w:sz="4" w:space="0" w:color="000000"/>
              <w:right w:val="single" w:sz="4" w:space="0" w:color="000000"/>
            </w:tcBorders>
            <w:shd w:val="clear" w:color="auto" w:fill="F3F3F3"/>
            <w:tcMar>
              <w:top w:w="100" w:type="dxa"/>
              <w:left w:w="100" w:type="dxa"/>
              <w:bottom w:w="100" w:type="dxa"/>
              <w:right w:w="100" w:type="dxa"/>
            </w:tcMar>
            <w:vAlign w:val="center"/>
          </w:tcPr>
          <w:p w14:paraId="2D7E245D" w14:textId="77777777" w:rsidR="00C72315" w:rsidRDefault="006B62C5">
            <w:pPr>
              <w:spacing w:line="240" w:lineRule="auto"/>
              <w:rPr>
                <w:i/>
              </w:rPr>
            </w:pPr>
            <w:r>
              <w:rPr>
                <w:i/>
              </w:rPr>
              <w:t>Examining the impact of working conditions, lifestyle choices, and demographic factors on mental health of industrial workers</w:t>
            </w:r>
          </w:p>
        </w:tc>
        <w:tc>
          <w:tcPr>
            <w:tcW w:w="2569" w:type="dxa"/>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B45BCCE" w14:textId="77777777" w:rsidR="00C72315" w:rsidRDefault="006B62C5">
            <w:pPr>
              <w:spacing w:line="240" w:lineRule="auto"/>
              <w:rPr>
                <w:i/>
              </w:rPr>
            </w:pPr>
            <w:r>
              <w:rPr>
                <w:i/>
              </w:rPr>
              <w:t>Mental health, Industrial workers, Lifestyle choices, Working conditions, Demographic factors</w:t>
            </w:r>
          </w:p>
        </w:tc>
      </w:tr>
    </w:tbl>
    <w:p w14:paraId="62358363" w14:textId="77777777" w:rsidR="00C72315" w:rsidRDefault="00C72315">
      <w:pPr>
        <w:spacing w:line="276" w:lineRule="auto"/>
      </w:pPr>
    </w:p>
    <w:p w14:paraId="39FE56EA" w14:textId="77777777" w:rsidR="00C72315" w:rsidRDefault="006B62C5">
      <w:pPr>
        <w:spacing w:line="276" w:lineRule="auto"/>
        <w:jc w:val="center"/>
        <w:rPr>
          <w:b/>
        </w:rPr>
      </w:pPr>
      <w:r>
        <w:rPr>
          <w:b/>
        </w:rPr>
        <w:t>Table 1: Data extraction table</w:t>
      </w:r>
    </w:p>
    <w:p w14:paraId="6D5922B3" w14:textId="77777777" w:rsidR="00C72315" w:rsidRDefault="006B62C5">
      <w:pPr>
        <w:spacing w:line="276" w:lineRule="auto"/>
        <w:jc w:val="center"/>
        <w:rPr>
          <w:b/>
        </w:rPr>
      </w:pPr>
      <w:r>
        <w:t>(Sources: Self-made)</w:t>
      </w:r>
    </w:p>
    <w:p w14:paraId="0F95291D" w14:textId="77777777" w:rsidR="00C72315" w:rsidRDefault="006B62C5">
      <w:pPr>
        <w:pStyle w:val="Heading2"/>
        <w:spacing w:before="0" w:after="0"/>
      </w:pPr>
      <w:bookmarkStart w:id="40" w:name="_heading=h.ftgsjn55z9p3" w:colFirst="0" w:colLast="0"/>
      <w:bookmarkEnd w:id="40"/>
      <w:r>
        <w:t>4.3 Generation of themes</w:t>
      </w:r>
    </w:p>
    <w:p w14:paraId="6856E937" w14:textId="77777777" w:rsidR="00C72315" w:rsidRDefault="006B62C5">
      <w:r>
        <w:t xml:space="preserve">In terms of this perspective, thematic analysis is an essential component of qualitative research, often used in academic and educational environments as well as this methodology facilitates the identification of underlying assumptions and the collection of comprehensive information from textual data alongside an integral aspect of this methodology is the investigation of thematic analysis which ought to be crucial for discerning recurring patterns and themes within qualitative data towards to resulting in </w:t>
      </w:r>
      <w:r>
        <w:t>a more profound comprehension of the subject matter respectively. On top of that, the Thematic analysis entails the creation of themes that are in line with the goals of the study as well as the widely used approach for this objective is the six-phase model of theme creation, as delineated by Traore, (2023). In this manner, the model offers a systematic methodology for investigating themes which is often regarded as the highest level of quality for this kind of analysis as well as this approach delineates s</w:t>
      </w:r>
      <w:r>
        <w:t>ix specific processes that help to the methodical discovery and interpretation of themes thereby augmenting the rigour and dependability of the analytical process respectively.</w:t>
      </w:r>
    </w:p>
    <w:p w14:paraId="693DDF36" w14:textId="77777777" w:rsidR="00C72315" w:rsidRDefault="006B62C5">
      <w:pPr>
        <w:rPr>
          <w:b/>
        </w:rPr>
      </w:pPr>
      <w:r>
        <w:rPr>
          <w:b/>
        </w:rPr>
        <w:t>Familiarisation</w:t>
      </w:r>
    </w:p>
    <w:p w14:paraId="05A8FA9B" w14:textId="77777777" w:rsidR="00C72315" w:rsidRDefault="006B62C5">
      <w:r>
        <w:t>The Initial phase of theme generation familiarisation is the primary stage in the process of generating themes from qualitative data as well as it begins with a detailed examination and understanding of the research transcripts as well as this foundational step is crucial as it sets the stage for subsequent data analysis alongside thoroughly reviewing the transcripts, researchers ought to grasp the overarching context of the research gaining a comprehensive understanding of the research content. In terms of</w:t>
      </w:r>
      <w:r>
        <w:t xml:space="preserve"> this perspective, during the familiarisation stage researchers take preliminary notes to capture their initial impressions and observations as well as they ought to also review key themes and main findings from relevant journal articles to enhance their understanding and provide a broader context for the analysis towards the desired process helps researchers identify patterns, trends, and potential themes within the data that laying the groundwork for further analysis (Hubbard </w:t>
      </w:r>
      <w:r>
        <w:rPr>
          <w:i/>
        </w:rPr>
        <w:t xml:space="preserve">et al. </w:t>
      </w:r>
      <w:r>
        <w:t>2022). In a precise ma</w:t>
      </w:r>
      <w:r>
        <w:t>nner, the familiarisation is a critical step that allows researchers to immerse themselves in the data eventually enabling them to develop a deeper understanding of the research content as well as it provides the necessary foundation for generating meaningful themes that accurately reflect the data and contribute to the overall research findings respectively.</w:t>
      </w:r>
    </w:p>
    <w:p w14:paraId="3EA2B392" w14:textId="77777777" w:rsidR="00C72315" w:rsidRDefault="006B62C5">
      <w:pPr>
        <w:rPr>
          <w:b/>
        </w:rPr>
      </w:pPr>
      <w:r>
        <w:rPr>
          <w:b/>
        </w:rPr>
        <w:t>Generate Initial Codes</w:t>
      </w:r>
    </w:p>
    <w:p w14:paraId="02CFC8C7" w14:textId="77777777" w:rsidR="00C72315" w:rsidRDefault="006B62C5">
      <w:r>
        <w:t>In this time of the generate initial codes, is a significant stage in the qualitative information examination technique, as it includes methodicallly marking and classifying information sections in light of their substance and importance too this cycle likewise assists scientists with coordinating the information and recognize key topics and examples that should arise as well as during the underlying coding process, specialists dole out codes to explicit information portions to catch the quintessence of the</w:t>
      </w:r>
      <w:r>
        <w:t xml:space="preserve"> data held inside themselves (Locke et al. 2022). In an exact way, the codes are commonly short expressions or marks that sum up the substance of the information portion for instance an information section examining representative fulfillment should be coded as "work fulfillment as well as the underlying coding process is iterative, with specialists persistently refining and modifying codes as new bits of knowledge rise out of the information close by this iterative cycle permits scientists to investigate t</w:t>
      </w:r>
      <w:r>
        <w:t>he information top to bottom, distinguishing associations between various codes and fostering a more nuanced comprehension of the information (Lester et al. 2020). On this side, creating beginning codes assumes a significant part during the time spent subjective information examination as it permits specialists to structure and grasp the gathered data. The information becomes deciphered and coded in an efficient way which permits the specialist to track down associations and examples. The recognized subject</w:t>
      </w:r>
      <w:r>
        <w:t>s are subsequently utilized in the resulting phases of examination.</w:t>
      </w:r>
    </w:p>
    <w:p w14:paraId="78561A82" w14:textId="77777777" w:rsidR="00C72315" w:rsidRDefault="006B62C5">
      <w:r>
        <w:t xml:space="preserve"> </w:t>
      </w:r>
    </w:p>
    <w:sdt>
      <w:sdtPr>
        <w:tag w:val="goog_rdk_0"/>
        <w:id w:val="-361819842"/>
        <w:lock w:val="contentLocked"/>
      </w:sdtPr>
      <w:sdtEndPr/>
      <w:sdtContent>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C72315" w14:paraId="3532B622" w14:textId="77777777">
            <w:tc>
              <w:tcPr>
                <w:tcW w:w="3009" w:type="dxa"/>
                <w:shd w:val="clear" w:color="auto" w:fill="D9D9D9"/>
                <w:tcMar>
                  <w:top w:w="100" w:type="dxa"/>
                  <w:left w:w="100" w:type="dxa"/>
                  <w:bottom w:w="100" w:type="dxa"/>
                  <w:right w:w="100" w:type="dxa"/>
                </w:tcMar>
              </w:tcPr>
              <w:p w14:paraId="1A43F17B" w14:textId="77777777" w:rsidR="00C72315" w:rsidRDefault="006B62C5">
                <w:pPr>
                  <w:widowControl w:val="0"/>
                  <w:spacing w:line="240" w:lineRule="auto"/>
                  <w:jc w:val="center"/>
                  <w:rPr>
                    <w:b/>
                    <w:i/>
                  </w:rPr>
                </w:pPr>
                <w:r>
                  <w:rPr>
                    <w:b/>
                    <w:i/>
                  </w:rPr>
                  <w:t>Code</w:t>
                </w:r>
              </w:p>
            </w:tc>
            <w:tc>
              <w:tcPr>
                <w:tcW w:w="3010" w:type="dxa"/>
                <w:shd w:val="clear" w:color="auto" w:fill="D9D9D9"/>
                <w:tcMar>
                  <w:top w:w="100" w:type="dxa"/>
                  <w:left w:w="100" w:type="dxa"/>
                  <w:bottom w:w="100" w:type="dxa"/>
                  <w:right w:w="100" w:type="dxa"/>
                </w:tcMar>
              </w:tcPr>
              <w:p w14:paraId="3B93B6A7" w14:textId="77777777" w:rsidR="00C72315" w:rsidRDefault="006B62C5">
                <w:pPr>
                  <w:widowControl w:val="0"/>
                  <w:spacing w:line="240" w:lineRule="auto"/>
                  <w:jc w:val="center"/>
                  <w:rPr>
                    <w:b/>
                    <w:i/>
                  </w:rPr>
                </w:pPr>
                <w:r>
                  <w:rPr>
                    <w:b/>
                    <w:i/>
                  </w:rPr>
                  <w:t>Theme</w:t>
                </w:r>
              </w:p>
            </w:tc>
            <w:tc>
              <w:tcPr>
                <w:tcW w:w="3010" w:type="dxa"/>
                <w:shd w:val="clear" w:color="auto" w:fill="D9D9D9"/>
                <w:tcMar>
                  <w:top w:w="100" w:type="dxa"/>
                  <w:left w:w="100" w:type="dxa"/>
                  <w:bottom w:w="100" w:type="dxa"/>
                  <w:right w:w="100" w:type="dxa"/>
                </w:tcMar>
              </w:tcPr>
              <w:p w14:paraId="2CD2FCA3" w14:textId="77777777" w:rsidR="00C72315" w:rsidRDefault="006B62C5">
                <w:pPr>
                  <w:widowControl w:val="0"/>
                  <w:spacing w:line="240" w:lineRule="auto"/>
                  <w:jc w:val="center"/>
                  <w:rPr>
                    <w:b/>
                    <w:i/>
                  </w:rPr>
                </w:pPr>
                <w:r>
                  <w:rPr>
                    <w:b/>
                    <w:i/>
                  </w:rPr>
                  <w:t>Objective</w:t>
                </w:r>
              </w:p>
            </w:tc>
          </w:tr>
          <w:tr w:rsidR="00C72315" w14:paraId="3BFB6291" w14:textId="77777777">
            <w:tc>
              <w:tcPr>
                <w:tcW w:w="3009" w:type="dxa"/>
                <w:shd w:val="clear" w:color="auto" w:fill="FCE5CD"/>
                <w:tcMar>
                  <w:top w:w="100" w:type="dxa"/>
                  <w:left w:w="100" w:type="dxa"/>
                  <w:bottom w:w="100" w:type="dxa"/>
                  <w:right w:w="100" w:type="dxa"/>
                </w:tcMar>
              </w:tcPr>
              <w:p w14:paraId="758203AD" w14:textId="77777777" w:rsidR="00C72315" w:rsidRDefault="006B62C5">
                <w:pPr>
                  <w:widowControl w:val="0"/>
                  <w:spacing w:line="240" w:lineRule="auto"/>
                  <w:jc w:val="center"/>
                  <w:rPr>
                    <w:i/>
                  </w:rPr>
                </w:pPr>
                <w:r>
                  <w:rPr>
                    <w:i/>
                  </w:rPr>
                  <w:t>WellnessPrograms/ Effectiveness</w:t>
                </w:r>
              </w:p>
            </w:tc>
            <w:tc>
              <w:tcPr>
                <w:tcW w:w="3010" w:type="dxa"/>
                <w:shd w:val="clear" w:color="auto" w:fill="D0E0E3"/>
                <w:tcMar>
                  <w:top w:w="100" w:type="dxa"/>
                  <w:left w:w="100" w:type="dxa"/>
                  <w:bottom w:w="100" w:type="dxa"/>
                  <w:right w:w="100" w:type="dxa"/>
                </w:tcMar>
              </w:tcPr>
              <w:p w14:paraId="17D3EF13" w14:textId="77777777" w:rsidR="00C72315" w:rsidRDefault="006B62C5">
                <w:pPr>
                  <w:widowControl w:val="0"/>
                  <w:spacing w:line="240" w:lineRule="auto"/>
                  <w:jc w:val="center"/>
                  <w:rPr>
                    <w:i/>
                  </w:rPr>
                </w:pPr>
                <w:r>
                  <w:rPr>
                    <w:i/>
                  </w:rPr>
                  <w:t xml:space="preserve">Promoting Employee Well-being: The Impact of Wellness </w:t>
                </w:r>
                <w:r>
                  <w:rPr>
                    <w:i/>
                  </w:rPr>
                  <w:t>Programs on Health and Productivity</w:t>
                </w:r>
              </w:p>
            </w:tc>
            <w:tc>
              <w:tcPr>
                <w:tcW w:w="3010" w:type="dxa"/>
                <w:shd w:val="clear" w:color="auto" w:fill="CFE2F3"/>
                <w:tcMar>
                  <w:top w:w="100" w:type="dxa"/>
                  <w:left w:w="100" w:type="dxa"/>
                  <w:bottom w:w="100" w:type="dxa"/>
                  <w:right w:w="100" w:type="dxa"/>
                </w:tcMar>
              </w:tcPr>
              <w:p w14:paraId="38875CAE" w14:textId="77777777" w:rsidR="00C72315" w:rsidRDefault="006B62C5">
                <w:pPr>
                  <w:widowControl w:val="0"/>
                  <w:spacing w:line="240" w:lineRule="auto"/>
                  <w:jc w:val="center"/>
                  <w:rPr>
                    <w:i/>
                  </w:rPr>
                </w:pPr>
                <w:r>
                  <w:rPr>
                    <w:i/>
                  </w:rPr>
                  <w:t>Objective 1</w:t>
                </w:r>
              </w:p>
            </w:tc>
          </w:tr>
          <w:tr w:rsidR="00C72315" w14:paraId="6347152C" w14:textId="77777777">
            <w:tc>
              <w:tcPr>
                <w:tcW w:w="3009" w:type="dxa"/>
                <w:shd w:val="clear" w:color="auto" w:fill="FCE5CD"/>
                <w:tcMar>
                  <w:top w:w="100" w:type="dxa"/>
                  <w:left w:w="100" w:type="dxa"/>
                  <w:bottom w:w="100" w:type="dxa"/>
                  <w:right w:w="100" w:type="dxa"/>
                </w:tcMar>
              </w:tcPr>
              <w:p w14:paraId="360128F9" w14:textId="77777777" w:rsidR="00C72315" w:rsidRDefault="006B62C5">
                <w:pPr>
                  <w:widowControl w:val="0"/>
                  <w:spacing w:line="240" w:lineRule="auto"/>
                  <w:jc w:val="center"/>
                  <w:rPr>
                    <w:i/>
                  </w:rPr>
                </w:pPr>
                <w:r>
                  <w:rPr>
                    <w:i/>
                  </w:rPr>
                  <w:t>WellnessProgram/Components</w:t>
                </w:r>
              </w:p>
            </w:tc>
            <w:tc>
              <w:tcPr>
                <w:tcW w:w="3010" w:type="dxa"/>
                <w:shd w:val="clear" w:color="auto" w:fill="D0E0E3"/>
                <w:tcMar>
                  <w:top w:w="100" w:type="dxa"/>
                  <w:left w:w="100" w:type="dxa"/>
                  <w:bottom w:w="100" w:type="dxa"/>
                  <w:right w:w="100" w:type="dxa"/>
                </w:tcMar>
              </w:tcPr>
              <w:p w14:paraId="658D9931" w14:textId="77777777" w:rsidR="00C72315" w:rsidRDefault="006B62C5">
                <w:pPr>
                  <w:widowControl w:val="0"/>
                  <w:spacing w:line="240" w:lineRule="auto"/>
                  <w:jc w:val="center"/>
                  <w:rPr>
                    <w:i/>
                  </w:rPr>
                </w:pPr>
                <w:r>
                  <w:rPr>
                    <w:i/>
                  </w:rPr>
                  <w:t>Employee Wellness Program Structure and Implementation Across Organizations</w:t>
                </w:r>
              </w:p>
            </w:tc>
            <w:tc>
              <w:tcPr>
                <w:tcW w:w="3010" w:type="dxa"/>
                <w:shd w:val="clear" w:color="auto" w:fill="CFE2F3"/>
                <w:tcMar>
                  <w:top w:w="100" w:type="dxa"/>
                  <w:left w:w="100" w:type="dxa"/>
                  <w:bottom w:w="100" w:type="dxa"/>
                  <w:right w:w="100" w:type="dxa"/>
                </w:tcMar>
              </w:tcPr>
              <w:p w14:paraId="043AEA9C" w14:textId="77777777" w:rsidR="00C72315" w:rsidRDefault="006B62C5">
                <w:pPr>
                  <w:widowControl w:val="0"/>
                  <w:spacing w:line="240" w:lineRule="auto"/>
                  <w:jc w:val="center"/>
                  <w:rPr>
                    <w:i/>
                  </w:rPr>
                </w:pPr>
                <w:r>
                  <w:rPr>
                    <w:i/>
                  </w:rPr>
                  <w:t>Objective 2</w:t>
                </w:r>
              </w:p>
            </w:tc>
          </w:tr>
          <w:tr w:rsidR="00C72315" w14:paraId="58DBBE00" w14:textId="77777777">
            <w:tc>
              <w:tcPr>
                <w:tcW w:w="3009" w:type="dxa"/>
                <w:shd w:val="clear" w:color="auto" w:fill="FCE5CD"/>
                <w:tcMar>
                  <w:top w:w="100" w:type="dxa"/>
                  <w:left w:w="100" w:type="dxa"/>
                  <w:bottom w:w="100" w:type="dxa"/>
                  <w:right w:w="100" w:type="dxa"/>
                </w:tcMar>
              </w:tcPr>
              <w:p w14:paraId="39042329" w14:textId="77777777" w:rsidR="00C72315" w:rsidRDefault="006B62C5">
                <w:pPr>
                  <w:widowControl w:val="0"/>
                  <w:spacing w:line="240" w:lineRule="auto"/>
                  <w:jc w:val="center"/>
                  <w:rPr>
                    <w:i/>
                  </w:rPr>
                </w:pPr>
                <w:r>
                  <w:rPr>
                    <w:i/>
                  </w:rPr>
                  <w:t>WellnessProgram/Effectiveness</w:t>
                </w:r>
              </w:p>
            </w:tc>
            <w:tc>
              <w:tcPr>
                <w:tcW w:w="3010" w:type="dxa"/>
                <w:shd w:val="clear" w:color="auto" w:fill="D0E0E3"/>
                <w:tcMar>
                  <w:top w:w="100" w:type="dxa"/>
                  <w:left w:w="100" w:type="dxa"/>
                  <w:bottom w:w="100" w:type="dxa"/>
                  <w:right w:w="100" w:type="dxa"/>
                </w:tcMar>
              </w:tcPr>
              <w:p w14:paraId="6EC59E21" w14:textId="77777777" w:rsidR="00C72315" w:rsidRDefault="006B62C5">
                <w:pPr>
                  <w:widowControl w:val="0"/>
                  <w:spacing w:line="240" w:lineRule="auto"/>
                  <w:jc w:val="center"/>
                  <w:rPr>
                    <w:i/>
                  </w:rPr>
                </w:pPr>
                <w:r>
                  <w:rPr>
                    <w:i/>
                  </w:rPr>
                  <w:t xml:space="preserve">Wellness Program Impact on Workforce Well-being and Job </w:t>
                </w:r>
                <w:r>
                  <w:rPr>
                    <w:i/>
                  </w:rPr>
                  <w:t>Satisfaction</w:t>
                </w:r>
              </w:p>
            </w:tc>
            <w:tc>
              <w:tcPr>
                <w:tcW w:w="3010" w:type="dxa"/>
                <w:shd w:val="clear" w:color="auto" w:fill="CFE2F3"/>
                <w:tcMar>
                  <w:top w:w="100" w:type="dxa"/>
                  <w:left w:w="100" w:type="dxa"/>
                  <w:bottom w:w="100" w:type="dxa"/>
                  <w:right w:w="100" w:type="dxa"/>
                </w:tcMar>
              </w:tcPr>
              <w:p w14:paraId="2E5047B5" w14:textId="77777777" w:rsidR="00C72315" w:rsidRDefault="006B62C5">
                <w:pPr>
                  <w:widowControl w:val="0"/>
                  <w:spacing w:line="240" w:lineRule="auto"/>
                  <w:jc w:val="center"/>
                  <w:rPr>
                    <w:i/>
                  </w:rPr>
                </w:pPr>
                <w:r>
                  <w:rPr>
                    <w:i/>
                  </w:rPr>
                  <w:t>Objective 3</w:t>
                </w:r>
              </w:p>
            </w:tc>
          </w:tr>
          <w:tr w:rsidR="00C72315" w14:paraId="6F8EF9D2" w14:textId="77777777">
            <w:tc>
              <w:tcPr>
                <w:tcW w:w="3009" w:type="dxa"/>
                <w:shd w:val="clear" w:color="auto" w:fill="FCE5CD"/>
                <w:tcMar>
                  <w:top w:w="100" w:type="dxa"/>
                  <w:left w:w="100" w:type="dxa"/>
                  <w:bottom w:w="100" w:type="dxa"/>
                  <w:right w:w="100" w:type="dxa"/>
                </w:tcMar>
              </w:tcPr>
              <w:p w14:paraId="0114D847" w14:textId="77777777" w:rsidR="00C72315" w:rsidRDefault="006B62C5">
                <w:pPr>
                  <w:widowControl w:val="0"/>
                  <w:spacing w:line="240" w:lineRule="auto"/>
                  <w:jc w:val="center"/>
                  <w:rPr>
                    <w:i/>
                  </w:rPr>
                </w:pPr>
                <w:r>
                  <w:rPr>
                    <w:i/>
                  </w:rPr>
                  <w:t>Employee Wellness/Program Engagement Factors</w:t>
                </w:r>
              </w:p>
            </w:tc>
            <w:tc>
              <w:tcPr>
                <w:tcW w:w="3010" w:type="dxa"/>
                <w:shd w:val="clear" w:color="auto" w:fill="D0E0E3"/>
                <w:tcMar>
                  <w:top w:w="100" w:type="dxa"/>
                  <w:left w:w="100" w:type="dxa"/>
                  <w:bottom w:w="100" w:type="dxa"/>
                  <w:right w:w="100" w:type="dxa"/>
                </w:tcMar>
              </w:tcPr>
              <w:p w14:paraId="17B9B9D8" w14:textId="77777777" w:rsidR="00C72315" w:rsidRDefault="006B62C5">
                <w:pPr>
                  <w:widowControl w:val="0"/>
                  <w:spacing w:line="240" w:lineRule="auto"/>
                  <w:jc w:val="center"/>
                  <w:rPr>
                    <w:i/>
                  </w:rPr>
                </w:pPr>
                <w:r>
                  <w:rPr>
                    <w:i/>
                  </w:rPr>
                  <w:t>Factors Influencing Employee Engagement with Wellness Programs</w:t>
                </w:r>
              </w:p>
            </w:tc>
            <w:tc>
              <w:tcPr>
                <w:tcW w:w="3010" w:type="dxa"/>
                <w:shd w:val="clear" w:color="auto" w:fill="CFE2F3"/>
                <w:tcMar>
                  <w:top w:w="100" w:type="dxa"/>
                  <w:left w:w="100" w:type="dxa"/>
                  <w:bottom w:w="100" w:type="dxa"/>
                  <w:right w:w="100" w:type="dxa"/>
                </w:tcMar>
              </w:tcPr>
              <w:p w14:paraId="4B1B40BA" w14:textId="77777777" w:rsidR="00C72315" w:rsidRDefault="006B62C5">
                <w:pPr>
                  <w:widowControl w:val="0"/>
                  <w:spacing w:line="240" w:lineRule="auto"/>
                  <w:jc w:val="center"/>
                  <w:rPr>
                    <w:i/>
                  </w:rPr>
                </w:pPr>
                <w:r>
                  <w:rPr>
                    <w:i/>
                  </w:rPr>
                  <w:t>Objective 4</w:t>
                </w:r>
              </w:p>
            </w:tc>
          </w:tr>
          <w:tr w:rsidR="00C72315" w14:paraId="5A21F50D" w14:textId="77777777">
            <w:tc>
              <w:tcPr>
                <w:tcW w:w="3009" w:type="dxa"/>
                <w:shd w:val="clear" w:color="auto" w:fill="FCE5CD"/>
                <w:tcMar>
                  <w:top w:w="100" w:type="dxa"/>
                  <w:left w:w="100" w:type="dxa"/>
                  <w:bottom w:w="100" w:type="dxa"/>
                  <w:right w:w="100" w:type="dxa"/>
                </w:tcMar>
              </w:tcPr>
              <w:p w14:paraId="5B12D224" w14:textId="77777777" w:rsidR="00C72315" w:rsidRDefault="006B62C5">
                <w:pPr>
                  <w:widowControl w:val="0"/>
                  <w:spacing w:line="240" w:lineRule="auto"/>
                  <w:jc w:val="center"/>
                  <w:rPr>
                    <w:i/>
                  </w:rPr>
                </w:pPr>
                <w:r>
                  <w:rPr>
                    <w:i/>
                  </w:rPr>
                  <w:t>Wellness Program/ Challenges</w:t>
                </w:r>
              </w:p>
            </w:tc>
            <w:tc>
              <w:tcPr>
                <w:tcW w:w="3010" w:type="dxa"/>
                <w:shd w:val="clear" w:color="auto" w:fill="D0E0E3"/>
                <w:tcMar>
                  <w:top w:w="100" w:type="dxa"/>
                  <w:left w:w="100" w:type="dxa"/>
                  <w:bottom w:w="100" w:type="dxa"/>
                  <w:right w:w="100" w:type="dxa"/>
                </w:tcMar>
              </w:tcPr>
              <w:p w14:paraId="7C149BA5" w14:textId="77777777" w:rsidR="00C72315" w:rsidRDefault="006B62C5">
                <w:pPr>
                  <w:widowControl w:val="0"/>
                  <w:spacing w:line="240" w:lineRule="auto"/>
                  <w:jc w:val="center"/>
                  <w:rPr>
                    <w:i/>
                  </w:rPr>
                </w:pPr>
                <w:r>
                  <w:rPr>
                    <w:i/>
                  </w:rPr>
                  <w:t>Challenges in Implementing Effective Workforce Wellness Programs</w:t>
                </w:r>
              </w:p>
            </w:tc>
            <w:tc>
              <w:tcPr>
                <w:tcW w:w="3010" w:type="dxa"/>
                <w:shd w:val="clear" w:color="auto" w:fill="CFE2F3"/>
                <w:tcMar>
                  <w:top w:w="100" w:type="dxa"/>
                  <w:left w:w="100" w:type="dxa"/>
                  <w:bottom w:w="100" w:type="dxa"/>
                  <w:right w:w="100" w:type="dxa"/>
                </w:tcMar>
              </w:tcPr>
              <w:p w14:paraId="3DA410B6" w14:textId="77777777" w:rsidR="00C72315" w:rsidRDefault="006B62C5">
                <w:pPr>
                  <w:widowControl w:val="0"/>
                  <w:spacing w:line="240" w:lineRule="auto"/>
                  <w:jc w:val="center"/>
                  <w:rPr>
                    <w:i/>
                  </w:rPr>
                </w:pPr>
                <w:r>
                  <w:rPr>
                    <w:i/>
                  </w:rPr>
                  <w:t>Objective 5</w:t>
                </w:r>
              </w:p>
            </w:tc>
          </w:tr>
          <w:tr w:rsidR="00C72315" w14:paraId="116DFDD0" w14:textId="77777777">
            <w:tc>
              <w:tcPr>
                <w:tcW w:w="3009" w:type="dxa"/>
                <w:shd w:val="clear" w:color="auto" w:fill="FCE5CD"/>
                <w:tcMar>
                  <w:top w:w="100" w:type="dxa"/>
                  <w:left w:w="100" w:type="dxa"/>
                  <w:bottom w:w="100" w:type="dxa"/>
                  <w:right w:w="100" w:type="dxa"/>
                </w:tcMar>
              </w:tcPr>
              <w:p w14:paraId="63C2D2E1" w14:textId="77777777" w:rsidR="00C72315" w:rsidRDefault="006B62C5">
                <w:pPr>
                  <w:widowControl w:val="0"/>
                  <w:spacing w:line="240" w:lineRule="auto"/>
                  <w:jc w:val="center"/>
                  <w:rPr>
                    <w:i/>
                  </w:rPr>
                </w:pPr>
                <w:r>
                  <w:rPr>
                    <w:i/>
                  </w:rPr>
                  <w:t>Productivity/Indicators/Relationship</w:t>
                </w:r>
              </w:p>
            </w:tc>
            <w:tc>
              <w:tcPr>
                <w:tcW w:w="3010" w:type="dxa"/>
                <w:shd w:val="clear" w:color="auto" w:fill="D0E0E3"/>
                <w:tcMar>
                  <w:top w:w="100" w:type="dxa"/>
                  <w:left w:w="100" w:type="dxa"/>
                  <w:bottom w:w="100" w:type="dxa"/>
                  <w:right w:w="100" w:type="dxa"/>
                </w:tcMar>
              </w:tcPr>
              <w:p w14:paraId="4420F5CD" w14:textId="77777777" w:rsidR="00C72315" w:rsidRDefault="006B62C5">
                <w:pPr>
                  <w:widowControl w:val="0"/>
                  <w:spacing w:line="240" w:lineRule="auto"/>
                  <w:jc w:val="center"/>
                  <w:rPr>
                    <w:i/>
                  </w:rPr>
                </w:pPr>
                <w:r>
                  <w:rPr>
                    <w:i/>
                  </w:rPr>
                  <w:t>Productivity Indicators and Wellness Program Participation Relationship Analysis</w:t>
                </w:r>
              </w:p>
            </w:tc>
            <w:tc>
              <w:tcPr>
                <w:tcW w:w="3010" w:type="dxa"/>
                <w:shd w:val="clear" w:color="auto" w:fill="CFE2F3"/>
                <w:tcMar>
                  <w:top w:w="100" w:type="dxa"/>
                  <w:left w:w="100" w:type="dxa"/>
                  <w:bottom w:w="100" w:type="dxa"/>
                  <w:right w:w="100" w:type="dxa"/>
                </w:tcMar>
              </w:tcPr>
              <w:p w14:paraId="3F82A12C" w14:textId="77777777" w:rsidR="00C72315" w:rsidRDefault="006B62C5">
                <w:pPr>
                  <w:widowControl w:val="0"/>
                  <w:spacing w:line="240" w:lineRule="auto"/>
                  <w:jc w:val="center"/>
                  <w:rPr>
                    <w:i/>
                  </w:rPr>
                </w:pPr>
                <w:r>
                  <w:rPr>
                    <w:i/>
                  </w:rPr>
                  <w:t>Objective 6</w:t>
                </w:r>
              </w:p>
            </w:tc>
          </w:tr>
          <w:tr w:rsidR="00C72315" w14:paraId="4FB36FC2" w14:textId="77777777">
            <w:tc>
              <w:tcPr>
                <w:tcW w:w="3009" w:type="dxa"/>
                <w:shd w:val="clear" w:color="auto" w:fill="FCE5CD"/>
                <w:tcMar>
                  <w:top w:w="100" w:type="dxa"/>
                  <w:left w:w="100" w:type="dxa"/>
                  <w:bottom w:w="100" w:type="dxa"/>
                  <w:right w:w="100" w:type="dxa"/>
                </w:tcMar>
              </w:tcPr>
              <w:p w14:paraId="43AECC76" w14:textId="77777777" w:rsidR="00C72315" w:rsidRDefault="006B62C5">
                <w:pPr>
                  <w:widowControl w:val="0"/>
                  <w:spacing w:line="240" w:lineRule="auto"/>
                  <w:jc w:val="center"/>
                  <w:rPr>
                    <w:i/>
                  </w:rPr>
                </w:pPr>
                <w:r>
                  <w:rPr>
                    <w:i/>
                  </w:rPr>
                  <w:t>WellnessProgram/Improvement Suggestions</w:t>
                </w:r>
              </w:p>
            </w:tc>
            <w:tc>
              <w:tcPr>
                <w:tcW w:w="3010" w:type="dxa"/>
                <w:shd w:val="clear" w:color="auto" w:fill="D0E0E3"/>
                <w:tcMar>
                  <w:top w:w="100" w:type="dxa"/>
                  <w:left w:w="100" w:type="dxa"/>
                  <w:bottom w:w="100" w:type="dxa"/>
                  <w:right w:w="100" w:type="dxa"/>
                </w:tcMar>
              </w:tcPr>
              <w:p w14:paraId="23E691AD" w14:textId="77777777" w:rsidR="00C72315" w:rsidRDefault="006B62C5">
                <w:pPr>
                  <w:widowControl w:val="0"/>
                  <w:spacing w:line="240" w:lineRule="auto"/>
                  <w:jc w:val="center"/>
                  <w:rPr>
                    <w:i/>
                  </w:rPr>
                </w:pPr>
                <w:r>
                  <w:rPr>
                    <w:i/>
                  </w:rPr>
                  <w:t xml:space="preserve">Enhancing Wellness Program Effectiveness for Healthy, Productive Work </w:t>
                </w:r>
                <w:r>
                  <w:rPr>
                    <w:i/>
                  </w:rPr>
                  <w:t>Environment</w:t>
                </w:r>
              </w:p>
            </w:tc>
            <w:tc>
              <w:tcPr>
                <w:tcW w:w="3010" w:type="dxa"/>
                <w:shd w:val="clear" w:color="auto" w:fill="CFE2F3"/>
                <w:tcMar>
                  <w:top w:w="100" w:type="dxa"/>
                  <w:left w:w="100" w:type="dxa"/>
                  <w:bottom w:w="100" w:type="dxa"/>
                  <w:right w:w="100" w:type="dxa"/>
                </w:tcMar>
              </w:tcPr>
              <w:p w14:paraId="5F6F6646" w14:textId="77777777" w:rsidR="00C72315" w:rsidRDefault="006B62C5">
                <w:pPr>
                  <w:widowControl w:val="0"/>
                  <w:spacing w:line="240" w:lineRule="auto"/>
                  <w:jc w:val="center"/>
                  <w:rPr>
                    <w:i/>
                  </w:rPr>
                </w:pPr>
                <w:r>
                  <w:rPr>
                    <w:i/>
                  </w:rPr>
                  <w:t>Objective 7</w:t>
                </w:r>
              </w:p>
            </w:tc>
          </w:tr>
        </w:tbl>
      </w:sdtContent>
    </w:sdt>
    <w:p w14:paraId="31D347A2" w14:textId="77777777" w:rsidR="00C72315" w:rsidRDefault="006B62C5">
      <w:pPr>
        <w:jc w:val="center"/>
        <w:rPr>
          <w:b/>
        </w:rPr>
      </w:pPr>
      <w:r>
        <w:rPr>
          <w:b/>
        </w:rPr>
        <w:t>Table 2: Theme code</w:t>
      </w:r>
    </w:p>
    <w:p w14:paraId="116FE9BF" w14:textId="77777777" w:rsidR="00C72315" w:rsidRDefault="006B62C5">
      <w:pPr>
        <w:jc w:val="center"/>
      </w:pPr>
      <w:r>
        <w:t>(Sources: Self-made)</w:t>
      </w:r>
    </w:p>
    <w:p w14:paraId="0D66FA57" w14:textId="77777777" w:rsidR="00C72315" w:rsidRDefault="006B62C5">
      <w:pPr>
        <w:pStyle w:val="Heading2"/>
        <w:spacing w:before="0" w:after="0"/>
      </w:pPr>
      <w:bookmarkStart w:id="41" w:name="_heading=h.9mlo4wtgzit5" w:colFirst="0" w:colLast="0"/>
      <w:bookmarkEnd w:id="41"/>
      <w:r>
        <w:t>4.4 Explanation of themes and secondary data</w:t>
      </w:r>
    </w:p>
    <w:p w14:paraId="429E86B0" w14:textId="77777777" w:rsidR="00C72315" w:rsidRDefault="006B62C5">
      <w:r>
        <w:t xml:space="preserve">In this context, the themes recognised for data analysis encompass different aspects of employee wellness programs as well as their </w:t>
      </w:r>
      <w:r>
        <w:t>impact on organisational dynamics along with "Wellness_Programs_Effectiveness" explores the overarching effectiveness of these programs in promoting employee well-being and productivity, study their effect on health and job satisfaction in this era (Petralia, 2024). In terms of this perspective, Under "Wellness_Program_Components," the study shifts towards the structural elements as well as implementation strategies of staff wellness programs across different organizational settings that delegated to highli</w:t>
      </w:r>
      <w:r>
        <w:t>ghting the diversity in approaches and features as well as "Employee Wellness Program Engagement Factors" deliver the factors influencing employee engagement with wellness initiatives that are eventually shedding light on the drivers and barriers that shape participation rates and program effectiveness in the prospective era. On top of that, the "Wellness_Program_Challenges" delves into the obstacles and barriers hindering the successful implementation and effectiveness of workforce wellness programs, provi</w:t>
      </w:r>
      <w:r>
        <w:t xml:space="preserve">ding insights into the complexities and challenges faced by organisations as well as the "Productivity_Indicators_Relationship" investigates the relationship between key productivity indicators such as turnover rate/job performance/absenteeism and workforce participation in wellness programs, aiming to discern patterns and correlations that inform program design and management respectively (Aderinto </w:t>
      </w:r>
      <w:r>
        <w:rPr>
          <w:i/>
        </w:rPr>
        <w:t>et al.</w:t>
      </w:r>
      <w:r>
        <w:t xml:space="preserve"> 2024). In a precise manner, the "Wellness_Program_Improvement_Suggestions" provides practical advice a</w:t>
      </w:r>
      <w:r>
        <w:t>nd recommendations for improving the efficacy of wellness programmes in promoting a healthy and productive work environment as well as it eventually utilises insights from the study to guide future initiatives and strategies as well as these desired themes provide a thorough structure for examining secondary data and combining observations to understand the structure as well the desired execution and effects of employee wellness programmes in different organisational environments in a prospective manner.</w:t>
      </w:r>
    </w:p>
    <w:p w14:paraId="56A1F8C9" w14:textId="77777777" w:rsidR="00C72315" w:rsidRDefault="006B62C5">
      <w:pPr>
        <w:pStyle w:val="Heading2"/>
        <w:spacing w:before="0" w:after="0"/>
      </w:pPr>
      <w:bookmarkStart w:id="42" w:name="_heading=h.frd6owe7mt61" w:colFirst="0" w:colLast="0"/>
      <w:bookmarkEnd w:id="42"/>
      <w:r>
        <w:t>4.5 Summary</w:t>
      </w:r>
    </w:p>
    <w:p w14:paraId="1ED2119C" w14:textId="77777777" w:rsidR="00C72315" w:rsidRDefault="006B62C5">
      <w:r>
        <w:t xml:space="preserve">Based on the above discussion, Chapter 4 summarises that the examination of data extracted from diverse articles sheds light on the effectiveness of employee wellness programs in nurturing a productive and healthy work environment as well as the increasing popularity of these programs among organizations reflects their pivotal role in enhancing employee well-being, job satisfaction as well as the overall productivity as well as the various initiatives within these programs such as health screenings/fitness </w:t>
      </w:r>
      <w:r>
        <w:t xml:space="preserve">programs and mental health support underscore their significance in organizational success in the perspective era. In a precise manner, the chapter addresses the ongoing debate surrounding the effectiveness of these programs by systematically analyzing findings from relevant studies as well as through understanding the factors contributing to their success, towards the organizations that ought to make informed decisions about program design and resource allocation ultimately improving employee outcomes and </w:t>
      </w:r>
      <w:r>
        <w:t xml:space="preserve">organizational performance in the desired era. On top of that, based upon the thematic analysis the key themes emerge, ranging from the effectiveness of wellness programs to engagement factors towards the challenges in implementation as well as the suggestions for improvement alongside each theme offer valuable insights into the design, implementation as well as the impact of employee wellness programs towards to providing a comprehensive framework for organizational decision-making and program enhancement </w:t>
      </w:r>
      <w:r>
        <w:t>respectively.</w:t>
      </w:r>
    </w:p>
    <w:p w14:paraId="7BFA584C" w14:textId="77777777" w:rsidR="00C72315" w:rsidRDefault="006B62C5">
      <w:r>
        <w:br w:type="page"/>
      </w:r>
    </w:p>
    <w:p w14:paraId="4E1A5884" w14:textId="77777777" w:rsidR="00C72315" w:rsidRDefault="006B62C5">
      <w:pPr>
        <w:pStyle w:val="Heading1"/>
        <w:jc w:val="center"/>
        <w:rPr>
          <w:sz w:val="36"/>
          <w:szCs w:val="36"/>
          <w:u w:val="single"/>
        </w:rPr>
      </w:pPr>
      <w:bookmarkStart w:id="43" w:name="_heading=h.37vhm0r9es5h" w:colFirst="0" w:colLast="0"/>
      <w:bookmarkEnd w:id="43"/>
      <w:r>
        <w:rPr>
          <w:sz w:val="36"/>
          <w:szCs w:val="36"/>
          <w:u w:val="single"/>
        </w:rPr>
        <w:t>CHAPTER 5: FINDINGS AND ANALYSIS</w:t>
      </w:r>
    </w:p>
    <w:p w14:paraId="63C291FF" w14:textId="77777777" w:rsidR="00C72315" w:rsidRDefault="006B62C5">
      <w:pPr>
        <w:pStyle w:val="Heading2"/>
      </w:pPr>
      <w:bookmarkStart w:id="44" w:name="_heading=h.rol03vwesl7r" w:colFirst="0" w:colLast="0"/>
      <w:bookmarkEnd w:id="44"/>
      <w:r>
        <w:t>5.1 Introduction</w:t>
      </w:r>
    </w:p>
    <w:p w14:paraId="3A67DFDE" w14:textId="77777777" w:rsidR="00C72315" w:rsidRDefault="006B62C5">
      <w:r>
        <w:t>The chapter 5 encapsulates a critical examination of employee wellness programs aiming to assess their efficacy in fostering a productive and healthy work environment as well the companies that prioritize workforce wellness often enjoy enhanced attractiveness to job seekers and consumers bolstering their employer brand and positioning within their respective industries alongside by focusing on wellness, companies mitigate risks associated with employee health such as workplace injuries, chronic diseases and</w:t>
      </w:r>
      <w:r>
        <w:t xml:space="preserve"> stress-related burnout deliberately. In ters of this perspective, in spite the widespread adoption of wellness programs empirical research is lacking to comprehensively evaluate their effectiveness in achieving intended objectives as well this study seeks to fill this gap by investigating the effectiveness of employee wellness programs in enhancing workplace productivity and well-being alongside understanding and evaluating these programs' effectiveness is crucial for informed decision-making regarding pro</w:t>
      </w:r>
      <w:r>
        <w:t>gram design and resource allocation. On top of that, without a thorough understanding, organizations may miss opportunities to enhance employee outcomes as well as this chapter will analyze the findings in line with the research objectives and questions outlined in Chapter 1 providing valuable insights for organizations looking to optimize their wellness initiatives respectively.</w:t>
      </w:r>
    </w:p>
    <w:p w14:paraId="3E0427A2" w14:textId="77777777" w:rsidR="00C72315" w:rsidRDefault="006B62C5">
      <w:pPr>
        <w:pStyle w:val="Heading2"/>
        <w:spacing w:before="0" w:after="0"/>
      </w:pPr>
      <w:bookmarkStart w:id="45" w:name="_heading=h.jaubit42whmb" w:colFirst="0" w:colLast="0"/>
      <w:bookmarkEnd w:id="45"/>
      <w:r>
        <w:t>5.2 Thematic Analysis</w:t>
      </w:r>
    </w:p>
    <w:p w14:paraId="40713F7A" w14:textId="77777777" w:rsidR="00C72315" w:rsidRDefault="006B62C5">
      <w:pPr>
        <w:rPr>
          <w:b/>
          <w:i/>
        </w:rPr>
      </w:pPr>
      <w:r>
        <w:rPr>
          <w:b/>
          <w:i/>
        </w:rPr>
        <w:t>Theme 1: Significance of Wellness Programs</w:t>
      </w:r>
    </w:p>
    <w:p w14:paraId="539D0C0D" w14:textId="77777777" w:rsidR="00C72315" w:rsidRDefault="006B62C5">
      <w:r>
        <w:t>Workplace wellness programs indeed play a critical role in improving wellness and productivity of employees as well as organizations in general. This activity is crucial to the staff because it offers a chance to better oneself in physical, mental, and psychological aspects. Such programs frequently offer these types of initiatives like fitness classes, mental health services and campaigns aimed at healthy lifestyle. The employees can able to lessen the chances of getting chronic diseases, have a healthy bo</w:t>
      </w:r>
      <w:r>
        <w:t>dy, and increase their productivity in the workplace through participating in health and wellness programs at work. From an organizational point of view, wellness programs are one of the most valuable tools in terms of creating a positive working environment (Rose and Johnson, 2020). Workers who enjoy support in the area of their well-being have greater chances of being enthusiastic, determined and satisfied with their jobs and duty. Subsequently, this may cause an increase in productivity and attendance ra</w:t>
      </w:r>
      <w:r>
        <w:t>te while at the same time, reducing turnover rate. Additionally, wellness programs can boost employer image as an esteemed employer, thus excelling worker attraction and decreasing employee turnover rates. In general, wellness programs be of great value to both employees and the organization. These programs are not only good for the health and well-being of employees but also contribute positively to the kind of working atmosphere and productivity (Jones et al., 2019).</w:t>
      </w:r>
    </w:p>
    <w:p w14:paraId="4AE43BAB" w14:textId="77777777" w:rsidR="00C72315" w:rsidRDefault="006B62C5">
      <w:pPr>
        <w:rPr>
          <w:b/>
          <w:i/>
        </w:rPr>
      </w:pPr>
      <w:r>
        <w:rPr>
          <w:b/>
          <w:i/>
        </w:rPr>
        <w:t>Theme 2: Components and Features of Wellness Programs</w:t>
      </w:r>
    </w:p>
    <w:p w14:paraId="30D1ED02" w14:textId="77777777" w:rsidR="00C72315" w:rsidRDefault="006B62C5">
      <w:r>
        <w:t>Employee wellness programs come in various forms and incorporate a range of components and elements aimed at promoting health and well-being in the workplace. They frequently involve health and wellness initiatives including exercise classes, body check-ups and nutritional programs. They may also provide mental health resources like counseling services, stress management workshops and mindfulness sessions. The most vital aspects of the wellness program effectiveness are as follows. Primarily the programs sh</w:t>
      </w:r>
      <w:r>
        <w:t>ould be provided to all employees regardless of where they work and what their schedule is deliberately  (Janssen et al., 2018). This could include the running of virtual wellness activities or flexible booking for on-site programs. Besides that, programs should be designed to take into account the needs of particular employees and their specific variables including their age, gender, and health status. Successful wellness programs also include employers, employees and health professionals working as one te</w:t>
      </w:r>
      <w:r>
        <w:t>am. Employees should be involved when programs are being designed and implemented by employers. This allows them to participate in decision-making by suggesting corrections and improvements. Health professionals can offer experience and support projects to draw upon the evidence to ensure that the initiatives are scientifically proven and workable (Berry et al., 2020).</w:t>
      </w:r>
    </w:p>
    <w:p w14:paraId="007E300F" w14:textId="77777777" w:rsidR="00C72315" w:rsidRDefault="006B62C5">
      <w:pPr>
        <w:rPr>
          <w:b/>
          <w:i/>
        </w:rPr>
      </w:pPr>
      <w:r>
        <w:rPr>
          <w:b/>
          <w:i/>
        </w:rPr>
        <w:t>Theme 3: Effects of Wellness Programs</w:t>
      </w:r>
    </w:p>
    <w:p w14:paraId="04066A1F" w14:textId="77777777" w:rsidR="00C72315" w:rsidRDefault="006B62C5">
      <w:r>
        <w:t>The employee wellness programs are found to play a huge role in the mental health, physical well-being, and job engage of employees. These programs are planned to allow employees to have a healthy lifestyle and are there to help those who struggle with maintaining it. Research indicates that wellness programs can cause a decreased stress level, improved mental state, and increased job satisfaction among workers. Also, workers who are active in wellness programs tend to be noticed to have a higher level of e</w:t>
      </w:r>
      <w:r>
        <w:t xml:space="preserve">ngagement and productivity. Workplace wellness programs help to establish a positive work environment by ensuring the health and well-being of employees (Tringali et al., 2022). Team members who are validated in the area of well-being tend to be more fulfilled at work and less prone to exhaustion. This may favor higher degree of efficiency and lower absenteeism. Generally, work wellness programs have great impacts on employees' wellbeing and job satisfaction. Through these programs, organizations can build </w:t>
      </w:r>
      <w:r>
        <w:t>employee morale and increase productivity, which, in turn, results in healthier and more engaged workforce (Cleary et al., 2020).</w:t>
      </w:r>
    </w:p>
    <w:p w14:paraId="0521E35C" w14:textId="77777777" w:rsidR="00C72315" w:rsidRDefault="006B62C5">
      <w:pPr>
        <w:rPr>
          <w:b/>
          <w:i/>
        </w:rPr>
      </w:pPr>
      <w:r>
        <w:rPr>
          <w:b/>
          <w:i/>
        </w:rPr>
        <w:t>Theme 4: Factors Impacting Employee Engagement</w:t>
      </w:r>
    </w:p>
    <w:p w14:paraId="001BF2F7" w14:textId="77777777" w:rsidR="00C72315" w:rsidRDefault="006B62C5">
      <w:r>
        <w:t>Different factors shape to the extent to which workers commit to the company fitness campaigns. Perceived product value is a leading determining factor. There is a better chance of employees becoming active in wellness programs if they feel that the benefits guided from the program will be rewarding. Therefore, companies have got to be particularly efficient in highlighting the importance of these schemes and workers benefits. The work environment culture is the other factor that really impacts engaged work</w:t>
      </w:r>
      <w:r>
        <w:t>ers (Schwatka et al., 2018). Those businesses that emphasize and render support to the well-being of their employees and have a work environment that offers support are apt to have a large degree of involvement in well-being programs. The leaders are not only required but they provide the driver for employee engagement as well. If top managers support and involve themselves in the process of promoting healthy lifestyles, then their employees are more likely to do the same (Holcomb 2020). Further factors enc</w:t>
      </w:r>
      <w:r>
        <w:t>ompassing engagement are the simplicity of wellness program access and level of convenience, the availability of resources, assistance, and support and the extent to which employee participation is represented in program design and decision-making (Holcomb 2020).</w:t>
      </w:r>
    </w:p>
    <w:p w14:paraId="4B44A1D8" w14:textId="77777777" w:rsidR="00C72315" w:rsidRDefault="006B62C5">
      <w:pPr>
        <w:rPr>
          <w:b/>
          <w:i/>
        </w:rPr>
      </w:pPr>
      <w:r>
        <w:rPr>
          <w:b/>
          <w:i/>
        </w:rPr>
        <w:t>Theme 5: Challenges and Barriers</w:t>
      </w:r>
    </w:p>
    <w:p w14:paraId="2301AED4" w14:textId="77777777" w:rsidR="00C72315" w:rsidRDefault="006B62C5">
      <w:r>
        <w:t>Implementing and handling the wellness programs efficiently remains a hurdle, despite the various advantages the programs have to offer for organizations. The crucial problem is ensuring a low level of employee engagement and participation. In certain circumstances, certain staff members may be reluctant to change or may not clearly see the price of wellness programs, which might reduce their zeal for involvement. Furthermore, employees who have a busy work plan and competing priorities for home might not b</w:t>
      </w:r>
      <w:r>
        <w:t>e able to spare time for wellness activities which might again discourage the participation rates. Wellness program evaluation constitutes an additional but critical challenge to be overcome (Goetzel et al., 2018). This matter is hard to assess quantitatively, which makes it difficult for companies to understand the ROI of such programs with confidence. Also, wellness programs are costly to set up and maintain, especially those institutions with limited funds. Employers may not have the resources to offer a</w:t>
      </w:r>
      <w:r>
        <w:t xml:space="preserve"> wide range of wellness programs to their personnel due to this financial barrier. Success of wellness programs is significantly influenced by the organizational culture as well. The obstructing factor for these wellness initiatives to succeed in organizations where the leaders don’t put employees’ well-being as a priority or organizations that lack the support for wellness initiatives is that it becomes difficult to create a supportive environment (Sinsky et al., 2020). Similarly, companies where the cultu</w:t>
      </w:r>
      <w:r>
        <w:t>re does not consider health and wellness very significant will most likely find it difficult to get em¬ployees to engage in wellness activities. Regarding these challenges and barriers we need to consider a holistic approach which involves changing the culture of an organization, making the staff members involved, and measuring the effectiveness of the program at the end. Overcoming these difficulties organizations can make the culture of health and wellness that the company and employees benefit from inste</w:t>
      </w:r>
      <w:r>
        <w:t>ad (Holcomb, 2020).</w:t>
      </w:r>
    </w:p>
    <w:p w14:paraId="129CD2E9" w14:textId="77777777" w:rsidR="00C72315" w:rsidRDefault="006B62C5">
      <w:pPr>
        <w:rPr>
          <w:b/>
          <w:i/>
        </w:rPr>
      </w:pPr>
      <w:r>
        <w:rPr>
          <w:b/>
          <w:i/>
        </w:rPr>
        <w:t>Theme 6: Relationship with Productivity Indicators</w:t>
      </w:r>
    </w:p>
    <w:p w14:paraId="2553EA98" w14:textId="77777777" w:rsidR="00C72315" w:rsidRDefault="006B62C5">
      <w:r>
        <w:t>Employee wellness programs serve as an important factor and directly affect the level of key productivity indicators in the organization. The highest impact is the changes in the turnover rates. Researches continue to indicate that staff members who get involved in corporate wellness programs have higher job satisfaction, thus lowering turnover rates. When workers are recognized and supported through wellness initiatives, they are more confident to stay with the company and prevent such costs and disruption</w:t>
      </w:r>
      <w:r>
        <w:t>s associated with the turnover. Additionally, wellness programs help to make people more productive at their jobs. Healthy employees, both mentally and physically, are more able to address the workloads that are required of them and are more efficient (Holcomb, 2020). Additionally, they are less prone to the cases of sick leave that leads to the decrease of absenteeism rates. Through this emphasis on overall well-being, organizations can develop an employee group that is stronger, more attentive, and more o</w:t>
      </w:r>
      <w:r>
        <w:t>ptimally productive. One more key part is about labor participation in the workplace (Sinsky et al., 2020). Such wellness initiatives that promote inclusivity and accessibility stimulate the employees to engage meaningfully in their health management. As a result, engagement levels in health and wellness activities surge, creating an environment that appreciates a healthy lifestyle. Consequently, the companies will enjoy a more engaged and extra productive staff. Another benefit of investing in employee wel</w:t>
      </w:r>
      <w:r>
        <w:t>lness is that it can incur total cost savings to organizations. Through absenteeism, turnover, and healthcare expense reduction, organizations will see a direct benefit to the bottom line. Consequently, the company will be able to offer the employees with a working environment that is healthy, happier, and productive (Sinsky et al., 2020).</w:t>
      </w:r>
    </w:p>
    <w:p w14:paraId="1F5B9AAB" w14:textId="77777777" w:rsidR="00C72315" w:rsidRDefault="006B62C5">
      <w:pPr>
        <w:rPr>
          <w:b/>
        </w:rPr>
      </w:pPr>
      <w:r>
        <w:rPr>
          <w:b/>
        </w:rPr>
        <w:t>Theme 7: Suggestions for Improvement</w:t>
      </w:r>
    </w:p>
    <w:p w14:paraId="1849569C" w14:textId="77777777" w:rsidR="00C72315" w:rsidRDefault="006B62C5">
      <w:r>
        <w:t>Enhancing the effectiveness of the wellness programs is a must for building up a healthy and effective workplace. Firstly, it is required to personalize programs taking into account the needs of each employee. Conducting surveys or focus groups helps to find these needs and preferences. Through knowing what employees are thriving at and what they are into organizations can design programs that have better chances to be accepted and adopted. Moreover, program accessibility is another crucial factor. This inv</w:t>
      </w:r>
      <w:r>
        <w:t>olves making sure that all the wellness activities are accessible to all, including those who work remotely or in any location. The provision of virtual options for the wellness activities and a flexible schedule can be a way of meeting the needs of different work arrangements (Marshall, 2020). Hence, leadership support for wellness initiatives must also be enhanced. When leaders are involved in wellness programs and they actively promote these programs, the employees interpret this as a signal showing that</w:t>
      </w:r>
      <w:r>
        <w:t xml:space="preserve"> health and wellness are a priority. Leadership backing can foster an environment in which the well-being is respected and infused into everyday working life. Educating and providing resources on various health issues is another strategy that works well. Workshops, seminars, and education materials can help employees make informed decisions about their health (Marshall, 2020). Enables employees with knowledge helps employees to make healthier choices and improve their behavior. Promoting social support with</w:t>
      </w:r>
      <w:r>
        <w:t>in the workplace is also very important for the effectiveness of these programs. Activities that encourage bonding between workers, e.g. wellness competitions or group fitness, may foster a sense of belonging and thus a sense of involvement. Continuous evaluation as well as refinement of the wellness programs is necessary (Marshall, 2020). Collecting feedback from staff and analyzing data on the program’s effectiveness will enable organizations to pinpoint the areas that need improvements and make any neede</w:t>
      </w:r>
      <w:r>
        <w:t>d changes. The inclusion of incentives can also bring workers to participate in wellness activities. The rewards for achieving these wellness goals or participating in challenges play an important role in the process of retaining engagement and producing long-lasting behavior change. Wellness integrated into the company culture is essential. By establishing wellness as a core value and including it in all practices and policies, organizations can construct a work environment where health and wellness are gi</w:t>
      </w:r>
      <w:r>
        <w:t>ven priority. It is imperative to measure the return on investment (ROI) of wellness programs. Initial metrics to monitor changes in absenteeism, productivity, or health care costs can be created, which may help demonstrate the value of wellness initiatives to the organization's leaders and stakeholders. Lastly, continual feedback from employees should be a priority (Song and Baicker, 2021). On an ongoing basis, capturing employee input on wellness programs and incorporating staff suggestions are some of th</w:t>
      </w:r>
      <w:r>
        <w:t>e ways that programs stay relevant, engaging, and useful. With such measures, organizations can elevate the performance of their wellness programs and create a workforce culture health promotion that benefits both employees and the entire business (Song and Baicker, 2021).</w:t>
      </w:r>
    </w:p>
    <w:p w14:paraId="508C52E5" w14:textId="77777777" w:rsidR="00C72315" w:rsidRDefault="006B62C5">
      <w:pPr>
        <w:pStyle w:val="Heading2"/>
        <w:spacing w:before="0" w:after="0"/>
      </w:pPr>
      <w:bookmarkStart w:id="46" w:name="_heading=h.mbnbbzb4r64" w:colFirst="0" w:colLast="0"/>
      <w:bookmarkEnd w:id="46"/>
      <w:r>
        <w:t>5.3 Discussion</w:t>
      </w:r>
    </w:p>
    <w:p w14:paraId="32550C2F" w14:textId="77777777" w:rsidR="00C72315" w:rsidRDefault="006B62C5">
      <w:r>
        <w:t>Employee wellness programs have become increasingly important in modern workplaces, with organizations recognizing the value of promoting employee health and well-being. These programs not only benefit employees by improving their physical and mental health but also have positive effects on organizational performance and reputation. The discussion surrounding the effectiveness of these programs highlights their pivotal role in fostering a healthy and productive work environment (Song and Baicker, 2021). Thr</w:t>
      </w:r>
      <w:r>
        <w:t>ough the incorporation of the different components and elements of health programs discussed earlier, it becomes obvious that the program cannot be one-size-fits-all. It is essential to create wellness programs that match the special needs and likings of the employees. This involves supplying a range of wellness activities and amenities which work towards different individuals' interests and health objectives. Programs that are comprehensive, accessible, and in accordance with the desires of employees are m</w:t>
      </w:r>
      <w:r>
        <w:t xml:space="preserve">ore likely to make the results better, such as health improvement and increase workplace productivity. Furthermore, in the theme 3, the effects of wellness programs on the mental health, physical well-being, and job satisfaction of employees of organizations is highlighted (Song and Baicker, 2021). These type of programs have proven to bring about motivating workplaces where the employees feel encouraged and appreciated. Employee who is associated with wellness programs are more prone to high level of work </w:t>
      </w:r>
      <w:r>
        <w:t>satisfaction whereas the engagement leads to increased productivity and performance. Moreover, such programs can not only minimize levels of stress but also enhance general mental health which show long-term results at the levels of employees and organizations as well. In spite of the obvious advantages of the wellness programs, enterprises encounter the challenges of the barriers that can curb the effectiveness of the programs. Challenges such as participation, measurement, and cost are always faced by org</w:t>
      </w:r>
      <w:r>
        <w:t>anizations as they struggle to handle them. For instance, many people will stay away from wellness programs due to certain constraints like lack of time or commitment. Organizations can meet these challenges by putting in place programs that encourage wellness and giving incentives to employees for participating, providing the necessary resources to support their engagement. However, there is also a problem of how to assess the validity of wellness programs. The measurement of the impact of these programs o</w:t>
      </w:r>
      <w:r>
        <w:t>n employee health and productivity is a challenging task by the organizations, that is, the ROI becomes unfathomable (Madhani, 2010). On the other side by measuring some key parameters, for example, participation rates, changes in health outcomes, and employee feedback; companies gain insights into the effectiveness of their wellness programs and they make informed decisions in this area. Additionally, cost can be a barrier to implementing and maintaining effective wellness programs. Organizations with limi</w:t>
      </w:r>
      <w:r>
        <w:t xml:space="preserve">ted resources may struggle to invest in wellness initiatives, especially if they do not see immediate returns. However, research has shown that the benefits of wellness programs often outweigh the costs, with organizations experiencing reduced healthcare costs, improved employee morale, and increased productivity as a result of these programs (Madhani, 2010). Overcoming these challenges requires a strategic approach that involves strong leadership support, active employee engagement, and regular evaluation </w:t>
      </w:r>
      <w:r>
        <w:t>and adjustment of wellness programs. Organizations should also seek to create a culture of health and well-being where wellness is valued and prioritized. By addressing these challenges and barriers, organizations can create a work environment where employees thrive and organizations succeed (Madhani, 2010).</w:t>
      </w:r>
    </w:p>
    <w:p w14:paraId="03C13D9F" w14:textId="77777777" w:rsidR="00C72315" w:rsidRDefault="006B62C5">
      <w:pPr>
        <w:rPr>
          <w:b/>
        </w:rPr>
      </w:pPr>
      <w:r>
        <w:rPr>
          <w:b/>
        </w:rPr>
        <w:t>5.4 Summary</w:t>
      </w:r>
    </w:p>
    <w:p w14:paraId="2765A85F" w14:textId="77777777" w:rsidR="00C72315" w:rsidRDefault="006B62C5">
      <w:r>
        <w:t>Based on the adobe finding and analysis. the Chapter 5 delves into a critical examination of employee wellness programs aiming to assess their efficacy in fostering a productive and healthy work environment as well as it explores how these programs benefit both employees and organizations highlighting their significance in enhancing employee well-being and organizational performance as well as the chapter begins by discussing the importance of tailoring wellness programs to meet the specific needs of employ</w:t>
      </w:r>
      <w:r>
        <w:t>ees emphasizing the value of comprehensive, accessible and employee-centric programs. In a precise manner, the thematic analysis further explores the components and features of wellness programs, emphasizing the need for a variety of initiatives that cater to different interests and health goals as well as it also discusses the positive effects of these programs on the mental well-being, physical health, and job satisfaction of employees, highlighting the role they play in creating a positive work environme</w:t>
      </w:r>
      <w:r>
        <w:t>nt alongside in spite their benefits implementing and maintaining effective wellness programs ought to be challenging for organizations as well as the chapter identifies challenges related to participation, measurement and cost and discusses strategies for overcoming these challenges respectively. It highlights the leadership involvement, employee involvement, and routine evaluations and changes in the health programs as the issues being discussed. The chapter concludes with the invaluable findings for orga</w:t>
      </w:r>
      <w:r>
        <w:t>nizations wanting to maximize their wellness programs. Through my knowledge of the importance of wellness programs, designing programs that meet the needs of workers, and tackling challenges, organizations are able to build a culture of health and wellness that is beneficial not only to the workers, but also to the organization as a whole.</w:t>
      </w:r>
    </w:p>
    <w:p w14:paraId="01F9136A" w14:textId="77777777" w:rsidR="00C72315" w:rsidRDefault="00C72315"/>
    <w:p w14:paraId="4B6A8740" w14:textId="77777777" w:rsidR="00C72315" w:rsidRDefault="006B62C5">
      <w:pPr>
        <w:rPr>
          <w:b/>
        </w:rPr>
      </w:pPr>
      <w:r>
        <w:br w:type="page"/>
      </w:r>
    </w:p>
    <w:p w14:paraId="50D36F81" w14:textId="77777777" w:rsidR="00C72315" w:rsidRDefault="006B62C5">
      <w:pPr>
        <w:pStyle w:val="Heading1"/>
        <w:jc w:val="center"/>
        <w:rPr>
          <w:u w:val="single"/>
        </w:rPr>
      </w:pPr>
      <w:bookmarkStart w:id="47" w:name="_heading=h.j6kvz7ioipe" w:colFirst="0" w:colLast="0"/>
      <w:bookmarkEnd w:id="47"/>
      <w:r>
        <w:rPr>
          <w:u w:val="single"/>
        </w:rPr>
        <w:t>CHAPTER 6: CONCLUSION AND RECOMMENDATION</w:t>
      </w:r>
    </w:p>
    <w:p w14:paraId="5A697CC1" w14:textId="77777777" w:rsidR="00C72315" w:rsidRDefault="00C72315"/>
    <w:p w14:paraId="1BE3F09A" w14:textId="77777777" w:rsidR="00C72315" w:rsidRDefault="006B62C5">
      <w:pPr>
        <w:pStyle w:val="Heading2"/>
        <w:spacing w:before="0" w:after="0"/>
      </w:pPr>
      <w:bookmarkStart w:id="48" w:name="_heading=h.rs9pexvxyxqm" w:colFirst="0" w:colLast="0"/>
      <w:bookmarkEnd w:id="48"/>
      <w:r>
        <w:t>6.1 Conclusion</w:t>
      </w:r>
    </w:p>
    <w:p w14:paraId="1291FA6C" w14:textId="77777777" w:rsidR="00C72315" w:rsidRDefault="006B62C5">
      <w:r>
        <w:t>Based on the above discussion, employee wellness programs play a crucial role in fostering a healthy and productive work environment as well as through various initiatives such as fitness challenges, nutrition education and stress management resources, these programs not only improve employee well-being but also enhance overall energy levels leading to higher productivity along this the significance of wellness programs is evident in their ability to reduce absenteeism due to illness to mitigate risks relat</w:t>
      </w:r>
      <w:r>
        <w:t>ed to chronic diseases and workplace injuries, and improve workforce morale and job satisfaction. In a precise manner, these programs contribute to creating a positive organizational culture towards to promoting teamwork and collaboration, and reducing healthcare expenses for both employers and employees as well as the effectiveness of employee wellness programs in achieving their intended objectives is supported by empirical evidence as highlighted in various studies. On top of that, the organizations that</w:t>
      </w:r>
      <w:r>
        <w:t xml:space="preserve"> invest in employee wellness initiatives are viewed favorably by employees, job seekers, consumers and investors which enhances their reputation and competitive positioning within the industry as well as the companies like Google, Salesforce, and Zappos are exemplary in their approach to employee wellness offering a range of wellness benefits and fostering a culture of well-being and inclusivity overall employee wellness programs are essential for modern organizations seeking to enhance employee well-being,</w:t>
      </w:r>
      <w:r>
        <w:t xml:space="preserve"> productivity and organizational performance however there is a need for further research to continuously evaluate and improve these programs to meet the evolving needs of the workforce and the organization deliberately.</w:t>
      </w:r>
    </w:p>
    <w:p w14:paraId="0540B6BD" w14:textId="77777777" w:rsidR="00C72315" w:rsidRDefault="006B62C5">
      <w:pPr>
        <w:pStyle w:val="Heading2"/>
        <w:spacing w:before="0" w:after="0"/>
      </w:pPr>
      <w:bookmarkStart w:id="49" w:name="_heading=h.9hzf8t487e4j" w:colFirst="0" w:colLast="0"/>
      <w:bookmarkEnd w:id="49"/>
      <w:r>
        <w:t>6.2 Objective Linking</w:t>
      </w:r>
    </w:p>
    <w:p w14:paraId="1EAF184D" w14:textId="77777777" w:rsidR="00C72315" w:rsidRDefault="006B62C5">
      <w:bookmarkStart w:id="50" w:name="_heading=h.29zecfe44yti" w:colFirst="0" w:colLast="0"/>
      <w:bookmarkEnd w:id="50"/>
      <w:r>
        <w:t>The research objectives were developed to provide insights critical for the understanding of the full impact of employee wellness programs on many aspects of organizational dynamics. The main purpose from the outset, however, was to break down the role played by workplace wellness programs (Schwatka et al., 2018). It was apparent to me that my line of thought focused mostly on why the companies offer such programs, what they try to bring about in doing so and the general weight of employee’s wellbeing in th</w:t>
      </w:r>
      <w:r>
        <w:t xml:space="preserve">e modern working environment. While doing that, another important objective was paying attention to the elements and solutions those health programs may contain. They created different parts of the wellness program with components like health screenings, fitness challenges, mental health resources and stress management initiatives and so on (Schwatka, Fuchs et al. , 2018). Due to the prior knowledge of how these dimensions are used and combined with the organizational culture, the effectiveness of what has </w:t>
      </w:r>
      <w:r>
        <w:t>been applied has become more easily measured. In connection, the core purpose of the investigation has been to determine the level of wellness impact on the quality of services provided and employees’ job satisfaction. There were several objectives in this investigation: evaluating what employee wellness programs have to offer to the health of the workers and how wellness promotion at the office environment lead employees to enjoy their jobs. The work precisely studied the relationship between these factors</w:t>
      </w:r>
      <w:r>
        <w:t xml:space="preserve"> and employee engagement and also satisfaction towards the health and wellness programs. Specify the variables that lead employees to join the companies’ wellness programs was among the main objectives (Johnson et al. , 2020). Offering the planned program, we have realized that employees’ engagement processes raise a lot of concerns along with the factors that influence the involvement. The proper definition of those concepts was the key to produce strategies that facilitated in increasing the productivity </w:t>
      </w:r>
      <w:r>
        <w:t>among employees and the effectiveness of the wellness programs. The research units focused on measuring the increase of the productivity level as a result of introducing the health maintenance devices into production. This required us to survey issues of staff retention, job performance, absence rate and engagement in wellness programs  (Johnson et al., 2020). The investigation of the indicators made it possible to find out how much the good wellness programs influence both work credibility and company perf</w:t>
      </w:r>
      <w:r>
        <w:t>ormance. Moreover, the paper main focus was pointed at giving suggestions to improve the quality of employee wellness programs. The research outcomes were achieved by the combination of narrative literature review and analysis of data. We have targeted to summarize the study outcome suggestions as the practical solutions to benefit the wellness programs by contributing to the employee interests and organizational achievement  (Johnson et al. , 2020).</w:t>
      </w:r>
    </w:p>
    <w:p w14:paraId="3E43F8D2" w14:textId="77777777" w:rsidR="00C72315" w:rsidRDefault="006B62C5">
      <w:pPr>
        <w:pStyle w:val="Heading1"/>
      </w:pPr>
      <w:r>
        <w:t>6.3 Recommendations</w:t>
      </w:r>
    </w:p>
    <w:p w14:paraId="50AD68A1" w14:textId="77777777" w:rsidR="00C72315" w:rsidRDefault="006B62C5">
      <w:pPr>
        <w:numPr>
          <w:ilvl w:val="0"/>
          <w:numId w:val="2"/>
        </w:numPr>
        <w:rPr>
          <w:b/>
          <w:i/>
        </w:rPr>
      </w:pPr>
      <w:r>
        <w:rPr>
          <w:b/>
          <w:i/>
        </w:rPr>
        <w:t xml:space="preserve">Enhance Program Design: </w:t>
      </w:r>
      <w:r>
        <w:rPr>
          <w:i/>
        </w:rPr>
        <w:t>The thing to be recommended, the</w:t>
      </w:r>
      <w:r>
        <w:rPr>
          <w:b/>
          <w:i/>
        </w:rPr>
        <w:t xml:space="preserve"> </w:t>
      </w:r>
      <w:r>
        <w:rPr>
          <w:i/>
        </w:rPr>
        <w:t>organizations should customize the wellness programs to fit the unique needs and choices of their workers as well as ought to include providing a range of wellness initiatives and various scheduling options as well as individualized wellness plans (Tengli, 2020).</w:t>
      </w:r>
    </w:p>
    <w:p w14:paraId="2793C840" w14:textId="77777777" w:rsidR="00C72315" w:rsidRDefault="006B62C5">
      <w:pPr>
        <w:numPr>
          <w:ilvl w:val="0"/>
          <w:numId w:val="2"/>
        </w:numPr>
        <w:rPr>
          <w:b/>
          <w:i/>
        </w:rPr>
      </w:pPr>
      <w:r>
        <w:rPr>
          <w:b/>
          <w:i/>
        </w:rPr>
        <w:t xml:space="preserve">Increase Communication and Engagement: </w:t>
      </w:r>
      <w:r>
        <w:rPr>
          <w:i/>
        </w:rPr>
        <w:t>The thing to be recommended, the</w:t>
      </w:r>
      <w:r>
        <w:rPr>
          <w:b/>
          <w:i/>
        </w:rPr>
        <w:t xml:space="preserve"> </w:t>
      </w:r>
      <w:r>
        <w:rPr>
          <w:i/>
        </w:rPr>
        <w:t>Organizations ought to promote the advantages of the wellness programs well and instigate full employee participation as well ought to be done through frequent communication presentation of incentives and awarding of recognition for participation (Alharahsheh and Pius, 2020).</w:t>
      </w:r>
    </w:p>
    <w:p w14:paraId="6B75F7F8" w14:textId="77777777" w:rsidR="00C72315" w:rsidRDefault="006B62C5">
      <w:pPr>
        <w:numPr>
          <w:ilvl w:val="0"/>
          <w:numId w:val="2"/>
        </w:numPr>
        <w:rPr>
          <w:b/>
          <w:i/>
        </w:rPr>
      </w:pPr>
      <w:r>
        <w:rPr>
          <w:b/>
          <w:i/>
        </w:rPr>
        <w:t xml:space="preserve">Provide Holistic Support: </w:t>
      </w:r>
      <w:r>
        <w:rPr>
          <w:i/>
        </w:rPr>
        <w:t>The thing to be recommended, wellness programs should not only concentrate on physical health but also include emotional health, stress managing resources and a work-life balance initiatives as well as a comprehensive approach to employee well-being will lead to a better result (Junjie and Yingxin, 2022).</w:t>
      </w:r>
    </w:p>
    <w:p w14:paraId="27B6D231" w14:textId="77777777" w:rsidR="00C72315" w:rsidRDefault="006B62C5">
      <w:pPr>
        <w:numPr>
          <w:ilvl w:val="0"/>
          <w:numId w:val="2"/>
        </w:numPr>
        <w:rPr>
          <w:b/>
          <w:i/>
        </w:rPr>
      </w:pPr>
      <w:r>
        <w:rPr>
          <w:b/>
          <w:i/>
        </w:rPr>
        <w:t xml:space="preserve">Evaluate and Adjust Programs: </w:t>
      </w:r>
      <w:r>
        <w:rPr>
          <w:i/>
        </w:rPr>
        <w:t>The thing to be recommended,  the continuous evaluation of wellness programs is a crucial step for measuring their efficiency and making changes when required as well as the employers have to collect feedback from employees and use data analysis to know the effectiveness of wellness initiatives (Pervin and Mokhtar, 2022).</w:t>
      </w:r>
    </w:p>
    <w:p w14:paraId="2BAA6743" w14:textId="77777777" w:rsidR="00C72315" w:rsidRDefault="006B62C5">
      <w:pPr>
        <w:numPr>
          <w:ilvl w:val="0"/>
          <w:numId w:val="2"/>
        </w:numPr>
        <w:rPr>
          <w:b/>
          <w:i/>
        </w:rPr>
      </w:pPr>
      <w:r>
        <w:rPr>
          <w:b/>
          <w:i/>
        </w:rPr>
        <w:t xml:space="preserve">Foster a Culture of Well-being: </w:t>
      </w:r>
      <w:r>
        <w:rPr>
          <w:i/>
        </w:rPr>
        <w:t>The thing to be recommended, Organizations ought to adopt a culture that revolves around employee well-being and infuses wellness into the company's core values and workflows as well ought to be done by having leadership support training and establishing a conducive working environment (Pervin and Mokhtar, 2022).</w:t>
      </w:r>
    </w:p>
    <w:p w14:paraId="4348376D" w14:textId="77777777" w:rsidR="00C72315" w:rsidRDefault="006B62C5">
      <w:pPr>
        <w:pStyle w:val="Heading2"/>
        <w:spacing w:before="0" w:after="0"/>
      </w:pPr>
      <w:bookmarkStart w:id="51" w:name="_heading=h.n4hqtwoo3irh" w:colFirst="0" w:colLast="0"/>
      <w:bookmarkEnd w:id="51"/>
      <w:r>
        <w:t>6.4 Research Limitations</w:t>
      </w:r>
    </w:p>
    <w:p w14:paraId="44833261" w14:textId="77777777" w:rsidR="00C72315" w:rsidRDefault="006B62C5">
      <w:r>
        <w:t>In spite of these findings which reinforce the effectiveness of employee wellness programs, it is noteworthy to point out some limitations. First, the basis on the secondary data sources may obstruct the analysis in depth. Even though secondary data helps to gather an insight concerning the trends and patterns, it might not be as detailed as primary data sources with contextual information (Ranganathan and Aggarwal, 2018). Also, the generalization of the outcomes may be restricted to some certain industries</w:t>
      </w:r>
      <w:r>
        <w:t>/contexts. Diversity of industries and organizational cultures can introduce unique aspects to the effectiveness of the employee wellness program which were not included in the analysis. Moreover, the dynamics of wellness programs and organizational practices change pretty fast, which could affect the significance of the obtained results in the future. There might have been some novel employe wellness strategies or organizational strategies that were introduced recently that could affect the relevance of th</w:t>
      </w:r>
      <w:r>
        <w:t>is study's findings (Ranganathan and Aggarwal, 2018).</w:t>
      </w:r>
    </w:p>
    <w:p w14:paraId="78308EA6" w14:textId="77777777" w:rsidR="00C72315" w:rsidRDefault="006B62C5">
      <w:pPr>
        <w:pStyle w:val="Heading2"/>
        <w:spacing w:before="0" w:after="0"/>
      </w:pPr>
      <w:bookmarkStart w:id="52" w:name="_heading=h.pl6qsmrhrcbk" w:colFirst="0" w:colLast="0"/>
      <w:bookmarkEnd w:id="52"/>
      <w:r>
        <w:t>6.5 Future Scope</w:t>
      </w:r>
    </w:p>
    <w:p w14:paraId="79DD6738" w14:textId="77777777" w:rsidR="00C72315" w:rsidRDefault="006B62C5">
      <w:r>
        <w:t>The future studies about employee wellness programs may also explore various aspects such as increasing the knowledge and effectiveness. For instance, researchers may study the part of the long-term aftereffects of employee wellness programs on organizational performance, employee attitude, and general well-being. Longitudinal studies would provide an overall picture of continued benefits of wellness initiatives and tailor their programs based on this picture to get maximum effect (Ranganathan and Aggarwal,</w:t>
      </w:r>
      <w:r>
        <w:t xml:space="preserve"> 2018). Cross-industry and cross-region comparisons can also be of great value for the analysis of successful practices and strategies to implement good wellness programs. The findings from the study of program effectiveness in different contexts could shed light on factors that promote success, and would in turn, guide the design of better wellness initiatives by organizations. The study should also take an in-depth look into brand new trends, including remote work and digital well-being, to get a new insi</w:t>
      </w:r>
      <w:r>
        <w:t>ght on improving employee health (Ranganathan and Aggarwal, 2018). In this manner, given the rising cases of remote work, an examination of how wellness programs may be implemented in virtual settings is fundamental (Ranganathan and Aggarwal, 2018). Lastly, exploring the influence of technology on employees’ wellness programs could be a very enriching area of study (Ranganathan and Aggarwal, 2018). Technological-based strategies, including the use of wellness apps or smart wearable devices, are showing so m</w:t>
      </w:r>
      <w:r>
        <w:t xml:space="preserve">uch promise that their effectiveness must be investigated further (Ranganathan and Aggarwal, 2018). Through the investigation of these areas, future research will bring innovations which will impact and increase the effectiveness of employee wellness programs (Ranganathan and Aggarwal, 2018). </w:t>
      </w:r>
    </w:p>
    <w:p w14:paraId="3DCDC55B" w14:textId="77777777" w:rsidR="00C72315" w:rsidRDefault="00C72315"/>
    <w:p w14:paraId="1A191132" w14:textId="77777777" w:rsidR="00C72315" w:rsidRDefault="00C72315"/>
    <w:p w14:paraId="4EB57C89" w14:textId="77777777" w:rsidR="00C72315" w:rsidRDefault="00C72315">
      <w:pPr>
        <w:rPr>
          <w:b/>
        </w:rPr>
      </w:pPr>
    </w:p>
    <w:p w14:paraId="237777A7" w14:textId="77777777" w:rsidR="00C72315" w:rsidRDefault="00C72315">
      <w:pPr>
        <w:rPr>
          <w:b/>
        </w:rPr>
      </w:pPr>
    </w:p>
    <w:p w14:paraId="3935FA04" w14:textId="77777777" w:rsidR="00C72315" w:rsidRDefault="00C72315">
      <w:pPr>
        <w:rPr>
          <w:b/>
        </w:rPr>
      </w:pPr>
    </w:p>
    <w:p w14:paraId="66C535B4" w14:textId="77777777" w:rsidR="00C72315" w:rsidRDefault="00C72315">
      <w:pPr>
        <w:rPr>
          <w:b/>
        </w:rPr>
      </w:pPr>
    </w:p>
    <w:p w14:paraId="36AA3AD2" w14:textId="77777777" w:rsidR="00C72315" w:rsidRDefault="00C72315"/>
    <w:p w14:paraId="3B9F4A81" w14:textId="77777777" w:rsidR="00C72315" w:rsidRDefault="00C72315">
      <w:pPr>
        <w:rPr>
          <w:b/>
        </w:rPr>
      </w:pPr>
    </w:p>
    <w:p w14:paraId="68FA03E3" w14:textId="77777777" w:rsidR="00C72315" w:rsidRDefault="006B62C5">
      <w:pPr>
        <w:pStyle w:val="Heading1"/>
        <w:spacing w:before="0" w:after="0"/>
        <w:rPr>
          <w:b w:val="0"/>
        </w:rPr>
      </w:pPr>
      <w:bookmarkStart w:id="53" w:name="_heading=h.1fob9te" w:colFirst="0" w:colLast="0"/>
      <w:bookmarkEnd w:id="53"/>
      <w:r>
        <w:br w:type="page"/>
      </w:r>
    </w:p>
    <w:p w14:paraId="5A74112D" w14:textId="77777777" w:rsidR="00C72315" w:rsidRDefault="00C72315">
      <w:pPr>
        <w:pStyle w:val="Heading1"/>
        <w:spacing w:before="0" w:after="0"/>
        <w:jc w:val="left"/>
      </w:pPr>
      <w:bookmarkStart w:id="54" w:name="_heading=h.3znysh7" w:colFirst="0" w:colLast="0"/>
      <w:bookmarkEnd w:id="54"/>
    </w:p>
    <w:p w14:paraId="31C3D2E6" w14:textId="77777777" w:rsidR="00C72315" w:rsidRDefault="006B62C5">
      <w:pPr>
        <w:pStyle w:val="Heading1"/>
        <w:spacing w:before="0" w:after="0"/>
        <w:jc w:val="left"/>
      </w:pPr>
      <w:r>
        <w:t>REFERENCE LIST</w:t>
      </w:r>
    </w:p>
    <w:p w14:paraId="407E9C71" w14:textId="77777777" w:rsidR="00C72315" w:rsidRDefault="006B62C5">
      <w:pPr>
        <w:numPr>
          <w:ilvl w:val="0"/>
          <w:numId w:val="4"/>
        </w:numPr>
        <w:pBdr>
          <w:top w:val="nil"/>
          <w:left w:val="nil"/>
          <w:bottom w:val="nil"/>
          <w:right w:val="nil"/>
          <w:between w:val="nil"/>
        </w:pBdr>
        <w:spacing w:before="240"/>
      </w:pPr>
      <w:r>
        <w:rPr>
          <w:color w:val="000000"/>
        </w:rPr>
        <w:t>Aderinto, N., Olatunji, G., Kokori, E., Abdulrahmon, M.A., Akinmeji, A. and Fatoye</w:t>
      </w:r>
      <w:r>
        <w:rPr>
          <w:color w:val="000000"/>
        </w:rPr>
        <w:t xml:space="preserve">, J.O., 2024. Expanding surgical access in Africa through improved health insurance schemes: A review. </w:t>
      </w:r>
      <w:r>
        <w:rPr>
          <w:i/>
          <w:color w:val="000000"/>
        </w:rPr>
        <w:t>Medicine</w:t>
      </w:r>
      <w:r>
        <w:rPr>
          <w:color w:val="000000"/>
        </w:rPr>
        <w:t xml:space="preserve">, </w:t>
      </w:r>
      <w:r>
        <w:rPr>
          <w:i/>
          <w:color w:val="000000"/>
        </w:rPr>
        <w:t>103</w:t>
      </w:r>
      <w:r>
        <w:rPr>
          <w:color w:val="000000"/>
        </w:rPr>
        <w:t>(11), p.e37488.</w:t>
      </w:r>
    </w:p>
    <w:p w14:paraId="5444818D" w14:textId="77777777" w:rsidR="00C72315" w:rsidRDefault="006B62C5">
      <w:pPr>
        <w:numPr>
          <w:ilvl w:val="0"/>
          <w:numId w:val="4"/>
        </w:numPr>
        <w:pBdr>
          <w:top w:val="nil"/>
          <w:left w:val="nil"/>
          <w:bottom w:val="nil"/>
          <w:right w:val="nil"/>
          <w:between w:val="nil"/>
        </w:pBdr>
      </w:pPr>
      <w:r>
        <w:rPr>
          <w:color w:val="000000"/>
        </w:rPr>
        <w:t>AlHamad, A., Alshurideh, M., Alomari, K., Kurdi, B., Alzoubi, H., Hamouche, S. and Al-Hawary, S., 2022. The effect of electronic human resources management on organizational health of telecommuni-cations companies in Jordan. International Journal of Data and Network Science, 6(2), pp.429-438.</w:t>
      </w:r>
    </w:p>
    <w:p w14:paraId="632AEAA4" w14:textId="77777777" w:rsidR="00C72315" w:rsidRDefault="006B62C5">
      <w:pPr>
        <w:numPr>
          <w:ilvl w:val="0"/>
          <w:numId w:val="4"/>
        </w:numPr>
        <w:pBdr>
          <w:top w:val="nil"/>
          <w:left w:val="nil"/>
          <w:bottom w:val="nil"/>
          <w:right w:val="nil"/>
          <w:between w:val="nil"/>
        </w:pBdr>
      </w:pPr>
      <w:r>
        <w:rPr>
          <w:color w:val="000000"/>
        </w:rPr>
        <w:t>Alharahsheh, H.H. and Pius, A., 2020. A review of key paradigms: Positivism VS interpretivism. Global Academic Journal of Humanities and Social Sciences, 2(3), pp.39-43.</w:t>
      </w:r>
    </w:p>
    <w:p w14:paraId="00788F6A" w14:textId="77777777" w:rsidR="00C72315" w:rsidRDefault="006B62C5">
      <w:pPr>
        <w:numPr>
          <w:ilvl w:val="0"/>
          <w:numId w:val="4"/>
        </w:numPr>
        <w:pBdr>
          <w:top w:val="nil"/>
          <w:left w:val="nil"/>
          <w:bottom w:val="nil"/>
          <w:right w:val="nil"/>
          <w:between w:val="nil"/>
        </w:pBdr>
      </w:pPr>
      <w:r>
        <w:rPr>
          <w:color w:val="000000"/>
        </w:rPr>
        <w:t xml:space="preserve">Anyamesem-Poku, F. and Parmar, R.M., 2024. Evaluating The Impact Of Teachers’ Psychological Well-Being On Work Performance. Educational Administration: Theory and Practice, 30(4), pp.3232-3238. </w:t>
      </w:r>
    </w:p>
    <w:p w14:paraId="2C229653" w14:textId="77777777" w:rsidR="00C72315" w:rsidRDefault="006B62C5">
      <w:pPr>
        <w:numPr>
          <w:ilvl w:val="0"/>
          <w:numId w:val="4"/>
        </w:numPr>
        <w:pBdr>
          <w:top w:val="nil"/>
          <w:left w:val="nil"/>
          <w:bottom w:val="nil"/>
          <w:right w:val="nil"/>
          <w:between w:val="nil"/>
        </w:pBdr>
      </w:pPr>
      <w:r>
        <w:rPr>
          <w:color w:val="000000"/>
        </w:rPr>
        <w:t xml:space="preserve">Attridge, M., 2009. Measuring and managing employee work engagement: A review of the research and business literature. Journal of workplace behavioral health, 24(4), pp.383-398. </w:t>
      </w:r>
    </w:p>
    <w:p w14:paraId="45EDA633" w14:textId="77777777" w:rsidR="00C72315" w:rsidRDefault="006B62C5">
      <w:pPr>
        <w:numPr>
          <w:ilvl w:val="0"/>
          <w:numId w:val="4"/>
        </w:numPr>
        <w:pBdr>
          <w:top w:val="nil"/>
          <w:left w:val="nil"/>
          <w:bottom w:val="nil"/>
          <w:right w:val="nil"/>
          <w:between w:val="nil"/>
        </w:pBdr>
      </w:pPr>
      <w:r>
        <w:rPr>
          <w:color w:val="000000"/>
        </w:rPr>
        <w:t xml:space="preserve">Baicker, K., Cutler, D. and Song, Z., 2010. Workplace wellness programs can generate savings. Health affairs, 29(2), pp.304-311. </w:t>
      </w:r>
    </w:p>
    <w:p w14:paraId="490DD2C6" w14:textId="77777777" w:rsidR="00C72315" w:rsidRDefault="006B62C5">
      <w:pPr>
        <w:numPr>
          <w:ilvl w:val="0"/>
          <w:numId w:val="4"/>
        </w:numPr>
        <w:pBdr>
          <w:top w:val="nil"/>
          <w:left w:val="nil"/>
          <w:bottom w:val="nil"/>
          <w:right w:val="nil"/>
          <w:between w:val="nil"/>
        </w:pBdr>
      </w:pPr>
      <w:r>
        <w:rPr>
          <w:color w:val="000000"/>
        </w:rPr>
        <w:t>Bamgbade, J.A., Nawi, M.N.M., Kamaruddeen, A.M., Adeleke, A.Q. and Salimon, M.G., 2022. Building sustainability in the construction industry through firm capabilities, technology and business innovativeness: empirical evidence from Malaysia. International journal of construction management, 22(3), pp.473-488.</w:t>
      </w:r>
    </w:p>
    <w:p w14:paraId="325BC8CD" w14:textId="77777777" w:rsidR="00C72315" w:rsidRDefault="006B62C5">
      <w:pPr>
        <w:numPr>
          <w:ilvl w:val="0"/>
          <w:numId w:val="4"/>
        </w:numPr>
        <w:pBdr>
          <w:top w:val="nil"/>
          <w:left w:val="nil"/>
          <w:bottom w:val="nil"/>
          <w:right w:val="nil"/>
          <w:between w:val="nil"/>
        </w:pBdr>
      </w:pPr>
      <w:r>
        <w:rPr>
          <w:color w:val="000000"/>
        </w:rPr>
        <w:t xml:space="preserve">Bello, B.G., Tula, S.T., Omotoye, G.B., Kess-Momoh, A.J. and Daraojimba, A.I., 2024. Work-life balance and its impact in modern organizations: An HR review. World Journal of Advanced Research and Reviews, 21(1), pp.1162-1173. </w:t>
      </w:r>
    </w:p>
    <w:p w14:paraId="06333645" w14:textId="77777777" w:rsidR="00C72315" w:rsidRDefault="006B62C5">
      <w:pPr>
        <w:numPr>
          <w:ilvl w:val="0"/>
          <w:numId w:val="4"/>
        </w:numPr>
        <w:pBdr>
          <w:top w:val="nil"/>
          <w:left w:val="nil"/>
          <w:bottom w:val="nil"/>
          <w:right w:val="nil"/>
          <w:between w:val="nil"/>
        </w:pBdr>
      </w:pPr>
      <w:r>
        <w:rPr>
          <w:color w:val="000000"/>
        </w:rPr>
        <w:t xml:space="preserve">Bennett, J.B., Weaver, J., Senft, M. and Neeper, M., 2017. Creating workplace well‐being: Time for practical wisdom. The handbook of stress and health: A guide to research and practice, pp.570-604. </w:t>
      </w:r>
    </w:p>
    <w:p w14:paraId="75B5A7B7" w14:textId="77777777" w:rsidR="00C72315" w:rsidRDefault="006B62C5">
      <w:pPr>
        <w:numPr>
          <w:ilvl w:val="0"/>
          <w:numId w:val="4"/>
        </w:numPr>
        <w:pBdr>
          <w:top w:val="nil"/>
          <w:left w:val="nil"/>
          <w:bottom w:val="nil"/>
          <w:right w:val="nil"/>
          <w:between w:val="nil"/>
        </w:pBdr>
      </w:pPr>
      <w:r>
        <w:rPr>
          <w:color w:val="000000"/>
        </w:rPr>
        <w:t>Berry, L., Mirabito, A.M. and Baun, W.B., 2020. What's the hard return on employee wellness programs? (pp. 2012-2068). SSRN.</w:t>
      </w:r>
    </w:p>
    <w:p w14:paraId="54F00F97" w14:textId="77777777" w:rsidR="00C72315" w:rsidRDefault="006B62C5">
      <w:pPr>
        <w:numPr>
          <w:ilvl w:val="0"/>
          <w:numId w:val="4"/>
        </w:numPr>
        <w:pBdr>
          <w:top w:val="nil"/>
          <w:left w:val="nil"/>
          <w:bottom w:val="nil"/>
          <w:right w:val="nil"/>
          <w:between w:val="nil"/>
        </w:pBdr>
      </w:pPr>
      <w:r>
        <w:rPr>
          <w:color w:val="000000"/>
        </w:rPr>
        <w:t>Berry, L., Mirabito, A.M. and Baun, W.B., 2020. What's the hard return on employee wellness programs? (pp. 2012-2068). SSRN.</w:t>
      </w:r>
    </w:p>
    <w:p w14:paraId="1892F44A" w14:textId="77777777" w:rsidR="00C72315" w:rsidRDefault="006B62C5">
      <w:pPr>
        <w:numPr>
          <w:ilvl w:val="0"/>
          <w:numId w:val="4"/>
        </w:numPr>
        <w:pBdr>
          <w:top w:val="nil"/>
          <w:left w:val="nil"/>
          <w:bottom w:val="nil"/>
          <w:right w:val="nil"/>
          <w:between w:val="nil"/>
        </w:pBdr>
      </w:pPr>
      <w:r>
        <w:rPr>
          <w:color w:val="222222"/>
          <w:highlight w:val="white"/>
        </w:rPr>
        <w:t xml:space="preserve">Berry, L., Mirabito, A.M. and Baun, W.B., 2020. </w:t>
      </w:r>
      <w:r>
        <w:rPr>
          <w:i/>
          <w:color w:val="000000"/>
        </w:rPr>
        <w:t>What's the hard return on employee wellness programs?</w:t>
      </w:r>
      <w:r>
        <w:rPr>
          <w:color w:val="000000"/>
        </w:rPr>
        <w:t xml:space="preserve"> (pp. 2012-2068). SSRN.</w:t>
      </w:r>
    </w:p>
    <w:p w14:paraId="58B28BF4"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Busetto, L., Wick, W. and Gumbinger, C., 2020. How to use and assess qualitative research methods. Neurological Research and practice, 2(1), p.14.</w:t>
      </w:r>
    </w:p>
    <w:p w14:paraId="54AFFE02" w14:textId="77777777" w:rsidR="00C72315" w:rsidRDefault="006B62C5">
      <w:pPr>
        <w:numPr>
          <w:ilvl w:val="0"/>
          <w:numId w:val="4"/>
        </w:numPr>
        <w:pBdr>
          <w:top w:val="nil"/>
          <w:left w:val="nil"/>
          <w:bottom w:val="nil"/>
          <w:right w:val="nil"/>
          <w:between w:val="nil"/>
        </w:pBdr>
      </w:pPr>
      <w:r>
        <w:rPr>
          <w:color w:val="000000"/>
        </w:rPr>
        <w:t>Caligiuri, P., De Cieri, H., Minbaeva, D., Verbeke, A. and Zimmermann, A., 2020. International HRM insights for navigating the COVID-19 pandemic: Implications for future research and practice. Journal of International Business Studies, 51, pp.697-713.</w:t>
      </w:r>
    </w:p>
    <w:p w14:paraId="7EB081EB" w14:textId="77777777" w:rsidR="00C72315" w:rsidRDefault="006B62C5">
      <w:pPr>
        <w:numPr>
          <w:ilvl w:val="0"/>
          <w:numId w:val="4"/>
        </w:numPr>
        <w:pBdr>
          <w:top w:val="nil"/>
          <w:left w:val="nil"/>
          <w:bottom w:val="nil"/>
          <w:right w:val="nil"/>
          <w:between w:val="nil"/>
        </w:pBdr>
      </w:pPr>
      <w:r>
        <w:rPr>
          <w:color w:val="222222"/>
          <w:highlight w:val="white"/>
        </w:rPr>
        <w:t xml:space="preserve">Cheon, O., Naufal, G. and Kash, B.A., 2020. When workplace wellness programs work: Lessons learned from a large employer in Texas. </w:t>
      </w:r>
      <w:r>
        <w:rPr>
          <w:i/>
          <w:color w:val="000000"/>
        </w:rPr>
        <w:t>American Journal of Health Education</w:t>
      </w:r>
      <w:r>
        <w:rPr>
          <w:color w:val="000000"/>
        </w:rPr>
        <w:t xml:space="preserve">, </w:t>
      </w:r>
      <w:r>
        <w:rPr>
          <w:i/>
          <w:color w:val="000000"/>
        </w:rPr>
        <w:t>51</w:t>
      </w:r>
      <w:r>
        <w:rPr>
          <w:color w:val="000000"/>
        </w:rPr>
        <w:t>(1), pp.31-39.</w:t>
      </w:r>
    </w:p>
    <w:p w14:paraId="5475037D" w14:textId="77777777" w:rsidR="00C72315" w:rsidRDefault="006B62C5">
      <w:pPr>
        <w:numPr>
          <w:ilvl w:val="0"/>
          <w:numId w:val="4"/>
        </w:numPr>
        <w:pBdr>
          <w:top w:val="nil"/>
          <w:left w:val="nil"/>
          <w:bottom w:val="nil"/>
          <w:right w:val="nil"/>
          <w:between w:val="nil"/>
        </w:pBdr>
      </w:pPr>
      <w:r>
        <w:rPr>
          <w:color w:val="000000"/>
        </w:rPr>
        <w:t>Chung, H.C., Chen, Y.C., Chang, S.C., Hsu, W.L. and Hsieh, T.C., 2020. Nurses’ well-being,</w:t>
      </w:r>
    </w:p>
    <w:p w14:paraId="2813BAA3" w14:textId="77777777" w:rsidR="00C72315" w:rsidRDefault="006B62C5">
      <w:pPr>
        <w:numPr>
          <w:ilvl w:val="0"/>
          <w:numId w:val="4"/>
        </w:numPr>
        <w:pBdr>
          <w:top w:val="nil"/>
          <w:left w:val="nil"/>
          <w:bottom w:val="nil"/>
          <w:right w:val="nil"/>
          <w:between w:val="nil"/>
        </w:pBdr>
      </w:pPr>
      <w:r>
        <w:rPr>
          <w:color w:val="000000"/>
        </w:rPr>
        <w:t>Cipriano, C., Kilag, O.K., Echavez, R., Book, J.F., Taboada, A.R. and Rabi, J.I.I., 2024. Exploring the Landscape of Fitness Programs for Government Employees. International Multidisciplinary Journal of Research for Innovation, Sustainability, and Excellence (IMJRISE), 1(4), pp.53-59.</w:t>
      </w:r>
    </w:p>
    <w:p w14:paraId="17EBCC18" w14:textId="77777777" w:rsidR="00C72315" w:rsidRDefault="006B62C5">
      <w:pPr>
        <w:numPr>
          <w:ilvl w:val="0"/>
          <w:numId w:val="4"/>
        </w:numPr>
        <w:pBdr>
          <w:top w:val="nil"/>
          <w:left w:val="nil"/>
          <w:bottom w:val="nil"/>
          <w:right w:val="nil"/>
          <w:between w:val="nil"/>
        </w:pBdr>
      </w:pPr>
      <w:r>
        <w:rPr>
          <w:color w:val="000000"/>
        </w:rPr>
        <w:t>Clarke, V. and Braun, V., 2017. Thematic analysis. The journal of positive psychology, 12(3), pp.297-298.</w:t>
      </w:r>
    </w:p>
    <w:p w14:paraId="4C017621" w14:textId="77777777" w:rsidR="00C72315" w:rsidRDefault="006B62C5">
      <w:pPr>
        <w:numPr>
          <w:ilvl w:val="0"/>
          <w:numId w:val="4"/>
        </w:numPr>
        <w:pBdr>
          <w:top w:val="nil"/>
          <w:left w:val="nil"/>
          <w:bottom w:val="nil"/>
          <w:right w:val="nil"/>
          <w:between w:val="nil"/>
        </w:pBdr>
      </w:pPr>
      <w:r>
        <w:rPr>
          <w:color w:val="000000"/>
        </w:rPr>
        <w:t>Cleary, M., Schafer, C., McLean, L. and Visentin, D.C., 2020. Mental health and well-being in the health workplace. Issues in Mental Health Nursing, 41(2), pp.172-175.</w:t>
      </w:r>
    </w:p>
    <w:p w14:paraId="6F1DBFC7"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 xml:space="preserve">Dissanayake, E V A., 2023. Research Onion: A Systematic Approach for Designing Research Methodology. Part One. Available at: </w:t>
      </w:r>
      <w:hyperlink r:id="rId16">
        <w:r>
          <w:rPr>
            <w:color w:val="1155CC"/>
            <w:highlight w:val="white"/>
            <w:u w:val="single"/>
          </w:rPr>
          <w:t>https://www.researchgate.net/publication/368874144_Research_Onion_A_Systematic_Approach_for_Designing_Research_Methodology_Part_One</w:t>
        </w:r>
      </w:hyperlink>
    </w:p>
    <w:p w14:paraId="635335CB" w14:textId="77777777" w:rsidR="00C72315" w:rsidRDefault="006B62C5">
      <w:pPr>
        <w:numPr>
          <w:ilvl w:val="0"/>
          <w:numId w:val="4"/>
        </w:numPr>
        <w:pBdr>
          <w:top w:val="nil"/>
          <w:left w:val="nil"/>
          <w:bottom w:val="nil"/>
          <w:right w:val="nil"/>
          <w:between w:val="nil"/>
        </w:pBdr>
      </w:pPr>
      <w:r>
        <w:rPr>
          <w:color w:val="000000"/>
        </w:rPr>
        <w:t>Esthi, R.B. and Setiawan, I., 2023. Green human resources management of the small and micro-enterprises in Indonesia. Enrichment: Journal of Management, 12(6), pp.4877-4885.</w:t>
      </w:r>
    </w:p>
    <w:p w14:paraId="0A439A5F" w14:textId="77777777" w:rsidR="00C72315" w:rsidRDefault="006B62C5">
      <w:pPr>
        <w:numPr>
          <w:ilvl w:val="0"/>
          <w:numId w:val="4"/>
        </w:numPr>
        <w:pBdr>
          <w:top w:val="nil"/>
          <w:left w:val="nil"/>
          <w:bottom w:val="nil"/>
          <w:right w:val="nil"/>
          <w:between w:val="nil"/>
        </w:pBdr>
      </w:pPr>
      <w:r>
        <w:rPr>
          <w:color w:val="000000"/>
        </w:rPr>
        <w:t>Etikan, I. and Bala, K., 2017. Sampling and sampling methods. Biometrics &amp; Biostatistics International Journal, 5(6), p.00149.</w:t>
      </w:r>
    </w:p>
    <w:p w14:paraId="5E85D805" w14:textId="77777777" w:rsidR="00C72315" w:rsidRDefault="006B62C5">
      <w:pPr>
        <w:numPr>
          <w:ilvl w:val="0"/>
          <w:numId w:val="4"/>
        </w:numPr>
        <w:pBdr>
          <w:top w:val="nil"/>
          <w:left w:val="nil"/>
          <w:bottom w:val="nil"/>
          <w:right w:val="nil"/>
          <w:between w:val="nil"/>
        </w:pBdr>
      </w:pPr>
      <w:r>
        <w:rPr>
          <w:color w:val="000000"/>
        </w:rPr>
        <w:t>Farquhar, J., Michels, N. and Robson, J., 2020. Triangulation in industrial qualitative case study research: Widening the scope. Industrial Marketing Management, 87, pp.160-170.</w:t>
      </w:r>
    </w:p>
    <w:p w14:paraId="4FBD29C8" w14:textId="77777777" w:rsidR="00C72315" w:rsidRDefault="006B62C5">
      <w:pPr>
        <w:numPr>
          <w:ilvl w:val="0"/>
          <w:numId w:val="4"/>
        </w:numPr>
        <w:pBdr>
          <w:top w:val="nil"/>
          <w:left w:val="nil"/>
          <w:bottom w:val="nil"/>
          <w:right w:val="nil"/>
          <w:between w:val="nil"/>
        </w:pBdr>
      </w:pPr>
      <w:r>
        <w:rPr>
          <w:color w:val="000000"/>
        </w:rPr>
        <w:t>Finstad, G.L., Giorgi, G., Lulli, L.G., Pandolfi, C., Foti, G., León-Perez, J.M., Cantero-Sánchez, F.J. and Mucci, N., 2021. Resilience, coping strategies and posttraumatic growth in the workplace following COVID-19: A narrative review on the positive aspects of trauma. International journal of environmental research and public health, 18(18), p.9453.</w:t>
      </w:r>
    </w:p>
    <w:p w14:paraId="26F8C210" w14:textId="77777777" w:rsidR="00C72315" w:rsidRDefault="006B62C5">
      <w:pPr>
        <w:numPr>
          <w:ilvl w:val="0"/>
          <w:numId w:val="4"/>
        </w:numPr>
        <w:pBdr>
          <w:top w:val="nil"/>
          <w:left w:val="nil"/>
          <w:bottom w:val="nil"/>
          <w:right w:val="nil"/>
          <w:between w:val="nil"/>
        </w:pBdr>
      </w:pPr>
      <w:r>
        <w:rPr>
          <w:color w:val="000000"/>
        </w:rPr>
        <w:t>Goetzel, R.Z., Roemer, E.C., Holingue, C., Fallin, M.D., McCleary, K., Eaton, W., Agnew, J., Azocar, F., Ballard, D., Bartlett, J. and Braga, M., 2018. Mental health in the workplace: A call to action proceedings from the mental health in the workplace: Public health summit. Journal of occupational and environmental medicine, 60(4), p.322.</w:t>
      </w:r>
    </w:p>
    <w:p w14:paraId="3039A293" w14:textId="77777777" w:rsidR="00C72315" w:rsidRDefault="006B62C5">
      <w:pPr>
        <w:numPr>
          <w:ilvl w:val="0"/>
          <w:numId w:val="4"/>
        </w:numPr>
        <w:pBdr>
          <w:top w:val="nil"/>
          <w:left w:val="nil"/>
          <w:bottom w:val="nil"/>
          <w:right w:val="nil"/>
          <w:between w:val="nil"/>
        </w:pBdr>
      </w:pPr>
      <w:r>
        <w:rPr>
          <w:color w:val="000000"/>
        </w:rPr>
        <w:t>González, L.R., 2022. Wellness Programs: strategies for increasing employees’ Productivity and reducing Health Care costs (Doctoral dissertation, Walden University).</w:t>
      </w:r>
    </w:p>
    <w:p w14:paraId="2E1EB52C" w14:textId="77777777" w:rsidR="00C72315" w:rsidRDefault="006B62C5">
      <w:pPr>
        <w:numPr>
          <w:ilvl w:val="0"/>
          <w:numId w:val="4"/>
        </w:numPr>
        <w:pBdr>
          <w:top w:val="nil"/>
          <w:left w:val="nil"/>
          <w:bottom w:val="nil"/>
          <w:right w:val="nil"/>
          <w:between w:val="nil"/>
        </w:pBdr>
      </w:pPr>
      <w:r>
        <w:rPr>
          <w:color w:val="000000"/>
        </w:rPr>
        <w:t xml:space="preserve">Harter, J.K., Schmidt, F.L. and Keyes, C.L., 2003. Well-being in the workplace and its relationship to business outcomes: A review of the Gallup studies. </w:t>
      </w:r>
    </w:p>
    <w:p w14:paraId="6B1935AB" w14:textId="77777777" w:rsidR="00C72315" w:rsidRDefault="006B62C5">
      <w:pPr>
        <w:numPr>
          <w:ilvl w:val="0"/>
          <w:numId w:val="4"/>
        </w:numPr>
        <w:pBdr>
          <w:top w:val="nil"/>
          <w:left w:val="nil"/>
          <w:bottom w:val="nil"/>
          <w:right w:val="nil"/>
          <w:between w:val="nil"/>
        </w:pBdr>
      </w:pPr>
      <w:r>
        <w:rPr>
          <w:color w:val="000000"/>
        </w:rPr>
        <w:t>Hassan, S., Ansari, N. and Rehman, A., 2022. An exploratory study of workplace spirituality and employee well-being affecting public service motivation: an institutional perspective. Qualitative Research Journal, 22(2), pp.209-235.</w:t>
      </w:r>
    </w:p>
    <w:p w14:paraId="412CD569" w14:textId="77777777" w:rsidR="00C72315" w:rsidRDefault="006B62C5">
      <w:pPr>
        <w:numPr>
          <w:ilvl w:val="0"/>
          <w:numId w:val="4"/>
        </w:numPr>
        <w:pBdr>
          <w:top w:val="nil"/>
          <w:left w:val="nil"/>
          <w:bottom w:val="nil"/>
          <w:right w:val="nil"/>
          <w:between w:val="nil"/>
        </w:pBdr>
      </w:pPr>
      <w:r>
        <w:rPr>
          <w:color w:val="000000"/>
        </w:rPr>
        <w:t xml:space="preserve">Heale, R. and Twycross, A., 2018. What is a case study?. Evidence-based nursing, 21(1), pp.7-8. </w:t>
      </w:r>
    </w:p>
    <w:p w14:paraId="7003F362" w14:textId="77777777" w:rsidR="00C72315" w:rsidRDefault="006B62C5">
      <w:pPr>
        <w:numPr>
          <w:ilvl w:val="0"/>
          <w:numId w:val="4"/>
        </w:numPr>
        <w:pBdr>
          <w:top w:val="nil"/>
          <w:left w:val="nil"/>
          <w:bottom w:val="nil"/>
          <w:right w:val="nil"/>
          <w:between w:val="nil"/>
        </w:pBdr>
      </w:pPr>
      <w:r>
        <w:rPr>
          <w:color w:val="000000"/>
        </w:rPr>
        <w:t>Holcomb, B., 2020. The effects of health-based wellness programs on employee productivity. The Corinthian, 20(1), p.17.</w:t>
      </w:r>
    </w:p>
    <w:p w14:paraId="629CF96D" w14:textId="77777777" w:rsidR="00C72315" w:rsidRDefault="006B62C5">
      <w:pPr>
        <w:numPr>
          <w:ilvl w:val="0"/>
          <w:numId w:val="4"/>
        </w:numPr>
        <w:pBdr>
          <w:top w:val="nil"/>
          <w:left w:val="nil"/>
          <w:bottom w:val="nil"/>
          <w:right w:val="nil"/>
          <w:between w:val="nil"/>
        </w:pBdr>
      </w:pPr>
      <w:r>
        <w:rPr>
          <w:color w:val="000000"/>
        </w:rPr>
        <w:t>Holden, K.C., 2021. Whose Health Is It Anyway? The Impact of Employee Wellness Programs on Health Engagement (Doctoral dissertation, University of Hawai'i at Manoa).</w:t>
      </w:r>
    </w:p>
    <w:p w14:paraId="3B19A9FB" w14:textId="77777777" w:rsidR="00C72315" w:rsidRDefault="006B62C5">
      <w:pPr>
        <w:numPr>
          <w:ilvl w:val="0"/>
          <w:numId w:val="4"/>
        </w:numPr>
        <w:pBdr>
          <w:top w:val="nil"/>
          <w:left w:val="nil"/>
          <w:bottom w:val="nil"/>
          <w:right w:val="nil"/>
          <w:between w:val="nil"/>
        </w:pBdr>
      </w:pPr>
      <w:r>
        <w:rPr>
          <w:color w:val="000000"/>
        </w:rPr>
        <w:t>Holman, D., Johnson, S. and O’Connor, E., 2018. Stress management interventions: Improving subjective psychological well-being in the workplace. Handbook of well-being, pp.1-13.</w:t>
      </w:r>
    </w:p>
    <w:p w14:paraId="629AE4CA" w14:textId="77777777" w:rsidR="00C72315" w:rsidRDefault="006B62C5">
      <w:pPr>
        <w:numPr>
          <w:ilvl w:val="0"/>
          <w:numId w:val="4"/>
        </w:numPr>
        <w:pBdr>
          <w:top w:val="nil"/>
          <w:left w:val="nil"/>
          <w:bottom w:val="nil"/>
          <w:right w:val="nil"/>
          <w:between w:val="nil"/>
        </w:pBdr>
      </w:pPr>
      <w:r>
        <w:rPr>
          <w:color w:val="000000"/>
        </w:rPr>
        <w:t xml:space="preserve">Hubbard, K.E., Dunbar, S.D., Peasland, E.L., Poon, J. and Solly, J.E., 2022. How do readers at different career stages approach reading a scientific research paper? A case study in the biological sciences. </w:t>
      </w:r>
      <w:r>
        <w:rPr>
          <w:i/>
          <w:color w:val="000000"/>
        </w:rPr>
        <w:t>International Journal of Science Education, Part B</w:t>
      </w:r>
      <w:r>
        <w:rPr>
          <w:color w:val="000000"/>
        </w:rPr>
        <w:t xml:space="preserve">, </w:t>
      </w:r>
      <w:r>
        <w:rPr>
          <w:i/>
          <w:color w:val="000000"/>
        </w:rPr>
        <w:t>12</w:t>
      </w:r>
      <w:r>
        <w:rPr>
          <w:color w:val="000000"/>
        </w:rPr>
        <w:t>(4), pp.328-344.</w:t>
      </w:r>
    </w:p>
    <w:p w14:paraId="6B47F4B8" w14:textId="77777777" w:rsidR="00C72315" w:rsidRDefault="006B62C5">
      <w:pPr>
        <w:numPr>
          <w:ilvl w:val="0"/>
          <w:numId w:val="4"/>
        </w:numPr>
        <w:pBdr>
          <w:top w:val="nil"/>
          <w:left w:val="nil"/>
          <w:bottom w:val="nil"/>
          <w:right w:val="nil"/>
          <w:between w:val="nil"/>
        </w:pBdr>
      </w:pPr>
      <w:r>
        <w:rPr>
          <w:color w:val="000000"/>
        </w:rPr>
        <w:t>Iswarya, V.S., Babima, M., Muhila, M.G. and Dhaneesh, R., 2024. Enhancing well-being: evaluating the impact of stress management interventions for IT professionals in the workplace. International Journal of System Assurance Engineering and Management, pp.1-19.</w:t>
      </w:r>
    </w:p>
    <w:p w14:paraId="428420CB" w14:textId="77777777" w:rsidR="00C72315" w:rsidRDefault="006B62C5">
      <w:pPr>
        <w:numPr>
          <w:ilvl w:val="0"/>
          <w:numId w:val="4"/>
        </w:numPr>
        <w:pBdr>
          <w:top w:val="nil"/>
          <w:left w:val="nil"/>
          <w:bottom w:val="nil"/>
          <w:right w:val="nil"/>
          <w:between w:val="nil"/>
        </w:pBdr>
      </w:pPr>
      <w:r>
        <w:rPr>
          <w:color w:val="000000"/>
        </w:rPr>
        <w:t>Janssen, M., Heerkens, Y., Kuijer, W., Van Der Heijden, B. and Engels, J., 2018. Effects of Mindfulness-Based Stress Reduction on employees’ mental health: A systematic review. PloS one, 13(1), p.e0191332.</w:t>
      </w:r>
    </w:p>
    <w:p w14:paraId="61EADF70" w14:textId="77777777" w:rsidR="00C72315" w:rsidRDefault="006B62C5">
      <w:pPr>
        <w:numPr>
          <w:ilvl w:val="0"/>
          <w:numId w:val="4"/>
        </w:numPr>
        <w:pBdr>
          <w:top w:val="nil"/>
          <w:left w:val="nil"/>
          <w:bottom w:val="nil"/>
          <w:right w:val="nil"/>
          <w:between w:val="nil"/>
        </w:pBdr>
      </w:pPr>
      <w:r>
        <w:rPr>
          <w:color w:val="000000"/>
        </w:rPr>
        <w:t>Jeong, M. and Oh, H., 2017. Business-to-business social exchange relationship beyond trust and commitment. International Journal of Hospitality Management, 65, pp.115-124.</w:t>
      </w:r>
    </w:p>
    <w:p w14:paraId="0A8AC7C6" w14:textId="77777777" w:rsidR="00C72315" w:rsidRDefault="006B62C5">
      <w:pPr>
        <w:numPr>
          <w:ilvl w:val="0"/>
          <w:numId w:val="4"/>
        </w:numPr>
        <w:pBdr>
          <w:top w:val="nil"/>
          <w:left w:val="nil"/>
          <w:bottom w:val="nil"/>
          <w:right w:val="nil"/>
          <w:between w:val="nil"/>
        </w:pBdr>
      </w:pPr>
      <w:r>
        <w:rPr>
          <w:color w:val="000000"/>
        </w:rPr>
        <w:t>Johnson, K.R., Park, S. and Chaudhuri, S., 2020. Mindfulness training in the workplace: Exploring its scope and outcomes. European Journal of Training and Development, 44(4/5), pp.341-354.</w:t>
      </w:r>
    </w:p>
    <w:p w14:paraId="091EA29E" w14:textId="77777777" w:rsidR="00C72315" w:rsidRDefault="006B62C5">
      <w:pPr>
        <w:numPr>
          <w:ilvl w:val="0"/>
          <w:numId w:val="4"/>
        </w:numPr>
        <w:pBdr>
          <w:top w:val="nil"/>
          <w:left w:val="nil"/>
          <w:bottom w:val="nil"/>
          <w:right w:val="nil"/>
          <w:between w:val="nil"/>
        </w:pBdr>
      </w:pPr>
      <w:r>
        <w:rPr>
          <w:color w:val="000000"/>
        </w:rPr>
        <w:t>Jones, D., Molitor, D. and Reif, J., 2019. What do workplace wellness programs do? Evidence from the Illinois workplace wellness study. The Quarterly Journal of Economics, 134(4), pp.1747-1791. journal of environmental research and public health, 17(10), p.3582.</w:t>
      </w:r>
    </w:p>
    <w:p w14:paraId="775136E6" w14:textId="77777777" w:rsidR="00C72315" w:rsidRDefault="006B62C5">
      <w:pPr>
        <w:numPr>
          <w:ilvl w:val="0"/>
          <w:numId w:val="4"/>
        </w:numPr>
        <w:pBdr>
          <w:top w:val="nil"/>
          <w:left w:val="nil"/>
          <w:bottom w:val="nil"/>
          <w:right w:val="nil"/>
          <w:between w:val="nil"/>
        </w:pBdr>
      </w:pPr>
      <w:r>
        <w:rPr>
          <w:color w:val="000000"/>
        </w:rPr>
        <w:t xml:space="preserve">Joy, S., Kumar, A.A., Nair, S. and Chandar, K.S., 2024. Transforming Workplace Stress: The Importance of Neuroleadership for Building Resilient Work Environment. In Neuroleadership Development and Effective Communication in Modern Business (pp. 164-185). IGI Global. </w:t>
      </w:r>
    </w:p>
    <w:p w14:paraId="01B41BE8" w14:textId="77777777" w:rsidR="00C72315" w:rsidRDefault="006B62C5">
      <w:pPr>
        <w:numPr>
          <w:ilvl w:val="0"/>
          <w:numId w:val="4"/>
        </w:numPr>
        <w:pBdr>
          <w:top w:val="nil"/>
          <w:left w:val="nil"/>
          <w:bottom w:val="nil"/>
          <w:right w:val="nil"/>
          <w:between w:val="nil"/>
        </w:pBdr>
      </w:pPr>
      <w:r>
        <w:rPr>
          <w:color w:val="000000"/>
        </w:rPr>
        <w:t>Junjie, M. and Yingxin, M., 2022. The Discussions of Positivism and Interpretivism. Online Submission, 4(1), pp.10-14.</w:t>
      </w:r>
    </w:p>
    <w:p w14:paraId="759F3A9E" w14:textId="77777777" w:rsidR="00C72315" w:rsidRDefault="006B62C5">
      <w:pPr>
        <w:numPr>
          <w:ilvl w:val="0"/>
          <w:numId w:val="4"/>
        </w:numPr>
        <w:pBdr>
          <w:top w:val="nil"/>
          <w:left w:val="nil"/>
          <w:bottom w:val="nil"/>
          <w:right w:val="nil"/>
          <w:between w:val="nil"/>
        </w:pBdr>
      </w:pPr>
      <w:r>
        <w:rPr>
          <w:color w:val="000000"/>
        </w:rPr>
        <w:t>Kent, K., Goetzel, R.Z., Roemer, E.C., Prasad, A. and Freundlich, N., 2016. Promoting healthy workplaces by building cultures of health and applying strategic communications. Journal of occupational and environmental medicine, 58(2), pp.114-122.</w:t>
      </w:r>
    </w:p>
    <w:p w14:paraId="7898A719"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Kiger, M.E. and Varpio, L., 2020. Thematic analysis of qualitative data: AMEE Guide No. 131. Medical teacher, 42(8), pp.846-854.</w:t>
      </w:r>
    </w:p>
    <w:p w14:paraId="134F69D6" w14:textId="77777777" w:rsidR="00C72315" w:rsidRDefault="006B62C5">
      <w:pPr>
        <w:numPr>
          <w:ilvl w:val="0"/>
          <w:numId w:val="4"/>
        </w:numPr>
        <w:pBdr>
          <w:top w:val="nil"/>
          <w:left w:val="nil"/>
          <w:bottom w:val="nil"/>
          <w:right w:val="nil"/>
          <w:between w:val="nil"/>
        </w:pBdr>
      </w:pPr>
      <w:r>
        <w:rPr>
          <w:color w:val="000000"/>
        </w:rPr>
        <w:t>Kuknor, S.C. and Bhattacharya</w:t>
      </w:r>
      <w:r>
        <w:rPr>
          <w:color w:val="000000"/>
        </w:rPr>
        <w:t>, S., 2022. Inclusive leadership: new age leadership to foster organizational inclusion. European Journal of Training and Development, 46(9), pp.771-797.</w:t>
      </w:r>
    </w:p>
    <w:p w14:paraId="689C050A" w14:textId="77777777" w:rsidR="00C72315" w:rsidRDefault="006B62C5">
      <w:pPr>
        <w:numPr>
          <w:ilvl w:val="0"/>
          <w:numId w:val="4"/>
        </w:numPr>
        <w:pBdr>
          <w:top w:val="nil"/>
          <w:left w:val="nil"/>
          <w:bottom w:val="nil"/>
          <w:right w:val="nil"/>
          <w:between w:val="nil"/>
        </w:pBdr>
      </w:pPr>
      <w:r>
        <w:rPr>
          <w:color w:val="000000"/>
        </w:rPr>
        <w:t>Ledikwe, J.H., Kleinman, N.J., Mpho, M., Mothibedi, H., Mawandia, S., Semo, B.W. and O’Malley, G., 2018. Associations between healthcare worker participation in workplace wellness activities and job satisfaction, occupational stress and burnout: a cross-sectional study in Botswana. BMJ open, 8(3).</w:t>
      </w:r>
    </w:p>
    <w:p w14:paraId="447A49B8" w14:textId="77777777" w:rsidR="00C72315" w:rsidRDefault="006B62C5">
      <w:pPr>
        <w:numPr>
          <w:ilvl w:val="0"/>
          <w:numId w:val="4"/>
        </w:numPr>
        <w:pBdr>
          <w:top w:val="nil"/>
          <w:left w:val="nil"/>
          <w:bottom w:val="nil"/>
          <w:right w:val="nil"/>
          <w:between w:val="nil"/>
        </w:pBdr>
      </w:pPr>
      <w:r>
        <w:rPr>
          <w:color w:val="222222"/>
          <w:highlight w:val="white"/>
        </w:rPr>
        <w:t xml:space="preserve">Leitão, J., Pereira, D. and Gonçalves, Â., 2021. Quality of work life and contribution to productivity: Assessing the moderator effects of burnout syndrome. </w:t>
      </w:r>
      <w:r>
        <w:rPr>
          <w:i/>
          <w:color w:val="000000"/>
        </w:rPr>
        <w:t>International Journal of Environmental Research and Public Health</w:t>
      </w:r>
      <w:r>
        <w:rPr>
          <w:color w:val="000000"/>
        </w:rPr>
        <w:t xml:space="preserve">, </w:t>
      </w:r>
      <w:r>
        <w:rPr>
          <w:i/>
          <w:color w:val="000000"/>
        </w:rPr>
        <w:t>18</w:t>
      </w:r>
      <w:r>
        <w:rPr>
          <w:color w:val="000000"/>
        </w:rPr>
        <w:t>(5), p.2425.</w:t>
      </w:r>
    </w:p>
    <w:p w14:paraId="226ADFB4" w14:textId="77777777" w:rsidR="00C72315" w:rsidRDefault="006B62C5">
      <w:pPr>
        <w:numPr>
          <w:ilvl w:val="0"/>
          <w:numId w:val="4"/>
        </w:numPr>
        <w:pBdr>
          <w:top w:val="nil"/>
          <w:left w:val="nil"/>
          <w:bottom w:val="nil"/>
          <w:right w:val="nil"/>
          <w:between w:val="nil"/>
        </w:pBdr>
      </w:pPr>
      <w:r>
        <w:rPr>
          <w:color w:val="000000"/>
        </w:rPr>
        <w:t>Lester, J.N., Cho, Y. and Lochmiller, C.R., 2020. Learning to do qualitative data analysis: A starting point. Human resource development review, 19(1), pp.94-106.</w:t>
      </w:r>
    </w:p>
    <w:p w14:paraId="7914B748" w14:textId="77777777" w:rsidR="00C72315" w:rsidRDefault="006B62C5">
      <w:pPr>
        <w:numPr>
          <w:ilvl w:val="0"/>
          <w:numId w:val="4"/>
        </w:numPr>
        <w:pBdr>
          <w:top w:val="nil"/>
          <w:left w:val="nil"/>
          <w:bottom w:val="nil"/>
          <w:right w:val="nil"/>
          <w:between w:val="nil"/>
        </w:pBdr>
      </w:pPr>
      <w:r>
        <w:rPr>
          <w:color w:val="000000"/>
        </w:rPr>
        <w:t xml:space="preserve">Lester, J.N., Cho, Y. and Lochmiller, C.R., 2020. Learning to do qualitative data analysis: A starting point. </w:t>
      </w:r>
      <w:r>
        <w:rPr>
          <w:i/>
          <w:color w:val="000000"/>
        </w:rPr>
        <w:t>Human resource development review</w:t>
      </w:r>
      <w:r>
        <w:rPr>
          <w:color w:val="000000"/>
        </w:rPr>
        <w:t xml:space="preserve">, </w:t>
      </w:r>
      <w:r>
        <w:rPr>
          <w:i/>
          <w:color w:val="000000"/>
        </w:rPr>
        <w:t>19</w:t>
      </w:r>
      <w:r>
        <w:rPr>
          <w:color w:val="000000"/>
        </w:rPr>
        <w:t>(1), pp.94-106.</w:t>
      </w:r>
    </w:p>
    <w:p w14:paraId="2AC83C85" w14:textId="77777777" w:rsidR="00C72315" w:rsidRDefault="006B62C5">
      <w:pPr>
        <w:numPr>
          <w:ilvl w:val="0"/>
          <w:numId w:val="4"/>
        </w:numPr>
        <w:pBdr>
          <w:top w:val="nil"/>
          <w:left w:val="nil"/>
          <w:bottom w:val="nil"/>
          <w:right w:val="nil"/>
          <w:between w:val="nil"/>
        </w:pBdr>
      </w:pPr>
      <w:r>
        <w:rPr>
          <w:color w:val="000000"/>
        </w:rPr>
        <w:t xml:space="preserve">Locke, K., Feldman, M. and Golden-Biddle, K., 2022. Coding practices and iterativity: Beyond templates for analyzing qualitative data. </w:t>
      </w:r>
      <w:r>
        <w:rPr>
          <w:i/>
          <w:color w:val="000000"/>
        </w:rPr>
        <w:t>Organizational research methods</w:t>
      </w:r>
      <w:r>
        <w:rPr>
          <w:color w:val="000000"/>
        </w:rPr>
        <w:t xml:space="preserve">, </w:t>
      </w:r>
      <w:r>
        <w:rPr>
          <w:i/>
          <w:color w:val="000000"/>
        </w:rPr>
        <w:t>25</w:t>
      </w:r>
      <w:r>
        <w:rPr>
          <w:color w:val="000000"/>
        </w:rPr>
        <w:t>(2), pp.262-284.</w:t>
      </w:r>
    </w:p>
    <w:p w14:paraId="5EC67B6D" w14:textId="77777777" w:rsidR="00C72315" w:rsidRDefault="006B62C5">
      <w:pPr>
        <w:numPr>
          <w:ilvl w:val="0"/>
          <w:numId w:val="4"/>
        </w:numPr>
        <w:pBdr>
          <w:top w:val="nil"/>
          <w:left w:val="nil"/>
          <w:bottom w:val="nil"/>
          <w:right w:val="nil"/>
          <w:between w:val="nil"/>
        </w:pBdr>
      </w:pPr>
      <w:r>
        <w:rPr>
          <w:color w:val="000000"/>
        </w:rPr>
        <w:t xml:space="preserve">López-Cabarcos, M.Á., Vázquez-Rodríguez, P. and </w:t>
      </w:r>
      <w:r>
        <w:rPr>
          <w:color w:val="000000"/>
        </w:rPr>
        <w:t>Quiñoá-Piñeiro, L.M., 2022. An approach to employees’ job performance through work environmental variables and leadership behaviours. Journal of Business Research, 140, pp.361-369.</w:t>
      </w:r>
    </w:p>
    <w:p w14:paraId="7F79FEE1" w14:textId="77777777" w:rsidR="00C72315" w:rsidRDefault="006B62C5">
      <w:pPr>
        <w:numPr>
          <w:ilvl w:val="0"/>
          <w:numId w:val="4"/>
        </w:numPr>
        <w:pBdr>
          <w:top w:val="nil"/>
          <w:left w:val="nil"/>
          <w:bottom w:val="nil"/>
          <w:right w:val="nil"/>
          <w:between w:val="nil"/>
        </w:pBdr>
      </w:pPr>
      <w:r>
        <w:rPr>
          <w:color w:val="000000"/>
        </w:rPr>
        <w:t>Madhani, P.M., 2010. Resource based view (RBV) of competitive advantage: an overview. Resource based view: concepts and practices, Pankaj Madhani, ed, pp.3-22.</w:t>
      </w:r>
    </w:p>
    <w:p w14:paraId="0633E85D" w14:textId="77777777" w:rsidR="00C72315" w:rsidRDefault="006B62C5">
      <w:pPr>
        <w:numPr>
          <w:ilvl w:val="0"/>
          <w:numId w:val="4"/>
        </w:numPr>
        <w:pBdr>
          <w:top w:val="nil"/>
          <w:left w:val="nil"/>
          <w:bottom w:val="nil"/>
          <w:right w:val="nil"/>
          <w:between w:val="nil"/>
        </w:pBdr>
      </w:pPr>
      <w:r>
        <w:rPr>
          <w:color w:val="000000"/>
        </w:rPr>
        <w:t xml:space="preserve">Madsen, R., 2020. </w:t>
      </w:r>
      <w:r>
        <w:rPr>
          <w:i/>
          <w:color w:val="000000"/>
        </w:rPr>
        <w:t>Making wellness work: 5 ways employers can improve programs</w:t>
      </w:r>
      <w:r>
        <w:rPr>
          <w:color w:val="000000"/>
        </w:rPr>
        <w:t xml:space="preserve">, </w:t>
      </w:r>
      <w:r>
        <w:rPr>
          <w:i/>
          <w:color w:val="000000"/>
        </w:rPr>
        <w:t>Employee Benefit News</w:t>
      </w:r>
      <w:r>
        <w:rPr>
          <w:color w:val="000000"/>
        </w:rPr>
        <w:t>. Available at: https://www.benefitnews.com/opinion/how-employers-can-improve-wellness-programs (Accessed: 08 February 2024).</w:t>
      </w:r>
    </w:p>
    <w:p w14:paraId="1065FD8C" w14:textId="77777777" w:rsidR="00C72315" w:rsidRDefault="006B62C5">
      <w:pPr>
        <w:numPr>
          <w:ilvl w:val="0"/>
          <w:numId w:val="4"/>
        </w:numPr>
        <w:pBdr>
          <w:top w:val="nil"/>
          <w:left w:val="nil"/>
          <w:bottom w:val="nil"/>
          <w:right w:val="nil"/>
          <w:between w:val="nil"/>
        </w:pBdr>
      </w:pPr>
      <w:r>
        <w:rPr>
          <w:color w:val="000000"/>
        </w:rPr>
        <w:t>Marshall, C., 2020. Analysis of a comprehensive wellness program's impact on job satisfaction in the workplace. International Hospitality Review, 34(2), pp.221-241.</w:t>
      </w:r>
    </w:p>
    <w:p w14:paraId="33BC9B75"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 xml:space="preserve">Mazhar, S.A., Anjum, R., Anwar, A.I. and Khan, A.A., 2021. Methods of data collection: A fundamental tool of research. </w:t>
      </w:r>
      <w:r>
        <w:rPr>
          <w:i/>
          <w:color w:val="222222"/>
          <w:highlight w:val="white"/>
        </w:rPr>
        <w:t>Journal of Integrated Community Health (ISSN 2319-9113)</w:t>
      </w:r>
      <w:r>
        <w:rPr>
          <w:color w:val="222222"/>
          <w:highlight w:val="white"/>
        </w:rPr>
        <w:t xml:space="preserve">, </w:t>
      </w:r>
      <w:r>
        <w:rPr>
          <w:i/>
          <w:color w:val="222222"/>
          <w:highlight w:val="white"/>
        </w:rPr>
        <w:t>10</w:t>
      </w:r>
      <w:r>
        <w:rPr>
          <w:color w:val="222222"/>
          <w:highlight w:val="white"/>
        </w:rPr>
        <w:t>(1), pp.6-10.</w:t>
      </w:r>
    </w:p>
    <w:p w14:paraId="65A4A8CD" w14:textId="77777777" w:rsidR="00C72315" w:rsidRDefault="006B62C5">
      <w:pPr>
        <w:numPr>
          <w:ilvl w:val="0"/>
          <w:numId w:val="4"/>
        </w:numPr>
        <w:pBdr>
          <w:top w:val="nil"/>
          <w:left w:val="nil"/>
          <w:bottom w:val="nil"/>
          <w:right w:val="nil"/>
          <w:between w:val="nil"/>
        </w:pBdr>
      </w:pPr>
      <w:r>
        <w:rPr>
          <w:color w:val="000000"/>
        </w:rPr>
        <w:t>Melnikovas, A., 2018. Towards an Explicit Research Methodology: Adapting Research Onion Model for Futures Studies. Journal of futures Studies, 23(2).</w:t>
      </w:r>
    </w:p>
    <w:p w14:paraId="78EC9D61" w14:textId="77777777" w:rsidR="00C72315" w:rsidRDefault="006B62C5">
      <w:pPr>
        <w:numPr>
          <w:ilvl w:val="0"/>
          <w:numId w:val="4"/>
        </w:numPr>
        <w:pBdr>
          <w:top w:val="nil"/>
          <w:left w:val="nil"/>
          <w:bottom w:val="nil"/>
          <w:right w:val="nil"/>
          <w:between w:val="nil"/>
        </w:pBdr>
      </w:pPr>
      <w:r>
        <w:rPr>
          <w:color w:val="000000"/>
        </w:rPr>
        <w:t>Molino, M., Cortese, C.G. and Ghislieri, C., 2020. The promotion of technology acceptance and work engagement in industry 4.0: From personal resources to information and training. International journal of environmental research and public health, 17(7), p.2438.</w:t>
      </w:r>
    </w:p>
    <w:p w14:paraId="285E9B6F" w14:textId="77777777" w:rsidR="00C72315" w:rsidRDefault="006B62C5">
      <w:pPr>
        <w:numPr>
          <w:ilvl w:val="0"/>
          <w:numId w:val="4"/>
        </w:numPr>
        <w:pBdr>
          <w:top w:val="nil"/>
          <w:left w:val="nil"/>
          <w:bottom w:val="nil"/>
          <w:right w:val="nil"/>
          <w:between w:val="nil"/>
        </w:pBdr>
      </w:pPr>
      <w:r>
        <w:rPr>
          <w:color w:val="000000"/>
        </w:rPr>
        <w:t xml:space="preserve">Mopkins, D., Lee, M. and Malecha, A., 2024. Personal, Social, and Workplace Environmental Factors Related to Psychological Well-Being of Staff in University Settings. Workplace Health &amp; Safety, p.21650799231214249. </w:t>
      </w:r>
    </w:p>
    <w:p w14:paraId="507DBB47"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Nayak, J.K. and Singh, P., 2021. Fundamentals of research methodology problems and prospects. SSDN Publishers &amp; Distributors.</w:t>
      </w:r>
    </w:p>
    <w:p w14:paraId="0286775A" w14:textId="77777777" w:rsidR="00C72315" w:rsidRDefault="006B62C5">
      <w:pPr>
        <w:numPr>
          <w:ilvl w:val="0"/>
          <w:numId w:val="4"/>
        </w:numPr>
        <w:pBdr>
          <w:top w:val="nil"/>
          <w:left w:val="nil"/>
          <w:bottom w:val="nil"/>
          <w:right w:val="nil"/>
          <w:between w:val="nil"/>
        </w:pBdr>
      </w:pPr>
      <w:r>
        <w:rPr>
          <w:color w:val="000000"/>
        </w:rPr>
        <w:t>Olaniyan, O.S., Hetland, H., Hystad, S.W., Iversen, A.C. and Ortiz-Barreda, G., 2020. Lean on me: A scoping review of the essence of workplace support among child welfare workers. Frontiers in Psychology, 11, p.287.</w:t>
      </w:r>
    </w:p>
    <w:p w14:paraId="7B9D6207" w14:textId="77777777" w:rsidR="00C72315" w:rsidRDefault="006B62C5">
      <w:pPr>
        <w:numPr>
          <w:ilvl w:val="0"/>
          <w:numId w:val="4"/>
        </w:numPr>
        <w:pBdr>
          <w:top w:val="nil"/>
          <w:left w:val="nil"/>
          <w:bottom w:val="nil"/>
          <w:right w:val="nil"/>
          <w:between w:val="nil"/>
        </w:pBdr>
      </w:pPr>
      <w:r>
        <w:rPr>
          <w:color w:val="000000"/>
        </w:rPr>
        <w:t>Pamidimukkala, A. and Kermanshachi, S., 2021. Impact of Covid-19 on field and office workforce in construction industry. Project leadership and society, 2, p.100018.</w:t>
      </w:r>
    </w:p>
    <w:p w14:paraId="5FC6986F"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Patino, C.M. and Ferreira, J.C., 2018. Inclusion and exclusion criteria in research studies: definitions and why they matter. Jornal Brasileiro de Pneumologia, 44, pp.84-84.</w:t>
      </w:r>
    </w:p>
    <w:p w14:paraId="60D2CEB0" w14:textId="77777777" w:rsidR="00C72315" w:rsidRDefault="006B62C5">
      <w:pPr>
        <w:numPr>
          <w:ilvl w:val="0"/>
          <w:numId w:val="4"/>
        </w:numPr>
        <w:pBdr>
          <w:top w:val="nil"/>
          <w:left w:val="nil"/>
          <w:bottom w:val="nil"/>
          <w:right w:val="nil"/>
          <w:between w:val="nil"/>
        </w:pBdr>
      </w:pPr>
      <w:r>
        <w:rPr>
          <w:color w:val="222222"/>
          <w:highlight w:val="white"/>
        </w:rPr>
        <w:t xml:space="preserve">Pauer, D. and O’Donnell, M.P., 2020. What Factors Were Most Important to the Success of the Cleveland Clinic Employee Wellness Program?. </w:t>
      </w:r>
      <w:r>
        <w:rPr>
          <w:i/>
          <w:color w:val="000000"/>
        </w:rPr>
        <w:t>American Journal of Health Promotion</w:t>
      </w:r>
      <w:r>
        <w:rPr>
          <w:color w:val="000000"/>
        </w:rPr>
        <w:t xml:space="preserve">, </w:t>
      </w:r>
      <w:r>
        <w:rPr>
          <w:i/>
          <w:color w:val="000000"/>
        </w:rPr>
        <w:t>34</w:t>
      </w:r>
      <w:r>
        <w:rPr>
          <w:color w:val="000000"/>
        </w:rPr>
        <w:t>(1), pp.106-112.</w:t>
      </w:r>
    </w:p>
    <w:p w14:paraId="12501327" w14:textId="77777777" w:rsidR="00C72315" w:rsidRDefault="006B62C5">
      <w:pPr>
        <w:numPr>
          <w:ilvl w:val="0"/>
          <w:numId w:val="4"/>
        </w:numPr>
        <w:pBdr>
          <w:top w:val="nil"/>
          <w:left w:val="nil"/>
          <w:bottom w:val="nil"/>
          <w:right w:val="nil"/>
          <w:between w:val="nil"/>
        </w:pBdr>
      </w:pPr>
      <w:r>
        <w:rPr>
          <w:color w:val="222222"/>
          <w:highlight w:val="white"/>
        </w:rPr>
        <w:t xml:space="preserve">Pederson, L.L., Vingilis, E., Wickens, C.M., Koval, J. and Mann, R.E., 2020. Use of secondary data analyses in research: Pros and Cons. </w:t>
      </w:r>
      <w:r>
        <w:rPr>
          <w:i/>
          <w:color w:val="000000"/>
        </w:rPr>
        <w:t>J. Addict. Med. Ther. Sci</w:t>
      </w:r>
      <w:r>
        <w:rPr>
          <w:color w:val="000000"/>
        </w:rPr>
        <w:t xml:space="preserve">, </w:t>
      </w:r>
      <w:r>
        <w:rPr>
          <w:i/>
          <w:color w:val="000000"/>
        </w:rPr>
        <w:t>6</w:t>
      </w:r>
      <w:r>
        <w:rPr>
          <w:color w:val="000000"/>
        </w:rPr>
        <w:t>, pp.58-60.</w:t>
      </w:r>
    </w:p>
    <w:p w14:paraId="24FB7126" w14:textId="77777777" w:rsidR="00C72315" w:rsidRDefault="006B62C5">
      <w:pPr>
        <w:numPr>
          <w:ilvl w:val="0"/>
          <w:numId w:val="4"/>
        </w:numPr>
        <w:pBdr>
          <w:top w:val="nil"/>
          <w:left w:val="nil"/>
          <w:bottom w:val="nil"/>
          <w:right w:val="nil"/>
          <w:between w:val="nil"/>
        </w:pBdr>
      </w:pPr>
      <w:r>
        <w:rPr>
          <w:color w:val="222222"/>
          <w:highlight w:val="white"/>
        </w:rPr>
        <w:t xml:space="preserve">Peloquin, D., DiMaio, M., Bierer, B. and Barnes, M., 2020. Disruptive and avoidable: GDPR challenges to secondary research uses of data. </w:t>
      </w:r>
      <w:r>
        <w:rPr>
          <w:i/>
          <w:color w:val="000000"/>
        </w:rPr>
        <w:t>European Journal of Human Genetics</w:t>
      </w:r>
      <w:r>
        <w:rPr>
          <w:color w:val="000000"/>
        </w:rPr>
        <w:t xml:space="preserve">, </w:t>
      </w:r>
      <w:r>
        <w:rPr>
          <w:i/>
          <w:color w:val="000000"/>
        </w:rPr>
        <w:t>28</w:t>
      </w:r>
      <w:r>
        <w:rPr>
          <w:color w:val="000000"/>
        </w:rPr>
        <w:t>(6), pp.697-705.</w:t>
      </w:r>
    </w:p>
    <w:p w14:paraId="5D307833" w14:textId="77777777" w:rsidR="00C72315" w:rsidRDefault="006B62C5">
      <w:pPr>
        <w:numPr>
          <w:ilvl w:val="0"/>
          <w:numId w:val="4"/>
        </w:numPr>
        <w:pBdr>
          <w:top w:val="nil"/>
          <w:left w:val="nil"/>
          <w:bottom w:val="nil"/>
          <w:right w:val="nil"/>
          <w:between w:val="nil"/>
        </w:pBdr>
      </w:pPr>
      <w:r>
        <w:rPr>
          <w:color w:val="222222"/>
          <w:highlight w:val="white"/>
        </w:rPr>
        <w:t xml:space="preserve">Peñalvo, J.L., Sagastume, D., Mertens, E., Uzhova, I., Smith, J., Wu, J.H., Bishop, E., Onopa, J., Shi, P., Micha, R. and Mozaffarian, D., 2021. Effectiveness of workplace wellness programmes for dietary habits, overweight, and cardiometabolic health: a systematic review and meta-analysis. </w:t>
      </w:r>
      <w:r>
        <w:rPr>
          <w:i/>
          <w:color w:val="000000"/>
        </w:rPr>
        <w:t>The Lancet Public Health</w:t>
      </w:r>
      <w:r>
        <w:rPr>
          <w:color w:val="000000"/>
        </w:rPr>
        <w:t xml:space="preserve">, </w:t>
      </w:r>
      <w:r>
        <w:rPr>
          <w:i/>
          <w:color w:val="000000"/>
        </w:rPr>
        <w:t>6</w:t>
      </w:r>
      <w:r>
        <w:rPr>
          <w:color w:val="000000"/>
        </w:rPr>
        <w:t>(9), pp.e648-e660.</w:t>
      </w:r>
    </w:p>
    <w:p w14:paraId="27801B9D" w14:textId="77777777" w:rsidR="00C72315" w:rsidRDefault="006B62C5">
      <w:pPr>
        <w:numPr>
          <w:ilvl w:val="0"/>
          <w:numId w:val="4"/>
        </w:numPr>
        <w:pBdr>
          <w:top w:val="nil"/>
          <w:left w:val="nil"/>
          <w:bottom w:val="nil"/>
          <w:right w:val="nil"/>
          <w:between w:val="nil"/>
        </w:pBdr>
      </w:pPr>
      <w:r>
        <w:rPr>
          <w:color w:val="000000"/>
        </w:rPr>
        <w:t>Pervin, N. and Mokhtar, M., 2022. The interpretivist research paradigm: A subjective notion of a social context. International Journal of Academic Research in Progressive Education and Development, 11(2), pp.419-428.</w:t>
      </w:r>
    </w:p>
    <w:p w14:paraId="78B01CC4" w14:textId="77777777" w:rsidR="00C72315" w:rsidRDefault="006B62C5">
      <w:pPr>
        <w:numPr>
          <w:ilvl w:val="0"/>
          <w:numId w:val="4"/>
        </w:numPr>
        <w:pBdr>
          <w:top w:val="nil"/>
          <w:left w:val="nil"/>
          <w:bottom w:val="nil"/>
          <w:right w:val="nil"/>
          <w:between w:val="nil"/>
        </w:pBdr>
      </w:pPr>
      <w:r>
        <w:rPr>
          <w:color w:val="000000"/>
        </w:rPr>
        <w:t>Petralia, R.S., 2024. Effectiveness of Wellness Programs for Correctional Officers.</w:t>
      </w:r>
    </w:p>
    <w:p w14:paraId="174C7707" w14:textId="77777777" w:rsidR="00C72315" w:rsidRDefault="006B62C5">
      <w:pPr>
        <w:numPr>
          <w:ilvl w:val="0"/>
          <w:numId w:val="4"/>
        </w:numPr>
        <w:pBdr>
          <w:top w:val="nil"/>
          <w:left w:val="nil"/>
          <w:bottom w:val="nil"/>
          <w:right w:val="nil"/>
          <w:between w:val="nil"/>
        </w:pBdr>
      </w:pPr>
      <w:r>
        <w:rPr>
          <w:color w:val="000000"/>
        </w:rPr>
        <w:t xml:space="preserve">Powell, J., Conlon, J., Chivers, P. and Cripps, A., 2024. Training Smart; Exploring the Impact of a University Staff Fitness Program on </w:t>
      </w:r>
      <w:r>
        <w:rPr>
          <w:color w:val="000000"/>
        </w:rPr>
        <w:t>Employee Productivity and Cognition.</w:t>
      </w:r>
    </w:p>
    <w:p w14:paraId="6B7F09B4" w14:textId="77777777" w:rsidR="00C72315" w:rsidRDefault="006B62C5">
      <w:pPr>
        <w:numPr>
          <w:ilvl w:val="0"/>
          <w:numId w:val="4"/>
        </w:numPr>
        <w:pBdr>
          <w:top w:val="nil"/>
          <w:left w:val="nil"/>
          <w:bottom w:val="nil"/>
          <w:right w:val="nil"/>
          <w:between w:val="nil"/>
        </w:pBdr>
      </w:pPr>
      <w:r>
        <w:rPr>
          <w:color w:val="000000"/>
        </w:rPr>
        <w:t>Pozo-Rico, T., Gilar-Corbí, R., Izquierdo, A. and Castejón, J.L., 2020. Teacher training can make a difference: tools to overcome the impact of COVID-19 on primary schools. An experimental study. International journal of environmental research and public health, 17(22), p.8633.</w:t>
      </w:r>
    </w:p>
    <w:p w14:paraId="03A42725" w14:textId="77777777" w:rsidR="00C72315" w:rsidRDefault="006B62C5">
      <w:pPr>
        <w:numPr>
          <w:ilvl w:val="0"/>
          <w:numId w:val="4"/>
        </w:numPr>
        <w:pBdr>
          <w:top w:val="nil"/>
          <w:left w:val="nil"/>
          <w:bottom w:val="nil"/>
          <w:right w:val="nil"/>
          <w:between w:val="nil"/>
        </w:pBdr>
      </w:pPr>
      <w:r>
        <w:rPr>
          <w:color w:val="222222"/>
          <w:highlight w:val="white"/>
        </w:rPr>
        <w:t xml:space="preserve">Priya, J., Machani, P., Agyei, I.T., Suryanarayana, N.V.S., Thandayuthapani, S. and Lourens, M., 2023. Effects of performance and target pressure on the psychological well-being of corporate employees. </w:t>
      </w:r>
      <w:r>
        <w:rPr>
          <w:i/>
          <w:color w:val="000000"/>
        </w:rPr>
        <w:t>Journal for ReAttach Therapy and Developmental Diversities</w:t>
      </w:r>
      <w:r>
        <w:rPr>
          <w:color w:val="000000"/>
        </w:rPr>
        <w:t xml:space="preserve">, </w:t>
      </w:r>
      <w:r>
        <w:rPr>
          <w:i/>
          <w:color w:val="000000"/>
        </w:rPr>
        <w:t>6</w:t>
      </w:r>
      <w:r>
        <w:rPr>
          <w:color w:val="000000"/>
        </w:rPr>
        <w:t>(8s), pp.218-227.</w:t>
      </w:r>
    </w:p>
    <w:p w14:paraId="4B7E675F" w14:textId="77777777" w:rsidR="00C72315" w:rsidRDefault="006B62C5">
      <w:pPr>
        <w:numPr>
          <w:ilvl w:val="0"/>
          <w:numId w:val="4"/>
        </w:numPr>
        <w:pBdr>
          <w:top w:val="nil"/>
          <w:left w:val="nil"/>
          <w:bottom w:val="nil"/>
          <w:right w:val="nil"/>
          <w:between w:val="nil"/>
        </w:pBdr>
      </w:pPr>
      <w:r>
        <w:rPr>
          <w:color w:val="000000"/>
        </w:rPr>
        <w:t>Proper, K.I. and van Oostrom, S.H., 2019. The effectiveness of workplace health promotion interventions on physical and mental health outcomes–a systematic review of reviews. Scandinavian journal of work, environment &amp; health, 45(6), pp.546-559.</w:t>
      </w:r>
    </w:p>
    <w:p w14:paraId="4B507271" w14:textId="77777777" w:rsidR="00C72315" w:rsidRDefault="006B62C5">
      <w:pPr>
        <w:numPr>
          <w:ilvl w:val="0"/>
          <w:numId w:val="4"/>
        </w:numPr>
        <w:pBdr>
          <w:top w:val="nil"/>
          <w:left w:val="nil"/>
          <w:bottom w:val="nil"/>
          <w:right w:val="nil"/>
          <w:between w:val="nil"/>
        </w:pBdr>
      </w:pPr>
      <w:r>
        <w:rPr>
          <w:color w:val="000000"/>
        </w:rPr>
        <w:t xml:space="preserve">Putra, A.S.B., Kusumawati, E.D. and Kartikasari, D., 2024. Unpacking the Roots and Impact of Workplace Well-being: A Literature Review. International Journal of Multidisciplinary Approach Research and Science, 2(01), pp.312-321. </w:t>
      </w:r>
    </w:p>
    <w:p w14:paraId="6843251A"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Rahi, S., 2017. Research design and methods: A systematic review of research paradigms, sampling issues and instruments development. International Journal of Economics &amp; Management Sciences, 6(2), pp.1-5.</w:t>
      </w:r>
    </w:p>
    <w:p w14:paraId="72F33E4B" w14:textId="77777777" w:rsidR="00C72315" w:rsidRDefault="006B62C5">
      <w:pPr>
        <w:numPr>
          <w:ilvl w:val="0"/>
          <w:numId w:val="4"/>
        </w:numPr>
        <w:pBdr>
          <w:top w:val="nil"/>
          <w:left w:val="nil"/>
          <w:bottom w:val="nil"/>
          <w:right w:val="nil"/>
          <w:between w:val="nil"/>
        </w:pBdr>
      </w:pPr>
      <w:r>
        <w:rPr>
          <w:color w:val="000000"/>
        </w:rPr>
        <w:t>Rahmadani, V.G., Schaufeli, W.B., Stouten, J., Zhang, Z. and Zulkarnain, Z., 2020. Engaging leadership and its implication for work engagement and job outcomes at the individual and team level: A multi-level longitudinal study. International journal of environmental research and public health, 17(3), p.776.</w:t>
      </w:r>
    </w:p>
    <w:p w14:paraId="78A9BA01" w14:textId="77777777" w:rsidR="00C72315" w:rsidRDefault="006B62C5">
      <w:pPr>
        <w:numPr>
          <w:ilvl w:val="0"/>
          <w:numId w:val="4"/>
        </w:numPr>
        <w:pBdr>
          <w:top w:val="nil"/>
          <w:left w:val="nil"/>
          <w:bottom w:val="nil"/>
          <w:right w:val="nil"/>
          <w:between w:val="nil"/>
        </w:pBdr>
      </w:pPr>
      <w:r>
        <w:rPr>
          <w:color w:val="000000"/>
        </w:rPr>
        <w:t>Rajoo, H.H., 2020. The importance of creative and positive workplace culture: A case study on how creative initiatives foster better relationships, resilience and mindfulness at work for Special Education Teachers. Asia Pacific Journal of Developmental Differences, 7(1), pp.127-152.</w:t>
      </w:r>
    </w:p>
    <w:p w14:paraId="2251B4D2" w14:textId="77777777" w:rsidR="00C72315" w:rsidRDefault="006B62C5">
      <w:pPr>
        <w:numPr>
          <w:ilvl w:val="0"/>
          <w:numId w:val="4"/>
        </w:numPr>
        <w:pBdr>
          <w:top w:val="nil"/>
          <w:left w:val="nil"/>
          <w:bottom w:val="nil"/>
          <w:right w:val="nil"/>
          <w:between w:val="nil"/>
        </w:pBdr>
      </w:pPr>
      <w:r>
        <w:rPr>
          <w:color w:val="000000"/>
        </w:rPr>
        <w:t>Ranganathan, P. and Aggarwal, R., 2018. Study designs: Part 1–An overview and classification. Perspectives in clinical research, 9(4), pp.184-186.</w:t>
      </w:r>
    </w:p>
    <w:p w14:paraId="3392AAE4" w14:textId="77777777" w:rsidR="00C72315" w:rsidRDefault="006B62C5">
      <w:pPr>
        <w:numPr>
          <w:ilvl w:val="0"/>
          <w:numId w:val="4"/>
        </w:numPr>
        <w:pBdr>
          <w:top w:val="nil"/>
          <w:left w:val="nil"/>
          <w:bottom w:val="nil"/>
          <w:right w:val="nil"/>
          <w:between w:val="nil"/>
        </w:pBdr>
      </w:pPr>
      <w:r>
        <w:rPr>
          <w:color w:val="222222"/>
          <w:highlight w:val="white"/>
        </w:rPr>
        <w:t xml:space="preserve">Reif, J., Chan, D., Jones, D., Payne, L. and Molitor, D., 2020. Effects of a workplace wellness program on employee health, health beliefs, and medical use: a randomized clinical trial. </w:t>
      </w:r>
      <w:r>
        <w:rPr>
          <w:i/>
          <w:color w:val="000000"/>
        </w:rPr>
        <w:t>JAMA internal medicine</w:t>
      </w:r>
      <w:r>
        <w:rPr>
          <w:color w:val="000000"/>
        </w:rPr>
        <w:t xml:space="preserve">, </w:t>
      </w:r>
      <w:r>
        <w:rPr>
          <w:i/>
          <w:color w:val="000000"/>
        </w:rPr>
        <w:t>180</w:t>
      </w:r>
      <w:r>
        <w:rPr>
          <w:color w:val="000000"/>
        </w:rPr>
        <w:t>(7), pp.952-960.</w:t>
      </w:r>
    </w:p>
    <w:p w14:paraId="1CB2B510" w14:textId="77777777" w:rsidR="00C72315" w:rsidRDefault="006B62C5">
      <w:pPr>
        <w:numPr>
          <w:ilvl w:val="0"/>
          <w:numId w:val="4"/>
        </w:numPr>
        <w:pBdr>
          <w:top w:val="nil"/>
          <w:left w:val="nil"/>
          <w:bottom w:val="nil"/>
          <w:right w:val="nil"/>
          <w:between w:val="nil"/>
        </w:pBdr>
      </w:pPr>
      <w:r>
        <w:rPr>
          <w:color w:val="000000"/>
        </w:rPr>
        <w:t>Rose, J. and Johnson, C.W., 2020. Contextualizing reliability and validity in qualitative research: Toward more rigorous and trustworthy qualitative social science in leisure research. Journal of leisure research, 51(4), pp.432-451.</w:t>
      </w:r>
    </w:p>
    <w:p w14:paraId="0ED8DE30"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Ruggiano, N. and Perry, T.E., 2019. Conducting secondary analysis of qualitative data: Should we, can we, and how?. Qualitative Social Work, 18(1), pp.81-97.</w:t>
      </w:r>
    </w:p>
    <w:p w14:paraId="30D093D5" w14:textId="77777777" w:rsidR="00C72315" w:rsidRDefault="006B62C5">
      <w:pPr>
        <w:numPr>
          <w:ilvl w:val="0"/>
          <w:numId w:val="4"/>
        </w:numPr>
        <w:pBdr>
          <w:top w:val="nil"/>
          <w:left w:val="nil"/>
          <w:bottom w:val="nil"/>
          <w:right w:val="nil"/>
          <w:between w:val="nil"/>
        </w:pBdr>
        <w:rPr>
          <w:color w:val="222222"/>
          <w:highlight w:val="white"/>
        </w:rPr>
      </w:pPr>
      <w:r>
        <w:rPr>
          <w:color w:val="222222"/>
          <w:highlight w:val="white"/>
        </w:rPr>
        <w:t>Sahay, A., 2016. Peeling Saunder's research onion. Research Gate, Art, 3(2), pp.1-5.</w:t>
      </w:r>
    </w:p>
    <w:p w14:paraId="4CC4154A" w14:textId="77777777" w:rsidR="00C72315" w:rsidRDefault="006B62C5">
      <w:pPr>
        <w:numPr>
          <w:ilvl w:val="0"/>
          <w:numId w:val="4"/>
        </w:numPr>
        <w:pBdr>
          <w:top w:val="nil"/>
          <w:left w:val="nil"/>
          <w:bottom w:val="nil"/>
          <w:right w:val="nil"/>
          <w:between w:val="nil"/>
        </w:pBdr>
      </w:pPr>
      <w:r>
        <w:rPr>
          <w:color w:val="000000"/>
        </w:rPr>
        <w:t xml:space="preserve">Saunders, M., and Bristow, A., 2023. 2023 Research Methods for Business Students Preface and Chapter 4. Available at: </w:t>
      </w:r>
      <w:hyperlink r:id="rId17">
        <w:r>
          <w:rPr>
            <w:color w:val="1155CC"/>
            <w:u w:val="single"/>
          </w:rPr>
          <w:t>https://www.researchgate.net/publication/367780349_2023_Research_Methods_for_Business_Students_Preface_and_Chapter_4</w:t>
        </w:r>
      </w:hyperlink>
      <w:r>
        <w:rPr>
          <w:color w:val="000000"/>
        </w:rPr>
        <w:t xml:space="preserve"> </w:t>
      </w:r>
    </w:p>
    <w:p w14:paraId="19719998" w14:textId="77777777" w:rsidR="00C72315" w:rsidRDefault="006B62C5">
      <w:pPr>
        <w:numPr>
          <w:ilvl w:val="0"/>
          <w:numId w:val="4"/>
        </w:numPr>
        <w:pBdr>
          <w:top w:val="nil"/>
          <w:left w:val="nil"/>
          <w:bottom w:val="nil"/>
          <w:right w:val="nil"/>
          <w:between w:val="nil"/>
        </w:pBdr>
      </w:pPr>
      <w:r>
        <w:rPr>
          <w:color w:val="000000"/>
        </w:rPr>
        <w:t xml:space="preserve">Saunders, M., Lewis, P., Thornhill, A., and Bristow, A., 2019. "Research Methods for Business Students" Chapter 4: Understanding research philosophy and approaches to theory development. Available at: </w:t>
      </w:r>
      <w:hyperlink r:id="rId18">
        <w:r>
          <w:rPr>
            <w:color w:val="1155CC"/>
            <w:u w:val="single"/>
          </w:rPr>
          <w:t>https://www.researchgate.net/publication/330760964_Research_Methods_for_Business_Students_Chapter_4_Understanding_research_philosophy_and_approaches_to_theory_development</w:t>
        </w:r>
      </w:hyperlink>
      <w:r>
        <w:rPr>
          <w:color w:val="000000"/>
        </w:rPr>
        <w:t xml:space="preserve"> </w:t>
      </w:r>
    </w:p>
    <w:p w14:paraId="361E0A4D" w14:textId="77777777" w:rsidR="00C72315" w:rsidRDefault="006B62C5">
      <w:pPr>
        <w:numPr>
          <w:ilvl w:val="0"/>
          <w:numId w:val="4"/>
        </w:numPr>
        <w:pBdr>
          <w:top w:val="nil"/>
          <w:left w:val="nil"/>
          <w:bottom w:val="nil"/>
          <w:right w:val="nil"/>
          <w:between w:val="nil"/>
        </w:pBdr>
      </w:pPr>
      <w:r>
        <w:rPr>
          <w:color w:val="000000"/>
        </w:rPr>
        <w:t>Schwatka, N.V., Smith, D., Weitzenkamp, D., Atherly, A., Dally, M.J., Brockbank, C.V., Tenney, L., Goetzel, R.Z., Jinnett, K., McMillen, J. and Newman, L.S., 2018. The impact of worksite wellness programs by size of business: A 3-year longitudinal study of participation, health benefits, absenteeism, and presenteeism. Annals of work exposures and health, 62(Supplement_1), pp.S42-S54.</w:t>
      </w:r>
    </w:p>
    <w:p w14:paraId="397DFAA6" w14:textId="77777777" w:rsidR="00C72315" w:rsidRDefault="006B62C5">
      <w:pPr>
        <w:numPr>
          <w:ilvl w:val="0"/>
          <w:numId w:val="4"/>
        </w:numPr>
        <w:pBdr>
          <w:top w:val="nil"/>
          <w:left w:val="nil"/>
          <w:bottom w:val="nil"/>
          <w:right w:val="nil"/>
          <w:between w:val="nil"/>
        </w:pBdr>
      </w:pPr>
      <w:r>
        <w:rPr>
          <w:color w:val="222222"/>
          <w:highlight w:val="white"/>
        </w:rPr>
        <w:t xml:space="preserve">Schwepker Jr, C.H., Valentine, S.R., Giacalone, R.A. and Promislo, M., 2021. Good barrels yield healthy apples: organizational ethics as a mechanism for mitigating work-related stress and promoting employee well-being. </w:t>
      </w:r>
      <w:r>
        <w:rPr>
          <w:i/>
          <w:color w:val="000000"/>
        </w:rPr>
        <w:t>Journal of Business Ethics</w:t>
      </w:r>
      <w:r>
        <w:rPr>
          <w:color w:val="000000"/>
        </w:rPr>
        <w:t xml:space="preserve">, </w:t>
      </w:r>
      <w:r>
        <w:rPr>
          <w:i/>
          <w:color w:val="000000"/>
        </w:rPr>
        <w:t>174</w:t>
      </w:r>
      <w:r>
        <w:rPr>
          <w:color w:val="000000"/>
        </w:rPr>
        <w:t>(1), pp.143-159.</w:t>
      </w:r>
    </w:p>
    <w:p w14:paraId="31058181" w14:textId="77777777" w:rsidR="00C72315" w:rsidRDefault="006B62C5">
      <w:pPr>
        <w:numPr>
          <w:ilvl w:val="0"/>
          <w:numId w:val="4"/>
        </w:numPr>
        <w:pBdr>
          <w:top w:val="nil"/>
          <w:left w:val="nil"/>
          <w:bottom w:val="nil"/>
          <w:right w:val="nil"/>
          <w:between w:val="nil"/>
        </w:pBdr>
      </w:pPr>
      <w:r>
        <w:rPr>
          <w:color w:val="000000"/>
        </w:rPr>
        <w:t>Sileyew, K.J., 2019. Research design and methodology (Vol. 7). Cyberspace.</w:t>
      </w:r>
    </w:p>
    <w:p w14:paraId="3B460B7A" w14:textId="77777777" w:rsidR="00C72315" w:rsidRDefault="006B62C5">
      <w:pPr>
        <w:numPr>
          <w:ilvl w:val="0"/>
          <w:numId w:val="4"/>
        </w:numPr>
        <w:pBdr>
          <w:top w:val="nil"/>
          <w:left w:val="nil"/>
          <w:bottom w:val="nil"/>
          <w:right w:val="nil"/>
          <w:between w:val="nil"/>
        </w:pBdr>
      </w:pPr>
      <w:r>
        <w:rPr>
          <w:color w:val="000000"/>
        </w:rPr>
        <w:t>Sinsky, C.A., Biddison, L.D., Mallick, A., Dopp, A.L., Perlo, J., Lynn, L. and Smith, C.D., 2020. Organizational evidence-based and promising practices for improving clinician well-being. NAM perspectives, 2020.</w:t>
      </w:r>
    </w:p>
    <w:p w14:paraId="09332A74" w14:textId="77777777" w:rsidR="00C72315" w:rsidRDefault="006B62C5">
      <w:pPr>
        <w:numPr>
          <w:ilvl w:val="0"/>
          <w:numId w:val="4"/>
        </w:numPr>
        <w:pBdr>
          <w:top w:val="nil"/>
          <w:left w:val="nil"/>
          <w:bottom w:val="nil"/>
          <w:right w:val="nil"/>
          <w:between w:val="nil"/>
        </w:pBdr>
      </w:pPr>
      <w:r>
        <w:rPr>
          <w:color w:val="000000"/>
        </w:rPr>
        <w:t>Song, Z. and Baicker, K., 2019. Effect of a workplace wellness program on employee health and economic outcomes: a randomized clinical trial. Jama, 321(15), pp.1491-1501.</w:t>
      </w:r>
    </w:p>
    <w:p w14:paraId="0AF06389" w14:textId="77777777" w:rsidR="00C72315" w:rsidRDefault="006B62C5">
      <w:pPr>
        <w:numPr>
          <w:ilvl w:val="0"/>
          <w:numId w:val="4"/>
        </w:numPr>
        <w:pBdr>
          <w:top w:val="nil"/>
          <w:left w:val="nil"/>
          <w:bottom w:val="nil"/>
          <w:right w:val="nil"/>
          <w:between w:val="nil"/>
        </w:pBdr>
      </w:pPr>
      <w:r>
        <w:rPr>
          <w:color w:val="000000"/>
        </w:rPr>
        <w:t>Song, Z. and Baicker, K., 2021. Health And Economic Outcomes Up To Three Years After A Workplace Wellness Program: A Randomized Controlled Trial: Study examines the health and economic outcomes of a workplace wellness program. Health affairs, 40(6), pp.951-960.</w:t>
      </w:r>
    </w:p>
    <w:p w14:paraId="43272582" w14:textId="77777777" w:rsidR="00C72315" w:rsidRDefault="006B62C5">
      <w:pPr>
        <w:numPr>
          <w:ilvl w:val="0"/>
          <w:numId w:val="4"/>
        </w:numPr>
        <w:pBdr>
          <w:top w:val="nil"/>
          <w:left w:val="nil"/>
          <w:bottom w:val="nil"/>
          <w:right w:val="nil"/>
          <w:between w:val="nil"/>
        </w:pBdr>
      </w:pPr>
      <w:r>
        <w:rPr>
          <w:color w:val="000000"/>
        </w:rPr>
        <w:t>Stirpe, L., Profili, S. and Sammarra, A., 2022. Satisfaction with HR practices and employee performance: A moderated mediation model of engagement and health. European Management Journal, 40(2), pp.295-305.</w:t>
      </w:r>
    </w:p>
    <w:p w14:paraId="4FD6C28B" w14:textId="77777777" w:rsidR="00C72315" w:rsidRDefault="006B62C5">
      <w:pPr>
        <w:numPr>
          <w:ilvl w:val="0"/>
          <w:numId w:val="4"/>
        </w:numPr>
        <w:pBdr>
          <w:top w:val="nil"/>
          <w:left w:val="nil"/>
          <w:bottom w:val="nil"/>
          <w:right w:val="nil"/>
          <w:between w:val="nil"/>
        </w:pBdr>
      </w:pPr>
      <w:r>
        <w:rPr>
          <w:color w:val="000000"/>
        </w:rPr>
        <w:t>study for development of nursing health and job satisfaction model and scale. International</w:t>
      </w:r>
    </w:p>
    <w:p w14:paraId="7CF231EC" w14:textId="77777777" w:rsidR="00C72315" w:rsidRDefault="006B62C5">
      <w:pPr>
        <w:numPr>
          <w:ilvl w:val="0"/>
          <w:numId w:val="4"/>
        </w:numPr>
        <w:pBdr>
          <w:top w:val="nil"/>
          <w:left w:val="nil"/>
          <w:bottom w:val="nil"/>
          <w:right w:val="nil"/>
          <w:between w:val="nil"/>
        </w:pBdr>
      </w:pPr>
      <w:r>
        <w:rPr>
          <w:color w:val="000000"/>
        </w:rPr>
        <w:t>SYLEJMANI, M. and MEŠKO, M., 2024, March. MANAGING WORKPLACE STRESS IN BUSINESSES IN THE PRISHTINA REGION TO ENHANCE PERFORMANCE. In Conference on Organizational Science Development Green and Digital Transition–Challenge or Opportunity (p. 973).</w:t>
      </w:r>
    </w:p>
    <w:p w14:paraId="72722C5C" w14:textId="77777777" w:rsidR="00C72315" w:rsidRDefault="006B62C5">
      <w:pPr>
        <w:numPr>
          <w:ilvl w:val="0"/>
          <w:numId w:val="4"/>
        </w:numPr>
        <w:pBdr>
          <w:top w:val="nil"/>
          <w:left w:val="nil"/>
          <w:bottom w:val="nil"/>
          <w:right w:val="nil"/>
          <w:between w:val="nil"/>
        </w:pBdr>
      </w:pPr>
      <w:r>
        <w:rPr>
          <w:color w:val="000000"/>
        </w:rPr>
        <w:t>Tengli</w:t>
      </w:r>
      <w:r>
        <w:rPr>
          <w:color w:val="000000"/>
        </w:rPr>
        <w:t xml:space="preserve">, M., 2020. RESEARCH ONION: A SYSTEMATIC APPROACH TO DESIGNING RESEARCH METHODOLOGY. Available at: </w:t>
      </w:r>
      <w:hyperlink r:id="rId19">
        <w:r>
          <w:rPr>
            <w:color w:val="1155CC"/>
            <w:u w:val="single"/>
          </w:rPr>
          <w:t>https://www.researchgate.net/publication/357284560_RESEARCH_ONION_A_SYSTEMATIC_APPROACH_TO_DESIGNING_RESEARCH_METHODOLOGY</w:t>
        </w:r>
      </w:hyperlink>
      <w:r>
        <w:rPr>
          <w:color w:val="000000"/>
        </w:rPr>
        <w:t xml:space="preserve"> </w:t>
      </w:r>
    </w:p>
    <w:p w14:paraId="211CA868" w14:textId="77777777" w:rsidR="00C72315" w:rsidRDefault="006B62C5">
      <w:pPr>
        <w:numPr>
          <w:ilvl w:val="0"/>
          <w:numId w:val="4"/>
        </w:numPr>
        <w:pBdr>
          <w:top w:val="nil"/>
          <w:left w:val="nil"/>
          <w:bottom w:val="nil"/>
          <w:right w:val="nil"/>
          <w:between w:val="nil"/>
        </w:pBdr>
      </w:pPr>
      <w:r>
        <w:rPr>
          <w:color w:val="000000"/>
        </w:rPr>
        <w:t>Teo, S.T., Bentley, T. and Nguyen, D., 2020. Psychosocial work environment, work engagement, and employee commitment: A moderated, mediation model. International Journal of Hospitality Management, 88, p.102415.</w:t>
      </w:r>
    </w:p>
    <w:p w14:paraId="63754F4F" w14:textId="77777777" w:rsidR="00C72315" w:rsidRDefault="006B62C5">
      <w:pPr>
        <w:numPr>
          <w:ilvl w:val="0"/>
          <w:numId w:val="4"/>
        </w:numPr>
        <w:pBdr>
          <w:top w:val="nil"/>
          <w:left w:val="nil"/>
          <w:bottom w:val="nil"/>
          <w:right w:val="nil"/>
          <w:between w:val="nil"/>
        </w:pBdr>
      </w:pPr>
      <w:r>
        <w:rPr>
          <w:color w:val="000000"/>
        </w:rPr>
        <w:t>Thangaraja, T., Munusamy, P., Ramya, R., Macwan, A.J., Patil-Nikam, A.M., Nalini, V. and Rai, R., 2024. The Role Of Employee Engagement In The Relationship Between Staff Morale And Employee Wellbeing Of Education. Educational Administration: Theory and Practice, 30(4), pp.7156-7164.</w:t>
      </w:r>
    </w:p>
    <w:p w14:paraId="26706603" w14:textId="77777777" w:rsidR="00C72315" w:rsidRDefault="006B62C5">
      <w:pPr>
        <w:numPr>
          <w:ilvl w:val="0"/>
          <w:numId w:val="4"/>
        </w:numPr>
        <w:pBdr>
          <w:top w:val="nil"/>
          <w:left w:val="nil"/>
          <w:bottom w:val="nil"/>
          <w:right w:val="nil"/>
          <w:between w:val="nil"/>
        </w:pBdr>
      </w:pPr>
      <w:r>
        <w:rPr>
          <w:color w:val="000000"/>
        </w:rPr>
        <w:t xml:space="preserve">Traore, J., 2023. </w:t>
      </w:r>
      <w:r>
        <w:rPr>
          <w:i/>
          <w:color w:val="000000"/>
        </w:rPr>
        <w:t>Linking for Peace. An affordance perspective of LinkedIn as an instrument for peace professionals to advance constructive conflict resolution and transformative efforts</w:t>
      </w:r>
      <w:r>
        <w:rPr>
          <w:color w:val="000000"/>
        </w:rPr>
        <w:t xml:space="preserve"> (Master's thesis).</w:t>
      </w:r>
    </w:p>
    <w:p w14:paraId="4106528A" w14:textId="77777777" w:rsidR="00C72315" w:rsidRDefault="006B62C5">
      <w:pPr>
        <w:numPr>
          <w:ilvl w:val="0"/>
          <w:numId w:val="4"/>
        </w:numPr>
        <w:pBdr>
          <w:top w:val="nil"/>
          <w:left w:val="nil"/>
          <w:bottom w:val="nil"/>
          <w:right w:val="nil"/>
          <w:between w:val="nil"/>
        </w:pBdr>
      </w:pPr>
      <w:r>
        <w:rPr>
          <w:color w:val="000000"/>
        </w:rPr>
        <w:t>Tringali, V., Fritts, M., Giandonato, J., Luehr, M., Reilly, C., Moody, J. and Aldridge, C., 2022. The relationship of workplace health climate and participation in an employee wellness program. American Journal of Health Research, 10(1), pp.13-19.</w:t>
      </w:r>
    </w:p>
    <w:p w14:paraId="2A993C9E" w14:textId="77777777" w:rsidR="00C72315" w:rsidRDefault="006B62C5">
      <w:pPr>
        <w:numPr>
          <w:ilvl w:val="0"/>
          <w:numId w:val="4"/>
        </w:numPr>
        <w:pBdr>
          <w:top w:val="nil"/>
          <w:left w:val="nil"/>
          <w:bottom w:val="nil"/>
          <w:right w:val="nil"/>
          <w:between w:val="nil"/>
        </w:pBdr>
      </w:pPr>
      <w:r>
        <w:rPr>
          <w:color w:val="222222"/>
          <w:highlight w:val="white"/>
        </w:rPr>
        <w:t xml:space="preserve">Van Kirk, M.L., 2021. Employee wellness pilot program. </w:t>
      </w:r>
      <w:r>
        <w:rPr>
          <w:i/>
          <w:color w:val="000000"/>
        </w:rPr>
        <w:t>Workplace health &amp; safety</w:t>
      </w:r>
      <w:r>
        <w:rPr>
          <w:color w:val="000000"/>
        </w:rPr>
        <w:t xml:space="preserve">, </w:t>
      </w:r>
      <w:r>
        <w:rPr>
          <w:i/>
          <w:color w:val="000000"/>
        </w:rPr>
        <w:t>69</w:t>
      </w:r>
      <w:r>
        <w:rPr>
          <w:color w:val="000000"/>
        </w:rPr>
        <w:t>(5), pp.192-197.</w:t>
      </w:r>
    </w:p>
    <w:p w14:paraId="53B753FC" w14:textId="77777777" w:rsidR="00C72315" w:rsidRDefault="006B62C5">
      <w:pPr>
        <w:numPr>
          <w:ilvl w:val="0"/>
          <w:numId w:val="4"/>
        </w:numPr>
        <w:pBdr>
          <w:top w:val="nil"/>
          <w:left w:val="nil"/>
          <w:bottom w:val="nil"/>
          <w:right w:val="nil"/>
          <w:between w:val="nil"/>
        </w:pBdr>
      </w:pPr>
      <w:r>
        <w:rPr>
          <w:color w:val="222222"/>
          <w:highlight w:val="white"/>
        </w:rPr>
        <w:t xml:space="preserve">Varga, S., Mistry, T.G., Ali, F. and Cobanoglu, C., 2021. Employee perceptions of wellness programs in the hospitality industry. </w:t>
      </w:r>
      <w:r>
        <w:rPr>
          <w:i/>
          <w:color w:val="000000"/>
        </w:rPr>
        <w:t>International Journal of Contemporary Hospitality Management</w:t>
      </w:r>
      <w:r>
        <w:rPr>
          <w:color w:val="000000"/>
        </w:rPr>
        <w:t xml:space="preserve">, </w:t>
      </w:r>
      <w:r>
        <w:rPr>
          <w:i/>
          <w:color w:val="000000"/>
        </w:rPr>
        <w:t>33</w:t>
      </w:r>
      <w:r>
        <w:rPr>
          <w:color w:val="000000"/>
        </w:rPr>
        <w:t>(10), pp.3331-3354.</w:t>
      </w:r>
    </w:p>
    <w:p w14:paraId="3B1DDB8A" w14:textId="77777777" w:rsidR="00C72315" w:rsidRDefault="006B62C5">
      <w:pPr>
        <w:numPr>
          <w:ilvl w:val="0"/>
          <w:numId w:val="4"/>
        </w:numPr>
        <w:pBdr>
          <w:top w:val="nil"/>
          <w:left w:val="nil"/>
          <w:bottom w:val="nil"/>
          <w:right w:val="nil"/>
          <w:between w:val="nil"/>
        </w:pBdr>
      </w:pPr>
      <w:r>
        <w:rPr>
          <w:color w:val="000000"/>
        </w:rPr>
        <w:t>Vojtechovský, J. and Poráziková</w:t>
      </w:r>
      <w:r>
        <w:rPr>
          <w:color w:val="000000"/>
        </w:rPr>
        <w:t xml:space="preserve">, E., ELIMINATION OF STRESS IN THE WORK OF MANAGERS. NOVI SAD, SEPTEMBAR 2023., p.270. </w:t>
      </w:r>
    </w:p>
    <w:p w14:paraId="037C13AE" w14:textId="77777777" w:rsidR="00C72315" w:rsidRDefault="006B62C5">
      <w:pPr>
        <w:numPr>
          <w:ilvl w:val="0"/>
          <w:numId w:val="4"/>
        </w:numPr>
        <w:pBdr>
          <w:top w:val="nil"/>
          <w:left w:val="nil"/>
          <w:bottom w:val="nil"/>
          <w:right w:val="nil"/>
          <w:between w:val="nil"/>
        </w:pBdr>
      </w:pPr>
      <w:r>
        <w:rPr>
          <w:color w:val="000000"/>
        </w:rPr>
        <w:t>Wang, X. and Cheng, Z., 2020. Cross-sectional studies: strengths, weaknesses, and recommendations. Chest, 158(1), pp.S65-S71.</w:t>
      </w:r>
    </w:p>
    <w:p w14:paraId="4A0BA5D2" w14:textId="77777777" w:rsidR="00C72315" w:rsidRDefault="006B62C5">
      <w:pPr>
        <w:ind w:left="360"/>
      </w:pPr>
      <w:r>
        <w:t>100. Weziak-Bialowolska, D., Bialowolski, P., Sacco, P.L., VanderWeele, T.J. and McNeely, E., 2020. Well-being in life and well-being at work: Which comes first? Evidence from a longitudinal study. Frontiers in public health, 8, p.103.</w:t>
      </w:r>
    </w:p>
    <w:p w14:paraId="3BE53830" w14:textId="77777777" w:rsidR="00C72315" w:rsidRDefault="006B62C5">
      <w:pPr>
        <w:numPr>
          <w:ilvl w:val="0"/>
          <w:numId w:val="5"/>
        </w:numPr>
        <w:pBdr>
          <w:top w:val="nil"/>
          <w:left w:val="nil"/>
          <w:bottom w:val="nil"/>
          <w:right w:val="nil"/>
          <w:between w:val="nil"/>
        </w:pBdr>
      </w:pPr>
      <w:r>
        <w:rPr>
          <w:color w:val="000000"/>
        </w:rPr>
        <w:t xml:space="preserve">. Yang, J., 2023. </w:t>
      </w:r>
      <w:r>
        <w:rPr>
          <w:i/>
          <w:color w:val="000000"/>
        </w:rPr>
        <w:t>Impact on worker health, productivity and healthcare costs from wellness programs U.S. 2019</w:t>
      </w:r>
      <w:r>
        <w:rPr>
          <w:color w:val="000000"/>
        </w:rPr>
        <w:t xml:space="preserve">, </w:t>
      </w:r>
      <w:r>
        <w:rPr>
          <w:i/>
          <w:color w:val="000000"/>
        </w:rPr>
        <w:t>Statista</w:t>
      </w:r>
      <w:r>
        <w:rPr>
          <w:color w:val="000000"/>
        </w:rPr>
        <w:t>. Available at: https://www.statista.com/statistics/731721/impact-on-workers-from-company-offered-wellness-programs-in-us/ (Accessed: 08 February 2024).</w:t>
      </w:r>
    </w:p>
    <w:p w14:paraId="63A96D8A" w14:textId="77777777" w:rsidR="00C72315" w:rsidRDefault="006B62C5">
      <w:pPr>
        <w:numPr>
          <w:ilvl w:val="0"/>
          <w:numId w:val="5"/>
        </w:numPr>
        <w:pBdr>
          <w:top w:val="nil"/>
          <w:left w:val="nil"/>
          <w:bottom w:val="nil"/>
          <w:right w:val="nil"/>
          <w:between w:val="nil"/>
        </w:pBdr>
      </w:pPr>
      <w:r>
        <w:rPr>
          <w:color w:val="000000"/>
        </w:rPr>
        <w:t>. Zada, S., Khan, J., Saeed, I., Jun, Z.Y., Vega-Muñoz, A. and Contreras-Barraza, N., 2022. Servant leadership behavior at workplace and knowledge hoarding: a moderation mediation examination. Frontiers in psychology, 13, p.888761.</w:t>
      </w:r>
    </w:p>
    <w:p w14:paraId="75DC3ABF" w14:textId="77777777" w:rsidR="00C72315" w:rsidRDefault="006B62C5">
      <w:pPr>
        <w:numPr>
          <w:ilvl w:val="0"/>
          <w:numId w:val="5"/>
        </w:numPr>
        <w:pBdr>
          <w:top w:val="nil"/>
          <w:left w:val="nil"/>
          <w:bottom w:val="nil"/>
          <w:right w:val="nil"/>
          <w:between w:val="nil"/>
        </w:pBdr>
        <w:spacing w:after="240"/>
      </w:pPr>
      <w:r>
        <w:rPr>
          <w:color w:val="000000"/>
        </w:rPr>
        <w:t xml:space="preserve">.Zappos, 2022. </w:t>
      </w:r>
      <w:r>
        <w:rPr>
          <w:i/>
          <w:color w:val="000000"/>
        </w:rPr>
        <w:t>Zappos</w:t>
      </w:r>
      <w:r>
        <w:rPr>
          <w:i/>
          <w:color w:val="000000"/>
        </w:rPr>
        <w:t xml:space="preserve"> family of companies on linkedin: What better way to kick off the week than announcing our "person of the...: 88 comments</w:t>
      </w:r>
      <w:r>
        <w:rPr>
          <w:color w:val="000000"/>
        </w:rPr>
        <w:t xml:space="preserve">, </w:t>
      </w:r>
      <w:r>
        <w:rPr>
          <w:i/>
          <w:color w:val="000000"/>
        </w:rPr>
        <w:t>Zappos Family of Companies on LinkedIn: What better way to kick off the week than announcing our "Person of the... | 88 comments</w:t>
      </w:r>
      <w:r>
        <w:rPr>
          <w:color w:val="000000"/>
        </w:rPr>
        <w:t xml:space="preserve">. Available at: https://www.linkedin.com/posts/zappos.com_what-better-way-to-kick-off-the-week-than-activity-6924439350462070784-7lss/?trk=public_profile_like_view (Accessed: 08 February 2024). </w:t>
      </w:r>
    </w:p>
    <w:p w14:paraId="1CC695A5" w14:textId="77777777" w:rsidR="00C72315" w:rsidRDefault="00C72315"/>
    <w:sectPr w:rsidR="00C72315">
      <w:footerReference w:type="default" r:id="rId20"/>
      <w:headerReference w:type="first" r:id="rId2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E10E4" w14:textId="77777777" w:rsidR="00B364C5" w:rsidRDefault="00B364C5">
      <w:pPr>
        <w:spacing w:line="240" w:lineRule="auto"/>
      </w:pPr>
      <w:r>
        <w:separator/>
      </w:r>
    </w:p>
  </w:endnote>
  <w:endnote w:type="continuationSeparator" w:id="0">
    <w:p w14:paraId="2BB19B0A" w14:textId="77777777" w:rsidR="00B364C5" w:rsidRDefault="00B364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Inter">
    <w:charset w:val="00"/>
    <w:family w:val="auto"/>
    <w:pitch w:val="default"/>
    <w:embedRegular r:id="rId1" w:fontKey="{53AC25A9-B0C4-A541-9E71-D4D71E04223B}"/>
    <w:embedBold r:id="rId2" w:fontKey="{DCB7632F-97CD-F84E-A329-11C065916168}"/>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22A3A" w14:textId="5CC55AB5" w:rsidR="00C72315" w:rsidRDefault="006B62C5">
    <w:pPr>
      <w:pBdr>
        <w:top w:val="nil"/>
        <w:left w:val="nil"/>
        <w:bottom w:val="nil"/>
        <w:right w:val="nil"/>
        <w:between w:val="nil"/>
      </w:pBdr>
      <w:tabs>
        <w:tab w:val="center" w:pos="4513"/>
        <w:tab w:val="right" w:pos="9026"/>
      </w:tabs>
      <w:spacing w:line="240" w:lineRule="auto"/>
      <w:jc w:val="right"/>
      <w:rPr>
        <w:color w:val="000000"/>
      </w:rPr>
    </w:pPr>
    <w:r>
      <w:rPr>
        <w:color w:val="000000"/>
      </w:rPr>
      <w:t>Page No.</w:t>
    </w:r>
    <w:r>
      <w:rPr>
        <w:color w:val="000000"/>
      </w:rPr>
      <w:fldChar w:fldCharType="begin"/>
    </w:r>
    <w:r>
      <w:rPr>
        <w:color w:val="000000"/>
      </w:rPr>
      <w:instrText>PAGE</w:instrText>
    </w:r>
    <w:r>
      <w:rPr>
        <w:color w:val="000000"/>
      </w:rPr>
      <w:fldChar w:fldCharType="separate"/>
    </w:r>
    <w:r w:rsidR="00F0742D">
      <w:rPr>
        <w:noProof/>
        <w:color w:val="000000"/>
      </w:rPr>
      <w:t>1</w:t>
    </w:r>
    <w:r>
      <w:rPr>
        <w:color w:val="000000"/>
      </w:rPr>
      <w:fldChar w:fldCharType="end"/>
    </w:r>
  </w:p>
  <w:p w14:paraId="373AB3BC" w14:textId="77777777" w:rsidR="00C72315" w:rsidRDefault="00C7231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E818C" w14:textId="77777777" w:rsidR="00B364C5" w:rsidRDefault="00B364C5">
      <w:pPr>
        <w:spacing w:line="240" w:lineRule="auto"/>
      </w:pPr>
      <w:r>
        <w:separator/>
      </w:r>
    </w:p>
  </w:footnote>
  <w:footnote w:type="continuationSeparator" w:id="0">
    <w:p w14:paraId="3BD29777" w14:textId="77777777" w:rsidR="00B364C5" w:rsidRDefault="00B364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3798D" w14:textId="77777777" w:rsidR="00C72315" w:rsidRDefault="006B62C5">
    <w:r>
      <w:rPr>
        <w:noProof/>
      </w:rPr>
      <w:drawing>
        <wp:inline distT="114300" distB="114300" distL="114300" distR="114300" wp14:anchorId="166CF427" wp14:editId="6CDF2719">
          <wp:extent cx="1131960" cy="395288"/>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1131960" cy="39528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C1F66"/>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312083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0F6C7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10361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3F422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27B1D65"/>
    <w:multiLevelType w:val="multilevel"/>
    <w:tmpl w:val="FFFFFFFF"/>
    <w:lvl w:ilvl="0">
      <w:start w:val="10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2EA473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EEA217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1009066">
    <w:abstractNumId w:val="1"/>
  </w:num>
  <w:num w:numId="2" w16cid:durableId="1028263940">
    <w:abstractNumId w:val="7"/>
  </w:num>
  <w:num w:numId="3" w16cid:durableId="235165851">
    <w:abstractNumId w:val="6"/>
  </w:num>
  <w:num w:numId="4" w16cid:durableId="1454596610">
    <w:abstractNumId w:val="0"/>
  </w:num>
  <w:num w:numId="5" w16cid:durableId="695156464">
    <w:abstractNumId w:val="5"/>
  </w:num>
  <w:num w:numId="6" w16cid:durableId="157186735">
    <w:abstractNumId w:val="4"/>
  </w:num>
  <w:num w:numId="7" w16cid:durableId="95712224">
    <w:abstractNumId w:val="2"/>
  </w:num>
  <w:num w:numId="8" w16cid:durableId="19851169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315"/>
    <w:rsid w:val="000455E6"/>
    <w:rsid w:val="00130F08"/>
    <w:rsid w:val="006B62C5"/>
    <w:rsid w:val="00B364C5"/>
    <w:rsid w:val="00C72315"/>
    <w:rsid w:val="00F0742D"/>
    <w:rsid w:val="00FB4C36"/>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4:docId w14:val="40FD9EE4"/>
  <w15:docId w15:val="{33D63587-005E-0343-95BC-EED3432D7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3B6"/>
  </w:style>
  <w:style w:type="paragraph" w:styleId="Heading1">
    <w:name w:val="heading 1"/>
    <w:basedOn w:val="Normal"/>
    <w:next w:val="Normal"/>
    <w:uiPriority w:val="9"/>
    <w:qFormat/>
    <w:rsid w:val="005E73B6"/>
    <w:pPr>
      <w:keepNext/>
      <w:keepLines/>
      <w:spacing w:before="400" w:after="120"/>
      <w:outlineLvl w:val="0"/>
    </w:pPr>
    <w:rPr>
      <w:b/>
      <w:sz w:val="28"/>
      <w:szCs w:val="40"/>
    </w:rPr>
  </w:style>
  <w:style w:type="paragraph" w:styleId="Heading2">
    <w:name w:val="heading 2"/>
    <w:basedOn w:val="Normal"/>
    <w:next w:val="Normal"/>
    <w:uiPriority w:val="9"/>
    <w:unhideWhenUsed/>
    <w:qFormat/>
    <w:rsid w:val="005E73B6"/>
    <w:pPr>
      <w:keepNext/>
      <w:keepLines/>
      <w:spacing w:before="360" w:after="120"/>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02D5B"/>
    <w:pPr>
      <w:tabs>
        <w:tab w:val="center" w:pos="4513"/>
        <w:tab w:val="right" w:pos="9026"/>
      </w:tabs>
      <w:spacing w:line="240" w:lineRule="auto"/>
    </w:pPr>
  </w:style>
  <w:style w:type="character" w:customStyle="1" w:styleId="HeaderChar">
    <w:name w:val="Header Char"/>
    <w:basedOn w:val="DefaultParagraphFont"/>
    <w:link w:val="Header"/>
    <w:uiPriority w:val="99"/>
    <w:rsid w:val="00C02D5B"/>
    <w:rPr>
      <w:rFonts w:ascii="Times New Roman" w:hAnsi="Times New Roman"/>
      <w:sz w:val="24"/>
    </w:rPr>
  </w:style>
  <w:style w:type="paragraph" w:styleId="Footer">
    <w:name w:val="footer"/>
    <w:basedOn w:val="Normal"/>
    <w:link w:val="FooterChar"/>
    <w:uiPriority w:val="99"/>
    <w:unhideWhenUsed/>
    <w:rsid w:val="00C02D5B"/>
    <w:pPr>
      <w:tabs>
        <w:tab w:val="center" w:pos="4513"/>
        <w:tab w:val="right" w:pos="9026"/>
      </w:tabs>
      <w:spacing w:line="240" w:lineRule="auto"/>
    </w:pPr>
  </w:style>
  <w:style w:type="character" w:customStyle="1" w:styleId="FooterChar">
    <w:name w:val="Footer Char"/>
    <w:basedOn w:val="DefaultParagraphFont"/>
    <w:link w:val="Footer"/>
    <w:uiPriority w:val="99"/>
    <w:rsid w:val="00C02D5B"/>
    <w:rPr>
      <w:rFonts w:ascii="Times New Roman" w:hAnsi="Times New Roman"/>
      <w:sz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061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061ED"/>
    <w:pPr>
      <w:spacing w:after="100"/>
    </w:pPr>
  </w:style>
  <w:style w:type="paragraph" w:styleId="TOC2">
    <w:name w:val="toc 2"/>
    <w:basedOn w:val="Normal"/>
    <w:next w:val="Normal"/>
    <w:autoRedefine/>
    <w:uiPriority w:val="39"/>
    <w:unhideWhenUsed/>
    <w:rsid w:val="003061ED"/>
    <w:pPr>
      <w:spacing w:after="100"/>
      <w:ind w:left="240"/>
    </w:pPr>
  </w:style>
  <w:style w:type="paragraph" w:styleId="TOC3">
    <w:name w:val="toc 3"/>
    <w:basedOn w:val="Normal"/>
    <w:next w:val="Normal"/>
    <w:autoRedefine/>
    <w:uiPriority w:val="39"/>
    <w:unhideWhenUsed/>
    <w:rsid w:val="003061ED"/>
    <w:pPr>
      <w:spacing w:after="100"/>
      <w:ind w:left="480"/>
    </w:pPr>
  </w:style>
  <w:style w:type="character" w:styleId="Hyperlink">
    <w:name w:val="Hyperlink"/>
    <w:basedOn w:val="DefaultParagraphFont"/>
    <w:uiPriority w:val="99"/>
    <w:unhideWhenUsed/>
    <w:rsid w:val="003061ED"/>
    <w:rPr>
      <w:color w:val="0000FF" w:themeColor="hyperlink"/>
      <w:u w:val="single"/>
    </w:rPr>
  </w:style>
  <w:style w:type="paragraph" w:styleId="ListParagraph">
    <w:name w:val="List Paragraph"/>
    <w:basedOn w:val="Normal"/>
    <w:uiPriority w:val="34"/>
    <w:qFormat/>
    <w:rsid w:val="003061ED"/>
    <w:pPr>
      <w:ind w:left="720"/>
      <w:contextualSpacing/>
    </w:p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5">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6">
    <w:basedOn w:val="TableNormal"/>
    <w:tblPr>
      <w:tblStyleRowBandSize w:val="1"/>
      <w:tblStyleColBandSize w:val="1"/>
      <w:tblCellMar>
        <w:top w:w="100" w:type="dxa"/>
        <w:left w:w="100" w:type="dxa"/>
        <w:bottom w:w="100" w:type="dxa"/>
        <w:right w:w="100" w:type="dxa"/>
      </w:tblCellMar>
    </w:tblPr>
    <w:tcPr>
      <w:shd w:val="clear" w:color="auto" w:fill="212121"/>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researchgate.net/publication/367780349_2023_Research_Methods_for_Business_Students_Preface_and_Chapter_4" TargetMode="External"/><Relationship Id="rId2" Type="http://schemas.openxmlformats.org/officeDocument/2006/relationships/numbering" Target="numbering.xml"/><Relationship Id="rId16" Type="http://schemas.openxmlformats.org/officeDocument/2006/relationships/hyperlink" Target="https://www.researchgate.net/publication/368874144_Research_Onion_A_Systematic_Approach_for_Designing_Research_Methodology_Part_On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researchgate.net/publication/357284560_RESEARCH_ONION_A_SYSTEMATIC_APPROACH_TO_DESIGNING_RESEARCH_METHODOLOGY"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3T07:28:49.380"/>
    </inkml:context>
    <inkml:brush xml:id="br0">
      <inkml:brushProperty name="width" value="0.05008" units="cm"/>
      <inkml:brushProperty name="height" value="0.05008" units="cm"/>
    </inkml:brush>
  </inkml:definitions>
  <inkml:trace contextRef="#ctx0" brushRef="#br0">472 1446 24575,'-3'-74'0,"0"2"0,1 20 0,2 12 0,0 11 0,0-9 0,0-3 0,0-3 0,0 0 0,0-2 0,-3-3 0,0-1 0,-2 1 0,-1 0 0,-1 1 0,-1 1 0,0-2 0,0 0 0,-3 4 0,1 1 0,0 2 0,1-1 0,1 2 0,0 6 0,1 3 0,2 1 0,-2 0 0,4 0 0,-1 1 0,1 4 0,-3 4 0,3 4 0,-1 1 0,1 1 0,-3 3 0,3 0 0,-2 2 0,-1 1 0,-1 2 0,-1 2 0,0 1 0,0 2 0,0 0 0,-1 3 0,0 0 0,-2 0 0,-2 0 0,1 0 0,0 0 0,1 0 0,0 0 0,3 0 0,0 0 0,0 0 0,-2 1 0,-1 1 0,1 2 0,1 3 0,1 2 0,0 5 0,0 0 0,0 0 0,0 4 0,0 0 0,0 1 0,0 0 0,3 2 0,1 3 0,-1 1 0,1 1 0,1 2 0,-1 2 0,-1-1 0,1 1 0,2 2 0,-1 3 0,3 0 0,0-1 0,0 4 0,0-3 0,0 3 0,0 2 0,0-3 0,0 1 0,0 0 0,0 1 0,0-4 0,0-1 0,0-3 0,0-1 0,0 3 0,0-5 0,0 1 0,0-3 0,0-1 0,0-1 0,3-1 0,2-1 0,5-3 0,2-3 0,0-1 0,2-1 0,-1-4 0,0-4 0,1-1 0,1-2 0,0 3 0,0-4 0,-1 0 0,3-1 0,0-1 0,4 0 0,1 0 0,1 0 0,2-1 0,1-1 0,1-6 0,2-4 0,3-5 0,6-8 0,1 0 0,1-2 0,1 0 0,0 3 0,2 0 0,-1 0 0,1 1 0,1 1 0,-1 2 0,1 0 0,1-1 0,-2 3 0,1 3 0,-1 4 0,-3-2 0,-3 1 0,1-1 0,-2 3 0,-2 1 0,-7 1 0,-3 0 0,-1 0 0,-3 0 0,-2 0 0,-4 1 0,-3 1 0,-3-1 0,-2 3 0,-2-1 0,0-1 0,-2 1 0,-2-3 0,0 0 0,0 0 0,0 0 0,-1 1 0,-5 2 0,-5 2 0,-6 2 0,-6 1 0,-5 0 0,0 0 0,-2 0 0,-5 0 0,-2 0 0,-2 0 0,-1 0 0,0 0 0,0 0 0,1 1 0,2 2 0,1 4 0,4 7 0,1 1 0,2 1 0,1 2 0,5 1 0,2 0 0,2 0 0,2 0 0,2 1 0,2-1 0,2 1 0,3 0 0,0 1 0,0 1 0,0-2 0,0 2 0,2-3 0,2-1 0,0-2 0,-1 0 0,2 0 0,2-1 0,0-1 0,1 0 0,0-3 0,0 1 0,0 0 0,0-2 0,0-2 0,0 0 0,0 0 0,3-3 0,3-3 0,3-1 0,3-1 0,-1 0 0,1 0 0,1 0 0,-1 0 0,-1 0 0,1 0 0,-1 0 0,0 0 0,2 0 0,2 0 0,-1 0 0,-1 0 0,1 0 0,1 0 0,1 1 0,1 1 0,1 1 0,1 2 0,-3-3 0,-3 4 0,2-1 0,3 0 0,-1-2 0,2-2 0,0 1 0,-1 0 0,2 4 0,-2-4 0,-1 0 0,-2-1 0,1-1 0,-3 0 0,0 0 0,0 0 0,-2 0 0,2 0 0,-2 0 0,-1 0 0,-1 0 0,-1 0 0,-4-1 0,-1-1 0,-2-4 0,-1-1 0,0-4 0,0 1 0,0 0 0,0 1 0,0 1 0,-1 1 0,-2 2 0,-2-1 0,-6 3 0,-2 1 0,-2 1 0,-4 1 0,1 0 0,2 0 0,2 0 0,1 0 0,-3 0 0,0 0 0,0 0 0,3 0 0,0 0 0,2 0 0,1 0 0,1 0 0,1 0 0,0 0 0,4 1 0,1 2 0,2 1 0,1 4 0,0 0 0,0 0 0,1 0 0,3-1 0,7-1 0,6 0 0,9-3 0,0 1 0,0-1 0,0 0 0,-1-3 0,3 0 0,0 0 0,-1 0 0,1 0 0,0 0 0,-2 0 0,-1 0 0,-1 0 0,2-1 0,1-1 0,-1-6 0,-3-3 0,0-2 0,-2-1 0,-1-1 0,2 0 0,-4 1 0,-1 1 0,-2 0 0,-1-1 0,-1 2 0,-2 0 0,-1 1 0,-4 3 0,0 0 0,-2 0 0,1 0 0,-2 0 0,-2 0 0,-1 0 0,4 4 0,-3 0 0,5 4 0,-1 0 0,3 0 0,0 0 0,0 0 0,0 0 0,0 0 0,0 0 0,3 0 0,0 0 0,2 0 0,1 0 0,2 0 0,1 0 0,2 1 0,-1 2 0,2 1 0,2 4 0,1 0 0,4 0 0,2-1 0,2 0 0,1-2 0,0 1 0,0 0 0,0 1 0,0-2 0,0 1 0,-3-2 0,0-1 0,-2 0 0,-1 0 0,-5-1 0,-2-2 0,-2 0 0,-7 0 0,-8 0 0,-10 0 0,-21 0 0,-15 0 0,-14 0 0,-13 1 0,-3 2 0,-2 2 0,-2 2 0,-6 5 0,5 2 0,1 3 0,-1 2 0,8 2 0,-3-3 0,2 1 0,5 1 0,-4-1 0,9 3 0,2 0 0,3 0 0,5-2 0,0 1 0,4-2 0,1-1 0,5-1 0,3-1 0,5 0 0,4 0 0,5-1 0,1-1 0,5-2 0,5 0 0,4-2 0,8-5 0,4-6 0,12-7 0,13-18 0,10-7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Tjdv85T9bKo/2+SaxFrui2EHbA==">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65</Pages>
  <Words>20391</Words>
  <Characters>116235</Characters>
  <Application>Microsoft Office Word</Application>
  <DocSecurity>0</DocSecurity>
  <Lines>968</Lines>
  <Paragraphs>272</Paragraphs>
  <ScaleCrop>false</ScaleCrop>
  <Company/>
  <LinksUpToDate>false</LinksUpToDate>
  <CharactersWithSpaces>136354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kevin dabhi</cp:lastModifiedBy>
  <cp:revision>6</cp:revision>
  <dcterms:created xsi:type="dcterms:W3CDTF">2024-02-12T11:47:00Z</dcterms:created>
  <dcterms:modified xsi:type="dcterms:W3CDTF">2024-05-13T07:29:00Z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1ff9fbcd2357d6865a6fe77c253e42a8673e3eb1c38540360e60d86b04cab382</vt:lpwstr>
  </property>
</Properties>
</file>