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160" w:line="259" w:lineRule="auto"/>
        <w:jc w:val="both"/>
        <w:rPr>
          <w:rFonts w:ascii="Verdana" w:hAnsi="Verdana"/>
          <w:b/>
          <w:i/>
          <w:sz w:val="44"/>
        </w:rPr>
      </w:pPr>
    </w:p>
    <w:p>
      <w:pPr>
        <w:spacing w:after="160" w:line="259" w:lineRule="auto"/>
        <w:jc w:val="center"/>
        <w:rPr>
          <w:rFonts w:ascii="Verdana" w:hAnsi="Verdana"/>
          <w:b/>
          <w:i/>
          <w:sz w:val="44"/>
        </w:rPr>
      </w:pPr>
      <w:r>
        <w:rPr>
          <w:rFonts w:ascii="Verdana" w:hAnsi="Verdana"/>
          <w:b/>
          <w:i/>
          <w:sz w:val="44"/>
        </w:rPr>
        <w:t xml:space="preserve">Dummy Report for Strategic Management Assignment 1 </w:t>
      </w:r>
    </w:p>
    <w:p>
      <w:pPr>
        <w:spacing w:after="160" w:line="259" w:lineRule="auto"/>
        <w:jc w:val="center"/>
        <w:rPr>
          <w:rFonts w:hint="eastAsia" w:ascii="Verdana" w:hAnsi="Verdana"/>
          <w:b/>
          <w:i/>
          <w:color w:val="FF0000"/>
          <w:sz w:val="44"/>
        </w:rPr>
      </w:pPr>
      <w:r>
        <w:rPr>
          <w:rFonts w:hint="eastAsia" w:ascii="Verdana" w:hAnsi="Verdana"/>
          <w:b/>
          <w:i/>
          <w:color w:val="FF0000"/>
          <w:sz w:val="44"/>
        </w:rPr>
        <w:t xml:space="preserve">strategic </w:t>
      </w:r>
      <w:r>
        <w:rPr>
          <w:rFonts w:hint="default" w:ascii="Verdana" w:hAnsi="Verdana"/>
          <w:b/>
          <w:i/>
          <w:color w:val="FF0000"/>
          <w:sz w:val="44"/>
        </w:rPr>
        <w:t xml:space="preserve">management </w:t>
      </w:r>
      <w:r>
        <w:rPr>
          <w:rFonts w:hint="eastAsia" w:ascii="Verdana" w:hAnsi="Verdana"/>
          <w:b/>
          <w:i/>
          <w:color w:val="FF0000"/>
          <w:sz w:val="44"/>
        </w:rPr>
        <w:t>analysis</w:t>
      </w:r>
      <w:r>
        <w:rPr>
          <w:rFonts w:hint="default" w:ascii="Verdana" w:hAnsi="Verdana"/>
          <w:b/>
          <w:i/>
          <w:color w:val="FF0000"/>
          <w:sz w:val="44"/>
        </w:rPr>
        <w:t xml:space="preserve"> of Lidl</w:t>
      </w:r>
    </w:p>
    <w:p>
      <w:pPr>
        <w:spacing w:after="160" w:line="259" w:lineRule="auto"/>
        <w:jc w:val="center"/>
        <w:rPr>
          <w:rFonts w:ascii="Verdana" w:hAnsi="Verdana"/>
          <w:b/>
          <w:caps/>
          <w:sz w:val="18"/>
          <w:szCs w:val="18"/>
        </w:rPr>
      </w:pPr>
    </w:p>
    <w:p>
      <w:pPr>
        <w:spacing w:after="160" w:line="259" w:lineRule="auto"/>
        <w:rPr>
          <w:rFonts w:ascii="Verdana" w:hAnsi="Verdana"/>
          <w:b/>
          <w:caps/>
          <w:sz w:val="18"/>
          <w:szCs w:val="18"/>
        </w:rPr>
      </w:pPr>
    </w:p>
    <w:p>
      <w:pPr>
        <w:spacing w:after="160" w:line="259" w:lineRule="auto"/>
        <w:jc w:val="center"/>
        <w:rPr>
          <w:rFonts w:ascii="Verdana" w:hAnsi="Verdana"/>
          <w:b/>
          <w:caps/>
          <w:sz w:val="18"/>
          <w:szCs w:val="18"/>
        </w:rPr>
      </w:pPr>
      <w:r>
        <w:rPr>
          <w:lang w:eastAsia="en-GB"/>
        </w:rPr>
        <w:drawing>
          <wp:inline distT="0" distB="0" distL="0" distR="0">
            <wp:extent cx="2860040" cy="3172460"/>
            <wp:effectExtent l="0" t="0" r="10160" b="254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a:xfrm>
                      <a:off x="0" y="0"/>
                      <a:ext cx="2860040" cy="3172460"/>
                    </a:xfrm>
                    <a:prstGeom prst="rect">
                      <a:avLst/>
                    </a:prstGeom>
                    <a:noFill/>
                    <a:ln>
                      <a:noFill/>
                    </a:ln>
                  </pic:spPr>
                </pic:pic>
              </a:graphicData>
            </a:graphic>
          </wp:inline>
        </w:drawing>
      </w:r>
    </w:p>
    <w:p>
      <w:pPr>
        <w:spacing w:after="160" w:line="259" w:lineRule="auto"/>
        <w:rPr>
          <w:rFonts w:ascii="Verdana" w:hAnsi="Verdana"/>
          <w:b/>
          <w:caps/>
          <w:sz w:val="18"/>
          <w:szCs w:val="18"/>
        </w:rPr>
      </w:pPr>
    </w:p>
    <w:p>
      <w:pPr>
        <w:spacing w:after="160" w:line="259" w:lineRule="auto"/>
        <w:jc w:val="center"/>
        <w:rPr>
          <w:rFonts w:ascii="Verdana" w:hAnsi="Verdana"/>
          <w:b/>
          <w:sz w:val="44"/>
        </w:rPr>
      </w:pPr>
      <w:r>
        <w:rPr>
          <w:rFonts w:ascii="Verdana" w:hAnsi="Verdana"/>
          <w:b/>
          <w:sz w:val="44"/>
        </w:rPr>
        <w:t>OCTOBER 2018</w:t>
      </w:r>
    </w:p>
    <w:p>
      <w:pPr>
        <w:spacing w:after="160" w:line="259" w:lineRule="auto"/>
        <w:rPr>
          <w:rFonts w:ascii="Verdana" w:hAnsi="Verdana"/>
          <w:b/>
          <w:caps/>
          <w:sz w:val="18"/>
          <w:szCs w:val="18"/>
        </w:rPr>
      </w:pPr>
    </w:p>
    <w:tbl>
      <w:tblPr>
        <w:tblStyle w:val="13"/>
        <w:tblW w:w="928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644"/>
        <w:gridCol w:w="4644"/>
      </w:tblGrid>
      <w:tr>
        <w:tblPrEx>
          <w:tblLayout w:type="fixed"/>
        </w:tblPrEx>
        <w:tc>
          <w:tcPr>
            <w:tcW w:w="4644" w:type="dxa"/>
          </w:tcPr>
          <w:p>
            <w:pPr>
              <w:spacing w:after="160" w:line="259" w:lineRule="auto"/>
              <w:rPr>
                <w:rFonts w:ascii="Verdana" w:hAnsi="Verdana"/>
                <w:b/>
                <w:caps/>
                <w:sz w:val="18"/>
                <w:szCs w:val="18"/>
                <w:vertAlign w:val="baseline"/>
              </w:rPr>
            </w:pPr>
            <w:r>
              <w:rPr>
                <w:rFonts w:ascii="Verdana" w:hAnsi="Verdana"/>
                <w:b/>
                <w:caps/>
                <w:sz w:val="18"/>
                <w:szCs w:val="18"/>
              </w:rPr>
              <w:t>MODULE NAME</w:t>
            </w:r>
          </w:p>
        </w:tc>
        <w:tc>
          <w:tcPr>
            <w:tcW w:w="4644" w:type="dxa"/>
          </w:tcPr>
          <w:p>
            <w:pPr>
              <w:spacing w:after="160" w:line="259" w:lineRule="auto"/>
              <w:rPr>
                <w:rFonts w:ascii="Verdana" w:hAnsi="Verdana"/>
                <w:b/>
                <w:caps/>
                <w:sz w:val="18"/>
                <w:szCs w:val="18"/>
                <w:vertAlign w:val="baseline"/>
              </w:rPr>
            </w:pPr>
            <w:r>
              <w:rPr>
                <w:rFonts w:hint="eastAsia" w:ascii="Verdana" w:hAnsi="Verdana"/>
                <w:b/>
                <w:caps/>
                <w:color w:val="FF0000"/>
                <w:sz w:val="18"/>
                <w:szCs w:val="18"/>
              </w:rPr>
              <w:t>Strategic Management and Sustainability</w:t>
            </w:r>
          </w:p>
        </w:tc>
      </w:tr>
      <w:tr>
        <w:tblPrEx>
          <w:tblLayout w:type="fixed"/>
        </w:tblPrEx>
        <w:tc>
          <w:tcPr>
            <w:tcW w:w="4644" w:type="dxa"/>
          </w:tcPr>
          <w:p>
            <w:pPr>
              <w:spacing w:after="160" w:line="259" w:lineRule="auto"/>
              <w:rPr>
                <w:rFonts w:ascii="Verdana" w:hAnsi="Verdana"/>
                <w:b/>
                <w:caps/>
                <w:sz w:val="18"/>
                <w:szCs w:val="18"/>
                <w:vertAlign w:val="baseline"/>
              </w:rPr>
            </w:pPr>
            <w:r>
              <w:rPr>
                <w:rFonts w:ascii="Verdana" w:hAnsi="Verdana"/>
                <w:b/>
                <w:caps/>
                <w:sz w:val="18"/>
                <w:szCs w:val="18"/>
                <w:vertAlign w:val="baseline"/>
              </w:rPr>
              <w:t>MODULE CODE</w:t>
            </w:r>
          </w:p>
        </w:tc>
        <w:tc>
          <w:tcPr>
            <w:tcW w:w="4644" w:type="dxa"/>
          </w:tcPr>
          <w:p>
            <w:pPr>
              <w:spacing w:after="160" w:line="259" w:lineRule="auto"/>
              <w:rPr>
                <w:rFonts w:hint="eastAsia" w:ascii="Verdana" w:hAnsi="Verdana"/>
                <w:b/>
                <w:caps/>
                <w:color w:val="FF0000"/>
                <w:sz w:val="18"/>
                <w:szCs w:val="18"/>
              </w:rPr>
            </w:pPr>
            <w:r>
              <w:rPr>
                <w:rFonts w:hint="eastAsia" w:ascii="Verdana" w:hAnsi="Verdana"/>
                <w:b/>
                <w:caps/>
                <w:color w:val="FF0000"/>
                <w:sz w:val="18"/>
                <w:szCs w:val="18"/>
              </w:rPr>
              <w:t>M3X9111</w:t>
            </w:r>
          </w:p>
        </w:tc>
      </w:tr>
      <w:tr>
        <w:tblPrEx>
          <w:tblLayout w:type="fixed"/>
        </w:tblPrEx>
        <w:tc>
          <w:tcPr>
            <w:tcW w:w="4644" w:type="dxa"/>
          </w:tcPr>
          <w:p>
            <w:pPr>
              <w:spacing w:after="160" w:line="259" w:lineRule="auto"/>
              <w:rPr>
                <w:rFonts w:ascii="Verdana" w:hAnsi="Verdana"/>
                <w:b/>
                <w:caps/>
                <w:sz w:val="18"/>
                <w:szCs w:val="18"/>
                <w:vertAlign w:val="baseline"/>
              </w:rPr>
            </w:pPr>
            <w:r>
              <w:rPr>
                <w:rFonts w:ascii="Verdana" w:hAnsi="Verdana"/>
                <w:b/>
                <w:caps/>
                <w:sz w:val="18"/>
                <w:szCs w:val="18"/>
                <w:vertAlign w:val="baseline"/>
              </w:rPr>
              <w:t>STUDENT NAME</w:t>
            </w:r>
          </w:p>
        </w:tc>
        <w:tc>
          <w:tcPr>
            <w:tcW w:w="4644" w:type="dxa"/>
          </w:tcPr>
          <w:p>
            <w:pPr>
              <w:spacing w:after="160" w:line="259" w:lineRule="auto"/>
              <w:rPr>
                <w:rFonts w:hint="eastAsia" w:ascii="Verdana" w:hAnsi="Verdana"/>
                <w:b/>
                <w:caps/>
                <w:color w:val="FF0000"/>
                <w:sz w:val="18"/>
                <w:szCs w:val="18"/>
              </w:rPr>
            </w:pPr>
            <w:r>
              <w:rPr>
                <w:rFonts w:hint="default" w:ascii="Verdana" w:hAnsi="Verdana"/>
                <w:b/>
                <w:caps/>
                <w:color w:val="FF0000"/>
                <w:sz w:val="18"/>
                <w:szCs w:val="18"/>
              </w:rPr>
              <w:t>ZIPING WANG</w:t>
            </w:r>
          </w:p>
        </w:tc>
      </w:tr>
      <w:tr>
        <w:tblPrEx>
          <w:tblLayout w:type="fixed"/>
        </w:tblPrEx>
        <w:tc>
          <w:tcPr>
            <w:tcW w:w="4644" w:type="dxa"/>
          </w:tcPr>
          <w:p>
            <w:pPr>
              <w:spacing w:after="160" w:line="259" w:lineRule="auto"/>
              <w:rPr>
                <w:rFonts w:ascii="Verdana" w:hAnsi="Verdana"/>
                <w:b/>
                <w:caps/>
                <w:sz w:val="18"/>
                <w:szCs w:val="18"/>
                <w:vertAlign w:val="baseline"/>
              </w:rPr>
            </w:pPr>
            <w:r>
              <w:rPr>
                <w:rFonts w:ascii="Verdana" w:hAnsi="Verdana"/>
                <w:b/>
                <w:caps/>
                <w:sz w:val="18"/>
                <w:szCs w:val="18"/>
                <w:vertAlign w:val="baseline"/>
              </w:rPr>
              <w:t>STUDENT NUMBER</w:t>
            </w:r>
          </w:p>
        </w:tc>
        <w:tc>
          <w:tcPr>
            <w:tcW w:w="4644" w:type="dxa"/>
          </w:tcPr>
          <w:p>
            <w:pPr>
              <w:spacing w:after="160" w:line="259" w:lineRule="auto"/>
              <w:rPr>
                <w:rFonts w:hint="eastAsia" w:ascii="Verdana" w:hAnsi="Verdana"/>
                <w:b/>
                <w:caps/>
                <w:color w:val="FF0000"/>
                <w:sz w:val="18"/>
                <w:szCs w:val="18"/>
              </w:rPr>
            </w:pPr>
            <w:r>
              <w:rPr>
                <w:rFonts w:hint="default" w:ascii="Verdana" w:hAnsi="Verdana"/>
                <w:b/>
                <w:caps/>
                <w:color w:val="FF0000"/>
                <w:sz w:val="18"/>
                <w:szCs w:val="18"/>
              </w:rPr>
              <w:t>1900407</w:t>
            </w:r>
          </w:p>
        </w:tc>
      </w:tr>
    </w:tbl>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sectPr>
          <w:headerReference r:id="rId3" w:type="default"/>
          <w:pgSz w:w="11906" w:h="16838"/>
          <w:pgMar w:top="1134" w:right="1134" w:bottom="1134" w:left="1134" w:header="851" w:footer="992" w:gutter="0"/>
          <w:pgNumType w:fmt="decimal"/>
          <w:cols w:space="0" w:num="1"/>
          <w:rtlGutter w:val="0"/>
          <w:docGrid w:type="lines" w:linePitch="318" w:charSpace="0"/>
        </w:sectPr>
      </w:pPr>
    </w:p>
    <w:sdt>
      <w:sdtPr>
        <w:rPr>
          <w:rFonts w:hint="default" w:ascii="Times New Roman" w:hAnsi="Times New Roman" w:eastAsia="宋体" w:cs="Times New Roman"/>
          <w:b/>
          <w:bCs/>
          <w:kern w:val="2"/>
          <w:sz w:val="28"/>
          <w:szCs w:val="28"/>
          <w:lang w:val="en-US" w:eastAsia="zh-CN" w:bidi="ar-SA"/>
        </w:rPr>
        <w:id w:val="328521360"/>
        <w15:color w:val="DBDBDB"/>
      </w:sdtPr>
      <w:sdtEndPr>
        <w:rPr>
          <w:rFonts w:hint="default" w:ascii="Times New Roman" w:hAnsi="Times New Roman" w:cs="Times New Roman" w:eastAsiaTheme="minorEastAsia"/>
          <w:b/>
          <w:bCs/>
          <w:kern w:val="2"/>
          <w:sz w:val="21"/>
          <w:szCs w:val="24"/>
          <w:lang w:val="en-US" w:eastAsia="zh-CN" w:bidi="ar-SA"/>
        </w:rPr>
      </w:sdtEndPr>
      <w:sdtContent>
        <w:p>
          <w:pPr>
            <w:spacing w:before="0" w:beforeLines="0" w:after="0" w:afterLines="0" w:line="240" w:lineRule="auto"/>
            <w:ind w:left="0" w:leftChars="0" w:right="0" w:rightChars="0" w:firstLine="0" w:firstLineChars="0"/>
            <w:jc w:val="left"/>
            <w:rPr>
              <w:rFonts w:hint="default" w:ascii="Times New Roman" w:hAnsi="Times New Roman" w:cs="Times New Roman"/>
              <w:b/>
              <w:bCs/>
              <w:sz w:val="28"/>
              <w:szCs w:val="28"/>
              <w:lang w:val="en-US"/>
            </w:rPr>
          </w:pPr>
        </w:p>
        <w:p>
          <w:pPr>
            <w:pStyle w:val="8"/>
            <w:tabs>
              <w:tab w:val="right" w:leader="dot" w:pos="9638"/>
            </w:tabs>
            <w:rPr>
              <w:b/>
              <w:bCs/>
            </w:rPr>
          </w:pP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TOC \o "1-3" \h \u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_Toc1257770175 </w:instrText>
          </w:r>
          <w:r>
            <w:rPr>
              <w:rFonts w:hint="default" w:ascii="Times New Roman" w:hAnsi="Times New Roman" w:cs="Times New Roman"/>
              <w:b/>
              <w:bCs/>
              <w:szCs w:val="24"/>
            </w:rPr>
            <w:fldChar w:fldCharType="separate"/>
          </w:r>
          <w:r>
            <w:rPr>
              <w:rFonts w:hint="default" w:ascii="Times New Roman" w:hAnsi="Times New Roman" w:cs="Times New Roman"/>
              <w:b/>
              <w:bCs/>
              <w:szCs w:val="28"/>
            </w:rPr>
            <w:t>EXECUTIVE SUMMARY</w:t>
          </w:r>
          <w:r>
            <w:rPr>
              <w:b/>
              <w:bCs/>
            </w:rPr>
            <w:tab/>
          </w:r>
          <w:r>
            <w:rPr>
              <w:b/>
              <w:bCs/>
            </w:rPr>
            <w:fldChar w:fldCharType="begin"/>
          </w:r>
          <w:r>
            <w:rPr>
              <w:b/>
              <w:bCs/>
            </w:rPr>
            <w:instrText xml:space="preserve"> PAGEREF _Toc1257770175 </w:instrText>
          </w:r>
          <w:r>
            <w:rPr>
              <w:b/>
              <w:bCs/>
            </w:rPr>
            <w:fldChar w:fldCharType="separate"/>
          </w:r>
          <w:r>
            <w:rPr>
              <w:b/>
              <w:bCs/>
            </w:rPr>
            <w:t>1</w:t>
          </w:r>
          <w:r>
            <w:rPr>
              <w:b/>
              <w:bCs/>
            </w:rPr>
            <w:fldChar w:fldCharType="end"/>
          </w:r>
          <w:r>
            <w:rPr>
              <w:rFonts w:hint="default" w:ascii="Times New Roman" w:hAnsi="Times New Roman" w:cs="Times New Roman"/>
              <w:b/>
              <w:bCs/>
              <w:szCs w:val="24"/>
            </w:rPr>
            <w:fldChar w:fldCharType="end"/>
          </w:r>
        </w:p>
        <w:p>
          <w:pPr>
            <w:pStyle w:val="8"/>
            <w:tabs>
              <w:tab w:val="right" w:leader="dot" w:pos="9638"/>
            </w:tabs>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_Toc1661793804 </w:instrText>
          </w:r>
          <w:r>
            <w:rPr>
              <w:rFonts w:hint="default" w:ascii="Times New Roman" w:hAnsi="Times New Roman" w:cs="Times New Roman"/>
              <w:b/>
              <w:bCs/>
              <w:szCs w:val="24"/>
            </w:rPr>
            <w:fldChar w:fldCharType="separate"/>
          </w:r>
          <w:r>
            <w:rPr>
              <w:rFonts w:hint="default" w:ascii="Times New Roman" w:hAnsi="Times New Roman" w:cs="Times New Roman"/>
              <w:b/>
              <w:bCs/>
              <w:szCs w:val="28"/>
            </w:rPr>
            <w:t>1.0 INTRODUCTION</w:t>
          </w:r>
          <w:r>
            <w:rPr>
              <w:b/>
              <w:bCs/>
            </w:rPr>
            <w:tab/>
          </w:r>
          <w:r>
            <w:rPr>
              <w:b/>
              <w:bCs/>
            </w:rPr>
            <w:fldChar w:fldCharType="begin"/>
          </w:r>
          <w:r>
            <w:rPr>
              <w:b/>
              <w:bCs/>
            </w:rPr>
            <w:instrText xml:space="preserve"> PAGEREF _Toc1661793804 </w:instrText>
          </w:r>
          <w:r>
            <w:rPr>
              <w:b/>
              <w:bCs/>
            </w:rPr>
            <w:fldChar w:fldCharType="separate"/>
          </w:r>
          <w:r>
            <w:rPr>
              <w:b/>
              <w:bCs/>
            </w:rPr>
            <w:t>2</w:t>
          </w:r>
          <w:r>
            <w:rPr>
              <w:b/>
              <w:bCs/>
            </w:rPr>
            <w:fldChar w:fldCharType="end"/>
          </w:r>
          <w:r>
            <w:rPr>
              <w:rFonts w:hint="default" w:ascii="Times New Roman" w:hAnsi="Times New Roman" w:cs="Times New Roman"/>
              <w:b/>
              <w:bCs/>
              <w:szCs w:val="24"/>
            </w:rPr>
            <w:fldChar w:fldCharType="end"/>
          </w:r>
        </w:p>
        <w:p>
          <w:pPr>
            <w:pStyle w:val="9"/>
            <w:tabs>
              <w:tab w:val="right" w:leader="dot" w:pos="9638"/>
            </w:tabs>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_Toc1743634593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1.1 REPORT REMIT</w:t>
          </w:r>
          <w:r>
            <w:rPr>
              <w:b/>
              <w:bCs/>
            </w:rPr>
            <w:tab/>
          </w:r>
          <w:r>
            <w:rPr>
              <w:b/>
              <w:bCs/>
            </w:rPr>
            <w:fldChar w:fldCharType="begin"/>
          </w:r>
          <w:r>
            <w:rPr>
              <w:b/>
              <w:bCs/>
            </w:rPr>
            <w:instrText xml:space="preserve"> PAGEREF _Toc1743634593 </w:instrText>
          </w:r>
          <w:r>
            <w:rPr>
              <w:b/>
              <w:bCs/>
            </w:rPr>
            <w:fldChar w:fldCharType="separate"/>
          </w:r>
          <w:r>
            <w:rPr>
              <w:b/>
              <w:bCs/>
            </w:rPr>
            <w:t>2</w:t>
          </w:r>
          <w:r>
            <w:rPr>
              <w:b/>
              <w:bCs/>
            </w:rPr>
            <w:fldChar w:fldCharType="end"/>
          </w:r>
          <w:r>
            <w:rPr>
              <w:rFonts w:hint="default" w:ascii="Times New Roman" w:hAnsi="Times New Roman" w:cs="Times New Roman"/>
              <w:b/>
              <w:bCs/>
              <w:szCs w:val="24"/>
            </w:rPr>
            <w:fldChar w:fldCharType="end"/>
          </w:r>
        </w:p>
        <w:p>
          <w:pPr>
            <w:pStyle w:val="9"/>
            <w:tabs>
              <w:tab w:val="right" w:leader="dot" w:pos="9638"/>
            </w:tabs>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_Toc704757589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1.2 BACKGROUND OF LIDL</w:t>
          </w:r>
          <w:r>
            <w:rPr>
              <w:b/>
              <w:bCs/>
            </w:rPr>
            <w:tab/>
          </w:r>
          <w:r>
            <w:rPr>
              <w:b/>
              <w:bCs/>
            </w:rPr>
            <w:fldChar w:fldCharType="begin"/>
          </w:r>
          <w:r>
            <w:rPr>
              <w:b/>
              <w:bCs/>
            </w:rPr>
            <w:instrText xml:space="preserve"> PAGEREF _Toc704757589 </w:instrText>
          </w:r>
          <w:r>
            <w:rPr>
              <w:b/>
              <w:bCs/>
            </w:rPr>
            <w:fldChar w:fldCharType="separate"/>
          </w:r>
          <w:r>
            <w:rPr>
              <w:b/>
              <w:bCs/>
            </w:rPr>
            <w:t>2</w:t>
          </w:r>
          <w:r>
            <w:rPr>
              <w:b/>
              <w:bCs/>
            </w:rPr>
            <w:fldChar w:fldCharType="end"/>
          </w:r>
          <w:r>
            <w:rPr>
              <w:rFonts w:hint="default" w:ascii="Times New Roman" w:hAnsi="Times New Roman" w:cs="Times New Roman"/>
              <w:b/>
              <w:bCs/>
              <w:szCs w:val="24"/>
            </w:rPr>
            <w:fldChar w:fldCharType="end"/>
          </w:r>
        </w:p>
        <w:p>
          <w:pPr>
            <w:pStyle w:val="9"/>
            <w:tabs>
              <w:tab w:val="right" w:leader="dot" w:pos="9638"/>
            </w:tabs>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_Toc1488485118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1.3 DEFINITIONS OF MAJOR CONCEPTS</w:t>
          </w:r>
          <w:r>
            <w:rPr>
              <w:b/>
              <w:bCs/>
            </w:rPr>
            <w:tab/>
          </w:r>
          <w:r>
            <w:rPr>
              <w:b/>
              <w:bCs/>
            </w:rPr>
            <w:fldChar w:fldCharType="begin"/>
          </w:r>
          <w:r>
            <w:rPr>
              <w:b/>
              <w:bCs/>
            </w:rPr>
            <w:instrText xml:space="preserve"> PAGEREF _Toc1488485118 </w:instrText>
          </w:r>
          <w:r>
            <w:rPr>
              <w:b/>
              <w:bCs/>
            </w:rPr>
            <w:fldChar w:fldCharType="separate"/>
          </w:r>
          <w:r>
            <w:rPr>
              <w:b/>
              <w:bCs/>
            </w:rPr>
            <w:t>3</w:t>
          </w:r>
          <w:r>
            <w:rPr>
              <w:b/>
              <w:bCs/>
            </w:rPr>
            <w:fldChar w:fldCharType="end"/>
          </w:r>
          <w:r>
            <w:rPr>
              <w:rFonts w:hint="default" w:ascii="Times New Roman" w:hAnsi="Times New Roman" w:cs="Times New Roman"/>
              <w:b/>
              <w:bCs/>
              <w:szCs w:val="24"/>
            </w:rPr>
            <w:fldChar w:fldCharType="end"/>
          </w:r>
        </w:p>
        <w:p>
          <w:pPr>
            <w:pStyle w:val="5"/>
            <w:tabs>
              <w:tab w:val="right" w:leader="dot" w:pos="9638"/>
            </w:tabs>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_Toc932374323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1.3.1 Strategy</w:t>
          </w:r>
          <w:r>
            <w:rPr>
              <w:b/>
              <w:bCs/>
            </w:rPr>
            <w:tab/>
          </w:r>
          <w:r>
            <w:rPr>
              <w:b/>
              <w:bCs/>
            </w:rPr>
            <w:fldChar w:fldCharType="begin"/>
          </w:r>
          <w:r>
            <w:rPr>
              <w:b/>
              <w:bCs/>
            </w:rPr>
            <w:instrText xml:space="preserve"> PAGEREF _Toc932374323 </w:instrText>
          </w:r>
          <w:r>
            <w:rPr>
              <w:b/>
              <w:bCs/>
            </w:rPr>
            <w:fldChar w:fldCharType="separate"/>
          </w:r>
          <w:r>
            <w:rPr>
              <w:b/>
              <w:bCs/>
            </w:rPr>
            <w:t>3</w:t>
          </w:r>
          <w:r>
            <w:rPr>
              <w:b/>
              <w:bCs/>
            </w:rPr>
            <w:fldChar w:fldCharType="end"/>
          </w:r>
          <w:r>
            <w:rPr>
              <w:rFonts w:hint="default" w:ascii="Times New Roman" w:hAnsi="Times New Roman" w:cs="Times New Roman"/>
              <w:b/>
              <w:bCs/>
              <w:szCs w:val="24"/>
            </w:rPr>
            <w:fldChar w:fldCharType="end"/>
          </w:r>
        </w:p>
        <w:p>
          <w:pPr>
            <w:pStyle w:val="5"/>
            <w:tabs>
              <w:tab w:val="right" w:leader="dot" w:pos="9638"/>
            </w:tabs>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_Toc227074502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1.3.2 Business Level Strategy</w:t>
          </w:r>
          <w:r>
            <w:rPr>
              <w:b/>
              <w:bCs/>
            </w:rPr>
            <w:tab/>
          </w:r>
          <w:r>
            <w:rPr>
              <w:b/>
              <w:bCs/>
            </w:rPr>
            <w:fldChar w:fldCharType="begin"/>
          </w:r>
          <w:r>
            <w:rPr>
              <w:b/>
              <w:bCs/>
            </w:rPr>
            <w:instrText xml:space="preserve"> PAGEREF _Toc227074502 </w:instrText>
          </w:r>
          <w:r>
            <w:rPr>
              <w:b/>
              <w:bCs/>
            </w:rPr>
            <w:fldChar w:fldCharType="separate"/>
          </w:r>
          <w:r>
            <w:rPr>
              <w:b/>
              <w:bCs/>
            </w:rPr>
            <w:t>3</w:t>
          </w:r>
          <w:r>
            <w:rPr>
              <w:b/>
              <w:bCs/>
            </w:rPr>
            <w:fldChar w:fldCharType="end"/>
          </w:r>
          <w:r>
            <w:rPr>
              <w:rFonts w:hint="default" w:ascii="Times New Roman" w:hAnsi="Times New Roman" w:cs="Times New Roman"/>
              <w:b/>
              <w:bCs/>
              <w:szCs w:val="24"/>
            </w:rPr>
            <w:fldChar w:fldCharType="end"/>
          </w:r>
        </w:p>
        <w:p>
          <w:pPr>
            <w:pStyle w:val="5"/>
            <w:tabs>
              <w:tab w:val="right" w:leader="dot" w:pos="9638"/>
            </w:tabs>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_Toc362714395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1.3.3 Competitive Advantage</w:t>
          </w:r>
          <w:r>
            <w:rPr>
              <w:b/>
              <w:bCs/>
            </w:rPr>
            <w:tab/>
          </w:r>
          <w:r>
            <w:rPr>
              <w:b/>
              <w:bCs/>
            </w:rPr>
            <w:fldChar w:fldCharType="begin"/>
          </w:r>
          <w:r>
            <w:rPr>
              <w:b/>
              <w:bCs/>
            </w:rPr>
            <w:instrText xml:space="preserve"> PAGEREF _Toc362714395 </w:instrText>
          </w:r>
          <w:r>
            <w:rPr>
              <w:b/>
              <w:bCs/>
            </w:rPr>
            <w:fldChar w:fldCharType="separate"/>
          </w:r>
          <w:r>
            <w:rPr>
              <w:b/>
              <w:bCs/>
            </w:rPr>
            <w:t>3</w:t>
          </w:r>
          <w:r>
            <w:rPr>
              <w:b/>
              <w:bCs/>
            </w:rPr>
            <w:fldChar w:fldCharType="end"/>
          </w:r>
          <w:r>
            <w:rPr>
              <w:rFonts w:hint="default" w:ascii="Times New Roman" w:hAnsi="Times New Roman" w:cs="Times New Roman"/>
              <w:b/>
              <w:bCs/>
              <w:szCs w:val="24"/>
            </w:rPr>
            <w:fldChar w:fldCharType="end"/>
          </w:r>
        </w:p>
        <w:p>
          <w:pPr>
            <w:pStyle w:val="5"/>
            <w:tabs>
              <w:tab w:val="right" w:leader="dot" w:pos="9638"/>
            </w:tabs>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_Toc1582246579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1.3.4 Porter’s Generic Strategies</w:t>
          </w:r>
          <w:r>
            <w:rPr>
              <w:b/>
              <w:bCs/>
            </w:rPr>
            <w:tab/>
          </w:r>
          <w:r>
            <w:rPr>
              <w:b/>
              <w:bCs/>
            </w:rPr>
            <w:fldChar w:fldCharType="begin"/>
          </w:r>
          <w:r>
            <w:rPr>
              <w:b/>
              <w:bCs/>
            </w:rPr>
            <w:instrText xml:space="preserve"> PAGEREF _Toc1582246579 </w:instrText>
          </w:r>
          <w:r>
            <w:rPr>
              <w:b/>
              <w:bCs/>
            </w:rPr>
            <w:fldChar w:fldCharType="separate"/>
          </w:r>
          <w:r>
            <w:rPr>
              <w:b/>
              <w:bCs/>
            </w:rPr>
            <w:t>3</w:t>
          </w:r>
          <w:r>
            <w:rPr>
              <w:b/>
              <w:bCs/>
            </w:rPr>
            <w:fldChar w:fldCharType="end"/>
          </w:r>
          <w:r>
            <w:rPr>
              <w:rFonts w:hint="default" w:ascii="Times New Roman" w:hAnsi="Times New Roman" w:cs="Times New Roman"/>
              <w:b/>
              <w:bCs/>
              <w:szCs w:val="24"/>
            </w:rPr>
            <w:fldChar w:fldCharType="end"/>
          </w:r>
        </w:p>
        <w:p>
          <w:pPr>
            <w:pStyle w:val="8"/>
            <w:tabs>
              <w:tab w:val="right" w:leader="dot" w:pos="9638"/>
            </w:tabs>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_Toc528252452 </w:instrText>
          </w:r>
          <w:r>
            <w:rPr>
              <w:rFonts w:hint="default" w:ascii="Times New Roman" w:hAnsi="Times New Roman" w:cs="Times New Roman"/>
              <w:b/>
              <w:bCs/>
              <w:szCs w:val="24"/>
            </w:rPr>
            <w:fldChar w:fldCharType="separate"/>
          </w:r>
          <w:r>
            <w:rPr>
              <w:rFonts w:hint="default" w:ascii="Times New Roman" w:hAnsi="Times New Roman" w:cs="Times New Roman"/>
              <w:b/>
              <w:bCs/>
              <w:szCs w:val="28"/>
            </w:rPr>
            <w:t>2.0 MAIN BODY</w:t>
          </w:r>
          <w:r>
            <w:rPr>
              <w:b/>
              <w:bCs/>
            </w:rPr>
            <w:tab/>
          </w:r>
          <w:r>
            <w:rPr>
              <w:b/>
              <w:bCs/>
            </w:rPr>
            <w:fldChar w:fldCharType="begin"/>
          </w:r>
          <w:r>
            <w:rPr>
              <w:b/>
              <w:bCs/>
            </w:rPr>
            <w:instrText xml:space="preserve"> PAGEREF _Toc528252452 </w:instrText>
          </w:r>
          <w:r>
            <w:rPr>
              <w:b/>
              <w:bCs/>
            </w:rPr>
            <w:fldChar w:fldCharType="separate"/>
          </w:r>
          <w:r>
            <w:rPr>
              <w:b/>
              <w:bCs/>
            </w:rPr>
            <w:t>5</w:t>
          </w:r>
          <w:r>
            <w:rPr>
              <w:b/>
              <w:bCs/>
            </w:rPr>
            <w:fldChar w:fldCharType="end"/>
          </w:r>
          <w:r>
            <w:rPr>
              <w:rFonts w:hint="default" w:ascii="Times New Roman" w:hAnsi="Times New Roman" w:cs="Times New Roman"/>
              <w:b/>
              <w:bCs/>
              <w:szCs w:val="24"/>
            </w:rPr>
            <w:fldChar w:fldCharType="end"/>
          </w:r>
        </w:p>
        <w:p>
          <w:pPr>
            <w:pStyle w:val="9"/>
            <w:tabs>
              <w:tab w:val="right" w:leader="dot" w:pos="9638"/>
            </w:tabs>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_Toc641564066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2.1 IMPLEMENTATION OF COST LEADERSHIP STRATEGY</w:t>
          </w:r>
          <w:r>
            <w:rPr>
              <w:b/>
              <w:bCs/>
            </w:rPr>
            <w:tab/>
          </w:r>
          <w:r>
            <w:rPr>
              <w:b/>
              <w:bCs/>
            </w:rPr>
            <w:fldChar w:fldCharType="begin"/>
          </w:r>
          <w:r>
            <w:rPr>
              <w:b/>
              <w:bCs/>
            </w:rPr>
            <w:instrText xml:space="preserve"> PAGEREF _Toc641564066 </w:instrText>
          </w:r>
          <w:r>
            <w:rPr>
              <w:b/>
              <w:bCs/>
            </w:rPr>
            <w:fldChar w:fldCharType="separate"/>
          </w:r>
          <w:r>
            <w:rPr>
              <w:b/>
              <w:bCs/>
            </w:rPr>
            <w:t>5</w:t>
          </w:r>
          <w:r>
            <w:rPr>
              <w:b/>
              <w:bCs/>
            </w:rPr>
            <w:fldChar w:fldCharType="end"/>
          </w:r>
          <w:r>
            <w:rPr>
              <w:rFonts w:hint="default" w:ascii="Times New Roman" w:hAnsi="Times New Roman" w:cs="Times New Roman"/>
              <w:b/>
              <w:bCs/>
              <w:szCs w:val="24"/>
            </w:rPr>
            <w:fldChar w:fldCharType="end"/>
          </w:r>
        </w:p>
        <w:p>
          <w:pPr>
            <w:pStyle w:val="5"/>
            <w:tabs>
              <w:tab w:val="right" w:leader="dot" w:pos="9638"/>
            </w:tabs>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_Toc251865675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2.1.1 Strict Measures of Cost Minimization</w:t>
          </w:r>
          <w:r>
            <w:rPr>
              <w:b/>
              <w:bCs/>
            </w:rPr>
            <w:tab/>
          </w:r>
          <w:r>
            <w:rPr>
              <w:b/>
              <w:bCs/>
            </w:rPr>
            <w:fldChar w:fldCharType="begin"/>
          </w:r>
          <w:r>
            <w:rPr>
              <w:b/>
              <w:bCs/>
            </w:rPr>
            <w:instrText xml:space="preserve"> PAGEREF _Toc251865675 </w:instrText>
          </w:r>
          <w:r>
            <w:rPr>
              <w:b/>
              <w:bCs/>
            </w:rPr>
            <w:fldChar w:fldCharType="separate"/>
          </w:r>
          <w:r>
            <w:rPr>
              <w:b/>
              <w:bCs/>
            </w:rPr>
            <w:t>5</w:t>
          </w:r>
          <w:r>
            <w:rPr>
              <w:b/>
              <w:bCs/>
            </w:rPr>
            <w:fldChar w:fldCharType="end"/>
          </w:r>
          <w:r>
            <w:rPr>
              <w:rFonts w:hint="default" w:ascii="Times New Roman" w:hAnsi="Times New Roman" w:cs="Times New Roman"/>
              <w:b/>
              <w:bCs/>
              <w:szCs w:val="24"/>
            </w:rPr>
            <w:fldChar w:fldCharType="end"/>
          </w:r>
        </w:p>
        <w:p>
          <w:pPr>
            <w:pStyle w:val="5"/>
            <w:tabs>
              <w:tab w:val="right" w:leader="dot" w:pos="9638"/>
            </w:tabs>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_Toc416131488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2.1.2 Increasing Economies of Scale</w:t>
          </w:r>
          <w:r>
            <w:rPr>
              <w:b/>
              <w:bCs/>
            </w:rPr>
            <w:tab/>
          </w:r>
          <w:r>
            <w:rPr>
              <w:b/>
              <w:bCs/>
            </w:rPr>
            <w:fldChar w:fldCharType="begin"/>
          </w:r>
          <w:r>
            <w:rPr>
              <w:b/>
              <w:bCs/>
            </w:rPr>
            <w:instrText xml:space="preserve"> PAGEREF _Toc416131488 </w:instrText>
          </w:r>
          <w:r>
            <w:rPr>
              <w:b/>
              <w:bCs/>
            </w:rPr>
            <w:fldChar w:fldCharType="separate"/>
          </w:r>
          <w:r>
            <w:rPr>
              <w:b/>
              <w:bCs/>
            </w:rPr>
            <w:t>6</w:t>
          </w:r>
          <w:r>
            <w:rPr>
              <w:b/>
              <w:bCs/>
            </w:rPr>
            <w:fldChar w:fldCharType="end"/>
          </w:r>
          <w:r>
            <w:rPr>
              <w:rFonts w:hint="default" w:ascii="Times New Roman" w:hAnsi="Times New Roman" w:cs="Times New Roman"/>
              <w:b/>
              <w:bCs/>
              <w:szCs w:val="24"/>
            </w:rPr>
            <w:fldChar w:fldCharType="end"/>
          </w:r>
        </w:p>
        <w:p>
          <w:pPr>
            <w:pStyle w:val="5"/>
            <w:tabs>
              <w:tab w:val="right" w:leader="dot" w:pos="9638"/>
            </w:tabs>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_Toc1715164184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2.1.3 Optimizing Purchasing and Logistics</w:t>
          </w:r>
          <w:r>
            <w:rPr>
              <w:b/>
              <w:bCs/>
            </w:rPr>
            <w:tab/>
          </w:r>
          <w:r>
            <w:rPr>
              <w:b/>
              <w:bCs/>
            </w:rPr>
            <w:fldChar w:fldCharType="begin"/>
          </w:r>
          <w:r>
            <w:rPr>
              <w:b/>
              <w:bCs/>
            </w:rPr>
            <w:instrText xml:space="preserve"> PAGEREF _Toc1715164184 </w:instrText>
          </w:r>
          <w:r>
            <w:rPr>
              <w:b/>
              <w:bCs/>
            </w:rPr>
            <w:fldChar w:fldCharType="separate"/>
          </w:r>
          <w:r>
            <w:rPr>
              <w:b/>
              <w:bCs/>
            </w:rPr>
            <w:t>6</w:t>
          </w:r>
          <w:r>
            <w:rPr>
              <w:b/>
              <w:bCs/>
            </w:rPr>
            <w:fldChar w:fldCharType="end"/>
          </w:r>
          <w:r>
            <w:rPr>
              <w:rFonts w:hint="default" w:ascii="Times New Roman" w:hAnsi="Times New Roman" w:cs="Times New Roman"/>
              <w:b/>
              <w:bCs/>
              <w:szCs w:val="24"/>
            </w:rPr>
            <w:fldChar w:fldCharType="end"/>
          </w:r>
        </w:p>
        <w:p>
          <w:pPr>
            <w:pStyle w:val="9"/>
            <w:tabs>
              <w:tab w:val="right" w:leader="dot" w:pos="9638"/>
            </w:tabs>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_Toc1091446807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2.2 ADVANTAGES AND DISADVANTAGES OF COST LEADERSHIP STRATEGY</w:t>
          </w:r>
          <w:r>
            <w:rPr>
              <w:b/>
              <w:bCs/>
            </w:rPr>
            <w:tab/>
          </w:r>
          <w:r>
            <w:rPr>
              <w:b/>
              <w:bCs/>
            </w:rPr>
            <w:fldChar w:fldCharType="begin"/>
          </w:r>
          <w:r>
            <w:rPr>
              <w:b/>
              <w:bCs/>
            </w:rPr>
            <w:instrText xml:space="preserve"> PAGEREF _Toc1091446807 </w:instrText>
          </w:r>
          <w:r>
            <w:rPr>
              <w:b/>
              <w:bCs/>
            </w:rPr>
            <w:fldChar w:fldCharType="separate"/>
          </w:r>
          <w:r>
            <w:rPr>
              <w:b/>
              <w:bCs/>
            </w:rPr>
            <w:t>7</w:t>
          </w:r>
          <w:r>
            <w:rPr>
              <w:b/>
              <w:bCs/>
            </w:rPr>
            <w:fldChar w:fldCharType="end"/>
          </w:r>
          <w:r>
            <w:rPr>
              <w:rFonts w:hint="default" w:ascii="Times New Roman" w:hAnsi="Times New Roman" w:cs="Times New Roman"/>
              <w:b/>
              <w:bCs/>
              <w:szCs w:val="24"/>
            </w:rPr>
            <w:fldChar w:fldCharType="end"/>
          </w:r>
        </w:p>
        <w:p>
          <w:pPr>
            <w:pStyle w:val="9"/>
            <w:tabs>
              <w:tab w:val="right" w:leader="dot" w:pos="9638"/>
            </w:tabs>
            <w:ind w:firstLine="420" w:firstLineChars="200"/>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_Toc141172575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2.2.1 ADVANTAGES</w:t>
          </w:r>
          <w:r>
            <w:rPr>
              <w:b/>
              <w:bCs/>
            </w:rPr>
            <w:tab/>
          </w:r>
          <w:r>
            <w:rPr>
              <w:b/>
              <w:bCs/>
            </w:rPr>
            <w:fldChar w:fldCharType="begin"/>
          </w:r>
          <w:r>
            <w:rPr>
              <w:b/>
              <w:bCs/>
            </w:rPr>
            <w:instrText xml:space="preserve"> PAGEREF _Toc141172575 </w:instrText>
          </w:r>
          <w:r>
            <w:rPr>
              <w:b/>
              <w:bCs/>
            </w:rPr>
            <w:fldChar w:fldCharType="separate"/>
          </w:r>
          <w:r>
            <w:rPr>
              <w:b/>
              <w:bCs/>
            </w:rPr>
            <w:t>7</w:t>
          </w:r>
          <w:r>
            <w:rPr>
              <w:b/>
              <w:bCs/>
            </w:rPr>
            <w:fldChar w:fldCharType="end"/>
          </w:r>
          <w:r>
            <w:rPr>
              <w:rFonts w:hint="default" w:ascii="Times New Roman" w:hAnsi="Times New Roman" w:cs="Times New Roman"/>
              <w:b/>
              <w:bCs/>
              <w:szCs w:val="24"/>
            </w:rPr>
            <w:fldChar w:fldCharType="end"/>
          </w:r>
        </w:p>
        <w:p>
          <w:pPr>
            <w:pStyle w:val="5"/>
            <w:tabs>
              <w:tab w:val="right" w:leader="dot" w:pos="9638"/>
            </w:tabs>
            <w:ind w:firstLine="210" w:firstLineChars="100"/>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_Toc1865521737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1) Forming an Entry Barrier</w:t>
          </w:r>
          <w:r>
            <w:rPr>
              <w:b/>
              <w:bCs/>
            </w:rPr>
            <w:tab/>
          </w:r>
          <w:r>
            <w:rPr>
              <w:b/>
              <w:bCs/>
            </w:rPr>
            <w:fldChar w:fldCharType="begin"/>
          </w:r>
          <w:r>
            <w:rPr>
              <w:b/>
              <w:bCs/>
            </w:rPr>
            <w:instrText xml:space="preserve"> PAGEREF _Toc1865521737 </w:instrText>
          </w:r>
          <w:r>
            <w:rPr>
              <w:b/>
              <w:bCs/>
            </w:rPr>
            <w:fldChar w:fldCharType="separate"/>
          </w:r>
          <w:r>
            <w:rPr>
              <w:b/>
              <w:bCs/>
            </w:rPr>
            <w:t>7</w:t>
          </w:r>
          <w:r>
            <w:rPr>
              <w:b/>
              <w:bCs/>
            </w:rPr>
            <w:fldChar w:fldCharType="end"/>
          </w:r>
          <w:r>
            <w:rPr>
              <w:rFonts w:hint="default" w:ascii="Times New Roman" w:hAnsi="Times New Roman" w:cs="Times New Roman"/>
              <w:b/>
              <w:bCs/>
              <w:szCs w:val="24"/>
            </w:rPr>
            <w:fldChar w:fldCharType="end"/>
          </w:r>
        </w:p>
        <w:p>
          <w:pPr>
            <w:pStyle w:val="5"/>
            <w:tabs>
              <w:tab w:val="right" w:leader="dot" w:pos="9638"/>
            </w:tabs>
            <w:ind w:firstLine="210" w:firstLineChars="100"/>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_Toc562587559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2) Ability to outperform rivals</w:t>
          </w:r>
          <w:r>
            <w:rPr>
              <w:b/>
              <w:bCs/>
            </w:rPr>
            <w:tab/>
          </w:r>
          <w:r>
            <w:rPr>
              <w:b/>
              <w:bCs/>
            </w:rPr>
            <w:fldChar w:fldCharType="begin"/>
          </w:r>
          <w:r>
            <w:rPr>
              <w:b/>
              <w:bCs/>
            </w:rPr>
            <w:instrText xml:space="preserve"> PAGEREF _Toc562587559 </w:instrText>
          </w:r>
          <w:r>
            <w:rPr>
              <w:b/>
              <w:bCs/>
            </w:rPr>
            <w:fldChar w:fldCharType="separate"/>
          </w:r>
          <w:r>
            <w:rPr>
              <w:b/>
              <w:bCs/>
            </w:rPr>
            <w:t>7</w:t>
          </w:r>
          <w:r>
            <w:rPr>
              <w:b/>
              <w:bCs/>
            </w:rPr>
            <w:fldChar w:fldCharType="end"/>
          </w:r>
          <w:r>
            <w:rPr>
              <w:rFonts w:hint="default" w:ascii="Times New Roman" w:hAnsi="Times New Roman" w:cs="Times New Roman"/>
              <w:b/>
              <w:bCs/>
              <w:szCs w:val="24"/>
            </w:rPr>
            <w:fldChar w:fldCharType="end"/>
          </w:r>
        </w:p>
        <w:p>
          <w:pPr>
            <w:pStyle w:val="9"/>
            <w:tabs>
              <w:tab w:val="right" w:leader="dot" w:pos="9638"/>
            </w:tabs>
            <w:ind w:firstLine="420" w:firstLineChars="200"/>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_Toc38606372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2.2.2 DISADVANTAGES</w:t>
          </w:r>
          <w:r>
            <w:rPr>
              <w:b/>
              <w:bCs/>
            </w:rPr>
            <w:tab/>
          </w:r>
          <w:r>
            <w:rPr>
              <w:b/>
              <w:bCs/>
            </w:rPr>
            <w:fldChar w:fldCharType="begin"/>
          </w:r>
          <w:r>
            <w:rPr>
              <w:b/>
              <w:bCs/>
            </w:rPr>
            <w:instrText xml:space="preserve"> PAGEREF _Toc38606372 </w:instrText>
          </w:r>
          <w:r>
            <w:rPr>
              <w:b/>
              <w:bCs/>
            </w:rPr>
            <w:fldChar w:fldCharType="separate"/>
          </w:r>
          <w:r>
            <w:rPr>
              <w:b/>
              <w:bCs/>
            </w:rPr>
            <w:t>8</w:t>
          </w:r>
          <w:r>
            <w:rPr>
              <w:b/>
              <w:bCs/>
            </w:rPr>
            <w:fldChar w:fldCharType="end"/>
          </w:r>
          <w:r>
            <w:rPr>
              <w:rFonts w:hint="default" w:ascii="Times New Roman" w:hAnsi="Times New Roman" w:cs="Times New Roman"/>
              <w:b/>
              <w:bCs/>
              <w:szCs w:val="24"/>
            </w:rPr>
            <w:fldChar w:fldCharType="end"/>
          </w:r>
        </w:p>
        <w:p>
          <w:pPr>
            <w:pStyle w:val="5"/>
            <w:tabs>
              <w:tab w:val="right" w:leader="dot" w:pos="9638"/>
            </w:tabs>
            <w:ind w:firstLine="210" w:firstLineChars="100"/>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_Toc317232810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1) Negative Reputation</w:t>
          </w:r>
          <w:r>
            <w:rPr>
              <w:b/>
              <w:bCs/>
            </w:rPr>
            <w:tab/>
          </w:r>
          <w:r>
            <w:rPr>
              <w:b/>
              <w:bCs/>
            </w:rPr>
            <w:fldChar w:fldCharType="begin"/>
          </w:r>
          <w:r>
            <w:rPr>
              <w:b/>
              <w:bCs/>
            </w:rPr>
            <w:instrText xml:space="preserve"> PAGEREF _Toc317232810 </w:instrText>
          </w:r>
          <w:r>
            <w:rPr>
              <w:b/>
              <w:bCs/>
            </w:rPr>
            <w:fldChar w:fldCharType="separate"/>
          </w:r>
          <w:r>
            <w:rPr>
              <w:b/>
              <w:bCs/>
            </w:rPr>
            <w:t>8</w:t>
          </w:r>
          <w:r>
            <w:rPr>
              <w:b/>
              <w:bCs/>
            </w:rPr>
            <w:fldChar w:fldCharType="end"/>
          </w:r>
          <w:r>
            <w:rPr>
              <w:rFonts w:hint="default" w:ascii="Times New Roman" w:hAnsi="Times New Roman" w:cs="Times New Roman"/>
              <w:b/>
              <w:bCs/>
              <w:szCs w:val="24"/>
            </w:rPr>
            <w:fldChar w:fldCharType="end"/>
          </w:r>
        </w:p>
        <w:p>
          <w:pPr>
            <w:pStyle w:val="5"/>
            <w:tabs>
              <w:tab w:val="right" w:leader="dot" w:pos="9638"/>
            </w:tabs>
            <w:ind w:firstLine="210" w:firstLineChars="100"/>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_Toc1677425816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2) Lack of Innovation</w:t>
          </w:r>
          <w:r>
            <w:rPr>
              <w:b/>
              <w:bCs/>
            </w:rPr>
            <w:tab/>
          </w:r>
          <w:r>
            <w:rPr>
              <w:b/>
              <w:bCs/>
            </w:rPr>
            <w:fldChar w:fldCharType="begin"/>
          </w:r>
          <w:r>
            <w:rPr>
              <w:b/>
              <w:bCs/>
            </w:rPr>
            <w:instrText xml:space="preserve"> PAGEREF _Toc1677425816 </w:instrText>
          </w:r>
          <w:r>
            <w:rPr>
              <w:b/>
              <w:bCs/>
            </w:rPr>
            <w:fldChar w:fldCharType="separate"/>
          </w:r>
          <w:r>
            <w:rPr>
              <w:b/>
              <w:bCs/>
            </w:rPr>
            <w:t>8</w:t>
          </w:r>
          <w:r>
            <w:rPr>
              <w:b/>
              <w:bCs/>
            </w:rPr>
            <w:fldChar w:fldCharType="end"/>
          </w:r>
          <w:r>
            <w:rPr>
              <w:rFonts w:hint="default" w:ascii="Times New Roman" w:hAnsi="Times New Roman" w:cs="Times New Roman"/>
              <w:b/>
              <w:bCs/>
              <w:szCs w:val="24"/>
            </w:rPr>
            <w:fldChar w:fldCharType="end"/>
          </w:r>
        </w:p>
        <w:p>
          <w:pPr>
            <w:pStyle w:val="5"/>
            <w:tabs>
              <w:tab w:val="right" w:leader="dot" w:pos="9638"/>
            </w:tabs>
            <w:ind w:firstLine="210" w:firstLineChars="100"/>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_Toc330371696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3) Price War</w:t>
          </w:r>
          <w:r>
            <w:rPr>
              <w:b/>
              <w:bCs/>
            </w:rPr>
            <w:tab/>
          </w:r>
          <w:r>
            <w:rPr>
              <w:b/>
              <w:bCs/>
            </w:rPr>
            <w:fldChar w:fldCharType="begin"/>
          </w:r>
          <w:r>
            <w:rPr>
              <w:b/>
              <w:bCs/>
            </w:rPr>
            <w:instrText xml:space="preserve"> PAGEREF _Toc330371696 </w:instrText>
          </w:r>
          <w:r>
            <w:rPr>
              <w:b/>
              <w:bCs/>
            </w:rPr>
            <w:fldChar w:fldCharType="separate"/>
          </w:r>
          <w:r>
            <w:rPr>
              <w:b/>
              <w:bCs/>
            </w:rPr>
            <w:t>9</w:t>
          </w:r>
          <w:r>
            <w:rPr>
              <w:b/>
              <w:bCs/>
            </w:rPr>
            <w:fldChar w:fldCharType="end"/>
          </w:r>
          <w:r>
            <w:rPr>
              <w:rFonts w:hint="default" w:ascii="Times New Roman" w:hAnsi="Times New Roman" w:cs="Times New Roman"/>
              <w:b/>
              <w:bCs/>
              <w:szCs w:val="24"/>
            </w:rPr>
            <w:fldChar w:fldCharType="end"/>
          </w:r>
        </w:p>
        <w:p>
          <w:pPr>
            <w:pStyle w:val="8"/>
            <w:tabs>
              <w:tab w:val="right" w:leader="dot" w:pos="9638"/>
            </w:tabs>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_Toc1311867177 </w:instrText>
          </w:r>
          <w:r>
            <w:rPr>
              <w:rFonts w:hint="default" w:ascii="Times New Roman" w:hAnsi="Times New Roman" w:cs="Times New Roman"/>
              <w:b/>
              <w:bCs/>
              <w:szCs w:val="24"/>
            </w:rPr>
            <w:fldChar w:fldCharType="separate"/>
          </w:r>
          <w:r>
            <w:rPr>
              <w:rFonts w:hint="default" w:ascii="Times New Roman" w:hAnsi="Times New Roman" w:cs="Times New Roman"/>
              <w:b/>
              <w:bCs/>
              <w:szCs w:val="28"/>
            </w:rPr>
            <w:t>3.0 CONCLUSION</w:t>
          </w:r>
          <w:r>
            <w:rPr>
              <w:b/>
              <w:bCs/>
            </w:rPr>
            <w:tab/>
          </w:r>
          <w:r>
            <w:rPr>
              <w:b/>
              <w:bCs/>
            </w:rPr>
            <w:fldChar w:fldCharType="begin"/>
          </w:r>
          <w:r>
            <w:rPr>
              <w:b/>
              <w:bCs/>
            </w:rPr>
            <w:instrText xml:space="preserve"> PAGEREF _Toc1311867177 </w:instrText>
          </w:r>
          <w:r>
            <w:rPr>
              <w:b/>
              <w:bCs/>
            </w:rPr>
            <w:fldChar w:fldCharType="separate"/>
          </w:r>
          <w:r>
            <w:rPr>
              <w:b/>
              <w:bCs/>
            </w:rPr>
            <w:t>10</w:t>
          </w:r>
          <w:r>
            <w:rPr>
              <w:b/>
              <w:bCs/>
            </w:rPr>
            <w:fldChar w:fldCharType="end"/>
          </w:r>
          <w:r>
            <w:rPr>
              <w:rFonts w:hint="default" w:ascii="Times New Roman" w:hAnsi="Times New Roman" w:cs="Times New Roman"/>
              <w:b/>
              <w:bCs/>
              <w:szCs w:val="24"/>
            </w:rPr>
            <w:fldChar w:fldCharType="end"/>
          </w:r>
        </w:p>
        <w:p>
          <w:pPr>
            <w:pStyle w:val="8"/>
            <w:tabs>
              <w:tab w:val="right" w:leader="dot" w:pos="9638"/>
            </w:tabs>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_Toc337040090 </w:instrText>
          </w:r>
          <w:r>
            <w:rPr>
              <w:rFonts w:hint="default" w:ascii="Times New Roman" w:hAnsi="Times New Roman" w:cs="Times New Roman"/>
              <w:b/>
              <w:bCs/>
              <w:szCs w:val="24"/>
            </w:rPr>
            <w:fldChar w:fldCharType="separate"/>
          </w:r>
          <w:r>
            <w:rPr>
              <w:rFonts w:hint="default" w:ascii="Times New Roman" w:hAnsi="Times New Roman" w:cs="Times New Roman"/>
              <w:b/>
              <w:bCs/>
              <w:szCs w:val="28"/>
            </w:rPr>
            <w:t>4.0 RECOMMENDATIONS</w:t>
          </w:r>
          <w:r>
            <w:rPr>
              <w:b/>
              <w:bCs/>
            </w:rPr>
            <w:tab/>
          </w:r>
          <w:r>
            <w:rPr>
              <w:b/>
              <w:bCs/>
            </w:rPr>
            <w:fldChar w:fldCharType="begin"/>
          </w:r>
          <w:r>
            <w:rPr>
              <w:b/>
              <w:bCs/>
            </w:rPr>
            <w:instrText xml:space="preserve"> PAGEREF _Toc337040090 </w:instrText>
          </w:r>
          <w:r>
            <w:rPr>
              <w:b/>
              <w:bCs/>
            </w:rPr>
            <w:fldChar w:fldCharType="separate"/>
          </w:r>
          <w:r>
            <w:rPr>
              <w:b/>
              <w:bCs/>
            </w:rPr>
            <w:t>11</w:t>
          </w:r>
          <w:r>
            <w:rPr>
              <w:b/>
              <w:bCs/>
            </w:rPr>
            <w:fldChar w:fldCharType="end"/>
          </w:r>
          <w:r>
            <w:rPr>
              <w:rFonts w:hint="default" w:ascii="Times New Roman" w:hAnsi="Times New Roman" w:cs="Times New Roman"/>
              <w:b/>
              <w:bCs/>
              <w:szCs w:val="24"/>
            </w:rPr>
            <w:fldChar w:fldCharType="end"/>
          </w:r>
        </w:p>
        <w:p>
          <w:pPr>
            <w:pStyle w:val="5"/>
            <w:tabs>
              <w:tab w:val="right" w:leader="dot" w:pos="9638"/>
            </w:tabs>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_Toc1718415491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Ecological Capital Investment</w:t>
          </w:r>
          <w:r>
            <w:rPr>
              <w:b/>
              <w:bCs/>
            </w:rPr>
            <w:tab/>
          </w:r>
          <w:r>
            <w:rPr>
              <w:b/>
              <w:bCs/>
            </w:rPr>
            <w:fldChar w:fldCharType="begin"/>
          </w:r>
          <w:r>
            <w:rPr>
              <w:b/>
              <w:bCs/>
            </w:rPr>
            <w:instrText xml:space="preserve"> PAGEREF _Toc1718415491 </w:instrText>
          </w:r>
          <w:r>
            <w:rPr>
              <w:b/>
              <w:bCs/>
            </w:rPr>
            <w:fldChar w:fldCharType="separate"/>
          </w:r>
          <w:r>
            <w:rPr>
              <w:b/>
              <w:bCs/>
            </w:rPr>
            <w:t>11</w:t>
          </w:r>
          <w:r>
            <w:rPr>
              <w:b/>
              <w:bCs/>
            </w:rPr>
            <w:fldChar w:fldCharType="end"/>
          </w:r>
          <w:r>
            <w:rPr>
              <w:rFonts w:hint="default" w:ascii="Times New Roman" w:hAnsi="Times New Roman" w:cs="Times New Roman"/>
              <w:b/>
              <w:bCs/>
              <w:szCs w:val="24"/>
            </w:rPr>
            <w:fldChar w:fldCharType="end"/>
          </w:r>
        </w:p>
        <w:p>
          <w:pPr>
            <w:pStyle w:val="5"/>
            <w:tabs>
              <w:tab w:val="right" w:leader="dot" w:pos="9638"/>
            </w:tabs>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_Toc2049072381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Balancing Labour Cost with Other Costs</w:t>
          </w:r>
          <w:r>
            <w:rPr>
              <w:b/>
              <w:bCs/>
            </w:rPr>
            <w:tab/>
          </w:r>
          <w:r>
            <w:rPr>
              <w:b/>
              <w:bCs/>
            </w:rPr>
            <w:fldChar w:fldCharType="begin"/>
          </w:r>
          <w:r>
            <w:rPr>
              <w:b/>
              <w:bCs/>
            </w:rPr>
            <w:instrText xml:space="preserve"> PAGEREF _Toc2049072381 </w:instrText>
          </w:r>
          <w:r>
            <w:rPr>
              <w:b/>
              <w:bCs/>
            </w:rPr>
            <w:fldChar w:fldCharType="separate"/>
          </w:r>
          <w:r>
            <w:rPr>
              <w:b/>
              <w:bCs/>
            </w:rPr>
            <w:t>11</w:t>
          </w:r>
          <w:r>
            <w:rPr>
              <w:b/>
              <w:bCs/>
            </w:rPr>
            <w:fldChar w:fldCharType="end"/>
          </w:r>
          <w:r>
            <w:rPr>
              <w:rFonts w:hint="default" w:ascii="Times New Roman" w:hAnsi="Times New Roman" w:cs="Times New Roman"/>
              <w:b/>
              <w:bCs/>
              <w:szCs w:val="24"/>
            </w:rPr>
            <w:fldChar w:fldCharType="end"/>
          </w:r>
        </w:p>
        <w:p>
          <w:pPr>
            <w:pStyle w:val="5"/>
            <w:tabs>
              <w:tab w:val="right" w:leader="dot" w:pos="9638"/>
            </w:tabs>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_Toc1711744175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Utilizing technology</w:t>
          </w:r>
          <w:r>
            <w:rPr>
              <w:b/>
              <w:bCs/>
            </w:rPr>
            <w:tab/>
          </w:r>
          <w:r>
            <w:rPr>
              <w:b/>
              <w:bCs/>
            </w:rPr>
            <w:fldChar w:fldCharType="begin"/>
          </w:r>
          <w:r>
            <w:rPr>
              <w:b/>
              <w:bCs/>
            </w:rPr>
            <w:instrText xml:space="preserve"> PAGEREF _Toc1711744175 </w:instrText>
          </w:r>
          <w:r>
            <w:rPr>
              <w:b/>
              <w:bCs/>
            </w:rPr>
            <w:fldChar w:fldCharType="separate"/>
          </w:r>
          <w:r>
            <w:rPr>
              <w:b/>
              <w:bCs/>
            </w:rPr>
            <w:t>11</w:t>
          </w:r>
          <w:r>
            <w:rPr>
              <w:b/>
              <w:bCs/>
            </w:rPr>
            <w:fldChar w:fldCharType="end"/>
          </w:r>
          <w:r>
            <w:rPr>
              <w:rFonts w:hint="default" w:ascii="Times New Roman" w:hAnsi="Times New Roman" w:cs="Times New Roman"/>
              <w:b/>
              <w:bCs/>
              <w:szCs w:val="24"/>
            </w:rPr>
            <w:fldChar w:fldCharType="end"/>
          </w:r>
        </w:p>
        <w:p>
          <w:pPr>
            <w:pStyle w:val="5"/>
            <w:tabs>
              <w:tab w:val="right" w:leader="dot" w:pos="9638"/>
            </w:tabs>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_Toc1593414013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Developing new product lines</w:t>
          </w:r>
          <w:r>
            <w:rPr>
              <w:b/>
              <w:bCs/>
            </w:rPr>
            <w:tab/>
          </w:r>
          <w:r>
            <w:rPr>
              <w:b/>
              <w:bCs/>
            </w:rPr>
            <w:fldChar w:fldCharType="begin"/>
          </w:r>
          <w:r>
            <w:rPr>
              <w:b/>
              <w:bCs/>
            </w:rPr>
            <w:instrText xml:space="preserve"> PAGEREF _Toc1593414013 </w:instrText>
          </w:r>
          <w:r>
            <w:rPr>
              <w:b/>
              <w:bCs/>
            </w:rPr>
            <w:fldChar w:fldCharType="separate"/>
          </w:r>
          <w:r>
            <w:rPr>
              <w:b/>
              <w:bCs/>
            </w:rPr>
            <w:t>11</w:t>
          </w:r>
          <w:r>
            <w:rPr>
              <w:b/>
              <w:bCs/>
            </w:rPr>
            <w:fldChar w:fldCharType="end"/>
          </w:r>
          <w:r>
            <w:rPr>
              <w:rFonts w:hint="default" w:ascii="Times New Roman" w:hAnsi="Times New Roman" w:cs="Times New Roman"/>
              <w:b/>
              <w:bCs/>
              <w:szCs w:val="24"/>
            </w:rPr>
            <w:fldChar w:fldCharType="end"/>
          </w:r>
        </w:p>
        <w:p>
          <w:pPr>
            <w:pStyle w:val="8"/>
            <w:tabs>
              <w:tab w:val="right" w:leader="dot" w:pos="9638"/>
            </w:tabs>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_Toc1388238401 </w:instrText>
          </w:r>
          <w:r>
            <w:rPr>
              <w:rFonts w:hint="default" w:ascii="Times New Roman" w:hAnsi="Times New Roman" w:cs="Times New Roman"/>
              <w:b/>
              <w:bCs/>
              <w:szCs w:val="24"/>
            </w:rPr>
            <w:fldChar w:fldCharType="separate"/>
          </w:r>
          <w:r>
            <w:rPr>
              <w:rFonts w:hint="default" w:ascii="Times New Roman" w:hAnsi="Times New Roman" w:cs="Times New Roman"/>
              <w:b/>
              <w:bCs/>
              <w:szCs w:val="28"/>
            </w:rPr>
            <w:t>5.0 REFERENCES</w:t>
          </w:r>
          <w:r>
            <w:rPr>
              <w:b/>
              <w:bCs/>
            </w:rPr>
            <w:tab/>
          </w:r>
          <w:r>
            <w:rPr>
              <w:b/>
              <w:bCs/>
            </w:rPr>
            <w:fldChar w:fldCharType="begin"/>
          </w:r>
          <w:r>
            <w:rPr>
              <w:b/>
              <w:bCs/>
            </w:rPr>
            <w:instrText xml:space="preserve"> PAGEREF _Toc1388238401 </w:instrText>
          </w:r>
          <w:r>
            <w:rPr>
              <w:b/>
              <w:bCs/>
            </w:rPr>
            <w:fldChar w:fldCharType="separate"/>
          </w:r>
          <w:r>
            <w:rPr>
              <w:b/>
              <w:bCs/>
            </w:rPr>
            <w:t>12</w:t>
          </w:r>
          <w:r>
            <w:rPr>
              <w:b/>
              <w:bCs/>
            </w:rPr>
            <w:fldChar w:fldCharType="end"/>
          </w:r>
          <w:r>
            <w:rPr>
              <w:rFonts w:hint="default" w:ascii="Times New Roman" w:hAnsi="Times New Roman" w:cs="Times New Roman"/>
              <w:b/>
              <w:bCs/>
              <w:szCs w:val="24"/>
            </w:rPr>
            <w:fldChar w:fldCharType="end"/>
          </w:r>
        </w:p>
        <w:p>
          <w:pPr>
            <w:pStyle w:val="8"/>
            <w:tabs>
              <w:tab w:val="right" w:leader="dot" w:pos="9638"/>
            </w:tabs>
            <w:rPr>
              <w:rFonts w:hint="default" w:ascii="Times New Roman" w:hAnsi="Times New Roman" w:cs="Times New Roman"/>
              <w:b/>
              <w:bCs/>
              <w:szCs w:val="24"/>
            </w:rPr>
          </w:pPr>
        </w:p>
        <w:p>
          <w:pPr>
            <w:pStyle w:val="8"/>
            <w:tabs>
              <w:tab w:val="right" w:leader="dot" w:pos="9638"/>
            </w:tabs>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_Toc1860464599 </w:instrText>
          </w:r>
          <w:r>
            <w:rPr>
              <w:rFonts w:hint="default" w:ascii="Times New Roman" w:hAnsi="Times New Roman" w:cs="Times New Roman"/>
              <w:b/>
              <w:bCs/>
              <w:szCs w:val="24"/>
            </w:rPr>
            <w:fldChar w:fldCharType="separate"/>
          </w:r>
          <w:r>
            <w:rPr>
              <w:rFonts w:hint="default" w:ascii="Times New Roman" w:hAnsi="Times New Roman" w:cs="Times New Roman"/>
              <w:b/>
              <w:bCs/>
              <w:szCs w:val="28"/>
            </w:rPr>
            <w:t>Appendix A - Turnover of Lidl in the United Kingdom (UK) from 2012 to 2018 (million GBP)</w:t>
          </w:r>
          <w:r>
            <w:rPr>
              <w:rFonts w:hint="default" w:ascii="Times New Roman" w:hAnsi="Times New Roman" w:cs="Times New Roman"/>
              <w:b/>
              <w:bCs/>
              <w:szCs w:val="24"/>
            </w:rPr>
            <w:fldChar w:fldCharType="end"/>
          </w:r>
        </w:p>
        <w:p>
          <w:pPr>
            <w:pStyle w:val="8"/>
            <w:tabs>
              <w:tab w:val="right" w:leader="dot" w:pos="9638"/>
            </w:tabs>
            <w:rPr>
              <w:rFonts w:hint="default" w:ascii="Times New Roman" w:hAnsi="Times New Roman" w:cs="Times New Roman"/>
              <w:b/>
              <w:bCs/>
              <w:szCs w:val="28"/>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_Toc1466615073 </w:instrText>
          </w:r>
          <w:r>
            <w:rPr>
              <w:rFonts w:hint="default" w:ascii="Times New Roman" w:hAnsi="Times New Roman" w:cs="Times New Roman"/>
              <w:b/>
              <w:bCs/>
              <w:szCs w:val="24"/>
            </w:rPr>
            <w:fldChar w:fldCharType="separate"/>
          </w:r>
          <w:r>
            <w:rPr>
              <w:rFonts w:hint="default" w:ascii="Times New Roman" w:hAnsi="Times New Roman" w:cs="Times New Roman"/>
              <w:b/>
              <w:bCs/>
              <w:szCs w:val="28"/>
            </w:rPr>
            <w:t>Appendix B - The PESTLE Analysis of Lidl</w:t>
          </w:r>
        </w:p>
        <w:p>
          <w:pPr>
            <w:pStyle w:val="8"/>
            <w:tabs>
              <w:tab w:val="right" w:leader="dot" w:pos="9638"/>
            </w:tabs>
          </w:pPr>
          <w:r>
            <w:rPr>
              <w:rFonts w:hint="default" w:ascii="Times New Roman" w:hAnsi="Times New Roman" w:cs="Times New Roman"/>
              <w:b/>
              <w:bCs/>
              <w:szCs w:val="24"/>
            </w:rPr>
            <w:fldChar w:fldCharType="end"/>
          </w:r>
          <w:r>
            <w:rPr>
              <w:rFonts w:hint="default" w:ascii="Times New Roman" w:hAnsi="Times New Roman" w:cs="Times New Roman"/>
              <w:b/>
              <w:bCs/>
              <w:szCs w:val="24"/>
            </w:rPr>
            <w:t>F</w:t>
          </w:r>
          <w:r>
            <w:rPr>
              <w:rFonts w:hint="default" w:ascii="Times New Roman" w:hAnsi="Times New Roman" w:cs="Times New Roman"/>
              <w:b/>
              <w:bCs/>
              <w:szCs w:val="28"/>
            </w:rPr>
            <w:t xml:space="preserve">igure 1 - </w:t>
          </w:r>
          <w:r>
            <w:rPr>
              <w:rFonts w:hint="default" w:ascii="Times New Roman" w:hAnsi="Times New Roman" w:cs="Times New Roman"/>
              <w:sz w:val="24"/>
              <w:szCs w:val="24"/>
            </w:rPr>
            <w:t>Porter's Generic Strategies</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outlineLvl w:val="9"/>
            <w:rPr>
              <w:rFonts w:hint="default" w:ascii="Times New Roman" w:hAnsi="Times New Roman" w:cs="Times New Roman"/>
              <w:b/>
              <w:bCs/>
              <w:sz w:val="24"/>
              <w:szCs w:val="24"/>
            </w:rPr>
          </w:pPr>
          <w:r>
            <w:rPr>
              <w:rFonts w:hint="default" w:ascii="Times New Roman" w:hAnsi="Times New Roman" w:cs="Times New Roman"/>
              <w:bCs/>
              <w:szCs w:val="24"/>
            </w:rPr>
            <w:fldChar w:fldCharType="end"/>
          </w:r>
          <w:bookmarkStart w:id="31" w:name="_GoBack"/>
          <w:bookmarkEnd w:id="31"/>
        </w:p>
      </w:sdtContent>
    </w:sdt>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sectPr>
          <w:headerReference r:id="rId4" w:type="default"/>
          <w:footerReference r:id="rId5" w:type="default"/>
          <w:pgSz w:w="11906" w:h="16838"/>
          <w:pgMar w:top="1134" w:right="1134" w:bottom="1134" w:left="1134" w:header="851" w:footer="992" w:gutter="0"/>
          <w:pgNumType w:fmt="upperRoman"/>
          <w:cols w:space="0" w:num="1"/>
          <w:rtlGutter w:val="0"/>
          <w:docGrid w:type="lines" w:linePitch="318" w:charSpace="0"/>
        </w:sectPr>
      </w:pPr>
    </w:p>
    <w:p>
      <w:pPr>
        <w:pStyle w:val="2"/>
        <w:bidi w:val="0"/>
        <w:spacing w:line="360" w:lineRule="auto"/>
        <w:rPr>
          <w:rFonts w:hint="default" w:ascii="Times New Roman" w:hAnsi="Times New Roman" w:cs="Times New Roman"/>
          <w:b/>
          <w:bCs/>
          <w:color w:val="FF0000"/>
          <w:sz w:val="24"/>
          <w:szCs w:val="24"/>
        </w:rPr>
      </w:pPr>
      <w:bookmarkStart w:id="0" w:name="_Toc1257770175"/>
      <w:r>
        <w:rPr>
          <w:rFonts w:hint="default" w:ascii="Times New Roman" w:hAnsi="Times New Roman" w:cs="Times New Roman"/>
          <w:sz w:val="28"/>
          <w:szCs w:val="28"/>
        </w:rPr>
        <w:t>EXECUTIVE SUMMARY</w:t>
      </w:r>
      <w:bookmarkEnd w:id="0"/>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This report provides an analysis and evaluation of the competitive strategies of Lidl Stiftung &amp; Co.KG (Lidl), with particular emphasis on the marketing strategy devised by Lidl via Porter’s Generic Strategy.</w:t>
      </w:r>
    </w:p>
    <w:p>
      <w:pPr>
        <w:keepNext w:val="0"/>
        <w:keepLines w:val="0"/>
        <w:pageBreakBefore w:val="0"/>
        <w:widowControl w:val="0"/>
        <w:tabs>
          <w:tab w:val="left" w:pos="8476"/>
        </w:tabs>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Lidl is a German global supermarket, which was designed to provide consumers with the lowest possible price of products. </w:t>
      </w:r>
      <w:r>
        <w:rPr>
          <w:rFonts w:hint="default" w:ascii="Times New Roman" w:hAnsi="Times New Roman" w:cs="Times New Roman"/>
          <w:color w:val="000000" w:themeColor="text1"/>
          <w:sz w:val="24"/>
          <w:szCs w:val="24"/>
          <w14:textFill>
            <w14:solidFill>
              <w14:schemeClr w14:val="tx1"/>
            </w14:solidFill>
          </w14:textFill>
        </w:rPr>
        <w:t>Similar to th</w:t>
      </w:r>
      <w:r>
        <w:rPr>
          <w:rFonts w:hint="default" w:ascii="Times New Roman" w:hAnsi="Times New Roman" w:cs="Times New Roman"/>
          <w:sz w:val="24"/>
          <w:szCs w:val="24"/>
        </w:rPr>
        <w:t>e majority of the discount supermarket chains, Lidl chooses to use cost leadership strategy, which aims to offer discount products to capture more market shares.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The successful implementation of Lidl’s cost leadership strategy has relied heavily on cost cutting, including the labour cost, overhead expenses, and even the packing cost. Furthermore, Lidl has pursued a strategy of controlling the size of stores and using private-label brands in order to reduce the rental costs and the middlemen costs as much as possible.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There are several advantages of the cost leadership strategy, that is, creating a perfect barrier for potential entrants; protecting Lidl from those competitors who want to use the differentiated strategy to gain market shares. However, most of the time, advantages and disadvantages coexist. With Cost Leadership strategy, it is extremely easy to create fierce competition, resulting in a price war. In addition, this strategy makes it difficult for enterprises to establish an image because consumers will judge the quality of products on the basis of price.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pStyle w:val="10"/>
        <w:keepNext w:val="0"/>
        <w:keepLines w:val="0"/>
        <w:widowControl/>
        <w:suppressLineNumbers w:val="0"/>
        <w:bidi w:val="0"/>
        <w:spacing w:before="0" w:beforeAutospacing="0" w:after="0" w:afterAutospacing="0" w:line="240" w:lineRule="auto"/>
        <w:jc w:val="both"/>
        <w:rPr>
          <w:rFonts w:hint="default" w:ascii="Times New Roman" w:hAnsi="Times New Roman" w:eastAsia="-webkit-standard" w:cs="Times New Roman"/>
          <w:i w:val="0"/>
          <w:color w:val="000000"/>
          <w:spacing w:val="0"/>
          <w:sz w:val="24"/>
          <w:szCs w:val="24"/>
          <w:u w:val="none"/>
          <w:vertAlign w:val="baseline"/>
        </w:rPr>
      </w:pPr>
      <w:r>
        <w:rPr>
          <w:rFonts w:hint="default" w:ascii="Times New Roman" w:hAnsi="Times New Roman" w:cs="Times New Roman"/>
          <w:sz w:val="24"/>
          <w:szCs w:val="24"/>
        </w:rPr>
        <w:t>Overall, r</w:t>
      </w:r>
      <w:r>
        <w:rPr>
          <w:rFonts w:hint="default" w:ascii="Times New Roman" w:hAnsi="Times New Roman" w:eastAsia="-webkit-standard" w:cs="Times New Roman"/>
          <w:i w:val="0"/>
          <w:color w:val="000000"/>
          <w:spacing w:val="0"/>
          <w:sz w:val="24"/>
          <w:szCs w:val="24"/>
          <w:u w:val="none"/>
          <w:vertAlign w:val="baseline"/>
        </w:rPr>
        <w:t>ecommendations are:</w:t>
      </w:r>
    </w:p>
    <w:p>
      <w:pPr>
        <w:keepNext w:val="0"/>
        <w:keepLines w:val="0"/>
        <w:pageBreakBefore w:val="0"/>
        <w:widowControl w:val="0"/>
        <w:numPr>
          <w:ilvl w:val="0"/>
          <w:numId w:val="1"/>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Balancing the labour cost with other costs.</w:t>
      </w:r>
    </w:p>
    <w:p>
      <w:pPr>
        <w:keepNext w:val="0"/>
        <w:keepLines w:val="0"/>
        <w:pageBreakBefore w:val="0"/>
        <w:widowControl w:val="0"/>
        <w:numPr>
          <w:ilvl w:val="0"/>
          <w:numId w:val="1"/>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Focus on the sustainable development on the environment.</w:t>
      </w:r>
    </w:p>
    <w:p>
      <w:pPr>
        <w:keepNext w:val="0"/>
        <w:keepLines w:val="0"/>
        <w:pageBreakBefore w:val="0"/>
        <w:widowControl w:val="0"/>
        <w:numPr>
          <w:ilvl w:val="0"/>
          <w:numId w:val="1"/>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Developing new product line.</w:t>
      </w:r>
    </w:p>
    <w:p>
      <w:pPr>
        <w:keepNext w:val="0"/>
        <w:keepLines w:val="0"/>
        <w:pageBreakBefore w:val="0"/>
        <w:widowControl w:val="0"/>
        <w:numPr>
          <w:ilvl w:val="0"/>
          <w:numId w:val="1"/>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Utilizing technology.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sectPr>
          <w:headerReference r:id="rId6" w:type="default"/>
          <w:footerReference r:id="rId7" w:type="default"/>
          <w:pgSz w:w="11906" w:h="16838"/>
          <w:pgMar w:top="1134" w:right="1134" w:bottom="1134" w:left="1134" w:header="851" w:footer="992" w:gutter="0"/>
          <w:pgNumType w:fmt="decimal" w:start="1"/>
          <w:cols w:space="0" w:num="1"/>
          <w:rtlGutter w:val="0"/>
          <w:docGrid w:type="lines" w:linePitch="318" w:charSpace="0"/>
        </w:sectPr>
      </w:pPr>
    </w:p>
    <w:p>
      <w:pPr>
        <w:pStyle w:val="2"/>
        <w:bidi w:val="0"/>
        <w:spacing w:line="360" w:lineRule="auto"/>
        <w:rPr>
          <w:rFonts w:hint="default" w:ascii="Times New Roman" w:hAnsi="Times New Roman" w:cs="Times New Roman"/>
          <w:sz w:val="24"/>
          <w:szCs w:val="24"/>
        </w:rPr>
      </w:pPr>
      <w:bookmarkStart w:id="1" w:name="_Toc1661793804"/>
      <w:r>
        <w:rPr>
          <w:rFonts w:hint="default" w:ascii="Times New Roman" w:hAnsi="Times New Roman" w:cs="Times New Roman"/>
          <w:b/>
          <w:sz w:val="28"/>
          <w:szCs w:val="28"/>
        </w:rPr>
        <w:t>1.0 INTRODUCTION</w:t>
      </w:r>
      <w:bookmarkEnd w:id="1"/>
    </w:p>
    <w:p>
      <w:pPr>
        <w:pStyle w:val="3"/>
        <w:bidi w:val="0"/>
        <w:spacing w:line="360" w:lineRule="auto"/>
        <w:rPr>
          <w:rFonts w:hint="default" w:ascii="Times New Roman" w:hAnsi="Times New Roman" w:cs="Times New Roman"/>
          <w:sz w:val="24"/>
          <w:szCs w:val="24"/>
        </w:rPr>
      </w:pPr>
      <w:bookmarkStart w:id="2" w:name="_Toc1743634593"/>
      <w:r>
        <w:rPr>
          <w:rFonts w:hint="default" w:ascii="Times New Roman" w:hAnsi="Times New Roman" w:cs="Times New Roman"/>
          <w:sz w:val="24"/>
          <w:szCs w:val="24"/>
        </w:rPr>
        <w:t>1.1 REPORT REMIT</w:t>
      </w:r>
      <w:bookmarkEnd w:id="2"/>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This report is based on a market strategy analysis that Lidl uses based on the fact that Lidl continues to lead in the retail industry, including an analysis of Lidl’s selection of Porter’s Generic Strategy, and how it implements the strategy. Following this, the author makes a dialectical judgment on the superiority and disadvantage of the strategy used by Lidl, and then proposes some recommendations for future development.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pStyle w:val="3"/>
        <w:bidi w:val="0"/>
        <w:spacing w:line="360" w:lineRule="auto"/>
        <w:rPr>
          <w:rFonts w:hint="default" w:ascii="Times New Roman" w:hAnsi="Times New Roman" w:cs="Times New Roman"/>
          <w:b/>
          <w:sz w:val="24"/>
          <w:szCs w:val="24"/>
        </w:rPr>
      </w:pPr>
      <w:bookmarkStart w:id="3" w:name="_Toc704757589"/>
      <w:r>
        <w:rPr>
          <w:rFonts w:hint="default" w:ascii="Times New Roman" w:hAnsi="Times New Roman" w:cs="Times New Roman"/>
          <w:b/>
          <w:sz w:val="24"/>
          <w:szCs w:val="24"/>
        </w:rPr>
        <w:t>1.2 BACKGROUND OF LIDL</w:t>
      </w:r>
      <w:bookmarkEnd w:id="3"/>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After Dieter Schwarz's father, Josef Schwarz, died in 1977, Dieter took over Lidl and became Chief Executive (Dawson, 2017). Following this, Lidl was taken over by Jesper Hojer, from February 2013 to April 2015. Jesper Hojer had worked for Lidl for more than a decade before he was appointed Chief Executive of Lidl. Nowadays, Lidl already has 335,000 employees in Europe (Farrell, 2015).</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It’s four years since German discount supermarkets, Lidl, began in earnest its their assault against the Big Four British grocers - Tesco, Morrison, Asda, and Sainsbury (Boyer, 2018). According to the statistics in the Appendix 1, it can be seen that the turnover of Lidl in the UK has increased from 202.7 million GBP to 474.5 million GBP (</w:t>
      </w:r>
      <w:r>
        <w:rPr>
          <w:rFonts w:hint="eastAsia" w:ascii="Times New Roman" w:hAnsi="Times New Roman" w:cs="Times New Roman"/>
          <w:sz w:val="24"/>
          <w:szCs w:val="24"/>
        </w:rPr>
        <w:t>Statista</w:t>
      </w:r>
      <w:r>
        <w:rPr>
          <w:rFonts w:hint="default" w:ascii="Times New Roman" w:hAnsi="Times New Roman" w:cs="Times New Roman"/>
          <w:sz w:val="24"/>
          <w:szCs w:val="24"/>
        </w:rPr>
        <w:t xml:space="preserve">.com, </w:t>
      </w:r>
      <w:r>
        <w:rPr>
          <w:rFonts w:hint="eastAsia" w:ascii="Times New Roman" w:hAnsi="Times New Roman" w:cs="Times New Roman"/>
          <w:sz w:val="24"/>
          <w:szCs w:val="24"/>
        </w:rPr>
        <w:t>2019</w:t>
      </w:r>
      <w:r>
        <w:rPr>
          <w:rFonts w:hint="default" w:ascii="Times New Roman" w:hAnsi="Times New Roman" w:cs="Times New Roman"/>
          <w:sz w:val="24"/>
          <w:szCs w:val="24"/>
        </w:rPr>
        <w: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Lidl has long been committed to providing consumers with chea</w:t>
      </w:r>
      <w:r>
        <w:rPr>
          <w:rFonts w:hint="default" w:ascii="Times New Roman" w:hAnsi="Times New Roman" w:cs="Times New Roman"/>
          <w:sz w:val="24"/>
          <w:szCs w:val="24"/>
          <w:highlight w:val="none"/>
        </w:rPr>
        <w:t>p goods,</w:t>
      </w:r>
      <w:r>
        <w:rPr>
          <w:rFonts w:hint="default" w:ascii="Times New Roman" w:hAnsi="Times New Roman" w:cs="Times New Roman"/>
          <w:sz w:val="24"/>
          <w:szCs w:val="24"/>
        </w:rPr>
        <w:t xml:space="preserve"> with the mission of continuously improving customer satisfaction by optimizing the operation of the enterprise, whilst being able to contribute to society (Lidl’s Official Website, 2019).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There is a survey conducted by Hanbury which figures the price in Lidl is 9% cheaper than Wel Mart (Hitesh, 2019). and the prices generally in Lidl are 30%-50% lower than other grocery stores (The Economist, 2015).</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pStyle w:val="3"/>
        <w:bidi w:val="0"/>
        <w:spacing w:line="360" w:lineRule="auto"/>
        <w:rPr>
          <w:rFonts w:hint="default" w:ascii="Times New Roman" w:hAnsi="Times New Roman" w:cs="Times New Roman"/>
          <w:sz w:val="24"/>
          <w:szCs w:val="24"/>
        </w:rPr>
      </w:pPr>
      <w:bookmarkStart w:id="4" w:name="_Toc1488485118"/>
      <w:r>
        <w:rPr>
          <w:rFonts w:hint="default" w:ascii="Times New Roman" w:hAnsi="Times New Roman" w:cs="Times New Roman"/>
          <w:b/>
          <w:sz w:val="24"/>
          <w:szCs w:val="24"/>
        </w:rPr>
        <w:t>1.3 DEFINITIONS OF MAJOR CONCEPTS</w:t>
      </w:r>
      <w:bookmarkEnd w:id="4"/>
    </w:p>
    <w:p>
      <w:pPr>
        <w:pStyle w:val="4"/>
        <w:bidi w:val="0"/>
        <w:spacing w:line="360" w:lineRule="auto"/>
        <w:rPr>
          <w:rFonts w:hint="default" w:ascii="Times New Roman" w:hAnsi="Times New Roman" w:cs="Times New Roman"/>
          <w:sz w:val="24"/>
          <w:szCs w:val="24"/>
        </w:rPr>
      </w:pPr>
      <w:bookmarkStart w:id="5" w:name="_Toc932374323"/>
      <w:r>
        <w:rPr>
          <w:rFonts w:hint="default" w:ascii="Times New Roman" w:hAnsi="Times New Roman" w:cs="Times New Roman"/>
          <w:sz w:val="24"/>
          <w:szCs w:val="24"/>
        </w:rPr>
        <w:t>1.3.1 Strategy</w:t>
      </w:r>
      <w:bookmarkEnd w:id="5"/>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The strategy is usually a way to help people achieve their goals. Charles Doyle (2011) describes market strategy as an enterprise's choice of plan, which includes how to gain a foothold in the target market.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pStyle w:val="4"/>
        <w:bidi w:val="0"/>
        <w:spacing w:line="360" w:lineRule="auto"/>
        <w:rPr>
          <w:rFonts w:hint="default" w:ascii="Times New Roman" w:hAnsi="Times New Roman" w:cs="Times New Roman"/>
          <w:sz w:val="24"/>
          <w:szCs w:val="24"/>
        </w:rPr>
      </w:pPr>
      <w:bookmarkStart w:id="6" w:name="_Toc227074502"/>
      <w:r>
        <w:rPr>
          <w:rFonts w:hint="default" w:ascii="Times New Roman" w:hAnsi="Times New Roman" w:cs="Times New Roman"/>
          <w:sz w:val="24"/>
          <w:szCs w:val="24"/>
        </w:rPr>
        <w:t>1.3.2 Business Level Strategy</w:t>
      </w:r>
      <w:bookmarkEnd w:id="6"/>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Business level strategies detail actions taken to provide value to consumers and gain a competitive advantage by exploiting core competencies in specific, individual product on service market (Grant, 2015).</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pStyle w:val="4"/>
        <w:bidi w:val="0"/>
        <w:spacing w:line="360" w:lineRule="auto"/>
        <w:rPr>
          <w:rFonts w:hint="default" w:ascii="Times New Roman" w:hAnsi="Times New Roman" w:cs="Times New Roman"/>
          <w:sz w:val="24"/>
          <w:szCs w:val="24"/>
        </w:rPr>
      </w:pPr>
      <w:bookmarkStart w:id="7" w:name="_Toc362714395"/>
      <w:r>
        <w:rPr>
          <w:rFonts w:hint="default" w:ascii="Times New Roman" w:hAnsi="Times New Roman" w:cs="Times New Roman"/>
          <w:sz w:val="24"/>
          <w:szCs w:val="24"/>
        </w:rPr>
        <w:t>1.3.3 Competitive Advantage</w:t>
      </w:r>
      <w:bookmarkEnd w:id="7"/>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According to Poter (1980), the competitive advantage refers to the ability of the enterprise to take the strategic offensive or defensive competition in the industry, allowing businesses to successfully respond to a variety of competitive forces. While sustainable competitive advantage refers to the ability of the enterprise to continue to go beyond the competitors. (Nixon et al., 2017)</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pStyle w:val="4"/>
        <w:bidi w:val="0"/>
        <w:spacing w:line="360" w:lineRule="auto"/>
        <w:rPr>
          <w:rFonts w:hint="default" w:ascii="Times New Roman" w:hAnsi="Times New Roman" w:cs="Times New Roman"/>
          <w:sz w:val="24"/>
          <w:szCs w:val="24"/>
        </w:rPr>
      </w:pPr>
      <w:bookmarkStart w:id="8" w:name="_Toc1582246579"/>
      <w:r>
        <w:rPr>
          <w:rFonts w:hint="default" w:ascii="Times New Roman" w:hAnsi="Times New Roman" w:cs="Times New Roman"/>
          <w:sz w:val="24"/>
          <w:szCs w:val="24"/>
        </w:rPr>
        <w:t>1.3.4 Porter’s Generic Strategies</w:t>
      </w:r>
      <w:bookmarkEnd w:id="8"/>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Porter (1980)concludes that companies can adopt five general strategies to maintain a sustainable competitive advantage over their competitors in the industry. These five strategies consist of three basic categories: cost leadership, differentiation and focus, which target broad or narrow market segments (Hanbury, 2017).</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5753100" cy="2531110"/>
            <wp:effectExtent l="0" t="0" r="12700" b="8890"/>
            <wp:docPr id="3" name="图片 3" descr="Porters-generic-strategies-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Porters-generic-strategies-16"/>
                    <pic:cNvPicPr>
                      <a:picLocks noChangeAspect="1"/>
                    </pic:cNvPicPr>
                  </pic:nvPicPr>
                  <pic:blipFill>
                    <a:blip r:embed="rId18"/>
                    <a:stretch>
                      <a:fillRect/>
                    </a:stretch>
                  </pic:blipFill>
                  <pic:spPr>
                    <a:xfrm>
                      <a:off x="0" y="0"/>
                      <a:ext cx="5753100" cy="253111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Figure 1: Porter's Generic Strategies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(Source: ResearchGate.com, 2018)</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Figure 1 shows that cost leadership strategy refers to enterprises trying to reduce the cost of the way to win the favour of customers, using cost control to compete (Spencer, 2015). While differentiation strategy emphasizes the uniqueness of enterprise products or services, cost focus strategy and differentiation focus strategy mean that enterprises put the above two strategies into a smaller market (Niche) to implement.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Lidl uses a cost leadership strategy in Porter's Generic strategy, and a detailed analysis will follow.</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sectPr>
          <w:headerReference r:id="rId8" w:type="default"/>
          <w:pgSz w:w="11906" w:h="16838"/>
          <w:pgMar w:top="1134" w:right="1134" w:bottom="1134" w:left="1134" w:header="851" w:footer="992" w:gutter="0"/>
          <w:pgNumType w:fmt="decimal"/>
          <w:cols w:space="0" w:num="1"/>
          <w:rtlGutter w:val="0"/>
          <w:docGrid w:type="lines" w:linePitch="318" w:charSpace="0"/>
        </w:sectPr>
      </w:pPr>
    </w:p>
    <w:p>
      <w:pPr>
        <w:pStyle w:val="2"/>
        <w:bidi w:val="0"/>
        <w:spacing w:line="360" w:lineRule="auto"/>
        <w:rPr>
          <w:rFonts w:hint="default" w:ascii="Times New Roman" w:hAnsi="Times New Roman" w:cs="Times New Roman"/>
          <w:sz w:val="24"/>
          <w:szCs w:val="24"/>
        </w:rPr>
      </w:pPr>
      <w:bookmarkStart w:id="9" w:name="_Toc528252452"/>
      <w:r>
        <w:rPr>
          <w:rFonts w:hint="default" w:ascii="Times New Roman" w:hAnsi="Times New Roman" w:cs="Times New Roman"/>
          <w:b/>
          <w:sz w:val="28"/>
          <w:szCs w:val="28"/>
        </w:rPr>
        <w:t>2.0 MAIN BODY</w:t>
      </w:r>
      <w:bookmarkEnd w:id="9"/>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Similar to the majority of discounter supermarkets, cost leadership strategy was adopted by Lidl, which aims to offer low-cost products to the customers. Cost leadership strategy occurs via economies of scale, control of overheads and low-cost sources of supply in the overall operating cost (Hashem, Hamid and Samira, 2012). The detailed implementation of strategy including the limitation and the benefit of this strategy will be elaborate as follows.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pStyle w:val="3"/>
        <w:bidi w:val="0"/>
        <w:spacing w:line="360" w:lineRule="auto"/>
        <w:rPr>
          <w:rFonts w:hint="default" w:ascii="Times New Roman" w:hAnsi="Times New Roman" w:cs="Times New Roman"/>
          <w:sz w:val="24"/>
          <w:szCs w:val="24"/>
        </w:rPr>
      </w:pPr>
      <w:bookmarkStart w:id="10" w:name="_Toc641564066"/>
      <w:r>
        <w:rPr>
          <w:rFonts w:hint="default" w:ascii="Times New Roman" w:hAnsi="Times New Roman" w:cs="Times New Roman"/>
          <w:b/>
          <w:sz w:val="24"/>
          <w:szCs w:val="24"/>
        </w:rPr>
        <w:t>2.1 IMPLEMENTATION OF COST LEADERSHIP STRATEGY</w:t>
      </w:r>
      <w:bookmarkEnd w:id="10"/>
    </w:p>
    <w:p>
      <w:pPr>
        <w:pStyle w:val="4"/>
        <w:bidi w:val="0"/>
        <w:spacing w:line="360" w:lineRule="auto"/>
        <w:rPr>
          <w:rFonts w:hint="default" w:ascii="Times New Roman" w:hAnsi="Times New Roman" w:cs="Times New Roman"/>
          <w:b/>
          <w:bCs/>
          <w:sz w:val="24"/>
          <w:szCs w:val="24"/>
        </w:rPr>
      </w:pPr>
      <w:bookmarkStart w:id="11" w:name="_Toc251865675"/>
      <w:r>
        <w:rPr>
          <w:rFonts w:hint="default" w:ascii="Times New Roman" w:hAnsi="Times New Roman" w:cs="Times New Roman"/>
          <w:sz w:val="24"/>
          <w:szCs w:val="24"/>
        </w:rPr>
        <w:t>2.1.1 Strict Measures of Cost Minimization</w:t>
      </w:r>
      <w:bookmarkEnd w:id="11"/>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r>
        <w:rPr>
          <w:rFonts w:hint="default" w:ascii="Times New Roman" w:hAnsi="Times New Roman" w:cs="Times New Roman"/>
          <w:sz w:val="24"/>
          <w:szCs w:val="24"/>
        </w:rPr>
        <w:t>Primarily, the implementation of cost leadership strategy is mainly reflected in cost control, including the overheads, labour cost, and site selection cost. Lidl also do a super job in this field</w:t>
      </w:r>
      <w:r>
        <w:rPr>
          <w:rFonts w:hint="default" w:ascii="Times New Roman" w:hAnsi="Times New Roman" w:cs="Times New Roman"/>
          <w:b w:val="0"/>
          <w:bCs w:val="0"/>
          <w:sz w:val="24"/>
          <w:szCs w:val="24"/>
        </w:rPr>
        <w:t xml:space="preserve"> (Geppert &amp; Pastuh, 2017).</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Specifically, Lidl uses natural light as much as possible to reduce the payment of electricity bills, and the area of the physical store is usually smaller than that of the other big four supermarkets (Valipour, Birhandi &amp; Honarbakhsh, 2012). Besides, Lidl is also excellent in cost control, like choosing private-label brands and simplifying the package of the product, which makes a huge contribution to labour and packing cost saving (Hanbury, 2017).</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However, there are always many complaints from consumers at Lidl, that the range of products available to Lidl is so limited that even if the the prices is cheap, many of the things consumers want to buy cannot be found here </w:t>
      </w:r>
      <w:r>
        <w:rPr>
          <w:rFonts w:hint="default" w:ascii="Times New Roman" w:hAnsi="Times New Roman" w:cs="Times New Roman"/>
          <w:sz w:val="24"/>
          <w:szCs w:val="24"/>
          <w:u w:val="none"/>
        </w:rPr>
        <w:t>(Atherton, 2016)</w:t>
      </w:r>
      <w:r>
        <w:rPr>
          <w:rFonts w:hint="default" w:ascii="Times New Roman" w:hAnsi="Times New Roman" w:cs="Times New Roman"/>
          <w:sz w:val="24"/>
          <w:szCs w:val="24"/>
        </w:rPr>
        <w:t>. That is to say, the cost control makes Lidl have certain restrictions in the choice of importing goods.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keeping labor costs to a minimum makes many employees not only face a high degree of flexibility with lack the incentive to pay bonuses. Under such a heavy workload, leading a result that Lidl had to face a large number of labor disputes </w:t>
      </w:r>
      <w:r>
        <w:rPr>
          <w:rFonts w:hint="default" w:ascii="Times New Roman" w:hAnsi="Times New Roman" w:cs="Times New Roman"/>
          <w:sz w:val="24"/>
          <w:szCs w:val="24"/>
          <w:u w:val="none"/>
        </w:rPr>
        <w:t>(Atherton, 2016)</w:t>
      </w:r>
      <w:r>
        <w:rPr>
          <w:rFonts w:hint="default" w:ascii="Times New Roman" w:hAnsi="Times New Roman" w:cs="Times New Roman"/>
          <w:sz w:val="24"/>
          <w:szCs w:val="24"/>
        </w:rPr>
        <w:t>. Hence, Lidl might need to consider using technology helping reduce labor costs since it is usually the biggest spending area for grocery stores.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pStyle w:val="4"/>
        <w:bidi w:val="0"/>
        <w:spacing w:line="360" w:lineRule="auto"/>
        <w:rPr>
          <w:rFonts w:hint="default" w:ascii="Times New Roman" w:hAnsi="Times New Roman" w:cs="Times New Roman"/>
          <w:sz w:val="24"/>
          <w:szCs w:val="24"/>
          <w:u w:val="none"/>
        </w:rPr>
      </w:pPr>
      <w:bookmarkStart w:id="12" w:name="_Toc416131488"/>
      <w:r>
        <w:rPr>
          <w:rFonts w:hint="default" w:ascii="Times New Roman" w:hAnsi="Times New Roman" w:cs="Times New Roman"/>
          <w:sz w:val="24"/>
          <w:szCs w:val="24"/>
        </w:rPr>
        <w:t>2.1.2 Increasing Economies of Scale</w:t>
      </w:r>
      <w:bookmarkEnd w:id="12"/>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u w:val="none"/>
        </w:rPr>
      </w:pPr>
      <w:r>
        <w:rPr>
          <w:rFonts w:hint="default" w:ascii="Times New Roman" w:hAnsi="Times New Roman" w:cs="Times New Roman"/>
          <w:sz w:val="24"/>
          <w:szCs w:val="24"/>
          <w:u w:val="none"/>
        </w:rPr>
        <w:t>Economies of scale refers to an economic sense when an enterprise purchases a large number of raw materials instead of just enough to buy the quantity needed for production (Chandler &amp; Munday, 2011).</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u w:val="none"/>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u w:val="none"/>
        </w:rPr>
      </w:pPr>
      <w:r>
        <w:rPr>
          <w:rFonts w:hint="default" w:ascii="Times New Roman" w:hAnsi="Times New Roman" w:cs="Times New Roman"/>
          <w:sz w:val="24"/>
          <w:szCs w:val="24"/>
          <w:u w:val="none"/>
        </w:rPr>
        <w:t>Lidl has reached partnership agreements with considerable number of suppliers, such as an agreement with Accorl to supply Lidl with tissue products for a long time (Patel, 2016), and contracts for local food and agriculture in the UK have support Lidl to obtain low-cost, high-quality meat and milk fat products (Garris, 2019). A large number of partnerships help Lidl to reduce uncertainty about the supply chain and reduce inventory. In addition, the partnerships indicate that Lidl can import raw materials at a lower price in the market to reduce procurement costs.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u w:val="none"/>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u w:val="none"/>
        </w:rPr>
      </w:pPr>
      <w:r>
        <w:rPr>
          <w:rFonts w:hint="default" w:ascii="Times New Roman" w:hAnsi="Times New Roman" w:cs="Times New Roman"/>
          <w:sz w:val="24"/>
          <w:szCs w:val="24"/>
          <w:u w:val="none"/>
        </w:rPr>
        <w:t>Additionally, Lidl, a global chain of discount stores like large international groups, has strong purchasing power, which enable Lidl purchase substantial quantities of goods, such as spaghetti, rice and some wines (Felsted, 2014). These massive purchases and large-scale cooperation agreements can create economies of scale for Lidl.</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u w:val="none"/>
        </w:rPr>
      </w:pPr>
    </w:p>
    <w:p>
      <w:pPr>
        <w:pStyle w:val="4"/>
        <w:bidi w:val="0"/>
        <w:spacing w:line="360" w:lineRule="auto"/>
        <w:rPr>
          <w:rFonts w:hint="default" w:ascii="Times New Roman" w:hAnsi="Times New Roman" w:cs="Times New Roman"/>
          <w:sz w:val="24"/>
          <w:szCs w:val="24"/>
        </w:rPr>
      </w:pPr>
      <w:bookmarkStart w:id="13" w:name="_Toc1715164184"/>
      <w:r>
        <w:rPr>
          <w:rFonts w:hint="default" w:ascii="Times New Roman" w:hAnsi="Times New Roman" w:cs="Times New Roman"/>
          <w:sz w:val="24"/>
          <w:szCs w:val="24"/>
        </w:rPr>
        <w:t>2.1.3 Optimizing Purchasing and Logistics</w:t>
      </w:r>
      <w:bookmarkEnd w:id="13"/>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Secondly, Lidl make an effort to enhance its logistics efficiency by reducing the distance required to transport food; that is, Lidl tries to increase the number of goods that can be placed in the van as much as possible to minimize the number of round </w:t>
      </w:r>
      <w:r>
        <w:rPr>
          <w:rFonts w:hint="default" w:ascii="Times New Roman" w:hAnsi="Times New Roman" w:cs="Times New Roman"/>
          <w:b w:val="0"/>
          <w:bCs w:val="0"/>
          <w:sz w:val="24"/>
          <w:szCs w:val="24"/>
        </w:rPr>
        <w:t>trips (Geppert &amp; Pastuh, 2017).</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Besides this, Lidl teamed up with third-party logistics companies to create an integration centre in central England, in 2016, which has supported greatly improved supplier logistics (Lidl’s Sustainability Report, 2017).</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pStyle w:val="3"/>
        <w:bidi w:val="0"/>
        <w:spacing w:line="360" w:lineRule="auto"/>
        <w:rPr>
          <w:rFonts w:hint="default" w:ascii="Times New Roman" w:hAnsi="Times New Roman" w:cs="Times New Roman"/>
          <w:b/>
          <w:sz w:val="24"/>
          <w:szCs w:val="24"/>
        </w:rPr>
      </w:pPr>
      <w:bookmarkStart w:id="14" w:name="_Toc1091446807"/>
      <w:r>
        <w:rPr>
          <w:rFonts w:hint="default" w:ascii="Times New Roman" w:hAnsi="Times New Roman" w:cs="Times New Roman"/>
          <w:b/>
          <w:sz w:val="24"/>
          <w:szCs w:val="24"/>
        </w:rPr>
        <w:t>2.2 ADVANTAGES AND DISADVANTAGES OF COST LEADERSHIP STRATEGY</w:t>
      </w:r>
      <w:bookmarkEnd w:id="14"/>
    </w:p>
    <w:p>
      <w:pPr>
        <w:pStyle w:val="3"/>
        <w:bidi w:val="0"/>
        <w:spacing w:line="360" w:lineRule="auto"/>
        <w:rPr>
          <w:rFonts w:hint="default" w:ascii="Times New Roman" w:hAnsi="Times New Roman" w:cs="Times New Roman"/>
          <w:b/>
          <w:sz w:val="24"/>
          <w:szCs w:val="24"/>
        </w:rPr>
      </w:pPr>
      <w:bookmarkStart w:id="15" w:name="_Toc141172575"/>
      <w:r>
        <w:rPr>
          <w:rFonts w:hint="default" w:ascii="Times New Roman" w:hAnsi="Times New Roman" w:cs="Times New Roman"/>
          <w:b/>
          <w:sz w:val="24"/>
          <w:szCs w:val="24"/>
        </w:rPr>
        <w:t>2.2.1 ADVANTAGES</w:t>
      </w:r>
      <w:bookmarkEnd w:id="15"/>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Style w:val="14"/>
          <w:rFonts w:hint="default" w:ascii="Times New Roman" w:hAnsi="Times New Roman" w:cs="Times New Roman"/>
          <w:b/>
          <w:sz w:val="24"/>
          <w:szCs w:val="24"/>
        </w:rPr>
      </w:pPr>
      <w:bookmarkStart w:id="16" w:name="_Toc1865521737"/>
      <w:r>
        <w:rPr>
          <w:rStyle w:val="14"/>
          <w:rFonts w:hint="default" w:ascii="Times New Roman" w:hAnsi="Times New Roman" w:cs="Times New Roman"/>
          <w:b/>
          <w:sz w:val="24"/>
          <w:szCs w:val="24"/>
        </w:rPr>
        <w:t>Forming an Entry Barrier</w:t>
      </w:r>
    </w:p>
    <w:bookmarkEnd w:id="16"/>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It takes a lot of money and time ‘for a new competitor to explore entering an industry, because enterprises have accumulated certain production scales and cost advantages in the industry. As a result, the strategy can support Lidl prevent new companies from carrying out the business (Bouvrain &amp; Sarka, 2015).</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As for the commodity sales, long-term cooperation will improve the constancy of supply (Harris, 2019). In 2016, Lidl reached a million-pound deal with Bells Food Group, designed to provide a series of pies for Lidl in Scotland, and the pies become the private-brand of Lidl, greatly reducing the cost of Lidl’s purchasing from suppliers (Atherton, 2016).</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Additionally, Lidl also reached an agreement with Accrol to obtain toilet paper, kitchen paper, tissue paper and other tissue products (Patel, 2016), partnerships with Britain's food and agriculture industries help Lidl to get meat, dairy products and fresh agricultural products at a low price (Harris, 2019).</w:t>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bookmarkStart w:id="17" w:name="_Toc562587559"/>
      <w:r>
        <w:rPr>
          <w:rStyle w:val="14"/>
          <w:rFonts w:hint="default" w:ascii="Times New Roman" w:hAnsi="Times New Roman" w:cs="Times New Roman"/>
          <w:b/>
          <w:sz w:val="24"/>
          <w:szCs w:val="24"/>
        </w:rPr>
        <w:t>Ability to outperform rivals</w:t>
      </w:r>
      <w:bookmarkEnd w:id="17"/>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b/>
          <w:bCs/>
          <w:sz w:val="24"/>
          <w:szCs w:val="24"/>
          <w:u w:val="none"/>
        </w:rPr>
      </w:pPr>
      <w:r>
        <w:rPr>
          <w:rFonts w:hint="default" w:ascii="Times New Roman" w:hAnsi="Times New Roman" w:cs="Times New Roman"/>
          <w:sz w:val="24"/>
          <w:szCs w:val="24"/>
        </w:rPr>
        <w:t xml:space="preserve">The ability to outperform competitors mainly comes from </w:t>
      </w:r>
      <w:r>
        <w:rPr>
          <w:rFonts w:hint="default" w:ascii="Times New Roman" w:hAnsi="Times New Roman" w:cs="Times New Roman"/>
          <w:b/>
          <w:bCs/>
          <w:sz w:val="24"/>
          <w:szCs w:val="24"/>
        </w:rPr>
        <w:t>a competitive advantage with alternatives</w:t>
      </w:r>
      <w:r>
        <w:rPr>
          <w:rFonts w:hint="default" w:ascii="Times New Roman" w:hAnsi="Times New Roman" w:cs="Times New Roman"/>
          <w:b w:val="0"/>
          <w:bCs w:val="0"/>
          <w:sz w:val="24"/>
          <w:szCs w:val="24"/>
        </w:rPr>
        <w:t xml:space="preserve"> and </w:t>
      </w:r>
      <w:r>
        <w:rPr>
          <w:rFonts w:hint="default" w:ascii="Times New Roman" w:hAnsi="Times New Roman" w:cs="Times New Roman"/>
          <w:b/>
          <w:bCs/>
          <w:sz w:val="24"/>
          <w:szCs w:val="24"/>
          <w:u w:val="none"/>
        </w:rPr>
        <w:t>more profits than their peers.</w:t>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b/>
          <w:bCs/>
          <w:sz w:val="24"/>
          <w:szCs w:val="24"/>
          <w:u w:val="none"/>
        </w:rPr>
      </w:pP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Because the cost is lower than that of other enterprises in the market, the enterprise can obtain more profits when the product is sold at the market average price. According to a 2018 summer study.</w:t>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Furthermore, competitors cannot compete with cost leaders in terms of price, that is, it is difficult to lower commodity prices below cost leaders. For instance, when the same type of product is sold in both Tesco and Lidl, Lidl must be the first choice for most consumers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pStyle w:val="3"/>
        <w:bidi w:val="0"/>
        <w:spacing w:line="360" w:lineRule="auto"/>
        <w:rPr>
          <w:rFonts w:hint="default" w:ascii="Times New Roman" w:hAnsi="Times New Roman" w:cs="Times New Roman"/>
          <w:b/>
          <w:sz w:val="24"/>
          <w:szCs w:val="24"/>
        </w:rPr>
      </w:pPr>
      <w:bookmarkStart w:id="18" w:name="_Toc38606372"/>
      <w:r>
        <w:rPr>
          <w:rFonts w:hint="default" w:ascii="Times New Roman" w:hAnsi="Times New Roman" w:cs="Times New Roman"/>
          <w:b/>
          <w:sz w:val="24"/>
          <w:szCs w:val="24"/>
        </w:rPr>
        <w:t>2.2.2 DISADVANTAGES</w:t>
      </w:r>
      <w:bookmarkEnd w:id="18"/>
    </w:p>
    <w:p>
      <w:pPr>
        <w:keepNext w:val="0"/>
        <w:keepLines w:val="0"/>
        <w:pageBreakBefore w:val="0"/>
        <w:widowControl w:val="0"/>
        <w:numPr>
          <w:ilvl w:val="0"/>
          <w:numId w:val="3"/>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bookmarkStart w:id="19" w:name="_Toc317232810"/>
      <w:r>
        <w:rPr>
          <w:rStyle w:val="14"/>
          <w:rFonts w:hint="default" w:ascii="Times New Roman" w:hAnsi="Times New Roman" w:cs="Times New Roman"/>
          <w:b/>
          <w:sz w:val="24"/>
          <w:szCs w:val="24"/>
        </w:rPr>
        <w:t>Negative Reputation</w:t>
      </w:r>
      <w:bookmarkEnd w:id="19"/>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The cost leadership strategy means that the enterprise needs to control the daily operation cost, which leads to the inability of the enterprise to implement the strategy to guarantee that the normal well-being of the employee (Banker, Mashruwala &amp; Tripathy, 2014).</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Research shows that intensive retail work leads to a heavy burden on employees (Chandler &amp; Munday, 2011). Specially in enterprises like Lidl, where there are many fixed systems, such as requiring cashiers to scan 40 items per minute, whilst being unable to pay with satisfactory wages (Scotsman.com, 2019). The consequence is a lot of legal disputes, which could threaten the reputation of the company.</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Moreover, it may be difficult for enterprises to focus on the sustainable development of the environment under the influence of cost leader strategy, especially at the present time, sustainable development of the environment is the top priority for enterprises (Qing &amp; Xue, 2014), as well as a significant part of corporation social responsibility (Prasanta Kumar et al., 2018). Therefore, it will bring a lot of negative public opinion if the enterprise causes harm to the environment (Taillie, Ng &amp; Popkin, 2016).</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3"/>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Style w:val="14"/>
          <w:rFonts w:hint="default" w:ascii="Times New Roman" w:hAnsi="Times New Roman" w:cs="Times New Roman"/>
          <w:sz w:val="24"/>
          <w:szCs w:val="24"/>
        </w:rPr>
      </w:pPr>
      <w:bookmarkStart w:id="20" w:name="_Toc1677425816"/>
      <w:r>
        <w:rPr>
          <w:rStyle w:val="14"/>
          <w:rFonts w:hint="default" w:ascii="Times New Roman" w:hAnsi="Times New Roman" w:cs="Times New Roman"/>
          <w:sz w:val="24"/>
          <w:szCs w:val="24"/>
        </w:rPr>
        <w:t>Lack of Innovation</w:t>
      </w:r>
    </w:p>
    <w:bookmarkEnd w:id="20"/>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r>
        <w:rPr>
          <w:rFonts w:hint="default" w:ascii="Times New Roman" w:hAnsi="Times New Roman" w:cs="Times New Roman"/>
          <w:b w:val="0"/>
          <w:bCs w:val="0"/>
          <w:sz w:val="24"/>
          <w:szCs w:val="24"/>
        </w:rPr>
        <w:t>If</w:t>
      </w:r>
      <w:r>
        <w:rPr>
          <w:rFonts w:hint="default" w:ascii="Times New Roman" w:hAnsi="Times New Roman" w:cs="Times New Roman"/>
          <w:sz w:val="24"/>
          <w:szCs w:val="24"/>
        </w:rPr>
        <w:t xml:space="preserve"> there are new entrants to the market while the company is using cost leadership strategy, they are likely to compete with existing enterprises by imitating the business model, and then making a little modification, so that the existing enterprises will lose their cost leading position (Maher, 2006).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As cost leadership strategies impose cost constraints on product selection, leading companies are likely to sink in the market if they loses the competitive advantage of low prices/cost (Lindell, 2015). Specifically, when consumer purchase behavior and perceptions change, cost leaders find it difficult to respond to variation in the market in a timely. For instance, assuming that consumers no longer focus on prices, cost leaders may face the threat of losing core competitiveness.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A report in 2018 shows that Tesco is developing a separate new product line that matches Lidl discounts, which means Lidl is likely to lose its competitive advantage in the future (Brigrall, 2018).</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3"/>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bookmarkStart w:id="21" w:name="_Toc330371696"/>
      <w:r>
        <w:rPr>
          <w:rStyle w:val="14"/>
          <w:rFonts w:hint="default" w:ascii="Times New Roman" w:hAnsi="Times New Roman" w:cs="Times New Roman"/>
          <w:b/>
          <w:sz w:val="24"/>
          <w:szCs w:val="24"/>
        </w:rPr>
        <w:t>Price War</w:t>
      </w:r>
      <w:bookmarkEnd w:id="21"/>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Price wars generally occur when businesses keep pricing lower than competitors in order to seize the market (Yano &amp; Komatsubara, 2018). Each enterprise that adopts this strategy wants to attract consumers and to seize the market through lower prices, which will lead many enterprises into fierce competition with lower-priced goods, and the consequence is that all businesses in the competition will loss benefits and a very bad market atmosphere will be formed (Cattaneo, 2015).</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sectPr>
          <w:headerReference r:id="rId9" w:type="default"/>
          <w:pgSz w:w="11906" w:h="16838"/>
          <w:pgMar w:top="1134" w:right="1134" w:bottom="1134" w:left="1134" w:header="851" w:footer="992" w:gutter="0"/>
          <w:pgNumType w:fmt="decimal"/>
          <w:cols w:space="0" w:num="1"/>
          <w:rtlGutter w:val="0"/>
          <w:docGrid w:type="lines" w:linePitch="318" w:charSpace="0"/>
        </w:sectPr>
      </w:pPr>
    </w:p>
    <w:p>
      <w:pPr>
        <w:pStyle w:val="2"/>
        <w:bidi w:val="0"/>
        <w:spacing w:line="360" w:lineRule="auto"/>
        <w:rPr>
          <w:rFonts w:hint="default" w:ascii="Times New Roman" w:hAnsi="Times New Roman" w:cs="Times New Roman"/>
          <w:b/>
          <w:sz w:val="28"/>
          <w:szCs w:val="28"/>
        </w:rPr>
      </w:pPr>
      <w:bookmarkStart w:id="22" w:name="_Toc1311867177"/>
      <w:r>
        <w:rPr>
          <w:rFonts w:hint="default" w:ascii="Times New Roman" w:hAnsi="Times New Roman" w:cs="Times New Roman"/>
          <w:b/>
          <w:sz w:val="28"/>
          <w:szCs w:val="28"/>
        </w:rPr>
        <w:t>3.0 CONCLUSION</w:t>
      </w:r>
      <w:bookmarkEnd w:id="22"/>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Through the analysis of Porter's Generic Strategy it can be seen that Lidl adopts the cost leadership strategy; that is, reducing the costs via economies of scale, the accumulation of efficiency and experience so as to provide consumers with cheaper products (Kane, 2017).</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In order to implement the cost leading strategy, Lidl has made efforts to optimize the logistics procurement process and the control of enterprise operating costs, including labour costs and overhead expenses.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Cost leadership strategy establishes a perfect market barrier, protecting Lidl from competition from new entrants(Hiscott, 2018). Meanwhile, corporate cost control can help companies attract consumers with low prices and obtain considerable sales profits, enabling them to seize more market share (Handgraaf, 2017).</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The cost leading strategy also has several defects. Enterprises may not be able to pay high appeasement costs when the employees workload is high due to the control of labour costs, which may lead to legal disputes with employee unions (Handgraaf, 2017). Additionally, the cost leadership strategy aims to control the cost so that it can better provide consumers with lower prices, so it is likely to lead to </w:t>
      </w:r>
      <w:r>
        <w:rPr>
          <w:rFonts w:hint="default" w:ascii="Times New Roman" w:hAnsi="Times New Roman" w:cs="Times New Roman"/>
          <w:sz w:val="24"/>
          <w:szCs w:val="24"/>
          <w:u w:val="single"/>
        </w:rPr>
        <w:t>vicious/fierce</w:t>
      </w:r>
      <w:r>
        <w:rPr>
          <w:rFonts w:hint="default" w:ascii="Times New Roman" w:hAnsi="Times New Roman" w:cs="Times New Roman"/>
          <w:sz w:val="24"/>
          <w:szCs w:val="24"/>
        </w:rPr>
        <w:t xml:space="preserve"> competition in the market. Finally, when consumer behavior changes, companies may not be able to make changes to meet market challenges due to cost constraints to meet the needs of new markets. (Hiscott, 2018.).</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There are several recommendations based on the PESTLE analysis placed in Appendix 2 as follows.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sectPr>
          <w:headerReference r:id="rId10" w:type="default"/>
          <w:pgSz w:w="11906" w:h="16838"/>
          <w:pgMar w:top="1134" w:right="1134" w:bottom="1134" w:left="1134" w:header="851" w:footer="992" w:gutter="0"/>
          <w:pgNumType w:fmt="decimal"/>
          <w:cols w:space="0" w:num="1"/>
          <w:rtlGutter w:val="0"/>
          <w:docGrid w:type="lines" w:linePitch="318" w:charSpace="0"/>
        </w:sectPr>
      </w:pPr>
    </w:p>
    <w:p>
      <w:pPr>
        <w:pStyle w:val="2"/>
        <w:bidi w:val="0"/>
        <w:spacing w:line="360" w:lineRule="auto"/>
        <w:rPr>
          <w:rFonts w:hint="default" w:ascii="Times New Roman" w:hAnsi="Times New Roman" w:cs="Times New Roman"/>
          <w:b/>
          <w:sz w:val="28"/>
          <w:szCs w:val="28"/>
        </w:rPr>
      </w:pPr>
      <w:bookmarkStart w:id="23" w:name="_Toc337040090"/>
      <w:r>
        <w:rPr>
          <w:rFonts w:hint="default" w:ascii="Times New Roman" w:hAnsi="Times New Roman" w:cs="Times New Roman"/>
          <w:b/>
          <w:sz w:val="28"/>
          <w:szCs w:val="28"/>
        </w:rPr>
        <w:t>4.0 RECOMMENDATIONS</w:t>
      </w:r>
      <w:bookmarkEnd w:id="23"/>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bookmarkStart w:id="24" w:name="_Toc1718415491"/>
      <w:r>
        <w:rPr>
          <w:rStyle w:val="14"/>
          <w:rFonts w:hint="default" w:ascii="Times New Roman" w:hAnsi="Times New Roman" w:cs="Times New Roman"/>
          <w:sz w:val="24"/>
          <w:szCs w:val="24"/>
        </w:rPr>
        <w:t>Ecological Capital Investment:</w:t>
      </w:r>
      <w:bookmarkEnd w:id="24"/>
      <w:r>
        <w:rPr>
          <w:rFonts w:hint="default" w:ascii="Times New Roman" w:hAnsi="Times New Roman" w:cs="Times New Roman"/>
          <w:sz w:val="24"/>
          <w:szCs w:val="24"/>
        </w:rPr>
        <w:t xml:space="preserve"> Lidl, as a discount supermarket, needs to respond to changing trend and contribute to the construction of the environment (Taillie, Ng &amp; Popkin, 2016).Using recyclable items as much as possible, as well as things that can be used many times.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bookmarkStart w:id="25" w:name="_Toc2049072381"/>
      <w:r>
        <w:rPr>
          <w:rStyle w:val="14"/>
          <w:rFonts w:hint="default" w:ascii="Times New Roman" w:hAnsi="Times New Roman" w:cs="Times New Roman"/>
          <w:b/>
          <w:sz w:val="24"/>
          <w:szCs w:val="24"/>
        </w:rPr>
        <w:t>Balancing Labour Cost with Other Costs:</w:t>
      </w:r>
      <w:bookmarkEnd w:id="25"/>
      <w:r>
        <w:rPr>
          <w:rFonts w:hint="default" w:ascii="Times New Roman" w:hAnsi="Times New Roman" w:cs="Times New Roman"/>
          <w:sz w:val="24"/>
          <w:szCs w:val="24"/>
        </w:rPr>
        <w:t xml:space="preserve"> Lidl could consider purchasing self-scanning machines to reduce the stress of employees (Jothibasu &amp; Boopathy, 2017).</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bookmarkStart w:id="26" w:name="_Toc1711744175"/>
      <w:r>
        <w:rPr>
          <w:rStyle w:val="14"/>
          <w:rFonts w:hint="default" w:ascii="Times New Roman" w:hAnsi="Times New Roman" w:cs="Times New Roman"/>
          <w:b/>
          <w:sz w:val="24"/>
          <w:szCs w:val="24"/>
        </w:rPr>
        <w:t>Utilizing technology:</w:t>
      </w:r>
      <w:bookmarkEnd w:id="26"/>
      <w:r>
        <w:rPr>
          <w:rFonts w:hint="default" w:ascii="Times New Roman" w:hAnsi="Times New Roman" w:cs="Times New Roman"/>
          <w:sz w:val="24"/>
          <w:szCs w:val="24"/>
        </w:rPr>
        <w:t xml:space="preserve"> Using IT technology to help purchase simplify the process and solve more complex information matching. (Samuel, 2016.).</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bookmarkStart w:id="27" w:name="_Toc1593414013"/>
      <w:r>
        <w:rPr>
          <w:rStyle w:val="14"/>
          <w:rFonts w:hint="default" w:ascii="Times New Roman" w:hAnsi="Times New Roman" w:cs="Times New Roman"/>
          <w:b/>
          <w:sz w:val="24"/>
          <w:szCs w:val="24"/>
        </w:rPr>
        <w:t>Developing new product lines:</w:t>
      </w:r>
      <w:bookmarkEnd w:id="27"/>
      <w:r>
        <w:rPr>
          <w:rFonts w:hint="default" w:ascii="Times New Roman" w:hAnsi="Times New Roman" w:cs="Times New Roman"/>
          <w:sz w:val="24"/>
          <w:szCs w:val="24"/>
        </w:rPr>
        <w:t xml:space="preserve"> Trying to develop a high-end product line to increase the flexibility of enterprise products to adapt to the changing trend in the future, but it worth noting that Lidl need uses flexible to develop new markets so as to avoid getting stuck in the middle situation, that is, the cost and prices of the product are not cheap, with the inferior quality (</w:t>
      </w:r>
      <w:r>
        <w:rPr>
          <w:rFonts w:hint="default" w:ascii="Times New Roman" w:hAnsi="Times New Roman" w:cs="Times New Roman"/>
          <w:sz w:val="24"/>
          <w:szCs w:val="24"/>
          <w:highlight w:val="none"/>
        </w:rPr>
        <w:t>Pattnaik &amp; Patra, 2018</w:t>
      </w:r>
      <w:r>
        <w:rPr>
          <w:rFonts w:hint="default" w:ascii="Times New Roman" w:hAnsi="Times New Roman" w:cs="Times New Roman"/>
          <w:sz w:val="24"/>
          <w:szCs w:val="24"/>
        </w:rPr>
        <w: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sectPr>
          <w:headerReference r:id="rId11" w:type="default"/>
          <w:pgSz w:w="11906" w:h="16838"/>
          <w:pgMar w:top="1134" w:right="1134" w:bottom="1134" w:left="1134" w:header="851" w:footer="992" w:gutter="0"/>
          <w:pgNumType w:fmt="decimal"/>
          <w:cols w:space="0" w:num="1"/>
          <w:rtlGutter w:val="0"/>
          <w:docGrid w:type="lines" w:linePitch="318" w:charSpace="0"/>
        </w:sectPr>
      </w:pPr>
    </w:p>
    <w:p>
      <w:pPr>
        <w:pStyle w:val="2"/>
        <w:bidi w:val="0"/>
        <w:spacing w:line="360" w:lineRule="auto"/>
        <w:rPr>
          <w:rFonts w:hint="default" w:ascii="Times New Roman" w:hAnsi="Times New Roman" w:cs="Times New Roman"/>
          <w:sz w:val="24"/>
          <w:szCs w:val="24"/>
        </w:rPr>
      </w:pPr>
      <w:bookmarkStart w:id="28" w:name="_Toc1388238401"/>
      <w:r>
        <w:rPr>
          <w:rFonts w:hint="default" w:ascii="Times New Roman" w:hAnsi="Times New Roman" w:cs="Times New Roman"/>
          <w:b/>
          <w:sz w:val="28"/>
          <w:szCs w:val="28"/>
        </w:rPr>
        <w:t>5.0 REFERENCES</w:t>
      </w:r>
      <w:bookmarkEnd w:id="28"/>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Algieri, B., Aquino, A. &amp; Succurro, M., 2018. International competitive advantages in tourism: An eclectic view. </w:t>
      </w:r>
      <w:r>
        <w:rPr>
          <w:rFonts w:hint="default" w:ascii="Times New Roman" w:hAnsi="Times New Roman" w:cs="Times New Roman"/>
          <w:i/>
          <w:iCs/>
          <w:sz w:val="24"/>
          <w:szCs w:val="24"/>
        </w:rPr>
        <w:t>Tourism Management Perspectives,</w:t>
      </w:r>
      <w:r>
        <w:rPr>
          <w:rFonts w:hint="default" w:ascii="Times New Roman" w:hAnsi="Times New Roman" w:cs="Times New Roman"/>
          <w:sz w:val="24"/>
          <w:szCs w:val="24"/>
        </w:rPr>
        <w:t xml:space="preserve"> 25, pp.41–52.</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Atherton, M., 2016. </w:t>
      </w:r>
      <w:r>
        <w:rPr>
          <w:rFonts w:hint="default" w:ascii="Times New Roman" w:hAnsi="Times New Roman" w:cs="Times New Roman"/>
          <w:i/>
          <w:iCs/>
          <w:sz w:val="24"/>
          <w:szCs w:val="24"/>
        </w:rPr>
        <w:t>Bells Food Group in seven-figure pie deal with Lidl,</w:t>
      </w:r>
      <w:r>
        <w:rPr>
          <w:rFonts w:hint="default" w:ascii="Times New Roman" w:hAnsi="Times New Roman" w:cs="Times New Roman"/>
          <w:sz w:val="24"/>
          <w:szCs w:val="24"/>
        </w:rPr>
        <w:t xml:space="preserve"> Available at: https://www.foodmanufacture.co.uk/Article/2016/10/31/Food-manufacturer-in-pie-deal-with-Lidl (Accessed: 20th November 2019).</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Anonymous, 2015. Tomorrow, not quite the world; Aldi and Lidl. </w:t>
      </w:r>
      <w:r>
        <w:rPr>
          <w:rFonts w:hint="default" w:ascii="Times New Roman" w:hAnsi="Times New Roman" w:cs="Times New Roman"/>
          <w:i/>
          <w:iCs/>
          <w:sz w:val="24"/>
          <w:szCs w:val="24"/>
        </w:rPr>
        <w:t>The Economist,</w:t>
      </w:r>
      <w:r>
        <w:rPr>
          <w:rFonts w:hint="default" w:ascii="Times New Roman" w:hAnsi="Times New Roman" w:cs="Times New Roman"/>
          <w:sz w:val="24"/>
          <w:szCs w:val="24"/>
        </w:rPr>
        <w:t xml:space="preserve"> 414(8929), p.66.</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Anon, 2016. Supermarket price wars. </w:t>
      </w:r>
      <w:r>
        <w:rPr>
          <w:rFonts w:hint="default" w:ascii="Times New Roman" w:hAnsi="Times New Roman" w:cs="Times New Roman"/>
          <w:i/>
          <w:iCs/>
          <w:sz w:val="24"/>
          <w:szCs w:val="24"/>
        </w:rPr>
        <w:t>Human Resource Management International Digest,</w:t>
      </w:r>
      <w:r>
        <w:rPr>
          <w:rFonts w:hint="default" w:ascii="Times New Roman" w:hAnsi="Times New Roman" w:cs="Times New Roman"/>
          <w:sz w:val="24"/>
          <w:szCs w:val="24"/>
        </w:rPr>
        <w:t xml:space="preserve"> 24(1), pp.10–12.</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Anon, 2013. Stuck in the middle; Supermarkets. </w:t>
      </w:r>
      <w:r>
        <w:rPr>
          <w:rFonts w:hint="default" w:ascii="Times New Roman" w:hAnsi="Times New Roman" w:cs="Times New Roman"/>
          <w:i/>
          <w:iCs/>
          <w:sz w:val="24"/>
          <w:szCs w:val="24"/>
        </w:rPr>
        <w:t>The Economist</w:t>
      </w:r>
      <w:r>
        <w:rPr>
          <w:rFonts w:hint="default" w:ascii="Times New Roman" w:hAnsi="Times New Roman" w:cs="Times New Roman"/>
          <w:sz w:val="24"/>
          <w:szCs w:val="24"/>
        </w:rPr>
        <w:t>, 409(8865), p.n/a.</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Bouvrain, S. &amp; Sarka, D., 2015. Compatibility of Corporate Sustainability with a Cost Leadership Strategy.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Boyer, B., 2018. Lidl is moving in, but smaller. </w:t>
      </w:r>
      <w:r>
        <w:rPr>
          <w:rFonts w:hint="default" w:ascii="Times New Roman" w:hAnsi="Times New Roman" w:cs="Times New Roman"/>
          <w:i/>
          <w:iCs/>
          <w:sz w:val="24"/>
          <w:szCs w:val="24"/>
        </w:rPr>
        <w:t>Philadelphia Inquirer,</w:t>
      </w:r>
      <w:r>
        <w:rPr>
          <w:rFonts w:hint="default" w:ascii="Times New Roman" w:hAnsi="Times New Roman" w:cs="Times New Roman"/>
          <w:sz w:val="24"/>
          <w:szCs w:val="24"/>
        </w:rPr>
        <w:t xml:space="preserve"> pp.Philadelphia Inquirer, 2018-08-15.</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Brignall, M., 2018. </w:t>
      </w:r>
      <w:r>
        <w:rPr>
          <w:rFonts w:hint="default" w:ascii="Times New Roman" w:hAnsi="Times New Roman" w:cs="Times New Roman"/>
          <w:i/>
          <w:iCs/>
          <w:sz w:val="24"/>
          <w:szCs w:val="24"/>
        </w:rPr>
        <w:t>Tesco 'planning' discount chain to take on Aldi and Lidl</w:t>
      </w:r>
      <w:r>
        <w:rPr>
          <w:rFonts w:hint="default" w:ascii="Times New Roman" w:hAnsi="Times New Roman" w:cs="Times New Roman"/>
          <w:sz w:val="24"/>
          <w:szCs w:val="24"/>
        </w:rPr>
        <w:t>, Available at: https://www.theguardian.com/business/2018/feb/11/tesco-planning-discount-chain-to-take-on-aldi-and-lidl (Accessed: 20th November 2019).</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Chandler, D. &amp; Munday, R., 2011. economies of scale. </w:t>
      </w:r>
      <w:r>
        <w:rPr>
          <w:rFonts w:hint="default" w:ascii="Times New Roman" w:hAnsi="Times New Roman" w:cs="Times New Roman"/>
          <w:i/>
          <w:iCs/>
          <w:sz w:val="24"/>
          <w:szCs w:val="24"/>
        </w:rPr>
        <w:t>A Dictionary of Media and Communication</w:t>
      </w:r>
      <w:r>
        <w:rPr>
          <w:rFonts w:hint="default" w:ascii="Times New Roman" w:hAnsi="Times New Roman" w:cs="Times New Roman"/>
          <w:sz w:val="24"/>
          <w:szCs w:val="24"/>
        </w:rPr>
        <w:t>, pp.A Dictionary of Media and Communication.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Cattaneo, C., 2015. Price war. Financial Post Magazine, p.11.</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Collins, M. &amp; Winrow, B., 2010. Porter's generic strategies as applied toward e-tailers post-Leegin. </w:t>
      </w:r>
      <w:r>
        <w:rPr>
          <w:rFonts w:hint="default" w:ascii="Times New Roman" w:hAnsi="Times New Roman" w:cs="Times New Roman"/>
          <w:i/>
          <w:iCs/>
          <w:sz w:val="24"/>
          <w:szCs w:val="24"/>
        </w:rPr>
        <w:t>The Journal of Product and Brand Management,</w:t>
      </w:r>
      <w:r>
        <w:rPr>
          <w:rFonts w:hint="default" w:ascii="Times New Roman" w:hAnsi="Times New Roman" w:cs="Times New Roman"/>
          <w:sz w:val="24"/>
          <w:szCs w:val="24"/>
        </w:rPr>
        <w:t xml:space="preserve"> 19(4), pp.306–311.</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D. Banker, R., Mashruwala, R. &amp; Tripathy, A., 2014. Does a differentiation strategy lead to more sustainable financial performance than a cost leadership strategy?</w:t>
      </w:r>
      <w:r>
        <w:rPr>
          <w:rFonts w:hint="default" w:ascii="Times New Roman" w:hAnsi="Times New Roman" w:cs="Times New Roman"/>
          <w:i/>
          <w:iCs/>
          <w:sz w:val="24"/>
          <w:szCs w:val="24"/>
        </w:rPr>
        <w:t xml:space="preserve"> Management Decision,</w:t>
      </w:r>
      <w:r>
        <w:rPr>
          <w:rFonts w:hint="default" w:ascii="Times New Roman" w:hAnsi="Times New Roman" w:cs="Times New Roman"/>
          <w:sz w:val="24"/>
          <w:szCs w:val="24"/>
        </w:rPr>
        <w:t xml:space="preserve"> 52(5), pp.872–896.</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Dey, Prasanta Kumar et al., 2018. Environmental management and corporate social responsibility practices of small and medium-sized enterprises. </w:t>
      </w:r>
      <w:r>
        <w:rPr>
          <w:rFonts w:hint="default" w:ascii="Times New Roman" w:hAnsi="Times New Roman" w:cs="Times New Roman"/>
          <w:i/>
          <w:iCs/>
          <w:sz w:val="24"/>
          <w:szCs w:val="24"/>
        </w:rPr>
        <w:t>Journal of Cleaner Production</w:t>
      </w:r>
      <w:r>
        <w:rPr>
          <w:rFonts w:hint="default" w:ascii="Times New Roman" w:hAnsi="Times New Roman" w:cs="Times New Roman"/>
          <w:sz w:val="24"/>
          <w:szCs w:val="24"/>
        </w:rPr>
        <w:t>, 195, pp.687–702.</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Doyle, C., 2011. marketing strategy. </w:t>
      </w:r>
      <w:r>
        <w:rPr>
          <w:rFonts w:hint="default" w:ascii="Times New Roman" w:hAnsi="Times New Roman" w:cs="Times New Roman"/>
          <w:i/>
          <w:iCs/>
          <w:sz w:val="24"/>
          <w:szCs w:val="24"/>
        </w:rPr>
        <w:t xml:space="preserve">A Dictionary of Marketing, </w:t>
      </w:r>
      <w:r>
        <w:rPr>
          <w:rFonts w:hint="default" w:ascii="Times New Roman" w:hAnsi="Times New Roman" w:cs="Times New Roman"/>
          <w:sz w:val="24"/>
          <w:szCs w:val="24"/>
        </w:rPr>
        <w:t>pp.A Dictionary of Marketing.</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Dawson, B., 2017. Engaging the New Shopper. </w:t>
      </w:r>
      <w:r>
        <w:rPr>
          <w:rFonts w:hint="default" w:ascii="Times New Roman" w:hAnsi="Times New Roman" w:cs="Times New Roman"/>
          <w:i/>
          <w:iCs/>
          <w:sz w:val="24"/>
          <w:szCs w:val="24"/>
        </w:rPr>
        <w:t>Drug Store News</w:t>
      </w:r>
      <w:r>
        <w:rPr>
          <w:rFonts w:hint="default" w:ascii="Times New Roman" w:hAnsi="Times New Roman" w:cs="Times New Roman"/>
          <w:sz w:val="24"/>
          <w:szCs w:val="24"/>
        </w:rPr>
        <w:t>, pp.18–21.</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Farrell, Nevin. "Former Lidl Employee Avoids Jail after Admitting Refunds Swindle." </w:t>
      </w:r>
      <w:r>
        <w:rPr>
          <w:rFonts w:hint="default" w:ascii="Times New Roman" w:hAnsi="Times New Roman" w:cs="Times New Roman"/>
          <w:i/>
          <w:iCs/>
          <w:sz w:val="24"/>
          <w:szCs w:val="24"/>
        </w:rPr>
        <w:t>Belfast Telegraph (Belfast, Northern Ireland)</w:t>
      </w:r>
      <w:r>
        <w:rPr>
          <w:rFonts w:hint="default" w:ascii="Times New Roman" w:hAnsi="Times New Roman" w:cs="Times New Roman"/>
          <w:sz w:val="24"/>
          <w:szCs w:val="24"/>
        </w:rPr>
        <w:t xml:space="preserve"> [Belfast] 2015: 19. Web.</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Felsted, A., 2019. </w:t>
      </w:r>
      <w:r>
        <w:rPr>
          <w:rFonts w:hint="default" w:ascii="Times New Roman" w:hAnsi="Times New Roman" w:cs="Times New Roman"/>
          <w:i/>
          <w:iCs/>
          <w:sz w:val="24"/>
          <w:szCs w:val="24"/>
        </w:rPr>
        <w:t>Aldi and Lidl lead charge of discount supermarkets</w:t>
      </w:r>
      <w:r>
        <w:rPr>
          <w:rFonts w:hint="default" w:ascii="Times New Roman" w:hAnsi="Times New Roman" w:cs="Times New Roman"/>
          <w:sz w:val="24"/>
          <w:szCs w:val="24"/>
        </w:rPr>
        <w:t>, Available at: https://www.ft.com/content/cbdf0bfa-fd61-11e3-bc93-00144feab7de [Accessed 25 Nov. 2019].</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Geppert, M. &amp; Pastuh, D., 2017. Total institutions revisited: What can Goffman’s approach tell us about ‘oppressive’ control and ‘problematic’ conditions of work and employment in contemporary business organizations? </w:t>
      </w:r>
      <w:r>
        <w:rPr>
          <w:rFonts w:hint="default" w:ascii="Times New Roman" w:hAnsi="Times New Roman" w:cs="Times New Roman"/>
          <w:i/>
          <w:iCs/>
          <w:sz w:val="24"/>
          <w:szCs w:val="24"/>
        </w:rPr>
        <w:t xml:space="preserve">Competition &amp; Change, </w:t>
      </w:r>
      <w:r>
        <w:rPr>
          <w:rFonts w:hint="default" w:ascii="Times New Roman" w:hAnsi="Times New Roman" w:cs="Times New Roman"/>
          <w:sz w:val="24"/>
          <w:szCs w:val="24"/>
        </w:rPr>
        <w:t>21(4), pp.253–273.</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Grant, R.M., 2015. </w:t>
      </w:r>
      <w:r>
        <w:rPr>
          <w:rFonts w:hint="default" w:ascii="Times New Roman" w:hAnsi="Times New Roman" w:cs="Times New Roman"/>
          <w:i/>
          <w:iCs/>
          <w:sz w:val="24"/>
          <w:szCs w:val="24"/>
        </w:rPr>
        <w:t>Contemporary strategy analysis</w:t>
      </w:r>
      <w:r>
        <w:rPr>
          <w:rFonts w:hint="default" w:ascii="Times New Roman" w:hAnsi="Times New Roman" w:cs="Times New Roman"/>
          <w:sz w:val="24"/>
          <w:szCs w:val="24"/>
        </w:rPr>
        <w:t xml:space="preserve"> Ninth.,</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Hanbury, M., 2017. </w:t>
      </w:r>
      <w:r>
        <w:rPr>
          <w:rFonts w:hint="default" w:ascii="Times New Roman" w:hAnsi="Times New Roman" w:cs="Times New Roman"/>
          <w:i/>
          <w:iCs/>
          <w:sz w:val="24"/>
          <w:szCs w:val="24"/>
        </w:rPr>
        <w:t>A German grocery chain that's coming to America is already dominating Walmart on prices - here's why it's so cheap,</w:t>
      </w:r>
      <w:r>
        <w:rPr>
          <w:rFonts w:hint="default" w:ascii="Times New Roman" w:hAnsi="Times New Roman" w:cs="Times New Roman"/>
          <w:sz w:val="24"/>
          <w:szCs w:val="24"/>
        </w:rPr>
        <w:t xml:space="preserve"> Available at: https://www.businessinsider.com/how-lidl-keeps-its-prices-down-2017-6?r=US&amp;IR=T [Accessed: 17th November 2019].</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Hiscott, G., 2018. Budget supermarket Lidl is to […]. </w:t>
      </w:r>
      <w:r>
        <w:rPr>
          <w:rFonts w:hint="default" w:ascii="Times New Roman" w:hAnsi="Times New Roman" w:cs="Times New Roman"/>
          <w:i/>
          <w:iCs/>
          <w:sz w:val="24"/>
          <w:szCs w:val="24"/>
        </w:rPr>
        <w:t>The Daily Mirror,</w:t>
      </w:r>
      <w:r>
        <w:rPr>
          <w:rFonts w:hint="default" w:ascii="Times New Roman" w:hAnsi="Times New Roman" w:cs="Times New Roman"/>
          <w:sz w:val="24"/>
          <w:szCs w:val="24"/>
        </w:rPr>
        <w:t xml:space="preserve"> pp.The Daily Mirror, 2018–01-09.</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Hiscott, G., 2018. Discount supermarket Lidl has unveiled […]. </w:t>
      </w:r>
      <w:r>
        <w:rPr>
          <w:rFonts w:hint="default" w:ascii="Times New Roman" w:hAnsi="Times New Roman" w:cs="Times New Roman"/>
          <w:i/>
          <w:iCs/>
          <w:sz w:val="24"/>
          <w:szCs w:val="24"/>
        </w:rPr>
        <w:t>The Daily Mirror</w:t>
      </w:r>
      <w:r>
        <w:rPr>
          <w:rFonts w:hint="default" w:ascii="Times New Roman" w:hAnsi="Times New Roman" w:cs="Times New Roman"/>
          <w:sz w:val="24"/>
          <w:szCs w:val="24"/>
        </w:rPr>
        <w:t>, pp.The Daily Mirror, 2018–09-18.</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Harris, L., 2019. </w:t>
      </w:r>
      <w:r>
        <w:rPr>
          <w:rFonts w:hint="default" w:ascii="Times New Roman" w:hAnsi="Times New Roman" w:cs="Times New Roman"/>
          <w:i/>
          <w:iCs/>
          <w:sz w:val="24"/>
          <w:szCs w:val="24"/>
        </w:rPr>
        <w:t>Lidl commits to investment in British food and farming,</w:t>
      </w:r>
      <w:r>
        <w:rPr>
          <w:rFonts w:hint="default" w:ascii="Times New Roman" w:hAnsi="Times New Roman" w:cs="Times New Roman"/>
          <w:sz w:val="24"/>
          <w:szCs w:val="24"/>
        </w:rPr>
        <w:t xml:space="preserve"> Available at: https://www.fwi.co.uk/business/lidl-commits-to-investment-in-british-food-and-farming [Accessed: 20th November 2019].</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Handgraaf, B., 2017. Lidl supermarket to open soon.</w:t>
      </w:r>
      <w:r>
        <w:rPr>
          <w:rFonts w:hint="default" w:ascii="Times New Roman" w:hAnsi="Times New Roman" w:cs="Times New Roman"/>
          <w:i/>
          <w:iCs/>
          <w:sz w:val="24"/>
          <w:szCs w:val="24"/>
        </w:rPr>
        <w:t xml:space="preserve"> TCA Regional News</w:t>
      </w:r>
      <w:r>
        <w:rPr>
          <w:rFonts w:hint="default" w:ascii="Times New Roman" w:hAnsi="Times New Roman" w:cs="Times New Roman"/>
          <w:sz w:val="24"/>
          <w:szCs w:val="24"/>
        </w:rPr>
        <w:t>, pp.TCA Regional News, 2017–05-22.</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Hassan, Y., 2015. </w:t>
      </w:r>
      <w:r>
        <w:rPr>
          <w:rFonts w:hint="default" w:ascii="Times New Roman" w:hAnsi="Times New Roman" w:cs="Times New Roman"/>
          <w:i/>
          <w:iCs/>
          <w:sz w:val="24"/>
          <w:szCs w:val="24"/>
        </w:rPr>
        <w:t>Differentiation and cost leadership. Choose of one puts constraints on using the second,</w:t>
      </w:r>
      <w:r>
        <w:rPr>
          <w:rFonts w:hint="default" w:ascii="Times New Roman" w:hAnsi="Times New Roman" w:cs="Times New Roman"/>
          <w:sz w:val="24"/>
          <w:szCs w:val="24"/>
        </w:rPr>
        <w:t xml:space="preserve"> Available at: https://www.linkedin.com/pulse/differentiation-cost-leadership-choose-one-puts-using-yasser [Accessed: 20th November 2019].</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Hipwell, D., 2017. Big things in store for discount grocer Lidl. </w:t>
      </w:r>
      <w:r>
        <w:rPr>
          <w:rFonts w:hint="default" w:ascii="Times New Roman" w:hAnsi="Times New Roman" w:cs="Times New Roman"/>
          <w:i/>
          <w:iCs/>
          <w:sz w:val="24"/>
          <w:szCs w:val="24"/>
        </w:rPr>
        <w:t>The Estates Gazette</w:t>
      </w:r>
      <w:r>
        <w:rPr>
          <w:rFonts w:hint="default" w:ascii="Times New Roman" w:hAnsi="Times New Roman" w:cs="Times New Roman"/>
          <w:sz w:val="24"/>
          <w:szCs w:val="24"/>
        </w:rPr>
        <w:t>, pp. 24.</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Jothibasu, M. &amp; Boopathy, S., 2017. A Fast Cloud Based Pervasive Method of Cart Billing System for Supermarket Using Real Time Technology. </w:t>
      </w:r>
      <w:r>
        <w:rPr>
          <w:rFonts w:hint="default" w:ascii="Times New Roman" w:hAnsi="Times New Roman" w:cs="Times New Roman"/>
          <w:i/>
          <w:iCs/>
          <w:sz w:val="24"/>
          <w:szCs w:val="24"/>
        </w:rPr>
        <w:t>International Journal of Advanced Research in Computer Science,</w:t>
      </w:r>
      <w:r>
        <w:rPr>
          <w:rFonts w:hint="default" w:ascii="Times New Roman" w:hAnsi="Times New Roman" w:cs="Times New Roman"/>
          <w:sz w:val="24"/>
          <w:szCs w:val="24"/>
        </w:rPr>
        <w:t xml:space="preserve"> pp.International Journal of Advanced Research in Computer Science, Mar 2017.</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Kane, A., 2017. Why Mike Nesbitt's 'car crash' strategy could cost him UUP leadership; Ulster Unionist's pledge to give the SDLP his second-preference vote is sort of distraction that costs elections, writes Alex Kane.</w:t>
      </w:r>
      <w:r>
        <w:rPr>
          <w:rFonts w:hint="default" w:ascii="Times New Roman" w:hAnsi="Times New Roman" w:cs="Times New Roman"/>
          <w:i/>
          <w:iCs/>
          <w:sz w:val="24"/>
          <w:szCs w:val="24"/>
        </w:rPr>
        <w:t xml:space="preserve"> Belfast Telegraph </w:t>
      </w:r>
      <w:r>
        <w:rPr>
          <w:rFonts w:hint="default" w:ascii="Times New Roman" w:hAnsi="Times New Roman" w:cs="Times New Roman"/>
          <w:sz w:val="24"/>
          <w:szCs w:val="24"/>
        </w:rPr>
        <w:t>(Belfast, Northern Ireland), p.23.</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Lindell, C., 2015. Tesco sours checkouts. </w:t>
      </w:r>
      <w:r>
        <w:rPr>
          <w:rFonts w:hint="default" w:ascii="Times New Roman" w:hAnsi="Times New Roman" w:cs="Times New Roman"/>
          <w:i/>
          <w:iCs/>
          <w:sz w:val="24"/>
          <w:szCs w:val="24"/>
        </w:rPr>
        <w:t>Candy Industry</w:t>
      </w:r>
      <w:r>
        <w:rPr>
          <w:rFonts w:hint="default" w:ascii="Times New Roman" w:hAnsi="Times New Roman" w:cs="Times New Roman"/>
          <w:sz w:val="24"/>
          <w:szCs w:val="24"/>
        </w:rPr>
        <w:t>, p.23.</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Indeed.com., 2019. </w:t>
      </w:r>
      <w:r>
        <w:rPr>
          <w:rFonts w:hint="default" w:ascii="Times New Roman" w:hAnsi="Times New Roman" w:cs="Times New Roman"/>
          <w:i/>
          <w:iCs/>
          <w:sz w:val="24"/>
          <w:szCs w:val="24"/>
        </w:rPr>
        <w:t>How to Create a Cost Leadership Strategy.</w:t>
      </w:r>
      <w:r>
        <w:rPr>
          <w:rFonts w:hint="default" w:ascii="Times New Roman" w:hAnsi="Times New Roman" w:cs="Times New Roman"/>
          <w:sz w:val="24"/>
          <w:szCs w:val="24"/>
        </w:rPr>
        <w:t xml:space="preserve"> Available at: https://www.indeed.com/career-advice/career-development/create-cost-leadership-strategy [Accessed 19 Nov. 2019].</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Maher, R., 2006. Cheap - The real cost of the global trend for bargains, discounts and consumer choice. </w:t>
      </w:r>
      <w:r>
        <w:rPr>
          <w:rFonts w:hint="default" w:ascii="Times New Roman" w:hAnsi="Times New Roman" w:cs="Times New Roman"/>
          <w:i/>
          <w:iCs/>
          <w:sz w:val="24"/>
          <w:szCs w:val="24"/>
        </w:rPr>
        <w:t>Teaching Business &amp; Economics</w:t>
      </w:r>
      <w:r>
        <w:rPr>
          <w:rFonts w:hint="default" w:ascii="Times New Roman" w:hAnsi="Times New Roman" w:cs="Times New Roman"/>
          <w:sz w:val="24"/>
          <w:szCs w:val="24"/>
        </w:rPr>
        <w:t xml:space="preserve">, </w:t>
      </w:r>
      <w:r>
        <w:rPr>
          <w:rFonts w:hint="default" w:ascii="Times New Roman" w:hAnsi="Times New Roman" w:cs="Times New Roman"/>
          <w:b/>
          <w:bCs/>
          <w:sz w:val="24"/>
          <w:szCs w:val="24"/>
        </w:rPr>
        <w:t>10</w:t>
      </w:r>
      <w:r>
        <w:rPr>
          <w:rFonts w:hint="default" w:ascii="Times New Roman" w:hAnsi="Times New Roman" w:cs="Times New Roman"/>
          <w:sz w:val="24"/>
          <w:szCs w:val="24"/>
        </w:rPr>
        <w:t>(2), pp. 44.</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Nixon, K. et al., 2017. Competitive advantage. </w:t>
      </w:r>
      <w:r>
        <w:rPr>
          <w:rFonts w:hint="default" w:ascii="Times New Roman" w:hAnsi="Times New Roman" w:cs="Times New Roman"/>
          <w:i/>
          <w:iCs/>
          <w:sz w:val="24"/>
          <w:szCs w:val="24"/>
        </w:rPr>
        <w:t>African Journal of Economic and Management Studies,</w:t>
      </w:r>
      <w:r>
        <w:rPr>
          <w:rFonts w:hint="default" w:ascii="Times New Roman" w:hAnsi="Times New Roman" w:cs="Times New Roman"/>
          <w:sz w:val="24"/>
          <w:szCs w:val="24"/>
        </w:rPr>
        <w:t xml:space="preserve"> 8(2), pp.221–234.</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highlight w:val="none"/>
        </w:rPr>
      </w:pPr>
      <w:r>
        <w:rPr>
          <w:rFonts w:hint="default" w:ascii="Times New Roman" w:hAnsi="Times New Roman" w:cs="Times New Roman"/>
          <w:sz w:val="24"/>
          <w:szCs w:val="24"/>
          <w:highlight w:val="none"/>
        </w:rPr>
        <w:t xml:space="preserve">Orsato, R.J., 2009. </w:t>
      </w:r>
      <w:r>
        <w:rPr>
          <w:rFonts w:hint="default" w:ascii="Times New Roman" w:hAnsi="Times New Roman" w:cs="Times New Roman"/>
          <w:i/>
          <w:iCs/>
          <w:sz w:val="24"/>
          <w:szCs w:val="24"/>
          <w:highlight w:val="none"/>
        </w:rPr>
        <w:t>Sustainability strategies : when does it pay to be green?,</w:t>
      </w:r>
      <w:r>
        <w:rPr>
          <w:rFonts w:hint="default" w:ascii="Times New Roman" w:hAnsi="Times New Roman" w:cs="Times New Roman"/>
          <w:sz w:val="24"/>
          <w:szCs w:val="24"/>
          <w:highlight w:val="none"/>
        </w:rPr>
        <w:t xml:space="preserve"> Basingstoke Palgrave Macmillan.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highlight w:val="none"/>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highlight w:val="none"/>
        </w:rPr>
      </w:pPr>
      <w:r>
        <w:rPr>
          <w:rFonts w:hint="default" w:ascii="Times New Roman" w:hAnsi="Times New Roman" w:cs="Times New Roman"/>
          <w:sz w:val="24"/>
          <w:szCs w:val="24"/>
        </w:rPr>
        <w:t xml:space="preserve">Patel, M., 2019. </w:t>
      </w:r>
      <w:r>
        <w:rPr>
          <w:rFonts w:hint="default" w:ascii="Times New Roman" w:hAnsi="Times New Roman" w:cs="Times New Roman"/>
          <w:i/>
          <w:iCs/>
          <w:sz w:val="24"/>
          <w:szCs w:val="24"/>
        </w:rPr>
        <w:t>Accrol wins £10m Lidl deal.</w:t>
      </w:r>
      <w:r>
        <w:rPr>
          <w:rFonts w:hint="default" w:ascii="Times New Roman" w:hAnsi="Times New Roman" w:cs="Times New Roman"/>
          <w:sz w:val="24"/>
          <w:szCs w:val="24"/>
        </w:rPr>
        <w:t xml:space="preserve"> Insider Media Ltd. Available at: https://www.insidermedia.com/news/north-west/good-progress-for-accrol [Accessed 20 Nov. 2019].</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highlight w:val="none"/>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highlight w:val="none"/>
        </w:rPr>
      </w:pPr>
      <w:r>
        <w:rPr>
          <w:rFonts w:hint="default" w:ascii="Times New Roman" w:hAnsi="Times New Roman" w:cs="Times New Roman"/>
          <w:sz w:val="24"/>
          <w:szCs w:val="24"/>
          <w:highlight w:val="none"/>
        </w:rPr>
        <w:t xml:space="preserve">Porter, M., 1980. </w:t>
      </w:r>
      <w:r>
        <w:rPr>
          <w:rFonts w:hint="default" w:ascii="Times New Roman" w:hAnsi="Times New Roman" w:cs="Times New Roman"/>
          <w:i/>
          <w:iCs/>
          <w:sz w:val="24"/>
          <w:szCs w:val="24"/>
          <w:highlight w:val="none"/>
        </w:rPr>
        <w:t>Competitive Strategy</w:t>
      </w:r>
      <w:r>
        <w:rPr>
          <w:rFonts w:hint="default" w:ascii="Times New Roman" w:hAnsi="Times New Roman" w:cs="Times New Roman"/>
          <w:sz w:val="24"/>
          <w:szCs w:val="24"/>
          <w:highlight w:val="none"/>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highlight w:val="none"/>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highlight w:val="none"/>
        </w:rPr>
      </w:pPr>
      <w:r>
        <w:rPr>
          <w:rFonts w:hint="default" w:ascii="Times New Roman" w:hAnsi="Times New Roman" w:cs="Times New Roman"/>
          <w:sz w:val="24"/>
          <w:szCs w:val="24"/>
          <w:highlight w:val="none"/>
        </w:rPr>
        <w:t xml:space="preserve">Pattnaik, J. &amp; Patra, A., 2018. Impact of Information Technology in Indian Banking Industry: A Study on South Odisha. </w:t>
      </w:r>
      <w:r>
        <w:rPr>
          <w:rFonts w:hint="default" w:ascii="Times New Roman" w:hAnsi="Times New Roman" w:cs="Times New Roman"/>
          <w:i/>
          <w:iCs/>
          <w:sz w:val="24"/>
          <w:szCs w:val="24"/>
          <w:highlight w:val="none"/>
        </w:rPr>
        <w:t>IPE Journal of Management,</w:t>
      </w:r>
      <w:r>
        <w:rPr>
          <w:rFonts w:hint="default" w:ascii="Times New Roman" w:hAnsi="Times New Roman" w:cs="Times New Roman"/>
          <w:sz w:val="24"/>
          <w:szCs w:val="24"/>
          <w:highlight w:val="none"/>
        </w:rPr>
        <w:t xml:space="preserve"> 8(2), pp.78–90.</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highlight w:val="none"/>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Qing, Y. and Xue, W., 2014. 'Ecological capital investment'.</w:t>
      </w:r>
      <w:r>
        <w:rPr>
          <w:rFonts w:hint="default" w:ascii="Times New Roman" w:hAnsi="Times New Roman" w:cs="Times New Roman"/>
          <w:i/>
          <w:iCs/>
          <w:sz w:val="24"/>
          <w:szCs w:val="24"/>
        </w:rPr>
        <w:t xml:space="preserve"> journal of Environment Protection and Culture Economy</w:t>
      </w:r>
      <w:r>
        <w:rPr>
          <w:rFonts w:hint="default" w:ascii="Times New Roman" w:hAnsi="Times New Roman" w:cs="Times New Roman"/>
          <w:sz w:val="24"/>
          <w:szCs w:val="24"/>
        </w:rPr>
        <w:t>, (9), pp. p6-11.</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Redman, R., 2019. </w:t>
      </w:r>
      <w:r>
        <w:rPr>
          <w:rFonts w:hint="default" w:ascii="Times New Roman" w:hAnsi="Times New Roman" w:cs="Times New Roman"/>
          <w:i/>
          <w:iCs/>
          <w:sz w:val="24"/>
          <w:szCs w:val="24"/>
        </w:rPr>
        <w:t>Aldi, Lidl threat can be met,</w:t>
      </w:r>
      <w:r>
        <w:rPr>
          <w:rFonts w:hint="default" w:ascii="Times New Roman" w:hAnsi="Times New Roman" w:cs="Times New Roman"/>
          <w:sz w:val="24"/>
          <w:szCs w:val="24"/>
        </w:rPr>
        <w:t xml:space="preserve"> Available at: https://www.supermarketnews.com/retail-financial/aldi-lidl-threat-can-be-met [Accessed: 20th November 2019].</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Shaftesbury.lidl.co.uk., 2019. Available at: http://www.shaftesbury.lidl.co.uk/download/shaftesbury-sustainability/Lidl_SR_Report_2017.pdf [Accessed 19 Nov. 2019].</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Spencer, S., 2015. Things are looking up.</w:t>
      </w:r>
      <w:r>
        <w:rPr>
          <w:rFonts w:hint="default" w:ascii="Times New Roman" w:hAnsi="Times New Roman" w:cs="Times New Roman"/>
          <w:i/>
          <w:iCs/>
          <w:sz w:val="24"/>
          <w:szCs w:val="24"/>
        </w:rPr>
        <w:t xml:space="preserve"> Timber Trades Journal</w:t>
      </w:r>
      <w:r>
        <w:rPr>
          <w:rFonts w:hint="default" w:ascii="Times New Roman" w:hAnsi="Times New Roman" w:cs="Times New Roman"/>
          <w:sz w:val="24"/>
          <w:szCs w:val="24"/>
        </w:rPr>
        <w:t>, (6784), pp.31–33.</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Scotsman.com., 2019. </w:t>
      </w:r>
      <w:r>
        <w:rPr>
          <w:rFonts w:hint="default" w:ascii="Times New Roman" w:hAnsi="Times New Roman" w:cs="Times New Roman"/>
          <w:i/>
          <w:iCs/>
          <w:sz w:val="24"/>
          <w:szCs w:val="24"/>
        </w:rPr>
        <w:t>Scots-based bakery secures Lidl distribution contract</w:t>
      </w:r>
      <w:r>
        <w:rPr>
          <w:rFonts w:hint="default" w:ascii="Times New Roman" w:hAnsi="Times New Roman" w:cs="Times New Roman"/>
          <w:sz w:val="24"/>
          <w:szCs w:val="24"/>
        </w:rPr>
        <w:t>. Available at: https://www.scotsman.com/business/companies/retail/scots-based-bakery-secures-lidl-distribution-contract-1-4098309 [Accessed 19 Nov. 2019].</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Samuel, S., 2016. Discounters you should meet.</w:t>
      </w:r>
      <w:r>
        <w:rPr>
          <w:rFonts w:hint="default" w:ascii="Times New Roman" w:hAnsi="Times New Roman" w:cs="Times New Roman"/>
          <w:i/>
          <w:iCs/>
          <w:sz w:val="24"/>
          <w:szCs w:val="24"/>
        </w:rPr>
        <w:t xml:space="preserve"> Canadian Grocer, </w:t>
      </w:r>
      <w:r>
        <w:rPr>
          <w:rFonts w:hint="default" w:ascii="Times New Roman" w:hAnsi="Times New Roman" w:cs="Times New Roman"/>
          <w:sz w:val="24"/>
          <w:szCs w:val="24"/>
        </w:rPr>
        <w:t>130(7), pp.21–22.</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Statista., 2019.</w:t>
      </w:r>
      <w:r>
        <w:rPr>
          <w:rFonts w:hint="default" w:ascii="Times New Roman" w:hAnsi="Times New Roman" w:cs="Times New Roman"/>
          <w:i/>
          <w:iCs/>
          <w:sz w:val="24"/>
          <w:szCs w:val="24"/>
        </w:rPr>
        <w:t xml:space="preserve"> Turnover of Lidl supermarket 2012-2018 Statistic</w:t>
      </w:r>
      <w:r>
        <w:rPr>
          <w:rFonts w:hint="default" w:ascii="Times New Roman" w:hAnsi="Times New Roman" w:cs="Times New Roman"/>
          <w:sz w:val="24"/>
          <w:szCs w:val="24"/>
        </w:rPr>
        <w:t>. Available at: https://www.statista.com/statistics/919806/lidl-turnover-in-the-united-kingdom/ [Accessed 21 Nov. 2019].</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Taillie, L.S., Ng, S.W. &amp; Popkin, B.M., 2016. Global growth of “big box” stores and the potential impact on human health and nutrition. </w:t>
      </w:r>
      <w:r>
        <w:rPr>
          <w:rFonts w:hint="default" w:ascii="Times New Roman" w:hAnsi="Times New Roman" w:cs="Times New Roman"/>
          <w:i/>
          <w:iCs/>
          <w:sz w:val="24"/>
          <w:szCs w:val="24"/>
        </w:rPr>
        <w:t>Nutrition Reviews</w:t>
      </w:r>
      <w:r>
        <w:rPr>
          <w:rFonts w:hint="default" w:ascii="Times New Roman" w:hAnsi="Times New Roman" w:cs="Times New Roman"/>
          <w:sz w:val="24"/>
          <w:szCs w:val="24"/>
        </w:rPr>
        <w:t>, 74(2), pp.83–97.</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Valipour, H., Birhandi, H. and Honarbakhsh, S., 2012. The Effects of Cost Leadership Strategy and Product Differentiation Strategy on the Performance of Firms. </w:t>
      </w:r>
      <w:r>
        <w:rPr>
          <w:rFonts w:hint="default" w:ascii="Times New Roman" w:hAnsi="Times New Roman" w:cs="Times New Roman"/>
          <w:i/>
          <w:iCs/>
          <w:sz w:val="24"/>
          <w:szCs w:val="24"/>
        </w:rPr>
        <w:t>Journal of Asian Business Strategy</w:t>
      </w:r>
      <w:r>
        <w:rPr>
          <w:rFonts w:hint="default" w:ascii="Times New Roman" w:hAnsi="Times New Roman" w:cs="Times New Roman"/>
          <w:sz w:val="24"/>
          <w:szCs w:val="24"/>
        </w:rPr>
        <w:t xml:space="preserve">, </w:t>
      </w:r>
      <w:r>
        <w:rPr>
          <w:rFonts w:hint="default" w:ascii="Times New Roman" w:hAnsi="Times New Roman" w:cs="Times New Roman"/>
          <w:b w:val="0"/>
          <w:bCs w:val="0"/>
          <w:sz w:val="24"/>
          <w:szCs w:val="24"/>
        </w:rPr>
        <w:t>2</w:t>
      </w:r>
      <w:r>
        <w:rPr>
          <w:rFonts w:hint="default" w:ascii="Times New Roman" w:hAnsi="Times New Roman" w:cs="Times New Roman"/>
          <w:sz w:val="24"/>
          <w:szCs w:val="24"/>
        </w:rPr>
        <w:t>(1), pp. p14.</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Vijaykumar, S. et al., 2013. Determinants of Food Label Use among Supermarket Shoppers: A Singaporean Perspective. </w:t>
      </w:r>
      <w:r>
        <w:rPr>
          <w:rFonts w:hint="default" w:ascii="Times New Roman" w:hAnsi="Times New Roman" w:cs="Times New Roman"/>
          <w:i/>
          <w:iCs/>
          <w:sz w:val="24"/>
          <w:szCs w:val="24"/>
        </w:rPr>
        <w:t>Journal of Nutrition Education and Behavior,</w:t>
      </w:r>
      <w:r>
        <w:rPr>
          <w:rFonts w:hint="default" w:ascii="Times New Roman" w:hAnsi="Times New Roman" w:cs="Times New Roman"/>
          <w:sz w:val="24"/>
          <w:szCs w:val="24"/>
        </w:rPr>
        <w:t xml:space="preserve"> 45(3), pp.204–212.</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Yano, M. &amp; Komatsubara, T., 2018. Price competition or price leadership. </w:t>
      </w:r>
      <w:r>
        <w:rPr>
          <w:rFonts w:hint="default" w:ascii="Times New Roman" w:hAnsi="Times New Roman" w:cs="Times New Roman"/>
          <w:i/>
          <w:iCs/>
          <w:sz w:val="24"/>
          <w:szCs w:val="24"/>
        </w:rPr>
        <w:t>Economic Theory</w:t>
      </w:r>
      <w:r>
        <w:rPr>
          <w:rFonts w:hint="default" w:ascii="Times New Roman" w:hAnsi="Times New Roman" w:cs="Times New Roman"/>
          <w:sz w:val="24"/>
          <w:szCs w:val="24"/>
        </w:rPr>
        <w:t>, 66(4), pp.1023–1057.</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"Lidl Employee Convicted of Stealing over EUR 2,000." </w:t>
      </w:r>
      <w:r>
        <w:rPr>
          <w:rFonts w:hint="default" w:ascii="Times New Roman" w:hAnsi="Times New Roman" w:cs="Times New Roman"/>
          <w:i/>
          <w:iCs/>
          <w:sz w:val="24"/>
          <w:szCs w:val="24"/>
        </w:rPr>
        <w:t xml:space="preserve">Irish Examiner </w:t>
      </w:r>
      <w:r>
        <w:rPr>
          <w:rFonts w:hint="default" w:ascii="Times New Roman" w:hAnsi="Times New Roman" w:cs="Times New Roman"/>
          <w:sz w:val="24"/>
          <w:szCs w:val="24"/>
        </w:rPr>
        <w:t>[Cork] 2011: Irish Examiner, 2011-09-07. Web.</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sectPr>
          <w:headerReference r:id="rId12" w:type="default"/>
          <w:pgSz w:w="11906" w:h="16838"/>
          <w:pgMar w:top="1134" w:right="1134" w:bottom="1134" w:left="1134" w:header="851" w:footer="992" w:gutter="0"/>
          <w:pgNumType w:fmt="decimal"/>
          <w:cols w:space="0" w:num="1"/>
          <w:rtlGutter w:val="0"/>
          <w:docGrid w:type="lines" w:linePitch="318" w:charSpace="0"/>
        </w:sectPr>
      </w:pPr>
    </w:p>
    <w:p>
      <w:pPr>
        <w:pStyle w:val="2"/>
        <w:bidi w:val="0"/>
        <w:spacing w:line="360" w:lineRule="auto"/>
        <w:rPr>
          <w:rFonts w:hint="default" w:ascii="Times New Roman" w:hAnsi="Times New Roman" w:cs="Times New Roman"/>
          <w:b/>
          <w:sz w:val="28"/>
          <w:szCs w:val="28"/>
        </w:rPr>
      </w:pPr>
      <w:bookmarkStart w:id="29" w:name="_Toc1860464599"/>
      <w:r>
        <w:rPr>
          <w:rFonts w:hint="default" w:ascii="Times New Roman" w:hAnsi="Times New Roman" w:cs="Times New Roman"/>
          <w:b/>
          <w:sz w:val="28"/>
          <w:szCs w:val="28"/>
        </w:rPr>
        <w:t>Appendix A - Turnover of Lidl in the United Kingdom (UK) from 2012 to 2018 (million GBP)</w:t>
      </w:r>
      <w:bookmarkEnd w:id="29"/>
    </w:p>
    <w:p>
      <w:pPr>
        <w:spacing w:line="360" w:lineRule="auto"/>
      </w:pPr>
      <w:r>
        <w:drawing>
          <wp:inline distT="0" distB="0" distL="114300" distR="114300">
            <wp:extent cx="5753100" cy="3727450"/>
            <wp:effectExtent l="0" t="0" r="12700" b="6350"/>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19"/>
                    <a:stretch>
                      <a:fillRect/>
                    </a:stretch>
                  </pic:blipFill>
                  <pic:spPr>
                    <a:xfrm>
                      <a:off x="0" y="0"/>
                      <a:ext cx="5753100" cy="3727450"/>
                    </a:xfrm>
                    <a:prstGeom prst="rect">
                      <a:avLst/>
                    </a:prstGeom>
                    <a:noFill/>
                    <a:ln w="9525">
                      <a:noFill/>
                    </a:ln>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right"/>
        <w:textAlignment w:val="auto"/>
        <w:outlineLvl w:val="9"/>
        <w:rPr>
          <w:rFonts w:hint="default"/>
        </w:rPr>
      </w:pPr>
      <w:r>
        <w:rPr>
          <w:rFonts w:hint="default" w:ascii="Times New Roman" w:hAnsi="Times New Roman" w:cs="Times New Roman"/>
          <w:sz w:val="24"/>
          <w:szCs w:val="24"/>
        </w:rPr>
        <w:t xml:space="preserve">Source: </w:t>
      </w:r>
      <w:r>
        <w:rPr>
          <w:rFonts w:hint="eastAsia" w:ascii="Times New Roman" w:hAnsi="Times New Roman" w:cs="Times New Roman"/>
          <w:sz w:val="24"/>
          <w:szCs w:val="24"/>
        </w:rPr>
        <w:t>Statista</w:t>
      </w:r>
      <w:r>
        <w:rPr>
          <w:rFonts w:hint="default" w:ascii="Times New Roman" w:hAnsi="Times New Roman" w:cs="Times New Roman"/>
          <w:sz w:val="24"/>
          <w:szCs w:val="24"/>
        </w:rPr>
        <w:t xml:space="preserve">.com, </w:t>
      </w:r>
      <w:r>
        <w:rPr>
          <w:rFonts w:hint="eastAsia" w:ascii="Times New Roman" w:hAnsi="Times New Roman" w:cs="Times New Roman"/>
          <w:sz w:val="24"/>
          <w:szCs w:val="24"/>
        </w:rPr>
        <w:t>2019</w:t>
      </w:r>
    </w:p>
    <w:p>
      <w:pPr>
        <w:spacing w:line="360" w:lineRule="auto"/>
        <w:rPr>
          <w:rFonts w:hint="default" w:ascii="Times New Roman" w:hAnsi="Times New Roman" w:cs="Times New Roman"/>
          <w:b/>
          <w:sz w:val="28"/>
          <w:szCs w:val="28"/>
        </w:rPr>
      </w:pPr>
    </w:p>
    <w:p>
      <w:pPr>
        <w:spacing w:line="360" w:lineRule="auto"/>
        <w:rPr>
          <w:rFonts w:hint="default" w:ascii="Times New Roman" w:hAnsi="Times New Roman" w:cs="Times New Roman"/>
          <w:b/>
          <w:sz w:val="28"/>
          <w:szCs w:val="28"/>
        </w:rPr>
        <w:sectPr>
          <w:headerReference r:id="rId13" w:type="default"/>
          <w:footerReference r:id="rId14" w:type="default"/>
          <w:pgSz w:w="11906" w:h="16838"/>
          <w:pgMar w:top="1134" w:right="1134" w:bottom="1134" w:left="1134" w:header="851" w:footer="992" w:gutter="0"/>
          <w:pgNumType w:fmt="decimal"/>
          <w:cols w:space="0" w:num="1"/>
          <w:rtlGutter w:val="0"/>
          <w:docGrid w:type="lines" w:linePitch="318" w:charSpace="0"/>
        </w:sectPr>
      </w:pPr>
    </w:p>
    <w:p>
      <w:pPr>
        <w:pStyle w:val="2"/>
        <w:bidi w:val="0"/>
        <w:spacing w:line="360" w:lineRule="auto"/>
        <w:rPr>
          <w:rFonts w:hint="default" w:ascii="Times New Roman" w:hAnsi="Times New Roman" w:cs="Times New Roman"/>
          <w:b/>
          <w:sz w:val="28"/>
          <w:szCs w:val="28"/>
        </w:rPr>
      </w:pPr>
      <w:bookmarkStart w:id="30" w:name="_Toc1466615073"/>
      <w:r>
        <w:rPr>
          <w:rFonts w:hint="default" w:ascii="Times New Roman" w:hAnsi="Times New Roman" w:cs="Times New Roman"/>
          <w:b/>
          <w:sz w:val="28"/>
          <w:szCs w:val="28"/>
        </w:rPr>
        <w:t>Appendix B - The PESTLE Analysis of Lidl</w:t>
      </w:r>
      <w:bookmarkEnd w:id="30"/>
    </w:p>
    <w:tbl>
      <w:tblPr>
        <w:tblStyle w:val="13"/>
        <w:tblW w:w="9854"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927"/>
        <w:gridCol w:w="492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rPr>
          <w:trHeight w:val="90" w:hRule="atLeast"/>
        </w:trPr>
        <w:tc>
          <w:tcPr>
            <w:tcW w:w="4927" w:type="dxa"/>
            <w:tcBorders>
              <w:top w:val="single" w:color="9BBB59" w:sz="8" w:space="0"/>
              <w:left w:val="single" w:color="9BBB59" w:sz="8" w:space="0"/>
              <w:bottom w:val="single" w:color="9BBB59" w:sz="8" w:space="0"/>
              <w:right w:val="single" w:color="9BBB59" w:sz="8" w:space="0"/>
            </w:tcBorders>
            <w:shd w:val="clear" w:color="auto" w:fill="9BBB59"/>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b/>
                <w:bCs/>
                <w:color w:val="FFFFFF" w:themeColor="background1"/>
                <w:sz w:val="24"/>
                <w:szCs w:val="24"/>
                <w:vertAlign w:val="baseline"/>
                <w14:textFill>
                  <w14:solidFill>
                    <w14:schemeClr w14:val="bg1"/>
                  </w14:solidFill>
                </w14:textFill>
              </w:rPr>
            </w:pPr>
            <w:r>
              <w:rPr>
                <w:rFonts w:hint="default" w:ascii="Times New Roman" w:hAnsi="Times New Roman" w:cs="Times New Roman"/>
                <w:b/>
                <w:bCs/>
                <w:color w:val="FFFFFF" w:themeColor="background1"/>
                <w:sz w:val="24"/>
                <w:szCs w:val="24"/>
                <w14:textFill>
                  <w14:solidFill>
                    <w14:schemeClr w14:val="bg1"/>
                  </w14:solidFill>
                </w14:textFill>
              </w:rPr>
              <w:t>Political:</w:t>
            </w:r>
          </w:p>
        </w:tc>
        <w:tc>
          <w:tcPr>
            <w:tcW w:w="4927" w:type="dxa"/>
            <w:tcBorders>
              <w:top w:val="single" w:color="9BBB59" w:sz="8" w:space="0"/>
              <w:left w:val="single" w:color="9BBB59" w:sz="8" w:space="0"/>
              <w:bottom w:val="single" w:color="9BBB59" w:sz="8" w:space="0"/>
              <w:right w:val="single" w:color="9BBB59" w:sz="8" w:space="0"/>
            </w:tcBorders>
            <w:shd w:val="clear" w:color="auto" w:fill="9BBB59"/>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b/>
                <w:bCs/>
                <w:color w:val="FFFFFF" w:themeColor="background1"/>
                <w:sz w:val="24"/>
                <w:szCs w:val="24"/>
                <w:vertAlign w:val="baseline"/>
                <w14:textFill>
                  <w14:solidFill>
                    <w14:schemeClr w14:val="bg1"/>
                  </w14:solidFill>
                </w14:textFill>
              </w:rPr>
            </w:pPr>
            <w:r>
              <w:rPr>
                <w:rFonts w:hint="default" w:ascii="Times New Roman" w:hAnsi="Times New Roman" w:cs="Times New Roman"/>
                <w:b/>
                <w:bCs/>
                <w:color w:val="FFFFFF" w:themeColor="background1"/>
                <w:sz w:val="24"/>
                <w:szCs w:val="24"/>
                <w:vertAlign w:val="baseline"/>
                <w14:textFill>
                  <w14:solidFill>
                    <w14:schemeClr w14:val="bg1"/>
                  </w14:solidFill>
                </w14:textFill>
              </w:rPr>
              <w:t>Economical: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rPr>
          <w:trHeight w:val="1324" w:hRule="atLeast"/>
        </w:trPr>
        <w:tc>
          <w:tcPr>
            <w:tcW w:w="4927" w:type="dxa"/>
          </w:tcPr>
          <w:p>
            <w:pPr>
              <w:keepNext w:val="0"/>
              <w:keepLines w:val="0"/>
              <w:pageBreakBefore w:val="0"/>
              <w:widowControl w:val="0"/>
              <w:numPr>
                <w:ilvl w:val="0"/>
                <w:numId w:val="5"/>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The price war and polices between China &amp; USA.</w:t>
            </w:r>
          </w:p>
          <w:p>
            <w:pPr>
              <w:keepNext w:val="0"/>
              <w:keepLines w:val="0"/>
              <w:pageBreakBefore w:val="0"/>
              <w:widowControl w:val="0"/>
              <w:numPr>
                <w:ilvl w:val="0"/>
                <w:numId w:val="5"/>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Brexit affects the rate of Pound.</w:t>
            </w:r>
          </w:p>
        </w:tc>
        <w:tc>
          <w:tcPr>
            <w:tcW w:w="4927" w:type="dxa"/>
          </w:tcPr>
          <w:p>
            <w:pPr>
              <w:keepNext w:val="0"/>
              <w:keepLines w:val="0"/>
              <w:pageBreakBefore w:val="0"/>
              <w:widowControl w:val="0"/>
              <w:numPr>
                <w:ilvl w:val="0"/>
                <w:numId w:val="5"/>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Tariff effects caused by price wars. But for Lidl, this impact is not big because Lidl pays more attention to the development of local products.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rPr>
          <w:trHeight w:val="90" w:hRule="atLeast"/>
        </w:trPr>
        <w:tc>
          <w:tcPr>
            <w:tcW w:w="4927" w:type="dxa"/>
            <w:tcBorders>
              <w:top w:val="single" w:color="9BBB59" w:sz="8" w:space="0"/>
              <w:left w:val="single" w:color="9BBB59" w:sz="8" w:space="0"/>
              <w:bottom w:val="single" w:color="9BBB59" w:sz="8" w:space="0"/>
              <w:right w:val="single" w:color="9BBB59" w:sz="8" w:space="0"/>
            </w:tcBorders>
            <w:shd w:val="clear" w:color="auto" w:fill="9BBB59"/>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b/>
                <w:bCs/>
                <w:color w:val="FFFFFF" w:themeColor="background1"/>
                <w:sz w:val="24"/>
                <w:szCs w:val="24"/>
                <w14:textFill>
                  <w14:solidFill>
                    <w14:schemeClr w14:val="bg1"/>
                  </w14:solidFill>
                </w14:textFill>
              </w:rPr>
            </w:pPr>
            <w:r>
              <w:rPr>
                <w:rFonts w:hint="default" w:ascii="Times New Roman" w:hAnsi="Times New Roman" w:cs="Times New Roman"/>
                <w:b/>
                <w:bCs/>
                <w:color w:val="FFFFFF" w:themeColor="background1"/>
                <w:sz w:val="24"/>
                <w:szCs w:val="24"/>
                <w14:textFill>
                  <w14:solidFill>
                    <w14:schemeClr w14:val="bg1"/>
                  </w14:solidFill>
                </w14:textFill>
              </w:rPr>
              <w:t>Social:</w:t>
            </w:r>
          </w:p>
        </w:tc>
        <w:tc>
          <w:tcPr>
            <w:tcW w:w="4927" w:type="dxa"/>
            <w:tcBorders>
              <w:top w:val="single" w:color="9BBB59" w:sz="8" w:space="0"/>
              <w:left w:val="single" w:color="9BBB59" w:sz="8" w:space="0"/>
              <w:bottom w:val="single" w:color="9BBB59" w:sz="8" w:space="0"/>
              <w:right w:val="single" w:color="9BBB59" w:sz="8" w:space="0"/>
            </w:tcBorders>
            <w:shd w:val="clear" w:color="auto" w:fill="9BBB59"/>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b/>
                <w:bCs/>
                <w:color w:val="FFFFFF" w:themeColor="background1"/>
                <w:sz w:val="24"/>
                <w:szCs w:val="24"/>
                <w14:textFill>
                  <w14:solidFill>
                    <w14:schemeClr w14:val="bg1"/>
                  </w14:solidFill>
                </w14:textFill>
              </w:rPr>
            </w:pPr>
            <w:r>
              <w:rPr>
                <w:rFonts w:hint="default" w:ascii="Times New Roman" w:hAnsi="Times New Roman" w:cs="Times New Roman"/>
                <w:b/>
                <w:bCs/>
                <w:color w:val="FFFFFF" w:themeColor="background1"/>
                <w:sz w:val="24"/>
                <w:szCs w:val="24"/>
                <w14:textFill>
                  <w14:solidFill>
                    <w14:schemeClr w14:val="bg1"/>
                  </w14:solidFill>
                </w14:textFill>
              </w:rPr>
              <w:t>Technology: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rPr>
          <w:trHeight w:val="1818" w:hRule="atLeast"/>
        </w:trPr>
        <w:tc>
          <w:tcPr>
            <w:tcW w:w="4927" w:type="dxa"/>
          </w:tcPr>
          <w:p>
            <w:pPr>
              <w:keepNext w:val="0"/>
              <w:keepLines w:val="0"/>
              <w:pageBreakBefore w:val="0"/>
              <w:widowControl w:val="0"/>
              <w:numPr>
                <w:ilvl w:val="0"/>
                <w:numId w:val="5"/>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Change in consumer perception - increasingly attention to food health and safety issues, vegetarian.</w:t>
            </w:r>
          </w:p>
          <w:p>
            <w:pPr>
              <w:keepNext w:val="0"/>
              <w:keepLines w:val="0"/>
              <w:pageBreakBefore w:val="0"/>
              <w:widowControl w:val="0"/>
              <w:numPr>
                <w:ilvl w:val="0"/>
                <w:numId w:val="5"/>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Employee satisfaction.</w:t>
            </w:r>
          </w:p>
          <w:p>
            <w:pPr>
              <w:keepNext w:val="0"/>
              <w:keepLines w:val="0"/>
              <w:pageBreakBefore w:val="0"/>
              <w:widowControl w:val="0"/>
              <w:numPr>
                <w:ilvl w:val="0"/>
                <w:numId w:val="5"/>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Customers have more selection in discount supermarket.</w:t>
            </w:r>
          </w:p>
          <w:p>
            <w:pPr>
              <w:keepNext w:val="0"/>
              <w:keepLines w:val="0"/>
              <w:pageBreakBefore w:val="0"/>
              <w:widowControl w:val="0"/>
              <w:numPr>
                <w:ilvl w:val="0"/>
                <w:numId w:val="5"/>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The shift of attention to product prices in the future. i.e, people may pay more attention to the quality and diversity of products.</w:t>
            </w:r>
          </w:p>
        </w:tc>
        <w:tc>
          <w:tcPr>
            <w:tcW w:w="4927" w:type="dxa"/>
          </w:tcPr>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Chars="0" w:right="0" w:rightChars="0"/>
              <w:jc w:val="both"/>
              <w:textAlignment w:val="auto"/>
              <w:outlineLvl w:val="9"/>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4th Industry Revolution - the rise of AI affect the way of people working and purchase.</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Chars="0" w:right="0" w:rightChars="0"/>
              <w:jc w:val="both"/>
              <w:textAlignment w:val="auto"/>
              <w:outlineLvl w:val="9"/>
              <w:rPr>
                <w:rFonts w:hint="default" w:ascii="Times New Roman" w:hAnsi="Times New Roman" w:cs="Times New Roman"/>
                <w:sz w:val="24"/>
                <w:szCs w:val="24"/>
                <w:vertAlign w:val="baseline"/>
              </w:rPr>
            </w:pPr>
          </w:p>
          <w:p>
            <w:pPr>
              <w:keepNext w:val="0"/>
              <w:keepLines w:val="0"/>
              <w:pageBreakBefore w:val="0"/>
              <w:widowControl w:val="0"/>
              <w:numPr>
                <w:ilvl w:val="0"/>
                <w:numId w:val="5"/>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The gig economy - affect the human resource management of Lidl.</w:t>
            </w:r>
          </w:p>
          <w:p>
            <w:pPr>
              <w:keepNext w:val="0"/>
              <w:keepLines w:val="0"/>
              <w:pageBreakBefore w:val="0"/>
              <w:widowControl w:val="0"/>
              <w:numPr>
                <w:ilvl w:val="0"/>
                <w:numId w:val="5"/>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Self-scanning - Making it easier to check out accounts so as help Lidl save labour costs</w:t>
            </w:r>
          </w:p>
          <w:p>
            <w:pPr>
              <w:keepNext w:val="0"/>
              <w:keepLines w:val="0"/>
              <w:pageBreakBefore w:val="0"/>
              <w:widowControl w:val="0"/>
              <w:numPr>
                <w:ilvl w:val="0"/>
                <w:numId w:val="5"/>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Online shopping - Physical stores may disappear in the future because people can choose goods online.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rPr>
          <w:trHeight w:val="90" w:hRule="atLeast"/>
        </w:trPr>
        <w:tc>
          <w:tcPr>
            <w:tcW w:w="4927" w:type="dxa"/>
            <w:tcBorders>
              <w:top w:val="single" w:color="9BBB59" w:sz="8" w:space="0"/>
              <w:left w:val="single" w:color="9BBB59" w:sz="8" w:space="0"/>
              <w:bottom w:val="single" w:color="9BBB59" w:sz="8" w:space="0"/>
              <w:right w:val="single" w:color="9BBB59" w:sz="8" w:space="0"/>
            </w:tcBorders>
            <w:shd w:val="clear" w:color="auto" w:fill="9BBB59"/>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b/>
                <w:bCs/>
                <w:color w:val="FFFFFF" w:themeColor="background1"/>
                <w:sz w:val="24"/>
                <w:szCs w:val="24"/>
                <w14:textFill>
                  <w14:solidFill>
                    <w14:schemeClr w14:val="bg1"/>
                  </w14:solidFill>
                </w14:textFill>
              </w:rPr>
            </w:pPr>
            <w:r>
              <w:rPr>
                <w:rFonts w:hint="default" w:ascii="Times New Roman" w:hAnsi="Times New Roman" w:cs="Times New Roman"/>
                <w:b/>
                <w:bCs/>
                <w:color w:val="FFFFFF" w:themeColor="background1"/>
                <w:sz w:val="24"/>
                <w:szCs w:val="24"/>
                <w14:textFill>
                  <w14:solidFill>
                    <w14:schemeClr w14:val="bg1"/>
                  </w14:solidFill>
                </w14:textFill>
              </w:rPr>
              <w:t>Legal:</w:t>
            </w:r>
          </w:p>
        </w:tc>
        <w:tc>
          <w:tcPr>
            <w:tcW w:w="4927" w:type="dxa"/>
            <w:tcBorders>
              <w:top w:val="single" w:color="9BBB59" w:sz="8" w:space="0"/>
              <w:left w:val="single" w:color="9BBB59" w:sz="8" w:space="0"/>
              <w:bottom w:val="single" w:color="9BBB59" w:sz="8" w:space="0"/>
              <w:right w:val="single" w:color="9BBB59" w:sz="8" w:space="0"/>
            </w:tcBorders>
            <w:shd w:val="clear" w:color="auto" w:fill="9BBB59"/>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b/>
                <w:bCs/>
                <w:color w:val="FFFFFF" w:themeColor="background1"/>
                <w:sz w:val="24"/>
                <w:szCs w:val="24"/>
                <w14:textFill>
                  <w14:solidFill>
                    <w14:schemeClr w14:val="bg1"/>
                  </w14:solidFill>
                </w14:textFill>
              </w:rPr>
            </w:pPr>
            <w:r>
              <w:rPr>
                <w:rFonts w:hint="default" w:ascii="Times New Roman" w:hAnsi="Times New Roman" w:cs="Times New Roman"/>
                <w:b/>
                <w:bCs/>
                <w:color w:val="FFFFFF" w:themeColor="background1"/>
                <w:sz w:val="24"/>
                <w:szCs w:val="24"/>
                <w14:textFill>
                  <w14:solidFill>
                    <w14:schemeClr w14:val="bg1"/>
                  </w14:solidFill>
                </w14:textFill>
              </w:rPr>
              <w:t>Environment: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rPr>
          <w:trHeight w:val="1818" w:hRule="atLeast"/>
        </w:trPr>
        <w:tc>
          <w:tcPr>
            <w:tcW w:w="4927" w:type="dxa"/>
          </w:tcPr>
          <w:p>
            <w:pPr>
              <w:keepNext w:val="0"/>
              <w:keepLines w:val="0"/>
              <w:pageBreakBefore w:val="0"/>
              <w:widowControl w:val="0"/>
              <w:numPr>
                <w:ilvl w:val="0"/>
                <w:numId w:val="5"/>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At a time when there are an increasing number of attention is paid to the protection of employees' human rights, Lidl faces a lot of controversial news about employees, which means that Lidl may have to deal with a lot of union issues and employee-related complaints.</w:t>
            </w:r>
          </w:p>
        </w:tc>
        <w:tc>
          <w:tcPr>
            <w:tcW w:w="4927" w:type="dxa"/>
          </w:tcPr>
          <w:p>
            <w:pPr>
              <w:keepNext w:val="0"/>
              <w:keepLines w:val="0"/>
              <w:pageBreakBefore w:val="0"/>
              <w:widowControl w:val="0"/>
              <w:numPr>
                <w:ilvl w:val="0"/>
                <w:numId w:val="5"/>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Carrier bags</w:t>
            </w:r>
          </w:p>
          <w:p>
            <w:pPr>
              <w:keepNext w:val="0"/>
              <w:keepLines w:val="0"/>
              <w:pageBreakBefore w:val="0"/>
              <w:widowControl w:val="0"/>
              <w:numPr>
                <w:ilvl w:val="0"/>
                <w:numId w:val="5"/>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The weather in Britain is rainy all the year round, therefore, it may affect the growth of crops to some extent.</w:t>
            </w:r>
          </w:p>
          <w:p>
            <w:pPr>
              <w:keepNext w:val="0"/>
              <w:keepLines w:val="0"/>
              <w:pageBreakBefore w:val="0"/>
              <w:widowControl w:val="0"/>
              <w:numPr>
                <w:ilvl w:val="0"/>
                <w:numId w:val="5"/>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The weather may also affect the delivery of takeout orders.</w:t>
            </w:r>
          </w:p>
          <w:p>
            <w:pPr>
              <w:keepNext w:val="0"/>
              <w:keepLines w:val="0"/>
              <w:pageBreakBefore w:val="0"/>
              <w:widowControl w:val="0"/>
              <w:numPr>
                <w:ilvl w:val="0"/>
                <w:numId w:val="5"/>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The deteriorating environment makes Lidl have to pay attention to the sustainable development of the environment (</w:t>
            </w:r>
            <w:r>
              <w:rPr>
                <w:rFonts w:hint="default" w:ascii="Times New Roman" w:hAnsi="Times New Roman" w:cs="Times New Roman"/>
                <w:sz w:val="24"/>
                <w:szCs w:val="24"/>
              </w:rPr>
              <w:t>Qing &amp; Xue, 2014)</w:t>
            </w:r>
            <w:r>
              <w:rPr>
                <w:rFonts w:hint="default" w:ascii="Times New Roman" w:hAnsi="Times New Roman" w:cs="Times New Roman"/>
                <w:sz w:val="24"/>
                <w:szCs w:val="24"/>
                <w:vertAlign w:val="baseline"/>
              </w:rPr>
              <w:t>.</w:t>
            </w:r>
          </w:p>
        </w:tc>
      </w:tr>
    </w:tbl>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sectPr>
      <w:footerReference r:id="rId15" w:type="default"/>
      <w:pgSz w:w="11906" w:h="16838"/>
      <w:pgMar w:top="1134" w:right="1134" w:bottom="1134" w:left="1134" w:header="851" w:footer="992" w:gutter="0"/>
      <w:pgNumType w:fmt="decimal"/>
      <w:cols w:space="0" w:num="1"/>
      <w:rtlGutter w:val="0"/>
      <w:docGrid w:type="lines" w:linePitch="318"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altName w:val="汉仪书宋二KW"/>
    <w:panose1 w:val="02000000000000000000"/>
    <w:charset w:val="86"/>
    <w:family w:val="auto"/>
    <w:pitch w:val="default"/>
    <w:sig w:usb0="00000001" w:usb1="08000000" w:usb2="00000000" w:usb3="00000000" w:csb0="00040000" w:csb1="00000000"/>
  </w:font>
  <w:font w:name="方正黑体_GBK">
    <w:altName w:val="苹方-简"/>
    <w:panose1 w:val="02000000000000000000"/>
    <w:charset w:val="00"/>
    <w:family w:val="auto"/>
    <w:pitch w:val="default"/>
    <w:sig w:usb0="00000001" w:usb1="08000000" w:usb2="00000000" w:usb3="00000000" w:csb0="00040000" w:csb1="00000000"/>
  </w:font>
  <w:font w:name="Cambria">
    <w:panose1 w:val="02040503050406030204"/>
    <w:charset w:val="00"/>
    <w:family w:val="roman"/>
    <w:pitch w:val="default"/>
    <w:sig w:usb0="E00006FF" w:usb1="420024FF" w:usb2="02000000" w:usb3="00000000" w:csb0="2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Arial Unicode MS">
    <w:panose1 w:val="020B0604020202020204"/>
    <w:charset w:val="86"/>
    <w:family w:val="auto"/>
    <w:pitch w:val="default"/>
    <w:sig w:usb0="FFFFFFFF" w:usb1="E9FFFFFF" w:usb2="0000003F" w:usb3="00000000" w:csb0="603F01FF" w:csb1="FFFF0000"/>
  </w:font>
  <w:font w:name="Arial Rounded MT Bold">
    <w:panose1 w:val="020F0704030504030204"/>
    <w:charset w:val="00"/>
    <w:family w:val="auto"/>
    <w:pitch w:val="default"/>
    <w:sig w:usb0="00000003" w:usb1="00000000" w:usb2="00000000" w:usb3="00000000" w:csb0="20000001" w:csb1="00000000"/>
  </w:font>
  <w:font w:name="冬青黑体简体中文">
    <w:panose1 w:val="020B0300000000000000"/>
    <w:charset w:val="86"/>
    <w:family w:val="auto"/>
    <w:pitch w:val="default"/>
    <w:sig w:usb0="A00002BF" w:usb1="1ACF7CFA" w:usb2="00000016" w:usb3="00000000" w:csb0="00060007" w:csb1="00000000"/>
  </w:font>
  <w:font w:name="兰亭黑-简">
    <w:panose1 w:val="02000000000000000000"/>
    <w:charset w:val="86"/>
    <w:family w:val="auto"/>
    <w:pitch w:val="default"/>
    <w:sig w:usb0="00000001" w:usb1="08000000" w:usb2="00000000" w:usb3="00000000" w:csb0="00040000" w:csb1="00000000"/>
  </w:font>
  <w:font w:name="RobotoRegular">
    <w:altName w:val="苹方-简"/>
    <w:panose1 w:val="00000000000000000000"/>
    <w:charset w:val="00"/>
    <w:family w:val="auto"/>
    <w:pitch w:val="default"/>
    <w:sig w:usb0="00000000" w:usb1="00000000" w:usb2="00000000" w:usb3="00000000" w:csb0="00000000" w:csb1="00000000"/>
  </w:font>
  <w:font w:name="Avenir Next Condensed">
    <w:panose1 w:val="020B0806020202020204"/>
    <w:charset w:val="00"/>
    <w:family w:val="auto"/>
    <w:pitch w:val="default"/>
    <w:sig w:usb0="8000002F" w:usb1="5000204A" w:usb2="00000000" w:usb3="00000000" w:csb0="0000009B" w:csb1="00000000"/>
  </w:font>
  <w:font w:name="-webkit-standard">
    <w:altName w:val="苹方-简"/>
    <w:panose1 w:val="00000000000000000000"/>
    <w:charset w:val="00"/>
    <w:family w:val="auto"/>
    <w:pitch w:val="default"/>
    <w:sig w:usb0="00000000" w:usb1="00000000" w:usb2="00000000" w:usb3="00000000" w:csb0="00000000" w:csb1="00000000"/>
  </w:font>
  <w:font w:name="Verdana">
    <w:panose1 w:val="020B0604030504040204"/>
    <w:charset w:val="00"/>
    <w:family w:val="auto"/>
    <w:pitch w:val="default"/>
    <w:sig w:usb0="A10006FF" w:usb1="4000205B" w:usb2="00000010" w:usb3="00000000" w:csb0="2000019F" w:csb1="00000000"/>
  </w:font>
  <w:font w:name="Wingdings">
    <w:panose1 w:val="05000000000000000000"/>
    <w:charset w:val="00"/>
    <w:family w:val="auto"/>
    <w:pitch w:val="default"/>
    <w:sig w:usb0="00000000" w:usb1="00000000" w:usb2="00000000" w:usb3="00000000" w:csb0="80000000" w:csb1="00000000"/>
  </w:font>
  <w:font w:name="Symbol">
    <w:panose1 w:val="05050102010706020507"/>
    <w:charset w:val="00"/>
    <w:family w:val="auto"/>
    <w:pitch w:val="default"/>
    <w:sig w:usb0="00000000" w:usb1="00000000" w:usb2="00000000" w:usb3="00000000" w:csb0="80000000" w:csb1="00000000"/>
  </w:font>
  <w:font w:name="Noto Sans Symbols">
    <w:altName w:val="苹方-简"/>
    <w:panose1 w:val="00000000000000000000"/>
    <w:charset w:val="00"/>
    <w:family w:val="auto"/>
    <w:pitch w:val="default"/>
    <w:sig w:usb0="00000000" w:usb1="00000000" w:usb2="00000000" w:usb3="00000000" w:csb0="00000000"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804030504040204"/>
    <w:charset w:val="00"/>
    <w:family w:val="auto"/>
    <w:pitch w:val="default"/>
    <w:sig w:usb0="E1002AFF" w:usb1="C000605B" w:usb2="00000029" w:usb3="00000000" w:csb0="200101FF" w:csb1="20280000"/>
  </w:font>
  <w:font w:name="arial">
    <w:altName w:val="苹方-简"/>
    <w:panose1 w:val="00000000000000000000"/>
    <w:charset w:val="00"/>
    <w:family w:val="auto"/>
    <w:pitch w:val="default"/>
    <w:sig w:usb0="00000000" w:usb1="00000000" w:usb2="00000000" w:usb3="00000000" w:csb0="00000000" w:csb1="00000000"/>
  </w:font>
  <w:font w:name="Open Sans">
    <w:altName w:val="苹方-简"/>
    <w:panose1 w:val="00000000000000000000"/>
    <w:charset w:val="00"/>
    <w:family w:val="auto"/>
    <w:pitch w:val="default"/>
    <w:sig w:usb0="00000000" w:usb1="00000000" w:usb2="00000000" w:usb3="00000000" w:csb0="00000000" w:csb1="00000000"/>
  </w:font>
  <w:font w:name="Wingdings">
    <w:panose1 w:val="05000000000000000000"/>
    <w:charset w:val="02"/>
    <w:family w:val="decorative"/>
    <w:pitch w:val="default"/>
    <w:sig w:usb0="00000000" w:usb1="00000000" w:usb2="00000000" w:usb3="00000000" w:csb0="80000000" w:csb1="00000000"/>
  </w:font>
  <w:font w:name="Calibri Light">
    <w:altName w:val="Helvetica Neue"/>
    <w:panose1 w:val="020F0302020204030204"/>
    <w:charset w:val="00"/>
    <w:family w:val="swiss"/>
    <w:pitch w:val="default"/>
    <w:sig w:usb0="00000000" w:usb1="00000000" w:usb2="00000000" w:usb3="00000000" w:csb0="0000019F" w:csb1="00000000"/>
  </w:font>
  <w:font w:name="Calibri">
    <w:altName w:val="Helvetica Neue"/>
    <w:panose1 w:val="020F0502020204030204"/>
    <w:charset w:val="86"/>
    <w:family w:val="swiss"/>
    <w:pitch w:val="default"/>
    <w:sig w:usb0="00000000" w:usb1="00000000" w:usb2="00000001" w:usb3="00000000" w:csb0="0000019F" w:csb1="00000000"/>
  </w:font>
  <w:font w:name="Courier New">
    <w:panose1 w:val="02070309020205020404"/>
    <w:charset w:val="00"/>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Helvetica Neue">
    <w:panose1 w:val="02000503000000020004"/>
    <w:charset w:val="86"/>
    <w:family w:val="swiss"/>
    <w:pitch w:val="default"/>
    <w:sig w:usb0="E50002FF" w:usb1="500079DB" w:usb2="0000001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66432" behindDoc="0" locked="0" layoutInCell="1" allowOverlap="1">
              <wp:simplePos x="0" y="0"/>
              <wp:positionH relativeFrom="margin">
                <wp:align>center</wp:align>
              </wp:positionH>
              <wp:positionV relativeFrom="paragraph">
                <wp:posOffset>0</wp:posOffset>
              </wp:positionV>
              <wp:extent cx="1828800" cy="1828800"/>
              <wp:effectExtent l="0" t="0" r="0" b="0"/>
              <wp:wrapNone/>
              <wp:docPr id="9" name="文本框 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2</w:t>
                          </w:r>
                          <w:r>
                            <w:rPr>
                              <w:sz w:val="18"/>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6432;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2</w:t>
                    </w:r>
                    <w:r>
                      <w:rPr>
                        <w:sz w:val="18"/>
                      </w:rP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65408" behindDoc="0" locked="0" layoutInCell="1" allowOverlap="1">
              <wp:simplePos x="0" y="0"/>
              <wp:positionH relativeFrom="margin">
                <wp:align>center</wp:align>
              </wp:positionH>
              <wp:positionV relativeFrom="paragraph">
                <wp:posOffset>0</wp:posOffset>
              </wp:positionV>
              <wp:extent cx="1828800" cy="1828800"/>
              <wp:effectExtent l="0" t="0" r="0" b="0"/>
              <wp:wrapNone/>
              <wp:docPr id="8" name="文本框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5408;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v:textbox>
            </v:shape>
          </w:pict>
        </mc:Fallback>
      </mc:AlternateConten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center"/>
      <w:rPr>
        <w:rFonts w:hint="default" w:ascii="Times New Roman" w:hAnsi="Times New Roman" w:cs="Times New Roman"/>
        <w:sz w:val="24"/>
        <w:szCs w:val="24"/>
      </w:rP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center"/>
      <w:rPr>
        <w:rFonts w:hint="default" w:ascii="Times New Roman" w:hAnsi="Times New Roman" w:cs="Times New Roman"/>
        <w:sz w:val="24"/>
        <w:szCs w:val="24"/>
      </w:rPr>
    </w:pPr>
    <w:r>
      <w:rPr>
        <w:rFonts w:hint="default" w:ascii="Times New Roman" w:hAnsi="Times New Roman" w:cs="Times New Roman"/>
        <w:sz w:val="24"/>
        <w:szCs w:val="24"/>
      </w:rPr>
      <w:t>TABLE OF CONTENTS</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center"/>
      <w:rPr>
        <w:rFonts w:hint="default" w:ascii="Times New Roman" w:hAnsi="Times New Roman" w:cs="Times New Roman"/>
        <w:sz w:val="24"/>
        <w:szCs w:val="24"/>
      </w:rPr>
    </w:pPr>
    <w:r>
      <w:rPr>
        <w:rFonts w:hint="default" w:ascii="Times New Roman" w:hAnsi="Times New Roman" w:cs="Times New Roman"/>
        <w:sz w:val="24"/>
        <w:szCs w:val="24"/>
      </w:rPr>
      <w:t>EXECUTIVE SUMMARY</w:t>
    </w: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center"/>
      <w:rPr>
        <w:rFonts w:hint="default" w:ascii="Times New Roman" w:hAnsi="Times New Roman" w:cs="Times New Roman"/>
        <w:sz w:val="24"/>
        <w:szCs w:val="24"/>
      </w:rPr>
    </w:pPr>
    <w:r>
      <w:rPr>
        <w:rFonts w:hint="default" w:ascii="Times New Roman" w:hAnsi="Times New Roman" w:cs="Times New Roman"/>
        <w:sz w:val="24"/>
        <w:szCs w:val="24"/>
      </w:rPr>
      <w:t>INTRODUCTION</w:t>
    </w: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center"/>
      <w:rPr>
        <w:rFonts w:hint="default" w:ascii="Times New Roman" w:hAnsi="Times New Roman" w:cs="Times New Roman"/>
        <w:sz w:val="24"/>
        <w:szCs w:val="24"/>
      </w:rPr>
    </w:pPr>
    <w:r>
      <w:rPr>
        <w:rFonts w:hint="default" w:ascii="Times New Roman" w:hAnsi="Times New Roman" w:cs="Times New Roman"/>
        <w:sz w:val="24"/>
        <w:szCs w:val="24"/>
      </w:rPr>
      <w:t>MAIN BODY</w:t>
    </w:r>
  </w:p>
</w:hdr>
</file>

<file path=word/header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center"/>
      <w:rPr>
        <w:rFonts w:hint="default" w:ascii="Times New Roman" w:hAnsi="Times New Roman" w:cs="Times New Roman"/>
        <w:sz w:val="24"/>
        <w:szCs w:val="24"/>
      </w:rPr>
    </w:pPr>
    <w:r>
      <w:rPr>
        <w:rFonts w:hint="default" w:ascii="Times New Roman" w:hAnsi="Times New Roman" w:cs="Times New Roman"/>
        <w:sz w:val="24"/>
        <w:szCs w:val="24"/>
      </w:rPr>
      <w:t>CONCLUSION</w:t>
    </w:r>
  </w:p>
</w:hdr>
</file>

<file path=word/header7.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center"/>
      <w:rPr>
        <w:rFonts w:hint="default" w:ascii="Times New Roman" w:hAnsi="Times New Roman" w:cs="Times New Roman"/>
        <w:sz w:val="24"/>
        <w:szCs w:val="24"/>
      </w:rPr>
    </w:pPr>
    <w:r>
      <w:rPr>
        <w:rFonts w:hint="default" w:ascii="Times New Roman" w:hAnsi="Times New Roman" w:cs="Times New Roman"/>
        <w:sz w:val="24"/>
        <w:szCs w:val="24"/>
      </w:rPr>
      <w:t>RECOMMENDATIONS</w:t>
    </w:r>
  </w:p>
</w:hdr>
</file>

<file path=word/header8.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center"/>
      <w:rPr>
        <w:rFonts w:hint="default" w:ascii="Times New Roman" w:hAnsi="Times New Roman" w:cs="Times New Roman"/>
        <w:sz w:val="24"/>
        <w:szCs w:val="24"/>
      </w:rPr>
    </w:pPr>
    <w:r>
      <w:rPr>
        <w:rFonts w:hint="default" w:ascii="Times New Roman" w:hAnsi="Times New Roman" w:cs="Times New Roman"/>
        <w:sz w:val="24"/>
        <w:szCs w:val="24"/>
      </w:rPr>
      <w:t>REFERENCES</w:t>
    </w:r>
  </w:p>
</w:hdr>
</file>

<file path=word/header9.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center"/>
      <w:rPr>
        <w:rFonts w:hint="default" w:ascii="Times New Roman" w:hAnsi="Times New Roman" w:cs="Times New Roman"/>
        <w:sz w:val="24"/>
        <w:szCs w:val="24"/>
      </w:rPr>
    </w:pPr>
    <w:r>
      <w:rPr>
        <w:rFonts w:hint="default" w:ascii="Times New Roman" w:hAnsi="Times New Roman" w:cs="Times New Roman"/>
        <w:sz w:val="24"/>
        <w:szCs w:val="24"/>
      </w:rPr>
      <w:t>APPENDIX</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DCBDBFF"/>
    <w:multiLevelType w:val="singleLevel"/>
    <w:tmpl w:val="5DCBDBFF"/>
    <w:lvl w:ilvl="0" w:tentative="0">
      <w:start w:val="1"/>
      <w:numFmt w:val="bullet"/>
      <w:lvlText w:val=""/>
      <w:lvlJc w:val="left"/>
      <w:pPr>
        <w:ind w:left="420" w:leftChars="0" w:hanging="420" w:firstLineChars="0"/>
      </w:pPr>
      <w:rPr>
        <w:rFonts w:hint="default" w:ascii="Wingdings" w:hAnsi="Wingdings"/>
      </w:rPr>
    </w:lvl>
  </w:abstractNum>
  <w:abstractNum w:abstractNumId="1">
    <w:nsid w:val="5DD19EC7"/>
    <w:multiLevelType w:val="singleLevel"/>
    <w:tmpl w:val="5DD19EC7"/>
    <w:lvl w:ilvl="0" w:tentative="0">
      <w:start w:val="1"/>
      <w:numFmt w:val="decimal"/>
      <w:suff w:val="space"/>
      <w:lvlText w:val="%1."/>
      <w:lvlJc w:val="left"/>
    </w:lvl>
  </w:abstractNum>
  <w:abstractNum w:abstractNumId="2">
    <w:nsid w:val="5DD4546F"/>
    <w:multiLevelType w:val="singleLevel"/>
    <w:tmpl w:val="5DD4546F"/>
    <w:lvl w:ilvl="0" w:tentative="0">
      <w:start w:val="1"/>
      <w:numFmt w:val="bullet"/>
      <w:lvlText w:val=""/>
      <w:lvlJc w:val="left"/>
      <w:pPr>
        <w:ind w:left="420" w:leftChars="0" w:hanging="420" w:firstLineChars="0"/>
      </w:pPr>
      <w:rPr>
        <w:rFonts w:hint="default" w:ascii="Wingdings" w:hAnsi="Wingdings"/>
      </w:rPr>
    </w:lvl>
  </w:abstractNum>
  <w:abstractNum w:abstractNumId="3">
    <w:nsid w:val="5DDC1484"/>
    <w:multiLevelType w:val="singleLevel"/>
    <w:tmpl w:val="5DDC1484"/>
    <w:lvl w:ilvl="0" w:tentative="0">
      <w:start w:val="1"/>
      <w:numFmt w:val="decimal"/>
      <w:suff w:val="space"/>
      <w:lvlText w:val="%1)"/>
      <w:lvlJc w:val="left"/>
    </w:lvl>
  </w:abstractNum>
  <w:abstractNum w:abstractNumId="4">
    <w:nsid w:val="5DDC2C61"/>
    <w:multiLevelType w:val="singleLevel"/>
    <w:tmpl w:val="5DDC2C61"/>
    <w:lvl w:ilvl="0" w:tentative="0">
      <w:start w:val="1"/>
      <w:numFmt w:val="decimal"/>
      <w:suff w:val="space"/>
      <w:lvlText w:val="%1)"/>
      <w:lvlJc w:val="left"/>
    </w:lvl>
  </w:abstractNum>
  <w:num w:numId="1">
    <w:abstractNumId w:val="0"/>
  </w:num>
  <w:num w:numId="2">
    <w:abstractNumId w:val="3"/>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6"/>
  <w:embedSystemFonts/>
  <w:bordersDoNotSurroundHeader w:val="0"/>
  <w:bordersDoNotSurroundFooter w:val="0"/>
  <w:documentProtection w:enforcement="0"/>
  <w:defaultTabStop w:val="420"/>
  <w:drawingGridVerticalSpacing w:val="159"/>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E4976C09"/>
    <w:rsid w:val="06FF0918"/>
    <w:rsid w:val="09DDC8C9"/>
    <w:rsid w:val="0A3F4967"/>
    <w:rsid w:val="0BFF2C5B"/>
    <w:rsid w:val="0DBEC074"/>
    <w:rsid w:val="0DF5A5A9"/>
    <w:rsid w:val="0E3FA0DD"/>
    <w:rsid w:val="0F5BDFA2"/>
    <w:rsid w:val="0F9F9A0A"/>
    <w:rsid w:val="0FF7EB70"/>
    <w:rsid w:val="11D76533"/>
    <w:rsid w:val="135F8266"/>
    <w:rsid w:val="13BBB4A2"/>
    <w:rsid w:val="13EF6C29"/>
    <w:rsid w:val="13FA5A0D"/>
    <w:rsid w:val="155D5C04"/>
    <w:rsid w:val="1574B8C3"/>
    <w:rsid w:val="15EBDC7B"/>
    <w:rsid w:val="15ED57A1"/>
    <w:rsid w:val="16EEF8EB"/>
    <w:rsid w:val="16FA1F4D"/>
    <w:rsid w:val="17BD9DAA"/>
    <w:rsid w:val="17EEF4DA"/>
    <w:rsid w:val="193F277B"/>
    <w:rsid w:val="1BDFC414"/>
    <w:rsid w:val="1BEF21F4"/>
    <w:rsid w:val="1BF2DCA2"/>
    <w:rsid w:val="1BF33E12"/>
    <w:rsid w:val="1C9CB353"/>
    <w:rsid w:val="1CCF557B"/>
    <w:rsid w:val="1CF7247F"/>
    <w:rsid w:val="1D2F6ADA"/>
    <w:rsid w:val="1DB5B7A6"/>
    <w:rsid w:val="1DEFD470"/>
    <w:rsid w:val="1DF39F34"/>
    <w:rsid w:val="1DFE8591"/>
    <w:rsid w:val="1DFF2CAD"/>
    <w:rsid w:val="1EFDA2FF"/>
    <w:rsid w:val="1F7F706D"/>
    <w:rsid w:val="1FAB78F1"/>
    <w:rsid w:val="1FCF4C1D"/>
    <w:rsid w:val="1FDB2D26"/>
    <w:rsid w:val="1FEDA949"/>
    <w:rsid w:val="1FEFF23B"/>
    <w:rsid w:val="1FFB7352"/>
    <w:rsid w:val="25B759F2"/>
    <w:rsid w:val="25FF5A24"/>
    <w:rsid w:val="27D767B7"/>
    <w:rsid w:val="27F7F65C"/>
    <w:rsid w:val="27FEA9F5"/>
    <w:rsid w:val="27FF8446"/>
    <w:rsid w:val="2A37E094"/>
    <w:rsid w:val="2A9F8A79"/>
    <w:rsid w:val="2AFF0102"/>
    <w:rsid w:val="2AFF07AA"/>
    <w:rsid w:val="2B979D22"/>
    <w:rsid w:val="2B9F496F"/>
    <w:rsid w:val="2D5FB611"/>
    <w:rsid w:val="2ED9BBB7"/>
    <w:rsid w:val="2F2BB778"/>
    <w:rsid w:val="2F2D5296"/>
    <w:rsid w:val="2F4E2773"/>
    <w:rsid w:val="2F6B5EB2"/>
    <w:rsid w:val="2F766B34"/>
    <w:rsid w:val="2F790105"/>
    <w:rsid w:val="2FAFB8A0"/>
    <w:rsid w:val="2FEF18E8"/>
    <w:rsid w:val="30FF6E34"/>
    <w:rsid w:val="31AFED4C"/>
    <w:rsid w:val="33601664"/>
    <w:rsid w:val="33EB6BD8"/>
    <w:rsid w:val="33FEDF45"/>
    <w:rsid w:val="34DB7EBA"/>
    <w:rsid w:val="34E49894"/>
    <w:rsid w:val="359EA049"/>
    <w:rsid w:val="35E77008"/>
    <w:rsid w:val="35F7A968"/>
    <w:rsid w:val="36271E87"/>
    <w:rsid w:val="377FAC6D"/>
    <w:rsid w:val="37AE4242"/>
    <w:rsid w:val="37AFFBB5"/>
    <w:rsid w:val="37DF9BCF"/>
    <w:rsid w:val="37DFE66D"/>
    <w:rsid w:val="37E7069C"/>
    <w:rsid w:val="37E7CD8A"/>
    <w:rsid w:val="37F7C3DA"/>
    <w:rsid w:val="37FB4925"/>
    <w:rsid w:val="37FB7E97"/>
    <w:rsid w:val="37FF9846"/>
    <w:rsid w:val="38F761E9"/>
    <w:rsid w:val="38FF4487"/>
    <w:rsid w:val="396F4A1F"/>
    <w:rsid w:val="39E31F4E"/>
    <w:rsid w:val="39EBA3D2"/>
    <w:rsid w:val="3B7CC268"/>
    <w:rsid w:val="3B7D1471"/>
    <w:rsid w:val="3BBF83C2"/>
    <w:rsid w:val="3BCB9109"/>
    <w:rsid w:val="3C5ECFD3"/>
    <w:rsid w:val="3CFFE76B"/>
    <w:rsid w:val="3D17CB31"/>
    <w:rsid w:val="3DAE2533"/>
    <w:rsid w:val="3DD5B21B"/>
    <w:rsid w:val="3DDC8599"/>
    <w:rsid w:val="3DDEFE11"/>
    <w:rsid w:val="3DF9D3E4"/>
    <w:rsid w:val="3DFF28A0"/>
    <w:rsid w:val="3E9F0EF6"/>
    <w:rsid w:val="3EFE2C15"/>
    <w:rsid w:val="3EFEF815"/>
    <w:rsid w:val="3EFFB552"/>
    <w:rsid w:val="3F1DE908"/>
    <w:rsid w:val="3F458C2A"/>
    <w:rsid w:val="3F6E4271"/>
    <w:rsid w:val="3F7FE3A4"/>
    <w:rsid w:val="3FAD67B7"/>
    <w:rsid w:val="3FAF3219"/>
    <w:rsid w:val="3FAF58C6"/>
    <w:rsid w:val="3FB2D895"/>
    <w:rsid w:val="3FBCE088"/>
    <w:rsid w:val="3FBD5157"/>
    <w:rsid w:val="3FBE8CD9"/>
    <w:rsid w:val="3FDA1136"/>
    <w:rsid w:val="3FDFE11C"/>
    <w:rsid w:val="3FEF8C07"/>
    <w:rsid w:val="3FF75182"/>
    <w:rsid w:val="3FFBD18F"/>
    <w:rsid w:val="3FFDDA46"/>
    <w:rsid w:val="3FFE7F72"/>
    <w:rsid w:val="3FFF18DC"/>
    <w:rsid w:val="3FFF4E5E"/>
    <w:rsid w:val="40F6DE2F"/>
    <w:rsid w:val="41F7AE39"/>
    <w:rsid w:val="41FF55DD"/>
    <w:rsid w:val="42B3B6C5"/>
    <w:rsid w:val="43D63835"/>
    <w:rsid w:val="477F55F1"/>
    <w:rsid w:val="47DFE806"/>
    <w:rsid w:val="47FF2072"/>
    <w:rsid w:val="48EFF11B"/>
    <w:rsid w:val="49BB8466"/>
    <w:rsid w:val="4ADFC0D9"/>
    <w:rsid w:val="4CB6CAD8"/>
    <w:rsid w:val="4D7F858D"/>
    <w:rsid w:val="4DEFA159"/>
    <w:rsid w:val="4F77436E"/>
    <w:rsid w:val="4F9D2099"/>
    <w:rsid w:val="4FB3AEB5"/>
    <w:rsid w:val="4FDCEF6A"/>
    <w:rsid w:val="4FF37B69"/>
    <w:rsid w:val="4FF99BC2"/>
    <w:rsid w:val="4FFCFAFE"/>
    <w:rsid w:val="4FFE4999"/>
    <w:rsid w:val="51DFEBC3"/>
    <w:rsid w:val="52D21587"/>
    <w:rsid w:val="5387E45F"/>
    <w:rsid w:val="53D3F2CC"/>
    <w:rsid w:val="53F78040"/>
    <w:rsid w:val="559EC859"/>
    <w:rsid w:val="559FD3B6"/>
    <w:rsid w:val="55DFB98B"/>
    <w:rsid w:val="55E71EAA"/>
    <w:rsid w:val="55FF08FC"/>
    <w:rsid w:val="567F0894"/>
    <w:rsid w:val="567F0908"/>
    <w:rsid w:val="57C17C4E"/>
    <w:rsid w:val="57CFC364"/>
    <w:rsid w:val="57EF7AD4"/>
    <w:rsid w:val="58BDDBEA"/>
    <w:rsid w:val="58FEBD4E"/>
    <w:rsid w:val="590FA9CE"/>
    <w:rsid w:val="59AE777B"/>
    <w:rsid w:val="59B159C8"/>
    <w:rsid w:val="59CD6D20"/>
    <w:rsid w:val="59D73570"/>
    <w:rsid w:val="59FF37E7"/>
    <w:rsid w:val="59FF8185"/>
    <w:rsid w:val="5B5F1374"/>
    <w:rsid w:val="5B93B9DF"/>
    <w:rsid w:val="5BBE083D"/>
    <w:rsid w:val="5BDE50E5"/>
    <w:rsid w:val="5BDE5153"/>
    <w:rsid w:val="5BFFF15E"/>
    <w:rsid w:val="5D47528F"/>
    <w:rsid w:val="5D55B7C6"/>
    <w:rsid w:val="5DAE1A18"/>
    <w:rsid w:val="5DAFA090"/>
    <w:rsid w:val="5DBA90E7"/>
    <w:rsid w:val="5DED4086"/>
    <w:rsid w:val="5DEF913C"/>
    <w:rsid w:val="5DEFA78A"/>
    <w:rsid w:val="5EBBF52B"/>
    <w:rsid w:val="5EBFCF43"/>
    <w:rsid w:val="5EDDD2E3"/>
    <w:rsid w:val="5EE77701"/>
    <w:rsid w:val="5EE7BCC9"/>
    <w:rsid w:val="5EF79FA6"/>
    <w:rsid w:val="5F170144"/>
    <w:rsid w:val="5F6F8F8F"/>
    <w:rsid w:val="5F6F9E55"/>
    <w:rsid w:val="5F7DCC20"/>
    <w:rsid w:val="5FA5DD89"/>
    <w:rsid w:val="5FB6A3F1"/>
    <w:rsid w:val="5FBEA359"/>
    <w:rsid w:val="5FBEB2BF"/>
    <w:rsid w:val="5FD78591"/>
    <w:rsid w:val="5FFBAD4C"/>
    <w:rsid w:val="5FFC8423"/>
    <w:rsid w:val="5FFD90B5"/>
    <w:rsid w:val="5FFD9676"/>
    <w:rsid w:val="5FFF04DD"/>
    <w:rsid w:val="61BD6DCF"/>
    <w:rsid w:val="61FE5A54"/>
    <w:rsid w:val="6290ACBE"/>
    <w:rsid w:val="62EDD8DA"/>
    <w:rsid w:val="62FFC014"/>
    <w:rsid w:val="62FFC1E4"/>
    <w:rsid w:val="64595182"/>
    <w:rsid w:val="649C6230"/>
    <w:rsid w:val="64BCF305"/>
    <w:rsid w:val="653FC05A"/>
    <w:rsid w:val="65B5F7F2"/>
    <w:rsid w:val="65FB1295"/>
    <w:rsid w:val="66DF84DA"/>
    <w:rsid w:val="66F4F902"/>
    <w:rsid w:val="67671636"/>
    <w:rsid w:val="67BE6E40"/>
    <w:rsid w:val="67CF2D3E"/>
    <w:rsid w:val="67DAA4BB"/>
    <w:rsid w:val="67DF00DF"/>
    <w:rsid w:val="67FB334D"/>
    <w:rsid w:val="68FE4D66"/>
    <w:rsid w:val="69AE17F7"/>
    <w:rsid w:val="69CA0F6A"/>
    <w:rsid w:val="69EF3D40"/>
    <w:rsid w:val="69F5E880"/>
    <w:rsid w:val="69FD2469"/>
    <w:rsid w:val="6ABFFD3F"/>
    <w:rsid w:val="6B5BD821"/>
    <w:rsid w:val="6B8FE689"/>
    <w:rsid w:val="6BAC03A8"/>
    <w:rsid w:val="6BAD3F10"/>
    <w:rsid w:val="6BBF5829"/>
    <w:rsid w:val="6BD39EC3"/>
    <w:rsid w:val="6BDD43A6"/>
    <w:rsid w:val="6BF11418"/>
    <w:rsid w:val="6BF768F0"/>
    <w:rsid w:val="6BF7FE22"/>
    <w:rsid w:val="6BFA8F9C"/>
    <w:rsid w:val="6BFFAFF5"/>
    <w:rsid w:val="6CFEB006"/>
    <w:rsid w:val="6D1F3DEE"/>
    <w:rsid w:val="6D7B207B"/>
    <w:rsid w:val="6D7F7260"/>
    <w:rsid w:val="6DBE6497"/>
    <w:rsid w:val="6DDC4DE2"/>
    <w:rsid w:val="6DE9CF08"/>
    <w:rsid w:val="6DFBC406"/>
    <w:rsid w:val="6DFF2809"/>
    <w:rsid w:val="6DFF59BE"/>
    <w:rsid w:val="6E5E1348"/>
    <w:rsid w:val="6E6F7C57"/>
    <w:rsid w:val="6E7426B8"/>
    <w:rsid w:val="6EBFB2FA"/>
    <w:rsid w:val="6EDE26D8"/>
    <w:rsid w:val="6EDEAE7C"/>
    <w:rsid w:val="6EE0BD9B"/>
    <w:rsid w:val="6EEB98E2"/>
    <w:rsid w:val="6EFBE024"/>
    <w:rsid w:val="6EFFE1D9"/>
    <w:rsid w:val="6F4B3CCE"/>
    <w:rsid w:val="6F7FA839"/>
    <w:rsid w:val="6F7FEEFE"/>
    <w:rsid w:val="6FB38529"/>
    <w:rsid w:val="6FBB1E02"/>
    <w:rsid w:val="6FBD76D3"/>
    <w:rsid w:val="6FD18D0D"/>
    <w:rsid w:val="6FD87223"/>
    <w:rsid w:val="6FEBAB8B"/>
    <w:rsid w:val="6FED5457"/>
    <w:rsid w:val="6FEF27CD"/>
    <w:rsid w:val="6FEF9B85"/>
    <w:rsid w:val="6FEFCD7F"/>
    <w:rsid w:val="6FF7082E"/>
    <w:rsid w:val="6FF793CB"/>
    <w:rsid w:val="6FFD3A3B"/>
    <w:rsid w:val="6FFD96B4"/>
    <w:rsid w:val="6FFE084E"/>
    <w:rsid w:val="6FFFBF70"/>
    <w:rsid w:val="6FFFC78A"/>
    <w:rsid w:val="70F627DE"/>
    <w:rsid w:val="721FFEBC"/>
    <w:rsid w:val="72FF64D7"/>
    <w:rsid w:val="733C0196"/>
    <w:rsid w:val="734923FE"/>
    <w:rsid w:val="73B70455"/>
    <w:rsid w:val="73DDA674"/>
    <w:rsid w:val="73E92A32"/>
    <w:rsid w:val="73F75F34"/>
    <w:rsid w:val="73FDE11D"/>
    <w:rsid w:val="74BF8212"/>
    <w:rsid w:val="74BFE0F5"/>
    <w:rsid w:val="74F99E65"/>
    <w:rsid w:val="74FCCD06"/>
    <w:rsid w:val="74FED8F3"/>
    <w:rsid w:val="752E47BA"/>
    <w:rsid w:val="755CDB38"/>
    <w:rsid w:val="755F4716"/>
    <w:rsid w:val="7585C29A"/>
    <w:rsid w:val="75AB19D2"/>
    <w:rsid w:val="75AF4D1A"/>
    <w:rsid w:val="75D7CCDE"/>
    <w:rsid w:val="75DF4085"/>
    <w:rsid w:val="75E3B8F9"/>
    <w:rsid w:val="75FAC539"/>
    <w:rsid w:val="75FB3350"/>
    <w:rsid w:val="75FFF4E3"/>
    <w:rsid w:val="7616A5E4"/>
    <w:rsid w:val="76252889"/>
    <w:rsid w:val="76975FEA"/>
    <w:rsid w:val="76AF0938"/>
    <w:rsid w:val="76D58F7F"/>
    <w:rsid w:val="76D77FF4"/>
    <w:rsid w:val="76E71CBF"/>
    <w:rsid w:val="76EFC9B3"/>
    <w:rsid w:val="76F77D26"/>
    <w:rsid w:val="76FF50D7"/>
    <w:rsid w:val="77579151"/>
    <w:rsid w:val="775F731C"/>
    <w:rsid w:val="776E77F8"/>
    <w:rsid w:val="776F828D"/>
    <w:rsid w:val="77770BDD"/>
    <w:rsid w:val="779BE1E0"/>
    <w:rsid w:val="779BE729"/>
    <w:rsid w:val="77B75C0D"/>
    <w:rsid w:val="77BBB459"/>
    <w:rsid w:val="77BEE4EF"/>
    <w:rsid w:val="77D758E0"/>
    <w:rsid w:val="77DEC047"/>
    <w:rsid w:val="77E30C66"/>
    <w:rsid w:val="77E98B6F"/>
    <w:rsid w:val="77EF16DE"/>
    <w:rsid w:val="77EF339B"/>
    <w:rsid w:val="77EFB7BD"/>
    <w:rsid w:val="77F5A740"/>
    <w:rsid w:val="77FB2D6D"/>
    <w:rsid w:val="77FE98AC"/>
    <w:rsid w:val="77FFE7A6"/>
    <w:rsid w:val="78BBB2EE"/>
    <w:rsid w:val="799EA326"/>
    <w:rsid w:val="79DFA172"/>
    <w:rsid w:val="79FF4619"/>
    <w:rsid w:val="7A3342EA"/>
    <w:rsid w:val="7A6F8CEE"/>
    <w:rsid w:val="7A76B5B4"/>
    <w:rsid w:val="7A7BA4F7"/>
    <w:rsid w:val="7A7D234B"/>
    <w:rsid w:val="7A7F1A2F"/>
    <w:rsid w:val="7A9D5182"/>
    <w:rsid w:val="7ABF9E59"/>
    <w:rsid w:val="7AD51DD4"/>
    <w:rsid w:val="7ADF39DF"/>
    <w:rsid w:val="7AEF346B"/>
    <w:rsid w:val="7AEF98BF"/>
    <w:rsid w:val="7AFAD133"/>
    <w:rsid w:val="7B37DE6F"/>
    <w:rsid w:val="7B5FE278"/>
    <w:rsid w:val="7B6C0020"/>
    <w:rsid w:val="7B6F3433"/>
    <w:rsid w:val="7B6F37A5"/>
    <w:rsid w:val="7B7DE148"/>
    <w:rsid w:val="7B7E5A5C"/>
    <w:rsid w:val="7B7EFD36"/>
    <w:rsid w:val="7B7F3CF6"/>
    <w:rsid w:val="7B7FD8D4"/>
    <w:rsid w:val="7B9F6D89"/>
    <w:rsid w:val="7BAF9E01"/>
    <w:rsid w:val="7BBABACF"/>
    <w:rsid w:val="7BBB89C3"/>
    <w:rsid w:val="7BBD65A4"/>
    <w:rsid w:val="7BBD85BA"/>
    <w:rsid w:val="7BBF71F0"/>
    <w:rsid w:val="7BC9379C"/>
    <w:rsid w:val="7BCB8277"/>
    <w:rsid w:val="7BCF3EF1"/>
    <w:rsid w:val="7BE95167"/>
    <w:rsid w:val="7BF38F36"/>
    <w:rsid w:val="7BF5A9A7"/>
    <w:rsid w:val="7BF6FDE7"/>
    <w:rsid w:val="7BFAD396"/>
    <w:rsid w:val="7BFCDA04"/>
    <w:rsid w:val="7BFF5714"/>
    <w:rsid w:val="7C3B4DAC"/>
    <w:rsid w:val="7C54D7F2"/>
    <w:rsid w:val="7C5E605F"/>
    <w:rsid w:val="7C7E5729"/>
    <w:rsid w:val="7CBF67CB"/>
    <w:rsid w:val="7CBFB629"/>
    <w:rsid w:val="7CF7B51C"/>
    <w:rsid w:val="7CFF33CE"/>
    <w:rsid w:val="7D5F479C"/>
    <w:rsid w:val="7D6D89BE"/>
    <w:rsid w:val="7D7D32BE"/>
    <w:rsid w:val="7D7D5375"/>
    <w:rsid w:val="7D7F5A44"/>
    <w:rsid w:val="7DAB56B0"/>
    <w:rsid w:val="7DB78E02"/>
    <w:rsid w:val="7DCB5B41"/>
    <w:rsid w:val="7DDA0D2A"/>
    <w:rsid w:val="7DDF5E51"/>
    <w:rsid w:val="7DE51DD3"/>
    <w:rsid w:val="7DE72759"/>
    <w:rsid w:val="7DFBFB2D"/>
    <w:rsid w:val="7DFC0AE5"/>
    <w:rsid w:val="7DFFB5D0"/>
    <w:rsid w:val="7E0F0AD0"/>
    <w:rsid w:val="7E39E92C"/>
    <w:rsid w:val="7E5D320A"/>
    <w:rsid w:val="7E72AFE3"/>
    <w:rsid w:val="7E8CE944"/>
    <w:rsid w:val="7E8F4DE9"/>
    <w:rsid w:val="7E9FBB95"/>
    <w:rsid w:val="7EADC24C"/>
    <w:rsid w:val="7EB70E0D"/>
    <w:rsid w:val="7EBE6223"/>
    <w:rsid w:val="7EBF0B1F"/>
    <w:rsid w:val="7EBF91AA"/>
    <w:rsid w:val="7EC70BC6"/>
    <w:rsid w:val="7EDF3492"/>
    <w:rsid w:val="7EDFD429"/>
    <w:rsid w:val="7EF4FCA8"/>
    <w:rsid w:val="7EF5774D"/>
    <w:rsid w:val="7EF76EB4"/>
    <w:rsid w:val="7EFD2956"/>
    <w:rsid w:val="7EFFC411"/>
    <w:rsid w:val="7EFFD3E8"/>
    <w:rsid w:val="7F37F509"/>
    <w:rsid w:val="7F39AAE6"/>
    <w:rsid w:val="7F3F331F"/>
    <w:rsid w:val="7F42AB6C"/>
    <w:rsid w:val="7F4FF1E9"/>
    <w:rsid w:val="7F560EEF"/>
    <w:rsid w:val="7F578F78"/>
    <w:rsid w:val="7F5F5255"/>
    <w:rsid w:val="7F67F935"/>
    <w:rsid w:val="7F6B634C"/>
    <w:rsid w:val="7F79048B"/>
    <w:rsid w:val="7F7D92DF"/>
    <w:rsid w:val="7F7D9D2E"/>
    <w:rsid w:val="7F7F4E40"/>
    <w:rsid w:val="7F7F7293"/>
    <w:rsid w:val="7F7FE0D7"/>
    <w:rsid w:val="7F8EDB2F"/>
    <w:rsid w:val="7F992FE0"/>
    <w:rsid w:val="7F9AA374"/>
    <w:rsid w:val="7F9B6525"/>
    <w:rsid w:val="7FA5E897"/>
    <w:rsid w:val="7FAF9309"/>
    <w:rsid w:val="7FB12C74"/>
    <w:rsid w:val="7FB2C3D2"/>
    <w:rsid w:val="7FBB5560"/>
    <w:rsid w:val="7FBB857E"/>
    <w:rsid w:val="7FBCA9B4"/>
    <w:rsid w:val="7FBF67AF"/>
    <w:rsid w:val="7FCB0F83"/>
    <w:rsid w:val="7FCB360F"/>
    <w:rsid w:val="7FCFE2B2"/>
    <w:rsid w:val="7FD33476"/>
    <w:rsid w:val="7FD6CE60"/>
    <w:rsid w:val="7FD8EE04"/>
    <w:rsid w:val="7FDF6EC1"/>
    <w:rsid w:val="7FDFA4A5"/>
    <w:rsid w:val="7FDFB666"/>
    <w:rsid w:val="7FE52B28"/>
    <w:rsid w:val="7FEA26C1"/>
    <w:rsid w:val="7FEA31D6"/>
    <w:rsid w:val="7FEBB140"/>
    <w:rsid w:val="7FEEE435"/>
    <w:rsid w:val="7FEF0294"/>
    <w:rsid w:val="7FF37232"/>
    <w:rsid w:val="7FF4476D"/>
    <w:rsid w:val="7FF5B96E"/>
    <w:rsid w:val="7FF71AFD"/>
    <w:rsid w:val="7FF779F9"/>
    <w:rsid w:val="7FF7FFB7"/>
    <w:rsid w:val="7FF95265"/>
    <w:rsid w:val="7FFB5468"/>
    <w:rsid w:val="7FFB6780"/>
    <w:rsid w:val="7FFCFFAC"/>
    <w:rsid w:val="7FFD17BB"/>
    <w:rsid w:val="7FFD894E"/>
    <w:rsid w:val="7FFE05C2"/>
    <w:rsid w:val="7FFE293D"/>
    <w:rsid w:val="7FFE8854"/>
    <w:rsid w:val="7FFE9739"/>
    <w:rsid w:val="7FFE9910"/>
    <w:rsid w:val="7FFEB17F"/>
    <w:rsid w:val="7FFF0818"/>
    <w:rsid w:val="7FFF0DE9"/>
    <w:rsid w:val="7FFF4E61"/>
    <w:rsid w:val="7FFF527F"/>
    <w:rsid w:val="7FFF551E"/>
    <w:rsid w:val="7FFFA08E"/>
    <w:rsid w:val="7FFFC78A"/>
    <w:rsid w:val="7FFFF50E"/>
    <w:rsid w:val="7FFFFDE0"/>
    <w:rsid w:val="7FFFFE86"/>
    <w:rsid w:val="833F701D"/>
    <w:rsid w:val="83FE1421"/>
    <w:rsid w:val="897701D6"/>
    <w:rsid w:val="8ADECAC2"/>
    <w:rsid w:val="8B17334F"/>
    <w:rsid w:val="8F9F4185"/>
    <w:rsid w:val="8FF63324"/>
    <w:rsid w:val="8FFB2016"/>
    <w:rsid w:val="8FFF1924"/>
    <w:rsid w:val="9667BB73"/>
    <w:rsid w:val="977FBEC5"/>
    <w:rsid w:val="97FF90FC"/>
    <w:rsid w:val="98F78D31"/>
    <w:rsid w:val="9946D5B2"/>
    <w:rsid w:val="996C5F2D"/>
    <w:rsid w:val="99796763"/>
    <w:rsid w:val="9B7DC0D0"/>
    <w:rsid w:val="9BFD28FB"/>
    <w:rsid w:val="9D8BCEB0"/>
    <w:rsid w:val="9DAD2D3F"/>
    <w:rsid w:val="9DF26D63"/>
    <w:rsid w:val="9DFD9E9E"/>
    <w:rsid w:val="9EB45FC9"/>
    <w:rsid w:val="9EED634A"/>
    <w:rsid w:val="9F5FCE62"/>
    <w:rsid w:val="9F7559C1"/>
    <w:rsid w:val="9F8F24F2"/>
    <w:rsid w:val="9FBD8DF4"/>
    <w:rsid w:val="9FFF0DA8"/>
    <w:rsid w:val="9FFF1712"/>
    <w:rsid w:val="A3D99CB6"/>
    <w:rsid w:val="A3FAB77D"/>
    <w:rsid w:val="A76A246D"/>
    <w:rsid w:val="A77FE00D"/>
    <w:rsid w:val="A8DBA7BA"/>
    <w:rsid w:val="ABCF5749"/>
    <w:rsid w:val="ABDD2C03"/>
    <w:rsid w:val="ACFF9C1E"/>
    <w:rsid w:val="AD2F333F"/>
    <w:rsid w:val="ADBFF20E"/>
    <w:rsid w:val="ADEB6BF1"/>
    <w:rsid w:val="AEEF3967"/>
    <w:rsid w:val="AF1B5D69"/>
    <w:rsid w:val="AF5F5291"/>
    <w:rsid w:val="AF992339"/>
    <w:rsid w:val="AFFCE948"/>
    <w:rsid w:val="B0B78411"/>
    <w:rsid w:val="B36EA758"/>
    <w:rsid w:val="B3AFD80A"/>
    <w:rsid w:val="B3F786AC"/>
    <w:rsid w:val="B3FF9941"/>
    <w:rsid w:val="B67C3D74"/>
    <w:rsid w:val="B67E1FB9"/>
    <w:rsid w:val="B6FF9286"/>
    <w:rsid w:val="B77A3DCE"/>
    <w:rsid w:val="B7AE67C1"/>
    <w:rsid w:val="B7B7D1AD"/>
    <w:rsid w:val="B7DBF38C"/>
    <w:rsid w:val="B7DF6359"/>
    <w:rsid w:val="B7E43284"/>
    <w:rsid w:val="B7E87520"/>
    <w:rsid w:val="B7EDE90E"/>
    <w:rsid w:val="B7FE5C48"/>
    <w:rsid w:val="B7FF9829"/>
    <w:rsid w:val="B7FFDA57"/>
    <w:rsid w:val="B8BB327D"/>
    <w:rsid w:val="B97674DE"/>
    <w:rsid w:val="B9BBC10B"/>
    <w:rsid w:val="B9BF9D00"/>
    <w:rsid w:val="B9D120A7"/>
    <w:rsid w:val="BA0D0364"/>
    <w:rsid w:val="BAB30B9E"/>
    <w:rsid w:val="BAD74241"/>
    <w:rsid w:val="BB5F06C9"/>
    <w:rsid w:val="BB5FC344"/>
    <w:rsid w:val="BB7F0DF2"/>
    <w:rsid w:val="BBAED841"/>
    <w:rsid w:val="BBBE4FC7"/>
    <w:rsid w:val="BBF99EF8"/>
    <w:rsid w:val="BBFE0DD7"/>
    <w:rsid w:val="BBFF1598"/>
    <w:rsid w:val="BBFFFF15"/>
    <w:rsid w:val="BC5F9485"/>
    <w:rsid w:val="BCF7E74E"/>
    <w:rsid w:val="BD3A0838"/>
    <w:rsid w:val="BDA7C24E"/>
    <w:rsid w:val="BDBF2684"/>
    <w:rsid w:val="BDFA71DE"/>
    <w:rsid w:val="BDFE768F"/>
    <w:rsid w:val="BDFEBEC5"/>
    <w:rsid w:val="BE3391AF"/>
    <w:rsid w:val="BE710566"/>
    <w:rsid w:val="BE77D35D"/>
    <w:rsid w:val="BE7A21EA"/>
    <w:rsid w:val="BEDD81BD"/>
    <w:rsid w:val="BEEF29CA"/>
    <w:rsid w:val="BEF7638C"/>
    <w:rsid w:val="BEF85BC0"/>
    <w:rsid w:val="BEFBB88E"/>
    <w:rsid w:val="BEFF3BD3"/>
    <w:rsid w:val="BF15AA22"/>
    <w:rsid w:val="BF3C6AE8"/>
    <w:rsid w:val="BF5D02B1"/>
    <w:rsid w:val="BF6F7B99"/>
    <w:rsid w:val="BF755252"/>
    <w:rsid w:val="BF7E8440"/>
    <w:rsid w:val="BF9EE32D"/>
    <w:rsid w:val="BF9F6878"/>
    <w:rsid w:val="BF9FE8E7"/>
    <w:rsid w:val="BFAF77CB"/>
    <w:rsid w:val="BFB51AF0"/>
    <w:rsid w:val="BFB8C8E2"/>
    <w:rsid w:val="BFBE4D09"/>
    <w:rsid w:val="BFBEEF39"/>
    <w:rsid w:val="BFBF12DE"/>
    <w:rsid w:val="BFCA8062"/>
    <w:rsid w:val="BFCF7EC9"/>
    <w:rsid w:val="BFD97F5D"/>
    <w:rsid w:val="BFDD60CF"/>
    <w:rsid w:val="BFED1F44"/>
    <w:rsid w:val="BFED5B76"/>
    <w:rsid w:val="BFED8150"/>
    <w:rsid w:val="BFEDC561"/>
    <w:rsid w:val="BFF3B475"/>
    <w:rsid w:val="BFF6CC8A"/>
    <w:rsid w:val="BFF7A36A"/>
    <w:rsid w:val="BFF7E295"/>
    <w:rsid w:val="BFF9D0ED"/>
    <w:rsid w:val="BFFB903D"/>
    <w:rsid w:val="BFFF700A"/>
    <w:rsid w:val="BFFFBA99"/>
    <w:rsid w:val="BFFFC4BA"/>
    <w:rsid w:val="BFFFD172"/>
    <w:rsid w:val="C3EF0819"/>
    <w:rsid w:val="C3F5C53A"/>
    <w:rsid w:val="C5EBB557"/>
    <w:rsid w:val="C6F6F91F"/>
    <w:rsid w:val="C9AE3533"/>
    <w:rsid w:val="CB9BF532"/>
    <w:rsid w:val="CBBF329F"/>
    <w:rsid w:val="CBDD3889"/>
    <w:rsid w:val="CC1F4D54"/>
    <w:rsid w:val="CDBFBA30"/>
    <w:rsid w:val="CE85F0D3"/>
    <w:rsid w:val="CED3395C"/>
    <w:rsid w:val="CEF91DE1"/>
    <w:rsid w:val="CF082C94"/>
    <w:rsid w:val="CF599A91"/>
    <w:rsid w:val="CF5FF64F"/>
    <w:rsid w:val="CF7F2D2C"/>
    <w:rsid w:val="CF7F8320"/>
    <w:rsid w:val="CFBDCD08"/>
    <w:rsid w:val="CFCD6C20"/>
    <w:rsid w:val="CFF937A3"/>
    <w:rsid w:val="CFF9946E"/>
    <w:rsid w:val="D37E4D21"/>
    <w:rsid w:val="D3FDAEE3"/>
    <w:rsid w:val="D3FDC69A"/>
    <w:rsid w:val="D47708FA"/>
    <w:rsid w:val="D4CB80D2"/>
    <w:rsid w:val="D55FD6C2"/>
    <w:rsid w:val="D57BA67B"/>
    <w:rsid w:val="D5DB2529"/>
    <w:rsid w:val="D6EDBCC7"/>
    <w:rsid w:val="D6F58313"/>
    <w:rsid w:val="D6FD95FC"/>
    <w:rsid w:val="D7993CB6"/>
    <w:rsid w:val="D7D610BF"/>
    <w:rsid w:val="D7E93CC9"/>
    <w:rsid w:val="D7F40FEE"/>
    <w:rsid w:val="D7FBCEA1"/>
    <w:rsid w:val="D7FF3DA6"/>
    <w:rsid w:val="DA3F379B"/>
    <w:rsid w:val="DA4B98B6"/>
    <w:rsid w:val="DAE3DF24"/>
    <w:rsid w:val="DAF6A269"/>
    <w:rsid w:val="DAFE3A8C"/>
    <w:rsid w:val="DB5BB8DD"/>
    <w:rsid w:val="DBA58823"/>
    <w:rsid w:val="DBDF1B62"/>
    <w:rsid w:val="DBFC8324"/>
    <w:rsid w:val="DD6657F2"/>
    <w:rsid w:val="DDAC7818"/>
    <w:rsid w:val="DDB74A19"/>
    <w:rsid w:val="DDB9241F"/>
    <w:rsid w:val="DDCF42EF"/>
    <w:rsid w:val="DDD70E72"/>
    <w:rsid w:val="DDDB23BF"/>
    <w:rsid w:val="DDDF1261"/>
    <w:rsid w:val="DDF457E5"/>
    <w:rsid w:val="DEDB9369"/>
    <w:rsid w:val="DEEF1BC2"/>
    <w:rsid w:val="DEF17B39"/>
    <w:rsid w:val="DEFD5D74"/>
    <w:rsid w:val="DEFEDB51"/>
    <w:rsid w:val="DF3FD7B1"/>
    <w:rsid w:val="DF468B2B"/>
    <w:rsid w:val="DF4FA508"/>
    <w:rsid w:val="DF5E8995"/>
    <w:rsid w:val="DF6D0455"/>
    <w:rsid w:val="DF7FC417"/>
    <w:rsid w:val="DF9B5FE8"/>
    <w:rsid w:val="DF9FEE11"/>
    <w:rsid w:val="DFAA0923"/>
    <w:rsid w:val="DFAE7422"/>
    <w:rsid w:val="DFB2B792"/>
    <w:rsid w:val="DFB79C6D"/>
    <w:rsid w:val="DFBF6B16"/>
    <w:rsid w:val="DFDCC71F"/>
    <w:rsid w:val="DFEC0A0D"/>
    <w:rsid w:val="DFEDDC99"/>
    <w:rsid w:val="DFF5D9D6"/>
    <w:rsid w:val="DFF6FD07"/>
    <w:rsid w:val="DFF78921"/>
    <w:rsid w:val="DFF90F5D"/>
    <w:rsid w:val="DFF91523"/>
    <w:rsid w:val="DFFB5D55"/>
    <w:rsid w:val="DFFB6D5C"/>
    <w:rsid w:val="DFFBC4E2"/>
    <w:rsid w:val="DFFC69A1"/>
    <w:rsid w:val="DFFC8EE2"/>
    <w:rsid w:val="DFFD04F5"/>
    <w:rsid w:val="DFFDD3E2"/>
    <w:rsid w:val="DFFF23AB"/>
    <w:rsid w:val="DFFF82AA"/>
    <w:rsid w:val="DFFF869D"/>
    <w:rsid w:val="DFFFDE65"/>
    <w:rsid w:val="E4976C09"/>
    <w:rsid w:val="E4DF0168"/>
    <w:rsid w:val="E5AFBC56"/>
    <w:rsid w:val="E6FF2CF1"/>
    <w:rsid w:val="E6FF9387"/>
    <w:rsid w:val="E75423DE"/>
    <w:rsid w:val="E75F159C"/>
    <w:rsid w:val="E7AF903A"/>
    <w:rsid w:val="E7AFDFF7"/>
    <w:rsid w:val="E7DF0336"/>
    <w:rsid w:val="E7DF2436"/>
    <w:rsid w:val="E7F726E5"/>
    <w:rsid w:val="E7F9D384"/>
    <w:rsid w:val="E7FF2143"/>
    <w:rsid w:val="E7FF53EF"/>
    <w:rsid w:val="E7FF9E1D"/>
    <w:rsid w:val="E7FFF633"/>
    <w:rsid w:val="E87F446F"/>
    <w:rsid w:val="E95D9771"/>
    <w:rsid w:val="E97B5704"/>
    <w:rsid w:val="E9BF7891"/>
    <w:rsid w:val="E9F757E5"/>
    <w:rsid w:val="EADF4456"/>
    <w:rsid w:val="EAFB6BC2"/>
    <w:rsid w:val="EB4DFED3"/>
    <w:rsid w:val="EBCF8C1D"/>
    <w:rsid w:val="EBEF0B97"/>
    <w:rsid w:val="EBEF447B"/>
    <w:rsid w:val="EBFC43B0"/>
    <w:rsid w:val="EC6E739D"/>
    <w:rsid w:val="ECED6638"/>
    <w:rsid w:val="ECF37175"/>
    <w:rsid w:val="ED3D79B2"/>
    <w:rsid w:val="EDBF16BF"/>
    <w:rsid w:val="EDC3FE47"/>
    <w:rsid w:val="EDC521CC"/>
    <w:rsid w:val="EDDA3BC8"/>
    <w:rsid w:val="EDFAA1BD"/>
    <w:rsid w:val="EDFD8581"/>
    <w:rsid w:val="EE1B8412"/>
    <w:rsid w:val="EEA6A16B"/>
    <w:rsid w:val="EEBFD2C2"/>
    <w:rsid w:val="EEDE2AEB"/>
    <w:rsid w:val="EEDF3075"/>
    <w:rsid w:val="EF3B8FB9"/>
    <w:rsid w:val="EF6F5686"/>
    <w:rsid w:val="EF6FCCF1"/>
    <w:rsid w:val="EF795785"/>
    <w:rsid w:val="EF79EB14"/>
    <w:rsid w:val="EF8725BC"/>
    <w:rsid w:val="EF8BD244"/>
    <w:rsid w:val="EF9F3E84"/>
    <w:rsid w:val="EFAA81F3"/>
    <w:rsid w:val="EFAFF999"/>
    <w:rsid w:val="EFCFA712"/>
    <w:rsid w:val="EFD56A19"/>
    <w:rsid w:val="EFD6F9EF"/>
    <w:rsid w:val="EFDF8F9A"/>
    <w:rsid w:val="EFE383A8"/>
    <w:rsid w:val="EFEAF9EE"/>
    <w:rsid w:val="EFEFEA7D"/>
    <w:rsid w:val="EFEFF318"/>
    <w:rsid w:val="EFF05B8E"/>
    <w:rsid w:val="EFF0628A"/>
    <w:rsid w:val="EFF941BB"/>
    <w:rsid w:val="EFFB27A0"/>
    <w:rsid w:val="EFFD1D80"/>
    <w:rsid w:val="EFFD20EA"/>
    <w:rsid w:val="EFFD8937"/>
    <w:rsid w:val="EFFDD0B3"/>
    <w:rsid w:val="EFFEF14F"/>
    <w:rsid w:val="EFFF75D8"/>
    <w:rsid w:val="EFFFB86C"/>
    <w:rsid w:val="F1CAF62F"/>
    <w:rsid w:val="F1FB8EA8"/>
    <w:rsid w:val="F1FF82F8"/>
    <w:rsid w:val="F2EE9323"/>
    <w:rsid w:val="F2FD6812"/>
    <w:rsid w:val="F3CA7858"/>
    <w:rsid w:val="F3E5D890"/>
    <w:rsid w:val="F3F716AC"/>
    <w:rsid w:val="F3FB26DE"/>
    <w:rsid w:val="F3FDEFC2"/>
    <w:rsid w:val="F3FF7298"/>
    <w:rsid w:val="F3FF83FA"/>
    <w:rsid w:val="F4B73208"/>
    <w:rsid w:val="F51FD076"/>
    <w:rsid w:val="F52FE4E6"/>
    <w:rsid w:val="F57E94C0"/>
    <w:rsid w:val="F5B6C0D1"/>
    <w:rsid w:val="F5CFE7F2"/>
    <w:rsid w:val="F5D4C4BE"/>
    <w:rsid w:val="F5EEEAE6"/>
    <w:rsid w:val="F5F3975A"/>
    <w:rsid w:val="F5FD159C"/>
    <w:rsid w:val="F5FE46DA"/>
    <w:rsid w:val="F67D79D2"/>
    <w:rsid w:val="F6B72A33"/>
    <w:rsid w:val="F6BDEA76"/>
    <w:rsid w:val="F6EF2F08"/>
    <w:rsid w:val="F6F32EF7"/>
    <w:rsid w:val="F74E9CDB"/>
    <w:rsid w:val="F76ACE2C"/>
    <w:rsid w:val="F76CF87C"/>
    <w:rsid w:val="F77B2705"/>
    <w:rsid w:val="F77F5AF6"/>
    <w:rsid w:val="F77F5D2C"/>
    <w:rsid w:val="F7870466"/>
    <w:rsid w:val="F79E12D1"/>
    <w:rsid w:val="F7A7F552"/>
    <w:rsid w:val="F7B7BE0B"/>
    <w:rsid w:val="F7BB7E12"/>
    <w:rsid w:val="F7BE7247"/>
    <w:rsid w:val="F7C79317"/>
    <w:rsid w:val="F7CB66DF"/>
    <w:rsid w:val="F7DB37E8"/>
    <w:rsid w:val="F7E7CD3D"/>
    <w:rsid w:val="F7FB52D7"/>
    <w:rsid w:val="F7FC9530"/>
    <w:rsid w:val="F7FCA686"/>
    <w:rsid w:val="F7FF1983"/>
    <w:rsid w:val="F7FFDB69"/>
    <w:rsid w:val="F7FFF8FD"/>
    <w:rsid w:val="F8DC4A3B"/>
    <w:rsid w:val="F8DF3A2F"/>
    <w:rsid w:val="F93F7D72"/>
    <w:rsid w:val="F95F93E5"/>
    <w:rsid w:val="F96FFF4A"/>
    <w:rsid w:val="F9BF8666"/>
    <w:rsid w:val="F9CD0EDB"/>
    <w:rsid w:val="F9EF4855"/>
    <w:rsid w:val="F9F1F11E"/>
    <w:rsid w:val="F9F82D6D"/>
    <w:rsid w:val="F9FA91F3"/>
    <w:rsid w:val="F9FACB82"/>
    <w:rsid w:val="F9FB35B4"/>
    <w:rsid w:val="F9FBAAE1"/>
    <w:rsid w:val="F9FE7B9A"/>
    <w:rsid w:val="F9FF3ACA"/>
    <w:rsid w:val="FA6F7F9C"/>
    <w:rsid w:val="FA7D0659"/>
    <w:rsid w:val="FABF1C92"/>
    <w:rsid w:val="FADD3595"/>
    <w:rsid w:val="FB5E74CE"/>
    <w:rsid w:val="FB72EB99"/>
    <w:rsid w:val="FB794CF7"/>
    <w:rsid w:val="FB7F8C62"/>
    <w:rsid w:val="FB7FBC08"/>
    <w:rsid w:val="FBAC623A"/>
    <w:rsid w:val="FBAF0015"/>
    <w:rsid w:val="FBBE4074"/>
    <w:rsid w:val="FBC9753B"/>
    <w:rsid w:val="FBD53142"/>
    <w:rsid w:val="FBD78330"/>
    <w:rsid w:val="FBD7B143"/>
    <w:rsid w:val="FBDCA62B"/>
    <w:rsid w:val="FBDF9E49"/>
    <w:rsid w:val="FBEB9C23"/>
    <w:rsid w:val="FBEBFB7C"/>
    <w:rsid w:val="FBEDB7C8"/>
    <w:rsid w:val="FBEF2D0C"/>
    <w:rsid w:val="FBEF5D1E"/>
    <w:rsid w:val="FBFCDBB6"/>
    <w:rsid w:val="FBFF0A10"/>
    <w:rsid w:val="FBFF0B6B"/>
    <w:rsid w:val="FBFFE9EC"/>
    <w:rsid w:val="FBFFF61F"/>
    <w:rsid w:val="FC5D60D3"/>
    <w:rsid w:val="FCA15DA8"/>
    <w:rsid w:val="FCB6F08A"/>
    <w:rsid w:val="FCB91497"/>
    <w:rsid w:val="FCBF1585"/>
    <w:rsid w:val="FCCF95C9"/>
    <w:rsid w:val="FCE8A3F7"/>
    <w:rsid w:val="FCF6D869"/>
    <w:rsid w:val="FCF769DB"/>
    <w:rsid w:val="FD3FA56C"/>
    <w:rsid w:val="FD5D1131"/>
    <w:rsid w:val="FD6EF464"/>
    <w:rsid w:val="FD7B6F7E"/>
    <w:rsid w:val="FD7DB0C7"/>
    <w:rsid w:val="FDB709E5"/>
    <w:rsid w:val="FDC22878"/>
    <w:rsid w:val="FDD70863"/>
    <w:rsid w:val="FDDF8106"/>
    <w:rsid w:val="FDF3415E"/>
    <w:rsid w:val="FDF395CD"/>
    <w:rsid w:val="FDFBEA3F"/>
    <w:rsid w:val="FDFEAC8F"/>
    <w:rsid w:val="FDFED901"/>
    <w:rsid w:val="FDFF065B"/>
    <w:rsid w:val="FDFF6919"/>
    <w:rsid w:val="FDFFACD0"/>
    <w:rsid w:val="FDFFBB64"/>
    <w:rsid w:val="FDFFFCB4"/>
    <w:rsid w:val="FE5E8D9A"/>
    <w:rsid w:val="FE6BB7B8"/>
    <w:rsid w:val="FE7F248E"/>
    <w:rsid w:val="FEBF3C4B"/>
    <w:rsid w:val="FEBFD217"/>
    <w:rsid w:val="FECE73F5"/>
    <w:rsid w:val="FED466CF"/>
    <w:rsid w:val="FEDDB452"/>
    <w:rsid w:val="FEDFBDA2"/>
    <w:rsid w:val="FEE3994D"/>
    <w:rsid w:val="FEEFF7B2"/>
    <w:rsid w:val="FEF4948C"/>
    <w:rsid w:val="FEF4EFDE"/>
    <w:rsid w:val="FEF76F25"/>
    <w:rsid w:val="FEFC49E5"/>
    <w:rsid w:val="FEFF12ED"/>
    <w:rsid w:val="FEFFC44C"/>
    <w:rsid w:val="FF25F09D"/>
    <w:rsid w:val="FF2B093D"/>
    <w:rsid w:val="FF3B1A42"/>
    <w:rsid w:val="FF3C5609"/>
    <w:rsid w:val="FF3D573F"/>
    <w:rsid w:val="FF442101"/>
    <w:rsid w:val="FF4DD4FF"/>
    <w:rsid w:val="FF6B2BBD"/>
    <w:rsid w:val="FF6BBB16"/>
    <w:rsid w:val="FF6D44F4"/>
    <w:rsid w:val="FF75A6F6"/>
    <w:rsid w:val="FF775EDB"/>
    <w:rsid w:val="FF7F161F"/>
    <w:rsid w:val="FF7F1EE7"/>
    <w:rsid w:val="FF8E4D31"/>
    <w:rsid w:val="FF977267"/>
    <w:rsid w:val="FF9BF7ED"/>
    <w:rsid w:val="FF9F61BD"/>
    <w:rsid w:val="FFAFF6A1"/>
    <w:rsid w:val="FFBB8BDB"/>
    <w:rsid w:val="FFBD3D46"/>
    <w:rsid w:val="FFBF17E8"/>
    <w:rsid w:val="FFBFB822"/>
    <w:rsid w:val="FFCB1875"/>
    <w:rsid w:val="FFCBF421"/>
    <w:rsid w:val="FFCCF071"/>
    <w:rsid w:val="FFCFB80B"/>
    <w:rsid w:val="FFCFCACA"/>
    <w:rsid w:val="FFD302C8"/>
    <w:rsid w:val="FFD7F2C3"/>
    <w:rsid w:val="FFDBFC14"/>
    <w:rsid w:val="FFDD496A"/>
    <w:rsid w:val="FFDDA0BC"/>
    <w:rsid w:val="FFDE89E0"/>
    <w:rsid w:val="FFDF3123"/>
    <w:rsid w:val="FFDF767C"/>
    <w:rsid w:val="FFDFB371"/>
    <w:rsid w:val="FFDFEB1D"/>
    <w:rsid w:val="FFDFF8EA"/>
    <w:rsid w:val="FFE31F4C"/>
    <w:rsid w:val="FFEB4BA3"/>
    <w:rsid w:val="FFEB9058"/>
    <w:rsid w:val="FFED614C"/>
    <w:rsid w:val="FFEF4D49"/>
    <w:rsid w:val="FFEF7896"/>
    <w:rsid w:val="FFEFB4D4"/>
    <w:rsid w:val="FFEFBE16"/>
    <w:rsid w:val="FFF29591"/>
    <w:rsid w:val="FFF628BD"/>
    <w:rsid w:val="FFF76813"/>
    <w:rsid w:val="FFF7A373"/>
    <w:rsid w:val="FFF7D05A"/>
    <w:rsid w:val="FFF91AE9"/>
    <w:rsid w:val="FFFB2BA6"/>
    <w:rsid w:val="FFFBA644"/>
    <w:rsid w:val="FFFBBAA5"/>
    <w:rsid w:val="FFFE33F4"/>
    <w:rsid w:val="FFFF20F1"/>
    <w:rsid w:val="FFFF5228"/>
    <w:rsid w:val="FFFF5789"/>
    <w:rsid w:val="FFFFD61C"/>
    <w:rsid w:val="FFFFD8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DejaVu Sans" w:hAnsi="DejaVu Sans" w:eastAsia="方正黑体_GBK"/>
      <w:b/>
      <w:sz w:val="32"/>
    </w:rPr>
  </w:style>
  <w:style w:type="paragraph" w:styleId="4">
    <w:name w:val="heading 3"/>
    <w:basedOn w:val="1"/>
    <w:next w:val="1"/>
    <w:link w:val="14"/>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11">
    <w:name w:val="Default Paragraph Font"/>
    <w:semiHidden/>
    <w:qFormat/>
    <w:uiPriority w:val="0"/>
  </w:style>
  <w:style w:type="table" w:default="1" w:styleId="12">
    <w:name w:val="Normal Table"/>
    <w:semiHidden/>
    <w:qFormat/>
    <w:uiPriority w:val="0"/>
    <w:tblPr>
      <w:tblLayout w:type="fixed"/>
      <w:tblCellMar>
        <w:top w:w="0" w:type="dxa"/>
        <w:left w:w="108" w:type="dxa"/>
        <w:bottom w:w="0" w:type="dxa"/>
        <w:right w:w="108" w:type="dxa"/>
      </w:tblCellMar>
    </w:tblPr>
  </w:style>
  <w:style w:type="paragraph" w:styleId="5">
    <w:name w:val="toc 3"/>
    <w:basedOn w:val="1"/>
    <w:next w:val="1"/>
    <w:qFormat/>
    <w:uiPriority w:val="0"/>
    <w:pPr>
      <w:ind w:left="840" w:leftChars="400"/>
    </w:pPr>
  </w:style>
  <w:style w:type="paragraph" w:styleId="6">
    <w:name w:val="footer"/>
    <w:basedOn w:val="1"/>
    <w:qFormat/>
    <w:uiPriority w:val="0"/>
    <w:pPr>
      <w:tabs>
        <w:tab w:val="center" w:pos="4153"/>
        <w:tab w:val="right" w:pos="8306"/>
      </w:tabs>
      <w:snapToGrid w:val="0"/>
      <w:jc w:val="left"/>
    </w:pPr>
    <w:rPr>
      <w:sz w:val="18"/>
    </w:rPr>
  </w:style>
  <w:style w:type="paragraph" w:styleId="7">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rFonts w:ascii="DejaVu Sans" w:hAnsi="DejaVu Sans"/>
      <w:sz w:val="18"/>
    </w:rPr>
  </w:style>
  <w:style w:type="paragraph" w:styleId="8">
    <w:name w:val="toc 1"/>
    <w:basedOn w:val="1"/>
    <w:next w:val="1"/>
    <w:qFormat/>
    <w:uiPriority w:val="0"/>
  </w:style>
  <w:style w:type="paragraph" w:styleId="9">
    <w:name w:val="toc 2"/>
    <w:basedOn w:val="1"/>
    <w:next w:val="1"/>
    <w:qFormat/>
    <w:uiPriority w:val="0"/>
    <w:pPr>
      <w:ind w:left="420" w:leftChars="200"/>
    </w:pPr>
  </w:style>
  <w:style w:type="paragraph" w:styleId="10">
    <w:name w:val="Normal (Web)"/>
    <w:basedOn w:val="1"/>
    <w:qFormat/>
    <w:uiPriority w:val="0"/>
    <w:pPr>
      <w:spacing w:before="0" w:beforeAutospacing="1" w:after="0" w:afterAutospacing="1"/>
      <w:ind w:left="0" w:right="0"/>
      <w:jc w:val="left"/>
    </w:pPr>
    <w:rPr>
      <w:kern w:val="0"/>
      <w:sz w:val="24"/>
      <w:lang w:val="en-US" w:eastAsia="zh-CN" w:bidi="ar"/>
    </w:rPr>
  </w:style>
  <w:style w:type="table" w:styleId="13">
    <w:name w:val="Table Grid"/>
    <w:basedOn w:val="12"/>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character" w:customStyle="1" w:styleId="14">
    <w:name w:val="标题 3 Char"/>
    <w:link w:val="4"/>
    <w:qFormat/>
    <w:uiPriority w:val="0"/>
    <w:rPr>
      <w:b/>
      <w:sz w:val="32"/>
    </w:rPr>
  </w:style>
</w:styles>
</file>

<file path=word/_rels/document.xml.rels><?xml version="1.0" encoding="UTF-8" standalone="yes"?>
<Relationships xmlns="http://schemas.openxmlformats.org/package/2006/relationships"><Relationship Id="rId9" Type="http://schemas.openxmlformats.org/officeDocument/2006/relationships/header" Target="header5.xml"/><Relationship Id="rId8" Type="http://schemas.openxmlformats.org/officeDocument/2006/relationships/header" Target="header4.xml"/><Relationship Id="rId7" Type="http://schemas.openxmlformats.org/officeDocument/2006/relationships/footer" Target="footer2.xml"/><Relationship Id="rId6" Type="http://schemas.openxmlformats.org/officeDocument/2006/relationships/header" Target="header3.xml"/><Relationship Id="rId5" Type="http://schemas.openxmlformats.org/officeDocument/2006/relationships/footer" Target="footer1.xml"/><Relationship Id="rId4" Type="http://schemas.openxmlformats.org/officeDocument/2006/relationships/header" Target="header2.xml"/><Relationship Id="rId3" Type="http://schemas.openxmlformats.org/officeDocument/2006/relationships/header" Target="header1.xml"/><Relationship Id="rId22" Type="http://schemas.openxmlformats.org/officeDocument/2006/relationships/fontTable" Target="fontTable.xml"/><Relationship Id="rId21" Type="http://schemas.openxmlformats.org/officeDocument/2006/relationships/numbering" Target="numbering.xml"/><Relationship Id="rId20" Type="http://schemas.openxmlformats.org/officeDocument/2006/relationships/customXml" Target="../customXml/item1.xml"/><Relationship Id="rId2" Type="http://schemas.openxmlformats.org/officeDocument/2006/relationships/settings" Target="settings.xml"/><Relationship Id="rId19" Type="http://schemas.openxmlformats.org/officeDocument/2006/relationships/image" Target="media/image3.png"/><Relationship Id="rId18" Type="http://schemas.openxmlformats.org/officeDocument/2006/relationships/image" Target="media/image2.png"/><Relationship Id="rId17" Type="http://schemas.openxmlformats.org/officeDocument/2006/relationships/image" Target="media/image1.png"/><Relationship Id="rId16" Type="http://schemas.openxmlformats.org/officeDocument/2006/relationships/theme" Target="theme/theme1.xml"/><Relationship Id="rId15" Type="http://schemas.openxmlformats.org/officeDocument/2006/relationships/footer" Target="footer4.xml"/><Relationship Id="rId14" Type="http://schemas.openxmlformats.org/officeDocument/2006/relationships/footer" Target="footer3.xml"/><Relationship Id="rId13" Type="http://schemas.openxmlformats.org/officeDocument/2006/relationships/header" Target="header9.xml"/><Relationship Id="rId12" Type="http://schemas.openxmlformats.org/officeDocument/2006/relationships/header" Target="header8.xml"/><Relationship Id="rId11" Type="http://schemas.openxmlformats.org/officeDocument/2006/relationships/header" Target="header7.xml"/><Relationship Id="rId10" Type="http://schemas.openxmlformats.org/officeDocument/2006/relationships/header" Target="header6.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Office_1.7.0.2619_F1E327BC-269C-435d-A152-05C5408002CA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2019-10-22T16:13:00Z</dcterms:created>
  <dc:creator>pin</dc:creator>
  <cp:lastModifiedBy>pin</cp:lastModifiedBy>
  <dcterms:modified xsi:type="dcterms:W3CDTF">2019-11-26T09:49:49Z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2052-1.7.0.2619</vt:lpwstr>
  </property>
</Properties>
</file>