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338D" w:rsidRDefault="00F7338D">
      <w:pPr>
        <w:spacing w:line="360" w:lineRule="auto"/>
        <w:jc w:val="center"/>
        <w:rPr>
          <w:rFonts w:ascii="Times New Roman" w:eastAsia="Times New Roman" w:hAnsi="Times New Roman" w:cs="Times New Roman"/>
          <w:b/>
          <w:bCs/>
          <w:sz w:val="32"/>
          <w:szCs w:val="32"/>
        </w:rPr>
      </w:pPr>
    </w:p>
    <w:p w:rsidR="00F7338D" w:rsidRDefault="00F7338D">
      <w:pPr>
        <w:spacing w:line="360" w:lineRule="auto"/>
        <w:jc w:val="center"/>
        <w:rPr>
          <w:rFonts w:ascii="Times New Roman" w:eastAsia="Times New Roman" w:hAnsi="Times New Roman" w:cs="Times New Roman"/>
          <w:b/>
          <w:bCs/>
          <w:sz w:val="32"/>
          <w:szCs w:val="32"/>
        </w:rPr>
      </w:pPr>
    </w:p>
    <w:p w:rsidR="00F7338D" w:rsidRDefault="00F7338D">
      <w:pPr>
        <w:spacing w:line="360" w:lineRule="auto"/>
        <w:jc w:val="center"/>
        <w:rPr>
          <w:rFonts w:ascii="Times New Roman" w:eastAsia="Times New Roman" w:hAnsi="Times New Roman" w:cs="Times New Roman"/>
          <w:b/>
          <w:bCs/>
          <w:sz w:val="32"/>
          <w:szCs w:val="32"/>
        </w:rPr>
      </w:pPr>
    </w:p>
    <w:p w:rsidR="00F7338D" w:rsidRDefault="00F7338D">
      <w:pPr>
        <w:spacing w:line="360" w:lineRule="auto"/>
        <w:jc w:val="center"/>
        <w:rPr>
          <w:rFonts w:ascii="Times New Roman" w:eastAsia="Times New Roman" w:hAnsi="Times New Roman" w:cs="Times New Roman"/>
          <w:b/>
          <w:bCs/>
          <w:sz w:val="32"/>
          <w:szCs w:val="32"/>
        </w:rPr>
      </w:pPr>
    </w:p>
    <w:p w:rsidR="00F7338D" w:rsidRDefault="0019547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Master of Business Administration</w:t>
      </w:r>
    </w:p>
    <w:p w:rsidR="00F7338D" w:rsidRDefault="0019547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LCMB7035 - Dissertation</w:t>
      </w:r>
    </w:p>
    <w:p w:rsidR="00F7338D" w:rsidRDefault="0019547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Dissertation Proposal</w:t>
      </w:r>
    </w:p>
    <w:p w:rsidR="00F7338D" w:rsidRDefault="0019547D">
      <w:pPr>
        <w:spacing w:line="360" w:lineRule="auto"/>
        <w:jc w:val="center"/>
        <w:rPr>
          <w:rFonts w:ascii="Times New Roman" w:eastAsia="Times New Roman" w:hAnsi="Times New Roman" w:cs="Times New Roman"/>
          <w:b/>
          <w:bCs/>
          <w:color w:val="222222"/>
          <w:sz w:val="32"/>
          <w:szCs w:val="32"/>
          <w:highlight w:val="white"/>
        </w:rPr>
      </w:pPr>
      <w:r>
        <w:rPr>
          <w:rFonts w:ascii="Times New Roman" w:eastAsia="Times New Roman" w:hAnsi="Times New Roman" w:cs="Times New Roman"/>
          <w:b/>
          <w:bCs/>
          <w:sz w:val="32"/>
          <w:szCs w:val="32"/>
        </w:rPr>
        <w:t xml:space="preserve">Topic: </w:t>
      </w:r>
      <w:r>
        <w:rPr>
          <w:rFonts w:ascii="Times New Roman" w:eastAsia="Times New Roman" w:hAnsi="Times New Roman" w:cs="Times New Roman"/>
          <w:b/>
          <w:bCs/>
          <w:color w:val="222222"/>
          <w:sz w:val="32"/>
          <w:szCs w:val="32"/>
          <w:highlight w:val="white"/>
        </w:rPr>
        <w:t>Factors Influencing Customer Acceptance of Foreign Electric Vehicle Brands in India</w:t>
      </w:r>
    </w:p>
    <w:p w:rsidR="00F7338D" w:rsidRDefault="0019547D">
      <w:pPr>
        <w:rPr>
          <w:rFonts w:ascii="Times New Roman" w:eastAsia="Times New Roman" w:hAnsi="Times New Roman" w:cs="Times New Roman"/>
          <w:b/>
          <w:bCs/>
          <w:color w:val="222222"/>
          <w:sz w:val="32"/>
          <w:szCs w:val="32"/>
          <w:highlight w:val="white"/>
        </w:rPr>
      </w:pPr>
      <w:r>
        <w:br w:type="page"/>
      </w:r>
    </w:p>
    <w:p w:rsidR="00F7338D" w:rsidRDefault="0019547D">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sdt>
      <w:sdtPr>
        <w:id w:val="51689297"/>
        <w:docPartObj>
          <w:docPartGallery w:val="Table of Contents"/>
          <w:docPartUnique/>
        </w:docPartObj>
      </w:sdtPr>
      <w:sdtEndPr/>
      <w:sdtContent>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n97omrejx4gp">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er94w78h36f0">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3</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xbsjfq1445qg">
            <w:r>
              <w:rPr>
                <w:rFonts w:ascii="Times New Roman" w:eastAsia="Times New Roman" w:hAnsi="Times New Roman" w:cs="Times New Roman"/>
                <w:color w:val="000000"/>
                <w:sz w:val="24"/>
                <w:szCs w:val="24"/>
              </w:rPr>
              <w:t>1.2 Aim</w:t>
            </w:r>
            <w:r>
              <w:rPr>
                <w:rFonts w:ascii="Times New Roman" w:eastAsia="Times New Roman" w:hAnsi="Times New Roman" w:cs="Times New Roman"/>
                <w:color w:val="000000"/>
                <w:sz w:val="24"/>
                <w:szCs w:val="24"/>
              </w:rPr>
              <w:tab/>
              <w:t>4</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wgbw47prgta7">
            <w:r>
              <w:rPr>
                <w:rFonts w:ascii="Times New Roman" w:eastAsia="Times New Roman" w:hAnsi="Times New Roman" w:cs="Times New Roman"/>
                <w:color w:val="000000"/>
                <w:sz w:val="24"/>
                <w:szCs w:val="24"/>
              </w:rPr>
              <w:t>1.3 Objectives</w:t>
            </w:r>
            <w:r>
              <w:rPr>
                <w:rFonts w:ascii="Times New Roman" w:eastAsia="Times New Roman" w:hAnsi="Times New Roman" w:cs="Times New Roman"/>
                <w:color w:val="000000"/>
                <w:sz w:val="24"/>
                <w:szCs w:val="24"/>
              </w:rPr>
              <w:tab/>
              <w:t>4</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qsu365m6k95s">
            <w:r>
              <w:rPr>
                <w:rFonts w:ascii="Times New Roman" w:eastAsia="Times New Roman" w:hAnsi="Times New Roman" w:cs="Times New Roman"/>
                <w:color w:val="000000"/>
                <w:sz w:val="24"/>
                <w:szCs w:val="24"/>
              </w:rPr>
              <w:t>1.4 Research question</w:t>
            </w:r>
            <w:r>
              <w:rPr>
                <w:rFonts w:ascii="Times New Roman" w:eastAsia="Times New Roman" w:hAnsi="Times New Roman" w:cs="Times New Roman"/>
                <w:color w:val="000000"/>
                <w:sz w:val="24"/>
                <w:szCs w:val="24"/>
              </w:rPr>
              <w:tab/>
              <w:t>5</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m6qdt9iw17ju">
            <w:r>
              <w:rPr>
                <w:rFonts w:ascii="Times New Roman" w:eastAsia="Times New Roman" w:hAnsi="Times New Roman" w:cs="Times New Roman"/>
                <w:color w:val="000000"/>
                <w:sz w:val="24"/>
                <w:szCs w:val="24"/>
              </w:rPr>
              <w:t>1.5 Significance of the research</w:t>
            </w:r>
            <w:r>
              <w:rPr>
                <w:rFonts w:ascii="Times New Roman" w:eastAsia="Times New Roman" w:hAnsi="Times New Roman" w:cs="Times New Roman"/>
                <w:color w:val="000000"/>
                <w:sz w:val="24"/>
                <w:szCs w:val="24"/>
              </w:rPr>
              <w:tab/>
              <w:t>5</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wlegavgjd3q">
            <w:r>
              <w:rPr>
                <w:rFonts w:ascii="Times New Roman" w:eastAsia="Times New Roman" w:hAnsi="Times New Roman" w:cs="Times New Roman"/>
                <w:color w:val="000000"/>
                <w:sz w:val="24"/>
                <w:szCs w:val="24"/>
              </w:rPr>
              <w:t>1.6 Rationale</w:t>
            </w:r>
            <w:r>
              <w:rPr>
                <w:rFonts w:ascii="Times New Roman" w:eastAsia="Times New Roman" w:hAnsi="Times New Roman" w:cs="Times New Roman"/>
                <w:color w:val="000000"/>
                <w:sz w:val="24"/>
                <w:szCs w:val="24"/>
              </w:rPr>
              <w:tab/>
              <w:t>6</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exxglsx28sqh">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t>7</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z6svhthqxpjc">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7</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4ergogfyy8sz">
            <w:r>
              <w:rPr>
                <w:rFonts w:ascii="Times New Roman" w:eastAsia="Times New Roman" w:hAnsi="Times New Roman" w:cs="Times New Roman"/>
                <w:color w:val="000000"/>
                <w:sz w:val="24"/>
                <w:szCs w:val="24"/>
              </w:rPr>
              <w:t>2.2 Factors influencing Indian consumers' acceptance of foreign electric vehicle brands</w:t>
            </w:r>
            <w:r>
              <w:rPr>
                <w:rFonts w:ascii="Times New Roman" w:eastAsia="Times New Roman" w:hAnsi="Times New Roman" w:cs="Times New Roman"/>
                <w:color w:val="000000"/>
                <w:sz w:val="24"/>
                <w:szCs w:val="24"/>
              </w:rPr>
              <w:tab/>
              <w:t>7</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cuzljxvxw8hv">
            <w:r>
              <w:rPr>
                <w:rFonts w:ascii="Times New Roman" w:eastAsia="Times New Roman" w:hAnsi="Times New Roman" w:cs="Times New Roman"/>
                <w:color w:val="000000"/>
                <w:sz w:val="24"/>
                <w:szCs w:val="24"/>
              </w:rPr>
              <w:t>2.3 The issues based on penetrating into the Indian market by Foreign Electric Vehicle Brands</w:t>
            </w:r>
            <w:r>
              <w:rPr>
                <w:rFonts w:ascii="Times New Roman" w:eastAsia="Times New Roman" w:hAnsi="Times New Roman" w:cs="Times New Roman"/>
                <w:color w:val="000000"/>
                <w:sz w:val="24"/>
                <w:szCs w:val="24"/>
              </w:rPr>
              <w:tab/>
              <w:t>7</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fycw6xg6d32y">
            <w:r>
              <w:rPr>
                <w:rFonts w:ascii="Times New Roman" w:eastAsia="Times New Roman" w:hAnsi="Times New Roman" w:cs="Times New Roman"/>
                <w:color w:val="000000"/>
                <w:sz w:val="24"/>
                <w:szCs w:val="24"/>
              </w:rPr>
              <w:t>2.4 Aligning theories and model</w:t>
            </w:r>
            <w:r>
              <w:rPr>
                <w:rFonts w:ascii="Times New Roman" w:eastAsia="Times New Roman" w:hAnsi="Times New Roman" w:cs="Times New Roman"/>
                <w:color w:val="000000"/>
                <w:sz w:val="24"/>
                <w:szCs w:val="24"/>
              </w:rPr>
              <w:tab/>
              <w:t>8</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qp5hlqsmdv9t">
            <w:r>
              <w:rPr>
                <w:rFonts w:ascii="Times New Roman" w:eastAsia="Times New Roman" w:hAnsi="Times New Roman" w:cs="Times New Roman"/>
                <w:color w:val="000000"/>
                <w:sz w:val="24"/>
                <w:szCs w:val="24"/>
              </w:rPr>
              <w:t>2.5 Literature gap</w:t>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8</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l7aqvs70n9gp">
            <w:r>
              <w:rPr>
                <w:rFonts w:ascii="Times New Roman" w:eastAsia="Times New Roman" w:hAnsi="Times New Roman" w:cs="Times New Roman"/>
                <w:color w:val="000000"/>
                <w:sz w:val="24"/>
                <w:szCs w:val="24"/>
              </w:rPr>
              <w:t>2.6 Conceptual framework</w:t>
            </w:r>
            <w:r>
              <w:rPr>
                <w:rFonts w:ascii="Times New Roman" w:eastAsia="Times New Roman" w:hAnsi="Times New Roman" w:cs="Times New Roman"/>
                <w:color w:val="000000"/>
                <w:sz w:val="24"/>
                <w:szCs w:val="24"/>
              </w:rPr>
              <w:tab/>
              <w:t>9</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5v76hcxsa6tf">
            <w:r>
              <w:rPr>
                <w:rFonts w:ascii="Times New Roman" w:eastAsia="Times New Roman" w:hAnsi="Times New Roman" w:cs="Times New Roman"/>
                <w:color w:val="000000"/>
                <w:sz w:val="24"/>
                <w:szCs w:val="24"/>
              </w:rPr>
              <w:t>3. Research methodology</w:t>
            </w:r>
            <w:r>
              <w:rPr>
                <w:rFonts w:ascii="Times New Roman" w:eastAsia="Times New Roman" w:hAnsi="Times New Roman" w:cs="Times New Roman"/>
                <w:color w:val="000000"/>
                <w:sz w:val="24"/>
                <w:szCs w:val="24"/>
              </w:rPr>
              <w:tab/>
              <w:t>9</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wglym6iyyfw">
            <w:r>
              <w:rPr>
                <w:rFonts w:ascii="Times New Roman" w:eastAsia="Times New Roman" w:hAnsi="Times New Roman" w:cs="Times New Roman"/>
                <w:color w:val="000000"/>
                <w:sz w:val="24"/>
                <w:szCs w:val="24"/>
              </w:rPr>
              <w:t>3.1 Research approach</w:t>
            </w:r>
            <w:r>
              <w:rPr>
                <w:rFonts w:ascii="Times New Roman" w:eastAsia="Times New Roman" w:hAnsi="Times New Roman" w:cs="Times New Roman"/>
                <w:color w:val="000000"/>
                <w:sz w:val="24"/>
                <w:szCs w:val="24"/>
              </w:rPr>
              <w:tab/>
              <w:t>9</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4ys1p8ig7gh9">
            <w:r>
              <w:rPr>
                <w:rFonts w:ascii="Times New Roman" w:eastAsia="Times New Roman" w:hAnsi="Times New Roman" w:cs="Times New Roman"/>
                <w:color w:val="000000"/>
                <w:sz w:val="24"/>
                <w:szCs w:val="24"/>
              </w:rPr>
              <w:t>3.2 Data collection methods</w:t>
            </w:r>
            <w:r>
              <w:rPr>
                <w:rFonts w:ascii="Times New Roman" w:eastAsia="Times New Roman" w:hAnsi="Times New Roman" w:cs="Times New Roman"/>
                <w:color w:val="000000"/>
                <w:sz w:val="24"/>
                <w:szCs w:val="24"/>
              </w:rPr>
              <w:tab/>
              <w:t>9</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bcdwbplyfr6">
            <w:r>
              <w:rPr>
                <w:rFonts w:ascii="Times New Roman" w:eastAsia="Times New Roman" w:hAnsi="Times New Roman" w:cs="Times New Roman"/>
                <w:color w:val="000000"/>
                <w:sz w:val="24"/>
                <w:szCs w:val="24"/>
              </w:rPr>
              <w:t>3.3 Source selection</w:t>
            </w:r>
            <w:r>
              <w:rPr>
                <w:rFonts w:ascii="Times New Roman" w:eastAsia="Times New Roman" w:hAnsi="Times New Roman" w:cs="Times New Roman"/>
                <w:color w:val="000000"/>
                <w:sz w:val="24"/>
                <w:szCs w:val="24"/>
              </w:rPr>
              <w:tab/>
              <w:t>10</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1ocfrle4aw1e">
            <w:r>
              <w:rPr>
                <w:rFonts w:ascii="Times New Roman" w:eastAsia="Times New Roman" w:hAnsi="Times New Roman" w:cs="Times New Roman"/>
                <w:color w:val="000000"/>
                <w:sz w:val="24"/>
                <w:szCs w:val="24"/>
              </w:rPr>
              <w:t>3.4 Sampling strategy</w:t>
            </w:r>
            <w:r>
              <w:rPr>
                <w:rFonts w:ascii="Times New Roman" w:eastAsia="Times New Roman" w:hAnsi="Times New Roman" w:cs="Times New Roman"/>
                <w:color w:val="000000"/>
                <w:sz w:val="24"/>
                <w:szCs w:val="24"/>
              </w:rPr>
              <w:tab/>
              <w:t>10</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50797uzcy6mf">
            <w:r>
              <w:rPr>
                <w:rFonts w:ascii="Times New Roman" w:eastAsia="Times New Roman" w:hAnsi="Times New Roman" w:cs="Times New Roman"/>
                <w:color w:val="000000"/>
                <w:sz w:val="24"/>
                <w:szCs w:val="24"/>
              </w:rPr>
              <w:t>3.5 Analysis techniques</w:t>
            </w:r>
            <w:r>
              <w:rPr>
                <w:rFonts w:ascii="Times New Roman" w:eastAsia="Times New Roman" w:hAnsi="Times New Roman" w:cs="Times New Roman"/>
                <w:color w:val="000000"/>
                <w:sz w:val="24"/>
                <w:szCs w:val="24"/>
              </w:rPr>
              <w:tab/>
              <w:t>10</w:t>
            </w:r>
          </w:hyperlink>
        </w:p>
        <w:p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8cyipc2c1j0">
            <w:r>
              <w:rPr>
                <w:rFonts w:ascii="Times New Roman" w:eastAsia="Times New Roman" w:hAnsi="Times New Roman" w:cs="Times New Roman"/>
                <w:color w:val="000000"/>
                <w:sz w:val="24"/>
                <w:szCs w:val="24"/>
              </w:rPr>
              <w:t>3.6 Ethical considerations</w:t>
            </w:r>
            <w:r>
              <w:rPr>
                <w:rFonts w:ascii="Times New Roman" w:eastAsia="Times New Roman" w:hAnsi="Times New Roman" w:cs="Times New Roman"/>
                <w:color w:val="000000"/>
                <w:sz w:val="24"/>
                <w:szCs w:val="24"/>
              </w:rPr>
              <w:tab/>
              <w:t>10</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ymvzzpdldelk">
            <w:r>
              <w:rPr>
                <w:rFonts w:ascii="Times New Roman" w:eastAsia="Times New Roman" w:hAnsi="Times New Roman" w:cs="Times New Roman"/>
                <w:color w:val="000000"/>
                <w:sz w:val="24"/>
                <w:szCs w:val="24"/>
              </w:rPr>
              <w:t>4. Expected findings</w:t>
            </w:r>
            <w:r>
              <w:rPr>
                <w:rFonts w:ascii="Times New Roman" w:eastAsia="Times New Roman" w:hAnsi="Times New Roman" w:cs="Times New Roman"/>
                <w:color w:val="000000"/>
                <w:sz w:val="24"/>
                <w:szCs w:val="24"/>
              </w:rPr>
              <w:tab/>
              <w:t>10</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xjvwntfgnilm">
            <w:r>
              <w:rPr>
                <w:rFonts w:ascii="Times New Roman" w:eastAsia="Times New Roman" w:hAnsi="Times New Roman" w:cs="Times New Roman"/>
                <w:color w:val="000000"/>
                <w:sz w:val="24"/>
                <w:szCs w:val="24"/>
              </w:rPr>
              <w:t>5. Limitations</w:t>
            </w:r>
            <w:r>
              <w:rPr>
                <w:rFonts w:ascii="Times New Roman" w:eastAsia="Times New Roman" w:hAnsi="Times New Roman" w:cs="Times New Roman"/>
                <w:color w:val="000000"/>
                <w:sz w:val="24"/>
                <w:szCs w:val="24"/>
              </w:rPr>
              <w:tab/>
              <w:t>11</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pi7ajwepyr1v">
            <w:r>
              <w:rPr>
                <w:rFonts w:ascii="Times New Roman" w:eastAsia="Times New Roman" w:hAnsi="Times New Roman" w:cs="Times New Roman"/>
                <w:color w:val="000000"/>
                <w:sz w:val="24"/>
                <w:szCs w:val="24"/>
              </w:rPr>
              <w:t>6. Timeframe</w:t>
            </w:r>
            <w:r>
              <w:rPr>
                <w:rFonts w:ascii="Times New Roman" w:eastAsia="Times New Roman" w:hAnsi="Times New Roman" w:cs="Times New Roman"/>
                <w:color w:val="000000"/>
                <w:sz w:val="24"/>
                <w:szCs w:val="24"/>
              </w:rPr>
              <w:tab/>
              <w:t>11</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qajixf4mqlzo">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12</w:t>
            </w:r>
          </w:hyperlink>
        </w:p>
        <w:p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8afhhu29osnv">
            <w:r>
              <w:rPr>
                <w:rFonts w:ascii="Times New Roman" w:eastAsia="Times New Roman" w:hAnsi="Times New Roman" w:cs="Times New Roman"/>
                <w:color w:val="000000"/>
                <w:sz w:val="24"/>
                <w:szCs w:val="24"/>
              </w:rPr>
              <w:t>8. References</w:t>
            </w:r>
            <w:r>
              <w:rPr>
                <w:rFonts w:ascii="Times New Roman" w:eastAsia="Times New Roman" w:hAnsi="Times New Roman" w:cs="Times New Roman"/>
                <w:color w:val="000000"/>
                <w:sz w:val="24"/>
                <w:szCs w:val="24"/>
              </w:rPr>
              <w:tab/>
              <w:t>13</w:t>
            </w:r>
          </w:hyperlink>
        </w:p>
        <w:p w:rsidR="00F7338D" w:rsidRDefault="0019547D">
          <w:pPr>
            <w:spacing w:line="360" w:lineRule="auto"/>
            <w:jc w:val="both"/>
          </w:pPr>
          <w:r>
            <w:fldChar w:fldCharType="end"/>
          </w:r>
        </w:p>
      </w:sdtContent>
    </w:sdt>
    <w:p w:rsidR="00F7338D" w:rsidRDefault="0019547D">
      <w:pPr>
        <w:rPr>
          <w:rFonts w:ascii="Times New Roman" w:eastAsia="Times New Roman" w:hAnsi="Times New Roman" w:cs="Times New Roman"/>
          <w:b/>
          <w:bCs/>
          <w:color w:val="000000"/>
          <w:sz w:val="28"/>
          <w:szCs w:val="28"/>
        </w:rPr>
      </w:pPr>
      <w:r>
        <w:br w:type="page"/>
      </w:r>
    </w:p>
    <w:p w:rsidR="00F7338D" w:rsidRDefault="0019547D">
      <w:pPr>
        <w:pStyle w:val="Heading1"/>
      </w:pPr>
      <w:bookmarkStart w:id="0" w:name="_heading=h.n97omrejx4gp" w:colFirst="0" w:colLast="0"/>
      <w:bookmarkEnd w:id="0"/>
      <w:r>
        <w:lastRenderedPageBreak/>
        <w:t xml:space="preserve">1. Introduction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modern Indian automobile market is going through prominent changes towards electrification and it is attracting major international EV manufacturers to maintain a stable business base. However, foreign brands are operating in a highly competitive envir</w:t>
      </w:r>
      <w:r>
        <w:rPr>
          <w:rFonts w:ascii="Times New Roman" w:eastAsia="Times New Roman" w:hAnsi="Times New Roman" w:cs="Times New Roman"/>
          <w:sz w:val="24"/>
          <w:szCs w:val="24"/>
        </w:rPr>
        <w:t>onment dominated by different domestic players, wh</w:t>
      </w:r>
      <w:bookmarkStart w:id="1" w:name="_GoBack"/>
      <w:bookmarkEnd w:id="1"/>
      <w:r>
        <w:rPr>
          <w:rFonts w:ascii="Times New Roman" w:eastAsia="Times New Roman" w:hAnsi="Times New Roman" w:cs="Times New Roman"/>
          <w:sz w:val="24"/>
          <w:szCs w:val="24"/>
        </w:rPr>
        <w:t xml:space="preserve">ile the market is getting saturated and the gap is developed based on driving Indian customers, who are value-conscious and loyal, to focus on the foreign alternatives in terms of selecting automobiles. In </w:t>
      </w:r>
      <w:r>
        <w:rPr>
          <w:rFonts w:ascii="Times New Roman" w:eastAsia="Times New Roman" w:hAnsi="Times New Roman" w:cs="Times New Roman"/>
          <w:sz w:val="24"/>
          <w:szCs w:val="24"/>
        </w:rPr>
        <w:t>this respect, this research is based on presenting a viewpoint related to the factors influencing customers' acceptance of a foreign electric vehicle brand in India.</w:t>
      </w:r>
    </w:p>
    <w:p w:rsidR="00F7338D" w:rsidRDefault="0019547D">
      <w:pPr>
        <w:pStyle w:val="Heading2"/>
      </w:pPr>
      <w:bookmarkStart w:id="2" w:name="_heading=h.er94w78h36f0" w:colFirst="0" w:colLast="0"/>
      <w:bookmarkEnd w:id="2"/>
      <w:r>
        <w:t xml:space="preserve">1.1 Background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passenger vehicle industry of India is experiencing a prominent acceleration and retail sales are developing 107% year on year to 31,823 units in June 2026 (ET Auto, 2026).  However, the landscape is competed by domestic giants, such as Tata Motors and</w:t>
      </w:r>
      <w:r>
        <w:rPr>
          <w:rFonts w:ascii="Times New Roman" w:eastAsia="Times New Roman" w:hAnsi="Times New Roman" w:cs="Times New Roman"/>
          <w:sz w:val="24"/>
          <w:szCs w:val="24"/>
        </w:rPr>
        <w:t xml:space="preserve"> Mahindra, that have around 39% and 23% of market share respectively (Singh, 2026). Currently, the market size in India is $5.7 billion (EVBoosters, 2025). Despite acute market competitiveness, different global brands have focused aggressively on entering </w:t>
      </w:r>
      <w:r>
        <w:rPr>
          <w:rFonts w:ascii="Times New Roman" w:eastAsia="Times New Roman" w:hAnsi="Times New Roman" w:cs="Times New Roman"/>
          <w:sz w:val="24"/>
          <w:szCs w:val="24"/>
        </w:rPr>
        <w:t>the Indian market. The brands are named as Vietnam's VinFast and China's BYD, capturing early market shares of 3.80% and 2.22% in H1 2026 (Yen, 2026). Thus, this study will consider how the consumers’ preferences for EVs can impact on Acceptance of Foreign</w:t>
      </w:r>
      <w:r>
        <w:rPr>
          <w:rFonts w:ascii="Times New Roman" w:eastAsia="Times New Roman" w:hAnsi="Times New Roman" w:cs="Times New Roman"/>
          <w:sz w:val="24"/>
          <w:szCs w:val="24"/>
        </w:rPr>
        <w:t xml:space="preserve"> Electric Vehicle Brands in India.</w:t>
      </w:r>
    </w:p>
    <w:p w:rsidR="00F7338D" w:rsidRDefault="0019547D">
      <w:pPr>
        <w:spacing w:line="360" w:lineRule="auto"/>
        <w:jc w:val="both"/>
        <w:rPr>
          <w:rFonts w:ascii="Times New Roman" w:eastAsia="Times New Roman" w:hAnsi="Times New Roman" w:cs="Times New Roman"/>
          <w:sz w:val="24"/>
          <w:szCs w:val="24"/>
        </w:rPr>
      </w:pPr>
      <w:r>
        <w:rPr>
          <w:noProof/>
        </w:rPr>
        <w:lastRenderedPageBreak/>
        <w:drawing>
          <wp:inline distT="0" distB="0" distL="0" distR="0">
            <wp:extent cx="5731510" cy="5357276"/>
            <wp:effectExtent l="0" t="0" r="0" b="0"/>
            <wp:docPr id="2" name="image1.jpg" descr="India's Electric Vehicle market projections | EVBoosters"/>
            <wp:cNvGraphicFramePr/>
            <a:graphic xmlns:a="http://schemas.openxmlformats.org/drawingml/2006/main">
              <a:graphicData uri="http://schemas.openxmlformats.org/drawingml/2006/picture">
                <pic:pic xmlns:pic="http://schemas.openxmlformats.org/drawingml/2006/picture">
                  <pic:nvPicPr>
                    <pic:cNvPr id="0" name="image1.jpg" descr="India's Electric Vehicle market projections | EVBoosters"/>
                    <pic:cNvPicPr preferRelativeResize="0"/>
                  </pic:nvPicPr>
                  <pic:blipFill>
                    <a:blip r:embed="rId8"/>
                    <a:srcRect/>
                    <a:stretch>
                      <a:fillRect/>
                    </a:stretch>
                  </pic:blipFill>
                  <pic:spPr>
                    <a:xfrm>
                      <a:off x="0" y="0"/>
                      <a:ext cx="5731510" cy="5357276"/>
                    </a:xfrm>
                    <a:prstGeom prst="rect">
                      <a:avLst/>
                    </a:prstGeom>
                    <a:ln/>
                  </pic:spPr>
                </pic:pic>
              </a:graphicData>
            </a:graphic>
          </wp:inline>
        </w:drawing>
      </w:r>
    </w:p>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Future route in the Indian EV market</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EVBoosters, 2025)</w:t>
      </w:r>
    </w:p>
    <w:p w:rsidR="00F7338D" w:rsidRDefault="0019547D">
      <w:pPr>
        <w:pStyle w:val="Heading2"/>
      </w:pPr>
      <w:bookmarkStart w:id="3" w:name="_heading=h.xbsjfq1445qg" w:colFirst="0" w:colLast="0"/>
      <w:bookmarkEnd w:id="3"/>
      <w:r>
        <w:t xml:space="preserve">1.2 Aim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research will be to evaluate Factors Influencing Customer Acceptance of Foreign Electric Vehicle Brands in India. </w:t>
      </w:r>
    </w:p>
    <w:p w:rsidR="00F7338D" w:rsidRDefault="0019547D">
      <w:pPr>
        <w:pStyle w:val="Heading2"/>
      </w:pPr>
      <w:bookmarkStart w:id="4" w:name="_heading=h.wgbw47prgta7" w:colFirst="0" w:colLast="0"/>
      <w:bookmarkEnd w:id="4"/>
      <w:r>
        <w:t>1.3 Ob</w:t>
      </w:r>
      <w:r>
        <w:t xml:space="preserve">jectives </w:t>
      </w:r>
    </w:p>
    <w:p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To examine the factors impacting Customer Acceptance of Foreign Electric Vehicle Brands in India</w:t>
      </w:r>
    </w:p>
    <w:p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To analyse the reasons behind developing purchasing intentions for Foreign Electric Vehicle Brands in India</w:t>
      </w:r>
    </w:p>
    <w:p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lastRenderedPageBreak/>
        <w:t xml:space="preserve">To find out the issues based on </w:t>
      </w:r>
      <w:r>
        <w:rPr>
          <w:rFonts w:ascii="Times New Roman" w:eastAsia="Times New Roman" w:hAnsi="Times New Roman" w:cs="Times New Roman"/>
          <w:sz w:val="24"/>
          <w:szCs w:val="24"/>
        </w:rPr>
        <w:t>the penet</w:t>
      </w:r>
      <w:r>
        <w:rPr>
          <w:rFonts w:ascii="Times New Roman" w:eastAsia="Times New Roman" w:hAnsi="Times New Roman" w:cs="Times New Roman"/>
          <w:sz w:val="24"/>
          <w:szCs w:val="24"/>
        </w:rPr>
        <w:t>ration</w:t>
      </w:r>
      <w:r>
        <w:rPr>
          <w:rFonts w:ascii="Times New Roman" w:eastAsia="Times New Roman" w:hAnsi="Times New Roman" w:cs="Times New Roman"/>
          <w:color w:val="000000"/>
          <w:sz w:val="24"/>
          <w:szCs w:val="24"/>
        </w:rPr>
        <w:t xml:space="preserve"> into the Indian market by Foreign Electric Vehicle Brands </w:t>
      </w:r>
    </w:p>
    <w:p w:rsidR="00F7338D" w:rsidRDefault="0019547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To recommend feasible strategies through which the acceptance </w:t>
      </w:r>
      <w:r>
        <w:rPr>
          <w:rFonts w:ascii="Times New Roman" w:eastAsia="Times New Roman" w:hAnsi="Times New Roman" w:cs="Times New Roman"/>
          <w:sz w:val="24"/>
          <w:szCs w:val="24"/>
        </w:rPr>
        <w:t>of foreign electric vehicle brands</w:t>
      </w:r>
      <w:r>
        <w:rPr>
          <w:rFonts w:ascii="Times New Roman" w:eastAsia="Times New Roman" w:hAnsi="Times New Roman" w:cs="Times New Roman"/>
          <w:color w:val="000000"/>
          <w:sz w:val="24"/>
          <w:szCs w:val="24"/>
        </w:rPr>
        <w:t xml:space="preserve"> can be developed in India</w:t>
      </w:r>
    </w:p>
    <w:p w:rsidR="00F7338D" w:rsidRDefault="0019547D">
      <w:pPr>
        <w:pStyle w:val="Heading2"/>
      </w:pPr>
      <w:bookmarkStart w:id="5" w:name="_heading=h.qsu365m6k95s" w:colFirst="0" w:colLast="0"/>
      <w:bookmarkEnd w:id="5"/>
      <w:r>
        <w:t xml:space="preserve">1.4 Research question </w:t>
      </w:r>
    </w:p>
    <w:p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factors influence Indian consumers' acceptance of foreign electric vehicle brands?</w:t>
      </w:r>
    </w:p>
    <w:p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reasons behind developing purchasing intentions for Foreign Electric Vehicle Brands in India?</w:t>
      </w:r>
    </w:p>
    <w:p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issues based on penetrating into the Indian market by Foreign Electric Vehicle Brands?</w:t>
      </w:r>
    </w:p>
    <w:p w:rsidR="00F7338D" w:rsidRDefault="0019547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Which can be the feasible strategies through which the acceptance for Foreign Electric Vehicle Brands can be developed in India?</w:t>
      </w:r>
    </w:p>
    <w:p w:rsidR="00F7338D" w:rsidRDefault="0019547D">
      <w:pPr>
        <w:pStyle w:val="Heading2"/>
      </w:pPr>
      <w:bookmarkStart w:id="6" w:name="_heading=h.m6qdt9iw17ju" w:colFirst="0" w:colLast="0"/>
      <w:bookmarkEnd w:id="6"/>
      <w:r>
        <w:t>1.5 Significance of the res</w:t>
      </w:r>
      <w:r>
        <w:t xml:space="preserve">earch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may have effective academic and practical significance in terms of understanding how the electric vehicle market in India is experiencing a prominent development in recent era. The valuation is projected to range from $18.79 billion in </w:t>
      </w:r>
      <w:r>
        <w:rPr>
          <w:rFonts w:ascii="Times New Roman" w:eastAsia="Times New Roman" w:hAnsi="Times New Roman" w:cs="Times New Roman"/>
          <w:sz w:val="24"/>
          <w:szCs w:val="24"/>
        </w:rPr>
        <w:t>2025 to $31.09 billion in 2026 (Singh, 2026). In Western India, the dominance of foreign EVs is highest. In terms of understanding how the price and brand value are playing crucial roles in drawing consumer attention for foreign electric vehicles, this res</w:t>
      </w:r>
      <w:r>
        <w:rPr>
          <w:rFonts w:ascii="Times New Roman" w:eastAsia="Times New Roman" w:hAnsi="Times New Roman" w:cs="Times New Roman"/>
          <w:sz w:val="24"/>
          <w:szCs w:val="24"/>
        </w:rPr>
        <w:t xml:space="preserve">earch will bridge a vital literature gap based on which international market entity strategy is followed by the foreign brands in highly cost-conscious economies. </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368952" cy="2232396"/>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68952" cy="2232396"/>
                    </a:xfrm>
                    <a:prstGeom prst="rect">
                      <a:avLst/>
                    </a:prstGeom>
                    <a:ln/>
                  </pic:spPr>
                </pic:pic>
              </a:graphicData>
            </a:graphic>
          </wp:inline>
        </w:drawing>
      </w:r>
    </w:p>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Growth of EV market in Indian regions </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Marketresearchfuture, 2026)</w:t>
      </w:r>
    </w:p>
    <w:p w:rsidR="00F7338D" w:rsidRDefault="0019547D">
      <w:pPr>
        <w:pStyle w:val="Heading2"/>
      </w:pPr>
      <w:bookmarkStart w:id="7" w:name="_heading=h.bwlegavgjd3q" w:colFirst="0" w:colLast="0"/>
      <w:bookmarkEnd w:id="7"/>
      <w:r>
        <w:t xml:space="preserve">1.6 </w:t>
      </w:r>
      <w:r>
        <w:t xml:space="preserve">Rationale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rapid expansion of India’s electric vehicle market has led to a structural shift for foreign brands, though the entry barriers are steep.  The core issue is based on showing the electric passenger vehicles market in India had a 4.5% market p</w:t>
      </w:r>
      <w:r>
        <w:rPr>
          <w:rFonts w:ascii="Times New Roman" w:eastAsia="Times New Roman" w:hAnsi="Times New Roman" w:cs="Times New Roman"/>
          <w:sz w:val="24"/>
          <w:szCs w:val="24"/>
        </w:rPr>
        <w:t>enetration from 2025 to 2026 (EV reporter, 2026), when the volume is highly consolidated. On the other hand, competitors such as Tata Motors exhibited a prominent market share of 38% and as a result, the manufacturers may face a highly competitive market b</w:t>
      </w:r>
      <w:r>
        <w:rPr>
          <w:rFonts w:ascii="Times New Roman" w:eastAsia="Times New Roman" w:hAnsi="Times New Roman" w:cs="Times New Roman"/>
          <w:sz w:val="24"/>
          <w:szCs w:val="24"/>
        </w:rPr>
        <w:t>arrier in India while maintaining consumer trust and operational feasibility. The issue is critical if the global brand decides to invest in the Indian EV market and the projected $61.15 billion EV market valuation in 2026 will also be affected (Marketrese</w:t>
      </w:r>
      <w:r>
        <w:rPr>
          <w:rFonts w:ascii="Times New Roman" w:eastAsia="Times New Roman" w:hAnsi="Times New Roman" w:cs="Times New Roman"/>
          <w:sz w:val="24"/>
          <w:szCs w:val="24"/>
        </w:rPr>
        <w:t>archfuture, 2025). The problem needs critical investigation because the Indian market has reached an economic inflexion point. Furthermore, cumulative allocations may cross ₹25,000 crore under Production-Linked Incentive (PLI) schemes, which are forcing in</w:t>
      </w:r>
      <w:r>
        <w:rPr>
          <w:rFonts w:ascii="Times New Roman" w:eastAsia="Times New Roman" w:hAnsi="Times New Roman" w:cs="Times New Roman"/>
          <w:sz w:val="24"/>
          <w:szCs w:val="24"/>
        </w:rPr>
        <w:t xml:space="preserve">ternational automakers to choose between local manufacturing commitments or losing market accessibility. </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1510" cy="285940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2859405"/>
                    </a:xfrm>
                    <a:prstGeom prst="rect">
                      <a:avLst/>
                    </a:prstGeom>
                    <a:ln/>
                  </pic:spPr>
                </pic:pic>
              </a:graphicData>
            </a:graphic>
          </wp:inline>
        </w:drawing>
      </w:r>
    </w:p>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Growth of the Indian EV market</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Marketresearchfuture, 2025)</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this research will shed light on this issue for understanding different variables, such as price hike, the infrastructural gap as well as brand trust, can impact consumers’ buying habits in India. Additionally, understanding the socioeconomic impacts</w:t>
      </w:r>
      <w:r>
        <w:rPr>
          <w:rFonts w:ascii="Times New Roman" w:eastAsia="Times New Roman" w:hAnsi="Times New Roman" w:cs="Times New Roman"/>
          <w:sz w:val="24"/>
          <w:szCs w:val="24"/>
        </w:rPr>
        <w:t xml:space="preserve"> will cover an academic gap </w:t>
      </w:r>
      <w:r>
        <w:rPr>
          <w:rFonts w:ascii="Times New Roman" w:eastAsia="Times New Roman" w:hAnsi="Times New Roman" w:cs="Times New Roman"/>
          <w:sz w:val="24"/>
          <w:szCs w:val="24"/>
        </w:rPr>
        <w:lastRenderedPageBreak/>
        <w:t xml:space="preserve">by highlighting the usefulness of the technology acceptance model for supporting the market entry by automobile manufacturers. </w:t>
      </w:r>
    </w:p>
    <w:p w:rsidR="00F7338D" w:rsidRDefault="0019547D">
      <w:pPr>
        <w:pStyle w:val="Heading1"/>
      </w:pPr>
      <w:bookmarkStart w:id="8" w:name="_heading=h.exxglsx28sqh" w:colFirst="0" w:colLast="0"/>
      <w:bookmarkEnd w:id="8"/>
      <w:r>
        <w:t xml:space="preserve">2. Literature review </w:t>
      </w:r>
    </w:p>
    <w:p w:rsidR="00F7338D" w:rsidRDefault="0019547D">
      <w:pPr>
        <w:pStyle w:val="Heading2"/>
      </w:pPr>
      <w:bookmarkStart w:id="9" w:name="_heading=h.z6svhthqxpjc" w:colFirst="0" w:colLast="0"/>
      <w:bookmarkEnd w:id="9"/>
      <w:r>
        <w:t>2.1 Introduction</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is critically focused on understanding the opini</w:t>
      </w:r>
      <w:r>
        <w:rPr>
          <w:rFonts w:ascii="Times New Roman" w:eastAsia="Times New Roman" w:hAnsi="Times New Roman" w:cs="Times New Roman"/>
          <w:sz w:val="24"/>
          <w:szCs w:val="24"/>
        </w:rPr>
        <w:t>ons of previous researchers based on consumer decisions regarding particular technology and brand usefulness. It is evident that for understanding the market penetration mode of companies, assessment of psychological and socioeconomic variables is importan</w:t>
      </w:r>
      <w:r>
        <w:rPr>
          <w:rFonts w:ascii="Times New Roman" w:eastAsia="Times New Roman" w:hAnsi="Times New Roman" w:cs="Times New Roman"/>
          <w:sz w:val="24"/>
          <w:szCs w:val="24"/>
        </w:rPr>
        <w:t>t. Therefore, considering the opinions of different researchers, this literature review has established a theoretical framework to analyse how Indian consumers evaluate and accept foreign electric vehicle (EV) brands.</w:t>
      </w:r>
    </w:p>
    <w:p w:rsidR="00F7338D" w:rsidRDefault="0019547D">
      <w:pPr>
        <w:pStyle w:val="Heading2"/>
      </w:pPr>
      <w:bookmarkStart w:id="10" w:name="_heading=h.4ergogfyy8sz" w:colFirst="0" w:colLast="0"/>
      <w:bookmarkEnd w:id="10"/>
      <w:r>
        <w:t>2.2 Factors influencing Indian consume</w:t>
      </w:r>
      <w:r>
        <w:t xml:space="preserve">rs' acceptance of foreign electric vehicle brands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acceptance towards foreign automotive technology is based on some distinct psychological and behavioural aspects. In this regard, Kwesi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(2026) mentioned that the primary driver is consumer brand equity awareness that is directly linked with product choice in a highly competitive market. Additionally, it is also evident that if brand awareness, perceived quality, and brand trust are high,</w:t>
      </w:r>
      <w:r>
        <w:rPr>
          <w:rFonts w:ascii="Times New Roman" w:eastAsia="Times New Roman" w:hAnsi="Times New Roman" w:cs="Times New Roman"/>
          <w:sz w:val="24"/>
          <w:szCs w:val="24"/>
        </w:rPr>
        <w:t xml:space="preserve"> the consumers’ buying intentions are automatically developed (Kumar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Apart from that, Alsmadi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noted that the usability of the incorporated technology plays a key role in determining how buyers filter information and select tech</w:t>
      </w:r>
      <w:r>
        <w:rPr>
          <w:rFonts w:ascii="Times New Roman" w:eastAsia="Times New Roman" w:hAnsi="Times New Roman" w:cs="Times New Roman"/>
          <w:sz w:val="24"/>
          <w:szCs w:val="24"/>
        </w:rPr>
        <w:t xml:space="preserve">nology. Different psychological elements, such as the usefulness and longevity of products, the marketing channel and customers’ reviews, also act to impact on consumers’ buying patterns of EVs (Ngo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Additionally, consumer engagement with adv</w:t>
      </w:r>
      <w:r>
        <w:rPr>
          <w:rFonts w:ascii="Times New Roman" w:eastAsia="Times New Roman" w:hAnsi="Times New Roman" w:cs="Times New Roman"/>
          <w:sz w:val="24"/>
          <w:szCs w:val="24"/>
        </w:rPr>
        <w:t xml:space="preserve">anced systems acts as a mediating variable, which transforms initial consumer curiosity into a concrete willingness to adopt international technological brands (Sahoo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rsidR="00F7338D" w:rsidRDefault="0019547D">
      <w:pPr>
        <w:pStyle w:val="Heading2"/>
      </w:pPr>
      <w:bookmarkStart w:id="11" w:name="_heading=h.cuzljxvxw8hv" w:colFirst="0" w:colLast="0"/>
      <w:bookmarkEnd w:id="11"/>
      <w:r>
        <w:t>2.3 The issues based on penetrating into the Indian market by Foreign Elect</w:t>
      </w:r>
      <w:r>
        <w:t xml:space="preserve">ric Vehicle Brands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foreign EV brands may face different types of market friction due to structural consumer scepticism regarding post-purchase security. As mentioned by Srivastava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(2026), the main challenge is maintaining consumer trust post pu</w:t>
      </w:r>
      <w:r>
        <w:rPr>
          <w:rFonts w:ascii="Times New Roman" w:eastAsia="Times New Roman" w:hAnsi="Times New Roman" w:cs="Times New Roman"/>
          <w:sz w:val="24"/>
          <w:szCs w:val="24"/>
        </w:rPr>
        <w:t xml:space="preserve">rchase that is directly linked with product quality and after-sales service. At the time of entering into a foreign market, different </w:t>
      </w:r>
      <w:r>
        <w:rPr>
          <w:rFonts w:ascii="Times New Roman" w:eastAsia="Times New Roman" w:hAnsi="Times New Roman" w:cs="Times New Roman"/>
          <w:sz w:val="24"/>
          <w:szCs w:val="24"/>
        </w:rPr>
        <w:lastRenderedPageBreak/>
        <w:t>international brands have to overcome local preferences and this creates a barrier for them to impact the local customers,</w:t>
      </w:r>
      <w:r>
        <w:rPr>
          <w:rFonts w:ascii="Times New Roman" w:eastAsia="Times New Roman" w:hAnsi="Times New Roman" w:cs="Times New Roman"/>
          <w:sz w:val="24"/>
          <w:szCs w:val="24"/>
        </w:rPr>
        <w:t xml:space="preserve"> overcoming the domestic identity alignment issues (Bizuneh, 2025). It is also evident that local dealership networks, robust battery warranties, and visible servicing infrastructure- all factors act as necessary for the foreign brands to attain customers’</w:t>
      </w:r>
      <w:r>
        <w:rPr>
          <w:rFonts w:ascii="Times New Roman" w:eastAsia="Times New Roman" w:hAnsi="Times New Roman" w:cs="Times New Roman"/>
          <w:sz w:val="24"/>
          <w:szCs w:val="24"/>
        </w:rPr>
        <w:t xml:space="preserve"> trust in the wider Indian market. </w:t>
      </w:r>
    </w:p>
    <w:p w:rsidR="00F7338D" w:rsidRDefault="0019547D">
      <w:pPr>
        <w:pStyle w:val="Heading2"/>
      </w:pPr>
      <w:bookmarkStart w:id="12" w:name="_heading=h.fycw6xg6d32y" w:colFirst="0" w:colLast="0"/>
      <w:bookmarkEnd w:id="12"/>
      <w:r>
        <w:t>2.4 Aligning theories and model</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understand the consumers’ purchasing habits for foreign EV brands, it is important to incorporate academic frameworks that can shed light on personal utility and social and mot</w:t>
      </w:r>
      <w:r>
        <w:rPr>
          <w:rFonts w:ascii="Times New Roman" w:eastAsia="Times New Roman" w:hAnsi="Times New Roman" w:cs="Times New Roman"/>
          <w:sz w:val="24"/>
          <w:szCs w:val="24"/>
        </w:rPr>
        <w:t xml:space="preserve">ivational factors. In this aspect, Jayawardena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described that technology adoption is greatly impacted by social motivation and based on this, individuals can choose or reject advanced and smart innovation. These aspects can be linked directly</w:t>
      </w:r>
      <w:r>
        <w:rPr>
          <w:rFonts w:ascii="Times New Roman" w:eastAsia="Times New Roman" w:hAnsi="Times New Roman" w:cs="Times New Roman"/>
          <w:sz w:val="24"/>
          <w:szCs w:val="24"/>
        </w:rPr>
        <w:t xml:space="preserve"> with the Unified Theory of Acceptance and Use of Technology framework. Through this framework, the price, social influence as well as facilitating conditions of the brands can dictate consumers’ purchasing behaviour. In support of this, Simonetti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w:t>
      </w:r>
      <w:r>
        <w:rPr>
          <w:rFonts w:ascii="Times New Roman" w:eastAsia="Times New Roman" w:hAnsi="Times New Roman" w:cs="Times New Roman"/>
          <w:sz w:val="24"/>
          <w:szCs w:val="24"/>
        </w:rPr>
        <w:t xml:space="preserve">2025) stated that in the recent era, the consumer brand choice is directly impacted by their personal buying habits and external social factors in the changing business environment. </w:t>
      </w:r>
    </w:p>
    <w:p w:rsidR="00F7338D" w:rsidRDefault="0019547D">
      <w:pPr>
        <w:pStyle w:val="Heading2"/>
      </w:pPr>
      <w:bookmarkStart w:id="13" w:name="_heading=h.qp5hlqsmdv9t" w:colFirst="0" w:colLast="0"/>
      <w:bookmarkEnd w:id="13"/>
      <w:r>
        <w:t>2.5 Literature gap</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literature study has critically considered</w:t>
      </w:r>
      <w:r>
        <w:rPr>
          <w:rFonts w:ascii="Times New Roman" w:eastAsia="Times New Roman" w:hAnsi="Times New Roman" w:cs="Times New Roman"/>
          <w:sz w:val="24"/>
          <w:szCs w:val="24"/>
        </w:rPr>
        <w:t xml:space="preserve"> the aspects of technology acceptance and brand equity across the emerging economies. However, a prominent gap exists in terms of how behavioural buying patterns of the customers can be linked with the large-scale automotive transition. Moreover, a data ga</w:t>
      </w:r>
      <w:r>
        <w:rPr>
          <w:rFonts w:ascii="Times New Roman" w:eastAsia="Times New Roman" w:hAnsi="Times New Roman" w:cs="Times New Roman"/>
          <w:sz w:val="24"/>
          <w:szCs w:val="24"/>
        </w:rPr>
        <w:t xml:space="preserve">p is seen in terms of mapping foreign EV market entry strategies against the price consciousness and infrastructure-based psychology of Indian consumers. </w:t>
      </w:r>
    </w:p>
    <w:p w:rsidR="00F7338D" w:rsidRDefault="0019547D">
      <w:pPr>
        <w:pStyle w:val="Heading2"/>
      </w:pPr>
      <w:bookmarkStart w:id="14" w:name="_heading=h.l7aqvs70n9gp" w:colFirst="0" w:colLast="0"/>
      <w:bookmarkEnd w:id="14"/>
      <w:r>
        <w:lastRenderedPageBreak/>
        <w:t xml:space="preserve">2.6 Conceptual framework </w:t>
      </w:r>
    </w:p>
    <w:p w:rsidR="00F7338D" w:rsidRDefault="0019547D">
      <w:pPr>
        <w:jc w:val="center"/>
      </w:pPr>
      <w:r>
        <w:rPr>
          <w:noProof/>
        </w:rPr>
        <mc:AlternateContent>
          <mc:Choice Requires="wpg">
            <w:drawing>
              <wp:inline distT="0" distB="0" distL="0" distR="0">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86400" cy="3200425"/>
                        </a:xfrm>
                      </wpg:grpSpPr>
                      <wpg:grpSp>
                        <wpg:cNvPr id="5" name="Group 5"/>
                        <wpg:cNvGrpSpPr/>
                        <wpg:grpSpPr>
                          <a:xfrm>
                            <a:off x="0" y="0"/>
                            <a:ext cx="5486400" cy="3200400"/>
                            <a:chOff x="0" y="0"/>
                            <a:chExt cx="5486400" cy="3200400"/>
                          </a:xfrm>
                        </wpg:grpSpPr>
                        <wps:wsp>
                          <wps:cNvPr id="6" name="Rectangle 6"/>
                          <wps:cNvSpPr/>
                          <wps:spPr>
                            <a:xfrm>
                              <a:off x="0" y="0"/>
                              <a:ext cx="5486400" cy="3200400"/>
                            </a:xfrm>
                            <a:prstGeom prst="rect">
                              <a:avLst/>
                            </a:prstGeom>
                            <a:no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7" name="Rounded Rectangle 7"/>
                          <wps:cNvSpPr/>
                          <wps:spPr>
                            <a:xfrm>
                              <a:off x="5377" y="1447098"/>
                              <a:ext cx="1440959" cy="720479"/>
                            </a:xfrm>
                            <a:prstGeom prst="roundRect">
                              <a:avLst>
                                <a:gd name="adj" fmla="val 10000"/>
                              </a:avLst>
                            </a:prstGeom>
                            <a:gradFill>
                              <a:gsLst>
                                <a:gs pos="0">
                                  <a:srgbClr val="EE8954"/>
                                </a:gs>
                                <a:gs pos="50000">
                                  <a:srgbClr val="F47926"/>
                                </a:gs>
                                <a:gs pos="100000">
                                  <a:srgbClr val="E16817"/>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8" name="Text Box 8"/>
                          <wps:cNvSpPr txBox="1"/>
                          <wps:spPr>
                            <a:xfrm>
                              <a:off x="26479" y="1468200"/>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Factors Influencing Customer Acceptance of Foreign Electric Vehicl</w:t>
                                </w:r>
                                <w:r>
                                  <w:rPr>
                                    <w:rFonts w:ascii="Times New Roman" w:eastAsia="Times New Roman" w:hAnsi="Times New Roman" w:cs="Times New Roman"/>
                                    <w:b/>
                                    <w:color w:val="000000"/>
                                  </w:rPr>
                                  <w:t>e Brands in India</w:t>
                                </w:r>
                              </w:p>
                            </w:txbxContent>
                          </wps:txbx>
                          <wps:bodyPr spcFirstLastPara="1" wrap="square" lIns="6975" tIns="6975" rIns="6975" bIns="6975" anchor="ctr" anchorCtr="0">
                            <a:noAutofit/>
                          </wps:bodyPr>
                        </wps:wsp>
                        <wps:wsp>
                          <wps:cNvPr id="9" name="Freeform 9"/>
                          <wps:cNvSpPr/>
                          <wps:spPr>
                            <a:xfrm rot="-2829178">
                              <a:off x="1310744" y="1476370"/>
                              <a:ext cx="847568" cy="40521"/>
                            </a:xfrm>
                            <a:custGeom>
                              <a:avLst/>
                              <a:gdLst/>
                              <a:ahLst/>
                              <a:cxnLst/>
                              <a:rect l="l" t="t" r="r" b="b"/>
                              <a:pathLst>
                                <a:path w="120000" h="120000" extrusionOk="0">
                                  <a:moveTo>
                                    <a:pt x="0" y="59999"/>
                                  </a:moveTo>
                                  <a:lnTo>
                                    <a:pt x="120000" y="59999"/>
                                  </a:lnTo>
                                </a:path>
                              </a:pathLst>
                            </a:custGeom>
                            <a:noFill/>
                            <a:ln w="12700" cap="flat" cmpd="sng">
                              <a:solidFill>
                                <a:schemeClr val="accent4"/>
                              </a:solidFill>
                              <a:prstDash val="solid"/>
                              <a:miter lim="8000"/>
                              <a:headEnd type="none" w="sm" len="sm"/>
                              <a:tailEnd type="none" w="sm" len="sm"/>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0" name="Text Box 10"/>
                          <wps:cNvSpPr txBox="1"/>
                          <wps:spPr>
                            <a:xfrm rot="-2829178">
                              <a:off x="1713339" y="1475441"/>
                              <a:ext cx="42378" cy="42378"/>
                            </a:xfrm>
                            <a:prstGeom prst="rect">
                              <a:avLst/>
                            </a:prstGeom>
                            <a:noFill/>
                            <a:ln>
                              <a:noFill/>
                            </a:ln>
                          </wps:spPr>
                          <wps:txbx>
                            <w:txbxContent>
                              <w:p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1" name="Rounded Rectangle 11"/>
                          <wps:cNvSpPr/>
                          <wps:spPr>
                            <a:xfrm>
                              <a:off x="2022720" y="825684"/>
                              <a:ext cx="1440959" cy="720479"/>
                            </a:xfrm>
                            <a:prstGeom prst="roundRect">
                              <a:avLst>
                                <a:gd name="adj" fmla="val 10000"/>
                              </a:avLst>
                            </a:prstGeom>
                            <a:gradFill>
                              <a:gsLst>
                                <a:gs pos="0">
                                  <a:srgbClr val="FFC647"/>
                                </a:gs>
                                <a:gs pos="50000">
                                  <a:srgbClr val="FFC600"/>
                                </a:gs>
                                <a:gs pos="100000">
                                  <a:srgbClr val="E3B400"/>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2043822" y="846786"/>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 xml:space="preserve">The issues based on penetrating into the Indian market by Foreign Electric Vehicle Brands </w:t>
                                </w:r>
                              </w:p>
                            </w:txbxContent>
                          </wps:txbx>
                          <wps:bodyPr spcFirstLastPara="1" wrap="square" lIns="6975" tIns="6975" rIns="6975" bIns="6975" anchor="ctr" anchorCtr="0">
                            <a:noAutofit/>
                          </wps:bodyPr>
                        </wps:wsp>
                        <wps:wsp>
                          <wps:cNvPr id="13" name="Freeform 13"/>
                          <wps:cNvSpPr/>
                          <wps:spPr>
                            <a:xfrm rot="-2142401">
                              <a:off x="3396962" y="958525"/>
                              <a:ext cx="709818"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4" name="Text Box 14"/>
                          <wps:cNvSpPr txBox="1"/>
                          <wps:spPr>
                            <a:xfrm rot="-2142401">
                              <a:off x="3734125" y="961040"/>
                              <a:ext cx="35490" cy="35490"/>
                            </a:xfrm>
                            <a:prstGeom prst="rect">
                              <a:avLst/>
                            </a:prstGeom>
                            <a:noFill/>
                            <a:ln>
                              <a:noFill/>
                            </a:ln>
                          </wps:spPr>
                          <wps:txbx>
                            <w:txbxContent>
                              <w:p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5" name="Rounded Rectangle 15"/>
                          <wps:cNvSpPr/>
                          <wps:spPr>
                            <a:xfrm>
                              <a:off x="4040063" y="411408"/>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6" name="Text Box 16"/>
                          <wps:cNvSpPr txBox="1"/>
                          <wps:spPr>
                            <a:xfrm>
                              <a:off x="4061165" y="432510"/>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 xml:space="preserve">Unified theory of acceptance </w:t>
                                </w:r>
                              </w:p>
                            </w:txbxContent>
                          </wps:txbx>
                          <wps:bodyPr spcFirstLastPara="1" wrap="square" lIns="6975" tIns="6975" rIns="6975" bIns="6975" anchor="ctr" anchorCtr="0">
                            <a:noAutofit/>
                          </wps:bodyPr>
                        </wps:wsp>
                        <wps:wsp>
                          <wps:cNvPr id="17" name="Freeform 17"/>
                          <wps:cNvSpPr/>
                          <wps:spPr>
                            <a:xfrm rot="2142401">
                              <a:off x="3396962" y="1372801"/>
                              <a:ext cx="709818"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8" name="Text Box 18"/>
                          <wps:cNvSpPr txBox="1"/>
                          <wps:spPr>
                            <a:xfrm rot="2142401">
                              <a:off x="3734125" y="1375316"/>
                              <a:ext cx="35490" cy="35490"/>
                            </a:xfrm>
                            <a:prstGeom prst="rect">
                              <a:avLst/>
                            </a:prstGeom>
                            <a:noFill/>
                            <a:ln>
                              <a:noFill/>
                            </a:ln>
                          </wps:spPr>
                          <wps:txbx>
                            <w:txbxContent>
                              <w:p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9" name="Rounded Rectangle 19"/>
                          <wps:cNvSpPr/>
                          <wps:spPr>
                            <a:xfrm>
                              <a:off x="4040063" y="1239960"/>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0" name="Text Box 20"/>
                          <wps:cNvSpPr txBox="1"/>
                          <wps:spPr>
                            <a:xfrm>
                              <a:off x="4061165" y="1261062"/>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Technology acceptance model</w:t>
                                </w:r>
                              </w:p>
                            </w:txbxContent>
                          </wps:txbx>
                          <wps:bodyPr spcFirstLastPara="1" wrap="square" lIns="6975" tIns="6975" rIns="6975" bIns="6975" anchor="ctr" anchorCtr="0">
                            <a:noAutofit/>
                          </wps:bodyPr>
                        </wps:wsp>
                        <wps:wsp>
                          <wps:cNvPr id="21" name="Freeform 21"/>
                          <wps:cNvSpPr/>
                          <wps:spPr>
                            <a:xfrm rot="2829178">
                              <a:off x="1310744" y="2097783"/>
                              <a:ext cx="847568" cy="40521"/>
                            </a:xfrm>
                            <a:custGeom>
                              <a:avLst/>
                              <a:gdLst/>
                              <a:ahLst/>
                              <a:cxnLst/>
                              <a:rect l="l" t="t" r="r" b="b"/>
                              <a:pathLst>
                                <a:path w="120000" h="120000" extrusionOk="0">
                                  <a:moveTo>
                                    <a:pt x="0" y="59999"/>
                                  </a:moveTo>
                                  <a:lnTo>
                                    <a:pt x="120000" y="59999"/>
                                  </a:lnTo>
                                </a:path>
                              </a:pathLst>
                            </a:custGeom>
                            <a:noFill/>
                            <a:ln w="12700" cap="flat" cmpd="sng">
                              <a:solidFill>
                                <a:schemeClr val="accent4"/>
                              </a:solidFill>
                              <a:prstDash val="solid"/>
                              <a:miter lim="8000"/>
                              <a:headEnd type="none" w="sm" len="sm"/>
                              <a:tailEnd type="none" w="sm" len="sm"/>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2" name="Text Box 22"/>
                          <wps:cNvSpPr txBox="1"/>
                          <wps:spPr>
                            <a:xfrm rot="2829178">
                              <a:off x="1713339" y="2096855"/>
                              <a:ext cx="42378" cy="42378"/>
                            </a:xfrm>
                            <a:prstGeom prst="rect">
                              <a:avLst/>
                            </a:prstGeom>
                            <a:noFill/>
                            <a:ln>
                              <a:noFill/>
                            </a:ln>
                          </wps:spPr>
                          <wps:txbx>
                            <w:txbxContent>
                              <w:p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23" name="Rounded Rectangle 23"/>
                          <wps:cNvSpPr/>
                          <wps:spPr>
                            <a:xfrm>
                              <a:off x="2022720" y="2068511"/>
                              <a:ext cx="1440959" cy="720479"/>
                            </a:xfrm>
                            <a:prstGeom prst="roundRect">
                              <a:avLst>
                                <a:gd name="adj" fmla="val 10000"/>
                              </a:avLst>
                            </a:prstGeom>
                            <a:gradFill>
                              <a:gsLst>
                                <a:gs pos="0">
                                  <a:srgbClr val="FFC647"/>
                                </a:gs>
                                <a:gs pos="50000">
                                  <a:srgbClr val="FFC600"/>
                                </a:gs>
                                <a:gs pos="100000">
                                  <a:srgbClr val="E3B400"/>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4" name="Text Box 24"/>
                          <wps:cNvSpPr txBox="1"/>
                          <wps:spPr>
                            <a:xfrm>
                              <a:off x="2043822" y="2089613"/>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 xml:space="preserve">Factors influencing Indian consumers' acceptance of foreign electric vehicle brands </w:t>
                                </w:r>
                              </w:p>
                            </w:txbxContent>
                          </wps:txbx>
                          <wps:bodyPr spcFirstLastPara="1" wrap="square" lIns="6975" tIns="6975" rIns="6975" bIns="6975" anchor="ctr" anchorCtr="0">
                            <a:noAutofit/>
                          </wps:bodyPr>
                        </wps:wsp>
                        <wps:wsp>
                          <wps:cNvPr id="25" name="Freeform 25"/>
                          <wps:cNvSpPr/>
                          <wps:spPr>
                            <a:xfrm>
                              <a:off x="3463679" y="2408490"/>
                              <a:ext cx="576383"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6" name="Text Box 26"/>
                          <wps:cNvSpPr txBox="1"/>
                          <wps:spPr>
                            <a:xfrm>
                              <a:off x="3737461" y="2414341"/>
                              <a:ext cx="28819" cy="28819"/>
                            </a:xfrm>
                            <a:prstGeom prst="rect">
                              <a:avLst/>
                            </a:prstGeom>
                            <a:noFill/>
                            <a:ln>
                              <a:noFill/>
                            </a:ln>
                          </wps:spPr>
                          <wps:txbx>
                            <w:txbxContent>
                              <w:p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27" name="Rounded Rectangle 27"/>
                          <wps:cNvSpPr/>
                          <wps:spPr>
                            <a:xfrm>
                              <a:off x="4040063" y="2068511"/>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8" name="Text Box 28"/>
                          <wps:cNvSpPr txBox="1"/>
                          <wps:spPr>
                            <a:xfrm>
                              <a:off x="4061165" y="2089613"/>
                              <a:ext cx="1398755" cy="678275"/>
                            </a:xfrm>
                            <a:prstGeom prst="rect">
                              <a:avLst/>
                            </a:prstGeom>
                            <a:noFill/>
                            <a:ln>
                              <a:noFill/>
                            </a:ln>
                          </wps:spPr>
                          <wps:txbx>
                            <w:txbxContent>
                              <w:p w:rsidR="00F7338D" w:rsidRDefault="0019547D">
                                <w:pPr>
                                  <w:spacing w:after="0" w:line="215" w:lineRule="auto"/>
                                  <w:jc w:val="center"/>
                                  <w:textDirection w:val="btLr"/>
                                </w:pPr>
                                <w:r>
                                  <w:rPr>
                                    <w:rFonts w:ascii="Times New Roman" w:eastAsia="Times New Roman" w:hAnsi="Times New Roman" w:cs="Times New Roman"/>
                                    <w:b/>
                                    <w:color w:val="000000"/>
                                  </w:rPr>
                                  <w:t>Strategies to manage EV market in International countries</w:t>
                                </w:r>
                              </w:p>
                            </w:txbxContent>
                          </wps:txbx>
                          <wps:bodyPr spcFirstLastPara="1" wrap="square" lIns="6975" tIns="6975" rIns="6975" bIns="6975" anchor="ctr" anchorCtr="0">
                            <a:noAutofit/>
                          </wps:bodyPr>
                        </wps:wsp>
                      </wpg:grpSp>
                    </wpg:wgp>
                  </a:graphicData>
                </a:graphic>
              </wp:inline>
            </w:drawing>
          </mc:Choice>
          <mc:Fallback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486400" cy="3200400"/>
                <wp:effectExtent b="0" l="0" r="0" t="0"/>
                <wp:docPr id="1" name="image4.png"/>
                <a:graphic>
                  <a:graphicData uri="http://schemas.openxmlformats.org/drawingml/2006/picture">
                    <pic:pic>
                      <pic:nvPicPr>
                        <pic:cNvPr id="0" name="image4.png"/>
                        <pic:cNvPicPr preferRelativeResize="0"/>
                      </pic:nvPicPr>
                      <pic:blipFill>
                        <a:blip r:embed="rId11"/>
                        <a:srcRect/>
                        <a:stretch>
                          <a:fillRect/>
                        </a:stretch>
                      </pic:blipFill>
                      <pic:spPr>
                        <a:xfrm>
                          <a:off x="0" y="0"/>
                          <a:ext cx="5486400" cy="3200400"/>
                        </a:xfrm>
                        <a:prstGeom prst="rect"/>
                        <a:ln/>
                      </pic:spPr>
                    </pic:pic>
                  </a:graphicData>
                </a:graphic>
              </wp:inline>
            </w:drawing>
          </mc:Fallback>
        </mc:AlternateContent>
      </w:r>
    </w:p>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Conceptual framework</w:t>
      </w:r>
    </w:p>
    <w:p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F7338D" w:rsidRDefault="0019547D">
      <w:pPr>
        <w:pStyle w:val="Heading1"/>
      </w:pPr>
      <w:bookmarkStart w:id="15" w:name="_heading=h.5v76hcxsa6tf" w:colFirst="0" w:colLast="0"/>
      <w:bookmarkEnd w:id="15"/>
      <w:r>
        <w:t xml:space="preserve">3. Research methodology </w:t>
      </w:r>
    </w:p>
    <w:p w:rsidR="00F7338D" w:rsidRDefault="0019547D">
      <w:pPr>
        <w:pStyle w:val="Heading2"/>
      </w:pPr>
      <w:bookmarkStart w:id="16" w:name="_heading=h.wglym6iyyfw" w:colFirst="0" w:colLast="0"/>
      <w:bookmarkEnd w:id="16"/>
      <w:r>
        <w:t>3.1 Research approach</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proposal will consider inductive research. Besides, the consideration of an inductive approach will be helpful to gather theoretical results based on the topic. Moreover, the research objectives will be met critically by</w:t>
      </w:r>
      <w:r>
        <w:rPr>
          <w:rFonts w:ascii="Times New Roman" w:eastAsia="Times New Roman" w:hAnsi="Times New Roman" w:cs="Times New Roman"/>
          <w:sz w:val="24"/>
          <w:szCs w:val="24"/>
        </w:rPr>
        <w:t xml:space="preserve"> linking between theoretical evidence and the numerical aspects related to the topic. </w:t>
      </w:r>
    </w:p>
    <w:p w:rsidR="00F7338D" w:rsidRDefault="0019547D">
      <w:pPr>
        <w:pStyle w:val="Heading2"/>
      </w:pPr>
      <w:bookmarkStart w:id="17" w:name="_heading=h.4ys1p8ig7gh9" w:colFirst="0" w:colLast="0"/>
      <w:bookmarkEnd w:id="17"/>
      <w:r>
        <w:t>3.2 Data collection methods</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mainly two types of data collection methods, such as primary and secondary (Ganesha and Aithal, 2022). In this research, the second</w:t>
      </w:r>
      <w:r>
        <w:rPr>
          <w:rFonts w:ascii="Times New Roman" w:eastAsia="Times New Roman" w:hAnsi="Times New Roman" w:cs="Times New Roman"/>
          <w:sz w:val="24"/>
          <w:szCs w:val="24"/>
        </w:rPr>
        <w:t>ary data collection method will be followed to collect adequate theoretical insights based on the aspects through which consumers’ purchasing habits are impacted in India for foreign EV brands. Mainly Science Direct will be used, but Google Scholar will al</w:t>
      </w:r>
      <w:r>
        <w:rPr>
          <w:rFonts w:ascii="Times New Roman" w:eastAsia="Times New Roman" w:hAnsi="Times New Roman" w:cs="Times New Roman"/>
          <w:sz w:val="24"/>
          <w:szCs w:val="24"/>
        </w:rPr>
        <w:t xml:space="preserve">so be considered for the collection of peer-reviewed journal articles. </w:t>
      </w:r>
    </w:p>
    <w:p w:rsidR="00F7338D" w:rsidRDefault="0019547D">
      <w:pPr>
        <w:pStyle w:val="Heading2"/>
      </w:pPr>
      <w:bookmarkStart w:id="18" w:name="_heading=h.bbcdwbplyfr6" w:colFirst="0" w:colLast="0"/>
      <w:bookmarkEnd w:id="18"/>
      <w:r>
        <w:lastRenderedPageBreak/>
        <w:t xml:space="preserve">3.3 Source selection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complete this study, 10 prime sources will be chosen along with 10 supporting materials. The sources will include journal articles, online articles, c</w:t>
      </w:r>
      <w:r>
        <w:rPr>
          <w:rFonts w:ascii="Times New Roman" w:eastAsia="Times New Roman" w:hAnsi="Times New Roman" w:cs="Times New Roman"/>
          <w:sz w:val="24"/>
          <w:szCs w:val="24"/>
        </w:rPr>
        <w:t xml:space="preserve">orporate websites, company websites, industry reports, and newspaper articles. </w:t>
      </w:r>
    </w:p>
    <w:p w:rsidR="00F7338D" w:rsidRDefault="0019547D">
      <w:pPr>
        <w:pStyle w:val="Heading2"/>
      </w:pPr>
      <w:bookmarkStart w:id="19" w:name="_heading=h.1ocfrle4aw1e" w:colFirst="0" w:colLast="0"/>
      <w:bookmarkEnd w:id="19"/>
      <w:r>
        <w:t>3.4 Sampling strategy</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stratified random sampling technique will be used for selecting the theoretical sources for this research. The sources within the time frame of 2020 t</w:t>
      </w:r>
      <w:r>
        <w:rPr>
          <w:rFonts w:ascii="Times New Roman" w:eastAsia="Times New Roman" w:hAnsi="Times New Roman" w:cs="Times New Roman"/>
          <w:sz w:val="24"/>
          <w:szCs w:val="24"/>
        </w:rPr>
        <w:t xml:space="preserve">o 2026 will be focused and the rest will be rejected. Initially, around 100 sources will be separated and only 20 will be finalised as the main and support sources for this research. </w:t>
      </w:r>
    </w:p>
    <w:p w:rsidR="00F7338D" w:rsidRDefault="0019547D">
      <w:pPr>
        <w:pStyle w:val="Heading2"/>
      </w:pPr>
      <w:bookmarkStart w:id="20" w:name="_heading=h.50797uzcy6mf" w:colFirst="0" w:colLast="0"/>
      <w:bookmarkEnd w:id="20"/>
      <w:r>
        <w:t>3.5 Analysis techniques</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the two main types of data analysis, such </w:t>
      </w:r>
      <w:r>
        <w:rPr>
          <w:rFonts w:ascii="Times New Roman" w:eastAsia="Times New Roman" w:hAnsi="Times New Roman" w:cs="Times New Roman"/>
          <w:sz w:val="24"/>
          <w:szCs w:val="24"/>
        </w:rPr>
        <w:t xml:space="preserve">as qualitative and quantitative (Schoonenboom, 2023), the research will focus on qualitative data analysis through the Thematic Codebook approach. The coding will be done through the development of categories, sub-themes, as well as final themes. Around 5 </w:t>
      </w:r>
      <w:r>
        <w:rPr>
          <w:rFonts w:ascii="Times New Roman" w:eastAsia="Times New Roman" w:hAnsi="Times New Roman" w:cs="Times New Roman"/>
          <w:sz w:val="24"/>
          <w:szCs w:val="24"/>
        </w:rPr>
        <w:t>themes will be developed based on the topic and the real-world data collected will be applied to those themes to meet the research objective critically.</w:t>
      </w:r>
    </w:p>
    <w:p w:rsidR="00F7338D" w:rsidRDefault="0019547D">
      <w:pPr>
        <w:pStyle w:val="Heading2"/>
      </w:pPr>
      <w:bookmarkStart w:id="21" w:name="_heading=h.b8cyipc2c1j0" w:colFirst="0" w:colLast="0"/>
      <w:bookmarkEnd w:id="21"/>
      <w:r>
        <w:t xml:space="preserve">3.6 Ethical considerations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will consider key ethics such as maintaining data confidentia</w:t>
      </w:r>
      <w:r>
        <w:rPr>
          <w:rFonts w:ascii="Times New Roman" w:eastAsia="Times New Roman" w:hAnsi="Times New Roman" w:cs="Times New Roman"/>
          <w:sz w:val="24"/>
          <w:szCs w:val="24"/>
        </w:rPr>
        <w:t xml:space="preserve">lity and data anonymity while applying to the context of the research. Along with this, no third-party involvement will be entertained and plagiarism will be avoided. </w:t>
      </w:r>
    </w:p>
    <w:p w:rsidR="00F7338D" w:rsidRDefault="0019547D">
      <w:pPr>
        <w:pStyle w:val="Heading1"/>
      </w:pPr>
      <w:bookmarkStart w:id="22" w:name="_heading=h.ymvzzpdldelk" w:colFirst="0" w:colLast="0"/>
      <w:bookmarkEnd w:id="22"/>
      <w:r>
        <w:t xml:space="preserve">4. Expected findings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recent study will focus on understanding the factors that hav</w:t>
      </w:r>
      <w:r>
        <w:rPr>
          <w:rFonts w:ascii="Times New Roman" w:eastAsia="Times New Roman" w:hAnsi="Times New Roman" w:cs="Times New Roman"/>
          <w:sz w:val="24"/>
          <w:szCs w:val="24"/>
        </w:rPr>
        <w:t xml:space="preserve">e a prominent impact on Indian consumers’ acceptance of foreign EV brands. Based on the preliminary understanding of the scenario, consumers’ brand trust is based on after-sales support and the battery warranty frameworks (Harnaningrum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These </w:t>
      </w:r>
      <w:r>
        <w:rPr>
          <w:rFonts w:ascii="Times New Roman" w:eastAsia="Times New Roman" w:hAnsi="Times New Roman" w:cs="Times New Roman"/>
          <w:sz w:val="24"/>
          <w:szCs w:val="24"/>
        </w:rPr>
        <w:t>are effective in dictating the purchasing intention of consumers in emerging markets. Furthermore, the involvement of numerical data and linking them with the theoretical aspects will be helpful to present a significant effect of Foreign EV brands on the p</w:t>
      </w:r>
      <w:r>
        <w:rPr>
          <w:rFonts w:ascii="Times New Roman" w:eastAsia="Times New Roman" w:hAnsi="Times New Roman" w:cs="Times New Roman"/>
          <w:sz w:val="24"/>
          <w:szCs w:val="24"/>
        </w:rPr>
        <w:t xml:space="preserve">sychology of Indian consumers. Practically, the anticipated outcomes can be helpful to present strategic implications, highlighting that global automakers can adjust their pricing model and infrastructure development to align with the value-conscious </w:t>
      </w:r>
      <w:r>
        <w:rPr>
          <w:rFonts w:ascii="Times New Roman" w:eastAsia="Times New Roman" w:hAnsi="Times New Roman" w:cs="Times New Roman"/>
          <w:sz w:val="24"/>
          <w:szCs w:val="24"/>
        </w:rPr>
        <w:lastRenderedPageBreak/>
        <w:t>India</w:t>
      </w:r>
      <w:r>
        <w:rPr>
          <w:rFonts w:ascii="Times New Roman" w:eastAsia="Times New Roman" w:hAnsi="Times New Roman" w:cs="Times New Roman"/>
          <w:sz w:val="24"/>
          <w:szCs w:val="24"/>
        </w:rPr>
        <w:t xml:space="preserve">n consumers. In short, the research will present a practical roadmap for successful international market entry by foreign EV brands </w:t>
      </w:r>
    </w:p>
    <w:p w:rsidR="00F7338D" w:rsidRDefault="0019547D">
      <w:pPr>
        <w:pStyle w:val="Heading1"/>
      </w:pPr>
      <w:bookmarkStart w:id="23" w:name="_heading=h.xjvwntfgnilm" w:colFirst="0" w:colLast="0"/>
      <w:bookmarkEnd w:id="23"/>
      <w:r>
        <w:t>5. Limitations</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may encounter limitations, such as a shortage of time and a lack of credible theoretical sources that will require paid access. In order to manage the shortage of time, it will be necessary to develop a proper time plan at the initiation of t</w:t>
      </w:r>
      <w:r>
        <w:rPr>
          <w:rFonts w:ascii="Times New Roman" w:eastAsia="Times New Roman" w:hAnsi="Times New Roman" w:cs="Times New Roman"/>
          <w:sz w:val="24"/>
          <w:szCs w:val="24"/>
        </w:rPr>
        <w:t xml:space="preserve">he research and follow it throughout the completion. Apart from that, it will be necessary to check which sources need paid access for analysis; therefore, in place of those sources, credible online articles can be considered to minimise the impact of the </w:t>
      </w:r>
      <w:r>
        <w:rPr>
          <w:rFonts w:ascii="Times New Roman" w:eastAsia="Times New Roman" w:hAnsi="Times New Roman" w:cs="Times New Roman"/>
          <w:sz w:val="24"/>
          <w:szCs w:val="24"/>
        </w:rPr>
        <w:t xml:space="preserve">limitation. </w:t>
      </w:r>
    </w:p>
    <w:p w:rsidR="00F7338D" w:rsidRDefault="0019547D">
      <w:pPr>
        <w:pStyle w:val="Heading1"/>
      </w:pPr>
      <w:bookmarkStart w:id="24" w:name="_heading=h.pi7ajwepyr1v" w:colFirst="0" w:colLast="0"/>
      <w:bookmarkEnd w:id="24"/>
      <w:r>
        <w:t>6. Timeframe</w:t>
      </w:r>
    </w:p>
    <w:tbl>
      <w:tblPr>
        <w:tblStyle w:val="a"/>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78"/>
        <w:gridCol w:w="782"/>
        <w:gridCol w:w="782"/>
        <w:gridCol w:w="782"/>
        <w:gridCol w:w="782"/>
        <w:gridCol w:w="782"/>
        <w:gridCol w:w="782"/>
        <w:gridCol w:w="782"/>
        <w:gridCol w:w="782"/>
        <w:gridCol w:w="782"/>
      </w:tblGrid>
      <w:tr w:rsidR="00F7338D">
        <w:tc>
          <w:tcPr>
            <w:tcW w:w="1978"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Activities</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2- Week 3</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4- week 5</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6</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7- week 8</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9-10</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11- week 12</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13- week 14</w:t>
            </w:r>
          </w:p>
        </w:tc>
        <w:tc>
          <w:tcPr>
            <w:tcW w:w="782" w:type="dxa"/>
          </w:tcPr>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15</w:t>
            </w: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Selection of research topic</w:t>
            </w:r>
          </w:p>
        </w:tc>
        <w:tc>
          <w:tcPr>
            <w:tcW w:w="782" w:type="dxa"/>
            <w:shd w:val="clear" w:color="auto" w:fill="F7CAAC"/>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Setting a literature review </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D965"/>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Setting the data collection method</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B0F0"/>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Collection of secondary sources</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A8D08D"/>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A8D08D"/>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Final screening </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0000"/>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Data analysis </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D0CECE"/>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D0CECE"/>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Developing conclusion and recommendations </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70C0"/>
          </w:tcPr>
          <w:p w:rsidR="00F7338D" w:rsidRDefault="00F7338D">
            <w:pPr>
              <w:spacing w:line="276" w:lineRule="auto"/>
              <w:jc w:val="both"/>
              <w:rPr>
                <w:rFonts w:ascii="Times New Roman" w:eastAsia="Times New Roman" w:hAnsi="Times New Roman" w:cs="Times New Roman"/>
                <w:b/>
                <w:bCs/>
                <w:sz w:val="24"/>
                <w:szCs w:val="24"/>
              </w:rPr>
            </w:pPr>
          </w:p>
        </w:tc>
      </w:tr>
      <w:tr w:rsidR="00F7338D">
        <w:tc>
          <w:tcPr>
            <w:tcW w:w="1978" w:type="dxa"/>
          </w:tcPr>
          <w:p w:rsidR="00F7338D" w:rsidRDefault="0019547D">
            <w:pPr>
              <w:spacing w:line="276"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sz w:val="24"/>
                <w:szCs w:val="24"/>
              </w:rPr>
              <w:t>Final editing and submission</w:t>
            </w: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70C0"/>
          </w:tcPr>
          <w:p w:rsidR="00F7338D" w:rsidRDefault="00F7338D">
            <w:pPr>
              <w:spacing w:line="276" w:lineRule="auto"/>
              <w:jc w:val="both"/>
              <w:rPr>
                <w:rFonts w:ascii="Times New Roman" w:eastAsia="Times New Roman" w:hAnsi="Times New Roman" w:cs="Times New Roman"/>
                <w:b/>
                <w:bCs/>
                <w:sz w:val="24"/>
                <w:szCs w:val="24"/>
              </w:rPr>
            </w:pPr>
          </w:p>
        </w:tc>
      </w:tr>
    </w:tbl>
    <w:p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Timeframe</w:t>
      </w:r>
    </w:p>
    <w:p w:rsidR="00F7338D" w:rsidRDefault="0019547D">
      <w:pPr>
        <w:tabs>
          <w:tab w:val="left" w:pos="3156"/>
          <w:tab w:val="center" w:pos="4513"/>
        </w:tabs>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(Source: Self-created)</w:t>
      </w:r>
    </w:p>
    <w:p w:rsidR="00F7338D" w:rsidRDefault="0019547D">
      <w:pPr>
        <w:pStyle w:val="Heading1"/>
      </w:pPr>
      <w:bookmarkStart w:id="25" w:name="_heading=h.qajixf4mqlzo" w:colFirst="0" w:colLast="0"/>
      <w:bookmarkEnd w:id="25"/>
      <w:r>
        <w:lastRenderedPageBreak/>
        <w:t>7. Conclusion</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concluded that this research can be effective in understanding modern perspectives of Technology Adoption, along with the level of acceptance among Indian consumers. The foreign EV brands can focus on consumer psychology to establish brand </w:t>
      </w:r>
      <w:r>
        <w:rPr>
          <w:rFonts w:ascii="Times New Roman" w:eastAsia="Times New Roman" w:hAnsi="Times New Roman" w:cs="Times New Roman"/>
          <w:sz w:val="24"/>
          <w:szCs w:val="24"/>
        </w:rPr>
        <w:t xml:space="preserve">trust and thus, they can be able to overcome the international market entry barriers. The proposal has included a critical discussion over the research method, expected outcome as well as the probable limitations of the study. Maintaining a succinct Gantt </w:t>
      </w:r>
      <w:r>
        <w:rPr>
          <w:rFonts w:ascii="Times New Roman" w:eastAsia="Times New Roman" w:hAnsi="Times New Roman" w:cs="Times New Roman"/>
          <w:sz w:val="24"/>
          <w:szCs w:val="24"/>
        </w:rPr>
        <w:t xml:space="preserve">chart and following it throughout the research will be effective in maintaining the quality and completing the research within the due schedule. </w:t>
      </w:r>
    </w:p>
    <w:p w:rsidR="00F7338D" w:rsidRDefault="0019547D">
      <w:pPr>
        <w:rPr>
          <w:rFonts w:ascii="Times New Roman" w:eastAsia="Times New Roman" w:hAnsi="Times New Roman" w:cs="Times New Roman"/>
          <w:b/>
          <w:bCs/>
          <w:sz w:val="24"/>
          <w:szCs w:val="24"/>
        </w:rPr>
      </w:pPr>
      <w:r>
        <w:br w:type="page"/>
      </w:r>
    </w:p>
    <w:p w:rsidR="00F7338D" w:rsidRDefault="0019547D">
      <w:pPr>
        <w:pStyle w:val="Heading1"/>
      </w:pPr>
      <w:bookmarkStart w:id="26" w:name="_heading=h.8afhhu29osnv" w:colFirst="0" w:colLast="0"/>
      <w:bookmarkEnd w:id="26"/>
      <w:r>
        <w:lastRenderedPageBreak/>
        <w:t xml:space="preserve">8. References </w:t>
      </w:r>
    </w:p>
    <w:p w:rsidR="00F7338D" w:rsidRDefault="0019547D">
      <w:pPr>
        <w:spacing w:line="360" w:lineRule="auto"/>
        <w:jc w:val="both"/>
        <w:rPr>
          <w:rFonts w:ascii="Times New Roman" w:eastAsia="Times New Roman" w:hAnsi="Times New Roman" w:cs="Times New Roman"/>
          <w:color w:val="0563C1"/>
          <w:sz w:val="24"/>
          <w:szCs w:val="24"/>
          <w:u w:val="single"/>
        </w:rPr>
      </w:pPr>
      <w:r>
        <w:rPr>
          <w:rFonts w:ascii="Times New Roman" w:eastAsia="Times New Roman" w:hAnsi="Times New Roman" w:cs="Times New Roman"/>
          <w:sz w:val="24"/>
          <w:szCs w:val="24"/>
        </w:rPr>
        <w:t>Alsmadi, S., Hailat, K.Q., Bazi, S. and Al-Haddad, H.B., 2024. The influence of consumer awar</w:t>
      </w:r>
      <w:r>
        <w:rPr>
          <w:rFonts w:ascii="Times New Roman" w:eastAsia="Times New Roman" w:hAnsi="Times New Roman" w:cs="Times New Roman"/>
          <w:sz w:val="24"/>
          <w:szCs w:val="24"/>
        </w:rPr>
        <w:t>eness in the digital era on the selection of smartphones: A study among Jordanian university students. </w:t>
      </w:r>
      <w:r>
        <w:rPr>
          <w:rFonts w:ascii="Times New Roman" w:eastAsia="Times New Roman" w:hAnsi="Times New Roman" w:cs="Times New Roman"/>
          <w:i/>
          <w:iCs/>
          <w:sz w:val="24"/>
          <w:szCs w:val="24"/>
        </w:rPr>
        <w:t>Heliyon</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 xml:space="preserve">(4). </w:t>
      </w:r>
      <w:hyperlink r:id="rId12">
        <w:r>
          <w:rPr>
            <w:rFonts w:ascii="Times New Roman" w:eastAsia="Times New Roman" w:hAnsi="Times New Roman" w:cs="Times New Roman"/>
            <w:color w:val="0563C1"/>
            <w:sz w:val="24"/>
            <w:szCs w:val="24"/>
            <w:u w:val="single"/>
          </w:rPr>
          <w:t>htt</w:t>
        </w:r>
        <w:r>
          <w:rPr>
            <w:rFonts w:ascii="Times New Roman" w:eastAsia="Times New Roman" w:hAnsi="Times New Roman" w:cs="Times New Roman"/>
            <w:color w:val="0563C1"/>
            <w:sz w:val="24"/>
            <w:szCs w:val="24"/>
            <w:u w:val="single"/>
          </w:rPr>
          <w:t>ps://www.sciencedirect.com/science/article/pii/S2405844024016669/pdfft?pid=1-s2.0-S2405844024016669-mainext.pdf</w:t>
        </w:r>
      </w:hyperlink>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Bizuneh, B., 2025. Factors influencing the purchasing intentions of young ethiopian consumers toward locally made fashion apparel. </w:t>
      </w:r>
      <w:r>
        <w:rPr>
          <w:rFonts w:ascii="Times New Roman" w:eastAsia="Times New Roman" w:hAnsi="Times New Roman" w:cs="Times New Roman"/>
          <w:i/>
          <w:iCs/>
          <w:sz w:val="24"/>
          <w:szCs w:val="24"/>
        </w:rPr>
        <w:t>Social Scienc</w:t>
      </w:r>
      <w:r>
        <w:rPr>
          <w:rFonts w:ascii="Times New Roman" w:eastAsia="Times New Roman" w:hAnsi="Times New Roman" w:cs="Times New Roman"/>
          <w:i/>
          <w:iCs/>
          <w:sz w:val="24"/>
          <w:szCs w:val="24"/>
        </w:rPr>
        <w:t>es &amp; Humanities Open</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 p.101860. </w:t>
      </w:r>
      <w:hyperlink r:id="rId13">
        <w:r>
          <w:rPr>
            <w:rFonts w:ascii="Times New Roman" w:eastAsia="Times New Roman" w:hAnsi="Times New Roman" w:cs="Times New Roman"/>
            <w:color w:val="0563C1"/>
            <w:sz w:val="24"/>
            <w:szCs w:val="24"/>
            <w:u w:val="single"/>
          </w:rPr>
          <w:t>https://www.sciencedirect.com/science/article/pii/S2590291125005881</w:t>
        </w:r>
      </w:hyperlink>
    </w:p>
    <w:p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ET Auto (2026). </w:t>
      </w:r>
      <w:r>
        <w:rPr>
          <w:rFonts w:ascii="Times New Roman" w:eastAsia="Times New Roman" w:hAnsi="Times New Roman" w:cs="Times New Roman"/>
          <w:i/>
          <w:iCs/>
          <w:color w:val="000000"/>
          <w:sz w:val="24"/>
          <w:szCs w:val="24"/>
        </w:rPr>
        <w:t>Electric passenger vehicle retail sales jump 108%</w:t>
      </w:r>
      <w:r>
        <w:rPr>
          <w:rFonts w:ascii="Times New Roman" w:eastAsia="Times New Roman" w:hAnsi="Times New Roman" w:cs="Times New Roman"/>
          <w:i/>
          <w:iCs/>
          <w:color w:val="000000"/>
          <w:sz w:val="24"/>
          <w:szCs w:val="24"/>
        </w:rPr>
        <w:t xml:space="preserve"> to 31,823 units in June: FADA</w:t>
      </w:r>
      <w:r>
        <w:rPr>
          <w:rFonts w:ascii="Times New Roman" w:eastAsia="Times New Roman" w:hAnsi="Times New Roman" w:cs="Times New Roman"/>
          <w:color w:val="000000"/>
          <w:sz w:val="24"/>
          <w:szCs w:val="24"/>
        </w:rPr>
        <w:t>. [Online] ETAuto.com. Available at: https://auto.economictimes.indiatimes.com/news/passenger-vehicle/electric-passenger-vehicle-retail-sales-jump-108-to-31823-units-in-june-fada/132235971 [Accessed 9 July 2026]</w:t>
      </w:r>
    </w:p>
    <w:p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 reporter (2026). </w:t>
      </w:r>
      <w:r>
        <w:rPr>
          <w:rFonts w:ascii="Times New Roman" w:eastAsia="Times New Roman" w:hAnsi="Times New Roman" w:cs="Times New Roman"/>
          <w:i/>
          <w:iCs/>
          <w:color w:val="000000"/>
          <w:sz w:val="24"/>
          <w:szCs w:val="24"/>
        </w:rPr>
        <w:t>State-wise electric car penetration in India in FY 2025-26 • EVreporter</w:t>
      </w:r>
      <w:r>
        <w:rPr>
          <w:rFonts w:ascii="Times New Roman" w:eastAsia="Times New Roman" w:hAnsi="Times New Roman" w:cs="Times New Roman"/>
          <w:color w:val="000000"/>
          <w:sz w:val="24"/>
          <w:szCs w:val="24"/>
        </w:rPr>
        <w:t>. [Online] EVreporter. Available at: https://evreporter.com/state-wise-electric-car-penetration-in-india-in-fy-2025-26/ [Accessed 9 July 2026].</w:t>
      </w:r>
    </w:p>
    <w:p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EVBoosters (2025). </w:t>
      </w:r>
      <w:r>
        <w:rPr>
          <w:rFonts w:ascii="Times New Roman" w:eastAsia="Times New Roman" w:hAnsi="Times New Roman" w:cs="Times New Roman"/>
          <w:i/>
          <w:iCs/>
          <w:color w:val="000000"/>
          <w:sz w:val="24"/>
          <w:szCs w:val="24"/>
        </w:rPr>
        <w:t>In</w:t>
      </w:r>
      <w:r>
        <w:rPr>
          <w:rFonts w:ascii="Times New Roman" w:eastAsia="Times New Roman" w:hAnsi="Times New Roman" w:cs="Times New Roman"/>
          <w:i/>
          <w:iCs/>
          <w:color w:val="000000"/>
          <w:sz w:val="24"/>
          <w:szCs w:val="24"/>
        </w:rPr>
        <w:t>dia’s Electric Vehicle market projections</w:t>
      </w:r>
      <w:r>
        <w:rPr>
          <w:rFonts w:ascii="Times New Roman" w:eastAsia="Times New Roman" w:hAnsi="Times New Roman" w:cs="Times New Roman"/>
          <w:color w:val="000000"/>
          <w:sz w:val="24"/>
          <w:szCs w:val="24"/>
        </w:rPr>
        <w:t>. [Online] EVBoosters. Available at: https://evboosters.com/ev-charging-news/indias-electric-vehicle-market-projections/ [Accessed 9 July 2026]</w:t>
      </w:r>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Ganesha, H.R. and Aithal, P.S., 2022. How to choose an appropriate rese</w:t>
      </w:r>
      <w:r>
        <w:rPr>
          <w:rFonts w:ascii="Times New Roman" w:eastAsia="Times New Roman" w:hAnsi="Times New Roman" w:cs="Times New Roman"/>
          <w:color w:val="222222"/>
          <w:sz w:val="24"/>
          <w:szCs w:val="24"/>
          <w:highlight w:val="white"/>
        </w:rPr>
        <w:t>arch data collection method and method choice among various research data collection methods and method choices during Ph. D. program in India. </w:t>
      </w:r>
      <w:r>
        <w:rPr>
          <w:rFonts w:ascii="Times New Roman" w:eastAsia="Times New Roman" w:hAnsi="Times New Roman" w:cs="Times New Roman"/>
          <w:i/>
          <w:iCs/>
          <w:color w:val="222222"/>
          <w:sz w:val="24"/>
          <w:szCs w:val="24"/>
          <w:highlight w:val="white"/>
        </w:rPr>
        <w:t>International Journal of Management, Technology, and Social Sciences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xml:space="preserve">(2), pp.455-489. </w:t>
      </w:r>
      <w:hyperlink r:id="rId14">
        <w:r>
          <w:rPr>
            <w:rFonts w:ascii="Times New Roman" w:eastAsia="Times New Roman" w:hAnsi="Times New Roman" w:cs="Times New Roman"/>
            <w:color w:val="0563C1"/>
            <w:sz w:val="24"/>
            <w:szCs w:val="24"/>
            <w:highlight w:val="white"/>
            <w:u w:val="single"/>
          </w:rPr>
          <w:t>https://www.academia.edu/download/100063600/26._How_to_Choose_an_Appropriate_Research_Data.pdf</w:t>
        </w:r>
      </w:hyperlink>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Harnaningrum, R.N., Boer, M.K. and Damayanthy, D., 2026. Factors influencing consumer adoption of electric vehicles: A literature review. </w:t>
      </w:r>
      <w:r>
        <w:rPr>
          <w:rFonts w:ascii="Times New Roman" w:eastAsia="Times New Roman" w:hAnsi="Times New Roman" w:cs="Times New Roman"/>
          <w:i/>
          <w:iCs/>
          <w:color w:val="222222"/>
          <w:sz w:val="24"/>
          <w:szCs w:val="24"/>
          <w:highlight w:val="white"/>
        </w:rPr>
        <w:t>Priviet Social Sciences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 xml:space="preserve">(2), pp.597-614. </w:t>
      </w:r>
      <w:hyperlink r:id="rId15">
        <w:r>
          <w:rPr>
            <w:rFonts w:ascii="Times New Roman" w:eastAsia="Times New Roman" w:hAnsi="Times New Roman" w:cs="Times New Roman"/>
            <w:color w:val="0563C1"/>
            <w:sz w:val="24"/>
            <w:szCs w:val="24"/>
            <w:highlight w:val="white"/>
            <w:u w:val="single"/>
          </w:rPr>
          <w:t>https://journal.privietlab.org/index.php/PSSJ/article/download/1588/695</w:t>
        </w:r>
      </w:hyperlink>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Jayawardena, N.S., Nadroo, Z.M., Jayarathne, P.A., Singh, P., Dewasiri, N.J. and Koswatte, I., 2026. The Motivation of Female Adolescents to Adopt Wearable Smar</w:t>
      </w:r>
      <w:r>
        <w:rPr>
          <w:rFonts w:ascii="Times New Roman" w:eastAsia="Times New Roman" w:hAnsi="Times New Roman" w:cs="Times New Roman"/>
          <w:sz w:val="24"/>
          <w:szCs w:val="24"/>
        </w:rPr>
        <w:t>t Jewelry: A Qualitative Analysis. </w:t>
      </w:r>
      <w:r>
        <w:rPr>
          <w:rFonts w:ascii="Times New Roman" w:eastAsia="Times New Roman" w:hAnsi="Times New Roman" w:cs="Times New Roman"/>
          <w:i/>
          <w:iCs/>
          <w:sz w:val="24"/>
          <w:szCs w:val="24"/>
        </w:rPr>
        <w:t>Strategic Business Research</w:t>
      </w:r>
      <w:r>
        <w:rPr>
          <w:rFonts w:ascii="Times New Roman" w:eastAsia="Times New Roman" w:hAnsi="Times New Roman" w:cs="Times New Roman"/>
          <w:sz w:val="24"/>
          <w:szCs w:val="24"/>
        </w:rPr>
        <w:t xml:space="preserve">, p.100192. </w:t>
      </w:r>
      <w:hyperlink r:id="rId16">
        <w:r>
          <w:rPr>
            <w:rFonts w:ascii="Times New Roman" w:eastAsia="Times New Roman" w:hAnsi="Times New Roman" w:cs="Times New Roman"/>
            <w:color w:val="0563C1"/>
            <w:sz w:val="24"/>
            <w:szCs w:val="24"/>
            <w:u w:val="single"/>
          </w:rPr>
          <w:t>https://www.sciencedirect.com/science/article/pii/S3051064326001433</w:t>
        </w:r>
      </w:hyperlink>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Kumar, C., Mohanty, A., Geo</w:t>
      </w:r>
      <w:r>
        <w:rPr>
          <w:rFonts w:ascii="Times New Roman" w:eastAsia="Times New Roman" w:hAnsi="Times New Roman" w:cs="Times New Roman"/>
          <w:sz w:val="24"/>
          <w:szCs w:val="24"/>
        </w:rPr>
        <w:t>rge, T., Pooja, K. and Kamath, G.B., 2026. The psychological journey: Interplay of brand awareness, perceived quality, and brand trust in shaping consumers' intention to buy gaming mobiles. </w:t>
      </w:r>
      <w:r>
        <w:rPr>
          <w:rFonts w:ascii="Times New Roman" w:eastAsia="Times New Roman" w:hAnsi="Times New Roman" w:cs="Times New Roman"/>
          <w:i/>
          <w:iCs/>
          <w:sz w:val="24"/>
          <w:szCs w:val="24"/>
        </w:rPr>
        <w:t>Acta Psychologica</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267</w:t>
      </w:r>
      <w:r>
        <w:rPr>
          <w:rFonts w:ascii="Times New Roman" w:eastAsia="Times New Roman" w:hAnsi="Times New Roman" w:cs="Times New Roman"/>
          <w:sz w:val="24"/>
          <w:szCs w:val="24"/>
        </w:rPr>
        <w:t xml:space="preserve">, p.107056. </w:t>
      </w:r>
      <w:hyperlink r:id="rId17">
        <w:r>
          <w:rPr>
            <w:rFonts w:ascii="Times New Roman" w:eastAsia="Times New Roman" w:hAnsi="Times New Roman" w:cs="Times New Roman"/>
            <w:color w:val="0563C1"/>
            <w:sz w:val="24"/>
            <w:szCs w:val="24"/>
            <w:u w:val="single"/>
          </w:rPr>
          <w:t>https://www.sciencedirect.com/science/article/pii/S0001691826008577</w:t>
        </w:r>
      </w:hyperlink>
      <w:r>
        <w:rPr>
          <w:rFonts w:ascii="Times New Roman" w:eastAsia="Times New Roman" w:hAnsi="Times New Roman" w:cs="Times New Roman"/>
          <w:sz w:val="24"/>
          <w:szCs w:val="24"/>
        </w:rPr>
        <w:t xml:space="preserve">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Kwesi, O.S., Frimpong, E.Y.A. and Kwofie, C., 2026. Brand equity and smartphone choice among Ghanaian university students. </w:t>
      </w:r>
      <w:r>
        <w:rPr>
          <w:rFonts w:ascii="Times New Roman" w:eastAsia="Times New Roman" w:hAnsi="Times New Roman" w:cs="Times New Roman"/>
          <w:i/>
          <w:iCs/>
          <w:sz w:val="24"/>
          <w:szCs w:val="24"/>
        </w:rPr>
        <w:t>Scientific African</w:t>
      </w:r>
      <w:r>
        <w:rPr>
          <w:rFonts w:ascii="Times New Roman" w:eastAsia="Times New Roman" w:hAnsi="Times New Roman" w:cs="Times New Roman"/>
          <w:sz w:val="24"/>
          <w:szCs w:val="24"/>
        </w:rPr>
        <w:t xml:space="preserve">, p.e03304. </w:t>
      </w:r>
      <w:hyperlink r:id="rId18">
        <w:r>
          <w:rPr>
            <w:rFonts w:ascii="Times New Roman" w:eastAsia="Times New Roman" w:hAnsi="Times New Roman" w:cs="Times New Roman"/>
            <w:color w:val="0563C1"/>
            <w:sz w:val="24"/>
            <w:szCs w:val="24"/>
            <w:u w:val="single"/>
          </w:rPr>
          <w:t>https://www.scie</w:t>
        </w:r>
        <w:r>
          <w:rPr>
            <w:rFonts w:ascii="Times New Roman" w:eastAsia="Times New Roman" w:hAnsi="Times New Roman" w:cs="Times New Roman"/>
            <w:color w:val="0563C1"/>
            <w:sz w:val="24"/>
            <w:szCs w:val="24"/>
            <w:u w:val="single"/>
          </w:rPr>
          <w:t>ncedirect.com/science/article/pii/S2468227626001286</w:t>
        </w:r>
      </w:hyperlink>
      <w:r>
        <w:rPr>
          <w:rFonts w:ascii="Times New Roman" w:eastAsia="Times New Roman" w:hAnsi="Times New Roman" w:cs="Times New Roman"/>
          <w:sz w:val="24"/>
          <w:szCs w:val="24"/>
        </w:rPr>
        <w:t xml:space="preserve">  </w:t>
      </w:r>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Marketresearchfuture (2025) </w:t>
      </w:r>
      <w:r>
        <w:rPr>
          <w:rFonts w:ascii="Times New Roman" w:eastAsia="Times New Roman" w:hAnsi="Times New Roman" w:cs="Times New Roman"/>
          <w:i/>
          <w:iCs/>
          <w:color w:val="000000"/>
          <w:sz w:val="24"/>
          <w:szCs w:val="24"/>
        </w:rPr>
        <w:t>India EV market size, share, sales, trends, report 2035</w:t>
      </w:r>
      <w:r>
        <w:rPr>
          <w:rFonts w:ascii="Times New Roman" w:eastAsia="Times New Roman" w:hAnsi="Times New Roman" w:cs="Times New Roman"/>
          <w:color w:val="000000"/>
          <w:sz w:val="24"/>
          <w:szCs w:val="24"/>
        </w:rPr>
        <w:t>. Available at: https://www.marketresearchfuture.com/reports/india-electric-vehicle-market-12671 (Accessed: 09 July 202</w:t>
      </w:r>
      <w:r>
        <w:rPr>
          <w:rFonts w:ascii="Times New Roman" w:eastAsia="Times New Roman" w:hAnsi="Times New Roman" w:cs="Times New Roman"/>
          <w:color w:val="000000"/>
          <w:sz w:val="24"/>
          <w:szCs w:val="24"/>
        </w:rPr>
        <w:t xml:space="preserve">6). </w:t>
      </w:r>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Marketresearchfuture (2026) </w:t>
      </w:r>
      <w:r>
        <w:rPr>
          <w:rFonts w:ascii="Times New Roman" w:eastAsia="Times New Roman" w:hAnsi="Times New Roman" w:cs="Times New Roman"/>
          <w:i/>
          <w:iCs/>
          <w:color w:val="000000"/>
          <w:sz w:val="24"/>
          <w:szCs w:val="24"/>
        </w:rPr>
        <w:t>India EV market size, share, sales, trends, report 2035</w:t>
      </w:r>
      <w:r>
        <w:rPr>
          <w:rFonts w:ascii="Times New Roman" w:eastAsia="Times New Roman" w:hAnsi="Times New Roman" w:cs="Times New Roman"/>
          <w:color w:val="000000"/>
          <w:sz w:val="24"/>
          <w:szCs w:val="24"/>
        </w:rPr>
        <w:t>. Available at: https://www.marketresearchfuture.com/reports/india-electric-vehicle-market-12671 (Accessed: 09 July 2026)</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Ngo, T.T.A., An, G.K., Dang, N.Y., Doan, T.T. </w:t>
      </w:r>
      <w:r>
        <w:rPr>
          <w:rFonts w:ascii="Times New Roman" w:eastAsia="Times New Roman" w:hAnsi="Times New Roman" w:cs="Times New Roman"/>
          <w:sz w:val="24"/>
          <w:szCs w:val="24"/>
        </w:rPr>
        <w:t>and Nguyen, V.M.H., 2026. The psychological impact of social media marketing on consumer willingness to pay for tech gadgets: A study on brand perception and decision-making. </w:t>
      </w:r>
      <w:r>
        <w:rPr>
          <w:rFonts w:ascii="Times New Roman" w:eastAsia="Times New Roman" w:hAnsi="Times New Roman" w:cs="Times New Roman"/>
          <w:i/>
          <w:iCs/>
          <w:sz w:val="24"/>
          <w:szCs w:val="24"/>
        </w:rPr>
        <w:t>Acta Psychologica</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262</w:t>
      </w:r>
      <w:r>
        <w:rPr>
          <w:rFonts w:ascii="Times New Roman" w:eastAsia="Times New Roman" w:hAnsi="Times New Roman" w:cs="Times New Roman"/>
          <w:sz w:val="24"/>
          <w:szCs w:val="24"/>
        </w:rPr>
        <w:t xml:space="preserve">, p.106130. </w:t>
      </w:r>
      <w:hyperlink r:id="rId19">
        <w:r>
          <w:rPr>
            <w:rFonts w:ascii="Times New Roman" w:eastAsia="Times New Roman" w:hAnsi="Times New Roman" w:cs="Times New Roman"/>
            <w:color w:val="0563C1"/>
            <w:sz w:val="24"/>
            <w:szCs w:val="24"/>
            <w:u w:val="single"/>
          </w:rPr>
          <w:t>https://www.sciencedirect.com/science/article/pii/S0001691825014441</w:t>
        </w:r>
      </w:hyperlink>
      <w:r>
        <w:rPr>
          <w:rFonts w:ascii="Times New Roman" w:eastAsia="Times New Roman" w:hAnsi="Times New Roman" w:cs="Times New Roman"/>
          <w:sz w:val="24"/>
          <w:szCs w:val="24"/>
        </w:rPr>
        <w:t xml:space="preserve">  </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Sahoo, D., Soni, N. and Mishra, A., 2025. Emojis and consumer-based brand equity: Mediation role of engagement. </w:t>
      </w:r>
      <w:r>
        <w:rPr>
          <w:rFonts w:ascii="Times New Roman" w:eastAsia="Times New Roman" w:hAnsi="Times New Roman" w:cs="Times New Roman"/>
          <w:i/>
          <w:iCs/>
          <w:sz w:val="24"/>
          <w:szCs w:val="24"/>
        </w:rPr>
        <w:t>Journal of Open Innovation: Technology, Market, and Complexity</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(3), p.100574. </w:t>
      </w:r>
      <w:hyperlink r:id="rId20">
        <w:r>
          <w:rPr>
            <w:rFonts w:ascii="Times New Roman" w:eastAsia="Times New Roman" w:hAnsi="Times New Roman" w:cs="Times New Roman"/>
            <w:color w:val="0563C1"/>
            <w:sz w:val="24"/>
            <w:szCs w:val="24"/>
            <w:u w:val="single"/>
          </w:rPr>
          <w:t>https://www.sciencedirect.com/science/article/pii/S219985312500109X</w:t>
        </w:r>
      </w:hyperlink>
      <w:r>
        <w:rPr>
          <w:rFonts w:ascii="Times New Roman" w:eastAsia="Times New Roman" w:hAnsi="Times New Roman" w:cs="Times New Roman"/>
          <w:sz w:val="24"/>
          <w:szCs w:val="24"/>
        </w:rPr>
        <w:t xml:space="preserve"> </w:t>
      </w:r>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Schoonenboom, J., 2</w:t>
      </w:r>
      <w:r>
        <w:rPr>
          <w:rFonts w:ascii="Times New Roman" w:eastAsia="Times New Roman" w:hAnsi="Times New Roman" w:cs="Times New Roman"/>
          <w:color w:val="222222"/>
          <w:sz w:val="24"/>
          <w:szCs w:val="24"/>
          <w:highlight w:val="white"/>
        </w:rPr>
        <w:t>023. The fundamental difference between qualitative and quantitative data in mixed methods research. In </w:t>
      </w:r>
      <w:r>
        <w:rPr>
          <w:rFonts w:ascii="Times New Roman" w:eastAsia="Times New Roman" w:hAnsi="Times New Roman" w:cs="Times New Roman"/>
          <w:i/>
          <w:iCs/>
          <w:color w:val="222222"/>
          <w:sz w:val="24"/>
          <w:szCs w:val="24"/>
          <w:highlight w:val="white"/>
        </w:rPr>
        <w:t>Forum Qualitative Sozialforschung/Forum: Qualitative Social Research</w:t>
      </w:r>
      <w:r>
        <w:rPr>
          <w:rFonts w:ascii="Times New Roman" w:eastAsia="Times New Roman" w:hAnsi="Times New Roman" w:cs="Times New Roman"/>
          <w:color w:val="222222"/>
          <w:sz w:val="24"/>
          <w:szCs w:val="24"/>
          <w:highlight w:val="white"/>
        </w:rPr>
        <w:t xml:space="preserve"> (Vol. 24, No. 1). DEU. </w:t>
      </w:r>
      <w:hyperlink r:id="rId21">
        <w:r>
          <w:rPr>
            <w:rFonts w:ascii="Times New Roman" w:eastAsia="Times New Roman" w:hAnsi="Times New Roman" w:cs="Times New Roman"/>
            <w:color w:val="0563C1"/>
            <w:sz w:val="24"/>
            <w:szCs w:val="24"/>
            <w:highlight w:val="white"/>
            <w:u w:val="single"/>
          </w:rPr>
          <w:t>https://www.ssoar.info/ssoar/bitstream/handle/document/88089/ssoar-fqs-2023-1-schoonenboom-The_Fundamental_Difference_Between_Qualitative.pdf?se</w:t>
        </w:r>
        <w:r>
          <w:rPr>
            <w:rFonts w:ascii="Times New Roman" w:eastAsia="Times New Roman" w:hAnsi="Times New Roman" w:cs="Times New Roman"/>
            <w:color w:val="0563C1"/>
            <w:sz w:val="24"/>
            <w:szCs w:val="24"/>
            <w:highlight w:val="white"/>
            <w:u w:val="single"/>
          </w:rPr>
          <w:t>quence=1</w:t>
        </w:r>
      </w:hyperlink>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Simonetti, A., Bigne, E. and Navas, L.F.R., 2025. Consumer brand choice in the metaverse: exploring personal and social factors. </w:t>
      </w:r>
      <w:r>
        <w:rPr>
          <w:rFonts w:ascii="Times New Roman" w:eastAsia="Times New Roman" w:hAnsi="Times New Roman" w:cs="Times New Roman"/>
          <w:i/>
          <w:iCs/>
          <w:sz w:val="24"/>
          <w:szCs w:val="24"/>
        </w:rPr>
        <w:t>Technological Forecasting and Social Change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213</w:t>
      </w:r>
      <w:r>
        <w:rPr>
          <w:rFonts w:ascii="Times New Roman" w:eastAsia="Times New Roman" w:hAnsi="Times New Roman" w:cs="Times New Roman"/>
          <w:sz w:val="24"/>
          <w:szCs w:val="24"/>
        </w:rPr>
        <w:t xml:space="preserve">, p.124033. </w:t>
      </w:r>
      <w:hyperlink r:id="rId22">
        <w:r>
          <w:rPr>
            <w:rFonts w:ascii="Times New Roman" w:eastAsia="Times New Roman" w:hAnsi="Times New Roman" w:cs="Times New Roman"/>
            <w:color w:val="0563C1"/>
            <w:sz w:val="24"/>
            <w:szCs w:val="24"/>
            <w:u w:val="single"/>
          </w:rPr>
          <w:t>https://www.sciencedirect.com/science/article/pii/S0040162525000642</w:t>
        </w:r>
      </w:hyperlink>
      <w:r>
        <w:rPr>
          <w:rFonts w:ascii="Times New Roman" w:eastAsia="Times New Roman" w:hAnsi="Times New Roman" w:cs="Times New Roman"/>
          <w:sz w:val="24"/>
          <w:szCs w:val="24"/>
        </w:rPr>
        <w:t xml:space="preserve">  </w:t>
      </w:r>
    </w:p>
    <w:p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S. (2026) </w:t>
      </w:r>
      <w:r>
        <w:rPr>
          <w:rFonts w:ascii="Times New Roman" w:eastAsia="Times New Roman" w:hAnsi="Times New Roman" w:cs="Times New Roman"/>
          <w:i/>
          <w:iCs/>
          <w:color w:val="000000"/>
          <w:sz w:val="24"/>
          <w:szCs w:val="24"/>
        </w:rPr>
        <w:t>JSW mg bets on scaled Chinese EV Tech to capture India’s nascent market</w:t>
      </w:r>
      <w:r>
        <w:rPr>
          <w:rFonts w:ascii="Times New Roman" w:eastAsia="Times New Roman" w:hAnsi="Times New Roman" w:cs="Times New Roman"/>
          <w:color w:val="000000"/>
          <w:sz w:val="24"/>
          <w:szCs w:val="24"/>
        </w:rPr>
        <w:t>. Available at: https://www.whalesbook.com/news/English/auto/JSW-MG-Bets-on-Scaled-Chinese-EV-Tech-to-Capture-Indias-Nascent-Market/69930f742e6a0b8ae17d21c4 (Accessed: 09 July 2026)</w:t>
      </w:r>
    </w:p>
    <w:p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V. (2026). </w:t>
      </w:r>
      <w:r>
        <w:rPr>
          <w:rFonts w:ascii="Times New Roman" w:eastAsia="Times New Roman" w:hAnsi="Times New Roman" w:cs="Times New Roman"/>
          <w:i/>
          <w:iCs/>
          <w:color w:val="000000"/>
          <w:sz w:val="24"/>
          <w:szCs w:val="24"/>
        </w:rPr>
        <w:t>Tata, Mahindra dominate India’s mass electric car market</w:t>
      </w:r>
      <w:r>
        <w:rPr>
          <w:rFonts w:ascii="Times New Roman" w:eastAsia="Times New Roman" w:hAnsi="Times New Roman" w:cs="Times New Roman"/>
          <w:i/>
          <w:iCs/>
          <w:color w:val="000000"/>
          <w:sz w:val="24"/>
          <w:szCs w:val="24"/>
        </w:rPr>
        <w:t xml:space="preserve"> as global rivals struggle to catch up- Moneycontrol.com</w:t>
      </w:r>
      <w:r>
        <w:rPr>
          <w:rFonts w:ascii="Times New Roman" w:eastAsia="Times New Roman" w:hAnsi="Times New Roman" w:cs="Times New Roman"/>
          <w:color w:val="000000"/>
          <w:sz w:val="24"/>
          <w:szCs w:val="24"/>
        </w:rPr>
        <w:t>. [online] Moneycontrol. Available at: https://www.moneycontrol.com/automobile/tata-mahindra-dominate-india-s-mass-electric-car-market-as-global-rivals-struggle-to-catch-up-article-13964737.html [Acce</w:t>
      </w:r>
      <w:r>
        <w:rPr>
          <w:rFonts w:ascii="Times New Roman" w:eastAsia="Times New Roman" w:hAnsi="Times New Roman" w:cs="Times New Roman"/>
          <w:color w:val="000000"/>
          <w:sz w:val="24"/>
          <w:szCs w:val="24"/>
        </w:rPr>
        <w:t>ssed 9 July 2026]</w:t>
      </w:r>
    </w:p>
    <w:p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Srivastava, A., Patri, R., Sisodia, G.S. and Ananthi, R., 2026. Consumer trust and post-purchase dynamics in the refurbished electronics market: The role of product quality, service, and brand reputation. </w:t>
      </w:r>
      <w:r>
        <w:rPr>
          <w:rFonts w:ascii="Times New Roman" w:eastAsia="Times New Roman" w:hAnsi="Times New Roman" w:cs="Times New Roman"/>
          <w:i/>
          <w:iCs/>
          <w:sz w:val="24"/>
          <w:szCs w:val="24"/>
        </w:rPr>
        <w:t>Acta Psychologica</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266</w:t>
      </w:r>
      <w:r>
        <w:rPr>
          <w:rFonts w:ascii="Times New Roman" w:eastAsia="Times New Roman" w:hAnsi="Times New Roman" w:cs="Times New Roman"/>
          <w:sz w:val="24"/>
          <w:szCs w:val="24"/>
        </w:rPr>
        <w:t>, p.106941.</w:t>
      </w:r>
      <w:r>
        <w:rPr>
          <w:rFonts w:ascii="Times New Roman" w:eastAsia="Times New Roman" w:hAnsi="Times New Roman" w:cs="Times New Roman"/>
          <w:sz w:val="24"/>
          <w:szCs w:val="24"/>
        </w:rPr>
        <w:t xml:space="preserve"> </w:t>
      </w:r>
      <w:hyperlink r:id="rId23">
        <w:r>
          <w:rPr>
            <w:rFonts w:ascii="Times New Roman" w:eastAsia="Times New Roman" w:hAnsi="Times New Roman" w:cs="Times New Roman"/>
            <w:color w:val="0563C1"/>
            <w:sz w:val="24"/>
            <w:szCs w:val="24"/>
            <w:u w:val="single"/>
          </w:rPr>
          <w:t>https://www.sciencedirect.com/science/article/pii/S0001691826007420</w:t>
        </w:r>
      </w:hyperlink>
      <w:r>
        <w:rPr>
          <w:rFonts w:ascii="Times New Roman" w:eastAsia="Times New Roman" w:hAnsi="Times New Roman" w:cs="Times New Roman"/>
          <w:sz w:val="24"/>
          <w:szCs w:val="24"/>
        </w:rPr>
        <w:t xml:space="preserve">  </w:t>
      </w:r>
    </w:p>
    <w:p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Yen, H. (2026). </w:t>
      </w:r>
      <w:r>
        <w:rPr>
          <w:rFonts w:ascii="Times New Roman" w:eastAsia="Times New Roman" w:hAnsi="Times New Roman" w:cs="Times New Roman"/>
          <w:i/>
          <w:iCs/>
          <w:color w:val="000000"/>
          <w:sz w:val="24"/>
          <w:szCs w:val="24"/>
        </w:rPr>
        <w:t>VinFast guns for 300,000 EV deliveries in 2026, spins off manufacturing operations</w:t>
      </w:r>
      <w:r>
        <w:rPr>
          <w:rFonts w:ascii="Times New Roman" w:eastAsia="Times New Roman" w:hAnsi="Times New Roman" w:cs="Times New Roman"/>
          <w:color w:val="000000"/>
          <w:sz w:val="24"/>
          <w:szCs w:val="24"/>
        </w:rPr>
        <w:t>. [Online] Theinvestor.vn. Available at: https://theinvestor.vn/vinfast-guns-for-300000-ev-deliveries-in-2026-spins-off-manufacturing-operations-d19308.html [Accessed 9 July 2026].</w:t>
      </w:r>
    </w:p>
    <w:p w:rsidR="00F7338D" w:rsidRDefault="00F7338D">
      <w:pPr>
        <w:spacing w:line="360" w:lineRule="auto"/>
        <w:jc w:val="both"/>
        <w:rPr>
          <w:rFonts w:ascii="Times New Roman" w:eastAsia="Times New Roman" w:hAnsi="Times New Roman" w:cs="Times New Roman"/>
          <w:sz w:val="24"/>
          <w:szCs w:val="24"/>
        </w:rPr>
      </w:pPr>
    </w:p>
    <w:p w:rsidR="00F7338D" w:rsidRDefault="00F7338D">
      <w:pPr>
        <w:spacing w:line="360" w:lineRule="auto"/>
        <w:jc w:val="both"/>
        <w:rPr>
          <w:rFonts w:ascii="Times New Roman" w:eastAsia="Times New Roman" w:hAnsi="Times New Roman" w:cs="Times New Roman"/>
          <w:b/>
          <w:bCs/>
          <w:sz w:val="24"/>
          <w:szCs w:val="24"/>
        </w:rPr>
      </w:pPr>
    </w:p>
    <w:p w:rsidR="00F7338D" w:rsidRDefault="00F7338D">
      <w:pPr>
        <w:spacing w:line="360" w:lineRule="auto"/>
        <w:jc w:val="both"/>
        <w:rPr>
          <w:rFonts w:ascii="Times New Roman" w:eastAsia="Times New Roman" w:hAnsi="Times New Roman" w:cs="Times New Roman"/>
          <w:b/>
          <w:bCs/>
          <w:sz w:val="24"/>
          <w:szCs w:val="24"/>
        </w:rPr>
      </w:pPr>
    </w:p>
    <w:sectPr w:rsidR="00F7338D" w:rsidSect="00594FAC">
      <w:footerReference w:type="default" r:id="rId24"/>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547D" w:rsidRDefault="0019547D">
      <w:pPr>
        <w:spacing w:after="0" w:line="240" w:lineRule="auto"/>
      </w:pPr>
      <w:r>
        <w:separator/>
      </w:r>
    </w:p>
  </w:endnote>
  <w:endnote w:type="continuationSeparator" w:id="0">
    <w:p w:rsidR="0019547D" w:rsidRDefault="00195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charset w:val="00"/>
    <w:family w:val="auto"/>
    <w:pitch w:val="default"/>
    <w:embedRegular r:id="rId1" w:fontKey="{5FFDD940-DD1C-4A0F-B167-FF6958322D63}"/>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0046F402-AD36-4576-898A-0FBD3C0BC598}"/>
    <w:embedBold r:id="rId3" w:fontKey="{C43486C5-B084-4CCA-B1D6-512AAFF0213A}"/>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F2D78031-B179-4F7D-8B4E-61815EC9CD38}"/>
  </w:font>
  <w:font w:name="Cambria">
    <w:panose1 w:val="02040503050406030204"/>
    <w:charset w:val="00"/>
    <w:family w:val="roman"/>
    <w:pitch w:val="variable"/>
    <w:sig w:usb0="E00006FF" w:usb1="420024FF" w:usb2="02000000" w:usb3="00000000" w:csb0="0000019F" w:csb1="00000000"/>
    <w:embedRegular r:id="rId5" w:fontKey="{907464E3-3EF9-449B-96B4-0E9EC823B88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338D" w:rsidRDefault="0019547D">
    <w:pPr>
      <w:pBdr>
        <w:top w:val="single" w:sz="4" w:space="1" w:color="D9D9D9"/>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594FAC">
      <w:rPr>
        <w:rFonts w:ascii="Times New Roman" w:eastAsia="Times New Roman" w:hAnsi="Times New Roman" w:cs="Times New Roman"/>
        <w:color w:val="000000"/>
      </w:rPr>
      <w:fldChar w:fldCharType="separate"/>
    </w:r>
    <w:r w:rsidR="00594FAC">
      <w:rPr>
        <w:rFonts w:ascii="Times New Roman" w:eastAsia="Times New Roman" w:hAnsi="Times New Roman" w:cs="Times New Roman"/>
        <w:noProof/>
        <w:color w:val="000000"/>
      </w:rPr>
      <w:t>4</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 Page</w:t>
    </w:r>
  </w:p>
  <w:p w:rsidR="00F7338D" w:rsidRDefault="00F7338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547D" w:rsidRDefault="0019547D">
      <w:pPr>
        <w:spacing w:after="0" w:line="240" w:lineRule="auto"/>
      </w:pPr>
      <w:r>
        <w:separator/>
      </w:r>
    </w:p>
  </w:footnote>
  <w:footnote w:type="continuationSeparator" w:id="0">
    <w:p w:rsidR="0019547D" w:rsidRDefault="0019547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1F43F8"/>
    <w:multiLevelType w:val="multilevel"/>
    <w:tmpl w:val="8AB60B8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nsid w:val="36605253"/>
    <w:multiLevelType w:val="multilevel"/>
    <w:tmpl w:val="FDFC57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38D"/>
    <w:rsid w:val="0019547D"/>
    <w:rsid w:val="00594FAC"/>
    <w:rsid w:val="00F73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6B0E904-4961-4261-99B8-DDE910F44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pPr>
      <w:keepNext/>
      <w:keepLines/>
      <w:spacing w:before="120" w:after="120" w:line="360" w:lineRule="auto"/>
      <w:jc w:val="both"/>
      <w:outlineLvl w:val="1"/>
    </w:pPr>
    <w:rPr>
      <w:rFonts w:ascii="Times New Roman" w:eastAsia="Times New Roman" w:hAnsi="Times New Roman" w:cs="Times New Roman"/>
      <w:b/>
      <w:bCs/>
      <w:color w:val="000000"/>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ciencedirect.com/science/article/pii/S2590291125005881" TargetMode="External"/><Relationship Id="rId18" Type="http://schemas.openxmlformats.org/officeDocument/2006/relationships/hyperlink" Target="https://www.sciencedirect.com/science/article/pii/S246822762600128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soar.info/ssoar/bitstream/handle/document/88089/ssoar-fqs-2023-1-schoonenboom-The_Fundamental_Difference_Between_Qualitative.pdf?sequence=1" TargetMode="External"/><Relationship Id="rId7" Type="http://schemas.openxmlformats.org/officeDocument/2006/relationships/endnotes" Target="endnotes.xml"/><Relationship Id="rId12" Type="http://schemas.openxmlformats.org/officeDocument/2006/relationships/hyperlink" Target="https://www.sciencedirect.com/science/article/pii/S2405844024016669/pdfft?pid=1-s2.0-S2405844024016669-mainext.pdf" TargetMode="External"/><Relationship Id="rId17" Type="http://schemas.openxmlformats.org/officeDocument/2006/relationships/hyperlink" Target="https://www.sciencedirect.com/science/article/pii/S000169182600857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3051064326001433" TargetMode="External"/><Relationship Id="rId20" Type="http://schemas.openxmlformats.org/officeDocument/2006/relationships/hyperlink" Target="https://www.sciencedirect.com/science/article/pii/S219985312500109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privietlab.org/index.php/PSSJ/article/download/1588/695" TargetMode="External"/><Relationship Id="rId23" Type="http://schemas.openxmlformats.org/officeDocument/2006/relationships/hyperlink" Target="https://www.sciencedirect.com/science/article/pii/S0001691826007420" TargetMode="External"/><Relationship Id="rId10" Type="http://schemas.openxmlformats.org/officeDocument/2006/relationships/image" Target="media/image3.png"/><Relationship Id="rId19" Type="http://schemas.openxmlformats.org/officeDocument/2006/relationships/hyperlink" Target="https://www.sciencedirect.com/science/article/pii/S00016918250144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100063600/26._How_to_Choose_an_Appropriate_Research_Data.pdf" TargetMode="External"/><Relationship Id="rId22" Type="http://schemas.openxmlformats.org/officeDocument/2006/relationships/hyperlink" Target="https://www.sciencedirect.com/science/article/pii/S004016252500064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37QfUj82ponD8ZN8zvCbGier3Q==">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3457</Words>
  <Characters>19709</Characters>
  <Application>Microsoft Office Word</Application>
  <DocSecurity>0</DocSecurity>
  <Lines>164</Lines>
  <Paragraphs>46</Paragraphs>
  <ScaleCrop>false</ScaleCrop>
  <Company/>
  <LinksUpToDate>false</LinksUpToDate>
  <CharactersWithSpaces>23120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2026-07-10T07:11:00Z</dcterms:created>
  <dcterms:modified xsi:type="dcterms:W3CDTF">2026-07-10T07:11:00Z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fe7f26b4-84ee-4668-8e0e-dd9d563efc54</vt:lpwstr>
  </property>
</Properties>
</file>