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D751B" w14:textId="02F2878C" w:rsidR="00373B34" w:rsidRDefault="000605FE" w:rsidP="00065ED1">
      <w:pPr>
        <w:spacing w:line="480" w:lineRule="auto"/>
        <w:outlineLvl w:val="0"/>
        <w:rPr>
          <w:i/>
          <w:u w:val="single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DD59D6" w:rsidRPr="00373B34">
        <w:rPr>
          <w:u w:val="single"/>
          <w:lang w:val="en-CA"/>
        </w:rPr>
        <w:t xml:space="preserve">John </w:t>
      </w:r>
      <w:proofErr w:type="spellStart"/>
      <w:r w:rsidR="00DD59D6" w:rsidRPr="00373B34">
        <w:rPr>
          <w:u w:val="single"/>
          <w:lang w:val="en-CA"/>
        </w:rPr>
        <w:t>Audelay’s</w:t>
      </w:r>
      <w:proofErr w:type="spellEnd"/>
      <w:r w:rsidR="00DD59D6" w:rsidRPr="00373B34">
        <w:rPr>
          <w:u w:val="single"/>
          <w:lang w:val="en-CA"/>
        </w:rPr>
        <w:t xml:space="preserve"> </w:t>
      </w:r>
      <w:r w:rsidRPr="00373B34">
        <w:rPr>
          <w:i/>
          <w:u w:val="single"/>
          <w:lang w:val="en-CA"/>
        </w:rPr>
        <w:t>The Three Living and the Three Dead</w:t>
      </w:r>
    </w:p>
    <w:p w14:paraId="2D46A75B" w14:textId="77777777" w:rsidR="00373B34" w:rsidRPr="00373B34" w:rsidRDefault="00373B34" w:rsidP="00065ED1">
      <w:pPr>
        <w:spacing w:line="480" w:lineRule="auto"/>
        <w:outlineLvl w:val="0"/>
        <w:rPr>
          <w:i/>
          <w:u w:val="single"/>
          <w:lang w:val="en-CA"/>
        </w:rPr>
      </w:pPr>
    </w:p>
    <w:p w14:paraId="0B2FD017" w14:textId="6049BFCB" w:rsidR="008D27E2" w:rsidRDefault="00B70879" w:rsidP="00ED7810">
      <w:pPr>
        <w:spacing w:line="480" w:lineRule="auto"/>
        <w:ind w:firstLine="720"/>
        <w:rPr>
          <w:lang w:val="en-CA"/>
        </w:rPr>
      </w:pPr>
      <w:r>
        <w:rPr>
          <w:lang w:val="en-CA"/>
        </w:rPr>
        <w:t xml:space="preserve">John the Blind </w:t>
      </w:r>
      <w:proofErr w:type="spellStart"/>
      <w:r>
        <w:rPr>
          <w:lang w:val="en-CA"/>
        </w:rPr>
        <w:t>Audelay</w:t>
      </w:r>
      <w:proofErr w:type="spellEnd"/>
      <w:r w:rsidR="004C47C2">
        <w:rPr>
          <w:lang w:val="en-CA"/>
        </w:rPr>
        <w:t xml:space="preserve"> was a fifteenth century cleric and one of many supposed authors of</w:t>
      </w:r>
      <w:r w:rsidR="00FF01B3">
        <w:rPr>
          <w:lang w:val="en-CA"/>
        </w:rPr>
        <w:t xml:space="preserve"> the</w:t>
      </w:r>
      <w:r w:rsidR="004C47C2">
        <w:rPr>
          <w:lang w:val="en-CA"/>
        </w:rPr>
        <w:t xml:space="preserve"> middle-English poem of </w:t>
      </w:r>
      <w:r w:rsidR="004C47C2" w:rsidRPr="004866A3">
        <w:rPr>
          <w:i/>
          <w:lang w:val="en-CA"/>
        </w:rPr>
        <w:t>The</w:t>
      </w:r>
      <w:r w:rsidR="004C47C2">
        <w:rPr>
          <w:lang w:val="en-CA"/>
        </w:rPr>
        <w:t xml:space="preserve"> </w:t>
      </w:r>
      <w:r w:rsidR="004C47C2" w:rsidRPr="000057CA">
        <w:rPr>
          <w:i/>
          <w:lang w:val="en-CA"/>
        </w:rPr>
        <w:t>Three Living and The Three Dead</w:t>
      </w:r>
      <w:r w:rsidR="004C47C2">
        <w:rPr>
          <w:lang w:val="en-CA"/>
        </w:rPr>
        <w:t>.</w:t>
      </w:r>
      <w:r>
        <w:rPr>
          <w:lang w:val="en-CA"/>
        </w:rPr>
        <w:t xml:space="preserve"> </w:t>
      </w:r>
      <w:r w:rsidR="00D12E33">
        <w:rPr>
          <w:lang w:val="en-CA"/>
        </w:rPr>
        <w:t>The p</w:t>
      </w:r>
      <w:r w:rsidR="000605FE">
        <w:rPr>
          <w:lang w:val="en-CA"/>
        </w:rPr>
        <w:t>oem</w:t>
      </w:r>
      <w:r w:rsidR="00D12E33">
        <w:rPr>
          <w:lang w:val="en-CA"/>
        </w:rPr>
        <w:t xml:space="preserve"> </w:t>
      </w:r>
      <w:r w:rsidR="00CE57A5">
        <w:rPr>
          <w:lang w:val="en-CA"/>
        </w:rPr>
        <w:t>convey</w:t>
      </w:r>
      <w:r w:rsidR="001E0267">
        <w:rPr>
          <w:lang w:val="en-CA"/>
        </w:rPr>
        <w:t>s</w:t>
      </w:r>
      <w:r w:rsidR="00CE57A5">
        <w:rPr>
          <w:lang w:val="en-CA"/>
        </w:rPr>
        <w:t xml:space="preserve"> a</w:t>
      </w:r>
      <w:r w:rsidR="00310350">
        <w:rPr>
          <w:lang w:val="en-CA"/>
        </w:rPr>
        <w:t xml:space="preserve"> </w:t>
      </w:r>
      <w:r w:rsidR="00CE57A5">
        <w:rPr>
          <w:lang w:val="en-CA"/>
        </w:rPr>
        <w:t>well-known</w:t>
      </w:r>
      <w:r w:rsidR="00A01244">
        <w:rPr>
          <w:lang w:val="en-CA"/>
        </w:rPr>
        <w:t xml:space="preserve"> morality</w:t>
      </w:r>
      <w:r w:rsidR="00CE57A5">
        <w:rPr>
          <w:lang w:val="en-CA"/>
        </w:rPr>
        <w:t xml:space="preserve"> tale of an</w:t>
      </w:r>
      <w:r w:rsidR="00D12E33">
        <w:rPr>
          <w:lang w:val="en-CA"/>
        </w:rPr>
        <w:t xml:space="preserve"> encount</w:t>
      </w:r>
      <w:r w:rsidR="00CE57A5">
        <w:rPr>
          <w:lang w:val="en-CA"/>
        </w:rPr>
        <w:t>er between three wealthy noblemen,</w:t>
      </w:r>
      <w:r w:rsidR="00D12E33">
        <w:rPr>
          <w:lang w:val="en-CA"/>
        </w:rPr>
        <w:t xml:space="preserve"> who</w:t>
      </w:r>
      <w:r w:rsidR="00CE57A5">
        <w:rPr>
          <w:lang w:val="en-CA"/>
        </w:rPr>
        <w:t>,</w:t>
      </w:r>
      <w:r w:rsidR="00D12E33">
        <w:rPr>
          <w:lang w:val="en-CA"/>
        </w:rPr>
        <w:t xml:space="preserve"> while out hunting encounter three deceased</w:t>
      </w:r>
      <w:r w:rsidR="00841B97">
        <w:rPr>
          <w:lang w:val="en-CA"/>
        </w:rPr>
        <w:t xml:space="preserve">, </w:t>
      </w:r>
      <w:r w:rsidR="00D12E33">
        <w:rPr>
          <w:lang w:val="en-CA"/>
        </w:rPr>
        <w:t>yet physically animated nobles</w:t>
      </w:r>
      <w:r w:rsidR="00E12875">
        <w:rPr>
          <w:lang w:val="en-CA"/>
        </w:rPr>
        <w:t xml:space="preserve">, </w:t>
      </w:r>
      <w:r w:rsidR="00BE644B">
        <w:rPr>
          <w:lang w:val="en-CA"/>
        </w:rPr>
        <w:t>who</w:t>
      </w:r>
      <w:r w:rsidR="00841B97">
        <w:rPr>
          <w:lang w:val="en-CA"/>
        </w:rPr>
        <w:t xml:space="preserve"> convey to the noblemen</w:t>
      </w:r>
      <w:r w:rsidR="00E12875">
        <w:rPr>
          <w:lang w:val="en-CA"/>
        </w:rPr>
        <w:t xml:space="preserve"> a lesson in their own mortality</w:t>
      </w:r>
      <w:r w:rsidR="00D12E33">
        <w:rPr>
          <w:lang w:val="en-CA"/>
        </w:rPr>
        <w:t>.</w:t>
      </w:r>
      <w:r w:rsidR="00CE57A5">
        <w:rPr>
          <w:lang w:val="en-CA"/>
        </w:rPr>
        <w:t xml:space="preserve"> </w:t>
      </w:r>
      <w:r w:rsidR="00841B97">
        <w:rPr>
          <w:lang w:val="en-CA"/>
        </w:rPr>
        <w:t>This tale gained</w:t>
      </w:r>
      <w:r w:rsidR="008D27E2">
        <w:rPr>
          <w:lang w:val="en-CA"/>
        </w:rPr>
        <w:t xml:space="preserve"> wide popularity across western Europe with Italy, France and England each </w:t>
      </w:r>
      <w:r w:rsidR="00A01244">
        <w:rPr>
          <w:lang w:val="en-CA"/>
        </w:rPr>
        <w:t>creating their own distinct yet readily recognizable interpretations of the tale.</w:t>
      </w:r>
      <w:r w:rsidR="00AD79C4">
        <w:rPr>
          <w:lang w:val="en-CA"/>
        </w:rPr>
        <w:t xml:space="preserve"> It</w:t>
      </w:r>
      <w:r w:rsidR="00841B97">
        <w:rPr>
          <w:lang w:val="en-CA"/>
        </w:rPr>
        <w:t>s authorship and legacy</w:t>
      </w:r>
      <w:r w:rsidR="00323634">
        <w:rPr>
          <w:lang w:val="en-CA"/>
        </w:rPr>
        <w:t xml:space="preserve"> are of note to historians for</w:t>
      </w:r>
      <w:r w:rsidR="00AD79C4">
        <w:rPr>
          <w:lang w:val="en-CA"/>
        </w:rPr>
        <w:t>,</w:t>
      </w:r>
      <w:r w:rsidR="00323634">
        <w:rPr>
          <w:lang w:val="en-CA"/>
        </w:rPr>
        <w:t xml:space="preserve"> as </w:t>
      </w:r>
      <w:r w:rsidR="001E0267">
        <w:rPr>
          <w:lang w:val="en-CA"/>
        </w:rPr>
        <w:t xml:space="preserve">the </w:t>
      </w:r>
      <w:r w:rsidR="00323634">
        <w:rPr>
          <w:lang w:val="en-CA"/>
        </w:rPr>
        <w:t>tale increase</w:t>
      </w:r>
      <w:r w:rsidR="001E0267">
        <w:rPr>
          <w:lang w:val="en-CA"/>
        </w:rPr>
        <w:t>d</w:t>
      </w:r>
      <w:r w:rsidR="00323634">
        <w:rPr>
          <w:lang w:val="en-CA"/>
        </w:rPr>
        <w:t xml:space="preserve"> in popularity, the poem bec</w:t>
      </w:r>
      <w:r w:rsidR="001E0267">
        <w:rPr>
          <w:lang w:val="en-CA"/>
        </w:rPr>
        <w:t>a</w:t>
      </w:r>
      <w:r w:rsidR="00323634">
        <w:rPr>
          <w:lang w:val="en-CA"/>
        </w:rPr>
        <w:t>me</w:t>
      </w:r>
      <w:r w:rsidR="004C47C2">
        <w:rPr>
          <w:lang w:val="en-CA"/>
        </w:rPr>
        <w:t xml:space="preserve"> appropriated</w:t>
      </w:r>
      <w:r w:rsidR="00323634">
        <w:rPr>
          <w:lang w:val="en-CA"/>
        </w:rPr>
        <w:t xml:space="preserve"> </w:t>
      </w:r>
      <w:r w:rsidR="006F41B0">
        <w:rPr>
          <w:lang w:val="en-CA"/>
        </w:rPr>
        <w:t>by the nobility</w:t>
      </w:r>
      <w:r w:rsidR="001E0267">
        <w:rPr>
          <w:lang w:val="en-CA"/>
        </w:rPr>
        <w:t>,</w:t>
      </w:r>
      <w:r w:rsidR="004C47C2">
        <w:rPr>
          <w:lang w:val="en-CA"/>
        </w:rPr>
        <w:t xml:space="preserve"> </w:t>
      </w:r>
      <w:r w:rsidR="001E0267">
        <w:rPr>
          <w:lang w:val="en-CA"/>
        </w:rPr>
        <w:t>and was</w:t>
      </w:r>
      <w:r w:rsidR="004C47C2">
        <w:rPr>
          <w:lang w:val="en-CA"/>
        </w:rPr>
        <w:t xml:space="preserve"> later used for</w:t>
      </w:r>
      <w:r w:rsidR="00841B97">
        <w:rPr>
          <w:lang w:val="en-CA"/>
        </w:rPr>
        <w:t xml:space="preserve"> the renowned</w:t>
      </w:r>
      <w:r w:rsidR="004C47C2">
        <w:rPr>
          <w:lang w:val="en-CA"/>
        </w:rPr>
        <w:t xml:space="preserve"> </w:t>
      </w:r>
      <w:r w:rsidR="004C47C2" w:rsidRPr="000057CA">
        <w:rPr>
          <w:i/>
          <w:lang w:val="en-CA"/>
        </w:rPr>
        <w:t>Book of H</w:t>
      </w:r>
      <w:r w:rsidR="006F41B0" w:rsidRPr="000057CA">
        <w:rPr>
          <w:i/>
          <w:lang w:val="en-CA"/>
        </w:rPr>
        <w:t>ours</w:t>
      </w:r>
      <w:r w:rsidR="00CE4E1E">
        <w:rPr>
          <w:lang w:val="en-CA"/>
        </w:rPr>
        <w:t>.</w:t>
      </w:r>
      <w:r w:rsidR="00CB3DBB">
        <w:rPr>
          <w:rStyle w:val="FootnoteReference"/>
          <w:lang w:val="en-CA"/>
        </w:rPr>
        <w:footnoteReference w:id="1"/>
      </w:r>
      <w:r w:rsidR="00CE4E1E">
        <w:rPr>
          <w:lang w:val="en-CA"/>
        </w:rPr>
        <w:t xml:space="preserve"> Its popularity</w:t>
      </w:r>
      <w:r w:rsidR="006F41B0">
        <w:rPr>
          <w:lang w:val="en-CA"/>
        </w:rPr>
        <w:t xml:space="preserve"> </w:t>
      </w:r>
      <w:r w:rsidR="00ED7810">
        <w:rPr>
          <w:lang w:val="en-CA"/>
        </w:rPr>
        <w:t xml:space="preserve">also </w:t>
      </w:r>
      <w:r w:rsidR="006F41B0">
        <w:rPr>
          <w:lang w:val="en-CA"/>
        </w:rPr>
        <w:t>led t</w:t>
      </w:r>
      <w:r w:rsidR="00CE4E1E">
        <w:rPr>
          <w:lang w:val="en-CA"/>
        </w:rPr>
        <w:t>o orna</w:t>
      </w:r>
      <w:r w:rsidR="00AD79C4">
        <w:rPr>
          <w:lang w:val="en-CA"/>
        </w:rPr>
        <w:t>te visual representations which</w:t>
      </w:r>
      <w:r w:rsidR="00CE4E1E">
        <w:rPr>
          <w:lang w:val="en-CA"/>
        </w:rPr>
        <w:t xml:space="preserve"> </w:t>
      </w:r>
      <w:r w:rsidR="004C47C2">
        <w:rPr>
          <w:lang w:val="en-CA"/>
        </w:rPr>
        <w:t>greatly inspir</w:t>
      </w:r>
      <w:r w:rsidR="00CE4E1E">
        <w:rPr>
          <w:lang w:val="en-CA"/>
        </w:rPr>
        <w:t>ed</w:t>
      </w:r>
      <w:r w:rsidR="004C47C2">
        <w:rPr>
          <w:lang w:val="en-CA"/>
        </w:rPr>
        <w:t xml:space="preserve"> images of the macabre including</w:t>
      </w:r>
      <w:r w:rsidR="00323634">
        <w:rPr>
          <w:lang w:val="en-CA"/>
        </w:rPr>
        <w:t xml:space="preserve"> latter medieval images of the</w:t>
      </w:r>
      <w:r w:rsidR="00CE4E1E">
        <w:rPr>
          <w:lang w:val="en-CA"/>
        </w:rPr>
        <w:t xml:space="preserve"> notorious</w:t>
      </w:r>
      <w:r w:rsidR="00ED7810" w:rsidRPr="000057CA">
        <w:rPr>
          <w:i/>
          <w:lang w:val="en-CA"/>
        </w:rPr>
        <w:t>,</w:t>
      </w:r>
      <w:r w:rsidR="00323634" w:rsidRPr="000057CA">
        <w:rPr>
          <w:i/>
          <w:lang w:val="en-CA"/>
        </w:rPr>
        <w:t xml:space="preserve"> </w:t>
      </w:r>
      <w:proofErr w:type="spellStart"/>
      <w:r w:rsidR="00323634" w:rsidRPr="000057CA">
        <w:rPr>
          <w:i/>
          <w:lang w:val="en-CA"/>
        </w:rPr>
        <w:t>Danse</w:t>
      </w:r>
      <w:proofErr w:type="spellEnd"/>
      <w:r w:rsidR="00323634" w:rsidRPr="000057CA">
        <w:rPr>
          <w:i/>
          <w:lang w:val="en-CA"/>
        </w:rPr>
        <w:t xml:space="preserve"> Macabre</w:t>
      </w:r>
      <w:r w:rsidR="00323634">
        <w:rPr>
          <w:lang w:val="en-CA"/>
        </w:rPr>
        <w:t>.</w:t>
      </w:r>
    </w:p>
    <w:p w14:paraId="11981886" w14:textId="3A07E19E" w:rsidR="00970606" w:rsidRDefault="00CE4E1E" w:rsidP="00ED7810">
      <w:pPr>
        <w:spacing w:line="480" w:lineRule="auto"/>
        <w:ind w:firstLine="720"/>
        <w:rPr>
          <w:lang w:val="en-CA"/>
        </w:rPr>
      </w:pPr>
      <w:r>
        <w:rPr>
          <w:lang w:val="en-CA"/>
        </w:rPr>
        <w:t xml:space="preserve">Despite his status as author of the text, scholars doubt John </w:t>
      </w:r>
      <w:proofErr w:type="spellStart"/>
      <w:r>
        <w:rPr>
          <w:lang w:val="en-CA"/>
        </w:rPr>
        <w:t>Audelay’s</w:t>
      </w:r>
      <w:proofErr w:type="spellEnd"/>
      <w:r w:rsidR="001E3C0E">
        <w:rPr>
          <w:lang w:val="en-CA"/>
        </w:rPr>
        <w:t xml:space="preserve"> authorship of the poem</w:t>
      </w:r>
      <w:r>
        <w:rPr>
          <w:lang w:val="en-CA"/>
        </w:rPr>
        <w:t>, as</w:t>
      </w:r>
      <w:r w:rsidR="00970606">
        <w:rPr>
          <w:lang w:val="en-CA"/>
        </w:rPr>
        <w:t xml:space="preserve"> </w:t>
      </w:r>
      <w:r>
        <w:rPr>
          <w:lang w:val="en-CA"/>
        </w:rPr>
        <w:t>t</w:t>
      </w:r>
      <w:r w:rsidR="00970606">
        <w:rPr>
          <w:lang w:val="en-CA"/>
        </w:rPr>
        <w:t xml:space="preserve">here are many linguistic </w:t>
      </w:r>
      <w:r w:rsidR="00E12875">
        <w:rPr>
          <w:lang w:val="en-CA"/>
        </w:rPr>
        <w:t>inconsistencies</w:t>
      </w:r>
      <w:r w:rsidR="00970606">
        <w:rPr>
          <w:lang w:val="en-CA"/>
        </w:rPr>
        <w:t xml:space="preserve"> between </w:t>
      </w:r>
      <w:r w:rsidR="00970606" w:rsidRPr="000057CA">
        <w:rPr>
          <w:i/>
          <w:lang w:val="en-CA"/>
        </w:rPr>
        <w:t>The Three Dead</w:t>
      </w:r>
      <w:r w:rsidR="00970606">
        <w:rPr>
          <w:lang w:val="en-CA"/>
        </w:rPr>
        <w:t xml:space="preserve"> an</w:t>
      </w:r>
      <w:r>
        <w:rPr>
          <w:lang w:val="en-CA"/>
        </w:rPr>
        <w:t xml:space="preserve">d </w:t>
      </w:r>
      <w:proofErr w:type="spellStart"/>
      <w:r>
        <w:rPr>
          <w:lang w:val="en-CA"/>
        </w:rPr>
        <w:t>Audelay’s</w:t>
      </w:r>
      <w:proofErr w:type="spellEnd"/>
      <w:r>
        <w:rPr>
          <w:lang w:val="en-CA"/>
        </w:rPr>
        <w:t xml:space="preserve"> other works. Within the poem</w:t>
      </w:r>
      <w:r w:rsidR="00ED7810">
        <w:rPr>
          <w:lang w:val="en-CA"/>
        </w:rPr>
        <w:t>,</w:t>
      </w:r>
      <w:r w:rsidR="00970606">
        <w:rPr>
          <w:lang w:val="en-CA"/>
        </w:rPr>
        <w:t xml:space="preserve"> there are many uses of</w:t>
      </w:r>
      <w:r w:rsidR="00841B97">
        <w:rPr>
          <w:lang w:val="en-CA"/>
        </w:rPr>
        <w:t xml:space="preserve"> the vernacular that are</w:t>
      </w:r>
      <w:r w:rsidR="00970606">
        <w:rPr>
          <w:lang w:val="en-CA"/>
        </w:rPr>
        <w:t xml:space="preserve"> attributed to more northern regions of England than</w:t>
      </w:r>
      <w:r w:rsidR="00841B97">
        <w:rPr>
          <w:lang w:val="en-CA"/>
        </w:rPr>
        <w:t xml:space="preserve"> to</w:t>
      </w:r>
      <w:r w:rsidR="00970606">
        <w:rPr>
          <w:lang w:val="en-CA"/>
        </w:rPr>
        <w:t xml:space="preserve"> the</w:t>
      </w:r>
      <w:r w:rsidR="00432CFE">
        <w:rPr>
          <w:lang w:val="en-CA"/>
        </w:rPr>
        <w:t xml:space="preserve"> county of Shropshire</w:t>
      </w:r>
      <w:r w:rsidR="00970606">
        <w:rPr>
          <w:lang w:val="en-CA"/>
        </w:rPr>
        <w:t xml:space="preserve"> wherein </w:t>
      </w:r>
      <w:proofErr w:type="spellStart"/>
      <w:r w:rsidR="00970606">
        <w:rPr>
          <w:lang w:val="en-CA"/>
        </w:rPr>
        <w:t>Audelay</w:t>
      </w:r>
      <w:proofErr w:type="spellEnd"/>
      <w:r w:rsidR="00970606">
        <w:rPr>
          <w:lang w:val="en-CA"/>
        </w:rPr>
        <w:t xml:space="preserve"> resided.</w:t>
      </w:r>
      <w:r w:rsidR="00665CC5">
        <w:rPr>
          <w:rStyle w:val="FootnoteReference"/>
          <w:lang w:val="en-CA"/>
        </w:rPr>
        <w:footnoteReference w:id="2"/>
      </w:r>
      <w:r w:rsidR="00432CFE">
        <w:rPr>
          <w:lang w:val="en-CA"/>
        </w:rPr>
        <w:t xml:space="preserve"> </w:t>
      </w:r>
      <w:r w:rsidR="00ED7810">
        <w:rPr>
          <w:lang w:val="en-CA"/>
        </w:rPr>
        <w:t>T</w:t>
      </w:r>
      <w:r w:rsidR="00432CFE">
        <w:rPr>
          <w:lang w:val="en-CA"/>
        </w:rPr>
        <w:t>he language</w:t>
      </w:r>
      <w:r>
        <w:rPr>
          <w:lang w:val="en-CA"/>
        </w:rPr>
        <w:t xml:space="preserve"> used</w:t>
      </w:r>
      <w:r w:rsidR="00970606">
        <w:rPr>
          <w:lang w:val="en-CA"/>
        </w:rPr>
        <w:t xml:space="preserve"> </w:t>
      </w:r>
      <w:r w:rsidR="001E3C0E">
        <w:rPr>
          <w:lang w:val="en-CA"/>
        </w:rPr>
        <w:t xml:space="preserve">also </w:t>
      </w:r>
      <w:r w:rsidR="00841B97">
        <w:rPr>
          <w:lang w:val="en-CA"/>
        </w:rPr>
        <w:t>differs</w:t>
      </w:r>
      <w:r w:rsidR="00432CFE">
        <w:rPr>
          <w:lang w:val="en-CA"/>
        </w:rPr>
        <w:t xml:space="preserve"> from </w:t>
      </w:r>
      <w:proofErr w:type="spellStart"/>
      <w:r w:rsidR="00432CFE">
        <w:rPr>
          <w:lang w:val="en-CA"/>
        </w:rPr>
        <w:t>Audelay’s</w:t>
      </w:r>
      <w:proofErr w:type="spellEnd"/>
      <w:r w:rsidR="00432CFE">
        <w:rPr>
          <w:lang w:val="en-CA"/>
        </w:rPr>
        <w:t xml:space="preserve"> other </w:t>
      </w:r>
      <w:r w:rsidR="001E3C0E">
        <w:rPr>
          <w:lang w:val="en-CA"/>
        </w:rPr>
        <w:t>poems.</w:t>
      </w:r>
      <w:r w:rsidR="00971B5A">
        <w:rPr>
          <w:rStyle w:val="FootnoteReference"/>
          <w:lang w:val="en-CA"/>
        </w:rPr>
        <w:footnoteReference w:id="3"/>
      </w:r>
      <w:r w:rsidR="00250347">
        <w:rPr>
          <w:lang w:val="en-CA"/>
        </w:rPr>
        <w:t xml:space="preserve"> Pu</w:t>
      </w:r>
      <w:r w:rsidR="00841B97">
        <w:rPr>
          <w:lang w:val="en-CA"/>
        </w:rPr>
        <w:t>tter suggests that the</w:t>
      </w:r>
      <w:r w:rsidR="00250347">
        <w:rPr>
          <w:lang w:val="en-CA"/>
        </w:rPr>
        <w:t xml:space="preserve"> </w:t>
      </w:r>
      <w:r w:rsidR="00250347" w:rsidRPr="000057CA">
        <w:rPr>
          <w:i/>
          <w:lang w:val="en-CA"/>
        </w:rPr>
        <w:t xml:space="preserve">Three </w:t>
      </w:r>
      <w:r w:rsidR="00250347" w:rsidRPr="000057CA">
        <w:rPr>
          <w:i/>
          <w:lang w:val="en-CA"/>
        </w:rPr>
        <w:lastRenderedPageBreak/>
        <w:t>Dead Kings</w:t>
      </w:r>
      <w:r w:rsidR="00250347">
        <w:rPr>
          <w:lang w:val="en-CA"/>
        </w:rPr>
        <w:t xml:space="preserve"> was borrowed from perhaps Lancashire or even as far north as York.</w:t>
      </w:r>
      <w:r w:rsidR="00971B5A">
        <w:rPr>
          <w:rStyle w:val="FootnoteReference"/>
          <w:lang w:val="en-CA"/>
        </w:rPr>
        <w:footnoteReference w:id="4"/>
      </w:r>
      <w:r w:rsidR="00971B5A">
        <w:rPr>
          <w:lang w:val="en-CA"/>
        </w:rPr>
        <w:t xml:space="preserve"> </w:t>
      </w:r>
      <w:r w:rsidR="00970606">
        <w:rPr>
          <w:lang w:val="en-CA"/>
        </w:rPr>
        <w:t>Another key factor is that representations of</w:t>
      </w:r>
      <w:r w:rsidR="00841B97">
        <w:rPr>
          <w:lang w:val="en-CA"/>
        </w:rPr>
        <w:t xml:space="preserve"> the poem and illustrations of it </w:t>
      </w:r>
      <w:r w:rsidR="00970606">
        <w:rPr>
          <w:lang w:val="en-CA"/>
        </w:rPr>
        <w:t xml:space="preserve">can be found as early as the </w:t>
      </w:r>
      <w:r w:rsidR="00A743D6">
        <w:rPr>
          <w:lang w:val="en-CA"/>
        </w:rPr>
        <w:t>thirteenth</w:t>
      </w:r>
      <w:r w:rsidR="00970606">
        <w:rPr>
          <w:lang w:val="en-CA"/>
        </w:rPr>
        <w:t xml:space="preserve"> century</w:t>
      </w:r>
      <w:r w:rsidR="00A743D6">
        <w:rPr>
          <w:lang w:val="en-CA"/>
        </w:rPr>
        <w:t>, and as far away as Italy</w:t>
      </w:r>
      <w:r w:rsidR="00970606">
        <w:rPr>
          <w:lang w:val="en-CA"/>
        </w:rPr>
        <w:t xml:space="preserve">. It is thus more reasonable that </w:t>
      </w:r>
      <w:proofErr w:type="spellStart"/>
      <w:r w:rsidR="00970606">
        <w:rPr>
          <w:lang w:val="en-CA"/>
        </w:rPr>
        <w:t>Audelay</w:t>
      </w:r>
      <w:proofErr w:type="spellEnd"/>
      <w:r w:rsidR="00970606">
        <w:rPr>
          <w:lang w:val="en-CA"/>
        </w:rPr>
        <w:t xml:space="preserve"> merely transcribed a northern middle- English version of</w:t>
      </w:r>
      <w:r w:rsidR="001E3C0E">
        <w:rPr>
          <w:lang w:val="en-CA"/>
        </w:rPr>
        <w:t xml:space="preserve"> the</w:t>
      </w:r>
      <w:r w:rsidR="00970606">
        <w:rPr>
          <w:lang w:val="en-CA"/>
        </w:rPr>
        <w:t xml:space="preserve"> </w:t>
      </w:r>
      <w:r w:rsidR="001E3C0E">
        <w:rPr>
          <w:lang w:val="en-CA"/>
        </w:rPr>
        <w:t>poem</w:t>
      </w:r>
      <w:r w:rsidR="00ED7810">
        <w:rPr>
          <w:lang w:val="en-CA"/>
        </w:rPr>
        <w:t>.</w:t>
      </w:r>
      <w:r w:rsidR="00970606">
        <w:rPr>
          <w:lang w:val="en-CA"/>
        </w:rPr>
        <w:t xml:space="preserve"> </w:t>
      </w:r>
    </w:p>
    <w:p w14:paraId="31A44501" w14:textId="101A2CF2" w:rsidR="008D27E2" w:rsidRDefault="00D12E33" w:rsidP="00ED7810">
      <w:pPr>
        <w:spacing w:line="480" w:lineRule="auto"/>
        <w:ind w:firstLine="720"/>
        <w:rPr>
          <w:lang w:val="en-CA"/>
        </w:rPr>
      </w:pPr>
      <w:r>
        <w:rPr>
          <w:lang w:val="en-CA"/>
        </w:rPr>
        <w:t>The tale</w:t>
      </w:r>
      <w:r w:rsidR="00323634">
        <w:rPr>
          <w:lang w:val="en-CA"/>
        </w:rPr>
        <w:t xml:space="preserve"> of </w:t>
      </w:r>
      <w:r w:rsidR="00323634" w:rsidRPr="000057CA">
        <w:rPr>
          <w:i/>
          <w:lang w:val="en-CA"/>
        </w:rPr>
        <w:t>The Three Living and The Three Dead</w:t>
      </w:r>
      <w:r w:rsidR="00126813">
        <w:rPr>
          <w:lang w:val="en-CA"/>
        </w:rPr>
        <w:t xml:space="preserve"> tells of a hunting</w:t>
      </w:r>
      <w:r w:rsidR="00D11E38">
        <w:rPr>
          <w:lang w:val="en-CA"/>
        </w:rPr>
        <w:t xml:space="preserve"> party of three young noblemen, who are addressed as</w:t>
      </w:r>
      <w:r w:rsidR="006F41B0">
        <w:rPr>
          <w:lang w:val="en-CA"/>
        </w:rPr>
        <w:t xml:space="preserve"> kings</w:t>
      </w:r>
      <w:r w:rsidR="00D206EF">
        <w:rPr>
          <w:lang w:val="en-CA"/>
        </w:rPr>
        <w:t>. Following the</w:t>
      </w:r>
      <w:r w:rsidR="00D11E38">
        <w:rPr>
          <w:lang w:val="en-CA"/>
        </w:rPr>
        <w:t xml:space="preserve"> slaying of a boar </w:t>
      </w:r>
      <w:r w:rsidR="00ED7810">
        <w:rPr>
          <w:lang w:val="en-CA"/>
        </w:rPr>
        <w:t xml:space="preserve">they </w:t>
      </w:r>
      <w:r w:rsidR="00D11E38">
        <w:rPr>
          <w:lang w:val="en-CA"/>
        </w:rPr>
        <w:t xml:space="preserve">are beset by a fog </w:t>
      </w:r>
      <w:r w:rsidR="00ED7810">
        <w:rPr>
          <w:lang w:val="en-CA"/>
        </w:rPr>
        <w:t>and</w:t>
      </w:r>
      <w:r w:rsidR="00126813">
        <w:rPr>
          <w:lang w:val="en-CA"/>
        </w:rPr>
        <w:t xml:space="preserve"> confronted by a group of three corpses, each in </w:t>
      </w:r>
      <w:r w:rsidR="00995B98">
        <w:rPr>
          <w:lang w:val="en-CA"/>
        </w:rPr>
        <w:t>a different state of decay. It i</w:t>
      </w:r>
      <w:r w:rsidR="00126813">
        <w:rPr>
          <w:lang w:val="en-CA"/>
        </w:rPr>
        <w:t xml:space="preserve">s </w:t>
      </w:r>
      <w:r w:rsidR="00ED7810">
        <w:rPr>
          <w:lang w:val="en-CA"/>
        </w:rPr>
        <w:t>notable</w:t>
      </w:r>
      <w:r w:rsidR="00126813">
        <w:rPr>
          <w:lang w:val="en-CA"/>
        </w:rPr>
        <w:t xml:space="preserve"> that “</w:t>
      </w:r>
      <w:r w:rsidR="006D4BCC">
        <w:rPr>
          <w:lang w:val="en-CA"/>
        </w:rPr>
        <w:t>These dead men are not insubstantial illusions, but corporeal revenants.”</w:t>
      </w:r>
      <w:r w:rsidR="00971B5A">
        <w:rPr>
          <w:rStyle w:val="FootnoteReference"/>
          <w:lang w:val="en-CA"/>
        </w:rPr>
        <w:footnoteReference w:id="5"/>
      </w:r>
      <w:r w:rsidR="006D4BCC">
        <w:rPr>
          <w:lang w:val="en-CA"/>
        </w:rPr>
        <w:t xml:space="preserve"> They are not ghosts or skeletons but the animate corpses of the </w:t>
      </w:r>
      <w:r w:rsidR="001E3C0E">
        <w:rPr>
          <w:lang w:val="en-CA"/>
        </w:rPr>
        <w:t>dead</w:t>
      </w:r>
      <w:r w:rsidR="00D206EF">
        <w:rPr>
          <w:lang w:val="en-CA"/>
        </w:rPr>
        <w:t xml:space="preserve">. </w:t>
      </w:r>
      <w:r w:rsidR="00ED7810">
        <w:rPr>
          <w:lang w:val="en-CA"/>
        </w:rPr>
        <w:t>T</w:t>
      </w:r>
      <w:r w:rsidR="00D11E38">
        <w:rPr>
          <w:lang w:val="en-CA"/>
        </w:rPr>
        <w:t>he first</w:t>
      </w:r>
      <w:r w:rsidR="001E3C0E">
        <w:rPr>
          <w:lang w:val="en-CA"/>
        </w:rPr>
        <w:t xml:space="preserve"> corpse</w:t>
      </w:r>
      <w:r w:rsidR="000B7D15">
        <w:rPr>
          <w:lang w:val="en-CA"/>
        </w:rPr>
        <w:t xml:space="preserve"> </w:t>
      </w:r>
      <w:r w:rsidR="00ED7810">
        <w:rPr>
          <w:lang w:val="en-CA"/>
        </w:rPr>
        <w:t xml:space="preserve">clarifies </w:t>
      </w:r>
      <w:r w:rsidR="000B7D15">
        <w:rPr>
          <w:lang w:val="en-CA"/>
        </w:rPr>
        <w:t>that they are not fiends or demons</w:t>
      </w:r>
      <w:r w:rsidR="00D11E38">
        <w:rPr>
          <w:lang w:val="en-CA"/>
        </w:rPr>
        <w:t xml:space="preserve"> but rather the</w:t>
      </w:r>
      <w:r w:rsidR="000B7D15">
        <w:rPr>
          <w:lang w:val="en-CA"/>
        </w:rPr>
        <w:t xml:space="preserve"> forgotten and unredeemed</w:t>
      </w:r>
      <w:r w:rsidR="00D11E38">
        <w:rPr>
          <w:lang w:val="en-CA"/>
        </w:rPr>
        <w:t xml:space="preserve"> forefathers of the kings</w:t>
      </w:r>
      <w:r w:rsidR="00ED7810">
        <w:rPr>
          <w:lang w:val="en-CA"/>
        </w:rPr>
        <w:t>.</w:t>
      </w:r>
      <w:r w:rsidR="00D11E38">
        <w:rPr>
          <w:lang w:val="en-CA"/>
        </w:rPr>
        <w:t xml:space="preserve"> </w:t>
      </w:r>
      <w:r w:rsidR="00ED7810">
        <w:rPr>
          <w:lang w:val="en-CA"/>
        </w:rPr>
        <w:t>T</w:t>
      </w:r>
      <w:r w:rsidR="00042D62">
        <w:rPr>
          <w:lang w:val="en-CA"/>
        </w:rPr>
        <w:t xml:space="preserve">he second </w:t>
      </w:r>
      <w:r w:rsidR="00ED7810">
        <w:rPr>
          <w:lang w:val="en-CA"/>
        </w:rPr>
        <w:t>comments on</w:t>
      </w:r>
      <w:r w:rsidR="00042D62">
        <w:rPr>
          <w:lang w:val="en-CA"/>
        </w:rPr>
        <w:t xml:space="preserve"> the transitory nature of wealth and </w:t>
      </w:r>
      <w:r w:rsidR="00ED7810">
        <w:rPr>
          <w:lang w:val="en-CA"/>
        </w:rPr>
        <w:t xml:space="preserve">advises that </w:t>
      </w:r>
      <w:r w:rsidR="00042D62">
        <w:rPr>
          <w:lang w:val="en-CA"/>
        </w:rPr>
        <w:t>one should “Believe Christ! Learn love! Ponder Your own Clay, and give your flesh no care!”</w:t>
      </w:r>
      <w:r w:rsidR="00995B98">
        <w:rPr>
          <w:rStyle w:val="FootnoteReference"/>
          <w:lang w:val="en-CA"/>
        </w:rPr>
        <w:footnoteReference w:id="6"/>
      </w:r>
      <w:r w:rsidR="00042D62">
        <w:rPr>
          <w:lang w:val="en-CA"/>
        </w:rPr>
        <w:t xml:space="preserve"> </w:t>
      </w:r>
      <w:r w:rsidR="00323634">
        <w:rPr>
          <w:lang w:val="en-CA"/>
        </w:rPr>
        <w:t xml:space="preserve"> </w:t>
      </w:r>
      <w:r w:rsidR="00ED7810">
        <w:rPr>
          <w:lang w:val="en-CA"/>
        </w:rPr>
        <w:t>T</w:t>
      </w:r>
      <w:r w:rsidR="006D4BCC">
        <w:rPr>
          <w:lang w:val="en-CA"/>
        </w:rPr>
        <w:t>he</w:t>
      </w:r>
      <w:r w:rsidR="00323634">
        <w:rPr>
          <w:lang w:val="en-CA"/>
        </w:rPr>
        <w:t xml:space="preserve"> last and most desiccated corpse</w:t>
      </w:r>
      <w:r w:rsidR="006D4BCC">
        <w:rPr>
          <w:lang w:val="en-CA"/>
        </w:rPr>
        <w:t xml:space="preserve"> </w:t>
      </w:r>
      <w:r w:rsidR="000B7D15">
        <w:rPr>
          <w:lang w:val="en-CA"/>
        </w:rPr>
        <w:t>convey</w:t>
      </w:r>
      <w:r w:rsidR="00ED7810">
        <w:rPr>
          <w:lang w:val="en-CA"/>
        </w:rPr>
        <w:t>s</w:t>
      </w:r>
      <w:r w:rsidR="000B7D15">
        <w:rPr>
          <w:lang w:val="en-CA"/>
        </w:rPr>
        <w:t xml:space="preserve"> the final</w:t>
      </w:r>
      <w:r w:rsidR="002F58E4">
        <w:rPr>
          <w:lang w:val="en-CA"/>
        </w:rPr>
        <w:t xml:space="preserve"> message</w:t>
      </w:r>
      <w:r w:rsidR="008D27E2">
        <w:rPr>
          <w:lang w:val="en-CA"/>
        </w:rPr>
        <w:t>:</w:t>
      </w:r>
    </w:p>
    <w:p w14:paraId="161DE792" w14:textId="0DDEB041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>
        <w:rPr>
          <w:rFonts w:asciiTheme="minorHAnsi" w:hAnsiTheme="minorHAnsi"/>
        </w:rPr>
        <w:t>“</w:t>
      </w:r>
      <w:r w:rsidRPr="008D27E2">
        <w:rPr>
          <w:rFonts w:asciiTheme="minorHAnsi" w:hAnsiTheme="minorHAnsi"/>
        </w:rPr>
        <w:t xml:space="preserve">I am your mirror. My merrymaking’s a mean </w:t>
      </w:r>
    </w:p>
    <w:p w14:paraId="14497C12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Bit of murk now. I’ve done more earthly sinning </w:t>
      </w:r>
    </w:p>
    <w:p w14:paraId="62298292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Than any moral excellences, mistreated the men </w:t>
      </w:r>
    </w:p>
    <w:p w14:paraId="6D83188B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Of my lands: vilified villagers, scorned those serving </w:t>
      </w:r>
    </w:p>
    <w:p w14:paraId="59516FDA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My meals, thought myself regal, who was always moaning. </w:t>
      </w:r>
    </w:p>
    <w:p w14:paraId="243CD2A4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lastRenderedPageBreak/>
        <w:t xml:space="preserve">There’s not a knave now will do my bidding </w:t>
      </w:r>
    </w:p>
    <w:p w14:paraId="4C69AC41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Who’s not an idiot or fool </w:t>
      </w:r>
    </w:p>
    <w:p w14:paraId="0D0208D1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Who pays no heed to the </w:t>
      </w:r>
      <w:proofErr w:type="gramStart"/>
      <w:r w:rsidRPr="008D27E2">
        <w:rPr>
          <w:rFonts w:asciiTheme="minorHAnsi" w:hAnsiTheme="minorHAnsi"/>
        </w:rPr>
        <w:t>tomb.</w:t>
      </w:r>
      <w:proofErr w:type="gramEnd"/>
      <w:r w:rsidRPr="008D27E2">
        <w:rPr>
          <w:rFonts w:asciiTheme="minorHAnsi" w:hAnsiTheme="minorHAnsi"/>
        </w:rPr>
        <w:t xml:space="preserve"> </w:t>
      </w:r>
    </w:p>
    <w:p w14:paraId="2218ED2E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No one succumbs to my rule. </w:t>
      </w:r>
    </w:p>
    <w:p w14:paraId="314FBA7B" w14:textId="77777777" w:rsidR="008D27E2" w:rsidRPr="008D27E2" w:rsidRDefault="008D27E2" w:rsidP="000057CA">
      <w:pPr>
        <w:pStyle w:val="Default"/>
        <w:spacing w:line="480" w:lineRule="auto"/>
        <w:ind w:left="993" w:right="2130"/>
        <w:rPr>
          <w:rFonts w:asciiTheme="minorHAnsi" w:hAnsiTheme="minorHAnsi"/>
        </w:rPr>
      </w:pPr>
      <w:r w:rsidRPr="008D27E2">
        <w:rPr>
          <w:rFonts w:asciiTheme="minorHAnsi" w:hAnsiTheme="minorHAnsi"/>
        </w:rPr>
        <w:t xml:space="preserve">Time, remorseless and cruel </w:t>
      </w:r>
    </w:p>
    <w:p w14:paraId="06C44D2D" w14:textId="3C4A16CB" w:rsidR="000605FE" w:rsidRDefault="008D27E2" w:rsidP="000057CA">
      <w:pPr>
        <w:spacing w:line="480" w:lineRule="auto"/>
        <w:ind w:left="993" w:right="2130"/>
        <w:rPr>
          <w:lang w:val="en-CA"/>
        </w:rPr>
      </w:pPr>
      <w:r w:rsidRPr="008D27E2">
        <w:t>Leads me on to the Doom</w:t>
      </w:r>
      <w:r>
        <w:t>.</w:t>
      </w:r>
      <w:r>
        <w:rPr>
          <w:lang w:val="en-CA"/>
        </w:rPr>
        <w:t>”</w:t>
      </w:r>
      <w:r w:rsidR="00995B98">
        <w:rPr>
          <w:rStyle w:val="FootnoteReference"/>
          <w:lang w:val="en-CA"/>
        </w:rPr>
        <w:footnoteReference w:id="7"/>
      </w:r>
      <w:r w:rsidR="006D4BCC">
        <w:rPr>
          <w:lang w:val="en-CA"/>
        </w:rPr>
        <w:t xml:space="preserve"> </w:t>
      </w:r>
      <w:r w:rsidR="00310350">
        <w:rPr>
          <w:lang w:val="en-CA"/>
        </w:rPr>
        <w:t xml:space="preserve"> </w:t>
      </w:r>
    </w:p>
    <w:p w14:paraId="133AF21F" w14:textId="55204920" w:rsidR="000B7D15" w:rsidRDefault="00ED7810" w:rsidP="000057CA">
      <w:pPr>
        <w:spacing w:line="480" w:lineRule="auto"/>
        <w:rPr>
          <w:lang w:val="en-CA"/>
        </w:rPr>
      </w:pPr>
      <w:r>
        <w:rPr>
          <w:lang w:val="en-CA"/>
        </w:rPr>
        <w:t>His words</w:t>
      </w:r>
      <w:r w:rsidR="008D27E2">
        <w:rPr>
          <w:lang w:val="en-CA"/>
        </w:rPr>
        <w:t xml:space="preserve"> summarize the moral of the text</w:t>
      </w:r>
      <w:r w:rsidR="004A6B5F">
        <w:rPr>
          <w:lang w:val="en-CA"/>
        </w:rPr>
        <w:t>,</w:t>
      </w:r>
      <w:r w:rsidR="008D27E2">
        <w:rPr>
          <w:lang w:val="en-CA"/>
        </w:rPr>
        <w:t xml:space="preserve"> and the words of the dead inspire the living to erect a chantry and change their ways. </w:t>
      </w:r>
      <w:r w:rsidR="004A6B5F">
        <w:rPr>
          <w:lang w:val="en-CA"/>
        </w:rPr>
        <w:t>T</w:t>
      </w:r>
      <w:r w:rsidR="00B008B7">
        <w:rPr>
          <w:lang w:val="en-CA"/>
        </w:rPr>
        <w:t>he dead “off</w:t>
      </w:r>
      <w:r w:rsidR="00323634">
        <w:rPr>
          <w:lang w:val="en-CA"/>
        </w:rPr>
        <w:t>er</w:t>
      </w:r>
      <w:r w:rsidR="00B008B7">
        <w:rPr>
          <w:lang w:val="en-CA"/>
        </w:rPr>
        <w:t xml:space="preserve"> the living a chan</w:t>
      </w:r>
      <w:r w:rsidR="004A6B5F">
        <w:rPr>
          <w:lang w:val="en-CA"/>
        </w:rPr>
        <w:t>c</w:t>
      </w:r>
      <w:r w:rsidR="00B008B7">
        <w:rPr>
          <w:lang w:val="en-CA"/>
        </w:rPr>
        <w:t>e to improve their lives before it is too late</w:t>
      </w:r>
      <w:r w:rsidR="002562B1">
        <w:rPr>
          <w:lang w:val="en-CA"/>
        </w:rPr>
        <w:t>.”</w:t>
      </w:r>
      <w:r w:rsidR="000B6BE1">
        <w:rPr>
          <w:rStyle w:val="FootnoteReference"/>
          <w:lang w:val="en-CA"/>
        </w:rPr>
        <w:footnoteReference w:id="8"/>
      </w:r>
      <w:r w:rsidR="000B7D15">
        <w:rPr>
          <w:lang w:val="en-CA"/>
        </w:rPr>
        <w:t xml:space="preserve"> </w:t>
      </w:r>
      <w:r w:rsidR="00AC25FE">
        <w:rPr>
          <w:lang w:val="en-CA"/>
        </w:rPr>
        <w:t xml:space="preserve">The legend is a critique of the power of kings and a </w:t>
      </w:r>
      <w:r w:rsidR="00FC0505">
        <w:rPr>
          <w:lang w:val="en-CA"/>
        </w:rPr>
        <w:t>message against the extravagances</w:t>
      </w:r>
      <w:r w:rsidR="004A6B5F">
        <w:rPr>
          <w:lang w:val="en-CA"/>
        </w:rPr>
        <w:t xml:space="preserve">, </w:t>
      </w:r>
      <w:r w:rsidR="00FC0505">
        <w:rPr>
          <w:lang w:val="en-CA"/>
        </w:rPr>
        <w:t xml:space="preserve">cruelties </w:t>
      </w:r>
      <w:r w:rsidR="004A6B5F">
        <w:rPr>
          <w:lang w:val="en-CA"/>
        </w:rPr>
        <w:t xml:space="preserve">and immorality </w:t>
      </w:r>
      <w:r w:rsidR="00FC0505">
        <w:rPr>
          <w:lang w:val="en-CA"/>
        </w:rPr>
        <w:t xml:space="preserve">of the nobility. </w:t>
      </w:r>
    </w:p>
    <w:p w14:paraId="582007E9" w14:textId="32BF864D" w:rsidR="00FC0505" w:rsidRDefault="00271661" w:rsidP="000057CA">
      <w:pPr>
        <w:spacing w:line="480" w:lineRule="auto"/>
        <w:ind w:firstLine="720"/>
        <w:rPr>
          <w:lang w:val="en-CA"/>
        </w:rPr>
      </w:pPr>
      <w:r>
        <w:rPr>
          <w:lang w:val="en-CA"/>
        </w:rPr>
        <w:t xml:space="preserve"> In an almost paradoxical fashion</w:t>
      </w:r>
      <w:r w:rsidR="00FC0505">
        <w:rPr>
          <w:lang w:val="en-CA"/>
        </w:rPr>
        <w:t xml:space="preserve"> however</w:t>
      </w:r>
      <w:r>
        <w:rPr>
          <w:lang w:val="en-CA"/>
        </w:rPr>
        <w:t>, this tale, a critique of the</w:t>
      </w:r>
      <w:r w:rsidR="008757C5">
        <w:rPr>
          <w:lang w:val="en-CA"/>
        </w:rPr>
        <w:t xml:space="preserve"> power of the</w:t>
      </w:r>
      <w:r>
        <w:rPr>
          <w:lang w:val="en-CA"/>
        </w:rPr>
        <w:t xml:space="preserve"> </w:t>
      </w:r>
      <w:r w:rsidR="004A6B5F">
        <w:rPr>
          <w:lang w:val="en-CA"/>
        </w:rPr>
        <w:t xml:space="preserve">nobility, </w:t>
      </w:r>
      <w:r>
        <w:rPr>
          <w:lang w:val="en-CA"/>
        </w:rPr>
        <w:t>became extr</w:t>
      </w:r>
      <w:r w:rsidR="008757C5">
        <w:rPr>
          <w:lang w:val="en-CA"/>
        </w:rPr>
        <w:t>emely popular among them</w:t>
      </w:r>
      <w:r w:rsidR="00FC0505">
        <w:rPr>
          <w:lang w:val="en-CA"/>
        </w:rPr>
        <w:t>, who sponsored many representations of the legend. T</w:t>
      </w:r>
      <w:r>
        <w:rPr>
          <w:lang w:val="en-CA"/>
        </w:rPr>
        <w:t>his paradox can be explained</w:t>
      </w:r>
      <w:r w:rsidR="00FC0505">
        <w:rPr>
          <w:lang w:val="en-CA"/>
        </w:rPr>
        <w:t xml:space="preserve"> </w:t>
      </w:r>
      <w:r w:rsidR="004A6B5F">
        <w:rPr>
          <w:lang w:val="en-CA"/>
        </w:rPr>
        <w:t xml:space="preserve">by the fact that </w:t>
      </w:r>
      <w:r>
        <w:rPr>
          <w:lang w:val="en-CA"/>
        </w:rPr>
        <w:t xml:space="preserve">the three dead are the ancestors of the three living and thus </w:t>
      </w:r>
      <w:r w:rsidR="00343A9A">
        <w:rPr>
          <w:lang w:val="en-CA"/>
        </w:rPr>
        <w:t>the “dead remind the living</w:t>
      </w:r>
      <w:r w:rsidR="00F5471B">
        <w:rPr>
          <w:lang w:val="en-CA"/>
        </w:rPr>
        <w:t>… that they have failed properly to pray for the souls of their dead ancestors</w:t>
      </w:r>
      <w:r w:rsidR="00A629C2">
        <w:rPr>
          <w:lang w:val="en-CA"/>
        </w:rPr>
        <w:t>…”</w:t>
      </w:r>
      <w:r w:rsidR="006764C4">
        <w:rPr>
          <w:rStyle w:val="FootnoteReference"/>
          <w:lang w:val="en-CA"/>
        </w:rPr>
        <w:footnoteReference w:id="9"/>
      </w:r>
      <w:r w:rsidR="001E3C0E">
        <w:rPr>
          <w:lang w:val="en-CA"/>
        </w:rPr>
        <w:t xml:space="preserve"> </w:t>
      </w:r>
      <w:r w:rsidR="004A6B5F">
        <w:rPr>
          <w:lang w:val="en-CA"/>
        </w:rPr>
        <w:t>T</w:t>
      </w:r>
      <w:r w:rsidR="00BE4391">
        <w:rPr>
          <w:lang w:val="en-CA"/>
        </w:rPr>
        <w:t>he way to correctly</w:t>
      </w:r>
      <w:r w:rsidR="00A629C2">
        <w:rPr>
          <w:lang w:val="en-CA"/>
        </w:rPr>
        <w:t xml:space="preserve"> pray for the dead is through intercessory prayer</w:t>
      </w:r>
      <w:r w:rsidR="00FC0505">
        <w:rPr>
          <w:lang w:val="en-CA"/>
        </w:rPr>
        <w:t>, which is expressed in the legend by the building of the chantry</w:t>
      </w:r>
      <w:r w:rsidR="00A629C2">
        <w:rPr>
          <w:lang w:val="en-CA"/>
        </w:rPr>
        <w:t xml:space="preserve">. </w:t>
      </w:r>
      <w:r w:rsidR="00F5471B">
        <w:rPr>
          <w:lang w:val="en-CA"/>
        </w:rPr>
        <w:t xml:space="preserve"> </w:t>
      </w:r>
      <w:r w:rsidR="004A6B5F">
        <w:rPr>
          <w:lang w:val="en-CA"/>
        </w:rPr>
        <w:t>I</w:t>
      </w:r>
      <w:r w:rsidR="000E74BA">
        <w:rPr>
          <w:lang w:val="en-CA"/>
        </w:rPr>
        <w:t xml:space="preserve">t was this moral of reverence for </w:t>
      </w:r>
      <w:r w:rsidR="00E306B2">
        <w:rPr>
          <w:lang w:val="en-CA"/>
        </w:rPr>
        <w:t>their</w:t>
      </w:r>
      <w:r w:rsidR="000E74BA">
        <w:rPr>
          <w:lang w:val="en-CA"/>
        </w:rPr>
        <w:t xml:space="preserve"> ancestors that</w:t>
      </w:r>
      <w:r w:rsidR="004A6B5F">
        <w:rPr>
          <w:lang w:val="en-CA"/>
        </w:rPr>
        <w:t xml:space="preserve"> motivated</w:t>
      </w:r>
      <w:r w:rsidR="000E74BA">
        <w:rPr>
          <w:lang w:val="en-CA"/>
        </w:rPr>
        <w:t xml:space="preserve"> </w:t>
      </w:r>
      <w:r w:rsidR="004A6B5F">
        <w:rPr>
          <w:lang w:val="en-CA"/>
        </w:rPr>
        <w:t>t</w:t>
      </w:r>
      <w:r w:rsidR="000E74BA">
        <w:rPr>
          <w:lang w:val="en-CA"/>
        </w:rPr>
        <w:t xml:space="preserve">he </w:t>
      </w:r>
      <w:r w:rsidR="00FC0505">
        <w:rPr>
          <w:lang w:val="en-CA"/>
        </w:rPr>
        <w:t>nobility’s</w:t>
      </w:r>
      <w:r w:rsidR="006764C4">
        <w:rPr>
          <w:lang w:val="en-CA"/>
        </w:rPr>
        <w:t xml:space="preserve"> patronage of the story.</w:t>
      </w:r>
      <w:r w:rsidR="006764C4">
        <w:rPr>
          <w:rStyle w:val="FootnoteReference"/>
          <w:lang w:val="en-CA"/>
        </w:rPr>
        <w:footnoteReference w:id="10"/>
      </w:r>
    </w:p>
    <w:p w14:paraId="70226600" w14:textId="174F29F9" w:rsidR="008D27E2" w:rsidRDefault="00546305" w:rsidP="000057CA">
      <w:pPr>
        <w:spacing w:line="480" w:lineRule="auto"/>
        <w:ind w:firstLine="720"/>
        <w:rPr>
          <w:lang w:val="en-CA"/>
        </w:rPr>
      </w:pPr>
      <w:r>
        <w:rPr>
          <w:lang w:val="en-CA"/>
        </w:rPr>
        <w:lastRenderedPageBreak/>
        <w:t xml:space="preserve">Kinch </w:t>
      </w:r>
      <w:r w:rsidR="001E3C0E">
        <w:rPr>
          <w:lang w:val="en-CA"/>
        </w:rPr>
        <w:t>suggests</w:t>
      </w:r>
      <w:r>
        <w:rPr>
          <w:lang w:val="en-CA"/>
        </w:rPr>
        <w:t xml:space="preserve"> that the legend originated through Franciscan institutions as a “</w:t>
      </w:r>
      <w:r w:rsidR="0038240B">
        <w:rPr>
          <w:lang w:val="en-CA"/>
        </w:rPr>
        <w:t>by-product</w:t>
      </w:r>
      <w:r>
        <w:rPr>
          <w:lang w:val="en-CA"/>
        </w:rPr>
        <w:t xml:space="preserve"> of a Franciscan polemic against the power </w:t>
      </w:r>
      <w:r w:rsidR="0038240B">
        <w:rPr>
          <w:lang w:val="en-CA"/>
        </w:rPr>
        <w:t>of secular</w:t>
      </w:r>
      <w:r>
        <w:rPr>
          <w:lang w:val="en-CA"/>
        </w:rPr>
        <w:t xml:space="preserve"> lords</w:t>
      </w:r>
      <w:r w:rsidR="006764C4">
        <w:rPr>
          <w:lang w:val="en-CA"/>
        </w:rPr>
        <w:t>.</w:t>
      </w:r>
      <w:r>
        <w:rPr>
          <w:lang w:val="en-CA"/>
        </w:rPr>
        <w:t>”</w:t>
      </w:r>
      <w:r w:rsidR="006764C4">
        <w:rPr>
          <w:rStyle w:val="FootnoteReference"/>
          <w:lang w:val="en-CA"/>
        </w:rPr>
        <w:footnoteReference w:id="11"/>
      </w:r>
      <w:r>
        <w:rPr>
          <w:lang w:val="en-CA"/>
        </w:rPr>
        <w:t xml:space="preserve"> </w:t>
      </w:r>
      <w:r w:rsidR="0099795D">
        <w:rPr>
          <w:lang w:val="en-CA"/>
        </w:rPr>
        <w:t xml:space="preserve">Kinch further </w:t>
      </w:r>
      <w:r w:rsidR="001E3C0E">
        <w:rPr>
          <w:lang w:val="en-CA"/>
        </w:rPr>
        <w:t>writes, “</w:t>
      </w:r>
      <w:r w:rsidR="0099795D">
        <w:rPr>
          <w:lang w:val="en-CA"/>
        </w:rPr>
        <w:t>The two halves of… authority</w:t>
      </w:r>
      <w:r w:rsidR="00FC0505">
        <w:rPr>
          <w:lang w:val="en-CA"/>
        </w:rPr>
        <w:t xml:space="preserve"> -</w:t>
      </w:r>
      <w:r w:rsidR="0099795D">
        <w:rPr>
          <w:lang w:val="en-CA"/>
        </w:rPr>
        <w:t xml:space="preserve"> power… and moral instruction… are captured in dynamic contrast in the Legend, which, far from dissolving the symbolic importance of material power, presented an opportunity to deeply reinforce it.”</w:t>
      </w:r>
      <w:r w:rsidR="006764C4">
        <w:rPr>
          <w:rStyle w:val="FootnoteReference"/>
          <w:lang w:val="en-CA"/>
        </w:rPr>
        <w:footnoteReference w:id="12"/>
      </w:r>
      <w:r w:rsidR="00E926FC">
        <w:rPr>
          <w:lang w:val="en-CA"/>
        </w:rPr>
        <w:t xml:space="preserve"> </w:t>
      </w:r>
      <w:r w:rsidR="004A6B5F">
        <w:rPr>
          <w:lang w:val="en-CA"/>
        </w:rPr>
        <w:t>T</w:t>
      </w:r>
      <w:r w:rsidR="00FC0505">
        <w:rPr>
          <w:lang w:val="en-CA"/>
        </w:rPr>
        <w:t>he legend</w:t>
      </w:r>
      <w:r w:rsidR="00E926FC">
        <w:rPr>
          <w:lang w:val="en-CA"/>
        </w:rPr>
        <w:t xml:space="preserve"> </w:t>
      </w:r>
      <w:r w:rsidR="004A6B5F">
        <w:rPr>
          <w:lang w:val="en-CA"/>
        </w:rPr>
        <w:t>provides</w:t>
      </w:r>
      <w:r w:rsidR="003055F1">
        <w:rPr>
          <w:lang w:val="en-CA"/>
        </w:rPr>
        <w:t xml:space="preserve"> a focalizing device for intercessory prayer,</w:t>
      </w:r>
      <w:r w:rsidR="00E926FC">
        <w:rPr>
          <w:lang w:val="en-CA"/>
        </w:rPr>
        <w:t xml:space="preserve"> l</w:t>
      </w:r>
      <w:r w:rsidR="003055F1">
        <w:rPr>
          <w:lang w:val="en-CA"/>
        </w:rPr>
        <w:t>egitimize</w:t>
      </w:r>
      <w:r w:rsidR="00FC0505">
        <w:rPr>
          <w:lang w:val="en-CA"/>
        </w:rPr>
        <w:t>s</w:t>
      </w:r>
      <w:r w:rsidR="003055F1">
        <w:rPr>
          <w:lang w:val="en-CA"/>
        </w:rPr>
        <w:t xml:space="preserve"> the nobility’s</w:t>
      </w:r>
      <w:r w:rsidR="00E926FC">
        <w:rPr>
          <w:lang w:val="en-CA"/>
        </w:rPr>
        <w:t xml:space="preserve"> ancestral lineage and power</w:t>
      </w:r>
      <w:r w:rsidR="004A6B5F">
        <w:rPr>
          <w:lang w:val="en-CA"/>
        </w:rPr>
        <w:t>,</w:t>
      </w:r>
      <w:r w:rsidR="00E926FC">
        <w:rPr>
          <w:lang w:val="en-CA"/>
        </w:rPr>
        <w:t xml:space="preserve"> while also </w:t>
      </w:r>
      <w:r w:rsidR="009F295E">
        <w:rPr>
          <w:lang w:val="en-CA"/>
        </w:rPr>
        <w:t>appropriating the legend as a means to show humility through patronage</w:t>
      </w:r>
      <w:r w:rsidR="004A6B5F">
        <w:rPr>
          <w:lang w:val="en-CA"/>
        </w:rPr>
        <w:t>,</w:t>
      </w:r>
      <w:r w:rsidR="009F295E">
        <w:rPr>
          <w:lang w:val="en-CA"/>
        </w:rPr>
        <w:t xml:space="preserve"> thus paradoxically facilitating greater indulgences.</w:t>
      </w:r>
      <w:r w:rsidR="006764C4">
        <w:rPr>
          <w:rStyle w:val="FootnoteReference"/>
          <w:lang w:val="en-CA"/>
        </w:rPr>
        <w:footnoteReference w:id="13"/>
      </w:r>
      <w:r w:rsidR="006764C4">
        <w:rPr>
          <w:lang w:val="en-CA"/>
        </w:rPr>
        <w:t xml:space="preserve"> </w:t>
      </w:r>
      <w:r w:rsidR="009F295E">
        <w:rPr>
          <w:lang w:val="en-CA"/>
        </w:rPr>
        <w:t xml:space="preserve"> </w:t>
      </w:r>
      <w:r w:rsidR="00BD4B52">
        <w:rPr>
          <w:lang w:val="en-CA"/>
        </w:rPr>
        <w:t>I</w:t>
      </w:r>
      <w:r w:rsidR="00BE4391">
        <w:rPr>
          <w:lang w:val="en-CA"/>
        </w:rPr>
        <w:t>mages of it</w:t>
      </w:r>
      <w:r w:rsidR="009F295E">
        <w:rPr>
          <w:lang w:val="en-CA"/>
        </w:rPr>
        <w:t xml:space="preserve"> w</w:t>
      </w:r>
      <w:r w:rsidR="004A6B5F">
        <w:rPr>
          <w:lang w:val="en-CA"/>
        </w:rPr>
        <w:t>ere</w:t>
      </w:r>
      <w:r w:rsidR="009F295E">
        <w:rPr>
          <w:lang w:val="en-CA"/>
        </w:rPr>
        <w:t xml:space="preserve"> widely reproduced in various </w:t>
      </w:r>
      <w:r w:rsidR="001E3C0E">
        <w:rPr>
          <w:lang w:val="en-CA"/>
        </w:rPr>
        <w:t>media, connected</w:t>
      </w:r>
      <w:r w:rsidR="009F295E">
        <w:rPr>
          <w:lang w:val="en-CA"/>
        </w:rPr>
        <w:t xml:space="preserve"> to familial heraldry</w:t>
      </w:r>
      <w:r w:rsidR="00BD4B52">
        <w:rPr>
          <w:lang w:val="en-CA"/>
        </w:rPr>
        <w:t>,</w:t>
      </w:r>
      <w:r w:rsidR="009F295E">
        <w:rPr>
          <w:lang w:val="en-CA"/>
        </w:rPr>
        <w:t xml:space="preserve"> </w:t>
      </w:r>
      <w:r w:rsidR="001E3C0E">
        <w:rPr>
          <w:lang w:val="en-CA"/>
        </w:rPr>
        <w:t>and richly</w:t>
      </w:r>
      <w:r w:rsidR="009F295E">
        <w:rPr>
          <w:lang w:val="en-CA"/>
        </w:rPr>
        <w:t xml:space="preserve"> colored. </w:t>
      </w:r>
      <w:r w:rsidR="00FC0505">
        <w:rPr>
          <w:lang w:val="en-CA"/>
        </w:rPr>
        <w:t xml:space="preserve">Reproductions of the </w:t>
      </w:r>
      <w:r w:rsidR="00BD4B52">
        <w:rPr>
          <w:lang w:val="en-CA"/>
        </w:rPr>
        <w:t>tale</w:t>
      </w:r>
      <w:r w:rsidR="00FC0505">
        <w:rPr>
          <w:lang w:val="en-CA"/>
        </w:rPr>
        <w:t xml:space="preserve"> became a widely popular means of</w:t>
      </w:r>
      <w:r w:rsidR="00BD4B52">
        <w:rPr>
          <w:lang w:val="en-CA"/>
        </w:rPr>
        <w:t xml:space="preserve"> demonstrating</w:t>
      </w:r>
      <w:r w:rsidR="00FC0505">
        <w:rPr>
          <w:lang w:val="en-CA"/>
        </w:rPr>
        <w:t xml:space="preserve"> the nobility’s ancestral worship. </w:t>
      </w:r>
      <w:r w:rsidR="009F295E">
        <w:rPr>
          <w:lang w:val="en-CA"/>
        </w:rPr>
        <w:t xml:space="preserve">   </w:t>
      </w:r>
    </w:p>
    <w:p w14:paraId="7332C39E" w14:textId="4AD86CCA" w:rsidR="002D6AC6" w:rsidRDefault="008E3D30" w:rsidP="000057CA">
      <w:pPr>
        <w:spacing w:line="480" w:lineRule="auto"/>
        <w:ind w:firstLine="720"/>
        <w:rPr>
          <w:lang w:val="en-CA"/>
        </w:rPr>
      </w:pPr>
      <w:r>
        <w:rPr>
          <w:lang w:val="en-CA"/>
        </w:rPr>
        <w:t>As previously noted, t</w:t>
      </w:r>
      <w:r w:rsidR="001E3C0E">
        <w:rPr>
          <w:lang w:val="en-CA"/>
        </w:rPr>
        <w:t>he legacy of the poem</w:t>
      </w:r>
      <w:r w:rsidR="00250347">
        <w:rPr>
          <w:lang w:val="en-CA"/>
        </w:rPr>
        <w:t xml:space="preserve"> is far reaching in scope</w:t>
      </w:r>
      <w:r w:rsidR="00BD4B52">
        <w:rPr>
          <w:lang w:val="en-CA"/>
        </w:rPr>
        <w:t>,</w:t>
      </w:r>
      <w:r w:rsidR="00250347">
        <w:rPr>
          <w:lang w:val="en-CA"/>
        </w:rPr>
        <w:t xml:space="preserve"> becoming immensely popular</w:t>
      </w:r>
      <w:r w:rsidR="00C63FEC">
        <w:rPr>
          <w:lang w:val="en-CA"/>
        </w:rPr>
        <w:t xml:space="preserve"> and </w:t>
      </w:r>
      <w:r w:rsidR="0057609F">
        <w:rPr>
          <w:lang w:val="en-CA"/>
        </w:rPr>
        <w:t>greatly</w:t>
      </w:r>
      <w:r w:rsidR="00C63FEC">
        <w:rPr>
          <w:lang w:val="en-CA"/>
        </w:rPr>
        <w:t xml:space="preserve"> </w:t>
      </w:r>
      <w:r w:rsidR="0057609F">
        <w:rPr>
          <w:lang w:val="en-CA"/>
        </w:rPr>
        <w:t>influencing</w:t>
      </w:r>
      <w:r w:rsidR="00C63FEC">
        <w:rPr>
          <w:lang w:val="en-CA"/>
        </w:rPr>
        <w:t xml:space="preserve"> the macabre art of the latter middle ages</w:t>
      </w:r>
      <w:r w:rsidR="00250347">
        <w:rPr>
          <w:lang w:val="en-CA"/>
        </w:rPr>
        <w:t>.</w:t>
      </w:r>
      <w:r w:rsidR="006764C4">
        <w:rPr>
          <w:rStyle w:val="FootnoteReference"/>
          <w:lang w:val="en-CA"/>
        </w:rPr>
        <w:footnoteReference w:id="14"/>
      </w:r>
      <w:r w:rsidR="00250347">
        <w:rPr>
          <w:lang w:val="en-CA"/>
        </w:rPr>
        <w:t xml:space="preserve"> </w:t>
      </w:r>
      <w:r w:rsidR="00194FE0">
        <w:rPr>
          <w:lang w:val="en-CA"/>
        </w:rPr>
        <w:t xml:space="preserve">“…Long before the Black Death first arrived in Europe, </w:t>
      </w:r>
      <w:r w:rsidR="0057609F">
        <w:rPr>
          <w:lang w:val="en-CA"/>
        </w:rPr>
        <w:t>artists</w:t>
      </w:r>
      <w:r w:rsidR="00194FE0">
        <w:rPr>
          <w:lang w:val="en-CA"/>
        </w:rPr>
        <w:t xml:space="preserve"> </w:t>
      </w:r>
      <w:r w:rsidR="0057609F">
        <w:rPr>
          <w:lang w:val="en-CA"/>
        </w:rPr>
        <w:t>already</w:t>
      </w:r>
      <w:r w:rsidR="00194FE0">
        <w:rPr>
          <w:lang w:val="en-CA"/>
        </w:rPr>
        <w:t xml:space="preserve"> depicted the encounter of the </w:t>
      </w:r>
      <w:r>
        <w:rPr>
          <w:i/>
          <w:lang w:val="en-CA"/>
        </w:rPr>
        <w:t>Three Living and the Three D</w:t>
      </w:r>
      <w:r w:rsidR="00194FE0" w:rsidRPr="000057CA">
        <w:rPr>
          <w:i/>
          <w:lang w:val="en-CA"/>
        </w:rPr>
        <w:t>ead</w:t>
      </w:r>
      <w:r w:rsidR="00194FE0">
        <w:rPr>
          <w:lang w:val="en-CA"/>
        </w:rPr>
        <w:t xml:space="preserve"> in murals and manuscript illuminations… In England the theme proved quite popular from the 14</w:t>
      </w:r>
      <w:r w:rsidR="00194FE0" w:rsidRPr="00194FE0">
        <w:rPr>
          <w:vertAlign w:val="superscript"/>
          <w:lang w:val="en-CA"/>
        </w:rPr>
        <w:t>th</w:t>
      </w:r>
      <w:r w:rsidR="00194FE0">
        <w:rPr>
          <w:lang w:val="en-CA"/>
        </w:rPr>
        <w:t xml:space="preserve"> century on</w:t>
      </w:r>
      <w:r>
        <w:rPr>
          <w:lang w:val="en-CA"/>
        </w:rPr>
        <w:t>wards</w:t>
      </w:r>
      <w:r w:rsidR="00194FE0">
        <w:rPr>
          <w:lang w:val="en-CA"/>
        </w:rPr>
        <w:t>… murals can be found in churches across the country…”</w:t>
      </w:r>
      <w:r w:rsidR="00995B98">
        <w:rPr>
          <w:rStyle w:val="FootnoteReference"/>
          <w:lang w:val="en-CA"/>
        </w:rPr>
        <w:footnoteReference w:id="15"/>
      </w:r>
      <w:r w:rsidR="00C63FEC">
        <w:rPr>
          <w:lang w:val="en-CA"/>
        </w:rPr>
        <w:t xml:space="preserve"> </w:t>
      </w:r>
      <w:r w:rsidR="00BD4B52">
        <w:rPr>
          <w:lang w:val="en-CA"/>
        </w:rPr>
        <w:t>T</w:t>
      </w:r>
      <w:r w:rsidR="00C63FEC">
        <w:rPr>
          <w:lang w:val="en-CA"/>
        </w:rPr>
        <w:t>he popularity of the legend</w:t>
      </w:r>
      <w:r w:rsidR="001E3C0E">
        <w:rPr>
          <w:lang w:val="en-CA"/>
        </w:rPr>
        <w:t xml:space="preserve"> and</w:t>
      </w:r>
      <w:r w:rsidR="003E7AD4">
        <w:rPr>
          <w:lang w:val="en-CA"/>
        </w:rPr>
        <w:t xml:space="preserve"> it</w:t>
      </w:r>
      <w:r w:rsidR="00C63FEC">
        <w:rPr>
          <w:lang w:val="en-CA"/>
        </w:rPr>
        <w:t xml:space="preserve">s preoccupation with the macabre has been suggested as influencing the construction of cadaver effigies such as “cadaver or </w:t>
      </w:r>
      <w:proofErr w:type="spellStart"/>
      <w:r w:rsidR="00C63FEC" w:rsidRPr="0057609F">
        <w:rPr>
          <w:i/>
          <w:lang w:val="en-CA"/>
        </w:rPr>
        <w:t>transi</w:t>
      </w:r>
      <w:proofErr w:type="spellEnd"/>
      <w:r w:rsidR="00C63FEC">
        <w:rPr>
          <w:lang w:val="en-CA"/>
        </w:rPr>
        <w:t xml:space="preserve"> tombs”.</w:t>
      </w:r>
      <w:r w:rsidR="00995B98">
        <w:rPr>
          <w:rStyle w:val="FootnoteReference"/>
          <w:lang w:val="en-CA"/>
        </w:rPr>
        <w:footnoteReference w:id="16"/>
      </w:r>
      <w:r w:rsidR="0057609F">
        <w:rPr>
          <w:lang w:val="en-CA"/>
        </w:rPr>
        <w:t xml:space="preserve"> The legend is </w:t>
      </w:r>
      <w:r w:rsidR="00BD4B52">
        <w:rPr>
          <w:lang w:val="en-CA"/>
        </w:rPr>
        <w:t xml:space="preserve">also </w:t>
      </w:r>
      <w:r w:rsidR="0057609F">
        <w:rPr>
          <w:lang w:val="en-CA"/>
        </w:rPr>
        <w:t xml:space="preserve">thought to have </w:t>
      </w:r>
      <w:r w:rsidR="00BD4B52">
        <w:rPr>
          <w:lang w:val="en-CA"/>
        </w:rPr>
        <w:t xml:space="preserve">influenced </w:t>
      </w:r>
      <w:r w:rsidR="0057609F">
        <w:rPr>
          <w:lang w:val="en-CA"/>
        </w:rPr>
        <w:t xml:space="preserve">popular depictions of the iconographic </w:t>
      </w:r>
      <w:proofErr w:type="spellStart"/>
      <w:r w:rsidR="0057609F" w:rsidRPr="000057CA">
        <w:rPr>
          <w:i/>
          <w:lang w:val="en-CA"/>
        </w:rPr>
        <w:lastRenderedPageBreak/>
        <w:t>Danse</w:t>
      </w:r>
      <w:proofErr w:type="spellEnd"/>
      <w:r w:rsidR="0057609F" w:rsidRPr="000057CA">
        <w:rPr>
          <w:i/>
          <w:lang w:val="en-CA"/>
        </w:rPr>
        <w:t xml:space="preserve"> Macabre,</w:t>
      </w:r>
      <w:r w:rsidR="0057609F">
        <w:rPr>
          <w:lang w:val="en-CA"/>
        </w:rPr>
        <w:t xml:space="preserve"> wherein “in the form of a morality play, actors played dead men… and taking the hands of the living from all walks of life”</w:t>
      </w:r>
      <w:r w:rsidR="00995B98">
        <w:rPr>
          <w:rStyle w:val="FootnoteReference"/>
          <w:lang w:val="en-CA"/>
        </w:rPr>
        <w:footnoteReference w:id="17"/>
      </w:r>
      <w:r w:rsidR="0057609F">
        <w:rPr>
          <w:lang w:val="en-CA"/>
        </w:rPr>
        <w:t xml:space="preserve"> and doing so they would dance a macabre dance of death.</w:t>
      </w:r>
      <w:r w:rsidR="00C63FEC">
        <w:rPr>
          <w:lang w:val="en-CA"/>
        </w:rPr>
        <w:t xml:space="preserve"> Christine </w:t>
      </w:r>
      <w:proofErr w:type="spellStart"/>
      <w:r w:rsidR="00C63FEC">
        <w:rPr>
          <w:lang w:val="en-CA"/>
        </w:rPr>
        <w:t>Kralik</w:t>
      </w:r>
      <w:proofErr w:type="spellEnd"/>
      <w:r w:rsidR="00C63FEC">
        <w:rPr>
          <w:lang w:val="en-CA"/>
        </w:rPr>
        <w:t xml:space="preserve"> s</w:t>
      </w:r>
      <w:r w:rsidR="00BD4B52">
        <w:rPr>
          <w:lang w:val="en-CA"/>
        </w:rPr>
        <w:t>uggests</w:t>
      </w:r>
      <w:r w:rsidR="00C63FEC">
        <w:rPr>
          <w:lang w:val="en-CA"/>
        </w:rPr>
        <w:t xml:space="preserve"> that although the legend did not inspire the images of the </w:t>
      </w:r>
      <w:proofErr w:type="spellStart"/>
      <w:r w:rsidR="00BD4B52" w:rsidRPr="000057CA">
        <w:rPr>
          <w:i/>
          <w:lang w:val="en-CA"/>
        </w:rPr>
        <w:t>D</w:t>
      </w:r>
      <w:r w:rsidR="00C63FEC" w:rsidRPr="000057CA">
        <w:rPr>
          <w:i/>
          <w:lang w:val="en-CA"/>
        </w:rPr>
        <w:t>anse</w:t>
      </w:r>
      <w:proofErr w:type="spellEnd"/>
      <w:r w:rsidR="00C63FEC" w:rsidRPr="000057CA">
        <w:rPr>
          <w:i/>
          <w:lang w:val="en-CA"/>
        </w:rPr>
        <w:t xml:space="preserve"> </w:t>
      </w:r>
      <w:r w:rsidR="00BD4B52" w:rsidRPr="000057CA">
        <w:rPr>
          <w:i/>
          <w:lang w:val="en-CA"/>
        </w:rPr>
        <w:t>M</w:t>
      </w:r>
      <w:r w:rsidR="00C63FEC" w:rsidRPr="000057CA">
        <w:rPr>
          <w:i/>
          <w:lang w:val="en-CA"/>
        </w:rPr>
        <w:t>acabre</w:t>
      </w:r>
      <w:r w:rsidR="003E7AD4">
        <w:rPr>
          <w:i/>
          <w:lang w:val="en-CA"/>
        </w:rPr>
        <w:t>,</w:t>
      </w:r>
      <w:r>
        <w:rPr>
          <w:lang w:val="en-CA"/>
        </w:rPr>
        <w:t xml:space="preserve"> its popularity</w:t>
      </w:r>
      <w:r w:rsidR="00C63FEC">
        <w:rPr>
          <w:lang w:val="en-CA"/>
        </w:rPr>
        <w:t xml:space="preserve"> no doubt participated and bolstered the tradition of macabre art.</w:t>
      </w:r>
      <w:r w:rsidR="00995B98">
        <w:rPr>
          <w:rStyle w:val="FootnoteReference"/>
          <w:lang w:val="en-CA"/>
        </w:rPr>
        <w:footnoteReference w:id="18"/>
      </w:r>
      <w:r w:rsidR="00C63FEC">
        <w:rPr>
          <w:lang w:val="en-CA"/>
        </w:rPr>
        <w:t xml:space="preserve"> </w:t>
      </w:r>
      <w:r w:rsidR="00A40AFD">
        <w:rPr>
          <w:lang w:val="en-CA"/>
        </w:rPr>
        <w:t xml:space="preserve">Nancy </w:t>
      </w:r>
      <w:proofErr w:type="spellStart"/>
      <w:r w:rsidR="00A40AFD">
        <w:rPr>
          <w:lang w:val="en-CA"/>
        </w:rPr>
        <w:t>Caciola</w:t>
      </w:r>
      <w:proofErr w:type="spellEnd"/>
      <w:r w:rsidR="0057609F">
        <w:rPr>
          <w:lang w:val="en-CA"/>
        </w:rPr>
        <w:t xml:space="preserve"> writes of the two </w:t>
      </w:r>
      <w:r w:rsidR="00A40AFD">
        <w:rPr>
          <w:lang w:val="en-CA"/>
        </w:rPr>
        <w:t>macabre</w:t>
      </w:r>
      <w:r w:rsidR="0057609F">
        <w:rPr>
          <w:lang w:val="en-CA"/>
        </w:rPr>
        <w:t xml:space="preserve"> legends</w:t>
      </w:r>
      <w:r w:rsidR="00BD4B52">
        <w:rPr>
          <w:lang w:val="en-CA"/>
        </w:rPr>
        <w:t>,</w:t>
      </w:r>
      <w:r w:rsidR="0057609F">
        <w:rPr>
          <w:lang w:val="en-CA"/>
        </w:rPr>
        <w:t xml:space="preserve"> “iconographical counterpoints to revenant stories, intimately related to the same set of mental attitudes… appropriated… in order to convey a message of secular transience and </w:t>
      </w:r>
      <w:r w:rsidR="0057609F" w:rsidRPr="0057609F">
        <w:rPr>
          <w:i/>
          <w:lang w:val="en-CA"/>
        </w:rPr>
        <w:t xml:space="preserve">memento </w:t>
      </w:r>
      <w:proofErr w:type="spellStart"/>
      <w:r w:rsidR="0057609F" w:rsidRPr="0057609F">
        <w:rPr>
          <w:i/>
          <w:lang w:val="en-CA"/>
        </w:rPr>
        <w:t>mori</w:t>
      </w:r>
      <w:proofErr w:type="spellEnd"/>
      <w:r w:rsidR="0057609F">
        <w:rPr>
          <w:lang w:val="en-CA"/>
        </w:rPr>
        <w:t>.”</w:t>
      </w:r>
      <w:r w:rsidR="00995B98">
        <w:rPr>
          <w:rStyle w:val="FootnoteReference"/>
          <w:lang w:val="en-CA"/>
        </w:rPr>
        <w:footnoteReference w:id="19"/>
      </w:r>
      <w:r w:rsidR="00995B98">
        <w:rPr>
          <w:lang w:val="en-CA"/>
        </w:rPr>
        <w:t xml:space="preserve"> </w:t>
      </w:r>
      <w:r w:rsidR="0057609F">
        <w:rPr>
          <w:lang w:val="en-CA"/>
        </w:rPr>
        <w:t xml:space="preserve"> </w:t>
      </w:r>
    </w:p>
    <w:p w14:paraId="32B2D4BD" w14:textId="53C7D01B" w:rsidR="00970606" w:rsidRDefault="001E3C0E" w:rsidP="001E3C0E">
      <w:pPr>
        <w:spacing w:line="480" w:lineRule="auto"/>
        <w:ind w:firstLine="720"/>
        <w:rPr>
          <w:lang w:val="en-CA"/>
        </w:rPr>
      </w:pPr>
      <w:r>
        <w:rPr>
          <w:lang w:val="en-CA"/>
        </w:rPr>
        <w:t xml:space="preserve">The legend of </w:t>
      </w:r>
      <w:r w:rsidRPr="001E3C0E">
        <w:rPr>
          <w:i/>
          <w:lang w:val="en-CA"/>
        </w:rPr>
        <w:t>T</w:t>
      </w:r>
      <w:r w:rsidR="0057609F" w:rsidRPr="001E3C0E">
        <w:rPr>
          <w:i/>
          <w:lang w:val="en-CA"/>
        </w:rPr>
        <w:t xml:space="preserve">he </w:t>
      </w:r>
      <w:r>
        <w:rPr>
          <w:i/>
          <w:lang w:val="en-CA"/>
        </w:rPr>
        <w:t>Three Living and the Three D</w:t>
      </w:r>
      <w:r w:rsidR="0057609F" w:rsidRPr="000057CA">
        <w:rPr>
          <w:i/>
          <w:lang w:val="en-CA"/>
        </w:rPr>
        <w:t>ead</w:t>
      </w:r>
      <w:r w:rsidR="0057609F">
        <w:rPr>
          <w:lang w:val="en-CA"/>
        </w:rPr>
        <w:t xml:space="preserve"> is a </w:t>
      </w:r>
      <w:r w:rsidR="00BE4391">
        <w:rPr>
          <w:lang w:val="en-CA"/>
        </w:rPr>
        <w:t>poignant</w:t>
      </w:r>
      <w:r w:rsidR="008E3D30">
        <w:rPr>
          <w:lang w:val="en-CA"/>
        </w:rPr>
        <w:t xml:space="preserve"> piece of literary</w:t>
      </w:r>
      <w:r w:rsidR="0057609F">
        <w:rPr>
          <w:lang w:val="en-CA"/>
        </w:rPr>
        <w:t xml:space="preserve"> expression</w:t>
      </w:r>
      <w:r w:rsidR="00BD4B52">
        <w:rPr>
          <w:lang w:val="en-CA"/>
        </w:rPr>
        <w:t xml:space="preserve"> </w:t>
      </w:r>
      <w:r w:rsidR="0057609F">
        <w:rPr>
          <w:lang w:val="en-CA"/>
        </w:rPr>
        <w:t>convey</w:t>
      </w:r>
      <w:r w:rsidR="00BD4B52">
        <w:rPr>
          <w:lang w:val="en-CA"/>
        </w:rPr>
        <w:t>ing</w:t>
      </w:r>
      <w:r w:rsidR="0057609F">
        <w:rPr>
          <w:lang w:val="en-CA"/>
        </w:rPr>
        <w:t xml:space="preserve"> the thoughts of the medieval</w:t>
      </w:r>
      <w:r w:rsidR="008E3D30">
        <w:rPr>
          <w:lang w:val="en-CA"/>
        </w:rPr>
        <w:t xml:space="preserve"> period on death and how it fits </w:t>
      </w:r>
      <w:r w:rsidR="0057609F">
        <w:rPr>
          <w:lang w:val="en-CA"/>
        </w:rPr>
        <w:t>into culture and societ</w:t>
      </w:r>
      <w:r w:rsidR="00F62807">
        <w:rPr>
          <w:lang w:val="en-CA"/>
        </w:rPr>
        <w:t xml:space="preserve">y. Even if John </w:t>
      </w:r>
      <w:proofErr w:type="spellStart"/>
      <w:r w:rsidR="00F62807">
        <w:rPr>
          <w:lang w:val="en-CA"/>
        </w:rPr>
        <w:t>Audelay</w:t>
      </w:r>
      <w:proofErr w:type="spellEnd"/>
      <w:r w:rsidR="00F62807">
        <w:rPr>
          <w:lang w:val="en-CA"/>
        </w:rPr>
        <w:t xml:space="preserve"> was not the true author, the poem became widely acclaimed</w:t>
      </w:r>
      <w:r w:rsidR="00BD4B52">
        <w:rPr>
          <w:lang w:val="en-CA"/>
        </w:rPr>
        <w:t>,</w:t>
      </w:r>
      <w:r w:rsidR="00F62807">
        <w:rPr>
          <w:lang w:val="en-CA"/>
        </w:rPr>
        <w:t xml:space="preserve"> and </w:t>
      </w:r>
      <w:r>
        <w:rPr>
          <w:lang w:val="en-CA"/>
        </w:rPr>
        <w:t>its</w:t>
      </w:r>
      <w:r w:rsidR="00F62807">
        <w:rPr>
          <w:lang w:val="en-CA"/>
        </w:rPr>
        <w:t xml:space="preserve"> message spread across western Europe.  The </w:t>
      </w:r>
      <w:r w:rsidR="00766D6A">
        <w:rPr>
          <w:lang w:val="en-CA"/>
        </w:rPr>
        <w:t xml:space="preserve">caution provided by </w:t>
      </w:r>
      <w:r>
        <w:rPr>
          <w:lang w:val="en-CA"/>
        </w:rPr>
        <w:t>the dead</w:t>
      </w:r>
      <w:r w:rsidR="00F62807">
        <w:rPr>
          <w:lang w:val="en-CA"/>
        </w:rPr>
        <w:t xml:space="preserve"> king in a popular verse of the poem </w:t>
      </w:r>
      <w:r w:rsidR="00BD4B52">
        <w:rPr>
          <w:lang w:val="en-CA"/>
        </w:rPr>
        <w:t xml:space="preserve">is </w:t>
      </w:r>
      <w:r w:rsidR="00F62807">
        <w:rPr>
          <w:lang w:val="en-CA"/>
        </w:rPr>
        <w:t>“what you are, we once were; what we are, you will become.”</w:t>
      </w:r>
      <w:r w:rsidR="00995B98">
        <w:rPr>
          <w:rStyle w:val="FootnoteReference"/>
          <w:lang w:val="en-CA"/>
        </w:rPr>
        <w:footnoteReference w:id="20"/>
      </w:r>
      <w:r w:rsidR="00F62807">
        <w:rPr>
          <w:lang w:val="en-CA"/>
        </w:rPr>
        <w:t xml:space="preserve"> Life was seen as fleeting and one </w:t>
      </w:r>
      <w:r w:rsidR="00766D6A">
        <w:rPr>
          <w:lang w:val="en-CA"/>
        </w:rPr>
        <w:t xml:space="preserve">is reminded </w:t>
      </w:r>
      <w:r w:rsidR="00F62807">
        <w:rPr>
          <w:lang w:val="en-CA"/>
        </w:rPr>
        <w:t>tha</w:t>
      </w:r>
      <w:r w:rsidR="00BC3234">
        <w:rPr>
          <w:lang w:val="en-CA"/>
        </w:rPr>
        <w:t>t death may be always close at hand</w:t>
      </w:r>
      <w:r w:rsidR="00BD4B52">
        <w:rPr>
          <w:lang w:val="en-CA"/>
        </w:rPr>
        <w:t>.</w:t>
      </w:r>
      <w:r>
        <w:rPr>
          <w:lang w:val="en-CA"/>
        </w:rPr>
        <w:t xml:space="preserve"> </w:t>
      </w:r>
      <w:r w:rsidR="00BD4B52">
        <w:rPr>
          <w:lang w:val="en-CA"/>
        </w:rPr>
        <w:t>O</w:t>
      </w:r>
      <w:r>
        <w:rPr>
          <w:lang w:val="en-CA"/>
        </w:rPr>
        <w:t>ne should at all times regard</w:t>
      </w:r>
      <w:r w:rsidR="00F62807">
        <w:rPr>
          <w:lang w:val="en-CA"/>
        </w:rPr>
        <w:t xml:space="preserve"> ancestors and those who live around them with respect and humility. Ultimately one should seek to</w:t>
      </w:r>
      <w:r w:rsidR="00766D6A">
        <w:rPr>
          <w:lang w:val="en-CA"/>
        </w:rPr>
        <w:t xml:space="preserve"> live with moral excellence, treating all, including those who are subservient</w:t>
      </w:r>
      <w:r w:rsidR="00BC3234">
        <w:rPr>
          <w:lang w:val="en-CA"/>
        </w:rPr>
        <w:t>,</w:t>
      </w:r>
      <w:r w:rsidR="00766D6A">
        <w:rPr>
          <w:lang w:val="en-CA"/>
        </w:rPr>
        <w:t xml:space="preserve"> with mercy and respect. Although a higher moral message may have been the intention of the legend, and some may have abi</w:t>
      </w:r>
      <w:r w:rsidR="001149C5">
        <w:rPr>
          <w:lang w:val="en-CA"/>
        </w:rPr>
        <w:t>ded by it, the nobility, neverthe</w:t>
      </w:r>
      <w:r w:rsidR="00766D6A">
        <w:rPr>
          <w:lang w:val="en-CA"/>
        </w:rPr>
        <w:t xml:space="preserve">less, provided </w:t>
      </w:r>
      <w:r w:rsidR="00766D6A">
        <w:rPr>
          <w:lang w:val="en-CA"/>
        </w:rPr>
        <w:lastRenderedPageBreak/>
        <w:t>their own interpretation</w:t>
      </w:r>
      <w:r w:rsidR="001149C5">
        <w:rPr>
          <w:lang w:val="en-CA"/>
        </w:rPr>
        <w:t>s</w:t>
      </w:r>
      <w:r w:rsidR="00766D6A">
        <w:rPr>
          <w:lang w:val="en-CA"/>
        </w:rPr>
        <w:t xml:space="preserve"> and i</w:t>
      </w:r>
      <w:r w:rsidR="008E3D30">
        <w:rPr>
          <w:lang w:val="en-CA"/>
        </w:rPr>
        <w:t>nstead redirected their focus of attention</w:t>
      </w:r>
      <w:r w:rsidR="00766D6A">
        <w:rPr>
          <w:lang w:val="en-CA"/>
        </w:rPr>
        <w:t xml:space="preserve"> to</w:t>
      </w:r>
      <w:r w:rsidR="001149C5">
        <w:rPr>
          <w:lang w:val="en-CA"/>
        </w:rPr>
        <w:t xml:space="preserve"> commission the image</w:t>
      </w:r>
      <w:r w:rsidR="008E3D30">
        <w:rPr>
          <w:lang w:val="en-CA"/>
        </w:rPr>
        <w:t xml:space="preserve"> and poem</w:t>
      </w:r>
      <w:r w:rsidR="001149C5">
        <w:rPr>
          <w:lang w:val="en-CA"/>
        </w:rPr>
        <w:t xml:space="preserve"> to fit</w:t>
      </w:r>
      <w:r w:rsidR="00BC3234">
        <w:rPr>
          <w:lang w:val="en-CA"/>
        </w:rPr>
        <w:t xml:space="preserve"> their</w:t>
      </w:r>
      <w:r>
        <w:rPr>
          <w:lang w:val="en-CA"/>
        </w:rPr>
        <w:t xml:space="preserve"> own</w:t>
      </w:r>
      <w:r w:rsidR="00766D6A">
        <w:rPr>
          <w:lang w:val="en-CA"/>
        </w:rPr>
        <w:t xml:space="preserve"> heritage and heraldry. </w:t>
      </w:r>
    </w:p>
    <w:p w14:paraId="58166249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1DDCA7AF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3519A217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336C2B11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57BCF56E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07205707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7EB767C1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5D144A80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6E7B0636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00AA2D2C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1B93A5A9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0A471279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639C7546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044BE14D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6E0F011D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50AAB3F0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3FC5E883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2675B9C4" w14:textId="77777777" w:rsidR="00E61900" w:rsidRDefault="00E61900" w:rsidP="001E3C0E">
      <w:pPr>
        <w:spacing w:line="480" w:lineRule="auto"/>
        <w:ind w:firstLine="720"/>
        <w:rPr>
          <w:lang w:val="en-CA"/>
        </w:rPr>
      </w:pPr>
    </w:p>
    <w:p w14:paraId="0A8F08F5" w14:textId="77777777" w:rsidR="00373B34" w:rsidRDefault="00373B34" w:rsidP="000604A4">
      <w:pPr>
        <w:spacing w:line="480" w:lineRule="auto"/>
        <w:ind w:firstLine="720"/>
        <w:jc w:val="center"/>
        <w:rPr>
          <w:lang w:val="en-CA"/>
        </w:rPr>
      </w:pPr>
    </w:p>
    <w:p w14:paraId="2F2351EA" w14:textId="77777777" w:rsidR="00373B34" w:rsidRDefault="00373B34" w:rsidP="00373B34">
      <w:pPr>
        <w:spacing w:line="480" w:lineRule="auto"/>
        <w:rPr>
          <w:lang w:val="en-CA"/>
        </w:rPr>
      </w:pPr>
    </w:p>
    <w:p w14:paraId="0D645552" w14:textId="295D9298" w:rsidR="00E61900" w:rsidRDefault="00E61900" w:rsidP="00373B34">
      <w:pPr>
        <w:spacing w:line="480" w:lineRule="auto"/>
        <w:jc w:val="center"/>
        <w:rPr>
          <w:lang w:val="en-CA"/>
        </w:rPr>
      </w:pPr>
      <w:r>
        <w:rPr>
          <w:lang w:val="en-CA"/>
        </w:rPr>
        <w:lastRenderedPageBreak/>
        <w:t>Bibliography</w:t>
      </w:r>
    </w:p>
    <w:p w14:paraId="793E9109" w14:textId="77777777" w:rsidR="00373B34" w:rsidRDefault="00373B34" w:rsidP="000604A4">
      <w:pPr>
        <w:spacing w:line="480" w:lineRule="auto"/>
        <w:ind w:firstLine="720"/>
        <w:jc w:val="center"/>
        <w:rPr>
          <w:lang w:val="en-CA"/>
        </w:rPr>
      </w:pPr>
    </w:p>
    <w:p w14:paraId="5D29D858" w14:textId="749123F7" w:rsidR="00E61900" w:rsidRDefault="00E61900" w:rsidP="006B2614">
      <w:pPr>
        <w:spacing w:line="480" w:lineRule="auto"/>
        <w:ind w:left="567" w:hanging="567"/>
        <w:rPr>
          <w:lang w:val="en-CA"/>
        </w:rPr>
      </w:pPr>
      <w:proofErr w:type="spellStart"/>
      <w:r>
        <w:rPr>
          <w:lang w:val="en-CA"/>
        </w:rPr>
        <w:t>Caciola</w:t>
      </w:r>
      <w:proofErr w:type="spellEnd"/>
      <w:r>
        <w:rPr>
          <w:lang w:val="en-CA"/>
        </w:rPr>
        <w:t>, Nancy</w:t>
      </w:r>
      <w:r>
        <w:rPr>
          <w:lang w:val="en-CA"/>
        </w:rPr>
        <w:t>.</w:t>
      </w:r>
      <w:r w:rsidR="000604A4">
        <w:rPr>
          <w:lang w:val="en-CA"/>
        </w:rPr>
        <w:t>,</w:t>
      </w:r>
      <w:r>
        <w:rPr>
          <w:lang w:val="en-CA"/>
        </w:rPr>
        <w:t xml:space="preserve"> Wraiths, Revenants and Ritual in Medieval Culture</w:t>
      </w:r>
      <w:r w:rsidRPr="00995B98">
        <w:rPr>
          <w:i/>
          <w:lang w:val="en-CA"/>
        </w:rPr>
        <w:t>, Past and Present</w:t>
      </w:r>
      <w:r>
        <w:rPr>
          <w:lang w:val="en-CA"/>
        </w:rPr>
        <w:t>, 152 (1996). P 3-45.</w:t>
      </w:r>
    </w:p>
    <w:p w14:paraId="0B64F4CD" w14:textId="77777777" w:rsidR="00166022" w:rsidRDefault="00166022" w:rsidP="00166022">
      <w:pPr>
        <w:spacing w:line="480" w:lineRule="auto"/>
        <w:ind w:left="567" w:hanging="567"/>
        <w:rPr>
          <w:lang w:val="en-CA"/>
        </w:rPr>
      </w:pPr>
      <w:r>
        <w:rPr>
          <w:lang w:val="en-CA"/>
        </w:rPr>
        <w:t xml:space="preserve">Kinch, Ashby., Image, Ideology and Form: Middle English Three Dead Kings in its Iconographic Context, </w:t>
      </w:r>
      <w:r w:rsidRPr="006764C4">
        <w:rPr>
          <w:i/>
          <w:lang w:val="en-CA"/>
        </w:rPr>
        <w:t>Chaucer Review</w:t>
      </w:r>
      <w:r>
        <w:rPr>
          <w:lang w:val="en-CA"/>
        </w:rPr>
        <w:t>, 43, (2008) p. 48-81.</w:t>
      </w:r>
    </w:p>
    <w:p w14:paraId="7F1DA62D" w14:textId="77777777" w:rsidR="006B2614" w:rsidRDefault="006B2614" w:rsidP="00166022">
      <w:pPr>
        <w:spacing w:line="480" w:lineRule="auto"/>
        <w:rPr>
          <w:lang w:val="en-CA"/>
        </w:rPr>
      </w:pPr>
    </w:p>
    <w:p w14:paraId="5448E7D8" w14:textId="2F7CF878" w:rsidR="00E61900" w:rsidRDefault="00E61900" w:rsidP="006B2614">
      <w:pPr>
        <w:spacing w:line="480" w:lineRule="auto"/>
        <w:ind w:left="567" w:hanging="567"/>
        <w:rPr>
          <w:rFonts w:ascii="Calibri" w:eastAsia="Times New Roman" w:hAnsi="Calibri" w:cs="Arial"/>
          <w:color w:val="333333"/>
          <w:shd w:val="clear" w:color="auto" w:fill="FFFFFF"/>
        </w:rPr>
      </w:pPr>
      <w:proofErr w:type="spellStart"/>
      <w:r w:rsidRPr="00090101">
        <w:rPr>
          <w:rFonts w:ascii="Calibri" w:hAnsi="Calibri"/>
        </w:rPr>
        <w:t>Kralik</w:t>
      </w:r>
      <w:proofErr w:type="spellEnd"/>
      <w:r w:rsidRPr="00090101">
        <w:rPr>
          <w:rFonts w:ascii="Calibri" w:hAnsi="Calibri"/>
        </w:rPr>
        <w:t>, Christine</w:t>
      </w:r>
      <w:r w:rsidR="000604A4">
        <w:rPr>
          <w:rFonts w:ascii="Calibri" w:hAnsi="Calibri"/>
        </w:rPr>
        <w:t>.,</w:t>
      </w:r>
      <w:r w:rsidRPr="00090101">
        <w:rPr>
          <w:rFonts w:ascii="Calibri" w:hAnsi="Calibri"/>
        </w:rPr>
        <w:t xml:space="preserve"> </w:t>
      </w:r>
      <w:r w:rsidRPr="006764C4">
        <w:rPr>
          <w:rFonts w:ascii="Calibri" w:hAnsi="Calibri"/>
        </w:rPr>
        <w:t>‘Dialogue and Violence in Medieval Illuminations of the Three Living and the Three Dead,</w:t>
      </w:r>
      <w:r w:rsidRPr="00090101">
        <w:rPr>
          <w:rFonts w:ascii="Calibri" w:hAnsi="Calibri"/>
        </w:rPr>
        <w:t xml:space="preserve">’ in </w:t>
      </w:r>
      <w:r w:rsidRPr="006764C4">
        <w:rPr>
          <w:rFonts w:ascii="Calibri" w:hAnsi="Calibri"/>
          <w:i/>
        </w:rPr>
        <w:t xml:space="preserve">Mixed Metaphors: The </w:t>
      </w:r>
      <w:proofErr w:type="spellStart"/>
      <w:r w:rsidRPr="006764C4">
        <w:rPr>
          <w:rFonts w:ascii="Calibri" w:hAnsi="Calibri"/>
          <w:i/>
        </w:rPr>
        <w:t>Danse</w:t>
      </w:r>
      <w:proofErr w:type="spellEnd"/>
      <w:r w:rsidRPr="006764C4">
        <w:rPr>
          <w:rFonts w:ascii="Calibri" w:hAnsi="Calibri"/>
          <w:i/>
        </w:rPr>
        <w:t xml:space="preserve"> Macabre in Medieval and Early Modern Europe</w:t>
      </w:r>
      <w:r w:rsidRPr="00090101">
        <w:rPr>
          <w:rFonts w:ascii="Calibri" w:hAnsi="Calibri"/>
        </w:rPr>
        <w:t xml:space="preserve"> by </w:t>
      </w:r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Stefanie A. </w:t>
      </w:r>
      <w:proofErr w:type="spellStart"/>
      <w:r>
        <w:rPr>
          <w:rFonts w:ascii="Calibri" w:eastAsia="Times New Roman" w:hAnsi="Calibri" w:cs="Arial"/>
          <w:color w:val="333333"/>
          <w:shd w:val="clear" w:color="auto" w:fill="FFFFFF"/>
        </w:rPr>
        <w:t>Knöll</w:t>
      </w:r>
      <w:proofErr w:type="spellEnd"/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 and</w:t>
      </w:r>
      <w:r w:rsidRP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 Sophie </w:t>
      </w:r>
      <w:proofErr w:type="spellStart"/>
      <w:r w:rsidRPr="00090101">
        <w:rPr>
          <w:rFonts w:ascii="Calibri" w:eastAsia="Times New Roman" w:hAnsi="Calibri" w:cs="Arial"/>
          <w:color w:val="333333"/>
          <w:shd w:val="clear" w:color="auto" w:fill="FFFFFF"/>
        </w:rPr>
        <w:t>Oosterwijk</w:t>
      </w:r>
      <w:proofErr w:type="spellEnd"/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 (Newcastle upon Tyne, Cambridge Scholars, 2011)</w:t>
      </w:r>
      <w:r w:rsidR="000604A4">
        <w:rPr>
          <w:rFonts w:ascii="Calibri" w:eastAsia="Times New Roman" w:hAnsi="Calibri" w:cs="Arial"/>
          <w:color w:val="333333"/>
          <w:shd w:val="clear" w:color="auto" w:fill="FFFFFF"/>
        </w:rPr>
        <w:t xml:space="preserve"> p. 133-154.</w:t>
      </w:r>
    </w:p>
    <w:p w14:paraId="640615E7" w14:textId="77777777" w:rsidR="006B2614" w:rsidRDefault="006B2614" w:rsidP="00166022">
      <w:pPr>
        <w:spacing w:line="480" w:lineRule="auto"/>
        <w:rPr>
          <w:lang w:val="en-CA"/>
        </w:rPr>
      </w:pPr>
    </w:p>
    <w:p w14:paraId="318CA02B" w14:textId="537AD9CD" w:rsidR="000604A4" w:rsidRDefault="000604A4" w:rsidP="000604A4">
      <w:pPr>
        <w:spacing w:line="480" w:lineRule="auto"/>
        <w:ind w:left="567" w:hanging="567"/>
        <w:rPr>
          <w:lang w:val="en-CA"/>
        </w:rPr>
      </w:pPr>
      <w:proofErr w:type="spellStart"/>
      <w:r>
        <w:rPr>
          <w:lang w:val="en-CA"/>
        </w:rPr>
        <w:t>Oosterwijk</w:t>
      </w:r>
      <w:proofErr w:type="spellEnd"/>
      <w:r>
        <w:rPr>
          <w:lang w:val="en-CA"/>
        </w:rPr>
        <w:t xml:space="preserve">, </w:t>
      </w:r>
      <w:r w:rsidR="00E61900">
        <w:rPr>
          <w:lang w:val="en-CA"/>
        </w:rPr>
        <w:t>Sophie</w:t>
      </w:r>
      <w:r>
        <w:rPr>
          <w:lang w:val="en-CA"/>
        </w:rPr>
        <w:t>.,</w:t>
      </w:r>
      <w:r w:rsidR="00E61900">
        <w:rPr>
          <w:lang w:val="en-CA"/>
        </w:rPr>
        <w:t xml:space="preserve"> Of Corpses, Constables and Kings: The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Danse</w:t>
      </w:r>
      <w:proofErr w:type="spellEnd"/>
      <w:r>
        <w:rPr>
          <w:lang w:val="en-CA"/>
        </w:rPr>
        <w:t xml:space="preserve"> Macabre in Late Medieval </w:t>
      </w:r>
      <w:r w:rsidR="00E61900">
        <w:rPr>
          <w:lang w:val="en-CA"/>
        </w:rPr>
        <w:t xml:space="preserve">and Renaissance Culture, </w:t>
      </w:r>
      <w:r w:rsidR="00E61900" w:rsidRPr="000604A4">
        <w:rPr>
          <w:i/>
          <w:lang w:val="en-CA"/>
        </w:rPr>
        <w:t>Journal of the British Archaeological Association</w:t>
      </w:r>
      <w:r w:rsidR="00E907C1">
        <w:rPr>
          <w:lang w:val="en-CA"/>
        </w:rPr>
        <w:t>, 157 (2004) p. 61-90</w:t>
      </w:r>
      <w:r w:rsidR="00E61900">
        <w:rPr>
          <w:lang w:val="en-CA"/>
        </w:rPr>
        <w:t>.</w:t>
      </w:r>
    </w:p>
    <w:p w14:paraId="5883221F" w14:textId="77777777" w:rsidR="006B2614" w:rsidRDefault="006B2614" w:rsidP="000604A4">
      <w:pPr>
        <w:spacing w:line="480" w:lineRule="auto"/>
        <w:ind w:left="567" w:hanging="567"/>
        <w:rPr>
          <w:lang w:val="en-CA"/>
        </w:rPr>
      </w:pPr>
    </w:p>
    <w:p w14:paraId="7AE963D0" w14:textId="77777777" w:rsidR="000604A4" w:rsidRPr="00665CC5" w:rsidRDefault="000604A4" w:rsidP="000604A4">
      <w:pPr>
        <w:pStyle w:val="FootnoteText"/>
        <w:ind w:left="567" w:hanging="567"/>
        <w:rPr>
          <w:lang w:val="en-CA"/>
        </w:rPr>
      </w:pPr>
      <w:r>
        <w:t xml:space="preserve">Putter, Ad., The Language and </w:t>
      </w:r>
      <w:proofErr w:type="spellStart"/>
      <w:r>
        <w:t>Metre</w:t>
      </w:r>
      <w:proofErr w:type="spellEnd"/>
      <w:r>
        <w:t xml:space="preserve"> of “Pater </w:t>
      </w:r>
      <w:proofErr w:type="spellStart"/>
      <w:r>
        <w:t>Noster</w:t>
      </w:r>
      <w:proofErr w:type="spellEnd"/>
      <w:r>
        <w:t xml:space="preserve">” and “Three Dead Kings”, </w:t>
      </w:r>
      <w:r w:rsidRPr="000604A4">
        <w:rPr>
          <w:i/>
        </w:rPr>
        <w:t>Review of English Studies</w:t>
      </w:r>
      <w:r>
        <w:t xml:space="preserve">, New Series, 55, (2004) p.498-526.   </w:t>
      </w:r>
    </w:p>
    <w:p w14:paraId="5A1E0EA3" w14:textId="77777777" w:rsidR="00E61900" w:rsidRDefault="00E61900" w:rsidP="000604A4">
      <w:pPr>
        <w:spacing w:line="480" w:lineRule="auto"/>
        <w:ind w:left="567" w:hanging="567"/>
        <w:rPr>
          <w:lang w:val="en-CA"/>
        </w:rPr>
      </w:pPr>
    </w:p>
    <w:p w14:paraId="10640286" w14:textId="2EC9E918" w:rsidR="00166022" w:rsidRDefault="00166022" w:rsidP="000604A4">
      <w:pPr>
        <w:spacing w:line="480" w:lineRule="auto"/>
        <w:ind w:left="567" w:hanging="567"/>
        <w:rPr>
          <w:lang w:val="en-CA"/>
        </w:rPr>
      </w:pPr>
      <w:r>
        <w:t>Watson, Giles</w:t>
      </w:r>
      <w:r>
        <w:t>.</w:t>
      </w:r>
      <w:r>
        <w:t xml:space="preserve">, ‘The Three Dead Kings’, (2012), [online]. Available at </w:t>
      </w:r>
      <w:hyperlink r:id="rId7" w:history="1">
        <w:r w:rsidRPr="005A2B51">
          <w:rPr>
            <w:rStyle w:val="Hyperlink"/>
          </w:rPr>
          <w:t>https://gileswatson.deviantart.com/art/The-Three-Dead-Kings-306948886</w:t>
        </w:r>
      </w:hyperlink>
      <w:r>
        <w:t xml:space="preserve"> (accessed: December 1, 2017)</w:t>
      </w:r>
      <w:r>
        <w:t>.</w:t>
      </w:r>
      <w:r>
        <w:t xml:space="preserve">  </w:t>
      </w:r>
    </w:p>
    <w:p w14:paraId="4E247794" w14:textId="77777777" w:rsidR="00E61900" w:rsidRPr="000605FE" w:rsidRDefault="00E61900" w:rsidP="00E61900">
      <w:pPr>
        <w:spacing w:line="480" w:lineRule="auto"/>
        <w:rPr>
          <w:lang w:val="en-CA"/>
        </w:rPr>
      </w:pPr>
      <w:bookmarkStart w:id="0" w:name="_GoBack"/>
      <w:bookmarkEnd w:id="0"/>
    </w:p>
    <w:sectPr w:rsidR="00E61900" w:rsidRPr="000605FE" w:rsidSect="006418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D149F" w14:textId="77777777" w:rsidR="00F848B9" w:rsidRDefault="00F848B9" w:rsidP="00CB3DBB">
      <w:r>
        <w:separator/>
      </w:r>
    </w:p>
  </w:endnote>
  <w:endnote w:type="continuationSeparator" w:id="0">
    <w:p w14:paraId="5A0AC8A8" w14:textId="77777777" w:rsidR="00F848B9" w:rsidRDefault="00F848B9" w:rsidP="00CB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nstantia">
    <w:panose1 w:val="02030602050306030303"/>
    <w:charset w:val="00"/>
    <w:family w:val="auto"/>
    <w:pitch w:val="variable"/>
    <w:sig w:usb0="A00002EF" w:usb1="4000204B" w:usb2="00000000" w:usb3="00000000" w:csb0="000001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640B8" w14:textId="77777777" w:rsidR="00F848B9" w:rsidRDefault="00F848B9" w:rsidP="00CB3DBB">
      <w:r>
        <w:separator/>
      </w:r>
    </w:p>
  </w:footnote>
  <w:footnote w:type="continuationSeparator" w:id="0">
    <w:p w14:paraId="207A706E" w14:textId="77777777" w:rsidR="00F848B9" w:rsidRDefault="00F848B9" w:rsidP="00CB3DBB">
      <w:r>
        <w:continuationSeparator/>
      </w:r>
    </w:p>
  </w:footnote>
  <w:footnote w:id="1">
    <w:p w14:paraId="7E914E90" w14:textId="3B22F2E9" w:rsidR="00CB3DBB" w:rsidRPr="006764C4" w:rsidRDefault="00CB3DBB" w:rsidP="006764C4">
      <w:pPr>
        <w:rPr>
          <w:rFonts w:ascii="Times New Roman" w:eastAsia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AD79C4" w:rsidRPr="00090101">
        <w:rPr>
          <w:rFonts w:ascii="Calibri" w:hAnsi="Calibri"/>
        </w:rPr>
        <w:t xml:space="preserve">Christine </w:t>
      </w:r>
      <w:proofErr w:type="spellStart"/>
      <w:r w:rsidR="00AD79C4" w:rsidRPr="00090101">
        <w:rPr>
          <w:rFonts w:ascii="Calibri" w:hAnsi="Calibri"/>
        </w:rPr>
        <w:t>Kralik</w:t>
      </w:r>
      <w:proofErr w:type="spellEnd"/>
      <w:r w:rsidR="00AD79C4" w:rsidRPr="00090101">
        <w:rPr>
          <w:rFonts w:ascii="Calibri" w:hAnsi="Calibri"/>
        </w:rPr>
        <w:t xml:space="preserve">, </w:t>
      </w:r>
      <w:r w:rsidR="006764C4" w:rsidRPr="006764C4">
        <w:rPr>
          <w:rFonts w:ascii="Calibri" w:hAnsi="Calibri"/>
        </w:rPr>
        <w:t>‘</w:t>
      </w:r>
      <w:r w:rsidR="00AD79C4" w:rsidRPr="006764C4">
        <w:rPr>
          <w:rFonts w:ascii="Calibri" w:hAnsi="Calibri"/>
        </w:rPr>
        <w:t xml:space="preserve">Dialogue and Violence in Medieval Illuminations of the Three Living and the Three </w:t>
      </w:r>
      <w:r w:rsidR="00B826A4" w:rsidRPr="006764C4">
        <w:rPr>
          <w:rFonts w:ascii="Calibri" w:hAnsi="Calibri"/>
        </w:rPr>
        <w:t>Dead,</w:t>
      </w:r>
      <w:r w:rsidR="00090101" w:rsidRPr="00090101">
        <w:rPr>
          <w:rFonts w:ascii="Calibri" w:hAnsi="Calibri"/>
        </w:rPr>
        <w:t xml:space="preserve">’ in </w:t>
      </w:r>
      <w:r w:rsidR="00090101" w:rsidRPr="006764C4">
        <w:rPr>
          <w:rFonts w:ascii="Calibri" w:hAnsi="Calibri"/>
          <w:i/>
        </w:rPr>
        <w:t xml:space="preserve">Mixed Metaphors: The </w:t>
      </w:r>
      <w:proofErr w:type="spellStart"/>
      <w:r w:rsidR="00090101" w:rsidRPr="006764C4">
        <w:rPr>
          <w:rFonts w:ascii="Calibri" w:hAnsi="Calibri"/>
          <w:i/>
        </w:rPr>
        <w:t>Danse</w:t>
      </w:r>
      <w:proofErr w:type="spellEnd"/>
      <w:r w:rsidR="00090101" w:rsidRPr="006764C4">
        <w:rPr>
          <w:rFonts w:ascii="Calibri" w:hAnsi="Calibri"/>
          <w:i/>
        </w:rPr>
        <w:t xml:space="preserve"> Macabre in Medieval and Early Modern Europe</w:t>
      </w:r>
      <w:r w:rsidR="00090101" w:rsidRPr="00090101">
        <w:rPr>
          <w:rFonts w:ascii="Calibri" w:hAnsi="Calibri"/>
        </w:rPr>
        <w:t xml:space="preserve"> by </w:t>
      </w:r>
      <w:r w:rsid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Stefanie A. </w:t>
      </w:r>
      <w:proofErr w:type="spellStart"/>
      <w:r w:rsidR="00090101">
        <w:rPr>
          <w:rFonts w:ascii="Calibri" w:eastAsia="Times New Roman" w:hAnsi="Calibri" w:cs="Arial"/>
          <w:color w:val="333333"/>
          <w:shd w:val="clear" w:color="auto" w:fill="FFFFFF"/>
        </w:rPr>
        <w:t>Knöll</w:t>
      </w:r>
      <w:proofErr w:type="spellEnd"/>
      <w:r w:rsid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 and</w:t>
      </w:r>
      <w:r w:rsidR="00090101" w:rsidRP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 Sophie </w:t>
      </w:r>
      <w:proofErr w:type="spellStart"/>
      <w:r w:rsidR="00090101" w:rsidRPr="00090101">
        <w:rPr>
          <w:rFonts w:ascii="Calibri" w:eastAsia="Times New Roman" w:hAnsi="Calibri" w:cs="Arial"/>
          <w:color w:val="333333"/>
          <w:shd w:val="clear" w:color="auto" w:fill="FFFFFF"/>
        </w:rPr>
        <w:t>Oosterwijk</w:t>
      </w:r>
      <w:proofErr w:type="spellEnd"/>
      <w:r w:rsidR="006764C4">
        <w:rPr>
          <w:rFonts w:ascii="Calibri" w:eastAsia="Times New Roman" w:hAnsi="Calibri" w:cs="Arial"/>
          <w:color w:val="333333"/>
          <w:shd w:val="clear" w:color="auto" w:fill="FFFFFF"/>
        </w:rPr>
        <w:t xml:space="preserve"> (Newcastle upon Tyne, Cambridge Scholars, 2011) p. </w:t>
      </w:r>
      <w:r w:rsidR="00AD79C4">
        <w:rPr>
          <w:lang w:val="en-CA"/>
        </w:rPr>
        <w:t>143</w:t>
      </w:r>
      <w:r w:rsidR="00E61900">
        <w:rPr>
          <w:lang w:val="en-CA"/>
        </w:rPr>
        <w:t>.</w:t>
      </w:r>
    </w:p>
  </w:footnote>
  <w:footnote w:id="2">
    <w:p w14:paraId="7CED6D14" w14:textId="46D99DBB" w:rsidR="00665CC5" w:rsidRPr="00665CC5" w:rsidRDefault="00665CC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156640">
        <w:t xml:space="preserve">Ad Putter, The Language and </w:t>
      </w:r>
      <w:proofErr w:type="spellStart"/>
      <w:r w:rsidR="00156640">
        <w:t>Metre</w:t>
      </w:r>
      <w:proofErr w:type="spellEnd"/>
      <w:r w:rsidR="00156640">
        <w:t xml:space="preserve"> of “Pater </w:t>
      </w:r>
      <w:proofErr w:type="spellStart"/>
      <w:r w:rsidR="00156640">
        <w:t>Noster</w:t>
      </w:r>
      <w:proofErr w:type="spellEnd"/>
      <w:r w:rsidR="00156640">
        <w:t>” and “Three Dead Kings”</w:t>
      </w:r>
      <w:r w:rsidR="00971B5A">
        <w:t xml:space="preserve">, </w:t>
      </w:r>
      <w:r w:rsidR="00971B5A" w:rsidRPr="000604A4">
        <w:rPr>
          <w:i/>
        </w:rPr>
        <w:t>Review of English Studies</w:t>
      </w:r>
      <w:r w:rsidR="00971B5A">
        <w:t xml:space="preserve">, New Series, 55, (2004) p.500. </w:t>
      </w:r>
      <w:r w:rsidR="00156640">
        <w:t xml:space="preserve">  </w:t>
      </w:r>
    </w:p>
  </w:footnote>
  <w:footnote w:id="3">
    <w:p w14:paraId="497687A6" w14:textId="3A682353" w:rsidR="00971B5A" w:rsidRPr="00971B5A" w:rsidRDefault="00971B5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</w:t>
      </w:r>
    </w:p>
  </w:footnote>
  <w:footnote w:id="4">
    <w:p w14:paraId="654F0801" w14:textId="7B816228" w:rsidR="00971B5A" w:rsidRPr="00971B5A" w:rsidRDefault="00971B5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511.</w:t>
      </w:r>
    </w:p>
  </w:footnote>
  <w:footnote w:id="5">
    <w:p w14:paraId="23A06A9C" w14:textId="355B8107" w:rsidR="00971B5A" w:rsidRPr="00971B5A" w:rsidRDefault="00971B5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E2947">
        <w:rPr>
          <w:lang w:val="en-CA"/>
        </w:rPr>
        <w:t xml:space="preserve">Nancy </w:t>
      </w:r>
      <w:proofErr w:type="spellStart"/>
      <w:r w:rsidR="00EE2947">
        <w:rPr>
          <w:lang w:val="en-CA"/>
        </w:rPr>
        <w:t>Caciola</w:t>
      </w:r>
      <w:proofErr w:type="spellEnd"/>
      <w:r w:rsidR="00EE2947">
        <w:rPr>
          <w:lang w:val="en-CA"/>
        </w:rPr>
        <w:t>, Wraiths, Revenants and Ritual in Medieval Culture</w:t>
      </w:r>
      <w:r w:rsidR="00EE2947" w:rsidRPr="00995B98">
        <w:rPr>
          <w:i/>
          <w:lang w:val="en-CA"/>
        </w:rPr>
        <w:t>, Past and Present</w:t>
      </w:r>
      <w:r w:rsidR="00EE2947">
        <w:rPr>
          <w:lang w:val="en-CA"/>
        </w:rPr>
        <w:t>, 152 (1996). P</w:t>
      </w:r>
      <w:r w:rsidR="000B6BE1">
        <w:rPr>
          <w:lang w:val="en-CA"/>
        </w:rPr>
        <w:t>. 152</w:t>
      </w:r>
    </w:p>
  </w:footnote>
  <w:footnote w:id="6">
    <w:p w14:paraId="076EAF5C" w14:textId="0158EB62" w:rsidR="00995B98" w:rsidRDefault="00995B98" w:rsidP="001660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6022">
        <w:t xml:space="preserve">Giles, Watson, ‘The Three Dead Kings’, (2012), [online]. Available at </w:t>
      </w:r>
      <w:hyperlink r:id="rId1" w:history="1">
        <w:r w:rsidR="00166022" w:rsidRPr="005A2B51">
          <w:rPr>
            <w:rStyle w:val="Hyperlink"/>
          </w:rPr>
          <w:t>https://gileswatson.deviantart.com/art/The-Three-Dead-Kings-306948886</w:t>
        </w:r>
      </w:hyperlink>
      <w:r w:rsidR="00166022">
        <w:t xml:space="preserve"> (accessed: December 1, 2017). </w:t>
      </w:r>
    </w:p>
    <w:p w14:paraId="573AEC0C" w14:textId="2F2F2D38" w:rsidR="00995B98" w:rsidRPr="00995B98" w:rsidRDefault="00995B98">
      <w:pPr>
        <w:pStyle w:val="FootnoteText"/>
        <w:rPr>
          <w:lang w:val="en-CA"/>
        </w:rPr>
      </w:pPr>
    </w:p>
  </w:footnote>
  <w:footnote w:id="7">
    <w:p w14:paraId="01593055" w14:textId="3C18643B" w:rsidR="00995B98" w:rsidRPr="00995B98" w:rsidRDefault="00995B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3B34">
        <w:t>Ibid</w:t>
      </w:r>
    </w:p>
  </w:footnote>
  <w:footnote w:id="8">
    <w:p w14:paraId="22169826" w14:textId="3C103725" w:rsidR="000B6BE1" w:rsidRPr="000B6BE1" w:rsidRDefault="000B6BE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6764C4" w:rsidRPr="00090101">
        <w:rPr>
          <w:rFonts w:ascii="Calibri" w:hAnsi="Calibri"/>
        </w:rPr>
        <w:t xml:space="preserve">Christine </w:t>
      </w:r>
      <w:proofErr w:type="spellStart"/>
      <w:r w:rsidR="006764C4" w:rsidRPr="00090101">
        <w:rPr>
          <w:rFonts w:ascii="Calibri" w:hAnsi="Calibri"/>
        </w:rPr>
        <w:t>Kralik</w:t>
      </w:r>
      <w:proofErr w:type="spellEnd"/>
      <w:r w:rsidR="006764C4" w:rsidRPr="00090101">
        <w:rPr>
          <w:rFonts w:ascii="Calibri" w:hAnsi="Calibri"/>
        </w:rPr>
        <w:t xml:space="preserve">, </w:t>
      </w:r>
      <w:r w:rsidR="006764C4" w:rsidRPr="006764C4">
        <w:rPr>
          <w:rFonts w:ascii="Calibri" w:hAnsi="Calibri"/>
        </w:rPr>
        <w:t>‘Dialogue and Violence in Medieval Illuminations of the Three Living and the Three Dead,</w:t>
      </w:r>
      <w:r w:rsidR="006764C4" w:rsidRPr="00090101">
        <w:rPr>
          <w:rFonts w:ascii="Calibri" w:hAnsi="Calibri"/>
        </w:rPr>
        <w:t xml:space="preserve">’ in </w:t>
      </w:r>
      <w:r w:rsidR="006764C4" w:rsidRPr="006764C4">
        <w:rPr>
          <w:rFonts w:ascii="Calibri" w:hAnsi="Calibri"/>
          <w:i/>
        </w:rPr>
        <w:t xml:space="preserve">Mixed Metaphors: The </w:t>
      </w:r>
      <w:proofErr w:type="spellStart"/>
      <w:r w:rsidR="006764C4" w:rsidRPr="006764C4">
        <w:rPr>
          <w:rFonts w:ascii="Calibri" w:hAnsi="Calibri"/>
          <w:i/>
        </w:rPr>
        <w:t>Danse</w:t>
      </w:r>
      <w:proofErr w:type="spellEnd"/>
      <w:r w:rsidR="006764C4" w:rsidRPr="006764C4">
        <w:rPr>
          <w:rFonts w:ascii="Calibri" w:hAnsi="Calibri"/>
          <w:i/>
        </w:rPr>
        <w:t xml:space="preserve"> Macabre in Medieval and Early Modern Europe</w:t>
      </w:r>
      <w:r w:rsidR="006764C4" w:rsidRPr="00090101">
        <w:rPr>
          <w:rFonts w:ascii="Calibri" w:hAnsi="Calibri"/>
        </w:rPr>
        <w:t xml:space="preserve"> by </w:t>
      </w:r>
      <w:r w:rsidR="006764C4">
        <w:rPr>
          <w:rFonts w:ascii="Calibri" w:eastAsia="Times New Roman" w:hAnsi="Calibri" w:cs="Arial"/>
          <w:color w:val="333333"/>
          <w:shd w:val="clear" w:color="auto" w:fill="FFFFFF"/>
        </w:rPr>
        <w:t xml:space="preserve">Stefanie A. </w:t>
      </w:r>
      <w:proofErr w:type="spellStart"/>
      <w:r w:rsidR="006764C4">
        <w:rPr>
          <w:rFonts w:ascii="Calibri" w:eastAsia="Times New Roman" w:hAnsi="Calibri" w:cs="Arial"/>
          <w:color w:val="333333"/>
          <w:shd w:val="clear" w:color="auto" w:fill="FFFFFF"/>
        </w:rPr>
        <w:t>Knöll</w:t>
      </w:r>
      <w:proofErr w:type="spellEnd"/>
      <w:r w:rsidR="006764C4">
        <w:rPr>
          <w:rFonts w:ascii="Calibri" w:eastAsia="Times New Roman" w:hAnsi="Calibri" w:cs="Arial"/>
          <w:color w:val="333333"/>
          <w:shd w:val="clear" w:color="auto" w:fill="FFFFFF"/>
        </w:rPr>
        <w:t xml:space="preserve"> and</w:t>
      </w:r>
      <w:r w:rsidR="006764C4" w:rsidRP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 Sophie </w:t>
      </w:r>
      <w:proofErr w:type="spellStart"/>
      <w:r w:rsidR="006764C4" w:rsidRPr="00090101">
        <w:rPr>
          <w:rFonts w:ascii="Calibri" w:eastAsia="Times New Roman" w:hAnsi="Calibri" w:cs="Arial"/>
          <w:color w:val="333333"/>
          <w:shd w:val="clear" w:color="auto" w:fill="FFFFFF"/>
        </w:rPr>
        <w:t>Oosterwijk</w:t>
      </w:r>
      <w:proofErr w:type="spellEnd"/>
      <w:r w:rsidR="006764C4">
        <w:rPr>
          <w:rFonts w:ascii="Calibri" w:eastAsia="Times New Roman" w:hAnsi="Calibri" w:cs="Arial"/>
          <w:color w:val="333333"/>
          <w:shd w:val="clear" w:color="auto" w:fill="FFFFFF"/>
        </w:rPr>
        <w:t xml:space="preserve"> (Newcastle upon Tyne, Cambridge Scholars, 2011)</w:t>
      </w:r>
      <w:r w:rsidR="006764C4">
        <w:rPr>
          <w:rFonts w:ascii="Calibri" w:eastAsia="Times New Roman" w:hAnsi="Calibri" w:cs="Arial"/>
          <w:color w:val="333333"/>
          <w:shd w:val="clear" w:color="auto" w:fill="FFFFFF"/>
        </w:rPr>
        <w:t xml:space="preserve"> p. 134.</w:t>
      </w:r>
    </w:p>
  </w:footnote>
  <w:footnote w:id="9">
    <w:p w14:paraId="360F7D31" w14:textId="2FA6E4A7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Ashby Kinch, Image, Ideology and Form: Middle English Three Dead Kings in its Iconographic Context, </w:t>
      </w:r>
      <w:r w:rsidRPr="006764C4">
        <w:rPr>
          <w:i/>
          <w:lang w:val="en-CA"/>
        </w:rPr>
        <w:t>Chaucer Review</w:t>
      </w:r>
      <w:r>
        <w:rPr>
          <w:lang w:val="en-CA"/>
        </w:rPr>
        <w:t>, 43, (2008) p. 52</w:t>
      </w:r>
      <w:r w:rsidR="00E61900">
        <w:rPr>
          <w:lang w:val="en-CA"/>
        </w:rPr>
        <w:t>.</w:t>
      </w:r>
      <w:r>
        <w:rPr>
          <w:lang w:val="en-CA"/>
        </w:rPr>
        <w:t xml:space="preserve"> </w:t>
      </w:r>
    </w:p>
  </w:footnote>
  <w:footnote w:id="10">
    <w:p w14:paraId="788FFD5A" w14:textId="28F96D2E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</w:t>
      </w:r>
    </w:p>
  </w:footnote>
  <w:footnote w:id="11">
    <w:p w14:paraId="01702951" w14:textId="3101350D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53.</w:t>
      </w:r>
    </w:p>
  </w:footnote>
  <w:footnote w:id="12">
    <w:p w14:paraId="2C9023DB" w14:textId="444C893F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57.</w:t>
      </w:r>
    </w:p>
  </w:footnote>
  <w:footnote w:id="13">
    <w:p w14:paraId="44B3905A" w14:textId="3A7C1093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63.</w:t>
      </w:r>
    </w:p>
  </w:footnote>
  <w:footnote w:id="14">
    <w:p w14:paraId="41DD4098" w14:textId="5693BEE0" w:rsidR="006764C4" w:rsidRPr="006764C4" w:rsidRDefault="006764C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Sophie </w:t>
      </w:r>
      <w:proofErr w:type="spellStart"/>
      <w:r>
        <w:rPr>
          <w:lang w:val="en-CA"/>
        </w:rPr>
        <w:t>Oosterwijk</w:t>
      </w:r>
      <w:proofErr w:type="spellEnd"/>
      <w:r>
        <w:rPr>
          <w:lang w:val="en-CA"/>
        </w:rPr>
        <w:t xml:space="preserve">, Of Corpses, Constables and Kings: The </w:t>
      </w:r>
      <w:proofErr w:type="spellStart"/>
      <w:r>
        <w:rPr>
          <w:lang w:val="en-CA"/>
        </w:rPr>
        <w:t>Danse</w:t>
      </w:r>
      <w:proofErr w:type="spellEnd"/>
      <w:r>
        <w:rPr>
          <w:lang w:val="en-CA"/>
        </w:rPr>
        <w:t xml:space="preserve"> Macabre in Late Medieval and Renaissance Culture, </w:t>
      </w:r>
      <w:r w:rsidR="00995B98" w:rsidRPr="000604A4">
        <w:rPr>
          <w:i/>
          <w:lang w:val="en-CA"/>
        </w:rPr>
        <w:t>Journal of the British Archaeological Association</w:t>
      </w:r>
      <w:r w:rsidR="00995B98">
        <w:rPr>
          <w:lang w:val="en-CA"/>
        </w:rPr>
        <w:t>, 157 (2004) p. 62.</w:t>
      </w:r>
    </w:p>
  </w:footnote>
  <w:footnote w:id="15">
    <w:p w14:paraId="2CFD5B56" w14:textId="64D95D30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</w:t>
      </w:r>
    </w:p>
  </w:footnote>
  <w:footnote w:id="16">
    <w:p w14:paraId="4E1ED059" w14:textId="50BCB5E4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</w:t>
      </w:r>
    </w:p>
  </w:footnote>
  <w:footnote w:id="17">
    <w:p w14:paraId="553DEE93" w14:textId="7698073F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Nancy </w:t>
      </w:r>
      <w:proofErr w:type="spellStart"/>
      <w:r>
        <w:rPr>
          <w:lang w:val="en-CA"/>
        </w:rPr>
        <w:t>Caciola</w:t>
      </w:r>
      <w:proofErr w:type="spellEnd"/>
      <w:r>
        <w:rPr>
          <w:lang w:val="en-CA"/>
        </w:rPr>
        <w:t>, Wraiths, Revenants and Ritual in Medieval Culture</w:t>
      </w:r>
      <w:r w:rsidRPr="00995B98">
        <w:rPr>
          <w:i/>
          <w:lang w:val="en-CA"/>
        </w:rPr>
        <w:t>, Past and Present</w:t>
      </w:r>
      <w:r>
        <w:rPr>
          <w:lang w:val="en-CA"/>
        </w:rPr>
        <w:t xml:space="preserve">, 152 (1996). P. </w:t>
      </w:r>
      <w:r>
        <w:rPr>
          <w:lang w:val="en-CA"/>
        </w:rPr>
        <w:t>25.</w:t>
      </w:r>
    </w:p>
  </w:footnote>
  <w:footnote w:id="18">
    <w:p w14:paraId="259BEDD2" w14:textId="4BCE77D8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Pr="00090101">
        <w:rPr>
          <w:rFonts w:ascii="Calibri" w:hAnsi="Calibri"/>
        </w:rPr>
        <w:t xml:space="preserve">Christine </w:t>
      </w:r>
      <w:proofErr w:type="spellStart"/>
      <w:r w:rsidRPr="00090101">
        <w:rPr>
          <w:rFonts w:ascii="Calibri" w:hAnsi="Calibri"/>
        </w:rPr>
        <w:t>Kralik</w:t>
      </w:r>
      <w:proofErr w:type="spellEnd"/>
      <w:r w:rsidRPr="00090101">
        <w:rPr>
          <w:rFonts w:ascii="Calibri" w:hAnsi="Calibri"/>
        </w:rPr>
        <w:t xml:space="preserve">, </w:t>
      </w:r>
      <w:r w:rsidRPr="006764C4">
        <w:rPr>
          <w:rFonts w:ascii="Calibri" w:hAnsi="Calibri"/>
        </w:rPr>
        <w:t>‘Dialogue and Violence in Medieval Illuminations of the Three Living and the Three Dead,</w:t>
      </w:r>
      <w:r w:rsidRPr="00090101">
        <w:rPr>
          <w:rFonts w:ascii="Calibri" w:hAnsi="Calibri"/>
        </w:rPr>
        <w:t xml:space="preserve">’ in </w:t>
      </w:r>
      <w:r w:rsidRPr="006764C4">
        <w:rPr>
          <w:rFonts w:ascii="Calibri" w:hAnsi="Calibri"/>
          <w:i/>
        </w:rPr>
        <w:t xml:space="preserve">Mixed Metaphors: The </w:t>
      </w:r>
      <w:proofErr w:type="spellStart"/>
      <w:r w:rsidRPr="006764C4">
        <w:rPr>
          <w:rFonts w:ascii="Calibri" w:hAnsi="Calibri"/>
          <w:i/>
        </w:rPr>
        <w:t>Danse</w:t>
      </w:r>
      <w:proofErr w:type="spellEnd"/>
      <w:r w:rsidRPr="006764C4">
        <w:rPr>
          <w:rFonts w:ascii="Calibri" w:hAnsi="Calibri"/>
          <w:i/>
        </w:rPr>
        <w:t xml:space="preserve"> Macabre in Medieval and Early Modern Europe</w:t>
      </w:r>
      <w:r w:rsidRPr="00090101">
        <w:rPr>
          <w:rFonts w:ascii="Calibri" w:hAnsi="Calibri"/>
        </w:rPr>
        <w:t xml:space="preserve"> by </w:t>
      </w:r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Stefanie A. </w:t>
      </w:r>
      <w:proofErr w:type="spellStart"/>
      <w:r>
        <w:rPr>
          <w:rFonts w:ascii="Calibri" w:eastAsia="Times New Roman" w:hAnsi="Calibri" w:cs="Arial"/>
          <w:color w:val="333333"/>
          <w:shd w:val="clear" w:color="auto" w:fill="FFFFFF"/>
        </w:rPr>
        <w:t>Knöll</w:t>
      </w:r>
      <w:proofErr w:type="spellEnd"/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 and</w:t>
      </w:r>
      <w:r w:rsidRPr="00090101">
        <w:rPr>
          <w:rFonts w:ascii="Calibri" w:eastAsia="Times New Roman" w:hAnsi="Calibri" w:cs="Arial"/>
          <w:color w:val="333333"/>
          <w:shd w:val="clear" w:color="auto" w:fill="FFFFFF"/>
        </w:rPr>
        <w:t xml:space="preserve"> Sophie </w:t>
      </w:r>
      <w:proofErr w:type="spellStart"/>
      <w:r w:rsidRPr="00090101">
        <w:rPr>
          <w:rFonts w:ascii="Calibri" w:eastAsia="Times New Roman" w:hAnsi="Calibri" w:cs="Arial"/>
          <w:color w:val="333333"/>
          <w:shd w:val="clear" w:color="auto" w:fill="FFFFFF"/>
        </w:rPr>
        <w:t>Oosterwijk</w:t>
      </w:r>
      <w:proofErr w:type="spellEnd"/>
      <w:r>
        <w:rPr>
          <w:rFonts w:ascii="Calibri" w:eastAsia="Times New Roman" w:hAnsi="Calibri" w:cs="Arial"/>
          <w:color w:val="333333"/>
          <w:shd w:val="clear" w:color="auto" w:fill="FFFFFF"/>
        </w:rPr>
        <w:t xml:space="preserve"> (Newcastle upon Tyne, Cambridge Scholars, 2011) p. 134.</w:t>
      </w:r>
    </w:p>
  </w:footnote>
  <w:footnote w:id="19">
    <w:p w14:paraId="373002E0" w14:textId="6015671F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Nancy </w:t>
      </w:r>
      <w:proofErr w:type="spellStart"/>
      <w:r>
        <w:rPr>
          <w:lang w:val="en-CA"/>
        </w:rPr>
        <w:t>Caciola</w:t>
      </w:r>
      <w:proofErr w:type="spellEnd"/>
      <w:r>
        <w:rPr>
          <w:lang w:val="en-CA"/>
        </w:rPr>
        <w:t>, Wraiths, Revenants and Ritual in Medieval Culture</w:t>
      </w:r>
      <w:r w:rsidRPr="00995B98">
        <w:rPr>
          <w:i/>
          <w:lang w:val="en-CA"/>
        </w:rPr>
        <w:t>, Past and Present</w:t>
      </w:r>
      <w:r>
        <w:rPr>
          <w:lang w:val="en-CA"/>
        </w:rPr>
        <w:t xml:space="preserve">, 152 (1996). P. </w:t>
      </w:r>
      <w:r>
        <w:rPr>
          <w:lang w:val="en-CA"/>
        </w:rPr>
        <w:t>26</w:t>
      </w:r>
      <w:r>
        <w:rPr>
          <w:lang w:val="en-CA"/>
        </w:rPr>
        <w:t>.</w:t>
      </w:r>
    </w:p>
  </w:footnote>
  <w:footnote w:id="20">
    <w:p w14:paraId="7FEB6C69" w14:textId="4CEDAFEF" w:rsidR="00995B98" w:rsidRPr="00995B98" w:rsidRDefault="00995B9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25.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5FE"/>
    <w:rsid w:val="000057CA"/>
    <w:rsid w:val="00042D62"/>
    <w:rsid w:val="000604A4"/>
    <w:rsid w:val="000605FE"/>
    <w:rsid w:val="00065ED1"/>
    <w:rsid w:val="00090101"/>
    <w:rsid w:val="000B6BE1"/>
    <w:rsid w:val="000B7D15"/>
    <w:rsid w:val="000E74BA"/>
    <w:rsid w:val="001149C5"/>
    <w:rsid w:val="00126813"/>
    <w:rsid w:val="00155472"/>
    <w:rsid w:val="00156640"/>
    <w:rsid w:val="00166022"/>
    <w:rsid w:val="00194FE0"/>
    <w:rsid w:val="001E0267"/>
    <w:rsid w:val="001E3C0E"/>
    <w:rsid w:val="00250347"/>
    <w:rsid w:val="002562B1"/>
    <w:rsid w:val="00271661"/>
    <w:rsid w:val="002D6AC6"/>
    <w:rsid w:val="002F58E4"/>
    <w:rsid w:val="003055F1"/>
    <w:rsid w:val="00310350"/>
    <w:rsid w:val="00323634"/>
    <w:rsid w:val="00343A9A"/>
    <w:rsid w:val="00373B34"/>
    <w:rsid w:val="0038240B"/>
    <w:rsid w:val="003E1C52"/>
    <w:rsid w:val="003E7AD4"/>
    <w:rsid w:val="00414D6B"/>
    <w:rsid w:val="00432CFE"/>
    <w:rsid w:val="004866A3"/>
    <w:rsid w:val="004A6B5F"/>
    <w:rsid w:val="004C47C2"/>
    <w:rsid w:val="005135F7"/>
    <w:rsid w:val="00546305"/>
    <w:rsid w:val="0057609F"/>
    <w:rsid w:val="005E5600"/>
    <w:rsid w:val="006077CA"/>
    <w:rsid w:val="006418F9"/>
    <w:rsid w:val="00665CC5"/>
    <w:rsid w:val="006764C4"/>
    <w:rsid w:val="006B2614"/>
    <w:rsid w:val="006D4BCC"/>
    <w:rsid w:val="006F41B0"/>
    <w:rsid w:val="00714AB8"/>
    <w:rsid w:val="00766D6A"/>
    <w:rsid w:val="008328E9"/>
    <w:rsid w:val="00841B97"/>
    <w:rsid w:val="008757C5"/>
    <w:rsid w:val="008D27E2"/>
    <w:rsid w:val="008E3D30"/>
    <w:rsid w:val="008E5FC6"/>
    <w:rsid w:val="00970606"/>
    <w:rsid w:val="00971B5A"/>
    <w:rsid w:val="00995B98"/>
    <w:rsid w:val="0099795D"/>
    <w:rsid w:val="009F295E"/>
    <w:rsid w:val="00A01244"/>
    <w:rsid w:val="00A40AFD"/>
    <w:rsid w:val="00A629C2"/>
    <w:rsid w:val="00A743D6"/>
    <w:rsid w:val="00AC25FE"/>
    <w:rsid w:val="00AD79C4"/>
    <w:rsid w:val="00B008B7"/>
    <w:rsid w:val="00B241A3"/>
    <w:rsid w:val="00B70879"/>
    <w:rsid w:val="00B826A4"/>
    <w:rsid w:val="00BC3234"/>
    <w:rsid w:val="00BD4B52"/>
    <w:rsid w:val="00BE4391"/>
    <w:rsid w:val="00BE644B"/>
    <w:rsid w:val="00C63FEC"/>
    <w:rsid w:val="00CA0DFA"/>
    <w:rsid w:val="00CB3DBB"/>
    <w:rsid w:val="00CE4E1E"/>
    <w:rsid w:val="00CE57A5"/>
    <w:rsid w:val="00CF71CB"/>
    <w:rsid w:val="00D05ADF"/>
    <w:rsid w:val="00D11E38"/>
    <w:rsid w:val="00D126B8"/>
    <w:rsid w:val="00D12E33"/>
    <w:rsid w:val="00D206EF"/>
    <w:rsid w:val="00D25FB3"/>
    <w:rsid w:val="00DD59D6"/>
    <w:rsid w:val="00DF20DA"/>
    <w:rsid w:val="00E12875"/>
    <w:rsid w:val="00E306B2"/>
    <w:rsid w:val="00E61900"/>
    <w:rsid w:val="00E907C1"/>
    <w:rsid w:val="00E926FC"/>
    <w:rsid w:val="00ED7810"/>
    <w:rsid w:val="00EE2947"/>
    <w:rsid w:val="00F5471B"/>
    <w:rsid w:val="00F62807"/>
    <w:rsid w:val="00F848B9"/>
    <w:rsid w:val="00FB60FB"/>
    <w:rsid w:val="00FC0505"/>
    <w:rsid w:val="00FF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57A7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27E2"/>
    <w:pPr>
      <w:autoSpaceDE w:val="0"/>
      <w:autoSpaceDN w:val="0"/>
      <w:adjustRightInd w:val="0"/>
    </w:pPr>
    <w:rPr>
      <w:rFonts w:ascii="Constantia" w:hAnsi="Constantia" w:cs="Constantia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2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26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CB3DBB"/>
  </w:style>
  <w:style w:type="character" w:customStyle="1" w:styleId="FootnoteTextChar">
    <w:name w:val="Footnote Text Char"/>
    <w:basedOn w:val="DefaultParagraphFont"/>
    <w:link w:val="FootnoteText"/>
    <w:uiPriority w:val="99"/>
    <w:rsid w:val="00CB3DBB"/>
  </w:style>
  <w:style w:type="character" w:styleId="FootnoteReference">
    <w:name w:val="footnote reference"/>
    <w:basedOn w:val="DefaultParagraphFont"/>
    <w:uiPriority w:val="99"/>
    <w:unhideWhenUsed/>
    <w:rsid w:val="00CB3DBB"/>
    <w:rPr>
      <w:vertAlign w:val="superscript"/>
    </w:rPr>
  </w:style>
  <w:style w:type="character" w:customStyle="1" w:styleId="apple-converted-space">
    <w:name w:val="apple-converted-space"/>
    <w:basedOn w:val="DefaultParagraphFont"/>
    <w:rsid w:val="00090101"/>
  </w:style>
  <w:style w:type="character" w:styleId="Hyperlink">
    <w:name w:val="Hyperlink"/>
    <w:basedOn w:val="DefaultParagraphFont"/>
    <w:uiPriority w:val="99"/>
    <w:unhideWhenUsed/>
    <w:rsid w:val="00995B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gileswatson.deviantart.com/art/The-Three-Dead-Kings-306948886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gileswatson.deviantart.com/art/The-Three-Dead-Kings-3069488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978689B-DF1D-854C-97B2-06CF7A43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1258</Words>
  <Characters>7174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Bryce Robinson</dc:creator>
  <cp:keywords/>
  <dc:description/>
  <cp:lastModifiedBy>Bryce Robinson</cp:lastModifiedBy>
  <cp:revision>2</cp:revision>
  <dcterms:created xsi:type="dcterms:W3CDTF">2017-12-01T16:02:00Z</dcterms:created>
  <dcterms:modified xsi:type="dcterms:W3CDTF">2017-12-01T16:02:00Z</dcterms:modified>
</cp:coreProperties>
</file>