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77BCE" w14:textId="77777777" w:rsidR="00BF222E" w:rsidRPr="00866B72" w:rsidRDefault="00BF222E" w:rsidP="00BF222E"/>
    <w:p w14:paraId="272576BD" w14:textId="5F69CC1B" w:rsidR="00BF222E" w:rsidRPr="00BF222E" w:rsidRDefault="00BF222E" w:rsidP="00435CEE">
      <w:pPr>
        <w:spacing w:line="360" w:lineRule="auto"/>
        <w:jc w:val="center"/>
        <w:rPr>
          <w:rFonts w:ascii="Arial" w:hAnsi="Arial" w:cs="Arial"/>
          <w:b/>
          <w:bCs/>
          <w:sz w:val="22"/>
          <w:szCs w:val="22"/>
        </w:rPr>
      </w:pPr>
      <w:r w:rsidRPr="00BF222E">
        <w:rPr>
          <w:rFonts w:ascii="Arial" w:hAnsi="Arial" w:cs="Arial"/>
          <w:b/>
          <w:bCs/>
          <w:sz w:val="22"/>
          <w:szCs w:val="22"/>
        </w:rPr>
        <w:t xml:space="preserve">Module Title: </w:t>
      </w:r>
      <w:r w:rsidR="00F9432A">
        <w:rPr>
          <w:rFonts w:ascii="Arial" w:hAnsi="Arial" w:cs="Arial"/>
          <w:sz w:val="22"/>
          <w:szCs w:val="22"/>
        </w:rPr>
        <w:t xml:space="preserve">Introduction </w:t>
      </w:r>
      <w:r w:rsidRPr="00435CEE">
        <w:rPr>
          <w:rFonts w:ascii="Arial" w:hAnsi="Arial" w:cs="Arial"/>
          <w:sz w:val="22"/>
          <w:szCs w:val="22"/>
        </w:rPr>
        <w:t xml:space="preserve">to </w:t>
      </w:r>
      <w:r w:rsidR="0094474C">
        <w:rPr>
          <w:rFonts w:ascii="Arial" w:hAnsi="Arial" w:cs="Arial"/>
          <w:sz w:val="22"/>
          <w:szCs w:val="22"/>
        </w:rPr>
        <w:t>Health</w:t>
      </w:r>
      <w:r w:rsidRPr="00435CEE">
        <w:rPr>
          <w:rFonts w:ascii="Arial" w:hAnsi="Arial" w:cs="Arial"/>
          <w:sz w:val="22"/>
          <w:szCs w:val="22"/>
        </w:rPr>
        <w:t xml:space="preserve"> and </w:t>
      </w:r>
      <w:r w:rsidR="0094474C">
        <w:rPr>
          <w:rFonts w:ascii="Arial" w:hAnsi="Arial" w:cs="Arial"/>
          <w:sz w:val="22"/>
          <w:szCs w:val="22"/>
        </w:rPr>
        <w:t>Social Care</w:t>
      </w:r>
      <w:r w:rsidRPr="00435CEE">
        <w:rPr>
          <w:rFonts w:ascii="Arial" w:hAnsi="Arial" w:cs="Arial"/>
          <w:b/>
          <w:bCs/>
          <w:sz w:val="22"/>
          <w:szCs w:val="22"/>
        </w:rPr>
        <w:t xml:space="preserve"> </w:t>
      </w:r>
    </w:p>
    <w:p w14:paraId="6348EF86" w14:textId="6C41C6F7" w:rsidR="00BF222E" w:rsidRPr="00BF222E" w:rsidRDefault="00BF222E" w:rsidP="00435CEE">
      <w:pPr>
        <w:spacing w:line="360" w:lineRule="auto"/>
        <w:jc w:val="center"/>
        <w:rPr>
          <w:rFonts w:ascii="Arial" w:hAnsi="Arial" w:cs="Arial"/>
          <w:b/>
          <w:bCs/>
          <w:sz w:val="22"/>
          <w:szCs w:val="22"/>
        </w:rPr>
      </w:pPr>
      <w:r w:rsidRPr="00BF222E">
        <w:rPr>
          <w:rFonts w:ascii="Arial" w:hAnsi="Arial" w:cs="Arial"/>
          <w:b/>
          <w:bCs/>
          <w:sz w:val="22"/>
          <w:szCs w:val="22"/>
        </w:rPr>
        <w:t>Module Number:</w:t>
      </w:r>
      <w:r w:rsidRPr="00BF222E">
        <w:rPr>
          <w:rFonts w:ascii="Arial" w:hAnsi="Arial" w:cs="Arial"/>
          <w:sz w:val="22"/>
          <w:szCs w:val="22"/>
        </w:rPr>
        <w:t xml:space="preserve"> LCHS400</w:t>
      </w:r>
      <w:r w:rsidR="00435CEE" w:rsidRPr="00435CEE">
        <w:rPr>
          <w:rFonts w:ascii="Arial" w:hAnsi="Arial" w:cs="Arial"/>
          <w:sz w:val="22"/>
          <w:szCs w:val="22"/>
        </w:rPr>
        <w:t>3</w:t>
      </w:r>
    </w:p>
    <w:p w14:paraId="0019D0BC" w14:textId="77777777" w:rsidR="00BF222E" w:rsidRPr="00BF222E" w:rsidRDefault="00BF222E" w:rsidP="00435CEE">
      <w:pPr>
        <w:spacing w:line="360" w:lineRule="auto"/>
        <w:jc w:val="center"/>
        <w:rPr>
          <w:rFonts w:ascii="Arial" w:hAnsi="Arial" w:cs="Arial"/>
          <w:b/>
          <w:bCs/>
          <w:sz w:val="22"/>
          <w:szCs w:val="22"/>
        </w:rPr>
      </w:pPr>
      <w:r w:rsidRPr="00BF222E">
        <w:rPr>
          <w:rFonts w:ascii="Arial" w:hAnsi="Arial" w:cs="Arial"/>
          <w:b/>
          <w:bCs/>
          <w:sz w:val="22"/>
          <w:szCs w:val="22"/>
        </w:rPr>
        <w:t xml:space="preserve">Student Name: </w:t>
      </w:r>
      <w:r w:rsidRPr="00BF222E">
        <w:rPr>
          <w:rFonts w:ascii="Arial" w:hAnsi="Arial" w:cs="Arial"/>
          <w:sz w:val="22"/>
          <w:szCs w:val="22"/>
        </w:rPr>
        <w:t>Ria O’Shaughnessy</w:t>
      </w:r>
    </w:p>
    <w:p w14:paraId="796962BB" w14:textId="77777777" w:rsidR="00BF222E" w:rsidRPr="00BF222E" w:rsidRDefault="00BF222E" w:rsidP="00435CEE">
      <w:pPr>
        <w:spacing w:line="360" w:lineRule="auto"/>
        <w:jc w:val="center"/>
        <w:rPr>
          <w:rFonts w:ascii="Arial" w:hAnsi="Arial" w:cs="Arial"/>
          <w:b/>
          <w:bCs/>
          <w:sz w:val="22"/>
          <w:szCs w:val="22"/>
        </w:rPr>
      </w:pPr>
      <w:r w:rsidRPr="00BF222E">
        <w:rPr>
          <w:rFonts w:ascii="Arial" w:hAnsi="Arial" w:cs="Arial"/>
          <w:b/>
          <w:bCs/>
          <w:sz w:val="22"/>
          <w:szCs w:val="22"/>
        </w:rPr>
        <w:t>Student ID:</w:t>
      </w:r>
      <w:r w:rsidRPr="00BF222E">
        <w:rPr>
          <w:rFonts w:ascii="Arial" w:hAnsi="Arial" w:cs="Arial"/>
          <w:sz w:val="22"/>
          <w:szCs w:val="22"/>
        </w:rPr>
        <w:t xml:space="preserve"> 2437847</w:t>
      </w:r>
    </w:p>
    <w:p w14:paraId="5AFDA71B" w14:textId="3093D457" w:rsidR="00BF222E" w:rsidRPr="00BF222E" w:rsidRDefault="00BF222E" w:rsidP="00435CEE">
      <w:pPr>
        <w:spacing w:line="360" w:lineRule="auto"/>
        <w:jc w:val="center"/>
        <w:rPr>
          <w:rFonts w:ascii="Arial" w:hAnsi="Arial" w:cs="Arial"/>
          <w:b/>
          <w:bCs/>
          <w:sz w:val="22"/>
          <w:szCs w:val="22"/>
        </w:rPr>
      </w:pPr>
      <w:r w:rsidRPr="00BF222E">
        <w:rPr>
          <w:rFonts w:ascii="Arial" w:hAnsi="Arial" w:cs="Arial"/>
          <w:b/>
          <w:bCs/>
          <w:sz w:val="22"/>
          <w:szCs w:val="22"/>
        </w:rPr>
        <w:t>Lecturer’s Name:</w:t>
      </w:r>
      <w:r w:rsidR="00435CEE" w:rsidRPr="00435CEE">
        <w:rPr>
          <w:rFonts w:ascii="Arial" w:hAnsi="Arial" w:cs="Arial"/>
          <w:b/>
          <w:bCs/>
          <w:sz w:val="22"/>
          <w:szCs w:val="22"/>
        </w:rPr>
        <w:t xml:space="preserve"> </w:t>
      </w:r>
      <w:r w:rsidR="00435CEE" w:rsidRPr="00435CEE">
        <w:rPr>
          <w:rFonts w:ascii="Arial" w:hAnsi="Arial" w:cs="Arial"/>
          <w:sz w:val="22"/>
          <w:szCs w:val="22"/>
        </w:rPr>
        <w:t>Mrs peng Wu</w:t>
      </w:r>
      <w:r w:rsidR="00435CEE" w:rsidRPr="00435CEE">
        <w:rPr>
          <w:rFonts w:ascii="Arial" w:hAnsi="Arial" w:cs="Arial"/>
          <w:b/>
          <w:bCs/>
          <w:sz w:val="22"/>
          <w:szCs w:val="22"/>
        </w:rPr>
        <w:t xml:space="preserve"> </w:t>
      </w:r>
    </w:p>
    <w:p w14:paraId="2086EFD3" w14:textId="77777777" w:rsidR="00BF222E" w:rsidRPr="00435CEE" w:rsidRDefault="00BF222E" w:rsidP="00435CEE">
      <w:pPr>
        <w:spacing w:line="360" w:lineRule="auto"/>
        <w:rPr>
          <w:rFonts w:ascii="Arial" w:hAnsi="Arial" w:cs="Arial"/>
          <w:b/>
          <w:bCs/>
          <w:sz w:val="22"/>
          <w:szCs w:val="22"/>
        </w:rPr>
      </w:pPr>
    </w:p>
    <w:p w14:paraId="0862ED2A" w14:textId="77777777" w:rsidR="00BF222E" w:rsidRPr="00435CEE" w:rsidRDefault="00BF222E" w:rsidP="00435CEE">
      <w:pPr>
        <w:spacing w:line="360" w:lineRule="auto"/>
        <w:rPr>
          <w:rFonts w:ascii="Arial" w:hAnsi="Arial" w:cs="Arial"/>
          <w:b/>
          <w:bCs/>
          <w:sz w:val="22"/>
          <w:szCs w:val="22"/>
        </w:rPr>
      </w:pPr>
    </w:p>
    <w:p w14:paraId="3303E902" w14:textId="77777777" w:rsidR="00BF222E" w:rsidRPr="00435CEE" w:rsidRDefault="00BF222E" w:rsidP="00435CEE">
      <w:pPr>
        <w:spacing w:line="360" w:lineRule="auto"/>
        <w:rPr>
          <w:rFonts w:ascii="Arial" w:hAnsi="Arial" w:cs="Arial"/>
          <w:b/>
          <w:bCs/>
          <w:sz w:val="22"/>
          <w:szCs w:val="22"/>
        </w:rPr>
      </w:pPr>
    </w:p>
    <w:p w14:paraId="26AAB921" w14:textId="77777777" w:rsidR="00BF222E" w:rsidRPr="00435CEE" w:rsidRDefault="00BF222E" w:rsidP="00435CEE">
      <w:pPr>
        <w:spacing w:line="360" w:lineRule="auto"/>
        <w:rPr>
          <w:rFonts w:ascii="Arial" w:hAnsi="Arial" w:cs="Arial"/>
          <w:b/>
          <w:bCs/>
          <w:sz w:val="22"/>
          <w:szCs w:val="22"/>
        </w:rPr>
      </w:pPr>
    </w:p>
    <w:p w14:paraId="027C95A8" w14:textId="77777777" w:rsidR="00BF222E" w:rsidRPr="00435CEE" w:rsidRDefault="00BF222E" w:rsidP="00435CEE">
      <w:pPr>
        <w:spacing w:line="360" w:lineRule="auto"/>
        <w:rPr>
          <w:rFonts w:ascii="Arial" w:hAnsi="Arial" w:cs="Arial"/>
          <w:b/>
          <w:bCs/>
          <w:sz w:val="22"/>
          <w:szCs w:val="22"/>
        </w:rPr>
      </w:pPr>
    </w:p>
    <w:p w14:paraId="30B8211C" w14:textId="77777777" w:rsidR="00BF222E" w:rsidRPr="00435CEE" w:rsidRDefault="00BF222E" w:rsidP="00435CEE">
      <w:pPr>
        <w:spacing w:line="360" w:lineRule="auto"/>
        <w:rPr>
          <w:rFonts w:ascii="Arial" w:hAnsi="Arial" w:cs="Arial"/>
          <w:b/>
          <w:bCs/>
          <w:sz w:val="22"/>
          <w:szCs w:val="22"/>
        </w:rPr>
      </w:pPr>
    </w:p>
    <w:p w14:paraId="43D65FB8" w14:textId="77777777" w:rsidR="00BF222E" w:rsidRPr="00435CEE" w:rsidRDefault="00BF222E" w:rsidP="00435CEE">
      <w:pPr>
        <w:spacing w:line="360" w:lineRule="auto"/>
        <w:rPr>
          <w:rFonts w:ascii="Arial" w:hAnsi="Arial" w:cs="Arial"/>
          <w:b/>
          <w:bCs/>
          <w:sz w:val="22"/>
          <w:szCs w:val="22"/>
        </w:rPr>
      </w:pPr>
    </w:p>
    <w:p w14:paraId="5E764F32" w14:textId="77777777" w:rsidR="00BF222E" w:rsidRPr="00435CEE" w:rsidRDefault="00BF222E" w:rsidP="00435CEE">
      <w:pPr>
        <w:spacing w:line="360" w:lineRule="auto"/>
        <w:rPr>
          <w:rFonts w:ascii="Arial" w:hAnsi="Arial" w:cs="Arial"/>
          <w:b/>
          <w:bCs/>
          <w:sz w:val="22"/>
          <w:szCs w:val="22"/>
        </w:rPr>
      </w:pPr>
    </w:p>
    <w:p w14:paraId="6D1F1B5B" w14:textId="77777777" w:rsidR="00BF222E" w:rsidRPr="00435CEE" w:rsidRDefault="00BF222E" w:rsidP="00435CEE">
      <w:pPr>
        <w:spacing w:line="360" w:lineRule="auto"/>
        <w:rPr>
          <w:rFonts w:ascii="Arial" w:hAnsi="Arial" w:cs="Arial"/>
          <w:b/>
          <w:bCs/>
          <w:sz w:val="22"/>
          <w:szCs w:val="22"/>
        </w:rPr>
      </w:pPr>
    </w:p>
    <w:p w14:paraId="31514616" w14:textId="77777777" w:rsidR="00BF222E" w:rsidRPr="00435CEE" w:rsidRDefault="00BF222E" w:rsidP="00435CEE">
      <w:pPr>
        <w:spacing w:line="360" w:lineRule="auto"/>
        <w:rPr>
          <w:rFonts w:ascii="Arial" w:hAnsi="Arial" w:cs="Arial"/>
          <w:b/>
          <w:bCs/>
          <w:sz w:val="22"/>
          <w:szCs w:val="22"/>
        </w:rPr>
      </w:pPr>
    </w:p>
    <w:p w14:paraId="4A0038CD" w14:textId="77777777" w:rsidR="00BF222E" w:rsidRPr="00435CEE" w:rsidRDefault="00BF222E" w:rsidP="00435CEE">
      <w:pPr>
        <w:spacing w:line="360" w:lineRule="auto"/>
        <w:rPr>
          <w:rFonts w:ascii="Arial" w:hAnsi="Arial" w:cs="Arial"/>
          <w:b/>
          <w:bCs/>
          <w:sz w:val="22"/>
          <w:szCs w:val="22"/>
        </w:rPr>
      </w:pPr>
    </w:p>
    <w:p w14:paraId="7B0EC866" w14:textId="77777777" w:rsidR="00BF222E" w:rsidRPr="00435CEE" w:rsidRDefault="00BF222E" w:rsidP="00435CEE">
      <w:pPr>
        <w:spacing w:line="360" w:lineRule="auto"/>
        <w:rPr>
          <w:rFonts w:ascii="Arial" w:hAnsi="Arial" w:cs="Arial"/>
          <w:b/>
          <w:bCs/>
          <w:sz w:val="22"/>
          <w:szCs w:val="22"/>
        </w:rPr>
      </w:pPr>
    </w:p>
    <w:p w14:paraId="656DFA34" w14:textId="77777777" w:rsidR="00BF222E" w:rsidRPr="00435CEE" w:rsidRDefault="00BF222E" w:rsidP="00435CEE">
      <w:pPr>
        <w:spacing w:line="360" w:lineRule="auto"/>
        <w:rPr>
          <w:rFonts w:ascii="Arial" w:hAnsi="Arial" w:cs="Arial"/>
          <w:b/>
          <w:bCs/>
          <w:sz w:val="22"/>
          <w:szCs w:val="22"/>
        </w:rPr>
      </w:pPr>
    </w:p>
    <w:p w14:paraId="617DAC6F" w14:textId="77777777" w:rsidR="00BF222E" w:rsidRPr="00435CEE" w:rsidRDefault="00BF222E" w:rsidP="00435CEE">
      <w:pPr>
        <w:spacing w:line="360" w:lineRule="auto"/>
        <w:rPr>
          <w:rFonts w:ascii="Arial" w:hAnsi="Arial" w:cs="Arial"/>
          <w:b/>
          <w:bCs/>
          <w:sz w:val="22"/>
          <w:szCs w:val="22"/>
        </w:rPr>
      </w:pPr>
    </w:p>
    <w:p w14:paraId="7D2F710C" w14:textId="77777777" w:rsidR="00BF222E" w:rsidRPr="00435CEE" w:rsidRDefault="00BF222E" w:rsidP="00435CEE">
      <w:pPr>
        <w:spacing w:line="360" w:lineRule="auto"/>
        <w:rPr>
          <w:rFonts w:ascii="Arial" w:hAnsi="Arial" w:cs="Arial"/>
          <w:b/>
          <w:bCs/>
          <w:sz w:val="22"/>
          <w:szCs w:val="22"/>
        </w:rPr>
      </w:pPr>
    </w:p>
    <w:p w14:paraId="401E4A94" w14:textId="77777777" w:rsidR="00BF222E" w:rsidRPr="00435CEE" w:rsidRDefault="00BF222E" w:rsidP="00435CEE">
      <w:pPr>
        <w:spacing w:line="360" w:lineRule="auto"/>
        <w:rPr>
          <w:rFonts w:ascii="Arial" w:hAnsi="Arial" w:cs="Arial"/>
          <w:b/>
          <w:bCs/>
          <w:sz w:val="22"/>
          <w:szCs w:val="22"/>
        </w:rPr>
      </w:pPr>
    </w:p>
    <w:p w14:paraId="14AACCF9" w14:textId="77777777" w:rsidR="00BF222E" w:rsidRPr="00435CEE" w:rsidRDefault="00BF222E" w:rsidP="00435CEE">
      <w:pPr>
        <w:spacing w:line="360" w:lineRule="auto"/>
        <w:rPr>
          <w:rFonts w:ascii="Arial" w:hAnsi="Arial" w:cs="Arial"/>
          <w:b/>
          <w:bCs/>
          <w:sz w:val="22"/>
          <w:szCs w:val="22"/>
        </w:rPr>
      </w:pPr>
    </w:p>
    <w:p w14:paraId="27A0FA2B" w14:textId="09B65DC5" w:rsidR="00BF222E" w:rsidRPr="00BF222E" w:rsidRDefault="00BF222E" w:rsidP="00435CEE">
      <w:pPr>
        <w:spacing w:line="360" w:lineRule="auto"/>
        <w:rPr>
          <w:rFonts w:ascii="Arial" w:hAnsi="Arial" w:cs="Arial"/>
          <w:sz w:val="22"/>
          <w:szCs w:val="22"/>
        </w:rPr>
      </w:pPr>
    </w:p>
    <w:p w14:paraId="5EBA1753" w14:textId="77777777" w:rsidR="00435CEE" w:rsidRDefault="00435CEE" w:rsidP="00435CEE">
      <w:pPr>
        <w:spacing w:line="360" w:lineRule="auto"/>
        <w:rPr>
          <w:rFonts w:ascii="Arial" w:hAnsi="Arial" w:cs="Arial"/>
          <w:b/>
          <w:bCs/>
          <w:sz w:val="22"/>
          <w:szCs w:val="22"/>
        </w:rPr>
      </w:pPr>
    </w:p>
    <w:p w14:paraId="2143CAF4" w14:textId="77777777" w:rsidR="00435CEE" w:rsidRDefault="00435CEE" w:rsidP="00435CEE">
      <w:pPr>
        <w:spacing w:line="360" w:lineRule="auto"/>
        <w:rPr>
          <w:rFonts w:ascii="Arial" w:hAnsi="Arial" w:cs="Arial"/>
          <w:b/>
          <w:bCs/>
          <w:sz w:val="22"/>
          <w:szCs w:val="22"/>
        </w:rPr>
      </w:pPr>
    </w:p>
    <w:p w14:paraId="65AA136B" w14:textId="241DAB5D" w:rsidR="00BF222E" w:rsidRPr="00BF222E" w:rsidRDefault="00BF222E" w:rsidP="00435CEE">
      <w:pPr>
        <w:spacing w:line="360" w:lineRule="auto"/>
        <w:rPr>
          <w:rFonts w:ascii="Arial" w:hAnsi="Arial" w:cs="Arial"/>
          <w:b/>
          <w:bCs/>
          <w:sz w:val="22"/>
          <w:szCs w:val="22"/>
        </w:rPr>
      </w:pPr>
      <w:r w:rsidRPr="00BF222E">
        <w:rPr>
          <w:rFonts w:ascii="Arial" w:hAnsi="Arial" w:cs="Arial"/>
          <w:b/>
          <w:bCs/>
          <w:sz w:val="22"/>
          <w:szCs w:val="22"/>
        </w:rPr>
        <w:t xml:space="preserve">Introduction </w:t>
      </w:r>
    </w:p>
    <w:p w14:paraId="48B7DADE"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The delivery of effective care within the UK health and social care sector depends heavily on clear communication, accurate record keeping and strong partnership working between professionals. These factors play a crucial role in supporting individuals with complex conditions, particularly older adults recovering from significant medical treatment. Mrs Mann, a 72-year-old woman who has recently returned home following hip replacement surgery, receives support from a domiciliary care team, her GP and a community physiotherapist. Her limited English and reliance on family interpretation bring additional challenges, particularly in ensuring she understands her care plan. Recent issues surrounding incomplete documentation and a missed update about her medication demonstrate how communication failures can compromise safety. This assignment examines the importance of communication, administrative skills and collaborative working in relation to Mrs Mann’s care, using legislation, theory and best practice guidance to explain how these elements contribute to safe, person-centred service delivery.</w:t>
      </w:r>
    </w:p>
    <w:p w14:paraId="54B76237" w14:textId="77777777" w:rsidR="00A32498" w:rsidRPr="00A32498" w:rsidRDefault="00A32498" w:rsidP="00A32498">
      <w:pPr>
        <w:spacing w:line="360" w:lineRule="auto"/>
        <w:rPr>
          <w:rFonts w:ascii="Arial" w:hAnsi="Arial" w:cs="Arial"/>
          <w:b/>
          <w:bCs/>
          <w:sz w:val="22"/>
          <w:szCs w:val="22"/>
        </w:rPr>
      </w:pPr>
      <w:r w:rsidRPr="00A32498">
        <w:rPr>
          <w:rFonts w:ascii="Arial" w:hAnsi="Arial" w:cs="Arial"/>
          <w:b/>
          <w:bCs/>
          <w:sz w:val="22"/>
          <w:szCs w:val="22"/>
        </w:rPr>
        <w:t>Effective Communication in Mrs Mann’s Care</w:t>
      </w:r>
    </w:p>
    <w:p w14:paraId="19E02817" w14:textId="77777777"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Effective communication is essential in health and social care and involves the use of different modes of communication to ensure information is shared clearly and safely. The main modes of communication include verbal, non-verbal, written and visual communication. Using appropriate modes is particularly important for individuals with additional needs, such as language barriers or age-related vulnerabilities. In Mrs Mann’s case, her limited English and recent hospital discharge mean that care professionals must carefully select and adapt communication methods to promote understanding and reduce risk (Hargie, 2021).</w:t>
      </w:r>
    </w:p>
    <w:p w14:paraId="476EC62F" w14:textId="77777777"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Verbal communication is the most commonly used mode in care settings and includes spoken interactions between professionals and service users. For Mrs Mann, verbal communication should be clear, slow and free from medical jargon. Care workers should ask open-ended questions and encourage feedback to confirm understanding. However, verbal communication alone may be insufficient due to Mrs Mann’s limited English, increasing the risk of misunderstandings around medication and mobility instructions. Research suggests that ineffective verbal communication can contribute to reduced engagement and poorer health outcomes (Bowen, 2020).</w:t>
      </w:r>
    </w:p>
    <w:p w14:paraId="7FB5CC04" w14:textId="77777777"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Non-verbal communication plays a vital role in supporting understanding and building trust. This includes facial expressions, eye contact, gestures, posture and tone of voice. Non-verbal cues can help reinforce verbal messages and provide reassurance, particularly where language barriers exist. Demonstrating exercises or using gestures to explain care tasks may support Mrs Mann’s understanding more effectively than spoken instructions alone. Hargie (2021) highlights that non-verbal communication is often more influential than words in conveying empathy and reassurance.</w:t>
      </w:r>
    </w:p>
    <w:p w14:paraId="7C60B893" w14:textId="77777777"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Written communication is another important mode and includes care plans, medication records and written instructions. Accurate written communication ensures continuity of care between professionals and supports safe practice. For Mrs Mann, written information should be provided in her preferred language and in clear, simple format. Poor written communication, such as incomplete records, can lead to delays or errors, as seen in the missed medication update. Skills for Care (2022) emphasises that written records must be accurate, timely and accessible to all relevant professionals.</w:t>
      </w:r>
    </w:p>
    <w:p w14:paraId="2595DAD0" w14:textId="77777777"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Visual communication can be particularly effective for individuals with limited English. This includes pictures, diagrams, symbols and demonstrations. Visual aids showing physiotherapy exercises or safe mobility techniques can help Mrs Mann follow her care plan more confidently. SCIE (2020) states that visual communication can enhance understanding and promote independence when verbal communication is limited.</w:t>
      </w:r>
    </w:p>
    <w:p w14:paraId="00F81756" w14:textId="77777777"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In addition to these modes, professional interpretation is essential when discussing complex or sensitive information. The NHS Accessible Information Standard requires services to identify and meet communication needs, including providing professional interpreters where necessary. Relying solely on family members may lead to misinterpretation or breaches of confidentiality. Using trained interpreters ensures information is accurate and supports informed decision-making (NHS England, 2016).</w:t>
      </w:r>
    </w:p>
    <w:p w14:paraId="48A3F371" w14:textId="19C12A3C" w:rsidR="00A32498" w:rsidRDefault="00A32498" w:rsidP="00A32498">
      <w:pPr>
        <w:spacing w:line="360" w:lineRule="auto"/>
        <w:rPr>
          <w:rFonts w:ascii="Arial" w:hAnsi="Arial" w:cs="Arial"/>
          <w:sz w:val="22"/>
          <w:szCs w:val="22"/>
        </w:rPr>
      </w:pPr>
      <w:r w:rsidRPr="00A32498">
        <w:rPr>
          <w:rFonts w:ascii="Arial" w:hAnsi="Arial" w:cs="Arial"/>
          <w:sz w:val="22"/>
          <w:szCs w:val="22"/>
        </w:rPr>
        <w:t xml:space="preserve">Overall, using a combination of communication modes allows professionals to meet Mrs Mann’s individual needs and reduce the risk of misunderstandings. Adapting communication methods promotes person-centred care, improves safety and supports Mrs Mann’s recovery and </w:t>
      </w:r>
      <w:r w:rsidR="00624EE5" w:rsidRPr="00A32498">
        <w:rPr>
          <w:rFonts w:ascii="Arial" w:hAnsi="Arial" w:cs="Arial"/>
          <w:sz w:val="22"/>
          <w:szCs w:val="22"/>
        </w:rPr>
        <w:t>independence.</w:t>
      </w:r>
    </w:p>
    <w:p w14:paraId="70D5488F" w14:textId="77777777" w:rsidR="00A32498" w:rsidRPr="00A32498" w:rsidRDefault="00A32498" w:rsidP="00A32498">
      <w:pPr>
        <w:spacing w:line="360" w:lineRule="auto"/>
        <w:rPr>
          <w:rFonts w:ascii="Arial" w:hAnsi="Arial" w:cs="Arial"/>
          <w:b/>
          <w:bCs/>
          <w:sz w:val="22"/>
          <w:szCs w:val="22"/>
        </w:rPr>
      </w:pPr>
      <w:r w:rsidRPr="00A32498">
        <w:rPr>
          <w:rFonts w:ascii="Arial" w:hAnsi="Arial" w:cs="Arial"/>
          <w:b/>
          <w:bCs/>
          <w:sz w:val="22"/>
          <w:szCs w:val="22"/>
        </w:rPr>
        <w:t>Communication Tool: Argyle’s Communication Cycle</w:t>
      </w:r>
    </w:p>
    <w:p w14:paraId="57E24F5C" w14:textId="77777777"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A useful communication tool that can be applied to Mrs Mann’s care is Argyle’s Communication Cycle. This model explains communication as a continuous two-way process involving a sender, message, receiver and feedback. Effective communication only occurs when the receiver correctly understands the message and feedback confirms this understanding (Hargie, 2021). In health and social care settings, this tool is used to reduce misunderstandings and promote clarity, particularly when individuals face communication barriers.</w:t>
      </w:r>
    </w:p>
    <w:p w14:paraId="7C17F91A" w14:textId="16DE1238" w:rsidR="00A32498" w:rsidRPr="00A32498" w:rsidRDefault="00A32498" w:rsidP="00A32498">
      <w:pPr>
        <w:spacing w:line="360" w:lineRule="auto"/>
        <w:rPr>
          <w:rFonts w:ascii="Arial" w:hAnsi="Arial" w:cs="Arial"/>
          <w:sz w:val="22"/>
          <w:szCs w:val="22"/>
        </w:rPr>
      </w:pPr>
      <w:r w:rsidRPr="00A32498">
        <w:rPr>
          <w:rFonts w:ascii="Arial" w:hAnsi="Arial" w:cs="Arial"/>
          <w:sz w:val="22"/>
          <w:szCs w:val="22"/>
        </w:rPr>
        <w:t>In Mrs Mann’s case, her limited English increases the risk of breakdowns at any stage of the communication cycle. For example, verbal instructions about medication or mobility may be misunderstood if feedback is not checked. Care staff can apply Argyle’s model by asking Mrs Mann to repeat information back in her own words, using demonstrations or visual aids, and observing non-verbal cues to assess understanding. This approach supports safer care delivery and reduces the likelihood of errors. Research suggests that using structured communication tools improves accuracy and service user involvement (Hargie, 2021; SCIE, 2020).</w:t>
      </w:r>
    </w:p>
    <w:p w14:paraId="115F366C" w14:textId="5C152718" w:rsidR="00BF222E" w:rsidRPr="00BF222E" w:rsidRDefault="00BF222E" w:rsidP="00435CEE">
      <w:pPr>
        <w:spacing w:line="360" w:lineRule="auto"/>
        <w:rPr>
          <w:rFonts w:ascii="Arial" w:hAnsi="Arial" w:cs="Arial"/>
          <w:b/>
          <w:bCs/>
          <w:sz w:val="22"/>
          <w:szCs w:val="22"/>
        </w:rPr>
      </w:pPr>
      <w:r w:rsidRPr="00BF222E">
        <w:rPr>
          <w:rFonts w:ascii="Arial" w:hAnsi="Arial" w:cs="Arial"/>
          <w:b/>
          <w:bCs/>
          <w:sz w:val="22"/>
          <w:szCs w:val="22"/>
        </w:rPr>
        <w:t xml:space="preserve">Administrative Skills and Record Keeping </w:t>
      </w:r>
    </w:p>
    <w:p w14:paraId="0CB78DD3"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Administrative competence plays a major role in ensuring good-quality care. Record keeping is not only a professional requirement but also a legal and ethical responsibility. In Mrs Mann’s case, inconsistencies in her care records contributed to a delay in updating her medication, highlighting how poor administration can have direct consequences for safety and well-being. According to Skills for Care (2022), records should be factual, concise, dated, signed and completed immediately after care is delivered. This ensures that all professionals have access to accurate and up-to-date information.</w:t>
      </w:r>
    </w:p>
    <w:p w14:paraId="78C8A127"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Good record keeping also helps identify patterns or concerns that may otherwise be overlooked. For example, if Mrs Mann’s mobility worsens or her pain increases, clear documentation enables the physiotherapist and GP to take timely action. Administrative tasks may seem routine, but they form the foundation of effective care planning and decision-making (Fisher, 2020).</w:t>
      </w:r>
    </w:p>
    <w:p w14:paraId="43DB5CA3" w14:textId="48587583"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The handling of Mrs Mann’s personal information is governed by the Data Protection Act 2018 and the UK GDPR, which regulate how data is collected, stored and shared. These laws require organisations to protect confidentiality, ensure accuracy and only share information when necessary. Mrs Mann’s records must therefore be stored securely</w:t>
      </w:r>
      <w:r w:rsidR="00435CEE">
        <w:rPr>
          <w:rFonts w:ascii="Arial" w:hAnsi="Arial" w:cs="Arial"/>
          <w:sz w:val="22"/>
          <w:szCs w:val="22"/>
        </w:rPr>
        <w:t xml:space="preserve"> </w:t>
      </w:r>
      <w:r w:rsidRPr="00BF222E">
        <w:rPr>
          <w:rFonts w:ascii="Arial" w:hAnsi="Arial" w:cs="Arial"/>
          <w:sz w:val="22"/>
          <w:szCs w:val="22"/>
        </w:rPr>
        <w:t>whether electronically or in paper form</w:t>
      </w:r>
      <w:r w:rsidR="00435CEE">
        <w:rPr>
          <w:rFonts w:ascii="Arial" w:hAnsi="Arial" w:cs="Arial"/>
          <w:sz w:val="22"/>
          <w:szCs w:val="22"/>
        </w:rPr>
        <w:t xml:space="preserve"> </w:t>
      </w:r>
      <w:r w:rsidRPr="00BF222E">
        <w:rPr>
          <w:rFonts w:ascii="Arial" w:hAnsi="Arial" w:cs="Arial"/>
          <w:sz w:val="22"/>
          <w:szCs w:val="22"/>
        </w:rPr>
        <w:t>and only accessible to authorised staff. The Care Quality Commission (2021) emphasises that data breaches or careless handling of records can undermine trust and cause significant distress to service users.</w:t>
      </w:r>
    </w:p>
    <w:p w14:paraId="517DC2A3"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Administrative skills also include accurately reporting incidents, following handover procedures and managing time effectively. The inconsistency that led to Mrs Mann’s delayed medication review should be reported according to organisational policy, investigated and used to improve practice. The Cavendish Review (2013) highlighted that many support workers receive limited training in documentation, which increases the likelihood of mistakes. Regular supervision and training can help staff understand the importance of good administrative practice and maintain high standards.</w:t>
      </w:r>
    </w:p>
    <w:p w14:paraId="155F8220" w14:textId="2F1AB878"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Accurate, well-kept records also support effective communication between professionals. Mrs Mann’s physiotherapist, GP and care workers rely on clear documentation to make informed decisions about her progress and rehabilitation plan. Poor record keeping can lead to duplicated work, miscommunication and avoidable delays (Thomas, 2019). High-quality administrative practice therefore plays a vital role in ensuring that Mrs Mann’s care is safe, consistent and responsive to her changing needs.</w:t>
      </w:r>
    </w:p>
    <w:p w14:paraId="0C0FD50D" w14:textId="0D85D075" w:rsidR="00BF222E" w:rsidRPr="00BF222E" w:rsidRDefault="00BF222E" w:rsidP="00435CEE">
      <w:pPr>
        <w:spacing w:line="360" w:lineRule="auto"/>
        <w:rPr>
          <w:rFonts w:ascii="Arial" w:hAnsi="Arial" w:cs="Arial"/>
          <w:b/>
          <w:bCs/>
          <w:sz w:val="22"/>
          <w:szCs w:val="22"/>
        </w:rPr>
      </w:pPr>
      <w:r w:rsidRPr="00BF222E">
        <w:rPr>
          <w:rFonts w:ascii="Arial" w:hAnsi="Arial" w:cs="Arial"/>
          <w:b/>
          <w:bCs/>
          <w:sz w:val="22"/>
          <w:szCs w:val="22"/>
        </w:rPr>
        <w:t xml:space="preserve">Collaborative Working in Mrs Mann’s Care </w:t>
      </w:r>
    </w:p>
    <w:p w14:paraId="566D1BE1"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Collaborative working is essential for individuals who receive support from several professionals, as it ensures that care is coordinated and holistic. Mrs Mann’s recovery involves daily input from care workers, observations from her physiotherapist and medical oversight from her GP. If these professionals work in isolation or fail to share key information, important details may be missed. Research shows that effective multi-agency working improves outcomes, reduces delays and prevents fragmented care (Glasby &amp; Dickinson, 2020).</w:t>
      </w:r>
    </w:p>
    <w:p w14:paraId="32D35D82"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However, collaboration is often challenging. Different professionals may have varying priorities, communication styles or workloads. Language barriers can also make it more difficult for Mrs Mann to express herself, meaning she relies on professionals sharing accurate updates on her behalf. Lymbery (2021) argues that clearly defined roles, mutual respect and consistent communication are essential for overcoming these barriers.</w:t>
      </w:r>
    </w:p>
    <w:p w14:paraId="71B704BD" w14:textId="412007DA"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 xml:space="preserve">Practical strategies to support collaboration include shared electronic records, structured handovers, regular meetings and agreed-upon communication pathways. The NHS Long Term Plan (2019) encourages integrated working across community, primary and specialist services to improve continuity of care. Using </w:t>
      </w:r>
      <w:r w:rsidR="00624EE5" w:rsidRPr="00BF222E">
        <w:rPr>
          <w:rFonts w:ascii="Arial" w:hAnsi="Arial" w:cs="Arial"/>
          <w:sz w:val="22"/>
          <w:szCs w:val="22"/>
        </w:rPr>
        <w:t>interpreters,</w:t>
      </w:r>
      <w:r w:rsidRPr="00BF222E">
        <w:rPr>
          <w:rFonts w:ascii="Arial" w:hAnsi="Arial" w:cs="Arial"/>
          <w:sz w:val="22"/>
          <w:szCs w:val="22"/>
        </w:rPr>
        <w:t xml:space="preserve"> when </w:t>
      </w:r>
      <w:r w:rsidR="00624EE5" w:rsidRPr="00BF222E">
        <w:rPr>
          <w:rFonts w:ascii="Arial" w:hAnsi="Arial" w:cs="Arial"/>
          <w:sz w:val="22"/>
          <w:szCs w:val="22"/>
        </w:rPr>
        <w:t>necessary,</w:t>
      </w:r>
      <w:r w:rsidRPr="00BF222E">
        <w:rPr>
          <w:rFonts w:ascii="Arial" w:hAnsi="Arial" w:cs="Arial"/>
          <w:sz w:val="22"/>
          <w:szCs w:val="22"/>
        </w:rPr>
        <w:t xml:space="preserve"> also ensures that Mrs Mann’s voice remains central to discussions about her health.</w:t>
      </w:r>
    </w:p>
    <w:p w14:paraId="153DAF90"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Partnership working must also comply with the Data Protection Act 2018. Professionals can only share information that is relevant to Mrs Mann’s care, and they must do so securely. SCIE (2019) emphasises that safe information sharing helps prevent safeguarding risks and ensures that everyone has access to the same up-to-date facts.</w:t>
      </w:r>
    </w:p>
    <w:p w14:paraId="7A84E62D" w14:textId="59650EFF"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 xml:space="preserve">When collaboration is effective, Mrs Mann benefits from a smoother and more coordinated care experience. Her progress can be monitored closely, issues can be identified </w:t>
      </w:r>
      <w:r w:rsidR="00624EE5" w:rsidRPr="00BF222E">
        <w:rPr>
          <w:rFonts w:ascii="Arial" w:hAnsi="Arial" w:cs="Arial"/>
          <w:sz w:val="22"/>
          <w:szCs w:val="22"/>
        </w:rPr>
        <w:t>early,</w:t>
      </w:r>
      <w:r w:rsidRPr="00BF222E">
        <w:rPr>
          <w:rFonts w:ascii="Arial" w:hAnsi="Arial" w:cs="Arial"/>
          <w:sz w:val="22"/>
          <w:szCs w:val="22"/>
        </w:rPr>
        <w:t xml:space="preserve"> and interventions can be planned more efficiently. Multi-agency working therefore plays an essential role in supporting Mrs Mann’s independence, safety and overall recovery.</w:t>
      </w:r>
    </w:p>
    <w:p w14:paraId="577F3565" w14:textId="2896D268" w:rsidR="00BF222E" w:rsidRPr="00BF222E" w:rsidRDefault="00BF222E" w:rsidP="00435CEE">
      <w:pPr>
        <w:spacing w:line="360" w:lineRule="auto"/>
        <w:rPr>
          <w:rFonts w:ascii="Arial" w:hAnsi="Arial" w:cs="Arial"/>
          <w:sz w:val="22"/>
          <w:szCs w:val="22"/>
        </w:rPr>
      </w:pPr>
    </w:p>
    <w:p w14:paraId="46305702" w14:textId="1170A58F" w:rsidR="00BF222E" w:rsidRPr="00BF222E" w:rsidRDefault="00BF222E" w:rsidP="00435CEE">
      <w:pPr>
        <w:spacing w:line="360" w:lineRule="auto"/>
        <w:rPr>
          <w:rFonts w:ascii="Arial" w:hAnsi="Arial" w:cs="Arial"/>
          <w:b/>
          <w:bCs/>
          <w:sz w:val="22"/>
          <w:szCs w:val="22"/>
        </w:rPr>
      </w:pPr>
      <w:r w:rsidRPr="00BF222E">
        <w:rPr>
          <w:rFonts w:ascii="Arial" w:hAnsi="Arial" w:cs="Arial"/>
          <w:b/>
          <w:bCs/>
          <w:sz w:val="22"/>
          <w:szCs w:val="22"/>
        </w:rPr>
        <w:t xml:space="preserve">Conclusion </w:t>
      </w:r>
    </w:p>
    <w:p w14:paraId="4786B01B" w14:textId="77777777" w:rsidR="00BF222E" w:rsidRPr="00BF222E" w:rsidRDefault="00BF222E" w:rsidP="00435CEE">
      <w:pPr>
        <w:spacing w:line="360" w:lineRule="auto"/>
        <w:rPr>
          <w:rFonts w:ascii="Arial" w:hAnsi="Arial" w:cs="Arial"/>
          <w:sz w:val="22"/>
          <w:szCs w:val="22"/>
        </w:rPr>
      </w:pPr>
      <w:r w:rsidRPr="00BF222E">
        <w:rPr>
          <w:rFonts w:ascii="Arial" w:hAnsi="Arial" w:cs="Arial"/>
          <w:sz w:val="22"/>
          <w:szCs w:val="22"/>
        </w:rPr>
        <w:t>Mrs Mann’s case demonstrates how communication, administrative skills and partnership working underpin safe and person-centred care within the UK health and social care sector. Her limited English means that staff must take additional steps to ensure information is accessible, accurate and culturally sensitive. Applying communication theory and using interpreters where appropriate helps reduce misunderstandings and supports her involvement in decisions about her care. Good administrative practice, guided by legislation such as the Data Protection Act 2018, ensures that her records are accurate, secure and shared appropriately. This is essential for preventing errors and supporting continuity. Effective collaborative working enables professionals to coordinate their efforts, respond promptly to concerns and provide holistic support. When these three elements come together, Mrs Mann receives safer, more reliable and more empowering care that promotes her well-being and independence throughout her recovery.</w:t>
      </w:r>
    </w:p>
    <w:p w14:paraId="151EE77C" w14:textId="619AC8AE" w:rsidR="00BF222E" w:rsidRPr="00BF222E" w:rsidRDefault="00BF222E" w:rsidP="00435CEE">
      <w:pPr>
        <w:spacing w:line="360" w:lineRule="auto"/>
        <w:rPr>
          <w:rFonts w:ascii="Arial" w:hAnsi="Arial" w:cs="Arial"/>
          <w:sz w:val="22"/>
          <w:szCs w:val="22"/>
        </w:rPr>
      </w:pPr>
    </w:p>
    <w:p w14:paraId="1D6810F0" w14:textId="77777777" w:rsidR="00A32498" w:rsidRDefault="00A32498" w:rsidP="00435CEE">
      <w:pPr>
        <w:spacing w:line="360" w:lineRule="auto"/>
        <w:rPr>
          <w:rFonts w:ascii="Arial" w:hAnsi="Arial" w:cs="Arial"/>
          <w:b/>
          <w:bCs/>
          <w:sz w:val="22"/>
          <w:szCs w:val="22"/>
        </w:rPr>
      </w:pPr>
    </w:p>
    <w:p w14:paraId="1393EF65" w14:textId="77777777" w:rsidR="00A32498" w:rsidRDefault="00A32498" w:rsidP="00435CEE">
      <w:pPr>
        <w:spacing w:line="360" w:lineRule="auto"/>
        <w:rPr>
          <w:rFonts w:ascii="Arial" w:hAnsi="Arial" w:cs="Arial"/>
          <w:b/>
          <w:bCs/>
          <w:sz w:val="22"/>
          <w:szCs w:val="22"/>
        </w:rPr>
      </w:pPr>
    </w:p>
    <w:p w14:paraId="090F562C" w14:textId="77777777" w:rsidR="004A6235" w:rsidRDefault="004A6235" w:rsidP="00435CEE">
      <w:pPr>
        <w:spacing w:line="360" w:lineRule="auto"/>
        <w:rPr>
          <w:rFonts w:ascii="Arial" w:hAnsi="Arial" w:cs="Arial"/>
          <w:b/>
          <w:bCs/>
          <w:sz w:val="22"/>
          <w:szCs w:val="22"/>
        </w:rPr>
      </w:pPr>
    </w:p>
    <w:p w14:paraId="67F383BA" w14:textId="77777777" w:rsidR="004A6235" w:rsidRDefault="004A6235" w:rsidP="00435CEE">
      <w:pPr>
        <w:spacing w:line="360" w:lineRule="auto"/>
        <w:rPr>
          <w:rFonts w:ascii="Arial" w:hAnsi="Arial" w:cs="Arial"/>
          <w:b/>
          <w:bCs/>
          <w:sz w:val="22"/>
          <w:szCs w:val="22"/>
        </w:rPr>
      </w:pPr>
    </w:p>
    <w:p w14:paraId="2A0F7DBF" w14:textId="77777777" w:rsidR="004A6235" w:rsidRDefault="004A6235" w:rsidP="00435CEE">
      <w:pPr>
        <w:spacing w:line="360" w:lineRule="auto"/>
        <w:rPr>
          <w:rFonts w:ascii="Arial" w:hAnsi="Arial" w:cs="Arial"/>
          <w:b/>
          <w:bCs/>
          <w:sz w:val="22"/>
          <w:szCs w:val="22"/>
        </w:rPr>
      </w:pPr>
    </w:p>
    <w:p w14:paraId="55CE87F0" w14:textId="77777777" w:rsidR="004A6235" w:rsidRDefault="004A6235" w:rsidP="00435CEE">
      <w:pPr>
        <w:spacing w:line="360" w:lineRule="auto"/>
        <w:rPr>
          <w:rFonts w:ascii="Arial" w:hAnsi="Arial" w:cs="Arial"/>
          <w:b/>
          <w:bCs/>
          <w:sz w:val="22"/>
          <w:szCs w:val="22"/>
        </w:rPr>
      </w:pPr>
    </w:p>
    <w:p w14:paraId="4BDF5302" w14:textId="77777777" w:rsidR="004A6235" w:rsidRDefault="004A6235" w:rsidP="00435CEE">
      <w:pPr>
        <w:spacing w:line="360" w:lineRule="auto"/>
        <w:rPr>
          <w:rFonts w:ascii="Arial" w:hAnsi="Arial" w:cs="Arial"/>
          <w:b/>
          <w:bCs/>
          <w:sz w:val="22"/>
          <w:szCs w:val="22"/>
        </w:rPr>
      </w:pPr>
    </w:p>
    <w:p w14:paraId="43E171B1" w14:textId="77777777" w:rsidR="004A6235" w:rsidRDefault="004A6235" w:rsidP="00435CEE">
      <w:pPr>
        <w:spacing w:line="360" w:lineRule="auto"/>
        <w:rPr>
          <w:rFonts w:ascii="Arial" w:hAnsi="Arial" w:cs="Arial"/>
          <w:b/>
          <w:bCs/>
          <w:sz w:val="22"/>
          <w:szCs w:val="22"/>
        </w:rPr>
      </w:pPr>
    </w:p>
    <w:p w14:paraId="5A1AA640" w14:textId="77777777" w:rsidR="004A6235" w:rsidRDefault="004A6235" w:rsidP="00435CEE">
      <w:pPr>
        <w:spacing w:line="360" w:lineRule="auto"/>
        <w:rPr>
          <w:rFonts w:ascii="Arial" w:hAnsi="Arial" w:cs="Arial"/>
          <w:b/>
          <w:bCs/>
          <w:sz w:val="22"/>
          <w:szCs w:val="22"/>
        </w:rPr>
      </w:pPr>
    </w:p>
    <w:p w14:paraId="105FFA06" w14:textId="77777777" w:rsidR="004A6235" w:rsidRDefault="004A6235" w:rsidP="00435CEE">
      <w:pPr>
        <w:spacing w:line="360" w:lineRule="auto"/>
        <w:rPr>
          <w:rFonts w:ascii="Arial" w:hAnsi="Arial" w:cs="Arial"/>
          <w:b/>
          <w:bCs/>
          <w:sz w:val="22"/>
          <w:szCs w:val="22"/>
        </w:rPr>
      </w:pPr>
    </w:p>
    <w:p w14:paraId="3434F59D" w14:textId="77777777" w:rsidR="004A6235" w:rsidRDefault="004A6235" w:rsidP="00435CEE">
      <w:pPr>
        <w:spacing w:line="360" w:lineRule="auto"/>
        <w:rPr>
          <w:rFonts w:ascii="Arial" w:hAnsi="Arial" w:cs="Arial"/>
          <w:b/>
          <w:bCs/>
          <w:sz w:val="22"/>
          <w:szCs w:val="22"/>
        </w:rPr>
      </w:pPr>
    </w:p>
    <w:p w14:paraId="3D4EB4BD" w14:textId="77777777" w:rsidR="004A6235" w:rsidRDefault="004A6235" w:rsidP="00435CEE">
      <w:pPr>
        <w:spacing w:line="360" w:lineRule="auto"/>
        <w:rPr>
          <w:rFonts w:ascii="Arial" w:hAnsi="Arial" w:cs="Arial"/>
          <w:b/>
          <w:bCs/>
          <w:sz w:val="22"/>
          <w:szCs w:val="22"/>
        </w:rPr>
      </w:pPr>
    </w:p>
    <w:p w14:paraId="2054C447" w14:textId="77777777" w:rsidR="004A6235" w:rsidRDefault="004A6235" w:rsidP="00435CEE">
      <w:pPr>
        <w:spacing w:line="360" w:lineRule="auto"/>
        <w:rPr>
          <w:rFonts w:ascii="Arial" w:hAnsi="Arial" w:cs="Arial"/>
          <w:b/>
          <w:bCs/>
          <w:sz w:val="22"/>
          <w:szCs w:val="22"/>
        </w:rPr>
      </w:pPr>
    </w:p>
    <w:p w14:paraId="1D58E0C2" w14:textId="77777777" w:rsidR="004A6235" w:rsidRDefault="004A6235" w:rsidP="00435CEE">
      <w:pPr>
        <w:spacing w:line="360" w:lineRule="auto"/>
        <w:rPr>
          <w:rFonts w:ascii="Arial" w:hAnsi="Arial" w:cs="Arial"/>
          <w:b/>
          <w:bCs/>
          <w:sz w:val="22"/>
          <w:szCs w:val="22"/>
        </w:rPr>
      </w:pPr>
    </w:p>
    <w:p w14:paraId="75D7C6E5" w14:textId="77777777" w:rsidR="004A6235" w:rsidRDefault="004A6235" w:rsidP="00435CEE">
      <w:pPr>
        <w:spacing w:line="360" w:lineRule="auto"/>
        <w:rPr>
          <w:rFonts w:ascii="Arial" w:hAnsi="Arial" w:cs="Arial"/>
          <w:b/>
          <w:bCs/>
          <w:sz w:val="22"/>
          <w:szCs w:val="22"/>
        </w:rPr>
      </w:pPr>
    </w:p>
    <w:p w14:paraId="5DA33432" w14:textId="3C5E9557" w:rsidR="00BF222E" w:rsidRPr="00BF222E" w:rsidRDefault="00BF222E" w:rsidP="00435CEE">
      <w:pPr>
        <w:spacing w:line="360" w:lineRule="auto"/>
        <w:rPr>
          <w:rFonts w:ascii="Arial" w:hAnsi="Arial" w:cs="Arial"/>
          <w:b/>
          <w:bCs/>
          <w:sz w:val="22"/>
          <w:szCs w:val="22"/>
        </w:rPr>
      </w:pPr>
      <w:r w:rsidRPr="00BF222E">
        <w:rPr>
          <w:rFonts w:ascii="Arial" w:hAnsi="Arial" w:cs="Arial"/>
          <w:b/>
          <w:bCs/>
          <w:sz w:val="22"/>
          <w:szCs w:val="22"/>
        </w:rPr>
        <w:t xml:space="preserve">Reference List </w:t>
      </w:r>
    </w:p>
    <w:p w14:paraId="26AA43F6"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Bowen, S. (2020) </w:t>
      </w:r>
      <w:r w:rsidRPr="00953DA3">
        <w:rPr>
          <w:rFonts w:ascii="Arial" w:hAnsi="Arial" w:cs="Arial"/>
          <w:i/>
          <w:iCs/>
          <w:sz w:val="22"/>
          <w:szCs w:val="22"/>
        </w:rPr>
        <w:t>Language barriers in healthcare</w:t>
      </w:r>
      <w:r w:rsidRPr="00953DA3">
        <w:rPr>
          <w:rFonts w:ascii="Arial" w:hAnsi="Arial" w:cs="Arial"/>
          <w:sz w:val="22"/>
          <w:szCs w:val="22"/>
        </w:rPr>
        <w:t>. London: Routledge.</w:t>
      </w:r>
    </w:p>
    <w:p w14:paraId="6CFDFC12"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Care Quality Commission (2021) </w:t>
      </w:r>
      <w:r w:rsidRPr="00953DA3">
        <w:rPr>
          <w:rFonts w:ascii="Arial" w:hAnsi="Arial" w:cs="Arial"/>
          <w:i/>
          <w:iCs/>
          <w:sz w:val="22"/>
          <w:szCs w:val="22"/>
        </w:rPr>
        <w:t>Managing patient information</w:t>
      </w:r>
      <w:r w:rsidRPr="00953DA3">
        <w:rPr>
          <w:rFonts w:ascii="Arial" w:hAnsi="Arial" w:cs="Arial"/>
          <w:sz w:val="22"/>
          <w:szCs w:val="22"/>
        </w:rPr>
        <w:t xml:space="preserve">. Available at: </w:t>
      </w:r>
      <w:hyperlink r:id="rId4" w:tgtFrame="_new" w:history="1">
        <w:r w:rsidRPr="00953DA3">
          <w:rPr>
            <w:rStyle w:val="Hyperlink"/>
            <w:rFonts w:ascii="Arial" w:hAnsi="Arial" w:cs="Arial"/>
            <w:sz w:val="22"/>
            <w:szCs w:val="22"/>
          </w:rPr>
          <w:t>https://www.cqc.org.uk</w:t>
        </w:r>
      </w:hyperlink>
      <w:r w:rsidRPr="00953DA3">
        <w:rPr>
          <w:rFonts w:ascii="Arial" w:hAnsi="Arial" w:cs="Arial"/>
          <w:sz w:val="22"/>
          <w:szCs w:val="22"/>
        </w:rPr>
        <w:t xml:space="preserve"> (Accessed: 7 December 2025).</w:t>
      </w:r>
    </w:p>
    <w:p w14:paraId="66BC3838"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Cavendish, C. (2013) </w:t>
      </w:r>
      <w:r w:rsidRPr="00953DA3">
        <w:rPr>
          <w:rFonts w:ascii="Arial" w:hAnsi="Arial" w:cs="Arial"/>
          <w:i/>
          <w:iCs/>
          <w:sz w:val="22"/>
          <w:szCs w:val="22"/>
        </w:rPr>
        <w:t>The Cavendish Review: An independent review into healthcare assistants and support workers in the NHS and social care settings</w:t>
      </w:r>
      <w:r w:rsidRPr="00953DA3">
        <w:rPr>
          <w:rFonts w:ascii="Arial" w:hAnsi="Arial" w:cs="Arial"/>
          <w:sz w:val="22"/>
          <w:szCs w:val="22"/>
        </w:rPr>
        <w:t>. London: Department of Health.</w:t>
      </w:r>
    </w:p>
    <w:p w14:paraId="5DC5BBF2"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Equality Act 2010. (2010) </w:t>
      </w:r>
      <w:r w:rsidRPr="00953DA3">
        <w:rPr>
          <w:rFonts w:ascii="Arial" w:hAnsi="Arial" w:cs="Arial"/>
          <w:i/>
          <w:iCs/>
          <w:sz w:val="22"/>
          <w:szCs w:val="22"/>
        </w:rPr>
        <w:t>UK Public General Acts</w:t>
      </w:r>
      <w:r w:rsidRPr="00953DA3">
        <w:rPr>
          <w:rFonts w:ascii="Arial" w:hAnsi="Arial" w:cs="Arial"/>
          <w:sz w:val="22"/>
          <w:szCs w:val="22"/>
        </w:rPr>
        <w:t>. London: HMSO.</w:t>
      </w:r>
    </w:p>
    <w:p w14:paraId="05C81992"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Fisher, M. (2020) </w:t>
      </w:r>
      <w:r w:rsidRPr="00953DA3">
        <w:rPr>
          <w:rFonts w:ascii="Arial" w:hAnsi="Arial" w:cs="Arial"/>
          <w:i/>
          <w:iCs/>
          <w:sz w:val="22"/>
          <w:szCs w:val="22"/>
        </w:rPr>
        <w:t>Record keeping in social care practice</w:t>
      </w:r>
      <w:r w:rsidRPr="00953DA3">
        <w:rPr>
          <w:rFonts w:ascii="Arial" w:hAnsi="Arial" w:cs="Arial"/>
          <w:sz w:val="22"/>
          <w:szCs w:val="22"/>
        </w:rPr>
        <w:t>. London: Palgrave.</w:t>
      </w:r>
    </w:p>
    <w:p w14:paraId="6889A3AB"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Glasby, J. and Dickinson, H. (2020) </w:t>
      </w:r>
      <w:r w:rsidRPr="00953DA3">
        <w:rPr>
          <w:rFonts w:ascii="Arial" w:hAnsi="Arial" w:cs="Arial"/>
          <w:i/>
          <w:iCs/>
          <w:sz w:val="22"/>
          <w:szCs w:val="22"/>
        </w:rPr>
        <w:t>Partnership working in health and social care</w:t>
      </w:r>
      <w:r w:rsidRPr="00953DA3">
        <w:rPr>
          <w:rFonts w:ascii="Arial" w:hAnsi="Arial" w:cs="Arial"/>
          <w:sz w:val="22"/>
          <w:szCs w:val="22"/>
        </w:rPr>
        <w:t>. 4th edn. Bristol: Policy Press.</w:t>
      </w:r>
    </w:p>
    <w:p w14:paraId="0358C8B7"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Hargie, O. (2021) </w:t>
      </w:r>
      <w:r w:rsidRPr="00953DA3">
        <w:rPr>
          <w:rFonts w:ascii="Arial" w:hAnsi="Arial" w:cs="Arial"/>
          <w:i/>
          <w:iCs/>
          <w:sz w:val="22"/>
          <w:szCs w:val="22"/>
        </w:rPr>
        <w:t>Skilled interpersonal communication</w:t>
      </w:r>
      <w:r w:rsidRPr="00953DA3">
        <w:rPr>
          <w:rFonts w:ascii="Arial" w:hAnsi="Arial" w:cs="Arial"/>
          <w:sz w:val="22"/>
          <w:szCs w:val="22"/>
        </w:rPr>
        <w:t>. 7th edn. London: Routledge.</w:t>
      </w:r>
    </w:p>
    <w:p w14:paraId="0018D60C"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Lymbery, M. (2021) </w:t>
      </w:r>
      <w:r w:rsidRPr="00953DA3">
        <w:rPr>
          <w:rFonts w:ascii="Arial" w:hAnsi="Arial" w:cs="Arial"/>
          <w:i/>
          <w:iCs/>
          <w:sz w:val="22"/>
          <w:szCs w:val="22"/>
        </w:rPr>
        <w:t>Social work with older people</w:t>
      </w:r>
      <w:r w:rsidRPr="00953DA3">
        <w:rPr>
          <w:rFonts w:ascii="Arial" w:hAnsi="Arial" w:cs="Arial"/>
          <w:sz w:val="22"/>
          <w:szCs w:val="22"/>
        </w:rPr>
        <w:t>. Basingstoke: Palgrave Macmillan.</w:t>
      </w:r>
    </w:p>
    <w:p w14:paraId="53D83B5D"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NHS England (2016) </w:t>
      </w:r>
      <w:r w:rsidRPr="00953DA3">
        <w:rPr>
          <w:rFonts w:ascii="Arial" w:hAnsi="Arial" w:cs="Arial"/>
          <w:i/>
          <w:iCs/>
          <w:sz w:val="22"/>
          <w:szCs w:val="22"/>
        </w:rPr>
        <w:t>Accessible Information Standard</w:t>
      </w:r>
      <w:r w:rsidRPr="00953DA3">
        <w:rPr>
          <w:rFonts w:ascii="Arial" w:hAnsi="Arial" w:cs="Arial"/>
          <w:sz w:val="22"/>
          <w:szCs w:val="22"/>
        </w:rPr>
        <w:t xml:space="preserve">. Available at: </w:t>
      </w:r>
      <w:hyperlink r:id="rId5" w:tgtFrame="_new" w:history="1">
        <w:r w:rsidRPr="00953DA3">
          <w:rPr>
            <w:rStyle w:val="Hyperlink"/>
            <w:rFonts w:ascii="Arial" w:hAnsi="Arial" w:cs="Arial"/>
            <w:sz w:val="22"/>
            <w:szCs w:val="22"/>
          </w:rPr>
          <w:t>https://www.england.nhs.uk</w:t>
        </w:r>
      </w:hyperlink>
      <w:r w:rsidRPr="00953DA3">
        <w:rPr>
          <w:rFonts w:ascii="Arial" w:hAnsi="Arial" w:cs="Arial"/>
          <w:sz w:val="22"/>
          <w:szCs w:val="22"/>
        </w:rPr>
        <w:t xml:space="preserve"> (Accessed: 3 December 2025).</w:t>
      </w:r>
    </w:p>
    <w:p w14:paraId="296A30AF"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NHS England (2019) </w:t>
      </w:r>
      <w:r w:rsidRPr="00953DA3">
        <w:rPr>
          <w:rFonts w:ascii="Arial" w:hAnsi="Arial" w:cs="Arial"/>
          <w:i/>
          <w:iCs/>
          <w:sz w:val="22"/>
          <w:szCs w:val="22"/>
        </w:rPr>
        <w:t>The NHS Long Term Plan</w:t>
      </w:r>
      <w:r w:rsidRPr="00953DA3">
        <w:rPr>
          <w:rFonts w:ascii="Arial" w:hAnsi="Arial" w:cs="Arial"/>
          <w:sz w:val="22"/>
          <w:szCs w:val="22"/>
        </w:rPr>
        <w:t xml:space="preserve">. Available at: </w:t>
      </w:r>
      <w:hyperlink r:id="rId6" w:tgtFrame="_new" w:history="1">
        <w:r w:rsidRPr="00953DA3">
          <w:rPr>
            <w:rStyle w:val="Hyperlink"/>
            <w:rFonts w:ascii="Arial" w:hAnsi="Arial" w:cs="Arial"/>
            <w:sz w:val="22"/>
            <w:szCs w:val="22"/>
          </w:rPr>
          <w:t>https://www.england.nhs.uk</w:t>
        </w:r>
      </w:hyperlink>
      <w:r w:rsidRPr="00953DA3">
        <w:rPr>
          <w:rFonts w:ascii="Arial" w:hAnsi="Arial" w:cs="Arial"/>
          <w:sz w:val="22"/>
          <w:szCs w:val="22"/>
        </w:rPr>
        <w:t xml:space="preserve"> (Accessed: 29 November 2025).</w:t>
      </w:r>
    </w:p>
    <w:p w14:paraId="69DA7F24"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Skills for Care (2022) </w:t>
      </w:r>
      <w:r w:rsidRPr="00953DA3">
        <w:rPr>
          <w:rFonts w:ascii="Arial" w:hAnsi="Arial" w:cs="Arial"/>
          <w:i/>
          <w:iCs/>
          <w:sz w:val="22"/>
          <w:szCs w:val="22"/>
        </w:rPr>
        <w:t>Effective record keeping</w:t>
      </w:r>
      <w:r w:rsidRPr="00953DA3">
        <w:rPr>
          <w:rFonts w:ascii="Arial" w:hAnsi="Arial" w:cs="Arial"/>
          <w:sz w:val="22"/>
          <w:szCs w:val="22"/>
        </w:rPr>
        <w:t xml:space="preserve">. Available at: </w:t>
      </w:r>
      <w:hyperlink r:id="rId7" w:tgtFrame="_new" w:history="1">
        <w:r w:rsidRPr="00953DA3">
          <w:rPr>
            <w:rStyle w:val="Hyperlink"/>
            <w:rFonts w:ascii="Arial" w:hAnsi="Arial" w:cs="Arial"/>
            <w:sz w:val="22"/>
            <w:szCs w:val="22"/>
          </w:rPr>
          <w:t>https://www.skillsforcare.org.uk</w:t>
        </w:r>
      </w:hyperlink>
      <w:r w:rsidRPr="00953DA3">
        <w:rPr>
          <w:rFonts w:ascii="Arial" w:hAnsi="Arial" w:cs="Arial"/>
          <w:sz w:val="22"/>
          <w:szCs w:val="22"/>
        </w:rPr>
        <w:t xml:space="preserve"> (Accessed: 4 December 2025).</w:t>
      </w:r>
    </w:p>
    <w:p w14:paraId="7E4C728C"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Social Care Institute for Excellence (SCIE) (2019) </w:t>
      </w:r>
      <w:r w:rsidRPr="00953DA3">
        <w:rPr>
          <w:rFonts w:ascii="Arial" w:hAnsi="Arial" w:cs="Arial"/>
          <w:i/>
          <w:iCs/>
          <w:sz w:val="22"/>
          <w:szCs w:val="22"/>
        </w:rPr>
        <w:t>Multi-agency working: Best practice guidance</w:t>
      </w:r>
      <w:r w:rsidRPr="00953DA3">
        <w:rPr>
          <w:rFonts w:ascii="Arial" w:hAnsi="Arial" w:cs="Arial"/>
          <w:sz w:val="22"/>
          <w:szCs w:val="22"/>
        </w:rPr>
        <w:t xml:space="preserve">. Available at: </w:t>
      </w:r>
      <w:hyperlink r:id="rId8" w:tgtFrame="_new" w:history="1">
        <w:r w:rsidRPr="00953DA3">
          <w:rPr>
            <w:rStyle w:val="Hyperlink"/>
            <w:rFonts w:ascii="Arial" w:hAnsi="Arial" w:cs="Arial"/>
            <w:sz w:val="22"/>
            <w:szCs w:val="22"/>
          </w:rPr>
          <w:t>https://www.scie.org.uk</w:t>
        </w:r>
      </w:hyperlink>
      <w:r w:rsidRPr="00953DA3">
        <w:rPr>
          <w:rFonts w:ascii="Arial" w:hAnsi="Arial" w:cs="Arial"/>
          <w:sz w:val="22"/>
          <w:szCs w:val="22"/>
        </w:rPr>
        <w:t xml:space="preserve"> (Accessed: 8 December 2025).</w:t>
      </w:r>
    </w:p>
    <w:p w14:paraId="55D36955"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Social Care Institute for Excellence (SCIE) (2020) </w:t>
      </w:r>
      <w:r w:rsidRPr="00953DA3">
        <w:rPr>
          <w:rFonts w:ascii="Arial" w:hAnsi="Arial" w:cs="Arial"/>
          <w:i/>
          <w:iCs/>
          <w:sz w:val="22"/>
          <w:szCs w:val="22"/>
        </w:rPr>
        <w:t>Person-centred communication in health and social care</w:t>
      </w:r>
      <w:r w:rsidRPr="00953DA3">
        <w:rPr>
          <w:rFonts w:ascii="Arial" w:hAnsi="Arial" w:cs="Arial"/>
          <w:sz w:val="22"/>
          <w:szCs w:val="22"/>
        </w:rPr>
        <w:t xml:space="preserve">. Available at: </w:t>
      </w:r>
      <w:hyperlink r:id="rId9" w:tgtFrame="_new" w:history="1">
        <w:r w:rsidRPr="00953DA3">
          <w:rPr>
            <w:rStyle w:val="Hyperlink"/>
            <w:rFonts w:ascii="Arial" w:hAnsi="Arial" w:cs="Arial"/>
            <w:sz w:val="22"/>
            <w:szCs w:val="22"/>
          </w:rPr>
          <w:t>https://www.scie.org.uk</w:t>
        </w:r>
      </w:hyperlink>
      <w:r w:rsidRPr="00953DA3">
        <w:rPr>
          <w:rFonts w:ascii="Arial" w:hAnsi="Arial" w:cs="Arial"/>
          <w:sz w:val="22"/>
          <w:szCs w:val="22"/>
        </w:rPr>
        <w:t xml:space="preserve"> (Accessed: 12 December 2025).</w:t>
      </w:r>
    </w:p>
    <w:p w14:paraId="2A7CC11D" w14:textId="77777777" w:rsidR="00953DA3" w:rsidRPr="00953DA3" w:rsidRDefault="00953DA3" w:rsidP="00953DA3">
      <w:pPr>
        <w:spacing w:line="360" w:lineRule="auto"/>
        <w:rPr>
          <w:rFonts w:ascii="Arial" w:hAnsi="Arial" w:cs="Arial"/>
          <w:sz w:val="22"/>
          <w:szCs w:val="22"/>
        </w:rPr>
      </w:pPr>
      <w:r w:rsidRPr="00953DA3">
        <w:rPr>
          <w:rFonts w:ascii="Arial" w:hAnsi="Arial" w:cs="Arial"/>
          <w:sz w:val="22"/>
          <w:szCs w:val="22"/>
        </w:rPr>
        <w:t xml:space="preserve">Thomas, R. (2019) </w:t>
      </w:r>
      <w:r w:rsidRPr="00953DA3">
        <w:rPr>
          <w:rFonts w:ascii="Arial" w:hAnsi="Arial" w:cs="Arial"/>
          <w:i/>
          <w:iCs/>
          <w:sz w:val="22"/>
          <w:szCs w:val="22"/>
        </w:rPr>
        <w:t>Professional documentation in care settings</w:t>
      </w:r>
      <w:r w:rsidRPr="00953DA3">
        <w:rPr>
          <w:rFonts w:ascii="Arial" w:hAnsi="Arial" w:cs="Arial"/>
          <w:sz w:val="22"/>
          <w:szCs w:val="22"/>
        </w:rPr>
        <w:t>. London: Sage</w:t>
      </w:r>
    </w:p>
    <w:p w14:paraId="4CC66D98" w14:textId="6798E426" w:rsidR="00784100" w:rsidRPr="00435CEE" w:rsidRDefault="00784100" w:rsidP="00435CEE">
      <w:pPr>
        <w:spacing w:line="360" w:lineRule="auto"/>
        <w:rPr>
          <w:rFonts w:ascii="Arial" w:hAnsi="Arial" w:cs="Arial"/>
          <w:sz w:val="22"/>
          <w:szCs w:val="22"/>
        </w:rPr>
      </w:pPr>
    </w:p>
    <w:sectPr w:rsidR="00784100" w:rsidRPr="00435C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22E"/>
    <w:rsid w:val="002163BD"/>
    <w:rsid w:val="003E2C07"/>
    <w:rsid w:val="00435CEE"/>
    <w:rsid w:val="004A6235"/>
    <w:rsid w:val="005470AB"/>
    <w:rsid w:val="00624EE5"/>
    <w:rsid w:val="00784100"/>
    <w:rsid w:val="0083280E"/>
    <w:rsid w:val="00866B72"/>
    <w:rsid w:val="0094474C"/>
    <w:rsid w:val="00953DA3"/>
    <w:rsid w:val="00A32498"/>
    <w:rsid w:val="00AA47D4"/>
    <w:rsid w:val="00BF222E"/>
    <w:rsid w:val="00E474F9"/>
    <w:rsid w:val="00F94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A26AA"/>
  <w15:chartTrackingRefBased/>
  <w15:docId w15:val="{880D92A9-72C9-4EE0-971C-72403BC6B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2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22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2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2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2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2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2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2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2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2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22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2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2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2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2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2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2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22E"/>
    <w:rPr>
      <w:rFonts w:eastAsiaTheme="majorEastAsia" w:cstheme="majorBidi"/>
      <w:color w:val="272727" w:themeColor="text1" w:themeTint="D8"/>
    </w:rPr>
  </w:style>
  <w:style w:type="paragraph" w:styleId="Title">
    <w:name w:val="Title"/>
    <w:basedOn w:val="Normal"/>
    <w:next w:val="Normal"/>
    <w:link w:val="TitleChar"/>
    <w:uiPriority w:val="10"/>
    <w:qFormat/>
    <w:rsid w:val="00BF22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2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2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2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22E"/>
    <w:pPr>
      <w:spacing w:before="160"/>
      <w:jc w:val="center"/>
    </w:pPr>
    <w:rPr>
      <w:i/>
      <w:iCs/>
      <w:color w:val="404040" w:themeColor="text1" w:themeTint="BF"/>
    </w:rPr>
  </w:style>
  <w:style w:type="character" w:customStyle="1" w:styleId="QuoteChar">
    <w:name w:val="Quote Char"/>
    <w:basedOn w:val="DefaultParagraphFont"/>
    <w:link w:val="Quote"/>
    <w:uiPriority w:val="29"/>
    <w:rsid w:val="00BF222E"/>
    <w:rPr>
      <w:i/>
      <w:iCs/>
      <w:color w:val="404040" w:themeColor="text1" w:themeTint="BF"/>
    </w:rPr>
  </w:style>
  <w:style w:type="paragraph" w:styleId="ListParagraph">
    <w:name w:val="List Paragraph"/>
    <w:basedOn w:val="Normal"/>
    <w:uiPriority w:val="34"/>
    <w:qFormat/>
    <w:rsid w:val="00BF222E"/>
    <w:pPr>
      <w:ind w:left="720"/>
      <w:contextualSpacing/>
    </w:pPr>
  </w:style>
  <w:style w:type="character" w:styleId="IntenseEmphasis">
    <w:name w:val="Intense Emphasis"/>
    <w:basedOn w:val="DefaultParagraphFont"/>
    <w:uiPriority w:val="21"/>
    <w:qFormat/>
    <w:rsid w:val="00BF222E"/>
    <w:rPr>
      <w:i/>
      <w:iCs/>
      <w:color w:val="0F4761" w:themeColor="accent1" w:themeShade="BF"/>
    </w:rPr>
  </w:style>
  <w:style w:type="paragraph" w:styleId="IntenseQuote">
    <w:name w:val="Intense Quote"/>
    <w:basedOn w:val="Normal"/>
    <w:next w:val="Normal"/>
    <w:link w:val="IntenseQuoteChar"/>
    <w:uiPriority w:val="30"/>
    <w:qFormat/>
    <w:rsid w:val="00BF22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22E"/>
    <w:rPr>
      <w:i/>
      <w:iCs/>
      <w:color w:val="0F4761" w:themeColor="accent1" w:themeShade="BF"/>
    </w:rPr>
  </w:style>
  <w:style w:type="character" w:styleId="IntenseReference">
    <w:name w:val="Intense Reference"/>
    <w:basedOn w:val="DefaultParagraphFont"/>
    <w:uiPriority w:val="32"/>
    <w:qFormat/>
    <w:rsid w:val="00BF222E"/>
    <w:rPr>
      <w:b/>
      <w:bCs/>
      <w:smallCaps/>
      <w:color w:val="0F4761" w:themeColor="accent1" w:themeShade="BF"/>
      <w:spacing w:val="5"/>
    </w:rPr>
  </w:style>
  <w:style w:type="character" w:styleId="Hyperlink">
    <w:name w:val="Hyperlink"/>
    <w:basedOn w:val="DefaultParagraphFont"/>
    <w:uiPriority w:val="99"/>
    <w:unhideWhenUsed/>
    <w:rsid w:val="00BF222E"/>
    <w:rPr>
      <w:color w:val="467886" w:themeColor="hyperlink"/>
      <w:u w:val="single"/>
    </w:rPr>
  </w:style>
  <w:style w:type="character" w:styleId="UnresolvedMention">
    <w:name w:val="Unresolved Mention"/>
    <w:basedOn w:val="DefaultParagraphFont"/>
    <w:uiPriority w:val="99"/>
    <w:semiHidden/>
    <w:unhideWhenUsed/>
    <w:rsid w:val="00BF22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org.uk" TargetMode="External"/><Relationship Id="rId3" Type="http://schemas.openxmlformats.org/officeDocument/2006/relationships/webSettings" Target="webSettings.xml"/><Relationship Id="rId7" Type="http://schemas.openxmlformats.org/officeDocument/2006/relationships/hyperlink" Target="https://www.skillsforcare.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11" Type="http://schemas.openxmlformats.org/officeDocument/2006/relationships/theme" Target="theme/theme1.xml"/><Relationship Id="rId5" Type="http://schemas.openxmlformats.org/officeDocument/2006/relationships/hyperlink" Target="https://www.england.nhs.uk" TargetMode="External"/><Relationship Id="rId10" Type="http://schemas.openxmlformats.org/officeDocument/2006/relationships/fontTable" Target="fontTable.xml"/><Relationship Id="rId4" Type="http://schemas.openxmlformats.org/officeDocument/2006/relationships/hyperlink" Target="https://www.cqc.org.uk" TargetMode="External"/><Relationship Id="rId9"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2073</Words>
  <Characters>11821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Ria Teresa Samantha O'Shaughnessy (2437847)</cp:lastModifiedBy>
  <cp:revision>5</cp:revision>
  <dcterms:created xsi:type="dcterms:W3CDTF">2025-12-13T10:54:00Z</dcterms:created>
  <dcterms:modified xsi:type="dcterms:W3CDTF">2025-12-13T11:29:00Z</dcterms:modified>
</cp:coreProperties>
</file>