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EF4DF" w14:textId="5C482A47" w:rsidR="0667A550" w:rsidRDefault="6886AA00"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Equality and diversity are </w:t>
      </w:r>
      <w:r w:rsidR="1B07D35F" w:rsidRPr="39C98745">
        <w:rPr>
          <w:rFonts w:ascii="Arial" w:eastAsia="Arial" w:hAnsi="Arial" w:cs="Arial"/>
          <w:sz w:val="24"/>
          <w:szCs w:val="24"/>
        </w:rPr>
        <w:t>imperative</w:t>
      </w:r>
      <w:r w:rsidRPr="39C98745">
        <w:rPr>
          <w:rFonts w:ascii="Arial" w:eastAsia="Arial" w:hAnsi="Arial" w:cs="Arial"/>
          <w:sz w:val="24"/>
          <w:szCs w:val="24"/>
        </w:rPr>
        <w:t xml:space="preserve"> in addressing the issue of inclusivity in organisations worldwide and </w:t>
      </w:r>
      <w:r w:rsidR="39CA0138" w:rsidRPr="39C98745">
        <w:rPr>
          <w:rFonts w:ascii="Arial" w:eastAsia="Arial" w:hAnsi="Arial" w:cs="Arial"/>
          <w:sz w:val="24"/>
          <w:szCs w:val="24"/>
        </w:rPr>
        <w:t xml:space="preserve">have been </w:t>
      </w:r>
      <w:r w:rsidR="2CCABFD6" w:rsidRPr="39C98745">
        <w:rPr>
          <w:rFonts w:ascii="Arial" w:eastAsia="Arial" w:hAnsi="Arial" w:cs="Arial"/>
          <w:sz w:val="24"/>
          <w:szCs w:val="24"/>
        </w:rPr>
        <w:t>an</w:t>
      </w:r>
      <w:r w:rsidR="39CA0138" w:rsidRPr="39C98745">
        <w:rPr>
          <w:rFonts w:ascii="Arial" w:eastAsia="Arial" w:hAnsi="Arial" w:cs="Arial"/>
          <w:sz w:val="24"/>
          <w:szCs w:val="24"/>
        </w:rPr>
        <w:t xml:space="preserve"> increasing </w:t>
      </w:r>
      <w:r w:rsidR="3C934001" w:rsidRPr="39C98745">
        <w:rPr>
          <w:rFonts w:ascii="Arial" w:eastAsia="Arial" w:hAnsi="Arial" w:cs="Arial"/>
          <w:sz w:val="24"/>
          <w:szCs w:val="24"/>
        </w:rPr>
        <w:t>focus</w:t>
      </w:r>
      <w:r w:rsidRPr="39C98745">
        <w:rPr>
          <w:rFonts w:ascii="Arial" w:eastAsia="Arial" w:hAnsi="Arial" w:cs="Arial"/>
          <w:sz w:val="24"/>
          <w:szCs w:val="24"/>
        </w:rPr>
        <w:t xml:space="preserve"> in the legal profession; </w:t>
      </w:r>
      <w:r w:rsidR="7602601E" w:rsidRPr="39C98745">
        <w:rPr>
          <w:rFonts w:ascii="Arial" w:eastAsia="Arial" w:hAnsi="Arial" w:cs="Arial"/>
          <w:sz w:val="24"/>
          <w:szCs w:val="24"/>
        </w:rPr>
        <w:t xml:space="preserve">are </w:t>
      </w:r>
      <w:r w:rsidRPr="39C98745">
        <w:rPr>
          <w:rFonts w:ascii="Arial" w:eastAsia="Arial" w:hAnsi="Arial" w:cs="Arial"/>
          <w:sz w:val="24"/>
          <w:szCs w:val="24"/>
        </w:rPr>
        <w:t>sufficient measures</w:t>
      </w:r>
      <w:r w:rsidR="19D81A86" w:rsidRPr="39C98745">
        <w:rPr>
          <w:rFonts w:ascii="Arial" w:eastAsia="Arial" w:hAnsi="Arial" w:cs="Arial"/>
          <w:sz w:val="24"/>
          <w:szCs w:val="24"/>
        </w:rPr>
        <w:t xml:space="preserve"> taken</w:t>
      </w:r>
      <w:r w:rsidRPr="39C98745">
        <w:rPr>
          <w:rFonts w:ascii="Arial" w:eastAsia="Arial" w:hAnsi="Arial" w:cs="Arial"/>
          <w:sz w:val="24"/>
          <w:szCs w:val="24"/>
        </w:rPr>
        <w:t xml:space="preserve"> to </w:t>
      </w:r>
      <w:r w:rsidR="42B70AE2" w:rsidRPr="39C98745">
        <w:rPr>
          <w:rFonts w:ascii="Arial" w:eastAsia="Arial" w:hAnsi="Arial" w:cs="Arial"/>
          <w:sz w:val="24"/>
          <w:szCs w:val="24"/>
        </w:rPr>
        <w:t xml:space="preserve">ameliorate </w:t>
      </w:r>
      <w:r w:rsidRPr="39C98745">
        <w:rPr>
          <w:rFonts w:ascii="Arial" w:eastAsia="Arial" w:hAnsi="Arial" w:cs="Arial"/>
          <w:sz w:val="24"/>
          <w:szCs w:val="24"/>
        </w:rPr>
        <w:t>inclusivity in the workplace</w:t>
      </w:r>
      <w:r w:rsidR="3C934001" w:rsidRPr="39C98745">
        <w:rPr>
          <w:rFonts w:ascii="Arial" w:eastAsia="Arial" w:hAnsi="Arial" w:cs="Arial"/>
          <w:sz w:val="24"/>
          <w:szCs w:val="24"/>
        </w:rPr>
        <w:t>? The</w:t>
      </w:r>
      <w:r w:rsidRPr="39C98745">
        <w:rPr>
          <w:rFonts w:ascii="Arial" w:eastAsia="Arial" w:hAnsi="Arial" w:cs="Arial"/>
          <w:sz w:val="24"/>
          <w:szCs w:val="24"/>
        </w:rPr>
        <w:t xml:space="preserve"> primary aim of this paper will be </w:t>
      </w:r>
      <w:r w:rsidR="747AFBC1" w:rsidRPr="39C98745">
        <w:rPr>
          <w:rFonts w:ascii="Arial" w:eastAsia="Arial" w:hAnsi="Arial" w:cs="Arial"/>
          <w:sz w:val="24"/>
          <w:szCs w:val="24"/>
        </w:rPr>
        <w:t>to discuss</w:t>
      </w:r>
      <w:r w:rsidR="644243FA" w:rsidRPr="39C98745">
        <w:rPr>
          <w:rFonts w:ascii="Arial" w:eastAsia="Arial" w:hAnsi="Arial" w:cs="Arial"/>
          <w:sz w:val="24"/>
          <w:szCs w:val="24"/>
        </w:rPr>
        <w:t xml:space="preserve"> ways</w:t>
      </w:r>
      <w:r w:rsidR="779BDDB2" w:rsidRPr="39C98745">
        <w:rPr>
          <w:rFonts w:ascii="Arial" w:eastAsia="Arial" w:hAnsi="Arial" w:cs="Arial"/>
          <w:sz w:val="24"/>
          <w:szCs w:val="24"/>
        </w:rPr>
        <w:t xml:space="preserve"> they can</w:t>
      </w:r>
      <w:r w:rsidR="644243FA" w:rsidRPr="39C98745">
        <w:rPr>
          <w:rFonts w:ascii="Arial" w:eastAsia="Arial" w:hAnsi="Arial" w:cs="Arial"/>
          <w:sz w:val="24"/>
          <w:szCs w:val="24"/>
        </w:rPr>
        <w:t xml:space="preserve"> </w:t>
      </w:r>
      <w:r w:rsidR="779BDDB2" w:rsidRPr="39C98745">
        <w:rPr>
          <w:rFonts w:ascii="Arial" w:eastAsia="Arial" w:hAnsi="Arial" w:cs="Arial"/>
          <w:sz w:val="24"/>
          <w:szCs w:val="24"/>
        </w:rPr>
        <w:t>do this</w:t>
      </w:r>
      <w:r w:rsidRPr="39C98745">
        <w:rPr>
          <w:rFonts w:ascii="Arial" w:eastAsia="Arial" w:hAnsi="Arial" w:cs="Arial"/>
          <w:sz w:val="24"/>
          <w:szCs w:val="24"/>
        </w:rPr>
        <w:t>;</w:t>
      </w:r>
      <w:r w:rsidR="4B29A157" w:rsidRPr="39C98745">
        <w:rPr>
          <w:rFonts w:ascii="Arial" w:eastAsia="Arial" w:hAnsi="Arial" w:cs="Arial"/>
          <w:sz w:val="24"/>
          <w:szCs w:val="24"/>
        </w:rPr>
        <w:t xml:space="preserve"> d</w:t>
      </w:r>
      <w:r w:rsidR="0A1657AD" w:rsidRPr="39C98745">
        <w:rPr>
          <w:rFonts w:ascii="Arial" w:eastAsia="Arial" w:hAnsi="Arial" w:cs="Arial"/>
          <w:sz w:val="24"/>
          <w:szCs w:val="24"/>
        </w:rPr>
        <w:t>espite</w:t>
      </w:r>
      <w:r w:rsidR="4B29A157" w:rsidRPr="39C98745">
        <w:rPr>
          <w:rFonts w:ascii="Arial" w:eastAsia="Arial" w:hAnsi="Arial" w:cs="Arial"/>
          <w:sz w:val="24"/>
          <w:szCs w:val="24"/>
        </w:rPr>
        <w:t xml:space="preserve"> this</w:t>
      </w:r>
      <w:r w:rsidRPr="39C98745">
        <w:rPr>
          <w:rFonts w:ascii="Arial" w:eastAsia="Arial" w:hAnsi="Arial" w:cs="Arial"/>
          <w:sz w:val="24"/>
          <w:szCs w:val="24"/>
        </w:rPr>
        <w:t xml:space="preserve">, equality and diversity must be defined foremost to acquire knowledge of what firms are </w:t>
      </w:r>
      <w:r w:rsidR="2A5DE077" w:rsidRPr="39C98745">
        <w:rPr>
          <w:rFonts w:ascii="Arial" w:eastAsia="Arial" w:hAnsi="Arial" w:cs="Arial"/>
          <w:sz w:val="24"/>
          <w:szCs w:val="24"/>
        </w:rPr>
        <w:t>endeavo</w:t>
      </w:r>
      <w:r w:rsidR="5FC10CBA" w:rsidRPr="39C98745">
        <w:rPr>
          <w:rFonts w:ascii="Arial" w:eastAsia="Arial" w:hAnsi="Arial" w:cs="Arial"/>
          <w:sz w:val="24"/>
          <w:szCs w:val="24"/>
        </w:rPr>
        <w:t>uring</w:t>
      </w:r>
      <w:r w:rsidR="747AFBC1" w:rsidRPr="39C98745">
        <w:rPr>
          <w:rFonts w:ascii="Arial" w:eastAsia="Arial" w:hAnsi="Arial" w:cs="Arial"/>
          <w:sz w:val="24"/>
          <w:szCs w:val="24"/>
        </w:rPr>
        <w:t xml:space="preserve"> </w:t>
      </w:r>
      <w:r w:rsidR="6A6C49FD" w:rsidRPr="39C98745">
        <w:rPr>
          <w:rFonts w:ascii="Arial" w:eastAsia="Arial" w:hAnsi="Arial" w:cs="Arial"/>
          <w:sz w:val="24"/>
          <w:szCs w:val="24"/>
        </w:rPr>
        <w:t>for</w:t>
      </w:r>
      <w:r w:rsidRPr="39C98745">
        <w:rPr>
          <w:rFonts w:ascii="Arial" w:eastAsia="Arial" w:hAnsi="Arial" w:cs="Arial"/>
          <w:sz w:val="24"/>
          <w:szCs w:val="24"/>
        </w:rPr>
        <w:t xml:space="preserve">. Equality is depicted as fairly treating people, ensuring they have identical opportunities to achieve their ideals, and not facing prejudice (What Equality, Diversity and Inclusion Mean to Us 2020). According to the Oxford English Dictionary (cited in Servaes et al., 2022), diversity is including individuals with diverse backgrounds, genders, and sexual orientations. This paper will start with a brief dialogue </w:t>
      </w:r>
      <w:r w:rsidR="0DEC0BBA" w:rsidRPr="39C98745">
        <w:rPr>
          <w:rFonts w:ascii="Arial" w:eastAsia="Arial" w:hAnsi="Arial" w:cs="Arial"/>
          <w:sz w:val="24"/>
          <w:szCs w:val="24"/>
        </w:rPr>
        <w:t>on how diverse the legal profession currently is</w:t>
      </w:r>
      <w:r w:rsidRPr="39C98745">
        <w:rPr>
          <w:rFonts w:ascii="Arial" w:eastAsia="Arial" w:hAnsi="Arial" w:cs="Arial"/>
          <w:sz w:val="24"/>
          <w:szCs w:val="24"/>
        </w:rPr>
        <w:t xml:space="preserve">; the paper will then proceed </w:t>
      </w:r>
      <w:r w:rsidR="16CEAC75" w:rsidRPr="39C98745">
        <w:rPr>
          <w:rFonts w:ascii="Arial" w:eastAsia="Arial" w:hAnsi="Arial" w:cs="Arial"/>
          <w:sz w:val="24"/>
          <w:szCs w:val="24"/>
        </w:rPr>
        <w:t>to discuss</w:t>
      </w:r>
      <w:r w:rsidR="345EA903" w:rsidRPr="39C98745">
        <w:rPr>
          <w:rFonts w:ascii="Arial" w:eastAsia="Arial" w:hAnsi="Arial" w:cs="Arial"/>
          <w:sz w:val="24"/>
          <w:szCs w:val="24"/>
        </w:rPr>
        <w:t xml:space="preserve"> </w:t>
      </w:r>
      <w:r w:rsidRPr="39C98745">
        <w:rPr>
          <w:rFonts w:ascii="Arial" w:eastAsia="Arial" w:hAnsi="Arial" w:cs="Arial"/>
          <w:sz w:val="24"/>
          <w:szCs w:val="24"/>
        </w:rPr>
        <w:t xml:space="preserve">how </w:t>
      </w:r>
      <w:r w:rsidR="671D56E1" w:rsidRPr="39C98745">
        <w:rPr>
          <w:rFonts w:ascii="Arial" w:eastAsia="Arial" w:hAnsi="Arial" w:cs="Arial"/>
          <w:sz w:val="24"/>
          <w:szCs w:val="24"/>
        </w:rPr>
        <w:t>legislation</w:t>
      </w:r>
      <w:r w:rsidR="47BA1D84" w:rsidRPr="39C98745">
        <w:rPr>
          <w:rFonts w:ascii="Arial" w:eastAsia="Arial" w:hAnsi="Arial" w:cs="Arial"/>
          <w:sz w:val="24"/>
          <w:szCs w:val="24"/>
        </w:rPr>
        <w:t xml:space="preserve">, </w:t>
      </w:r>
      <w:r w:rsidRPr="39C98745">
        <w:rPr>
          <w:rFonts w:ascii="Arial" w:eastAsia="Arial" w:hAnsi="Arial" w:cs="Arial"/>
          <w:sz w:val="24"/>
          <w:szCs w:val="24"/>
        </w:rPr>
        <w:t>regulatory board</w:t>
      </w:r>
      <w:r w:rsidR="1B06824F" w:rsidRPr="39C98745">
        <w:rPr>
          <w:rFonts w:ascii="Arial" w:eastAsia="Arial" w:hAnsi="Arial" w:cs="Arial"/>
          <w:sz w:val="24"/>
          <w:szCs w:val="24"/>
        </w:rPr>
        <w:t>s</w:t>
      </w:r>
      <w:r w:rsidRPr="39C98745">
        <w:rPr>
          <w:rFonts w:ascii="Arial" w:eastAsia="Arial" w:hAnsi="Arial" w:cs="Arial"/>
          <w:sz w:val="24"/>
          <w:szCs w:val="24"/>
        </w:rPr>
        <w:t xml:space="preserve"> </w:t>
      </w:r>
      <w:r w:rsidR="545D16D8" w:rsidRPr="39C98745">
        <w:rPr>
          <w:rFonts w:ascii="Arial" w:eastAsia="Arial" w:hAnsi="Arial" w:cs="Arial"/>
          <w:sz w:val="24"/>
          <w:szCs w:val="24"/>
        </w:rPr>
        <w:t xml:space="preserve">and individuals </w:t>
      </w:r>
      <w:r w:rsidRPr="39C98745">
        <w:rPr>
          <w:rFonts w:ascii="Arial" w:eastAsia="Arial" w:hAnsi="Arial" w:cs="Arial"/>
          <w:sz w:val="24"/>
          <w:szCs w:val="24"/>
        </w:rPr>
        <w:t xml:space="preserve">can elevate diversity and equality </w:t>
      </w:r>
      <w:r w:rsidR="114ED851" w:rsidRPr="39C98745">
        <w:rPr>
          <w:rFonts w:ascii="Arial" w:eastAsia="Arial" w:hAnsi="Arial" w:cs="Arial"/>
          <w:sz w:val="24"/>
          <w:szCs w:val="24"/>
        </w:rPr>
        <w:t>in the workplace.</w:t>
      </w:r>
    </w:p>
    <w:p w14:paraId="7DB57A45" w14:textId="34F1E3AA" w:rsidR="39C98745" w:rsidRDefault="39C98745" w:rsidP="39C98745">
      <w:pPr>
        <w:spacing w:before="40" w:after="40" w:line="480" w:lineRule="auto"/>
        <w:rPr>
          <w:rFonts w:ascii="Arial" w:eastAsia="Arial" w:hAnsi="Arial" w:cs="Arial"/>
          <w:sz w:val="24"/>
          <w:szCs w:val="24"/>
        </w:rPr>
      </w:pPr>
    </w:p>
    <w:p w14:paraId="7963A04F" w14:textId="44494296" w:rsidR="0667A550" w:rsidRDefault="21212DAD"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Firstly, according to data from the SRA (2023), 18% of lawyers are of Asian, mixed race or black ethnicities. However, a limitation of this data is that the number of men and women in this figure needs to be clarified. It would have been advantageous to indicate the number of diverse women to see how the numbers contrast with men and their white counterparts. The Bridge Group Research Action (2020) discovered that white lawyers advance to partner </w:t>
      </w:r>
      <w:r w:rsidR="636CBB40" w:rsidRPr="39C98745">
        <w:rPr>
          <w:rFonts w:ascii="Arial" w:eastAsia="Arial" w:hAnsi="Arial" w:cs="Arial"/>
          <w:sz w:val="24"/>
          <w:szCs w:val="24"/>
        </w:rPr>
        <w:t>two</w:t>
      </w:r>
      <w:r w:rsidRPr="39C98745">
        <w:rPr>
          <w:rFonts w:ascii="Arial" w:eastAsia="Arial" w:hAnsi="Arial" w:cs="Arial"/>
          <w:sz w:val="24"/>
          <w:szCs w:val="24"/>
        </w:rPr>
        <w:t xml:space="preserve"> years more swiftly than those from other ethnic groups; this could be attributed to the fact that 22</w:t>
      </w:r>
      <w:r w:rsidR="28471D49" w:rsidRPr="39C98745">
        <w:rPr>
          <w:rFonts w:ascii="Arial" w:eastAsia="Arial" w:hAnsi="Arial" w:cs="Arial"/>
          <w:sz w:val="24"/>
          <w:szCs w:val="24"/>
        </w:rPr>
        <w:t>% of</w:t>
      </w:r>
      <w:r w:rsidRPr="39C98745">
        <w:rPr>
          <w:rFonts w:ascii="Arial" w:eastAsia="Arial" w:hAnsi="Arial" w:cs="Arial"/>
          <w:sz w:val="24"/>
          <w:szCs w:val="24"/>
        </w:rPr>
        <w:t xml:space="preserve"> lawyers attend fee-paying schools (SRA 2023). The Bridge Group Research Action (2020) report also discovered that 53% of partners were privately educated, highlighting a distinct correlation between individuals who have had private education being favoured for</w:t>
      </w:r>
      <w:r w:rsidR="789178F1" w:rsidRPr="39C98745">
        <w:rPr>
          <w:rFonts w:ascii="Arial" w:eastAsia="Arial" w:hAnsi="Arial" w:cs="Arial"/>
          <w:sz w:val="24"/>
          <w:szCs w:val="24"/>
        </w:rPr>
        <w:t xml:space="preserve"> employment</w:t>
      </w:r>
      <w:r w:rsidR="4EF49945" w:rsidRPr="39C98745">
        <w:rPr>
          <w:rFonts w:ascii="Arial" w:eastAsia="Arial" w:hAnsi="Arial" w:cs="Arial"/>
          <w:sz w:val="24"/>
          <w:szCs w:val="24"/>
        </w:rPr>
        <w:t xml:space="preserve"> advancement </w:t>
      </w:r>
      <w:r w:rsidRPr="39C98745">
        <w:rPr>
          <w:rFonts w:ascii="Arial" w:eastAsia="Arial" w:hAnsi="Arial" w:cs="Arial"/>
          <w:sz w:val="24"/>
          <w:szCs w:val="24"/>
        </w:rPr>
        <w:t xml:space="preserve">leading </w:t>
      </w:r>
      <w:r w:rsidRPr="39C98745">
        <w:rPr>
          <w:rFonts w:ascii="Arial" w:eastAsia="Arial" w:hAnsi="Arial" w:cs="Arial"/>
          <w:sz w:val="24"/>
          <w:szCs w:val="24"/>
        </w:rPr>
        <w:lastRenderedPageBreak/>
        <w:t xml:space="preserve">to discrimination against </w:t>
      </w:r>
      <w:r w:rsidR="5589195D" w:rsidRPr="39C98745">
        <w:rPr>
          <w:rFonts w:ascii="Arial" w:eastAsia="Arial" w:hAnsi="Arial" w:cs="Arial"/>
          <w:sz w:val="24"/>
          <w:szCs w:val="24"/>
        </w:rPr>
        <w:t>individuals</w:t>
      </w:r>
      <w:r w:rsidRPr="39C98745">
        <w:rPr>
          <w:rFonts w:ascii="Arial" w:eastAsia="Arial" w:hAnsi="Arial" w:cs="Arial"/>
          <w:sz w:val="24"/>
          <w:szCs w:val="24"/>
        </w:rPr>
        <w:t xml:space="preserve"> from ethnic backgrounds who</w:t>
      </w:r>
      <w:r w:rsidR="5589195D" w:rsidRPr="39C98745">
        <w:rPr>
          <w:rFonts w:ascii="Arial" w:eastAsia="Arial" w:hAnsi="Arial" w:cs="Arial"/>
          <w:sz w:val="24"/>
          <w:szCs w:val="24"/>
        </w:rPr>
        <w:t xml:space="preserve"> arrived </w:t>
      </w:r>
      <w:r w:rsidRPr="39C98745">
        <w:rPr>
          <w:rFonts w:ascii="Arial" w:eastAsia="Arial" w:hAnsi="Arial" w:cs="Arial"/>
          <w:sz w:val="24"/>
          <w:szCs w:val="24"/>
        </w:rPr>
        <w:t xml:space="preserve">from deprived countries seeking refuge, with parents who could not afford to educate them privately </w:t>
      </w:r>
      <w:r w:rsidR="23D50FBC" w:rsidRPr="39C98745">
        <w:rPr>
          <w:rFonts w:ascii="Arial" w:eastAsia="Arial" w:hAnsi="Arial" w:cs="Arial"/>
          <w:sz w:val="24"/>
          <w:szCs w:val="24"/>
        </w:rPr>
        <w:t>in addition to</w:t>
      </w:r>
      <w:r w:rsidRPr="39C98745">
        <w:rPr>
          <w:rFonts w:ascii="Arial" w:eastAsia="Arial" w:hAnsi="Arial" w:cs="Arial"/>
          <w:sz w:val="24"/>
          <w:szCs w:val="24"/>
        </w:rPr>
        <w:t xml:space="preserve"> anyone regardless of ethnicity who did not obtain private schooling.</w:t>
      </w:r>
    </w:p>
    <w:p w14:paraId="76D763DE" w14:textId="5B3DFB09" w:rsidR="39C98745" w:rsidRDefault="39C98745" w:rsidP="39C98745">
      <w:pPr>
        <w:spacing w:before="40" w:after="40" w:line="480" w:lineRule="auto"/>
        <w:rPr>
          <w:rFonts w:ascii="Arial" w:eastAsia="Arial" w:hAnsi="Arial" w:cs="Arial"/>
          <w:sz w:val="24"/>
          <w:szCs w:val="24"/>
        </w:rPr>
      </w:pPr>
    </w:p>
    <w:p w14:paraId="1B02ECDF" w14:textId="55E33B53" w:rsidR="0667A550" w:rsidRDefault="76C778BC" w:rsidP="39C98745">
      <w:pPr>
        <w:spacing w:before="40" w:after="40" w:line="480" w:lineRule="auto"/>
        <w:rPr>
          <w:rFonts w:ascii="Arial" w:eastAsia="Arial" w:hAnsi="Arial" w:cs="Arial"/>
          <w:sz w:val="24"/>
          <w:szCs w:val="24"/>
        </w:rPr>
      </w:pPr>
      <w:r w:rsidRPr="39C98745">
        <w:rPr>
          <w:rFonts w:ascii="Arial" w:eastAsia="Arial" w:hAnsi="Arial" w:cs="Arial"/>
          <w:sz w:val="24"/>
          <w:szCs w:val="24"/>
        </w:rPr>
        <w:t>Secondly, the SRA</w:t>
      </w:r>
      <w:r w:rsidR="14478117" w:rsidRPr="39C98745">
        <w:rPr>
          <w:rFonts w:ascii="Arial" w:eastAsia="Arial" w:hAnsi="Arial" w:cs="Arial"/>
          <w:sz w:val="24"/>
          <w:szCs w:val="24"/>
        </w:rPr>
        <w:t xml:space="preserve"> (2023) declares</w:t>
      </w:r>
      <w:r w:rsidRPr="39C98745">
        <w:rPr>
          <w:rFonts w:ascii="Arial" w:eastAsia="Arial" w:hAnsi="Arial" w:cs="Arial"/>
          <w:sz w:val="24"/>
          <w:szCs w:val="24"/>
        </w:rPr>
        <w:t xml:space="preserve"> that 5% of lawyers are disabled; this reveals that disabled people are underrepresented in the legal field. </w:t>
      </w:r>
      <w:r w:rsidR="448D3183" w:rsidRPr="39C98745">
        <w:rPr>
          <w:rFonts w:ascii="Arial" w:eastAsia="Arial" w:hAnsi="Arial" w:cs="Arial"/>
          <w:sz w:val="24"/>
          <w:szCs w:val="24"/>
        </w:rPr>
        <w:t>Furthermore</w:t>
      </w:r>
      <w:r w:rsidRPr="39C98745">
        <w:rPr>
          <w:rFonts w:ascii="Arial" w:eastAsia="Arial" w:hAnsi="Arial" w:cs="Arial"/>
          <w:sz w:val="24"/>
          <w:szCs w:val="24"/>
        </w:rPr>
        <w:t xml:space="preserve">, this outcome is contrary to Foster (2021); in a study, they retained that 40% of lawyers who are disabled did not </w:t>
      </w:r>
      <w:r w:rsidR="6A89B0ED" w:rsidRPr="39C98745">
        <w:rPr>
          <w:rFonts w:ascii="Arial" w:eastAsia="Arial" w:hAnsi="Arial" w:cs="Arial"/>
          <w:sz w:val="24"/>
          <w:szCs w:val="24"/>
        </w:rPr>
        <w:t>apprise</w:t>
      </w:r>
      <w:r w:rsidRPr="39C98745">
        <w:rPr>
          <w:rFonts w:ascii="Arial" w:eastAsia="Arial" w:hAnsi="Arial" w:cs="Arial"/>
          <w:sz w:val="24"/>
          <w:szCs w:val="24"/>
        </w:rPr>
        <w:t xml:space="preserve"> their employer </w:t>
      </w:r>
      <w:r w:rsidR="093495CB" w:rsidRPr="39C98745">
        <w:rPr>
          <w:rFonts w:ascii="Arial" w:eastAsia="Arial" w:hAnsi="Arial" w:cs="Arial"/>
          <w:sz w:val="24"/>
          <w:szCs w:val="24"/>
        </w:rPr>
        <w:t>since</w:t>
      </w:r>
      <w:r w:rsidRPr="39C98745">
        <w:rPr>
          <w:rFonts w:ascii="Arial" w:eastAsia="Arial" w:hAnsi="Arial" w:cs="Arial"/>
          <w:sz w:val="24"/>
          <w:szCs w:val="24"/>
        </w:rPr>
        <w:t xml:space="preserve"> they deemed it put them </w:t>
      </w:r>
      <w:r w:rsidR="3E436B72" w:rsidRPr="39C98745">
        <w:rPr>
          <w:rFonts w:ascii="Arial" w:eastAsia="Arial" w:hAnsi="Arial" w:cs="Arial"/>
          <w:sz w:val="24"/>
          <w:szCs w:val="24"/>
        </w:rPr>
        <w:t xml:space="preserve">in </w:t>
      </w:r>
      <w:r w:rsidR="305B4F25" w:rsidRPr="39C98745">
        <w:rPr>
          <w:rFonts w:ascii="Arial" w:eastAsia="Arial" w:hAnsi="Arial" w:cs="Arial"/>
          <w:sz w:val="24"/>
          <w:szCs w:val="24"/>
        </w:rPr>
        <w:t xml:space="preserve">jeopardy </w:t>
      </w:r>
      <w:r w:rsidRPr="39C98745">
        <w:rPr>
          <w:rFonts w:ascii="Arial" w:eastAsia="Arial" w:hAnsi="Arial" w:cs="Arial"/>
          <w:sz w:val="24"/>
          <w:szCs w:val="24"/>
        </w:rPr>
        <w:t>of stigma and drawbacks in their career</w:t>
      </w:r>
      <w:r w:rsidR="4480EA31" w:rsidRPr="39C98745">
        <w:rPr>
          <w:rFonts w:ascii="Arial" w:eastAsia="Arial" w:hAnsi="Arial" w:cs="Arial"/>
          <w:sz w:val="24"/>
          <w:szCs w:val="24"/>
        </w:rPr>
        <w:t>; this</w:t>
      </w:r>
      <w:r w:rsidR="5BB445AC" w:rsidRPr="39C98745">
        <w:rPr>
          <w:rFonts w:ascii="Arial" w:eastAsia="Arial" w:hAnsi="Arial" w:cs="Arial"/>
          <w:sz w:val="24"/>
          <w:szCs w:val="24"/>
        </w:rPr>
        <w:t xml:space="preserve"> is pertinent as</w:t>
      </w:r>
      <w:r w:rsidRPr="39C98745">
        <w:rPr>
          <w:rFonts w:ascii="Arial" w:eastAsia="Arial" w:hAnsi="Arial" w:cs="Arial"/>
          <w:sz w:val="24"/>
          <w:szCs w:val="24"/>
        </w:rPr>
        <w:t xml:space="preserve"> there is only a small number of people making their employer consciou</w:t>
      </w:r>
      <w:r w:rsidR="75712849" w:rsidRPr="39C98745">
        <w:rPr>
          <w:rFonts w:ascii="Arial" w:eastAsia="Arial" w:hAnsi="Arial" w:cs="Arial"/>
          <w:sz w:val="24"/>
          <w:szCs w:val="24"/>
        </w:rPr>
        <w:t>s</w:t>
      </w:r>
      <w:r w:rsidR="20572595" w:rsidRPr="39C98745">
        <w:rPr>
          <w:rFonts w:ascii="Arial" w:eastAsia="Arial" w:hAnsi="Arial" w:cs="Arial"/>
          <w:sz w:val="24"/>
          <w:szCs w:val="24"/>
        </w:rPr>
        <w:t xml:space="preserve"> this may be </w:t>
      </w:r>
      <w:r w:rsidR="483433CC" w:rsidRPr="39C98745">
        <w:rPr>
          <w:rFonts w:ascii="Arial" w:eastAsia="Arial" w:hAnsi="Arial" w:cs="Arial"/>
          <w:sz w:val="24"/>
          <w:szCs w:val="24"/>
        </w:rPr>
        <w:t xml:space="preserve">since </w:t>
      </w:r>
      <w:r w:rsidR="48402A22" w:rsidRPr="39C98745">
        <w:rPr>
          <w:rFonts w:ascii="Arial" w:eastAsia="Arial" w:hAnsi="Arial" w:cs="Arial"/>
          <w:sz w:val="24"/>
          <w:szCs w:val="24"/>
        </w:rPr>
        <w:t>witnessing things in the field</w:t>
      </w:r>
      <w:r w:rsidR="188C4A2D" w:rsidRPr="39C98745">
        <w:rPr>
          <w:rFonts w:ascii="Arial" w:eastAsia="Arial" w:hAnsi="Arial" w:cs="Arial"/>
          <w:sz w:val="24"/>
          <w:szCs w:val="24"/>
        </w:rPr>
        <w:t xml:space="preserve"> that have made them feel </w:t>
      </w:r>
      <w:r w:rsidR="4DD4BB1B" w:rsidRPr="39C98745">
        <w:rPr>
          <w:rFonts w:ascii="Arial" w:eastAsia="Arial" w:hAnsi="Arial" w:cs="Arial"/>
          <w:sz w:val="24"/>
          <w:szCs w:val="24"/>
        </w:rPr>
        <w:t>this way</w:t>
      </w:r>
      <w:r w:rsidR="65767EBB" w:rsidRPr="39C98745">
        <w:rPr>
          <w:rFonts w:ascii="Arial" w:eastAsia="Arial" w:hAnsi="Arial" w:cs="Arial"/>
          <w:sz w:val="24"/>
          <w:szCs w:val="24"/>
        </w:rPr>
        <w:t xml:space="preserve">, </w:t>
      </w:r>
      <w:r w:rsidR="22014ADA" w:rsidRPr="39C98745">
        <w:rPr>
          <w:rFonts w:ascii="Arial" w:eastAsia="Arial" w:hAnsi="Arial" w:cs="Arial"/>
          <w:sz w:val="24"/>
          <w:szCs w:val="24"/>
        </w:rPr>
        <w:t xml:space="preserve">moreover </w:t>
      </w:r>
      <w:r w:rsidR="65767EBB" w:rsidRPr="39C98745">
        <w:rPr>
          <w:rFonts w:ascii="Arial" w:eastAsia="Arial" w:hAnsi="Arial" w:cs="Arial"/>
          <w:sz w:val="24"/>
          <w:szCs w:val="24"/>
        </w:rPr>
        <w:t>indicating that researchers must synthesis</w:t>
      </w:r>
      <w:r w:rsidR="2AF2AC4F" w:rsidRPr="39C98745">
        <w:rPr>
          <w:rFonts w:ascii="Arial" w:eastAsia="Arial" w:hAnsi="Arial" w:cs="Arial"/>
          <w:sz w:val="24"/>
          <w:szCs w:val="24"/>
        </w:rPr>
        <w:t>e</w:t>
      </w:r>
      <w:r w:rsidR="65767EBB" w:rsidRPr="39C98745">
        <w:rPr>
          <w:rFonts w:ascii="Arial" w:eastAsia="Arial" w:hAnsi="Arial" w:cs="Arial"/>
          <w:sz w:val="24"/>
          <w:szCs w:val="24"/>
        </w:rPr>
        <w:t xml:space="preserve"> data </w:t>
      </w:r>
      <w:r w:rsidR="28A3ED0F" w:rsidRPr="39C98745">
        <w:rPr>
          <w:rFonts w:ascii="Arial" w:eastAsia="Arial" w:hAnsi="Arial" w:cs="Arial"/>
          <w:sz w:val="24"/>
          <w:szCs w:val="24"/>
        </w:rPr>
        <w:t xml:space="preserve">from different sources to </w:t>
      </w:r>
      <w:r w:rsidR="70DDAB15" w:rsidRPr="39C98745">
        <w:rPr>
          <w:rFonts w:ascii="Arial" w:eastAsia="Arial" w:hAnsi="Arial" w:cs="Arial"/>
          <w:sz w:val="24"/>
          <w:szCs w:val="24"/>
        </w:rPr>
        <w:t xml:space="preserve">achieve </w:t>
      </w:r>
      <w:r w:rsidR="0CCE6A7A" w:rsidRPr="39C98745">
        <w:rPr>
          <w:rFonts w:ascii="Arial" w:eastAsia="Arial" w:hAnsi="Arial" w:cs="Arial"/>
          <w:sz w:val="24"/>
          <w:szCs w:val="24"/>
        </w:rPr>
        <w:t>accurate figures</w:t>
      </w:r>
      <w:r w:rsidR="5F720394" w:rsidRPr="39C98745">
        <w:rPr>
          <w:rFonts w:ascii="Arial" w:eastAsia="Arial" w:hAnsi="Arial" w:cs="Arial"/>
          <w:sz w:val="24"/>
          <w:szCs w:val="24"/>
        </w:rPr>
        <w:t xml:space="preserve"> and</w:t>
      </w:r>
      <w:r w:rsidR="404DE5CE" w:rsidRPr="39C98745">
        <w:rPr>
          <w:rFonts w:ascii="Arial" w:eastAsia="Arial" w:hAnsi="Arial" w:cs="Arial"/>
          <w:sz w:val="24"/>
          <w:szCs w:val="24"/>
        </w:rPr>
        <w:t xml:space="preserve"> a</w:t>
      </w:r>
      <w:r w:rsidR="5F720394" w:rsidRPr="39C98745">
        <w:rPr>
          <w:rFonts w:ascii="Arial" w:eastAsia="Arial" w:hAnsi="Arial" w:cs="Arial"/>
          <w:sz w:val="24"/>
          <w:szCs w:val="24"/>
        </w:rPr>
        <w:t xml:space="preserve"> comprehensive </w:t>
      </w:r>
      <w:r w:rsidR="404DE5CE" w:rsidRPr="39C98745">
        <w:rPr>
          <w:rFonts w:ascii="Arial" w:eastAsia="Arial" w:hAnsi="Arial" w:cs="Arial"/>
          <w:sz w:val="24"/>
          <w:szCs w:val="24"/>
        </w:rPr>
        <w:t>understanding.</w:t>
      </w:r>
      <w:r w:rsidR="70DDAB15" w:rsidRPr="39C98745">
        <w:rPr>
          <w:rFonts w:ascii="Arial" w:eastAsia="Arial" w:hAnsi="Arial" w:cs="Arial"/>
          <w:sz w:val="24"/>
          <w:szCs w:val="24"/>
        </w:rPr>
        <w:t xml:space="preserve"> </w:t>
      </w:r>
      <w:r w:rsidRPr="39C98745">
        <w:rPr>
          <w:rFonts w:ascii="Arial" w:eastAsia="Arial" w:hAnsi="Arial" w:cs="Arial"/>
          <w:sz w:val="24"/>
          <w:szCs w:val="24"/>
        </w:rPr>
        <w:t>There is</w:t>
      </w:r>
      <w:r w:rsidR="4D8027B1" w:rsidRPr="39C98745">
        <w:rPr>
          <w:rFonts w:ascii="Arial" w:eastAsia="Arial" w:hAnsi="Arial" w:cs="Arial"/>
          <w:sz w:val="24"/>
          <w:szCs w:val="24"/>
        </w:rPr>
        <w:t xml:space="preserve"> a deficiency in</w:t>
      </w:r>
      <w:r w:rsidRPr="39C98745">
        <w:rPr>
          <w:rFonts w:ascii="Arial" w:eastAsia="Arial" w:hAnsi="Arial" w:cs="Arial"/>
          <w:sz w:val="24"/>
          <w:szCs w:val="24"/>
        </w:rPr>
        <w:t xml:space="preserve"> research </w:t>
      </w:r>
      <w:r w:rsidR="4D8027B1" w:rsidRPr="39C98745">
        <w:rPr>
          <w:rFonts w:ascii="Arial" w:eastAsia="Arial" w:hAnsi="Arial" w:cs="Arial"/>
          <w:sz w:val="24"/>
          <w:szCs w:val="24"/>
        </w:rPr>
        <w:t xml:space="preserve">regarding </w:t>
      </w:r>
      <w:r w:rsidRPr="39C98745">
        <w:rPr>
          <w:rFonts w:ascii="Arial" w:eastAsia="Arial" w:hAnsi="Arial" w:cs="Arial"/>
          <w:sz w:val="24"/>
          <w:szCs w:val="24"/>
        </w:rPr>
        <w:t>disabled people in the legal secto</w:t>
      </w:r>
      <w:r w:rsidR="46AABC86" w:rsidRPr="39C98745">
        <w:rPr>
          <w:rFonts w:ascii="Arial" w:eastAsia="Arial" w:hAnsi="Arial" w:cs="Arial"/>
          <w:sz w:val="24"/>
          <w:szCs w:val="24"/>
        </w:rPr>
        <w:t>r</w:t>
      </w:r>
      <w:r w:rsidR="287B28E7" w:rsidRPr="39C98745">
        <w:rPr>
          <w:rFonts w:ascii="Arial" w:eastAsia="Arial" w:hAnsi="Arial" w:cs="Arial"/>
          <w:sz w:val="24"/>
          <w:szCs w:val="24"/>
        </w:rPr>
        <w:t>.</w:t>
      </w:r>
      <w:r w:rsidR="46AABC86" w:rsidRPr="39C98745">
        <w:rPr>
          <w:rFonts w:ascii="Arial" w:eastAsia="Arial" w:hAnsi="Arial" w:cs="Arial"/>
          <w:sz w:val="24"/>
          <w:szCs w:val="24"/>
        </w:rPr>
        <w:t xml:space="preserve"> </w:t>
      </w:r>
      <w:r w:rsidR="287B28E7" w:rsidRPr="39C98745">
        <w:rPr>
          <w:rFonts w:ascii="Arial" w:eastAsia="Arial" w:hAnsi="Arial" w:cs="Arial"/>
          <w:sz w:val="24"/>
          <w:szCs w:val="24"/>
        </w:rPr>
        <w:t>Further</w:t>
      </w:r>
      <w:r w:rsidR="3E7CEAF0" w:rsidRPr="39C98745">
        <w:rPr>
          <w:rFonts w:ascii="Arial" w:eastAsia="Arial" w:hAnsi="Arial" w:cs="Arial"/>
          <w:sz w:val="24"/>
          <w:szCs w:val="24"/>
        </w:rPr>
        <w:t xml:space="preserve"> research</w:t>
      </w:r>
      <w:r w:rsidR="1B721254" w:rsidRPr="39C98745">
        <w:rPr>
          <w:rFonts w:ascii="Arial" w:eastAsia="Arial" w:hAnsi="Arial" w:cs="Arial"/>
          <w:sz w:val="24"/>
          <w:szCs w:val="24"/>
        </w:rPr>
        <w:t xml:space="preserve"> can </w:t>
      </w:r>
      <w:r w:rsidR="1295A4DE" w:rsidRPr="39C98745">
        <w:rPr>
          <w:rFonts w:ascii="Arial" w:eastAsia="Arial" w:hAnsi="Arial" w:cs="Arial"/>
          <w:sz w:val="24"/>
          <w:szCs w:val="24"/>
        </w:rPr>
        <w:t xml:space="preserve">be </w:t>
      </w:r>
      <w:r w:rsidR="7190FD3C" w:rsidRPr="39C98745">
        <w:rPr>
          <w:rFonts w:ascii="Arial" w:eastAsia="Arial" w:hAnsi="Arial" w:cs="Arial"/>
          <w:sz w:val="24"/>
          <w:szCs w:val="24"/>
        </w:rPr>
        <w:t xml:space="preserve">utilised in guiding </w:t>
      </w:r>
      <w:r w:rsidR="4A2591F0" w:rsidRPr="39C98745">
        <w:rPr>
          <w:rFonts w:ascii="Arial" w:eastAsia="Arial" w:hAnsi="Arial" w:cs="Arial"/>
          <w:sz w:val="24"/>
          <w:szCs w:val="24"/>
        </w:rPr>
        <w:t xml:space="preserve">firms </w:t>
      </w:r>
      <w:r w:rsidR="1B721254" w:rsidRPr="39C98745">
        <w:rPr>
          <w:rFonts w:ascii="Arial" w:eastAsia="Arial" w:hAnsi="Arial" w:cs="Arial"/>
          <w:sz w:val="24"/>
          <w:szCs w:val="24"/>
        </w:rPr>
        <w:t xml:space="preserve">on </w:t>
      </w:r>
      <w:r w:rsidR="2586627C" w:rsidRPr="39C98745">
        <w:rPr>
          <w:rFonts w:ascii="Arial" w:eastAsia="Arial" w:hAnsi="Arial" w:cs="Arial"/>
          <w:sz w:val="24"/>
          <w:szCs w:val="24"/>
        </w:rPr>
        <w:t>how to</w:t>
      </w:r>
      <w:r w:rsidR="0EB92A9D" w:rsidRPr="39C98745">
        <w:rPr>
          <w:rFonts w:ascii="Arial" w:eastAsia="Arial" w:hAnsi="Arial" w:cs="Arial"/>
          <w:sz w:val="24"/>
          <w:szCs w:val="24"/>
        </w:rPr>
        <w:t xml:space="preserve"> help </w:t>
      </w:r>
      <w:r w:rsidR="53C6CDF6" w:rsidRPr="39C98745">
        <w:rPr>
          <w:rFonts w:ascii="Arial" w:eastAsia="Arial" w:hAnsi="Arial" w:cs="Arial"/>
          <w:sz w:val="24"/>
          <w:szCs w:val="24"/>
        </w:rPr>
        <w:t>mitigate barriers disabled people face</w:t>
      </w:r>
      <w:r w:rsidR="287B28E7" w:rsidRPr="39C98745">
        <w:rPr>
          <w:rFonts w:ascii="Arial" w:eastAsia="Arial" w:hAnsi="Arial" w:cs="Arial"/>
          <w:sz w:val="24"/>
          <w:szCs w:val="24"/>
        </w:rPr>
        <w:t>,</w:t>
      </w:r>
      <w:r w:rsidR="5462289A" w:rsidRPr="39C98745">
        <w:rPr>
          <w:rFonts w:ascii="Arial" w:eastAsia="Arial" w:hAnsi="Arial" w:cs="Arial"/>
          <w:sz w:val="24"/>
          <w:szCs w:val="24"/>
        </w:rPr>
        <w:t xml:space="preserve"> which would overall make the legal profession more inclusive. </w:t>
      </w:r>
    </w:p>
    <w:p w14:paraId="2A03D92A" w14:textId="79D9364C" w:rsidR="39C98745" w:rsidRDefault="39C98745" w:rsidP="39C98745">
      <w:pPr>
        <w:spacing w:before="40" w:after="40" w:line="480" w:lineRule="auto"/>
        <w:rPr>
          <w:rFonts w:ascii="Arial" w:eastAsia="Arial" w:hAnsi="Arial" w:cs="Arial"/>
          <w:color w:val="0E101A"/>
          <w:sz w:val="24"/>
          <w:szCs w:val="24"/>
        </w:rPr>
      </w:pPr>
    </w:p>
    <w:p w14:paraId="54DF9DB3" w14:textId="72F4E147" w:rsidR="00391F2B" w:rsidRDefault="75CED695" w:rsidP="39C98745">
      <w:pPr>
        <w:spacing w:before="40" w:after="40" w:line="480" w:lineRule="auto"/>
        <w:rPr>
          <w:rFonts w:ascii="Arial" w:eastAsia="Arial" w:hAnsi="Arial" w:cs="Arial"/>
          <w:sz w:val="24"/>
          <w:szCs w:val="24"/>
        </w:rPr>
      </w:pPr>
      <w:r w:rsidRPr="39C98745">
        <w:rPr>
          <w:rFonts w:ascii="Arial" w:eastAsia="Arial" w:hAnsi="Arial" w:cs="Arial"/>
          <w:color w:val="0E101A"/>
          <w:sz w:val="24"/>
          <w:szCs w:val="24"/>
        </w:rPr>
        <w:t>I</w:t>
      </w:r>
      <w:r w:rsidR="65D0AEF3" w:rsidRPr="39C98745">
        <w:rPr>
          <w:rFonts w:ascii="Arial" w:eastAsia="Arial" w:hAnsi="Arial" w:cs="Arial"/>
          <w:color w:val="0E101A"/>
          <w:sz w:val="24"/>
          <w:szCs w:val="24"/>
        </w:rPr>
        <w:t>n 1919, The</w:t>
      </w:r>
      <w:r w:rsidR="65D0AEF3" w:rsidRPr="39C98745">
        <w:rPr>
          <w:rFonts w:ascii="Arial" w:eastAsia="Arial" w:hAnsi="Arial" w:cs="Arial"/>
          <w:i/>
          <w:iCs/>
          <w:color w:val="0E101A"/>
          <w:sz w:val="24"/>
          <w:szCs w:val="24"/>
        </w:rPr>
        <w:t xml:space="preserve"> Sex Disqualification (Removal) Act</w:t>
      </w:r>
      <w:r w:rsidR="65D0AEF3" w:rsidRPr="39C98745">
        <w:rPr>
          <w:rFonts w:ascii="Arial" w:eastAsia="Arial" w:hAnsi="Arial" w:cs="Arial"/>
          <w:color w:val="0E101A"/>
          <w:sz w:val="24"/>
          <w:szCs w:val="24"/>
        </w:rPr>
        <w:t xml:space="preserve"> 1919 (s.1) granted women the right to work in the legal sector</w:t>
      </w:r>
      <w:r w:rsidR="75375BCC" w:rsidRPr="39C98745">
        <w:rPr>
          <w:rFonts w:ascii="Arial" w:eastAsia="Arial" w:hAnsi="Arial" w:cs="Arial"/>
          <w:color w:val="0E101A"/>
          <w:sz w:val="24"/>
          <w:szCs w:val="24"/>
        </w:rPr>
        <w:t>. Today</w:t>
      </w:r>
      <w:r w:rsidR="65D0AEF3" w:rsidRPr="39C98745">
        <w:rPr>
          <w:rFonts w:ascii="Arial" w:eastAsia="Arial" w:hAnsi="Arial" w:cs="Arial"/>
          <w:color w:val="0E101A"/>
          <w:sz w:val="24"/>
          <w:szCs w:val="24"/>
        </w:rPr>
        <w:t xml:space="preserve">, women </w:t>
      </w:r>
      <w:r w:rsidR="75375BCC" w:rsidRPr="39C98745">
        <w:rPr>
          <w:rFonts w:ascii="Arial" w:eastAsia="Arial" w:hAnsi="Arial" w:cs="Arial"/>
          <w:color w:val="0E101A"/>
          <w:sz w:val="24"/>
          <w:szCs w:val="24"/>
        </w:rPr>
        <w:t>comprise</w:t>
      </w:r>
      <w:r w:rsidR="65D0AEF3" w:rsidRPr="39C98745">
        <w:rPr>
          <w:rFonts w:ascii="Arial" w:eastAsia="Arial" w:hAnsi="Arial" w:cs="Arial"/>
          <w:color w:val="0E101A"/>
          <w:sz w:val="24"/>
          <w:szCs w:val="24"/>
        </w:rPr>
        <w:t xml:space="preserve"> over half of the legal profession</w:t>
      </w:r>
      <w:r w:rsidR="75375BCC" w:rsidRPr="39C98745">
        <w:rPr>
          <w:rFonts w:ascii="Arial" w:eastAsia="Arial" w:hAnsi="Arial" w:cs="Arial"/>
          <w:color w:val="0E101A"/>
          <w:sz w:val="24"/>
          <w:szCs w:val="24"/>
        </w:rPr>
        <w:t xml:space="preserve">. The </w:t>
      </w:r>
      <w:r w:rsidR="65D0AEF3" w:rsidRPr="39C98745">
        <w:rPr>
          <w:rFonts w:ascii="Arial" w:eastAsia="Arial" w:hAnsi="Arial" w:cs="Arial"/>
          <w:color w:val="0E101A"/>
          <w:sz w:val="24"/>
          <w:szCs w:val="24"/>
        </w:rPr>
        <w:t xml:space="preserve">Solicitors Regulation Authority (2023) has </w:t>
      </w:r>
      <w:r w:rsidR="75375BCC" w:rsidRPr="39C98745">
        <w:rPr>
          <w:rFonts w:ascii="Arial" w:eastAsia="Arial" w:hAnsi="Arial" w:cs="Arial"/>
          <w:color w:val="0E101A"/>
          <w:sz w:val="24"/>
          <w:szCs w:val="24"/>
        </w:rPr>
        <w:t>gathered</w:t>
      </w:r>
      <w:r w:rsidR="65D0AEF3" w:rsidRPr="39C98745">
        <w:rPr>
          <w:rFonts w:ascii="Arial" w:eastAsia="Arial" w:hAnsi="Arial" w:cs="Arial"/>
          <w:color w:val="0E101A"/>
          <w:sz w:val="24"/>
          <w:szCs w:val="24"/>
        </w:rPr>
        <w:t xml:space="preserve"> data </w:t>
      </w:r>
      <w:r w:rsidR="75375BCC" w:rsidRPr="39C98745">
        <w:rPr>
          <w:rFonts w:ascii="Arial" w:eastAsia="Arial" w:hAnsi="Arial" w:cs="Arial"/>
          <w:color w:val="0E101A"/>
          <w:sz w:val="24"/>
          <w:szCs w:val="24"/>
        </w:rPr>
        <w:t xml:space="preserve">that </w:t>
      </w:r>
      <w:r w:rsidR="65D0AEF3" w:rsidRPr="39C98745">
        <w:rPr>
          <w:rFonts w:ascii="Arial" w:eastAsia="Arial" w:hAnsi="Arial" w:cs="Arial"/>
          <w:color w:val="0E101A"/>
          <w:sz w:val="24"/>
          <w:szCs w:val="24"/>
        </w:rPr>
        <w:t>displays that 52% of lawyers are women</w:t>
      </w:r>
      <w:r w:rsidR="75375BCC" w:rsidRPr="39C98745">
        <w:rPr>
          <w:rFonts w:ascii="Arial" w:eastAsia="Arial" w:hAnsi="Arial" w:cs="Arial"/>
          <w:color w:val="0E101A"/>
          <w:sz w:val="24"/>
          <w:szCs w:val="24"/>
        </w:rPr>
        <w:t>;</w:t>
      </w:r>
      <w:r w:rsidR="65D0AEF3" w:rsidRPr="39C98745">
        <w:rPr>
          <w:rFonts w:ascii="Arial" w:eastAsia="Arial" w:hAnsi="Arial" w:cs="Arial"/>
          <w:color w:val="0E101A"/>
          <w:sz w:val="24"/>
          <w:szCs w:val="24"/>
        </w:rPr>
        <w:t xml:space="preserve"> despite this, </w:t>
      </w:r>
      <w:r w:rsidR="75375BCC" w:rsidRPr="39C98745">
        <w:rPr>
          <w:rFonts w:ascii="Arial" w:eastAsia="Arial" w:hAnsi="Arial" w:cs="Arial"/>
          <w:color w:val="0E101A"/>
          <w:sz w:val="24"/>
          <w:szCs w:val="24"/>
        </w:rPr>
        <w:t xml:space="preserve">women </w:t>
      </w:r>
      <w:r w:rsidR="65D0AEF3" w:rsidRPr="39C98745">
        <w:rPr>
          <w:rFonts w:ascii="Arial" w:eastAsia="Arial" w:hAnsi="Arial" w:cs="Arial"/>
          <w:color w:val="0E101A"/>
          <w:sz w:val="24"/>
          <w:szCs w:val="24"/>
        </w:rPr>
        <w:t>only make up 35% of partners in firms</w:t>
      </w:r>
      <w:r w:rsidR="75375BCC" w:rsidRPr="39C98745">
        <w:rPr>
          <w:rFonts w:ascii="Arial" w:eastAsia="Arial" w:hAnsi="Arial" w:cs="Arial"/>
          <w:color w:val="0E101A"/>
          <w:sz w:val="24"/>
          <w:szCs w:val="24"/>
        </w:rPr>
        <w:t>;</w:t>
      </w:r>
      <w:r w:rsidR="65D0AEF3" w:rsidRPr="39C98745">
        <w:rPr>
          <w:rFonts w:ascii="Arial" w:eastAsia="Arial" w:hAnsi="Arial" w:cs="Arial"/>
          <w:color w:val="0E101A"/>
          <w:sz w:val="24"/>
          <w:szCs w:val="24"/>
        </w:rPr>
        <w:t xml:space="preserve"> this may be due to women </w:t>
      </w:r>
      <w:r w:rsidR="75375BCC" w:rsidRPr="39C98745">
        <w:rPr>
          <w:rFonts w:ascii="Arial" w:eastAsia="Arial" w:hAnsi="Arial" w:cs="Arial"/>
          <w:color w:val="0E101A"/>
          <w:sz w:val="24"/>
          <w:szCs w:val="24"/>
        </w:rPr>
        <w:t>prioriti</w:t>
      </w:r>
      <w:r w:rsidR="6137B432" w:rsidRPr="39C98745">
        <w:rPr>
          <w:rFonts w:ascii="Arial" w:eastAsia="Arial" w:hAnsi="Arial" w:cs="Arial"/>
          <w:color w:val="0E101A"/>
          <w:sz w:val="24"/>
          <w:szCs w:val="24"/>
        </w:rPr>
        <w:t>sing</w:t>
      </w:r>
      <w:r w:rsidR="65D0AEF3" w:rsidRPr="39C98745">
        <w:rPr>
          <w:rFonts w:ascii="Arial" w:eastAsia="Arial" w:hAnsi="Arial" w:cs="Arial"/>
          <w:color w:val="0E101A"/>
          <w:sz w:val="24"/>
          <w:szCs w:val="24"/>
        </w:rPr>
        <w:t xml:space="preserve"> work-life balance </w:t>
      </w:r>
      <w:r w:rsidR="75375BCC" w:rsidRPr="39C98745">
        <w:rPr>
          <w:rFonts w:ascii="Arial" w:eastAsia="Arial" w:hAnsi="Arial" w:cs="Arial"/>
          <w:color w:val="0E101A"/>
          <w:sz w:val="24"/>
          <w:szCs w:val="24"/>
        </w:rPr>
        <w:t xml:space="preserve">or choosing to focus on family </w:t>
      </w:r>
      <w:r w:rsidR="65D0AEF3" w:rsidRPr="39C98745">
        <w:rPr>
          <w:rFonts w:ascii="Arial" w:eastAsia="Arial" w:hAnsi="Arial" w:cs="Arial"/>
          <w:color w:val="0E101A"/>
          <w:sz w:val="24"/>
          <w:szCs w:val="24"/>
        </w:rPr>
        <w:t>(Hakim 2006, cited in Walsh 2012</w:t>
      </w:r>
      <w:r w:rsidR="75375BCC" w:rsidRPr="39C98745">
        <w:rPr>
          <w:rFonts w:ascii="Arial" w:eastAsia="Arial" w:hAnsi="Arial" w:cs="Arial"/>
          <w:color w:val="0E101A"/>
          <w:sz w:val="24"/>
          <w:szCs w:val="24"/>
        </w:rPr>
        <w:t>). Despite this,</w:t>
      </w:r>
      <w:r w:rsidR="65D0AEF3" w:rsidRPr="39C98745">
        <w:rPr>
          <w:rFonts w:ascii="Arial" w:eastAsia="Arial" w:hAnsi="Arial" w:cs="Arial"/>
          <w:color w:val="0E101A"/>
          <w:sz w:val="24"/>
          <w:szCs w:val="24"/>
        </w:rPr>
        <w:t xml:space="preserve"> some women </w:t>
      </w:r>
      <w:r w:rsidR="75375BCC" w:rsidRPr="39C98745">
        <w:rPr>
          <w:rFonts w:ascii="Arial" w:eastAsia="Arial" w:hAnsi="Arial" w:cs="Arial"/>
          <w:color w:val="0E101A"/>
          <w:sz w:val="24"/>
          <w:szCs w:val="24"/>
        </w:rPr>
        <w:t>prioritise career progression,</w:t>
      </w:r>
      <w:r w:rsidR="65D0AEF3" w:rsidRPr="39C98745">
        <w:rPr>
          <w:rFonts w:ascii="Arial" w:eastAsia="Arial" w:hAnsi="Arial" w:cs="Arial"/>
          <w:color w:val="0E101A"/>
          <w:sz w:val="24"/>
          <w:szCs w:val="24"/>
        </w:rPr>
        <w:t xml:space="preserve"> and </w:t>
      </w:r>
      <w:r w:rsidR="75375BCC" w:rsidRPr="39C98745">
        <w:rPr>
          <w:rFonts w:ascii="Arial" w:eastAsia="Arial" w:hAnsi="Arial" w:cs="Arial"/>
          <w:color w:val="0E101A"/>
          <w:sz w:val="24"/>
          <w:szCs w:val="24"/>
        </w:rPr>
        <w:t>these</w:t>
      </w:r>
      <w:r w:rsidR="65D0AEF3" w:rsidRPr="39C98745">
        <w:rPr>
          <w:rFonts w:ascii="Arial" w:eastAsia="Arial" w:hAnsi="Arial" w:cs="Arial"/>
          <w:color w:val="0E101A"/>
          <w:sz w:val="24"/>
          <w:szCs w:val="24"/>
        </w:rPr>
        <w:t xml:space="preserve"> societal expectations </w:t>
      </w:r>
      <w:r w:rsidR="75375BCC" w:rsidRPr="39C98745">
        <w:rPr>
          <w:rFonts w:ascii="Arial" w:eastAsia="Arial" w:hAnsi="Arial" w:cs="Arial"/>
          <w:color w:val="0E101A"/>
          <w:sz w:val="24"/>
          <w:szCs w:val="24"/>
        </w:rPr>
        <w:t xml:space="preserve">may cause women to be disregarded for </w:t>
      </w:r>
      <w:r w:rsidR="75375BCC" w:rsidRPr="39C98745">
        <w:rPr>
          <w:rFonts w:ascii="Arial" w:eastAsia="Arial" w:hAnsi="Arial" w:cs="Arial"/>
          <w:color w:val="0E101A"/>
          <w:sz w:val="24"/>
          <w:szCs w:val="24"/>
        </w:rPr>
        <w:lastRenderedPageBreak/>
        <w:t>partner positions.</w:t>
      </w:r>
      <w:r w:rsidR="65D0AEF3" w:rsidRPr="39C98745">
        <w:rPr>
          <w:rFonts w:ascii="Arial" w:eastAsia="Arial" w:hAnsi="Arial" w:cs="Arial"/>
          <w:color w:val="0E101A"/>
          <w:sz w:val="24"/>
          <w:szCs w:val="24"/>
        </w:rPr>
        <w:t xml:space="preserve"> The Law Society (2023) </w:t>
      </w:r>
      <w:r w:rsidR="75375BCC" w:rsidRPr="39C98745">
        <w:rPr>
          <w:rFonts w:ascii="Arial" w:eastAsia="Arial" w:hAnsi="Arial" w:cs="Arial"/>
          <w:color w:val="0E101A"/>
          <w:sz w:val="24"/>
          <w:szCs w:val="24"/>
        </w:rPr>
        <w:t>reported that, on average, women earn 28% less than men. Some factors like experience, the date hired, and negotiation skills may contribute to the pay gap</w:t>
      </w:r>
      <w:r w:rsidR="4FA8A047" w:rsidRPr="39C98745">
        <w:rPr>
          <w:rFonts w:ascii="Arial" w:eastAsia="Arial" w:hAnsi="Arial" w:cs="Arial"/>
          <w:color w:val="0E101A"/>
          <w:sz w:val="24"/>
          <w:szCs w:val="24"/>
        </w:rPr>
        <w:t xml:space="preserve"> </w:t>
      </w:r>
      <w:r w:rsidR="4FA8A047" w:rsidRPr="39C98745">
        <w:rPr>
          <w:rFonts w:ascii="Arial" w:eastAsia="Arial" w:hAnsi="Arial" w:cs="Arial"/>
          <w:sz w:val="24"/>
          <w:szCs w:val="24"/>
        </w:rPr>
        <w:t>(</w:t>
      </w:r>
      <w:r w:rsidR="4FA8A047" w:rsidRPr="39C98745">
        <w:rPr>
          <w:rFonts w:ascii="Arial" w:eastAsia="Arial" w:hAnsi="Arial" w:cs="Arial"/>
          <w:i/>
          <w:iCs/>
          <w:sz w:val="24"/>
          <w:szCs w:val="24"/>
        </w:rPr>
        <w:t>Is same job, different pay allowed?</w:t>
      </w:r>
      <w:r w:rsidR="4FA8A047" w:rsidRPr="39C98745">
        <w:rPr>
          <w:rFonts w:ascii="Arial" w:eastAsia="Arial" w:hAnsi="Arial" w:cs="Arial"/>
          <w:sz w:val="24"/>
          <w:szCs w:val="24"/>
        </w:rPr>
        <w:t> 2021).</w:t>
      </w:r>
      <w:r w:rsidR="4FA8A047" w:rsidRPr="39C98745">
        <w:rPr>
          <w:rFonts w:ascii="Arial" w:eastAsia="Arial" w:hAnsi="Arial" w:cs="Arial"/>
          <w:color w:val="000000" w:themeColor="text1"/>
          <w:sz w:val="24"/>
          <w:szCs w:val="24"/>
        </w:rPr>
        <w:t xml:space="preserve"> </w:t>
      </w:r>
      <w:r w:rsidR="66735D4F" w:rsidRPr="39C98745">
        <w:rPr>
          <w:rFonts w:ascii="Arial" w:eastAsia="Arial" w:hAnsi="Arial" w:cs="Arial"/>
          <w:color w:val="0E101A"/>
          <w:sz w:val="24"/>
          <w:szCs w:val="24"/>
        </w:rPr>
        <w:t>Yet</w:t>
      </w:r>
      <w:r w:rsidR="75375BCC" w:rsidRPr="39C98745">
        <w:rPr>
          <w:rFonts w:ascii="Arial" w:eastAsia="Arial" w:hAnsi="Arial" w:cs="Arial"/>
          <w:color w:val="0E101A"/>
          <w:sz w:val="24"/>
          <w:szCs w:val="24"/>
        </w:rPr>
        <w:t xml:space="preserve">, firms can use these components to justify underlying sex discrimination and evade the </w:t>
      </w:r>
      <w:r w:rsidR="75375BCC" w:rsidRPr="39C98745">
        <w:rPr>
          <w:rFonts w:ascii="Arial" w:eastAsia="Arial" w:hAnsi="Arial" w:cs="Arial"/>
          <w:i/>
          <w:iCs/>
          <w:color w:val="0E101A"/>
          <w:sz w:val="24"/>
          <w:szCs w:val="24"/>
        </w:rPr>
        <w:t>Equality Act</w:t>
      </w:r>
      <w:r w:rsidR="75375BCC" w:rsidRPr="39C98745">
        <w:rPr>
          <w:rFonts w:ascii="Arial" w:eastAsia="Arial" w:hAnsi="Arial" w:cs="Arial"/>
          <w:color w:val="0E101A"/>
          <w:sz w:val="24"/>
          <w:szCs w:val="24"/>
        </w:rPr>
        <w:t xml:space="preserve"> 2010 (s.78), </w:t>
      </w:r>
      <w:r w:rsidR="6FDDBED1" w:rsidRPr="39C98745">
        <w:rPr>
          <w:rFonts w:ascii="Arial" w:eastAsia="Arial" w:hAnsi="Arial" w:cs="Arial"/>
          <w:color w:val="0E101A"/>
          <w:sz w:val="24"/>
          <w:szCs w:val="24"/>
        </w:rPr>
        <w:t xml:space="preserve">exemplifying </w:t>
      </w:r>
      <w:r w:rsidR="75375BCC" w:rsidRPr="39C98745">
        <w:rPr>
          <w:rFonts w:ascii="Arial" w:eastAsia="Arial" w:hAnsi="Arial" w:cs="Arial"/>
          <w:color w:val="0E101A"/>
          <w:sz w:val="24"/>
          <w:szCs w:val="24"/>
        </w:rPr>
        <w:t>the need for new equal pay legislation.</w:t>
      </w:r>
    </w:p>
    <w:p w14:paraId="6A9D6EC4" w14:textId="2D0C05AE" w:rsidR="39C98745" w:rsidRDefault="39C98745" w:rsidP="39C98745">
      <w:pPr>
        <w:spacing w:before="40" w:after="40" w:line="480" w:lineRule="auto"/>
        <w:rPr>
          <w:rFonts w:ascii="Arial" w:eastAsia="Arial" w:hAnsi="Arial" w:cs="Arial"/>
          <w:sz w:val="24"/>
          <w:szCs w:val="24"/>
        </w:rPr>
      </w:pPr>
    </w:p>
    <w:p w14:paraId="2A584B85" w14:textId="27DE488F" w:rsidR="282D35DA" w:rsidRDefault="0B691135"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The </w:t>
      </w:r>
      <w:r w:rsidR="5248F53A" w:rsidRPr="39C98745">
        <w:rPr>
          <w:rFonts w:ascii="Arial" w:eastAsia="Arial" w:hAnsi="Arial" w:cs="Arial"/>
          <w:sz w:val="24"/>
          <w:szCs w:val="24"/>
        </w:rPr>
        <w:t xml:space="preserve">first piece of </w:t>
      </w:r>
      <w:r w:rsidRPr="39C98745">
        <w:rPr>
          <w:rFonts w:ascii="Arial" w:eastAsia="Arial" w:hAnsi="Arial" w:cs="Arial"/>
          <w:sz w:val="24"/>
          <w:szCs w:val="24"/>
        </w:rPr>
        <w:t xml:space="preserve">legislation that promotes equality and diversity is the Equality Act 2010 (s.1.4); it serves to protect people with protected characteristics from prejudice and discrimination in the workplace; the protected characteristics are age, disability, gender reassignment, matrimony/partnership, pregnancy, race, faith/beliefs, </w:t>
      </w:r>
      <w:r w:rsidR="7AAF5CB9" w:rsidRPr="39C98745">
        <w:rPr>
          <w:rFonts w:ascii="Arial" w:eastAsia="Arial" w:hAnsi="Arial" w:cs="Arial"/>
          <w:sz w:val="24"/>
          <w:szCs w:val="24"/>
        </w:rPr>
        <w:t>sex,</w:t>
      </w:r>
      <w:r w:rsidRPr="39C98745">
        <w:rPr>
          <w:rFonts w:ascii="Arial" w:eastAsia="Arial" w:hAnsi="Arial" w:cs="Arial"/>
          <w:sz w:val="24"/>
          <w:szCs w:val="24"/>
        </w:rPr>
        <w:t xml:space="preserve"> and sexual orientation this legislation effectively safeguards individuals</w:t>
      </w:r>
      <w:r w:rsidR="0C28E30C" w:rsidRPr="39C98745">
        <w:rPr>
          <w:rFonts w:ascii="Arial" w:eastAsia="Arial" w:hAnsi="Arial" w:cs="Arial"/>
          <w:sz w:val="24"/>
          <w:szCs w:val="24"/>
        </w:rPr>
        <w:t>. Nevertheless</w:t>
      </w:r>
      <w:r w:rsidRPr="39C98745">
        <w:rPr>
          <w:rFonts w:ascii="Arial" w:eastAsia="Arial" w:hAnsi="Arial" w:cs="Arial"/>
          <w:sz w:val="24"/>
          <w:szCs w:val="24"/>
        </w:rPr>
        <w:t xml:space="preserve">, some experts argue that socioeconomic status should also be protected due to the SRA (cited by Shuja, 2022) proposing data displaying that 58% of lawyers are from a professional background, more than half compared to 37% nationally; this </w:t>
      </w:r>
      <w:r w:rsidR="490EAE2E" w:rsidRPr="39C98745">
        <w:rPr>
          <w:rFonts w:ascii="Arial" w:eastAsia="Arial" w:hAnsi="Arial" w:cs="Arial"/>
          <w:sz w:val="24"/>
          <w:szCs w:val="24"/>
        </w:rPr>
        <w:t>postulates</w:t>
      </w:r>
      <w:r w:rsidRPr="39C98745">
        <w:rPr>
          <w:rFonts w:ascii="Arial" w:eastAsia="Arial" w:hAnsi="Arial" w:cs="Arial"/>
          <w:sz w:val="24"/>
          <w:szCs w:val="24"/>
        </w:rPr>
        <w:t xml:space="preserve"> that socioeconomic backgrounds are heavily favoured within the legal profession; since there is a scarcity of legislation, this is currently acceptable; by including this as a protected characteristic, it would promote diversity in the legal profession and other fields.</w:t>
      </w:r>
    </w:p>
    <w:p w14:paraId="6F975864" w14:textId="7BB8FE2B" w:rsidR="39C98745" w:rsidRDefault="39C98745" w:rsidP="39C98745">
      <w:pPr>
        <w:spacing w:before="40" w:after="40" w:line="480" w:lineRule="auto"/>
        <w:rPr>
          <w:rFonts w:ascii="Arial" w:eastAsia="Arial" w:hAnsi="Arial" w:cs="Arial"/>
          <w:sz w:val="24"/>
          <w:szCs w:val="24"/>
        </w:rPr>
      </w:pPr>
    </w:p>
    <w:p w14:paraId="4D80E7BB" w14:textId="0C4EF740" w:rsidR="1EE76BA4" w:rsidRDefault="55C18AB8"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The second piece of legislation is the </w:t>
      </w:r>
      <w:r w:rsidRPr="39C98745">
        <w:rPr>
          <w:rFonts w:ascii="Arial" w:eastAsia="Arial" w:hAnsi="Arial" w:cs="Arial"/>
          <w:i/>
          <w:iCs/>
          <w:sz w:val="24"/>
          <w:szCs w:val="24"/>
        </w:rPr>
        <w:t>Legal Services Act</w:t>
      </w:r>
      <w:r w:rsidRPr="39C98745">
        <w:rPr>
          <w:rFonts w:ascii="Arial" w:eastAsia="Arial" w:hAnsi="Arial" w:cs="Arial"/>
          <w:sz w:val="24"/>
          <w:szCs w:val="24"/>
        </w:rPr>
        <w:t xml:space="preserve"> 2007 (s1.1), which sets out principles that relate to equality and diversity; these aim to improve access to justice, encourage an independent, strong, diverse, and influential legal profession and increase public understanding of the citizen's legal rights and duties. There is also a set </w:t>
      </w:r>
      <w:r w:rsidRPr="39C98745">
        <w:rPr>
          <w:rFonts w:ascii="Arial" w:eastAsia="Arial" w:hAnsi="Arial" w:cs="Arial"/>
          <w:sz w:val="24"/>
          <w:szCs w:val="24"/>
        </w:rPr>
        <w:lastRenderedPageBreak/>
        <w:t xml:space="preserve">of professional principles, to name a few, concerning equality and diversity, acting in the best interest of the </w:t>
      </w:r>
      <w:bookmarkStart w:id="0" w:name="_Int_j5tdC08k"/>
      <w:r w:rsidRPr="39C98745">
        <w:rPr>
          <w:rFonts w:ascii="Arial" w:eastAsia="Arial" w:hAnsi="Arial" w:cs="Arial"/>
          <w:sz w:val="24"/>
          <w:szCs w:val="24"/>
        </w:rPr>
        <w:t>client</w:t>
      </w:r>
      <w:bookmarkEnd w:id="0"/>
      <w:r w:rsidRPr="39C98745">
        <w:rPr>
          <w:rFonts w:ascii="Arial" w:eastAsia="Arial" w:hAnsi="Arial" w:cs="Arial"/>
          <w:sz w:val="24"/>
          <w:szCs w:val="24"/>
        </w:rPr>
        <w:t xml:space="preserve"> and complying with the court to act with independence in the interest of justice (</w:t>
      </w:r>
      <w:r w:rsidRPr="39C98745">
        <w:rPr>
          <w:rFonts w:ascii="Arial" w:eastAsia="Arial" w:hAnsi="Arial" w:cs="Arial"/>
          <w:i/>
          <w:iCs/>
          <w:sz w:val="24"/>
          <w:szCs w:val="24"/>
        </w:rPr>
        <w:t>Legal Services Act</w:t>
      </w:r>
      <w:r w:rsidRPr="39C98745">
        <w:rPr>
          <w:rFonts w:ascii="Arial" w:eastAsia="Arial" w:hAnsi="Arial" w:cs="Arial"/>
          <w:sz w:val="24"/>
          <w:szCs w:val="24"/>
        </w:rPr>
        <w:t xml:space="preserve"> 2007, s1.3). Each regulatory board's code of conduct and principles are developed to uphold this legislation </w:t>
      </w:r>
      <w:r w:rsidR="534C7291" w:rsidRPr="39C98745">
        <w:rPr>
          <w:rFonts w:ascii="Arial" w:eastAsia="Arial" w:hAnsi="Arial" w:cs="Arial"/>
          <w:sz w:val="24"/>
          <w:szCs w:val="24"/>
        </w:rPr>
        <w:t>and facilitate legal professionals working</w:t>
      </w:r>
      <w:r w:rsidR="7DF63C84" w:rsidRPr="39C98745">
        <w:rPr>
          <w:rFonts w:ascii="Arial" w:eastAsia="Arial" w:hAnsi="Arial" w:cs="Arial"/>
          <w:sz w:val="24"/>
          <w:szCs w:val="24"/>
        </w:rPr>
        <w:t xml:space="preserve"> within th</w:t>
      </w:r>
      <w:r w:rsidR="0645D26F" w:rsidRPr="39C98745">
        <w:rPr>
          <w:rFonts w:ascii="Arial" w:eastAsia="Arial" w:hAnsi="Arial" w:cs="Arial"/>
          <w:sz w:val="24"/>
          <w:szCs w:val="24"/>
        </w:rPr>
        <w:t>e</w:t>
      </w:r>
      <w:r w:rsidR="7DF63C84" w:rsidRPr="39C98745">
        <w:rPr>
          <w:rFonts w:ascii="Arial" w:eastAsia="Arial" w:hAnsi="Arial" w:cs="Arial"/>
          <w:sz w:val="24"/>
          <w:szCs w:val="24"/>
        </w:rPr>
        <w:t xml:space="preserve"> act</w:t>
      </w:r>
      <w:r w:rsidR="4D9ECCA2" w:rsidRPr="39C98745">
        <w:rPr>
          <w:rFonts w:ascii="Arial" w:eastAsia="Arial" w:hAnsi="Arial" w:cs="Arial"/>
          <w:sz w:val="24"/>
          <w:szCs w:val="24"/>
        </w:rPr>
        <w:t xml:space="preserve">. </w:t>
      </w:r>
    </w:p>
    <w:p w14:paraId="48CDA906" w14:textId="7B50CBB4" w:rsidR="39C98745" w:rsidRDefault="39C98745" w:rsidP="39C98745">
      <w:pPr>
        <w:spacing w:before="40" w:after="40" w:line="480" w:lineRule="auto"/>
        <w:rPr>
          <w:rFonts w:ascii="Arial" w:eastAsia="Arial" w:hAnsi="Arial" w:cs="Arial"/>
          <w:color w:val="0E101A"/>
          <w:sz w:val="24"/>
          <w:szCs w:val="24"/>
        </w:rPr>
      </w:pPr>
    </w:p>
    <w:p w14:paraId="32780D3D" w14:textId="7E24ACEB" w:rsidR="1E5DED50" w:rsidRPr="00E43321" w:rsidRDefault="2650AC36" w:rsidP="39C98745">
      <w:pPr>
        <w:spacing w:before="40" w:after="40" w:line="480" w:lineRule="auto"/>
        <w:rPr>
          <w:rFonts w:ascii="Arial" w:eastAsia="Arial" w:hAnsi="Arial" w:cs="Arial"/>
          <w:color w:val="0E101A"/>
          <w:sz w:val="24"/>
          <w:szCs w:val="24"/>
        </w:rPr>
      </w:pPr>
      <w:r w:rsidRPr="39C98745">
        <w:rPr>
          <w:rFonts w:ascii="Arial" w:eastAsia="Arial" w:hAnsi="Arial" w:cs="Arial"/>
          <w:color w:val="0E101A"/>
          <w:sz w:val="24"/>
          <w:szCs w:val="24"/>
        </w:rPr>
        <w:t xml:space="preserve">The 'Solicitors Regulation Authority' (SRA) is a regulatory board for solicitors, whereas the 'Bar Standards Board (BSB) regulate barristers; both regulatory boards aim to set out underpinning principles and code of conduct that align with the </w:t>
      </w:r>
      <w:r w:rsidRPr="39C98745">
        <w:rPr>
          <w:rFonts w:ascii="Arial" w:eastAsia="Arial" w:hAnsi="Arial" w:cs="Arial"/>
          <w:i/>
          <w:iCs/>
          <w:color w:val="0E101A"/>
          <w:sz w:val="24"/>
          <w:szCs w:val="24"/>
        </w:rPr>
        <w:t xml:space="preserve">Legal Services Act </w:t>
      </w:r>
      <w:r w:rsidRPr="39C98745">
        <w:rPr>
          <w:rFonts w:ascii="Arial" w:eastAsia="Arial" w:hAnsi="Arial" w:cs="Arial"/>
          <w:color w:val="0E101A"/>
          <w:sz w:val="24"/>
          <w:szCs w:val="24"/>
        </w:rPr>
        <w:t xml:space="preserve">2007 and promote equality and diversity; Principles and core duties correlating to equality and diversity include upholding public trust/confidence in legal professions (BSB, 2023, CD.5) (SRA, 2018, Principle 2); this has a link to equality as if the public view only white, neurotypical, male, working in the legal profession it may be viewed as a absence of inclusivity, diversity and can be associated with prejudice leading to a deficiency of public trust. Lawyers must also act with integrity (BSB, 2023, CD.3) (SRA, 2018, Principle 5); this could lead to reporting someone if there was reason to believe they breached the code of conduct. The SRA (2018, p.7.7) code of conduct also articulates this requirement; this could endorse equality due to reporting members discriminating against Individuals. The following principle is acting in a way that nurtures equality, diversity, and inclusion (SRA, 2018, Principle 6), which means firms are encouraged to have diverse employees with protected characteristics; the BSB also have a core duty that implies this by stating you must not discriminate against any </w:t>
      </w:r>
      <w:r w:rsidRPr="39C98745">
        <w:rPr>
          <w:rFonts w:ascii="Arial" w:eastAsia="Arial" w:hAnsi="Arial" w:cs="Arial"/>
          <w:color w:val="0E101A"/>
          <w:sz w:val="24"/>
          <w:szCs w:val="24"/>
        </w:rPr>
        <w:lastRenderedPageBreak/>
        <w:t xml:space="preserve">person (BSB, 2023, CD.8).   </w:t>
      </w:r>
      <w:r w:rsidR="64AB6E47" w:rsidRPr="39C98745">
        <w:rPr>
          <w:rFonts w:ascii="Arial" w:eastAsia="Arial" w:hAnsi="Arial" w:cs="Arial"/>
          <w:color w:val="0E101A"/>
          <w:sz w:val="24"/>
          <w:szCs w:val="24"/>
        </w:rPr>
        <w:t xml:space="preserve">It is worth noting that CILEX also have the same principles as the SRA aimed at legal executives. </w:t>
      </w:r>
    </w:p>
    <w:p w14:paraId="00CC38C5" w14:textId="34DBD8C5" w:rsidR="39C98745" w:rsidRDefault="39C98745" w:rsidP="39C98745">
      <w:pPr>
        <w:spacing w:before="40" w:after="40" w:line="480" w:lineRule="auto"/>
        <w:rPr>
          <w:rFonts w:ascii="Arial" w:eastAsia="Arial" w:hAnsi="Arial" w:cs="Arial"/>
          <w:sz w:val="24"/>
          <w:szCs w:val="24"/>
        </w:rPr>
      </w:pPr>
    </w:p>
    <w:p w14:paraId="6ECEA2EE" w14:textId="604A93E6" w:rsidR="1E5DED50" w:rsidRPr="00E43321" w:rsidRDefault="1706A542"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The </w:t>
      </w:r>
      <w:r w:rsidR="17557528" w:rsidRPr="39C98745">
        <w:rPr>
          <w:rFonts w:ascii="Arial" w:eastAsia="Arial" w:hAnsi="Arial" w:cs="Arial"/>
          <w:sz w:val="24"/>
          <w:szCs w:val="24"/>
        </w:rPr>
        <w:t>first</w:t>
      </w:r>
      <w:r w:rsidRPr="39C98745">
        <w:rPr>
          <w:rFonts w:ascii="Arial" w:eastAsia="Arial" w:hAnsi="Arial" w:cs="Arial"/>
          <w:sz w:val="24"/>
          <w:szCs w:val="24"/>
        </w:rPr>
        <w:t xml:space="preserve"> code of conduct</w:t>
      </w:r>
      <w:r w:rsidR="53F99B48" w:rsidRPr="39C98745">
        <w:rPr>
          <w:rFonts w:ascii="Arial" w:eastAsia="Arial" w:hAnsi="Arial" w:cs="Arial"/>
          <w:sz w:val="24"/>
          <w:szCs w:val="24"/>
        </w:rPr>
        <w:t xml:space="preserve"> from the SRA is</w:t>
      </w:r>
      <w:r w:rsidRPr="39C98745">
        <w:rPr>
          <w:rFonts w:ascii="Arial" w:eastAsia="Arial" w:hAnsi="Arial" w:cs="Arial"/>
          <w:sz w:val="24"/>
          <w:szCs w:val="24"/>
        </w:rPr>
        <w:t xml:space="preserve">, do not discriminate or allow your personal views to affect your services and professional relationships (SRA, 2018, p.1.1). This exemplifies that when you are working, you must put aside any political views or discriminatory views and deliver a service to all diverse levels of society. The second code of conduct is not taking unfair advantage of your client or others (SRA, 2018, p.1.2); this facilitates equality by not being able to charge more based on individuals financial situations, this is primarily a concern for immigrants. The following code of conduct is treating your colleagues respectfully and fairly, not bullying, harassing, or discriminating against them, and managers must challenge this behaviour (SRA, 2018, p.1.5); this can foster a more diverse workplace due to individuals feeling like their managers are advocating for them and promoting a comfortable work environment where they are free from discrimination.   </w:t>
      </w:r>
    </w:p>
    <w:p w14:paraId="39E4D976" w14:textId="3C204EC7" w:rsidR="39C98745" w:rsidRDefault="39C98745" w:rsidP="39C98745">
      <w:pPr>
        <w:spacing w:before="40" w:after="40" w:line="480" w:lineRule="auto"/>
        <w:rPr>
          <w:rFonts w:ascii="Arial" w:eastAsia="Arial" w:hAnsi="Arial" w:cs="Arial"/>
          <w:sz w:val="24"/>
          <w:szCs w:val="24"/>
        </w:rPr>
      </w:pPr>
    </w:p>
    <w:p w14:paraId="0AA8C810" w14:textId="3BBCAA7B" w:rsidR="1E5DED50" w:rsidRPr="00E43321" w:rsidRDefault="770D09D1"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The BSB has established a code of conduct for Barristers; these include not making statements or asking questions to </w:t>
      </w:r>
      <w:r w:rsidR="23DEF467" w:rsidRPr="39C98745">
        <w:rPr>
          <w:rFonts w:ascii="Arial" w:eastAsia="Arial" w:hAnsi="Arial" w:cs="Arial"/>
          <w:sz w:val="24"/>
          <w:szCs w:val="24"/>
        </w:rPr>
        <w:t>insult</w:t>
      </w:r>
      <w:r w:rsidRPr="39C98745">
        <w:rPr>
          <w:rFonts w:ascii="Arial" w:eastAsia="Arial" w:hAnsi="Arial" w:cs="Arial"/>
          <w:sz w:val="24"/>
          <w:szCs w:val="24"/>
        </w:rPr>
        <w:t xml:space="preserve">, humiliate or annoy an individual (BSB, 2023, C.5); this means barristers cannot insult or discriminate against anyone making people with protected characteristics feel safer in their work environment there are further regulations on this in section C.12, where BSB (2023) state that you cannot discriminate against anyone with protected characteristics. Another regulation is regarding withholding services; you cannot withhold services because the case is objectionable to </w:t>
      </w:r>
      <w:r w:rsidRPr="39C98745">
        <w:rPr>
          <w:rFonts w:ascii="Arial" w:eastAsia="Arial" w:hAnsi="Arial" w:cs="Arial"/>
          <w:sz w:val="24"/>
          <w:szCs w:val="24"/>
        </w:rPr>
        <w:lastRenderedPageBreak/>
        <w:t>you or some of the public, you disagree with the client's beliefs, and because of the source of any financial support which may be given to the client (BSB, 2023, C.5). This indicates that you cannot withhold services just because they have a protected characteristic or belief that you disagree with, making the legal system better for clients. The following regulation is that you must report to any barrister or BSB entity when you have grounds to believe there has been misconduct (BSB, 2023, C.66).</w:t>
      </w:r>
    </w:p>
    <w:p w14:paraId="2326FDC3" w14:textId="6496E866" w:rsidR="39C98745" w:rsidRDefault="39C98745" w:rsidP="39C98745">
      <w:pPr>
        <w:spacing w:before="40" w:after="40" w:line="480" w:lineRule="auto"/>
        <w:rPr>
          <w:rFonts w:ascii="Arial" w:eastAsia="Arial" w:hAnsi="Arial" w:cs="Arial"/>
          <w:sz w:val="24"/>
          <w:szCs w:val="24"/>
        </w:rPr>
      </w:pPr>
    </w:p>
    <w:p w14:paraId="07917622" w14:textId="5C45D6BE" w:rsidR="1E5DED50" w:rsidRDefault="60B96CE3"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This paper set out to discuss whether firms take sufficient measures to ameliorate inclusivity in the workplace and to determine how people in the legal profession promote equality and diversity. This paper has shown that despite there being a level of diversity within the profession, people with protected characteristics do not get promoted as often as others, or it may take longer, indicating that there is still work to be done. The findings also indicated a deficiency in research regarding disabled people in the legal profession; this is valuable to understand the measures individuals need to take to help disabled people in the profession. New legislation, such as equal pay and for socioeconomic backgrounds, was also needed. The regulatory boards are a positive way to encourage equality and diversity in the legal sector due to holding people accountable for their actions towards individuals with protected characteristics and ensuring it is a regulation making lawyers less likely to discriminate against them.  </w:t>
      </w:r>
    </w:p>
    <w:p w14:paraId="4AB42FEA" w14:textId="77777777" w:rsidR="00500EDC" w:rsidRDefault="00500EDC" w:rsidP="39C98745">
      <w:pPr>
        <w:spacing w:before="40" w:after="40" w:line="480" w:lineRule="auto"/>
        <w:rPr>
          <w:rFonts w:ascii="Arial" w:eastAsia="Arial" w:hAnsi="Arial" w:cs="Arial"/>
          <w:sz w:val="24"/>
          <w:szCs w:val="24"/>
        </w:rPr>
      </w:pPr>
    </w:p>
    <w:p w14:paraId="58E48F56" w14:textId="77777777" w:rsidR="00500EDC" w:rsidRDefault="00500EDC" w:rsidP="39C98745">
      <w:pPr>
        <w:spacing w:before="40" w:after="40" w:line="480" w:lineRule="auto"/>
        <w:rPr>
          <w:rFonts w:ascii="Arial" w:eastAsia="Arial" w:hAnsi="Arial" w:cs="Arial"/>
          <w:sz w:val="24"/>
          <w:szCs w:val="24"/>
        </w:rPr>
      </w:pPr>
    </w:p>
    <w:p w14:paraId="33211D87" w14:textId="1CAAA75B" w:rsidR="00500EDC" w:rsidRPr="00500EDC" w:rsidRDefault="00500EDC" w:rsidP="39C98745">
      <w:pPr>
        <w:spacing w:before="40" w:after="40" w:line="480" w:lineRule="auto"/>
        <w:divId w:val="202987601"/>
        <w:rPr>
          <w:rFonts w:ascii="Arial" w:eastAsia="Arial" w:hAnsi="Arial" w:cs="Arial"/>
          <w:color w:val="333333"/>
          <w:sz w:val="24"/>
          <w:szCs w:val="24"/>
        </w:rPr>
      </w:pPr>
    </w:p>
    <w:p w14:paraId="79F68D22" w14:textId="6FBBA6CF" w:rsidR="00500EDC" w:rsidRPr="00500EDC" w:rsidRDefault="7FC68081" w:rsidP="39C98745">
      <w:pPr>
        <w:spacing w:before="40" w:after="40" w:line="480" w:lineRule="auto"/>
        <w:divId w:val="202987601"/>
        <w:rPr>
          <w:rFonts w:ascii="Arial" w:eastAsia="Arial" w:hAnsi="Arial" w:cs="Arial"/>
          <w:sz w:val="24"/>
          <w:szCs w:val="24"/>
        </w:rPr>
      </w:pPr>
      <w:r w:rsidRPr="39C98745">
        <w:rPr>
          <w:rFonts w:ascii="Arial" w:eastAsia="Arial" w:hAnsi="Arial" w:cs="Arial"/>
          <w:color w:val="333333"/>
          <w:sz w:val="24"/>
          <w:szCs w:val="24"/>
        </w:rPr>
        <w:lastRenderedPageBreak/>
        <w:t xml:space="preserve">Bar Standards Board, (2023), ‘Code of Conduct’, ‘Core duties’ </w:t>
      </w:r>
      <w:r w:rsidRPr="39C98745">
        <w:rPr>
          <w:rFonts w:ascii="Arial" w:eastAsia="Arial" w:hAnsi="Arial" w:cs="Arial"/>
          <w:i/>
          <w:iCs/>
          <w:color w:val="333333"/>
          <w:sz w:val="24"/>
          <w:szCs w:val="24"/>
        </w:rPr>
        <w:t xml:space="preserve">The BSB Handbook, </w:t>
      </w:r>
      <w:r w:rsidRPr="39C98745">
        <w:rPr>
          <w:rFonts w:ascii="Arial" w:eastAsia="Arial" w:hAnsi="Arial" w:cs="Arial"/>
          <w:color w:val="333333"/>
          <w:sz w:val="24"/>
          <w:szCs w:val="24"/>
        </w:rPr>
        <w:t>version 4.7, CD.3</w:t>
      </w:r>
    </w:p>
    <w:p w14:paraId="029150CF" w14:textId="05A72A2D" w:rsidR="00500EDC" w:rsidRDefault="7FC68081" w:rsidP="39C98745">
      <w:pPr>
        <w:spacing w:before="40" w:after="40" w:line="480" w:lineRule="auto"/>
        <w:divId w:val="202987601"/>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0">
        <w:r w:rsidRPr="39C98745">
          <w:rPr>
            <w:rFonts w:ascii="Arial" w:eastAsia="Arial" w:hAnsi="Arial" w:cs="Arial"/>
            <w:color w:val="0563C1"/>
            <w:sz w:val="24"/>
            <w:szCs w:val="24"/>
            <w:u w:val="single"/>
          </w:rPr>
          <w:t>https://www.barstandardsboard.org.uk/the-bsb-handbook.html?part=E3FF76D3-9538-4B97-94C02111664E5709&amp;audience=&amp;csrfToken=&amp;q=</w:t>
        </w:r>
      </w:hyperlink>
      <w:r w:rsidRPr="39C98745">
        <w:rPr>
          <w:rFonts w:ascii="Arial" w:eastAsia="Arial" w:hAnsi="Arial" w:cs="Arial"/>
          <w:sz w:val="24"/>
          <w:szCs w:val="24"/>
        </w:rPr>
        <w:t xml:space="preserve"> (Accessed: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06229E32" w14:textId="77777777" w:rsidR="00F56C26" w:rsidRDefault="00F56C26" w:rsidP="39C98745">
      <w:pPr>
        <w:spacing w:before="40" w:after="40" w:line="480" w:lineRule="auto"/>
        <w:divId w:val="202987601"/>
        <w:rPr>
          <w:rFonts w:ascii="Arial" w:eastAsia="Arial" w:hAnsi="Arial" w:cs="Arial"/>
          <w:sz w:val="24"/>
          <w:szCs w:val="24"/>
        </w:rPr>
      </w:pPr>
    </w:p>
    <w:p w14:paraId="3A5C100C" w14:textId="77777777" w:rsidR="00F56C26" w:rsidRDefault="14E93CD1"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Bar Standards Board, (2023), ‘Code of Conduct’, ‘Core duties’ </w:t>
      </w:r>
      <w:r w:rsidRPr="39C98745">
        <w:rPr>
          <w:rFonts w:ascii="Arial" w:eastAsia="Arial" w:hAnsi="Arial" w:cs="Arial"/>
          <w:i/>
          <w:iCs/>
          <w:color w:val="333333"/>
          <w:sz w:val="24"/>
          <w:szCs w:val="24"/>
        </w:rPr>
        <w:t xml:space="preserve">The BSB Handbook, </w:t>
      </w:r>
      <w:r w:rsidRPr="39C98745">
        <w:rPr>
          <w:rFonts w:ascii="Arial" w:eastAsia="Arial" w:hAnsi="Arial" w:cs="Arial"/>
          <w:color w:val="333333"/>
          <w:sz w:val="24"/>
          <w:szCs w:val="24"/>
        </w:rPr>
        <w:t>version 4.7, CD.5</w:t>
      </w:r>
    </w:p>
    <w:p w14:paraId="78E07A51" w14:textId="6C23C584" w:rsidR="00F56C26" w:rsidRDefault="14E93CD1"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1">
        <w:r w:rsidRPr="39C98745">
          <w:rPr>
            <w:rStyle w:val="Hyperlink"/>
            <w:rFonts w:ascii="Arial" w:eastAsia="Arial" w:hAnsi="Arial" w:cs="Arial"/>
            <w:sz w:val="24"/>
            <w:szCs w:val="24"/>
          </w:rPr>
          <w:t>https://www.barstandardsboard.org.uk/the-bsb-handbook.html?part=E3FF76D3-9538-4B97-94C02111664E5709&amp;audience=&amp;csrfToken=&amp;q=</w:t>
        </w:r>
      </w:hyperlink>
      <w:r w:rsidRPr="39C98745">
        <w:rPr>
          <w:rFonts w:ascii="Arial" w:eastAsia="Arial" w:hAnsi="Arial" w:cs="Arial"/>
          <w:sz w:val="24"/>
          <w:szCs w:val="24"/>
        </w:rPr>
        <w:t xml:space="preserve"> (Accessed: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7065989D" w14:textId="77777777" w:rsidR="00F2348E" w:rsidRDefault="00F2348E" w:rsidP="39C98745">
      <w:pPr>
        <w:spacing w:before="40" w:after="40" w:line="480" w:lineRule="auto"/>
        <w:rPr>
          <w:rFonts w:ascii="Arial" w:eastAsia="Arial" w:hAnsi="Arial" w:cs="Arial"/>
          <w:sz w:val="24"/>
          <w:szCs w:val="24"/>
        </w:rPr>
      </w:pPr>
    </w:p>
    <w:p w14:paraId="7BE026A8" w14:textId="77777777" w:rsidR="00F2348E" w:rsidRDefault="31EB4553"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Bar Standards Board, (2023), ‘Code of Conduct’, </w:t>
      </w:r>
      <w:r w:rsidRPr="39C98745">
        <w:rPr>
          <w:rFonts w:ascii="Arial" w:eastAsia="Arial" w:hAnsi="Arial" w:cs="Arial"/>
          <w:i/>
          <w:iCs/>
          <w:color w:val="333333"/>
          <w:sz w:val="24"/>
          <w:szCs w:val="24"/>
        </w:rPr>
        <w:t xml:space="preserve">The BSB Handbook, </w:t>
      </w:r>
      <w:r w:rsidRPr="39C98745">
        <w:rPr>
          <w:rFonts w:ascii="Arial" w:eastAsia="Arial" w:hAnsi="Arial" w:cs="Arial"/>
          <w:color w:val="333333"/>
          <w:sz w:val="24"/>
          <w:szCs w:val="24"/>
        </w:rPr>
        <w:t>version 4.7, C.7.1</w:t>
      </w:r>
    </w:p>
    <w:p w14:paraId="6137EFFE" w14:textId="6145DDA7" w:rsidR="00F2348E" w:rsidRDefault="31EB4553"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2">
        <w:r w:rsidRPr="39C98745">
          <w:rPr>
            <w:rStyle w:val="Hyperlink"/>
            <w:rFonts w:ascii="Arial" w:eastAsia="Arial" w:hAnsi="Arial" w:cs="Arial"/>
            <w:sz w:val="24"/>
            <w:szCs w:val="24"/>
          </w:rPr>
          <w:t>https://www.barstandardsboard.org.uk/the-bsb-handbook.html?part=E3FF76D3-9538-4B97-94C02111664E5709&amp;audience=&amp;csrfToken=&amp;q=</w:t>
        </w:r>
      </w:hyperlink>
      <w:r w:rsidRPr="39C98745">
        <w:rPr>
          <w:rFonts w:ascii="Arial" w:eastAsia="Arial" w:hAnsi="Arial" w:cs="Arial"/>
          <w:sz w:val="24"/>
          <w:szCs w:val="24"/>
        </w:rPr>
        <w:t>(Accessed: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0C6438B5" w14:textId="77777777" w:rsidR="00F2348E" w:rsidRDefault="00F2348E" w:rsidP="39C98745">
      <w:pPr>
        <w:spacing w:before="40" w:after="40" w:line="480" w:lineRule="auto"/>
        <w:rPr>
          <w:rFonts w:ascii="Arial" w:eastAsia="Arial" w:hAnsi="Arial" w:cs="Arial"/>
          <w:sz w:val="24"/>
          <w:szCs w:val="24"/>
        </w:rPr>
      </w:pPr>
    </w:p>
    <w:p w14:paraId="1D0DC0A0" w14:textId="77777777" w:rsidR="00BC2867" w:rsidRDefault="6A23486F"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Bar Standards Board, (2023), ‘Code of Conduct’, ‘Core duties’ </w:t>
      </w:r>
      <w:r w:rsidRPr="39C98745">
        <w:rPr>
          <w:rFonts w:ascii="Arial" w:eastAsia="Arial" w:hAnsi="Arial" w:cs="Arial"/>
          <w:i/>
          <w:iCs/>
          <w:color w:val="333333"/>
          <w:sz w:val="24"/>
          <w:szCs w:val="24"/>
        </w:rPr>
        <w:t xml:space="preserve">The BSB Handbook, </w:t>
      </w:r>
      <w:r w:rsidRPr="39C98745">
        <w:rPr>
          <w:rFonts w:ascii="Arial" w:eastAsia="Arial" w:hAnsi="Arial" w:cs="Arial"/>
          <w:color w:val="333333"/>
          <w:sz w:val="24"/>
          <w:szCs w:val="24"/>
        </w:rPr>
        <w:t>version 4.7, CD.8</w:t>
      </w:r>
    </w:p>
    <w:p w14:paraId="33A384E8" w14:textId="65D8C734" w:rsidR="00BC2867" w:rsidRDefault="6A23486F"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3">
        <w:r w:rsidRPr="39C98745">
          <w:rPr>
            <w:rStyle w:val="Hyperlink"/>
            <w:rFonts w:ascii="Arial" w:eastAsia="Arial" w:hAnsi="Arial" w:cs="Arial"/>
            <w:sz w:val="24"/>
            <w:szCs w:val="24"/>
          </w:rPr>
          <w:t>https://www.barstandardsboard.org.uk/the-bsb-handbook.html?part=E3FF76D3-9538-4B97-94C02111664E5709&amp;audience=&amp;csrfToken=&amp;q=</w:t>
        </w:r>
      </w:hyperlink>
      <w:r w:rsidRPr="39C98745">
        <w:rPr>
          <w:rFonts w:ascii="Arial" w:eastAsia="Arial" w:hAnsi="Arial" w:cs="Arial"/>
          <w:sz w:val="24"/>
          <w:szCs w:val="24"/>
        </w:rPr>
        <w:t xml:space="preserve">  (Accessed: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7D2983F0" w14:textId="77777777" w:rsidR="001D367C" w:rsidRDefault="001D367C" w:rsidP="39C98745">
      <w:pPr>
        <w:spacing w:before="40" w:after="40" w:line="480" w:lineRule="auto"/>
        <w:rPr>
          <w:rFonts w:ascii="Arial" w:eastAsia="Arial" w:hAnsi="Arial" w:cs="Arial"/>
          <w:sz w:val="24"/>
          <w:szCs w:val="24"/>
        </w:rPr>
      </w:pPr>
    </w:p>
    <w:p w14:paraId="3CC130E7" w14:textId="77777777" w:rsidR="001D367C" w:rsidRDefault="2B4B9659"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Bar Standards Board, (2023), ‘Code of Conduct’, </w:t>
      </w:r>
      <w:r w:rsidRPr="39C98745">
        <w:rPr>
          <w:rFonts w:ascii="Arial" w:eastAsia="Arial" w:hAnsi="Arial" w:cs="Arial"/>
          <w:i/>
          <w:iCs/>
          <w:color w:val="333333"/>
          <w:sz w:val="24"/>
          <w:szCs w:val="24"/>
        </w:rPr>
        <w:t>The BSB Handbook</w:t>
      </w:r>
      <w:r w:rsidRPr="39C98745">
        <w:rPr>
          <w:rFonts w:ascii="Arial" w:eastAsia="Arial" w:hAnsi="Arial" w:cs="Arial"/>
          <w:color w:val="333333"/>
          <w:sz w:val="24"/>
          <w:szCs w:val="24"/>
        </w:rPr>
        <w:t xml:space="preserve"> (version 4.7, 2019), C.12</w:t>
      </w:r>
    </w:p>
    <w:p w14:paraId="5A7DE1E9" w14:textId="11CA9C1D" w:rsidR="001D367C" w:rsidRDefault="2B4B9659"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4">
        <w:r w:rsidRPr="39C98745">
          <w:rPr>
            <w:rStyle w:val="Hyperlink"/>
            <w:rFonts w:ascii="Arial" w:eastAsia="Arial" w:hAnsi="Arial" w:cs="Arial"/>
            <w:sz w:val="24"/>
            <w:szCs w:val="24"/>
          </w:rPr>
          <w:t>https://www.barstandardsboard.org.uk/the-bsb-handbook.html?part=E3FF76D3-9538-4B97-94C02111664E5709&amp;audience=&amp;csrfToken=&amp;q=</w:t>
        </w:r>
      </w:hyperlink>
      <w:r w:rsidRPr="39C98745">
        <w:rPr>
          <w:rFonts w:ascii="Arial" w:eastAsia="Arial" w:hAnsi="Arial" w:cs="Arial"/>
          <w:sz w:val="24"/>
          <w:szCs w:val="24"/>
        </w:rPr>
        <w:t>(Accessed: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2A50993D" w14:textId="77777777" w:rsidR="001D367C" w:rsidRDefault="001D367C" w:rsidP="39C98745">
      <w:pPr>
        <w:spacing w:before="40" w:after="40" w:line="480" w:lineRule="auto"/>
        <w:rPr>
          <w:rFonts w:ascii="Arial" w:eastAsia="Arial" w:hAnsi="Arial" w:cs="Arial"/>
          <w:color w:val="333333"/>
          <w:sz w:val="24"/>
          <w:szCs w:val="24"/>
        </w:rPr>
      </w:pPr>
    </w:p>
    <w:p w14:paraId="71137AB8" w14:textId="77777777" w:rsidR="001D367C" w:rsidRDefault="2B4B9659"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Bar Standards Board, (2023), ‘Code of Conduct’, </w:t>
      </w:r>
      <w:r w:rsidRPr="39C98745">
        <w:rPr>
          <w:rFonts w:ascii="Arial" w:eastAsia="Arial" w:hAnsi="Arial" w:cs="Arial"/>
          <w:i/>
          <w:iCs/>
          <w:color w:val="333333"/>
          <w:sz w:val="24"/>
          <w:szCs w:val="24"/>
        </w:rPr>
        <w:t xml:space="preserve">The BSB Handbook, </w:t>
      </w:r>
      <w:r w:rsidRPr="39C98745">
        <w:rPr>
          <w:rFonts w:ascii="Arial" w:eastAsia="Arial" w:hAnsi="Arial" w:cs="Arial"/>
          <w:color w:val="333333"/>
          <w:sz w:val="24"/>
          <w:szCs w:val="24"/>
        </w:rPr>
        <w:t>version 4.7, C.28</w:t>
      </w:r>
    </w:p>
    <w:p w14:paraId="1357E294" w14:textId="6DA31BA1" w:rsidR="001D367C" w:rsidRDefault="2B4B9659"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5">
        <w:r w:rsidRPr="39C98745">
          <w:rPr>
            <w:rStyle w:val="Hyperlink"/>
            <w:rFonts w:ascii="Arial" w:eastAsia="Arial" w:hAnsi="Arial" w:cs="Arial"/>
            <w:sz w:val="24"/>
            <w:szCs w:val="24"/>
          </w:rPr>
          <w:t>https://www.barstandardsboard.org.uk/the-bsb-handbook.html?part=E3FF76D3-9538-4B97-94C02111664E5709&amp;audience=&amp;csrfToken=&amp;q=</w:t>
        </w:r>
      </w:hyperlink>
      <w:r w:rsidRPr="39C98745">
        <w:rPr>
          <w:rFonts w:ascii="Arial" w:eastAsia="Arial" w:hAnsi="Arial" w:cs="Arial"/>
          <w:sz w:val="24"/>
          <w:szCs w:val="24"/>
        </w:rPr>
        <w:t>(Accessed: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2D9BF34D" w14:textId="77777777" w:rsidR="001D367C" w:rsidRDefault="001D367C" w:rsidP="39C98745">
      <w:pPr>
        <w:spacing w:before="40" w:after="40" w:line="480" w:lineRule="auto"/>
        <w:rPr>
          <w:rFonts w:ascii="Arial" w:eastAsia="Arial" w:hAnsi="Arial" w:cs="Arial"/>
          <w:sz w:val="24"/>
          <w:szCs w:val="24"/>
        </w:rPr>
      </w:pPr>
    </w:p>
    <w:p w14:paraId="52D198E7" w14:textId="77777777" w:rsidR="001D367C" w:rsidRDefault="2B4B9659"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Bar Standards Board, (2023), ‘Code of Conduct’, </w:t>
      </w:r>
      <w:r w:rsidRPr="39C98745">
        <w:rPr>
          <w:rFonts w:ascii="Arial" w:eastAsia="Arial" w:hAnsi="Arial" w:cs="Arial"/>
          <w:i/>
          <w:iCs/>
          <w:color w:val="333333"/>
          <w:sz w:val="24"/>
          <w:szCs w:val="24"/>
        </w:rPr>
        <w:t xml:space="preserve">The BSB Handbook, </w:t>
      </w:r>
      <w:r w:rsidRPr="39C98745">
        <w:rPr>
          <w:rFonts w:ascii="Arial" w:eastAsia="Arial" w:hAnsi="Arial" w:cs="Arial"/>
          <w:color w:val="333333"/>
          <w:sz w:val="24"/>
          <w:szCs w:val="24"/>
        </w:rPr>
        <w:t>version 4.7, C.66</w:t>
      </w:r>
    </w:p>
    <w:p w14:paraId="4DE3BE25" w14:textId="5158E7C2" w:rsidR="001D367C" w:rsidRDefault="2B4B9659"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6">
        <w:r w:rsidRPr="39C98745">
          <w:rPr>
            <w:rStyle w:val="Hyperlink"/>
            <w:rFonts w:ascii="Arial" w:eastAsia="Arial" w:hAnsi="Arial" w:cs="Arial"/>
            <w:sz w:val="24"/>
            <w:szCs w:val="24"/>
          </w:rPr>
          <w:t>https://www.barstandardsboard.org.uk/the-bsb-handbook.html?part=E3FF76D3-9538-4B97-94C02111664E5709&amp;audience=&amp;csrfToken=&amp;q=</w:t>
        </w:r>
      </w:hyperlink>
      <w:r w:rsidRPr="39C98745">
        <w:rPr>
          <w:rFonts w:ascii="Arial" w:eastAsia="Arial" w:hAnsi="Arial" w:cs="Arial"/>
          <w:sz w:val="24"/>
          <w:szCs w:val="24"/>
        </w:rPr>
        <w:t>(Accessed: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35025E52" w14:textId="77777777" w:rsidR="001D367C" w:rsidRDefault="001D367C" w:rsidP="39C98745">
      <w:pPr>
        <w:spacing w:before="40" w:after="40" w:line="480" w:lineRule="auto"/>
        <w:rPr>
          <w:rFonts w:ascii="Arial" w:eastAsia="Arial" w:hAnsi="Arial" w:cs="Arial"/>
          <w:sz w:val="24"/>
          <w:szCs w:val="24"/>
        </w:rPr>
      </w:pPr>
    </w:p>
    <w:p w14:paraId="2B116152" w14:textId="77777777" w:rsidR="001D367C" w:rsidRDefault="2B4B9659" w:rsidP="39C98745">
      <w:pPr>
        <w:spacing w:before="40" w:after="40" w:line="480" w:lineRule="auto"/>
        <w:rPr>
          <w:rFonts w:ascii="Arial" w:eastAsia="Arial" w:hAnsi="Arial" w:cs="Arial"/>
          <w:color w:val="333333"/>
          <w:sz w:val="24"/>
          <w:szCs w:val="24"/>
        </w:rPr>
      </w:pPr>
      <w:r w:rsidRPr="39C98745">
        <w:rPr>
          <w:rFonts w:ascii="Arial" w:eastAsia="Arial" w:hAnsi="Arial" w:cs="Arial"/>
          <w:color w:val="333333"/>
          <w:sz w:val="24"/>
          <w:szCs w:val="24"/>
        </w:rPr>
        <w:t>CILEX, (2023), ‘Code of Conduct’</w:t>
      </w:r>
    </w:p>
    <w:p w14:paraId="32C651A5" w14:textId="5244F0EB" w:rsidR="001D367C" w:rsidRDefault="2B4B9659" w:rsidP="39C98745">
      <w:pPr>
        <w:spacing w:before="40" w:after="40" w:line="480" w:lineRule="auto"/>
        <w:rPr>
          <w:rFonts w:ascii="Arial" w:eastAsia="Arial" w:hAnsi="Arial" w:cs="Arial"/>
          <w:sz w:val="24"/>
          <w:szCs w:val="24"/>
        </w:rPr>
      </w:pPr>
      <w:r w:rsidRPr="39C98745">
        <w:rPr>
          <w:rFonts w:ascii="Arial" w:eastAsia="Arial" w:hAnsi="Arial" w:cs="Arial"/>
          <w:color w:val="333333"/>
          <w:sz w:val="24"/>
          <w:szCs w:val="24"/>
        </w:rPr>
        <w:t xml:space="preserve">Available at: </w:t>
      </w:r>
      <w:hyperlink r:id="rId17">
        <w:r w:rsidRPr="39C98745">
          <w:rPr>
            <w:rStyle w:val="Hyperlink"/>
            <w:rFonts w:ascii="Arial" w:eastAsia="Arial" w:hAnsi="Arial" w:cs="Arial"/>
            <w:sz w:val="24"/>
            <w:szCs w:val="24"/>
          </w:rPr>
          <w:t>https://www.cilex.org.uk/about_cilex/the_code_of_conduct/code-of-conduct/</w:t>
        </w:r>
      </w:hyperlink>
      <w:r w:rsidRPr="39C98745">
        <w:rPr>
          <w:rFonts w:ascii="Arial" w:eastAsia="Arial" w:hAnsi="Arial" w:cs="Arial"/>
          <w:sz w:val="24"/>
          <w:szCs w:val="24"/>
        </w:rPr>
        <w:t xml:space="preserve"> (Accessed: 8</w:t>
      </w:r>
      <w:r w:rsidRPr="39C98745">
        <w:rPr>
          <w:rFonts w:ascii="Arial" w:eastAsia="Arial" w:hAnsi="Arial" w:cs="Arial"/>
          <w:sz w:val="24"/>
          <w:szCs w:val="24"/>
          <w:vertAlign w:val="superscript"/>
        </w:rPr>
        <w:t>th</w:t>
      </w:r>
      <w:r w:rsidRPr="39C98745">
        <w:rPr>
          <w:rFonts w:ascii="Arial" w:eastAsia="Arial" w:hAnsi="Arial" w:cs="Arial"/>
          <w:sz w:val="24"/>
          <w:szCs w:val="24"/>
        </w:rPr>
        <w:t xml:space="preserve"> December 2023)</w:t>
      </w:r>
    </w:p>
    <w:p w14:paraId="2A97F771" w14:textId="0584EA2A" w:rsidR="39C98745" w:rsidRDefault="39C98745" w:rsidP="39C98745">
      <w:pPr>
        <w:spacing w:before="40" w:after="40" w:line="480" w:lineRule="auto"/>
        <w:rPr>
          <w:rFonts w:ascii="Arial" w:eastAsia="Arial" w:hAnsi="Arial" w:cs="Arial"/>
          <w:i/>
          <w:iCs/>
          <w:sz w:val="24"/>
          <w:szCs w:val="24"/>
        </w:rPr>
      </w:pPr>
    </w:p>
    <w:p w14:paraId="1D92593F" w14:textId="77777777" w:rsidR="00E4699C" w:rsidRDefault="7AD0C318" w:rsidP="39C98745">
      <w:pPr>
        <w:spacing w:before="40" w:after="40" w:line="480" w:lineRule="auto"/>
        <w:rPr>
          <w:rFonts w:ascii="Arial" w:eastAsia="Arial" w:hAnsi="Arial" w:cs="Arial"/>
          <w:sz w:val="24"/>
          <w:szCs w:val="24"/>
        </w:rPr>
      </w:pPr>
      <w:r w:rsidRPr="39C98745">
        <w:rPr>
          <w:rFonts w:ascii="Arial" w:eastAsia="Arial" w:hAnsi="Arial" w:cs="Arial"/>
          <w:i/>
          <w:iCs/>
          <w:sz w:val="24"/>
          <w:szCs w:val="24"/>
        </w:rPr>
        <w:t xml:space="preserve">Equality act </w:t>
      </w:r>
      <w:r w:rsidRPr="39C98745">
        <w:rPr>
          <w:rFonts w:ascii="Arial" w:eastAsia="Arial" w:hAnsi="Arial" w:cs="Arial"/>
          <w:sz w:val="24"/>
          <w:szCs w:val="24"/>
        </w:rPr>
        <w:t xml:space="preserve">2010 c.15, (s.1.4) Available at:  </w:t>
      </w:r>
      <w:hyperlink r:id="rId18">
        <w:r w:rsidRPr="39C98745">
          <w:rPr>
            <w:rStyle w:val="Hyperlink"/>
            <w:rFonts w:ascii="Arial" w:eastAsia="Arial" w:hAnsi="Arial" w:cs="Arial"/>
            <w:sz w:val="24"/>
            <w:szCs w:val="24"/>
          </w:rPr>
          <w:t>https://www.legislation.gov.uk/ukpga/2010/15/section/78  Accessed on:2</w:t>
        </w:r>
      </w:hyperlink>
      <w:r w:rsidRPr="39C98745">
        <w:rPr>
          <w:rFonts w:ascii="Arial" w:eastAsia="Arial" w:hAnsi="Arial" w:cs="Arial"/>
          <w:sz w:val="24"/>
          <w:szCs w:val="24"/>
        </w:rPr>
        <w:t xml:space="preserve"> December </w:t>
      </w:r>
    </w:p>
    <w:p w14:paraId="0483E2B6" w14:textId="77777777" w:rsidR="00D15655" w:rsidRDefault="00D15655" w:rsidP="39C98745">
      <w:pPr>
        <w:spacing w:before="40" w:after="40" w:line="480" w:lineRule="auto"/>
        <w:rPr>
          <w:rFonts w:ascii="Arial" w:eastAsia="Arial" w:hAnsi="Arial" w:cs="Arial"/>
          <w:sz w:val="24"/>
          <w:szCs w:val="24"/>
        </w:rPr>
      </w:pPr>
    </w:p>
    <w:p w14:paraId="7C08B2D7" w14:textId="77777777" w:rsidR="00D15655" w:rsidRDefault="397B092F" w:rsidP="39C98745">
      <w:pPr>
        <w:spacing w:before="40" w:after="40" w:line="480" w:lineRule="auto"/>
        <w:rPr>
          <w:rFonts w:ascii="Arial" w:eastAsia="Arial" w:hAnsi="Arial" w:cs="Arial"/>
          <w:sz w:val="24"/>
          <w:szCs w:val="24"/>
        </w:rPr>
      </w:pPr>
      <w:r w:rsidRPr="39C98745">
        <w:rPr>
          <w:rFonts w:ascii="Arial" w:eastAsia="Arial" w:hAnsi="Arial" w:cs="Arial"/>
          <w:i/>
          <w:iCs/>
          <w:sz w:val="24"/>
          <w:szCs w:val="24"/>
        </w:rPr>
        <w:t xml:space="preserve">Equality act </w:t>
      </w:r>
      <w:r w:rsidRPr="39C98745">
        <w:rPr>
          <w:rFonts w:ascii="Arial" w:eastAsia="Arial" w:hAnsi="Arial" w:cs="Arial"/>
          <w:sz w:val="24"/>
          <w:szCs w:val="24"/>
        </w:rPr>
        <w:t xml:space="preserve">2010 c.15, (s.78) Available at:  </w:t>
      </w:r>
      <w:hyperlink r:id="rId19">
        <w:r w:rsidRPr="39C98745">
          <w:rPr>
            <w:rStyle w:val="Hyperlink"/>
            <w:rFonts w:ascii="Arial" w:eastAsia="Arial" w:hAnsi="Arial" w:cs="Arial"/>
            <w:sz w:val="24"/>
            <w:szCs w:val="24"/>
          </w:rPr>
          <w:t>https://www.legislation.gov.uk/ukpga/2010/15/section/78  Accessed on:2</w:t>
        </w:r>
      </w:hyperlink>
      <w:r w:rsidRPr="39C98745">
        <w:rPr>
          <w:rFonts w:ascii="Arial" w:eastAsia="Arial" w:hAnsi="Arial" w:cs="Arial"/>
          <w:sz w:val="24"/>
          <w:szCs w:val="24"/>
        </w:rPr>
        <w:t xml:space="preserve"> December </w:t>
      </w:r>
    </w:p>
    <w:p w14:paraId="5FA927C9" w14:textId="77777777" w:rsidR="007F1B30" w:rsidRDefault="007F1B30" w:rsidP="39C98745">
      <w:pPr>
        <w:spacing w:before="40" w:after="40" w:line="480" w:lineRule="auto"/>
        <w:rPr>
          <w:rFonts w:ascii="Arial" w:eastAsia="Arial" w:hAnsi="Arial" w:cs="Arial"/>
          <w:sz w:val="24"/>
          <w:szCs w:val="24"/>
        </w:rPr>
      </w:pPr>
    </w:p>
    <w:p w14:paraId="0D74599F" w14:textId="75B43481" w:rsidR="007F1B30" w:rsidRDefault="74795C2B" w:rsidP="39C98745">
      <w:pPr>
        <w:pStyle w:val="NormalWeb"/>
        <w:spacing w:before="40" w:beforeAutospacing="0" w:after="40" w:afterAutospacing="0" w:line="480" w:lineRule="auto"/>
        <w:ind w:left="567" w:hanging="567"/>
        <w:rPr>
          <w:rFonts w:ascii="Arial" w:eastAsia="Arial" w:hAnsi="Arial" w:cs="Arial"/>
          <w:color w:val="000000"/>
        </w:rPr>
      </w:pPr>
      <w:r w:rsidRPr="39C98745">
        <w:rPr>
          <w:rFonts w:ascii="Arial" w:eastAsia="Arial" w:hAnsi="Arial" w:cs="Arial"/>
          <w:color w:val="000000" w:themeColor="text1"/>
        </w:rPr>
        <w:t>Foster, D. (2021)</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The most significant barrier for disabled people in the profession</w:t>
      </w:r>
      <w:r w:rsidRPr="39C98745">
        <w:rPr>
          <w:rFonts w:ascii="Arial" w:eastAsia="Arial" w:hAnsi="Arial" w:cs="Arial"/>
          <w:color w:val="000000" w:themeColor="text1"/>
        </w:rPr>
        <w:t>,</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Law Gazette</w:t>
      </w:r>
      <w:r w:rsidRPr="39C98745">
        <w:rPr>
          <w:rFonts w:ascii="Arial" w:eastAsia="Arial" w:hAnsi="Arial" w:cs="Arial"/>
          <w:color w:val="000000" w:themeColor="text1"/>
        </w:rPr>
        <w:t xml:space="preserve">. Available at: </w:t>
      </w:r>
      <w:hyperlink r:id="rId20">
        <w:r w:rsidRPr="39C98745">
          <w:rPr>
            <w:rStyle w:val="Hyperlink"/>
            <w:rFonts w:ascii="Arial" w:eastAsia="Arial" w:hAnsi="Arial" w:cs="Arial"/>
          </w:rPr>
          <w:t>https://www.lawgazette.co.uk/practice-management/the-most-significant-barrier-for-disabled-people-in-the-profession-/5109935.article</w:t>
        </w:r>
      </w:hyperlink>
      <w:r w:rsidRPr="39C98745">
        <w:rPr>
          <w:rFonts w:ascii="Arial" w:eastAsia="Arial" w:hAnsi="Arial" w:cs="Arial"/>
          <w:color w:val="000000" w:themeColor="text1"/>
        </w:rPr>
        <w:t xml:space="preserve"> (Accessed: </w:t>
      </w:r>
      <w:r w:rsidR="671A1274" w:rsidRPr="39C98745">
        <w:rPr>
          <w:rFonts w:ascii="Arial" w:eastAsia="Arial" w:hAnsi="Arial" w:cs="Arial"/>
          <w:color w:val="000000" w:themeColor="text1"/>
        </w:rPr>
        <w:t>3</w:t>
      </w:r>
      <w:r w:rsidRPr="39C98745">
        <w:rPr>
          <w:rFonts w:ascii="Arial" w:eastAsia="Arial" w:hAnsi="Arial" w:cs="Arial"/>
          <w:color w:val="000000" w:themeColor="text1"/>
        </w:rPr>
        <w:t xml:space="preserve"> December 2023).</w:t>
      </w:r>
      <w:r w:rsidRPr="39C98745">
        <w:rPr>
          <w:rStyle w:val="apple-converted-space"/>
          <w:rFonts w:ascii="Arial" w:eastAsia="Arial" w:hAnsi="Arial" w:cs="Arial"/>
          <w:color w:val="000000" w:themeColor="text1"/>
        </w:rPr>
        <w:t> </w:t>
      </w:r>
    </w:p>
    <w:p w14:paraId="7502F4C0" w14:textId="77777777" w:rsidR="007F1B30" w:rsidRDefault="007F1B30" w:rsidP="39C98745">
      <w:pPr>
        <w:spacing w:before="40" w:after="40" w:line="480" w:lineRule="auto"/>
        <w:rPr>
          <w:rFonts w:ascii="Arial" w:eastAsia="Arial" w:hAnsi="Arial" w:cs="Arial"/>
          <w:sz w:val="24"/>
          <w:szCs w:val="24"/>
        </w:rPr>
      </w:pPr>
    </w:p>
    <w:p w14:paraId="672FCC08" w14:textId="7C45296B" w:rsidR="009B55B9" w:rsidRDefault="442A2192" w:rsidP="39C98745">
      <w:pPr>
        <w:pStyle w:val="NormalWeb"/>
        <w:spacing w:before="40" w:beforeAutospacing="0" w:after="40" w:afterAutospacing="0" w:line="480" w:lineRule="auto"/>
        <w:ind w:left="567" w:hanging="567"/>
        <w:rPr>
          <w:rStyle w:val="apple-converted-space"/>
          <w:rFonts w:ascii="Arial" w:eastAsia="Arial" w:hAnsi="Arial" w:cs="Arial"/>
          <w:color w:val="000000"/>
        </w:rPr>
      </w:pPr>
      <w:r w:rsidRPr="39C98745">
        <w:rPr>
          <w:rFonts w:ascii="Arial" w:eastAsia="Arial" w:hAnsi="Arial" w:cs="Arial"/>
          <w:i/>
          <w:iCs/>
          <w:color w:val="000000" w:themeColor="text1"/>
        </w:rPr>
        <w:t>How diverse is the solicitors’ profession?</w:t>
      </w:r>
      <w:r w:rsidRPr="39C98745">
        <w:rPr>
          <w:rStyle w:val="apple-converted-space"/>
          <w:rFonts w:ascii="Arial" w:eastAsia="Arial" w:hAnsi="Arial" w:cs="Arial"/>
          <w:color w:val="000000" w:themeColor="text1"/>
        </w:rPr>
        <w:t> </w:t>
      </w:r>
      <w:r w:rsidRPr="39C98745">
        <w:rPr>
          <w:rFonts w:ascii="Arial" w:eastAsia="Arial" w:hAnsi="Arial" w:cs="Arial"/>
          <w:color w:val="000000" w:themeColor="text1"/>
        </w:rPr>
        <w:t>(2023)</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Solicitors Regulation Authority</w:t>
      </w:r>
      <w:r w:rsidRPr="39C98745">
        <w:rPr>
          <w:rFonts w:ascii="Arial" w:eastAsia="Arial" w:hAnsi="Arial" w:cs="Arial"/>
          <w:color w:val="000000" w:themeColor="text1"/>
        </w:rPr>
        <w:t xml:space="preserve">. Available at: </w:t>
      </w:r>
      <w:hyperlink r:id="rId21">
        <w:r w:rsidRPr="39C98745">
          <w:rPr>
            <w:rStyle w:val="Hyperlink"/>
            <w:rFonts w:ascii="Arial" w:eastAsia="Arial" w:hAnsi="Arial" w:cs="Arial"/>
          </w:rPr>
          <w:t>https://www.sra.org.uk/sra/equality-diversity/diversity-profession/diverse-legal-profession/</w:t>
        </w:r>
      </w:hyperlink>
      <w:r w:rsidRPr="39C98745">
        <w:rPr>
          <w:rFonts w:ascii="Arial" w:eastAsia="Arial" w:hAnsi="Arial" w:cs="Arial"/>
          <w:color w:val="000000" w:themeColor="text1"/>
        </w:rPr>
        <w:t xml:space="preserve"> (Accessed: 3 December 2023).</w:t>
      </w:r>
      <w:r w:rsidRPr="39C98745">
        <w:rPr>
          <w:rStyle w:val="apple-converted-space"/>
          <w:rFonts w:ascii="Arial" w:eastAsia="Arial" w:hAnsi="Arial" w:cs="Arial"/>
          <w:color w:val="000000" w:themeColor="text1"/>
        </w:rPr>
        <w:t> </w:t>
      </w:r>
    </w:p>
    <w:p w14:paraId="47BE2E0F" w14:textId="77777777" w:rsidR="00660319" w:rsidRDefault="00660319" w:rsidP="39C98745">
      <w:pPr>
        <w:pStyle w:val="NormalWeb"/>
        <w:spacing w:before="40" w:beforeAutospacing="0" w:after="40" w:afterAutospacing="0" w:line="480" w:lineRule="auto"/>
        <w:ind w:left="567" w:hanging="567"/>
        <w:rPr>
          <w:rFonts w:ascii="Arial" w:eastAsia="Arial" w:hAnsi="Arial" w:cs="Arial"/>
          <w:color w:val="000000"/>
        </w:rPr>
      </w:pPr>
    </w:p>
    <w:p w14:paraId="22DB2590" w14:textId="47140BD4" w:rsidR="00660319" w:rsidRDefault="5805E485" w:rsidP="39C98745">
      <w:pPr>
        <w:pStyle w:val="NormalWeb"/>
        <w:spacing w:before="40" w:beforeAutospacing="0" w:after="40" w:afterAutospacing="0" w:line="480" w:lineRule="auto"/>
        <w:ind w:left="567" w:hanging="567"/>
        <w:rPr>
          <w:rStyle w:val="apple-converted-space"/>
          <w:rFonts w:ascii="Arial" w:eastAsia="Arial" w:hAnsi="Arial" w:cs="Arial"/>
          <w:color w:val="000000"/>
        </w:rPr>
      </w:pPr>
      <w:r w:rsidRPr="39C98745">
        <w:rPr>
          <w:rFonts w:ascii="Arial" w:eastAsia="Arial" w:hAnsi="Arial" w:cs="Arial"/>
          <w:i/>
          <w:iCs/>
          <w:color w:val="000000" w:themeColor="text1"/>
        </w:rPr>
        <w:t>Is same job, different pay allowed?</w:t>
      </w:r>
      <w:r w:rsidRPr="39C98745">
        <w:rPr>
          <w:rStyle w:val="apple-converted-space"/>
          <w:rFonts w:ascii="Arial" w:eastAsia="Arial" w:hAnsi="Arial" w:cs="Arial"/>
          <w:color w:val="000000" w:themeColor="text1"/>
        </w:rPr>
        <w:t> </w:t>
      </w:r>
      <w:r w:rsidRPr="39C98745">
        <w:rPr>
          <w:rFonts w:ascii="Arial" w:eastAsia="Arial" w:hAnsi="Arial" w:cs="Arial"/>
          <w:color w:val="000000" w:themeColor="text1"/>
        </w:rPr>
        <w:t>(2021)</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DavidsonMorris</w:t>
      </w:r>
      <w:r w:rsidRPr="39C98745">
        <w:rPr>
          <w:rFonts w:ascii="Arial" w:eastAsia="Arial" w:hAnsi="Arial" w:cs="Arial"/>
          <w:color w:val="000000" w:themeColor="text1"/>
        </w:rPr>
        <w:t xml:space="preserve">. Available at: </w:t>
      </w:r>
      <w:hyperlink r:id="rId22">
        <w:r w:rsidRPr="39C98745">
          <w:rPr>
            <w:rStyle w:val="Hyperlink"/>
            <w:rFonts w:ascii="Arial" w:eastAsia="Arial" w:hAnsi="Arial" w:cs="Arial"/>
          </w:rPr>
          <w:t>https://www.davidsonmorris.com/same-job-different-pay/</w:t>
        </w:r>
      </w:hyperlink>
      <w:r w:rsidRPr="39C98745">
        <w:rPr>
          <w:rFonts w:ascii="Arial" w:eastAsia="Arial" w:hAnsi="Arial" w:cs="Arial"/>
          <w:color w:val="000000" w:themeColor="text1"/>
        </w:rPr>
        <w:t xml:space="preserve"> (Accessed: 03 December 2023).</w:t>
      </w:r>
      <w:r w:rsidRPr="39C98745">
        <w:rPr>
          <w:rStyle w:val="apple-converted-space"/>
          <w:rFonts w:ascii="Arial" w:eastAsia="Arial" w:hAnsi="Arial" w:cs="Arial"/>
          <w:color w:val="000000" w:themeColor="text1"/>
        </w:rPr>
        <w:t> </w:t>
      </w:r>
    </w:p>
    <w:p w14:paraId="6C9298D4" w14:textId="77777777" w:rsidR="00906060" w:rsidRDefault="00906060" w:rsidP="39C98745">
      <w:pPr>
        <w:pStyle w:val="NormalWeb"/>
        <w:spacing w:before="40" w:beforeAutospacing="0" w:after="40" w:afterAutospacing="0" w:line="480" w:lineRule="auto"/>
        <w:ind w:left="567" w:hanging="567"/>
        <w:rPr>
          <w:rFonts w:ascii="Arial" w:eastAsia="Arial" w:hAnsi="Arial" w:cs="Arial"/>
          <w:color w:val="000000"/>
        </w:rPr>
      </w:pPr>
    </w:p>
    <w:p w14:paraId="782E0E9F" w14:textId="54BE70F5" w:rsidR="00906060" w:rsidRDefault="7FA5CFC7" w:rsidP="39C98745">
      <w:pPr>
        <w:pStyle w:val="NormalWeb"/>
        <w:spacing w:before="40" w:beforeAutospacing="0" w:after="40" w:afterAutospacing="0" w:line="480" w:lineRule="auto"/>
        <w:ind w:left="567" w:hanging="567"/>
        <w:rPr>
          <w:rFonts w:ascii="Arial" w:eastAsia="Arial" w:hAnsi="Arial" w:cs="Arial"/>
          <w:color w:val="000000"/>
        </w:rPr>
      </w:pPr>
      <w:r w:rsidRPr="39C98745">
        <w:rPr>
          <w:rFonts w:ascii="Arial" w:eastAsia="Arial" w:hAnsi="Arial" w:cs="Arial"/>
          <w:i/>
          <w:iCs/>
          <w:color w:val="000000" w:themeColor="text1"/>
        </w:rPr>
        <w:t>Pathways to partnership: Challenging the myth of Meritocracy</w:t>
      </w:r>
      <w:r w:rsidRPr="39C98745">
        <w:rPr>
          <w:rStyle w:val="apple-converted-space"/>
          <w:rFonts w:ascii="Arial" w:eastAsia="Arial" w:hAnsi="Arial" w:cs="Arial"/>
          <w:color w:val="000000" w:themeColor="text1"/>
        </w:rPr>
        <w:t> </w:t>
      </w:r>
      <w:r w:rsidRPr="39C98745">
        <w:rPr>
          <w:rFonts w:ascii="Arial" w:eastAsia="Arial" w:hAnsi="Arial" w:cs="Arial"/>
          <w:color w:val="000000" w:themeColor="text1"/>
        </w:rPr>
        <w:t>(2020)</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Bridge Group Research Action Equality</w:t>
      </w:r>
      <w:r w:rsidRPr="39C98745">
        <w:rPr>
          <w:rFonts w:ascii="Arial" w:eastAsia="Arial" w:hAnsi="Arial" w:cs="Arial"/>
          <w:color w:val="000000" w:themeColor="text1"/>
        </w:rPr>
        <w:t xml:space="preserve">. Available at: </w:t>
      </w:r>
      <w:hyperlink r:id="rId23">
        <w:r w:rsidRPr="39C98745">
          <w:rPr>
            <w:rStyle w:val="Hyperlink"/>
            <w:rFonts w:ascii="Arial" w:eastAsia="Arial" w:hAnsi="Arial" w:cs="Arial"/>
          </w:rPr>
          <w:t>https://www.thebridgegroup.org.uk/news/partner-law</w:t>
        </w:r>
      </w:hyperlink>
      <w:r w:rsidRPr="39C98745">
        <w:rPr>
          <w:rFonts w:ascii="Arial" w:eastAsia="Arial" w:hAnsi="Arial" w:cs="Arial"/>
          <w:color w:val="000000" w:themeColor="text1"/>
        </w:rPr>
        <w:t xml:space="preserve"> (Accessed: 03 December 2023).</w:t>
      </w:r>
    </w:p>
    <w:p w14:paraId="481B3AF2" w14:textId="77777777" w:rsidR="00421DCB" w:rsidRDefault="00421DCB" w:rsidP="39C98745">
      <w:pPr>
        <w:pStyle w:val="NormalWeb"/>
        <w:spacing w:before="40" w:beforeAutospacing="0" w:after="40" w:afterAutospacing="0" w:line="480" w:lineRule="auto"/>
        <w:ind w:left="567" w:hanging="567"/>
        <w:rPr>
          <w:rFonts w:ascii="Arial" w:eastAsia="Arial" w:hAnsi="Arial" w:cs="Arial"/>
          <w:color w:val="000000"/>
        </w:rPr>
      </w:pPr>
    </w:p>
    <w:p w14:paraId="26874B03" w14:textId="77777777" w:rsidR="00421DCB" w:rsidRDefault="2CC9EF0D" w:rsidP="39C98745">
      <w:pPr>
        <w:spacing w:before="40" w:after="40" w:line="480" w:lineRule="auto"/>
        <w:ind w:left="567" w:hanging="567"/>
        <w:rPr>
          <w:rFonts w:ascii="Arial" w:eastAsia="Arial" w:hAnsi="Arial" w:cs="Arial"/>
          <w:sz w:val="24"/>
          <w:szCs w:val="24"/>
        </w:rPr>
      </w:pPr>
      <w:r w:rsidRPr="39C98745">
        <w:rPr>
          <w:rFonts w:ascii="Arial" w:eastAsia="Arial" w:hAnsi="Arial" w:cs="Arial"/>
          <w:sz w:val="24"/>
          <w:szCs w:val="24"/>
        </w:rPr>
        <w:lastRenderedPageBreak/>
        <w:t xml:space="preserve">Servaes, S., Choudhury, P. and Parikh, A.K. (2022) ‘What is diversity?’, </w:t>
      </w:r>
      <w:r w:rsidRPr="39C98745">
        <w:rPr>
          <w:rFonts w:ascii="Arial" w:eastAsia="Arial" w:hAnsi="Arial" w:cs="Arial"/>
          <w:i/>
          <w:iCs/>
          <w:sz w:val="24"/>
          <w:szCs w:val="24"/>
        </w:rPr>
        <w:t>Pediatric Radiology</w:t>
      </w:r>
      <w:r w:rsidRPr="39C98745">
        <w:rPr>
          <w:rFonts w:ascii="Arial" w:eastAsia="Arial" w:hAnsi="Arial" w:cs="Arial"/>
          <w:sz w:val="24"/>
          <w:szCs w:val="24"/>
        </w:rPr>
        <w:t>, 52(9), pp. 1708–1710. doi:10.1007/s00247-022-05356-0.</w:t>
      </w:r>
    </w:p>
    <w:p w14:paraId="64BF0B91" w14:textId="77777777" w:rsidR="00E8797E" w:rsidRDefault="00E8797E" w:rsidP="39C98745">
      <w:pPr>
        <w:spacing w:before="40" w:after="40" w:line="480" w:lineRule="auto"/>
        <w:ind w:left="567" w:hanging="567"/>
        <w:rPr>
          <w:rFonts w:ascii="Arial" w:eastAsia="Arial" w:hAnsi="Arial" w:cs="Arial"/>
          <w:sz w:val="24"/>
          <w:szCs w:val="24"/>
        </w:rPr>
      </w:pPr>
    </w:p>
    <w:p w14:paraId="72EA1827" w14:textId="77777777" w:rsidR="00E8797E" w:rsidRDefault="49BAF81C" w:rsidP="39C98745">
      <w:pPr>
        <w:spacing w:before="40" w:after="40" w:line="480" w:lineRule="auto"/>
        <w:rPr>
          <w:rFonts w:ascii="Arial" w:eastAsia="Arial" w:hAnsi="Arial" w:cs="Arial"/>
          <w:sz w:val="24"/>
          <w:szCs w:val="24"/>
        </w:rPr>
      </w:pPr>
      <w:r w:rsidRPr="39C98745">
        <w:rPr>
          <w:rFonts w:ascii="Arial" w:eastAsia="Arial" w:hAnsi="Arial" w:cs="Arial"/>
          <w:i/>
          <w:iCs/>
          <w:sz w:val="24"/>
          <w:szCs w:val="24"/>
        </w:rPr>
        <w:t>Sex Disqualification (Removal) Act</w:t>
      </w:r>
      <w:r w:rsidRPr="39C98745">
        <w:rPr>
          <w:rFonts w:ascii="Arial" w:eastAsia="Arial" w:hAnsi="Arial" w:cs="Arial"/>
          <w:sz w:val="24"/>
          <w:szCs w:val="24"/>
        </w:rPr>
        <w:t xml:space="preserve"> 1919, c. 71, (s.1) Available at: </w:t>
      </w:r>
      <w:hyperlink r:id="rId24">
        <w:r w:rsidRPr="39C98745">
          <w:rPr>
            <w:rStyle w:val="Hyperlink"/>
            <w:rFonts w:ascii="Arial" w:eastAsia="Arial" w:hAnsi="Arial" w:cs="Arial"/>
            <w:sz w:val="24"/>
            <w:szCs w:val="24"/>
          </w:rPr>
          <w:t>Sex Disqualification (Removal) Act 1919 (legislation.gov.uk)</w:t>
        </w:r>
      </w:hyperlink>
      <w:r w:rsidRPr="39C98745">
        <w:rPr>
          <w:rFonts w:ascii="Arial" w:eastAsia="Arial" w:hAnsi="Arial" w:cs="Arial"/>
          <w:sz w:val="24"/>
          <w:szCs w:val="24"/>
        </w:rPr>
        <w:t xml:space="preserve"> Accessed on: 1 December 2023.</w:t>
      </w:r>
    </w:p>
    <w:p w14:paraId="3F9B1881" w14:textId="77777777" w:rsidR="005E69A0" w:rsidRDefault="005E69A0" w:rsidP="39C98745">
      <w:pPr>
        <w:spacing w:before="40" w:after="40" w:line="480" w:lineRule="auto"/>
        <w:rPr>
          <w:rFonts w:ascii="Arial" w:eastAsia="Arial" w:hAnsi="Arial" w:cs="Arial"/>
          <w:sz w:val="24"/>
          <w:szCs w:val="24"/>
        </w:rPr>
      </w:pPr>
    </w:p>
    <w:p w14:paraId="4A2865A4" w14:textId="2D749500" w:rsidR="005E69A0" w:rsidRDefault="58FB4CC7" w:rsidP="39C98745">
      <w:pPr>
        <w:pStyle w:val="NormalWeb"/>
        <w:spacing w:before="40" w:beforeAutospacing="0" w:after="40" w:afterAutospacing="0" w:line="480" w:lineRule="auto"/>
        <w:ind w:left="567" w:hanging="567"/>
        <w:rPr>
          <w:rStyle w:val="apple-converted-space"/>
          <w:rFonts w:ascii="Arial" w:eastAsia="Arial" w:hAnsi="Arial" w:cs="Arial"/>
          <w:color w:val="000000"/>
        </w:rPr>
      </w:pPr>
      <w:r w:rsidRPr="39C98745">
        <w:rPr>
          <w:rFonts w:ascii="Arial" w:eastAsia="Arial" w:hAnsi="Arial" w:cs="Arial"/>
          <w:color w:val="000000" w:themeColor="text1"/>
        </w:rPr>
        <w:t>Shuja, L. (2022)</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It’s time for a step-change in boosting socio-economic diversity at senior levels in the profession</w:t>
      </w:r>
      <w:r w:rsidRPr="39C98745">
        <w:rPr>
          <w:rFonts w:ascii="Arial" w:eastAsia="Arial" w:hAnsi="Arial" w:cs="Arial"/>
          <w:color w:val="000000" w:themeColor="text1"/>
        </w:rPr>
        <w:t>,</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The Law Society</w:t>
      </w:r>
      <w:r w:rsidRPr="39C98745">
        <w:rPr>
          <w:rFonts w:ascii="Arial" w:eastAsia="Arial" w:hAnsi="Arial" w:cs="Arial"/>
          <w:color w:val="000000" w:themeColor="text1"/>
        </w:rPr>
        <w:t xml:space="preserve">. Available at: </w:t>
      </w:r>
      <w:hyperlink r:id="rId25">
        <w:r w:rsidRPr="39C98745">
          <w:rPr>
            <w:rStyle w:val="Hyperlink"/>
            <w:rFonts w:ascii="Arial" w:eastAsia="Arial" w:hAnsi="Arial" w:cs="Arial"/>
          </w:rPr>
          <w:t>https://www.lawsociety.org.uk/topics/hr-and-people-management/boosting-socio-economic-diversity-at-senior-levels</w:t>
        </w:r>
      </w:hyperlink>
      <w:r w:rsidRPr="39C98745">
        <w:rPr>
          <w:rFonts w:ascii="Arial" w:eastAsia="Arial" w:hAnsi="Arial" w:cs="Arial"/>
          <w:color w:val="000000" w:themeColor="text1"/>
        </w:rPr>
        <w:t xml:space="preserve"> (Accessed: 04 December 2023).</w:t>
      </w:r>
      <w:r w:rsidRPr="39C98745">
        <w:rPr>
          <w:rStyle w:val="apple-converted-space"/>
          <w:rFonts w:ascii="Arial" w:eastAsia="Arial" w:hAnsi="Arial" w:cs="Arial"/>
          <w:color w:val="000000" w:themeColor="text1"/>
        </w:rPr>
        <w:t> </w:t>
      </w:r>
    </w:p>
    <w:p w14:paraId="467AC0C6" w14:textId="5A16B2DB" w:rsidR="39C98745" w:rsidRDefault="39C98745" w:rsidP="39C98745">
      <w:pPr>
        <w:spacing w:before="40" w:after="40" w:line="480" w:lineRule="auto"/>
        <w:rPr>
          <w:rFonts w:ascii="Arial" w:eastAsia="Arial" w:hAnsi="Arial" w:cs="Arial"/>
          <w:sz w:val="24"/>
          <w:szCs w:val="24"/>
          <w:lang w:val="en-GB" w:eastAsia="en-GB"/>
        </w:rPr>
      </w:pPr>
    </w:p>
    <w:p w14:paraId="055970E9" w14:textId="77777777" w:rsidR="00657409" w:rsidRPr="003F6C39" w:rsidRDefault="0A6A4DC6" w:rsidP="39C98745">
      <w:pPr>
        <w:spacing w:before="40" w:after="40" w:line="480" w:lineRule="auto"/>
        <w:rPr>
          <w:rFonts w:ascii="Arial" w:eastAsia="Arial" w:hAnsi="Arial" w:cs="Arial"/>
          <w:sz w:val="24"/>
          <w:szCs w:val="24"/>
          <w:lang w:val="en-GB" w:eastAsia="en-GB"/>
        </w:rPr>
      </w:pPr>
      <w:r w:rsidRPr="39C98745">
        <w:rPr>
          <w:rFonts w:ascii="Arial" w:eastAsia="Arial" w:hAnsi="Arial" w:cs="Arial"/>
          <w:sz w:val="24"/>
          <w:szCs w:val="24"/>
          <w:lang w:val="en-GB" w:eastAsia="en-GB"/>
        </w:rPr>
        <w:t xml:space="preserve">Solicitors Regulation Authority, (2018), ‘SRA Code of Conduct for Solicitors, RELs and RFLs’ </w:t>
      </w:r>
      <w:r w:rsidRPr="39C98745">
        <w:rPr>
          <w:rFonts w:ascii="Arial" w:eastAsia="Arial" w:hAnsi="Arial" w:cs="Arial"/>
          <w:i/>
          <w:iCs/>
          <w:sz w:val="24"/>
          <w:szCs w:val="24"/>
          <w:lang w:val="en-GB" w:eastAsia="en-GB"/>
        </w:rPr>
        <w:t>SRA Standards and Regulations</w:t>
      </w:r>
      <w:r w:rsidRPr="39C98745">
        <w:rPr>
          <w:rFonts w:ascii="Arial" w:eastAsia="Arial" w:hAnsi="Arial" w:cs="Arial"/>
          <w:sz w:val="24"/>
          <w:szCs w:val="24"/>
          <w:lang w:val="en-GB" w:eastAsia="en-GB"/>
        </w:rPr>
        <w:t xml:space="preserve">, p.1.1. Available at: </w:t>
      </w:r>
      <w:hyperlink r:id="rId26">
        <w:r w:rsidRPr="39C98745">
          <w:rPr>
            <w:rFonts w:ascii="Arial" w:eastAsia="Arial" w:hAnsi="Arial" w:cs="Arial"/>
            <w:color w:val="0563C1"/>
            <w:sz w:val="24"/>
            <w:szCs w:val="24"/>
            <w:u w:val="single"/>
            <w:lang w:val="en-GB" w:eastAsia="en-GB"/>
          </w:rPr>
          <w:t>https://www.sra.org.uk/solicitors/standards-regulations/code-conduct-solicitors/</w:t>
        </w:r>
      </w:hyperlink>
      <w:r w:rsidRPr="39C98745">
        <w:rPr>
          <w:rFonts w:ascii="Arial" w:eastAsia="Arial" w:hAnsi="Arial" w:cs="Arial"/>
          <w:sz w:val="24"/>
          <w:szCs w:val="24"/>
          <w:lang w:val="en-GB" w:eastAsia="en-GB"/>
        </w:rPr>
        <w:t xml:space="preserve"> (Accessed: 7</w:t>
      </w:r>
      <w:r w:rsidRPr="39C98745">
        <w:rPr>
          <w:rFonts w:ascii="Arial" w:eastAsia="Arial" w:hAnsi="Arial" w:cs="Arial"/>
          <w:sz w:val="24"/>
          <w:szCs w:val="24"/>
          <w:vertAlign w:val="superscript"/>
          <w:lang w:val="en-GB" w:eastAsia="en-GB"/>
        </w:rPr>
        <w:t>th</w:t>
      </w:r>
      <w:r w:rsidRPr="39C98745">
        <w:rPr>
          <w:rFonts w:ascii="Arial" w:eastAsia="Arial" w:hAnsi="Arial" w:cs="Arial"/>
          <w:sz w:val="24"/>
          <w:szCs w:val="24"/>
          <w:lang w:val="en-GB" w:eastAsia="en-GB"/>
        </w:rPr>
        <w:t xml:space="preserve"> December 2023).</w:t>
      </w:r>
    </w:p>
    <w:p w14:paraId="534D57C9" w14:textId="77777777" w:rsidR="00657409" w:rsidRDefault="00657409" w:rsidP="39C98745">
      <w:pPr>
        <w:spacing w:before="40" w:after="40" w:line="480" w:lineRule="auto"/>
        <w:rPr>
          <w:rFonts w:ascii="Arial" w:eastAsia="Arial" w:hAnsi="Arial" w:cs="Arial"/>
          <w:sz w:val="24"/>
          <w:szCs w:val="24"/>
        </w:rPr>
      </w:pPr>
    </w:p>
    <w:p w14:paraId="592D9C40" w14:textId="77777777" w:rsidR="00657409" w:rsidRPr="003F6C39" w:rsidRDefault="0A6A4DC6" w:rsidP="39C98745">
      <w:pPr>
        <w:spacing w:before="40" w:after="40" w:line="480" w:lineRule="auto"/>
        <w:rPr>
          <w:rFonts w:ascii="Arial" w:eastAsia="Arial" w:hAnsi="Arial" w:cs="Arial"/>
          <w:sz w:val="24"/>
          <w:szCs w:val="24"/>
          <w:lang w:val="en-GB" w:eastAsia="en-GB"/>
        </w:rPr>
      </w:pPr>
      <w:r w:rsidRPr="39C98745">
        <w:rPr>
          <w:rFonts w:ascii="Arial" w:eastAsia="Arial" w:hAnsi="Arial" w:cs="Arial"/>
          <w:sz w:val="24"/>
          <w:szCs w:val="24"/>
          <w:lang w:val="en-GB" w:eastAsia="en-GB"/>
        </w:rPr>
        <w:t xml:space="preserve">Solicitors Regulation Authority, (2018), ‘SRA Code of Conduct for Solicitors, RELs and RFLs’ </w:t>
      </w:r>
      <w:r w:rsidRPr="39C98745">
        <w:rPr>
          <w:rFonts w:ascii="Arial" w:eastAsia="Arial" w:hAnsi="Arial" w:cs="Arial"/>
          <w:i/>
          <w:iCs/>
          <w:sz w:val="24"/>
          <w:szCs w:val="24"/>
          <w:lang w:val="en-GB" w:eastAsia="en-GB"/>
        </w:rPr>
        <w:t>SRA Standards and Regulations</w:t>
      </w:r>
      <w:r w:rsidRPr="39C98745">
        <w:rPr>
          <w:rFonts w:ascii="Arial" w:eastAsia="Arial" w:hAnsi="Arial" w:cs="Arial"/>
          <w:sz w:val="24"/>
          <w:szCs w:val="24"/>
          <w:lang w:val="en-GB" w:eastAsia="en-GB"/>
        </w:rPr>
        <w:t xml:space="preserve">, p.1.2. Available at: </w:t>
      </w:r>
      <w:hyperlink r:id="rId27">
        <w:r w:rsidRPr="39C98745">
          <w:rPr>
            <w:rFonts w:ascii="Arial" w:eastAsia="Arial" w:hAnsi="Arial" w:cs="Arial"/>
            <w:color w:val="0563C1"/>
            <w:sz w:val="24"/>
            <w:szCs w:val="24"/>
            <w:u w:val="single"/>
            <w:lang w:val="en-GB" w:eastAsia="en-GB"/>
          </w:rPr>
          <w:t>https://www.sra.org.uk/solicitors/standards-regulations/code-conduct-solicitors/</w:t>
        </w:r>
      </w:hyperlink>
      <w:r w:rsidRPr="39C98745">
        <w:rPr>
          <w:rFonts w:ascii="Arial" w:eastAsia="Arial" w:hAnsi="Arial" w:cs="Arial"/>
          <w:sz w:val="24"/>
          <w:szCs w:val="24"/>
          <w:lang w:val="en-GB" w:eastAsia="en-GB"/>
        </w:rPr>
        <w:t xml:space="preserve"> (Accessed: 7</w:t>
      </w:r>
      <w:r w:rsidRPr="39C98745">
        <w:rPr>
          <w:rFonts w:ascii="Arial" w:eastAsia="Arial" w:hAnsi="Arial" w:cs="Arial"/>
          <w:sz w:val="24"/>
          <w:szCs w:val="24"/>
          <w:vertAlign w:val="superscript"/>
          <w:lang w:val="en-GB" w:eastAsia="en-GB"/>
        </w:rPr>
        <w:t>th</w:t>
      </w:r>
      <w:r w:rsidRPr="39C98745">
        <w:rPr>
          <w:rFonts w:ascii="Arial" w:eastAsia="Arial" w:hAnsi="Arial" w:cs="Arial"/>
          <w:sz w:val="24"/>
          <w:szCs w:val="24"/>
          <w:lang w:val="en-GB" w:eastAsia="en-GB"/>
        </w:rPr>
        <w:t xml:space="preserve"> December 2023).</w:t>
      </w:r>
    </w:p>
    <w:p w14:paraId="45D0221C" w14:textId="77777777" w:rsidR="00657409" w:rsidRDefault="0A6A4DC6" w:rsidP="39C98745">
      <w:pPr>
        <w:spacing w:before="40" w:after="40" w:line="480" w:lineRule="auto"/>
        <w:rPr>
          <w:rFonts w:ascii="Arial" w:eastAsia="Arial" w:hAnsi="Arial" w:cs="Arial"/>
          <w:sz w:val="24"/>
          <w:szCs w:val="24"/>
        </w:rPr>
      </w:pPr>
      <w:r w:rsidRPr="39C98745">
        <w:rPr>
          <w:rFonts w:ascii="Arial" w:eastAsia="Arial" w:hAnsi="Arial" w:cs="Arial"/>
          <w:sz w:val="24"/>
          <w:szCs w:val="24"/>
        </w:rPr>
        <w:t xml:space="preserve"> </w:t>
      </w:r>
    </w:p>
    <w:p w14:paraId="5CB9645C" w14:textId="77777777" w:rsidR="00657409" w:rsidRPr="003F6C39" w:rsidRDefault="0A6A4DC6" w:rsidP="39C98745">
      <w:pPr>
        <w:spacing w:before="40" w:after="40" w:line="480" w:lineRule="auto"/>
        <w:rPr>
          <w:rFonts w:ascii="Arial" w:eastAsia="Arial" w:hAnsi="Arial" w:cs="Arial"/>
          <w:sz w:val="24"/>
          <w:szCs w:val="24"/>
          <w:lang w:val="en-GB" w:eastAsia="en-GB"/>
        </w:rPr>
      </w:pPr>
      <w:r w:rsidRPr="39C98745">
        <w:rPr>
          <w:rFonts w:ascii="Arial" w:eastAsia="Arial" w:hAnsi="Arial" w:cs="Arial"/>
          <w:sz w:val="24"/>
          <w:szCs w:val="24"/>
          <w:lang w:val="en-GB" w:eastAsia="en-GB"/>
        </w:rPr>
        <w:t xml:space="preserve">Solicitors Regulation Authority, (2018), ‘SRA Code of Conduct for Solicitors, RELs and RFLs’ </w:t>
      </w:r>
      <w:r w:rsidRPr="39C98745">
        <w:rPr>
          <w:rFonts w:ascii="Arial" w:eastAsia="Arial" w:hAnsi="Arial" w:cs="Arial"/>
          <w:i/>
          <w:iCs/>
          <w:sz w:val="24"/>
          <w:szCs w:val="24"/>
          <w:lang w:val="en-GB" w:eastAsia="en-GB"/>
        </w:rPr>
        <w:t>SRA Standards and Regulations</w:t>
      </w:r>
      <w:r w:rsidRPr="39C98745">
        <w:rPr>
          <w:rFonts w:ascii="Arial" w:eastAsia="Arial" w:hAnsi="Arial" w:cs="Arial"/>
          <w:sz w:val="24"/>
          <w:szCs w:val="24"/>
          <w:lang w:val="en-GB" w:eastAsia="en-GB"/>
        </w:rPr>
        <w:t xml:space="preserve">, p.1.5. Available at: </w:t>
      </w:r>
      <w:hyperlink r:id="rId28">
        <w:r w:rsidRPr="39C98745">
          <w:rPr>
            <w:rFonts w:ascii="Arial" w:eastAsia="Arial" w:hAnsi="Arial" w:cs="Arial"/>
            <w:color w:val="0563C1"/>
            <w:sz w:val="24"/>
            <w:szCs w:val="24"/>
            <w:u w:val="single"/>
            <w:lang w:val="en-GB" w:eastAsia="en-GB"/>
          </w:rPr>
          <w:t>https://www.sra.org.uk/solicitors/standards-regulations/code-conduct-solicitors/</w:t>
        </w:r>
      </w:hyperlink>
      <w:r w:rsidRPr="39C98745">
        <w:rPr>
          <w:rFonts w:ascii="Arial" w:eastAsia="Arial" w:hAnsi="Arial" w:cs="Arial"/>
          <w:sz w:val="24"/>
          <w:szCs w:val="24"/>
          <w:lang w:val="en-GB" w:eastAsia="en-GB"/>
        </w:rPr>
        <w:t xml:space="preserve"> (Accessed: 7</w:t>
      </w:r>
      <w:r w:rsidRPr="39C98745">
        <w:rPr>
          <w:rFonts w:ascii="Arial" w:eastAsia="Arial" w:hAnsi="Arial" w:cs="Arial"/>
          <w:sz w:val="24"/>
          <w:szCs w:val="24"/>
          <w:vertAlign w:val="superscript"/>
          <w:lang w:val="en-GB" w:eastAsia="en-GB"/>
        </w:rPr>
        <w:t>th</w:t>
      </w:r>
      <w:r w:rsidRPr="39C98745">
        <w:rPr>
          <w:rFonts w:ascii="Arial" w:eastAsia="Arial" w:hAnsi="Arial" w:cs="Arial"/>
          <w:sz w:val="24"/>
          <w:szCs w:val="24"/>
          <w:lang w:val="en-GB" w:eastAsia="en-GB"/>
        </w:rPr>
        <w:t xml:space="preserve"> December 2023).</w:t>
      </w:r>
    </w:p>
    <w:p w14:paraId="6A6AA3F4" w14:textId="77777777" w:rsidR="00146999" w:rsidRDefault="00146999" w:rsidP="39C98745">
      <w:pPr>
        <w:spacing w:before="40" w:after="40" w:line="480" w:lineRule="auto"/>
        <w:rPr>
          <w:rFonts w:ascii="Arial" w:eastAsia="Arial" w:hAnsi="Arial" w:cs="Arial"/>
          <w:sz w:val="24"/>
          <w:szCs w:val="24"/>
          <w:lang w:val="en-GB" w:eastAsia="en-GB"/>
        </w:rPr>
      </w:pPr>
    </w:p>
    <w:p w14:paraId="5B872D9E" w14:textId="6716A2A6" w:rsidR="00FC6B9E" w:rsidRDefault="1CF0ABA8" w:rsidP="39C98745">
      <w:pPr>
        <w:spacing w:before="40" w:after="40" w:line="480" w:lineRule="auto"/>
        <w:rPr>
          <w:rFonts w:ascii="Arial" w:eastAsia="Arial" w:hAnsi="Arial" w:cs="Arial"/>
          <w:i/>
          <w:iCs/>
          <w:sz w:val="24"/>
          <w:szCs w:val="24"/>
          <w:lang w:val="en-GB" w:eastAsia="en-GB"/>
        </w:rPr>
      </w:pPr>
      <w:r w:rsidRPr="39C98745">
        <w:rPr>
          <w:rFonts w:ascii="Arial" w:eastAsia="Arial" w:hAnsi="Arial" w:cs="Arial"/>
          <w:sz w:val="24"/>
          <w:szCs w:val="24"/>
          <w:lang w:val="en-GB" w:eastAsia="en-GB"/>
        </w:rPr>
        <w:t xml:space="preserve">Solicitors Regulation Authority, (2019),  ‘SRA Principles’ </w:t>
      </w:r>
      <w:r w:rsidRPr="39C98745">
        <w:rPr>
          <w:rFonts w:ascii="Arial" w:eastAsia="Arial" w:hAnsi="Arial" w:cs="Arial"/>
          <w:i/>
          <w:iCs/>
          <w:sz w:val="24"/>
          <w:szCs w:val="24"/>
          <w:lang w:val="en-GB" w:eastAsia="en-GB"/>
        </w:rPr>
        <w:t xml:space="preserve">SRA Standards and Regulations (2018), </w:t>
      </w:r>
      <w:r w:rsidRPr="39C98745">
        <w:rPr>
          <w:rFonts w:ascii="Arial" w:eastAsia="Arial" w:hAnsi="Arial" w:cs="Arial"/>
          <w:sz w:val="24"/>
          <w:szCs w:val="24"/>
          <w:lang w:val="en-GB" w:eastAsia="en-GB"/>
        </w:rPr>
        <w:t>Principle 2</w:t>
      </w:r>
      <w:r w:rsidRPr="39C98745">
        <w:rPr>
          <w:rFonts w:ascii="Arial" w:eastAsia="Arial" w:hAnsi="Arial" w:cs="Arial"/>
          <w:i/>
          <w:iCs/>
          <w:sz w:val="24"/>
          <w:szCs w:val="24"/>
          <w:lang w:val="en-GB" w:eastAsia="en-GB"/>
        </w:rPr>
        <w:t xml:space="preserve">. </w:t>
      </w:r>
    </w:p>
    <w:p w14:paraId="6BEDEF4C" w14:textId="77777777" w:rsidR="00FC6B9E" w:rsidRDefault="1CF0ABA8" w:rsidP="39C98745">
      <w:pPr>
        <w:spacing w:before="40" w:after="40" w:line="480" w:lineRule="auto"/>
        <w:rPr>
          <w:rFonts w:ascii="Arial" w:eastAsia="Arial" w:hAnsi="Arial" w:cs="Arial"/>
          <w:sz w:val="24"/>
          <w:szCs w:val="24"/>
          <w:lang w:val="en-GB" w:eastAsia="en-GB"/>
        </w:rPr>
      </w:pPr>
      <w:r w:rsidRPr="39C98745">
        <w:rPr>
          <w:rFonts w:ascii="Arial" w:eastAsia="Arial" w:hAnsi="Arial" w:cs="Arial"/>
          <w:sz w:val="24"/>
          <w:szCs w:val="24"/>
          <w:lang w:val="en-GB" w:eastAsia="en-GB"/>
        </w:rPr>
        <w:t>Available at:</w:t>
      </w:r>
      <w:r w:rsidRPr="39C98745">
        <w:rPr>
          <w:rFonts w:ascii="Arial" w:eastAsia="Arial" w:hAnsi="Arial" w:cs="Arial"/>
          <w:i/>
          <w:iCs/>
          <w:sz w:val="24"/>
          <w:szCs w:val="24"/>
          <w:lang w:val="en-GB" w:eastAsia="en-GB"/>
        </w:rPr>
        <w:t xml:space="preserve"> </w:t>
      </w:r>
      <w:hyperlink r:id="rId29">
        <w:r w:rsidRPr="39C98745">
          <w:rPr>
            <w:rFonts w:ascii="Arial" w:eastAsia="Arial" w:hAnsi="Arial" w:cs="Arial"/>
            <w:i/>
            <w:iCs/>
            <w:color w:val="0563C1"/>
            <w:sz w:val="24"/>
            <w:szCs w:val="24"/>
            <w:u w:val="single"/>
            <w:lang w:val="en-GB" w:eastAsia="en-GB"/>
          </w:rPr>
          <w:t>https://www.sra.org.uk/solicitors/standards-regulations/principles/</w:t>
        </w:r>
      </w:hyperlink>
      <w:r w:rsidRPr="39C98745">
        <w:rPr>
          <w:rFonts w:ascii="Arial" w:eastAsia="Arial" w:hAnsi="Arial" w:cs="Arial"/>
          <w:i/>
          <w:iCs/>
          <w:sz w:val="24"/>
          <w:szCs w:val="24"/>
          <w:lang w:val="en-GB" w:eastAsia="en-GB"/>
        </w:rPr>
        <w:t xml:space="preserve"> </w:t>
      </w:r>
      <w:r w:rsidRPr="39C98745">
        <w:rPr>
          <w:rFonts w:ascii="Arial" w:eastAsia="Arial" w:hAnsi="Arial" w:cs="Arial"/>
          <w:sz w:val="24"/>
          <w:szCs w:val="24"/>
          <w:lang w:val="en-GB" w:eastAsia="en-GB"/>
        </w:rPr>
        <w:t>(Accessed: 5</w:t>
      </w:r>
      <w:r w:rsidRPr="39C98745">
        <w:rPr>
          <w:rFonts w:ascii="Arial" w:eastAsia="Arial" w:hAnsi="Arial" w:cs="Arial"/>
          <w:sz w:val="24"/>
          <w:szCs w:val="24"/>
          <w:vertAlign w:val="superscript"/>
          <w:lang w:val="en-GB" w:eastAsia="en-GB"/>
        </w:rPr>
        <w:t>th</w:t>
      </w:r>
      <w:r w:rsidRPr="39C98745">
        <w:rPr>
          <w:rFonts w:ascii="Arial" w:eastAsia="Arial" w:hAnsi="Arial" w:cs="Arial"/>
          <w:sz w:val="24"/>
          <w:szCs w:val="24"/>
          <w:lang w:val="en-GB" w:eastAsia="en-GB"/>
        </w:rPr>
        <w:t xml:space="preserve"> December 2023). </w:t>
      </w:r>
    </w:p>
    <w:p w14:paraId="22021BD7" w14:textId="77777777" w:rsidR="00FC6B9E" w:rsidRDefault="00FC6B9E" w:rsidP="39C98745">
      <w:pPr>
        <w:spacing w:before="40" w:after="40" w:line="480" w:lineRule="auto"/>
        <w:rPr>
          <w:rFonts w:ascii="Arial" w:eastAsia="Arial" w:hAnsi="Arial" w:cs="Arial"/>
          <w:sz w:val="24"/>
          <w:szCs w:val="24"/>
          <w:lang w:val="en-GB" w:eastAsia="en-GB"/>
        </w:rPr>
      </w:pPr>
    </w:p>
    <w:p w14:paraId="0E371D6C" w14:textId="0BB4DB0A" w:rsidR="00FC6B9E" w:rsidRDefault="1CF0ABA8" w:rsidP="39C98745">
      <w:pPr>
        <w:spacing w:before="40" w:after="40" w:line="480" w:lineRule="auto"/>
        <w:rPr>
          <w:rFonts w:ascii="Arial" w:eastAsia="Arial" w:hAnsi="Arial" w:cs="Arial"/>
          <w:i/>
          <w:iCs/>
          <w:sz w:val="24"/>
          <w:szCs w:val="24"/>
          <w:lang w:val="en-GB" w:eastAsia="en-GB"/>
        </w:rPr>
      </w:pPr>
      <w:r w:rsidRPr="39C98745">
        <w:rPr>
          <w:rFonts w:ascii="Arial" w:eastAsia="Arial" w:hAnsi="Arial" w:cs="Arial"/>
          <w:sz w:val="24"/>
          <w:szCs w:val="24"/>
          <w:lang w:val="en-GB" w:eastAsia="en-GB"/>
        </w:rPr>
        <w:t xml:space="preserve">Solicitors Regulation Authority, (2019),  ‘SRA Principles’ </w:t>
      </w:r>
      <w:r w:rsidRPr="39C98745">
        <w:rPr>
          <w:rFonts w:ascii="Arial" w:eastAsia="Arial" w:hAnsi="Arial" w:cs="Arial"/>
          <w:i/>
          <w:iCs/>
          <w:sz w:val="24"/>
          <w:szCs w:val="24"/>
          <w:lang w:val="en-GB" w:eastAsia="en-GB"/>
        </w:rPr>
        <w:t xml:space="preserve">SRA Standards and Regulations (2018), </w:t>
      </w:r>
      <w:r w:rsidRPr="39C98745">
        <w:rPr>
          <w:rFonts w:ascii="Arial" w:eastAsia="Arial" w:hAnsi="Arial" w:cs="Arial"/>
          <w:sz w:val="24"/>
          <w:szCs w:val="24"/>
          <w:lang w:val="en-GB" w:eastAsia="en-GB"/>
        </w:rPr>
        <w:t>Principle 5</w:t>
      </w:r>
      <w:r w:rsidRPr="39C98745">
        <w:rPr>
          <w:rFonts w:ascii="Arial" w:eastAsia="Arial" w:hAnsi="Arial" w:cs="Arial"/>
          <w:i/>
          <w:iCs/>
          <w:sz w:val="24"/>
          <w:szCs w:val="24"/>
          <w:lang w:val="en-GB" w:eastAsia="en-GB"/>
        </w:rPr>
        <w:t>.</w:t>
      </w:r>
    </w:p>
    <w:p w14:paraId="73706E8E" w14:textId="77777777" w:rsidR="00FC6B9E" w:rsidRPr="00CC3390" w:rsidRDefault="1CF0ABA8" w:rsidP="39C98745">
      <w:pPr>
        <w:spacing w:before="40" w:after="40" w:line="480" w:lineRule="auto"/>
        <w:rPr>
          <w:rFonts w:ascii="Arial" w:eastAsia="Arial" w:hAnsi="Arial" w:cs="Arial"/>
          <w:sz w:val="24"/>
          <w:szCs w:val="24"/>
          <w:lang w:val="en-GB" w:eastAsia="en-GB"/>
        </w:rPr>
      </w:pPr>
      <w:r w:rsidRPr="39C98745">
        <w:rPr>
          <w:rFonts w:ascii="Arial" w:eastAsia="Arial" w:hAnsi="Arial" w:cs="Arial"/>
          <w:i/>
          <w:iCs/>
          <w:sz w:val="24"/>
          <w:szCs w:val="24"/>
          <w:lang w:val="en-GB" w:eastAsia="en-GB"/>
        </w:rPr>
        <w:t xml:space="preserve"> </w:t>
      </w:r>
      <w:r w:rsidRPr="39C98745">
        <w:rPr>
          <w:rFonts w:ascii="Arial" w:eastAsia="Arial" w:hAnsi="Arial" w:cs="Arial"/>
          <w:sz w:val="24"/>
          <w:szCs w:val="24"/>
          <w:lang w:val="en-GB" w:eastAsia="en-GB"/>
        </w:rPr>
        <w:t>Available at:</w:t>
      </w:r>
      <w:r w:rsidRPr="39C98745">
        <w:rPr>
          <w:rFonts w:ascii="Arial" w:eastAsia="Arial" w:hAnsi="Arial" w:cs="Arial"/>
          <w:i/>
          <w:iCs/>
          <w:sz w:val="24"/>
          <w:szCs w:val="24"/>
          <w:lang w:val="en-GB" w:eastAsia="en-GB"/>
        </w:rPr>
        <w:t xml:space="preserve"> </w:t>
      </w:r>
      <w:hyperlink r:id="rId30">
        <w:r w:rsidRPr="39C98745">
          <w:rPr>
            <w:rFonts w:ascii="Arial" w:eastAsia="Arial" w:hAnsi="Arial" w:cs="Arial"/>
            <w:i/>
            <w:iCs/>
            <w:color w:val="0563C1"/>
            <w:sz w:val="24"/>
            <w:szCs w:val="24"/>
            <w:u w:val="single"/>
            <w:lang w:val="en-GB" w:eastAsia="en-GB"/>
          </w:rPr>
          <w:t>https://www.sra.org.uk/solicitors/standards-regulations/principles/</w:t>
        </w:r>
      </w:hyperlink>
      <w:r w:rsidRPr="39C98745">
        <w:rPr>
          <w:rFonts w:ascii="Arial" w:eastAsia="Arial" w:hAnsi="Arial" w:cs="Arial"/>
          <w:i/>
          <w:iCs/>
          <w:sz w:val="24"/>
          <w:szCs w:val="24"/>
          <w:lang w:val="en-GB" w:eastAsia="en-GB"/>
        </w:rPr>
        <w:t xml:space="preserve"> </w:t>
      </w:r>
      <w:r w:rsidRPr="39C98745">
        <w:rPr>
          <w:rFonts w:ascii="Arial" w:eastAsia="Arial" w:hAnsi="Arial" w:cs="Arial"/>
          <w:sz w:val="24"/>
          <w:szCs w:val="24"/>
          <w:lang w:val="en-GB" w:eastAsia="en-GB"/>
        </w:rPr>
        <w:t>(Accessed: 5</w:t>
      </w:r>
      <w:r w:rsidRPr="39C98745">
        <w:rPr>
          <w:rFonts w:ascii="Arial" w:eastAsia="Arial" w:hAnsi="Arial" w:cs="Arial"/>
          <w:sz w:val="24"/>
          <w:szCs w:val="24"/>
          <w:vertAlign w:val="superscript"/>
          <w:lang w:val="en-GB" w:eastAsia="en-GB"/>
        </w:rPr>
        <w:t>th</w:t>
      </w:r>
      <w:r w:rsidRPr="39C98745">
        <w:rPr>
          <w:rFonts w:ascii="Arial" w:eastAsia="Arial" w:hAnsi="Arial" w:cs="Arial"/>
          <w:sz w:val="24"/>
          <w:szCs w:val="24"/>
          <w:lang w:val="en-GB" w:eastAsia="en-GB"/>
        </w:rPr>
        <w:t xml:space="preserve"> December 2023). </w:t>
      </w:r>
    </w:p>
    <w:p w14:paraId="3B4E31E0" w14:textId="77777777" w:rsidR="00FC6B9E" w:rsidRDefault="00FC6B9E" w:rsidP="39C98745">
      <w:pPr>
        <w:spacing w:before="40" w:after="40" w:line="480" w:lineRule="auto"/>
        <w:rPr>
          <w:rFonts w:ascii="Arial" w:eastAsia="Arial" w:hAnsi="Arial" w:cs="Arial"/>
          <w:sz w:val="24"/>
          <w:szCs w:val="24"/>
        </w:rPr>
      </w:pPr>
    </w:p>
    <w:p w14:paraId="41DC349E" w14:textId="77777777" w:rsidR="00FC6B9E" w:rsidRDefault="1CF0ABA8" w:rsidP="39C98745">
      <w:pPr>
        <w:spacing w:before="40" w:after="40" w:line="480" w:lineRule="auto"/>
        <w:rPr>
          <w:rFonts w:ascii="Arial" w:eastAsia="Arial" w:hAnsi="Arial" w:cs="Arial"/>
          <w:i/>
          <w:iCs/>
          <w:sz w:val="24"/>
          <w:szCs w:val="24"/>
          <w:lang w:val="en-GB" w:eastAsia="en-GB"/>
        </w:rPr>
      </w:pPr>
      <w:r w:rsidRPr="39C98745">
        <w:rPr>
          <w:rFonts w:ascii="Arial" w:eastAsia="Arial" w:hAnsi="Arial" w:cs="Arial"/>
          <w:sz w:val="24"/>
          <w:szCs w:val="24"/>
          <w:lang w:val="en-GB" w:eastAsia="en-GB"/>
        </w:rPr>
        <w:t xml:space="preserve">Solicitors Regulation Authority, (2019),  ‘SRA Principles’ </w:t>
      </w:r>
      <w:r w:rsidRPr="39C98745">
        <w:rPr>
          <w:rFonts w:ascii="Arial" w:eastAsia="Arial" w:hAnsi="Arial" w:cs="Arial"/>
          <w:i/>
          <w:iCs/>
          <w:sz w:val="24"/>
          <w:szCs w:val="24"/>
          <w:lang w:val="en-GB" w:eastAsia="en-GB"/>
        </w:rPr>
        <w:t xml:space="preserve">SRA Standards and Regulations (2018), </w:t>
      </w:r>
      <w:r w:rsidRPr="39C98745">
        <w:rPr>
          <w:rFonts w:ascii="Arial" w:eastAsia="Arial" w:hAnsi="Arial" w:cs="Arial"/>
          <w:sz w:val="24"/>
          <w:szCs w:val="24"/>
          <w:lang w:val="en-GB" w:eastAsia="en-GB"/>
        </w:rPr>
        <w:t>Principle 6</w:t>
      </w:r>
      <w:r w:rsidRPr="39C98745">
        <w:rPr>
          <w:rFonts w:ascii="Arial" w:eastAsia="Arial" w:hAnsi="Arial" w:cs="Arial"/>
          <w:i/>
          <w:iCs/>
          <w:sz w:val="24"/>
          <w:szCs w:val="24"/>
          <w:lang w:val="en-GB" w:eastAsia="en-GB"/>
        </w:rPr>
        <w:t>.</w:t>
      </w:r>
    </w:p>
    <w:p w14:paraId="37DB6DDC" w14:textId="77777777" w:rsidR="00FC6B9E" w:rsidRPr="006447A0" w:rsidRDefault="1CF0ABA8" w:rsidP="39C98745">
      <w:pPr>
        <w:spacing w:before="40" w:after="40" w:line="480" w:lineRule="auto"/>
        <w:rPr>
          <w:rFonts w:ascii="Arial" w:eastAsia="Arial" w:hAnsi="Arial" w:cs="Arial"/>
          <w:sz w:val="24"/>
          <w:szCs w:val="24"/>
          <w:lang w:val="en-GB" w:eastAsia="en-GB"/>
        </w:rPr>
      </w:pPr>
      <w:r w:rsidRPr="39C98745">
        <w:rPr>
          <w:rFonts w:ascii="Arial" w:eastAsia="Arial" w:hAnsi="Arial" w:cs="Arial"/>
          <w:i/>
          <w:iCs/>
          <w:sz w:val="24"/>
          <w:szCs w:val="24"/>
          <w:lang w:val="en-GB" w:eastAsia="en-GB"/>
        </w:rPr>
        <w:t xml:space="preserve"> </w:t>
      </w:r>
      <w:r w:rsidRPr="39C98745">
        <w:rPr>
          <w:rFonts w:ascii="Arial" w:eastAsia="Arial" w:hAnsi="Arial" w:cs="Arial"/>
          <w:sz w:val="24"/>
          <w:szCs w:val="24"/>
          <w:lang w:val="en-GB" w:eastAsia="en-GB"/>
        </w:rPr>
        <w:t>Available at:</w:t>
      </w:r>
      <w:r w:rsidRPr="39C98745">
        <w:rPr>
          <w:rFonts w:ascii="Arial" w:eastAsia="Arial" w:hAnsi="Arial" w:cs="Arial"/>
          <w:i/>
          <w:iCs/>
          <w:sz w:val="24"/>
          <w:szCs w:val="24"/>
          <w:lang w:val="en-GB" w:eastAsia="en-GB"/>
        </w:rPr>
        <w:t xml:space="preserve"> </w:t>
      </w:r>
      <w:hyperlink r:id="rId31">
        <w:r w:rsidRPr="39C98745">
          <w:rPr>
            <w:rFonts w:ascii="Arial" w:eastAsia="Arial" w:hAnsi="Arial" w:cs="Arial"/>
            <w:i/>
            <w:iCs/>
            <w:color w:val="0563C1"/>
            <w:sz w:val="24"/>
            <w:szCs w:val="24"/>
            <w:u w:val="single"/>
            <w:lang w:val="en-GB" w:eastAsia="en-GB"/>
          </w:rPr>
          <w:t>https://www.sra.org.uk/solicitors/standards-regulations/principles/</w:t>
        </w:r>
      </w:hyperlink>
      <w:r w:rsidRPr="39C98745">
        <w:rPr>
          <w:rFonts w:ascii="Arial" w:eastAsia="Arial" w:hAnsi="Arial" w:cs="Arial"/>
          <w:i/>
          <w:iCs/>
          <w:sz w:val="24"/>
          <w:szCs w:val="24"/>
          <w:lang w:val="en-GB" w:eastAsia="en-GB"/>
        </w:rPr>
        <w:t xml:space="preserve"> </w:t>
      </w:r>
      <w:r w:rsidRPr="39C98745">
        <w:rPr>
          <w:rFonts w:ascii="Arial" w:eastAsia="Arial" w:hAnsi="Arial" w:cs="Arial"/>
          <w:sz w:val="24"/>
          <w:szCs w:val="24"/>
          <w:lang w:val="en-GB" w:eastAsia="en-GB"/>
        </w:rPr>
        <w:t>(Accessed: 5</w:t>
      </w:r>
      <w:r w:rsidRPr="39C98745">
        <w:rPr>
          <w:rFonts w:ascii="Arial" w:eastAsia="Arial" w:hAnsi="Arial" w:cs="Arial"/>
          <w:sz w:val="24"/>
          <w:szCs w:val="24"/>
          <w:vertAlign w:val="superscript"/>
          <w:lang w:val="en-GB" w:eastAsia="en-GB"/>
        </w:rPr>
        <w:t>th</w:t>
      </w:r>
      <w:r w:rsidRPr="39C98745">
        <w:rPr>
          <w:rFonts w:ascii="Arial" w:eastAsia="Arial" w:hAnsi="Arial" w:cs="Arial"/>
          <w:sz w:val="24"/>
          <w:szCs w:val="24"/>
          <w:lang w:val="en-GB" w:eastAsia="en-GB"/>
        </w:rPr>
        <w:t xml:space="preserve"> December 2023). </w:t>
      </w:r>
    </w:p>
    <w:p w14:paraId="7812704D" w14:textId="77777777" w:rsidR="00FC6B9E" w:rsidRDefault="00FC6B9E" w:rsidP="39C98745">
      <w:pPr>
        <w:spacing w:before="40" w:after="40" w:line="480" w:lineRule="auto"/>
        <w:rPr>
          <w:rFonts w:ascii="Arial" w:eastAsia="Arial" w:hAnsi="Arial" w:cs="Arial"/>
          <w:sz w:val="24"/>
          <w:szCs w:val="24"/>
        </w:rPr>
      </w:pPr>
    </w:p>
    <w:p w14:paraId="766B42F0" w14:textId="77777777" w:rsidR="00FC6B9E" w:rsidRDefault="1CF0ABA8" w:rsidP="39C98745">
      <w:pPr>
        <w:spacing w:before="40" w:after="40" w:line="480" w:lineRule="auto"/>
        <w:rPr>
          <w:rFonts w:ascii="Arial" w:eastAsia="Arial" w:hAnsi="Arial" w:cs="Arial"/>
          <w:sz w:val="24"/>
          <w:szCs w:val="24"/>
          <w:lang w:val="en-GB" w:eastAsia="en-GB"/>
        </w:rPr>
      </w:pPr>
      <w:r w:rsidRPr="39C98745">
        <w:rPr>
          <w:rFonts w:ascii="Arial" w:eastAsia="Arial" w:hAnsi="Arial" w:cs="Arial"/>
          <w:sz w:val="24"/>
          <w:szCs w:val="24"/>
          <w:lang w:val="en-GB" w:eastAsia="en-GB"/>
        </w:rPr>
        <w:t xml:space="preserve">Solicitors Regulation Authority, (2018), ‘SRA Code of Conduct for Solicitors, RELs and RFLs’ </w:t>
      </w:r>
      <w:r w:rsidRPr="39C98745">
        <w:rPr>
          <w:rFonts w:ascii="Arial" w:eastAsia="Arial" w:hAnsi="Arial" w:cs="Arial"/>
          <w:i/>
          <w:iCs/>
          <w:sz w:val="24"/>
          <w:szCs w:val="24"/>
          <w:lang w:val="en-GB" w:eastAsia="en-GB"/>
        </w:rPr>
        <w:t>SRA Standards and Regulations</w:t>
      </w:r>
      <w:r w:rsidRPr="39C98745">
        <w:rPr>
          <w:rFonts w:ascii="Arial" w:eastAsia="Arial" w:hAnsi="Arial" w:cs="Arial"/>
          <w:sz w:val="24"/>
          <w:szCs w:val="24"/>
          <w:lang w:val="en-GB" w:eastAsia="en-GB"/>
        </w:rPr>
        <w:t xml:space="preserve">, p.7.7. Available at: </w:t>
      </w:r>
      <w:hyperlink r:id="rId32">
        <w:r w:rsidRPr="39C98745">
          <w:rPr>
            <w:rFonts w:ascii="Arial" w:eastAsia="Arial" w:hAnsi="Arial" w:cs="Arial"/>
            <w:color w:val="0563C1"/>
            <w:sz w:val="24"/>
            <w:szCs w:val="24"/>
            <w:u w:val="single"/>
            <w:lang w:val="en-GB" w:eastAsia="en-GB"/>
          </w:rPr>
          <w:t>https://www.sra.org.uk/solicitors/standards-regulations/code-conduct-solicitors/</w:t>
        </w:r>
      </w:hyperlink>
      <w:r w:rsidRPr="39C98745">
        <w:rPr>
          <w:rFonts w:ascii="Arial" w:eastAsia="Arial" w:hAnsi="Arial" w:cs="Arial"/>
          <w:sz w:val="24"/>
          <w:szCs w:val="24"/>
          <w:lang w:val="en-GB" w:eastAsia="en-GB"/>
        </w:rPr>
        <w:t xml:space="preserve"> (Accessed: 7</w:t>
      </w:r>
      <w:r w:rsidRPr="39C98745">
        <w:rPr>
          <w:rFonts w:ascii="Arial" w:eastAsia="Arial" w:hAnsi="Arial" w:cs="Arial"/>
          <w:sz w:val="24"/>
          <w:szCs w:val="24"/>
          <w:vertAlign w:val="superscript"/>
          <w:lang w:val="en-GB" w:eastAsia="en-GB"/>
        </w:rPr>
        <w:t>th</w:t>
      </w:r>
      <w:r w:rsidRPr="39C98745">
        <w:rPr>
          <w:rFonts w:ascii="Arial" w:eastAsia="Arial" w:hAnsi="Arial" w:cs="Arial"/>
          <w:sz w:val="24"/>
          <w:szCs w:val="24"/>
          <w:lang w:val="en-GB" w:eastAsia="en-GB"/>
        </w:rPr>
        <w:t xml:space="preserve"> December 2023).</w:t>
      </w:r>
    </w:p>
    <w:p w14:paraId="0BF3F2E4" w14:textId="77777777" w:rsidR="00FC6B9E" w:rsidRDefault="00FC6B9E" w:rsidP="39C98745">
      <w:pPr>
        <w:spacing w:before="40" w:after="40" w:line="480" w:lineRule="auto"/>
        <w:rPr>
          <w:rFonts w:ascii="Arial" w:eastAsia="Arial" w:hAnsi="Arial" w:cs="Arial"/>
          <w:sz w:val="24"/>
          <w:szCs w:val="24"/>
        </w:rPr>
      </w:pPr>
    </w:p>
    <w:p w14:paraId="63486AE0" w14:textId="77777777" w:rsidR="00831485" w:rsidRDefault="5408F25F" w:rsidP="39C98745">
      <w:pPr>
        <w:pStyle w:val="NormalWeb"/>
        <w:spacing w:before="40" w:beforeAutospacing="0" w:after="40" w:afterAutospacing="0" w:line="480" w:lineRule="auto"/>
        <w:ind w:left="567" w:hanging="567"/>
        <w:rPr>
          <w:rFonts w:ascii="Arial" w:eastAsia="Arial" w:hAnsi="Arial" w:cs="Arial"/>
          <w:color w:val="000000"/>
        </w:rPr>
      </w:pPr>
      <w:r w:rsidRPr="39C98745">
        <w:rPr>
          <w:rFonts w:ascii="Arial" w:eastAsia="Arial" w:hAnsi="Arial" w:cs="Arial"/>
          <w:color w:val="000000" w:themeColor="text1"/>
        </w:rPr>
        <w:lastRenderedPageBreak/>
        <w:t>Walsh, J. (2012) ‘Not worth the sacrifice? women’s aspirations and career progression in law firms’,</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Gender, Work and Organization</w:t>
      </w:r>
      <w:r w:rsidRPr="39C98745">
        <w:rPr>
          <w:rFonts w:ascii="Arial" w:eastAsia="Arial" w:hAnsi="Arial" w:cs="Arial"/>
          <w:color w:val="000000" w:themeColor="text1"/>
        </w:rPr>
        <w:t>, 19(5), pp. 508–531. doi:10.1111/j.1468-0432.2012.00607.x.</w:t>
      </w:r>
      <w:r w:rsidRPr="39C98745">
        <w:rPr>
          <w:rStyle w:val="apple-converted-space"/>
          <w:rFonts w:ascii="Arial" w:eastAsia="Arial" w:hAnsi="Arial" w:cs="Arial"/>
          <w:color w:val="000000" w:themeColor="text1"/>
        </w:rPr>
        <w:t> </w:t>
      </w:r>
    </w:p>
    <w:p w14:paraId="28B9D87D" w14:textId="77777777" w:rsidR="00FC6B9E" w:rsidRDefault="00FC6B9E" w:rsidP="39C98745">
      <w:pPr>
        <w:spacing w:before="40" w:after="40" w:line="480" w:lineRule="auto"/>
        <w:rPr>
          <w:rFonts w:ascii="Arial" w:eastAsia="Arial" w:hAnsi="Arial" w:cs="Arial"/>
          <w:sz w:val="24"/>
          <w:szCs w:val="24"/>
        </w:rPr>
      </w:pPr>
    </w:p>
    <w:p w14:paraId="30E5E1C1" w14:textId="77777777" w:rsidR="001E6F5B" w:rsidRDefault="6E04F093" w:rsidP="39C98745">
      <w:pPr>
        <w:spacing w:before="40" w:after="40" w:line="480" w:lineRule="auto"/>
        <w:ind w:left="567" w:hanging="567"/>
        <w:rPr>
          <w:rFonts w:ascii="Arial" w:eastAsia="Arial" w:hAnsi="Arial" w:cs="Arial"/>
          <w:sz w:val="24"/>
          <w:szCs w:val="24"/>
        </w:rPr>
      </w:pPr>
      <w:r w:rsidRPr="39C98745">
        <w:rPr>
          <w:rFonts w:ascii="Arial" w:eastAsia="Arial" w:hAnsi="Arial" w:cs="Arial"/>
          <w:i/>
          <w:iCs/>
          <w:sz w:val="24"/>
          <w:szCs w:val="24"/>
        </w:rPr>
        <w:t>What equality, diversity and inclusion means to Us</w:t>
      </w:r>
      <w:r w:rsidRPr="39C98745">
        <w:rPr>
          <w:rFonts w:ascii="Arial" w:eastAsia="Arial" w:hAnsi="Arial" w:cs="Arial"/>
          <w:sz w:val="24"/>
          <w:szCs w:val="24"/>
        </w:rPr>
        <w:t xml:space="preserve"> (2020) </w:t>
      </w:r>
      <w:r w:rsidRPr="39C98745">
        <w:rPr>
          <w:rFonts w:ascii="Arial" w:eastAsia="Arial" w:hAnsi="Arial" w:cs="Arial"/>
          <w:i/>
          <w:iCs/>
          <w:sz w:val="24"/>
          <w:szCs w:val="24"/>
        </w:rPr>
        <w:t>What equality, diversity and inclusion means to us</w:t>
      </w:r>
      <w:r w:rsidRPr="39C98745">
        <w:rPr>
          <w:rFonts w:ascii="Arial" w:eastAsia="Arial" w:hAnsi="Arial" w:cs="Arial"/>
          <w:sz w:val="24"/>
          <w:szCs w:val="24"/>
        </w:rPr>
        <w:t xml:space="preserve">. Available at: </w:t>
      </w:r>
      <w:hyperlink r:id="rId33">
        <w:r w:rsidRPr="39C98745">
          <w:rPr>
            <w:rStyle w:val="Hyperlink"/>
            <w:rFonts w:ascii="Arial" w:eastAsia="Arial" w:hAnsi="Arial" w:cs="Arial"/>
            <w:sz w:val="24"/>
            <w:szCs w:val="24"/>
          </w:rPr>
          <w:t>https://www.hcpc-uk.org/about-us/equality-diversity-and-inclusion/what-equality-diversity-and-inclusion-means-to-us/</w:t>
        </w:r>
      </w:hyperlink>
      <w:r w:rsidRPr="39C98745">
        <w:rPr>
          <w:rFonts w:ascii="Arial" w:eastAsia="Arial" w:hAnsi="Arial" w:cs="Arial"/>
          <w:sz w:val="24"/>
          <w:szCs w:val="24"/>
        </w:rPr>
        <w:t xml:space="preserve"> (Accessed: 01 December 2023).</w:t>
      </w:r>
    </w:p>
    <w:p w14:paraId="54DDC3B7" w14:textId="77777777" w:rsidR="003E3F69" w:rsidRDefault="003E3F69" w:rsidP="39C98745">
      <w:pPr>
        <w:spacing w:before="40" w:after="40" w:line="480" w:lineRule="auto"/>
        <w:ind w:left="567" w:hanging="567"/>
        <w:rPr>
          <w:rFonts w:ascii="Arial" w:eastAsia="Arial" w:hAnsi="Arial" w:cs="Arial"/>
          <w:sz w:val="24"/>
          <w:szCs w:val="24"/>
        </w:rPr>
      </w:pPr>
    </w:p>
    <w:p w14:paraId="2524EA3D" w14:textId="5F49C605" w:rsidR="003E3F69" w:rsidRDefault="52D0CAF7" w:rsidP="39C98745">
      <w:pPr>
        <w:pStyle w:val="NormalWeb"/>
        <w:spacing w:before="40" w:beforeAutospacing="0" w:after="40" w:afterAutospacing="0" w:line="480" w:lineRule="auto"/>
        <w:ind w:left="567" w:hanging="567"/>
        <w:rPr>
          <w:rFonts w:ascii="Arial" w:eastAsia="Arial" w:hAnsi="Arial" w:cs="Arial"/>
          <w:color w:val="000000"/>
        </w:rPr>
      </w:pPr>
      <w:r w:rsidRPr="39C98745">
        <w:rPr>
          <w:rFonts w:ascii="Arial" w:eastAsia="Arial" w:hAnsi="Arial" w:cs="Arial"/>
          <w:color w:val="000000" w:themeColor="text1"/>
        </w:rPr>
        <w:t>Women’s solicitors network (2023)</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Firms using gender pay gap reporting to drive positive change</w:t>
      </w:r>
      <w:r w:rsidRPr="39C98745">
        <w:rPr>
          <w:rFonts w:ascii="Arial" w:eastAsia="Arial" w:hAnsi="Arial" w:cs="Arial"/>
          <w:color w:val="000000" w:themeColor="text1"/>
        </w:rPr>
        <w:t>,</w:t>
      </w:r>
      <w:r w:rsidRPr="39C98745">
        <w:rPr>
          <w:rStyle w:val="apple-converted-space"/>
          <w:rFonts w:ascii="Arial" w:eastAsia="Arial" w:hAnsi="Arial" w:cs="Arial"/>
          <w:color w:val="000000" w:themeColor="text1"/>
        </w:rPr>
        <w:t> </w:t>
      </w:r>
      <w:r w:rsidRPr="39C98745">
        <w:rPr>
          <w:rFonts w:ascii="Arial" w:eastAsia="Arial" w:hAnsi="Arial" w:cs="Arial"/>
          <w:i/>
          <w:iCs/>
          <w:color w:val="000000" w:themeColor="text1"/>
        </w:rPr>
        <w:t>The Law Society</w:t>
      </w:r>
      <w:r w:rsidRPr="39C98745">
        <w:rPr>
          <w:rFonts w:ascii="Arial" w:eastAsia="Arial" w:hAnsi="Arial" w:cs="Arial"/>
          <w:color w:val="000000" w:themeColor="text1"/>
        </w:rPr>
        <w:t xml:space="preserve">. Available at: </w:t>
      </w:r>
      <w:hyperlink r:id="rId34">
        <w:r w:rsidRPr="39C98745">
          <w:rPr>
            <w:rStyle w:val="Hyperlink"/>
            <w:rFonts w:ascii="Arial" w:eastAsia="Arial" w:hAnsi="Arial" w:cs="Arial"/>
          </w:rPr>
          <w:t>https://www.lawsociety.org.uk/contact-or-visit-us/press-office/press-releases/firms-using-gender-pay-gap-reporting-to-drive-positive-change</w:t>
        </w:r>
      </w:hyperlink>
      <w:r w:rsidRPr="39C98745">
        <w:rPr>
          <w:rFonts w:ascii="Arial" w:eastAsia="Arial" w:hAnsi="Arial" w:cs="Arial"/>
          <w:color w:val="000000" w:themeColor="text1"/>
        </w:rPr>
        <w:t xml:space="preserve"> (Accessed: 03 December 2023).</w:t>
      </w:r>
      <w:r w:rsidRPr="39C98745">
        <w:rPr>
          <w:rStyle w:val="apple-converted-space"/>
          <w:rFonts w:ascii="Arial" w:eastAsia="Arial" w:hAnsi="Arial" w:cs="Arial"/>
          <w:color w:val="000000" w:themeColor="text1"/>
        </w:rPr>
        <w:t> </w:t>
      </w:r>
    </w:p>
    <w:p w14:paraId="4A61CDE7" w14:textId="77777777" w:rsidR="003E3F69" w:rsidRDefault="003E3F69" w:rsidP="39C98745">
      <w:pPr>
        <w:spacing w:before="40" w:after="40" w:line="480" w:lineRule="auto"/>
        <w:ind w:left="567" w:hanging="567"/>
        <w:rPr>
          <w:rFonts w:ascii="Arial" w:eastAsia="Arial" w:hAnsi="Arial" w:cs="Arial"/>
          <w:sz w:val="24"/>
          <w:szCs w:val="24"/>
        </w:rPr>
      </w:pPr>
    </w:p>
    <w:p w14:paraId="7E126C52" w14:textId="77777777" w:rsidR="001E6F5B" w:rsidRDefault="001E6F5B" w:rsidP="39C98745">
      <w:pPr>
        <w:spacing w:before="40" w:after="40" w:line="480" w:lineRule="auto"/>
        <w:ind w:left="567" w:hanging="567"/>
        <w:rPr>
          <w:rFonts w:ascii="Arial" w:eastAsia="Arial" w:hAnsi="Arial" w:cs="Arial"/>
          <w:sz w:val="24"/>
          <w:szCs w:val="24"/>
        </w:rPr>
      </w:pPr>
    </w:p>
    <w:p w14:paraId="23D2835F" w14:textId="77777777" w:rsidR="001E6F5B" w:rsidRDefault="6E04F093" w:rsidP="39C98745">
      <w:pPr>
        <w:pStyle w:val="NormalWeb"/>
        <w:spacing w:line="480" w:lineRule="auto"/>
        <w:ind w:left="567" w:hanging="567"/>
        <w:rPr>
          <w:rFonts w:ascii="Arial" w:eastAsia="Arial" w:hAnsi="Arial" w:cs="Arial"/>
          <w:color w:val="000000"/>
        </w:rPr>
      </w:pPr>
      <w:r w:rsidRPr="39C98745">
        <w:rPr>
          <w:rStyle w:val="apple-converted-space"/>
          <w:rFonts w:ascii="Arial" w:eastAsia="Arial" w:hAnsi="Arial" w:cs="Arial"/>
          <w:color w:val="000000" w:themeColor="text1"/>
        </w:rPr>
        <w:t> </w:t>
      </w:r>
    </w:p>
    <w:p w14:paraId="7C2FC07F" w14:textId="77777777" w:rsidR="00FC6B9E" w:rsidRDefault="00FC6B9E" w:rsidP="39C98745">
      <w:pPr>
        <w:spacing w:line="480" w:lineRule="auto"/>
        <w:rPr>
          <w:rFonts w:ascii="Arial" w:eastAsia="Arial" w:hAnsi="Arial" w:cs="Arial"/>
          <w:color w:val="333333"/>
          <w:sz w:val="24"/>
          <w:szCs w:val="24"/>
        </w:rPr>
      </w:pPr>
    </w:p>
    <w:p w14:paraId="4EF8C0FF" w14:textId="77777777" w:rsidR="00FC6B9E" w:rsidRDefault="00FC6B9E" w:rsidP="00B26BB0">
      <w:pPr>
        <w:rPr>
          <w:rFonts w:ascii="Arial" w:eastAsia="Arial" w:hAnsi="Arial" w:cs="Arial"/>
          <w:sz w:val="24"/>
          <w:szCs w:val="24"/>
        </w:rPr>
      </w:pPr>
    </w:p>
    <w:p w14:paraId="53A53E72" w14:textId="77777777" w:rsidR="00657409" w:rsidRDefault="00657409" w:rsidP="39C98745">
      <w:pPr>
        <w:pStyle w:val="NormalWeb"/>
        <w:ind w:left="567" w:hanging="567"/>
        <w:rPr>
          <w:rFonts w:ascii="Arial" w:eastAsia="Arial" w:hAnsi="Arial" w:cs="Arial"/>
          <w:color w:val="000000"/>
        </w:rPr>
      </w:pPr>
    </w:p>
    <w:p w14:paraId="16D6D14E" w14:textId="77777777" w:rsidR="005E69A0" w:rsidRDefault="005E69A0" w:rsidP="39C98745">
      <w:pPr>
        <w:rPr>
          <w:rFonts w:ascii="Arial" w:eastAsia="Arial" w:hAnsi="Arial" w:cs="Arial"/>
          <w:sz w:val="24"/>
          <w:szCs w:val="24"/>
        </w:rPr>
      </w:pPr>
    </w:p>
    <w:p w14:paraId="7353DA49" w14:textId="77777777" w:rsidR="00E8797E" w:rsidRDefault="00E8797E" w:rsidP="39C98745">
      <w:pPr>
        <w:spacing w:after="0"/>
        <w:ind w:left="567" w:hanging="567"/>
        <w:rPr>
          <w:rFonts w:ascii="Calibri" w:eastAsia="Calibri" w:hAnsi="Calibri" w:cs="Calibri"/>
        </w:rPr>
      </w:pPr>
    </w:p>
    <w:p w14:paraId="38F179D1" w14:textId="77777777" w:rsidR="00660319" w:rsidRDefault="00660319" w:rsidP="00B26BB0">
      <w:pPr>
        <w:pStyle w:val="NormalWeb"/>
        <w:ind w:left="567" w:hanging="567"/>
        <w:rPr>
          <w:color w:val="000000"/>
        </w:rPr>
      </w:pPr>
    </w:p>
    <w:p w14:paraId="6F787AB7" w14:textId="77777777" w:rsidR="00D15655" w:rsidRDefault="00D15655" w:rsidP="00B26BB0"/>
    <w:p w14:paraId="67E44F40" w14:textId="77777777" w:rsidR="001D367C" w:rsidRDefault="001D367C" w:rsidP="00B26BB0">
      <w:pPr>
        <w:rPr>
          <w:rFonts w:ascii="Calibri" w:eastAsia="Calibri" w:hAnsi="Calibri" w:cs="Calibri"/>
        </w:rPr>
      </w:pPr>
    </w:p>
    <w:p w14:paraId="10AECD7C" w14:textId="77777777" w:rsidR="00BC2867" w:rsidRDefault="00BC2867" w:rsidP="00B26BB0">
      <w:pPr>
        <w:rPr>
          <w:rFonts w:ascii="Calibri" w:eastAsia="Calibri" w:hAnsi="Calibri" w:cs="Calibri"/>
        </w:rPr>
      </w:pPr>
    </w:p>
    <w:p w14:paraId="330DFAD2" w14:textId="77777777" w:rsidR="00F56C26" w:rsidRPr="00500EDC" w:rsidRDefault="00F56C26" w:rsidP="00500EDC">
      <w:pPr>
        <w:spacing w:line="256" w:lineRule="auto"/>
        <w:divId w:val="202987601"/>
        <w:rPr>
          <w:rFonts w:ascii="Arial" w:eastAsia="Arial" w:hAnsi="Arial" w:cs="Arial"/>
          <w:sz w:val="24"/>
          <w:szCs w:val="24"/>
        </w:rPr>
      </w:pPr>
    </w:p>
    <w:p w14:paraId="02BAC20F" w14:textId="77777777" w:rsidR="00500EDC" w:rsidRPr="00E43321" w:rsidRDefault="00500EDC" w:rsidP="3E17130E">
      <w:pPr>
        <w:rPr>
          <w:lang w:val="en-GB"/>
        </w:rPr>
      </w:pPr>
    </w:p>
    <w:sectPr w:rsidR="00500EDC" w:rsidRPr="00E43321">
      <w:headerReference w:type="even" r:id="rId35"/>
      <w:headerReference w:type="default" r:id="rId36"/>
      <w:footerReference w:type="even" r:id="rId37"/>
      <w:footerReference w:type="default" r:id="rId38"/>
      <w:headerReference w:type="first" r:id="rId39"/>
      <w:footerReference w:type="firs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65B3A" w14:textId="77777777" w:rsidR="00833E51" w:rsidRDefault="00833E51" w:rsidP="00833E51">
      <w:pPr>
        <w:spacing w:after="0" w:line="240" w:lineRule="auto"/>
      </w:pPr>
      <w:r>
        <w:separator/>
      </w:r>
    </w:p>
  </w:endnote>
  <w:endnote w:type="continuationSeparator" w:id="0">
    <w:p w14:paraId="5E50D7D3" w14:textId="77777777" w:rsidR="00833E51" w:rsidRDefault="00833E51" w:rsidP="00833E51">
      <w:pPr>
        <w:spacing w:after="0" w:line="240" w:lineRule="auto"/>
      </w:pPr>
      <w:r>
        <w:continuationSeparator/>
      </w:r>
    </w:p>
  </w:endnote>
  <w:endnote w:type="continuationNotice" w:id="1">
    <w:p w14:paraId="12087F4D" w14:textId="77777777" w:rsidR="00E549C4" w:rsidRDefault="00E549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SFUI-Semibol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7053143"/>
      <w:docPartObj>
        <w:docPartGallery w:val="Page Numbers (Bottom of Page)"/>
        <w:docPartUnique/>
      </w:docPartObj>
    </w:sdtPr>
    <w:sdtEndPr>
      <w:rPr>
        <w:rStyle w:val="PageNumber"/>
      </w:rPr>
    </w:sdtEndPr>
    <w:sdtContent>
      <w:p w14:paraId="523643DE" w14:textId="702BE2A0" w:rsidR="00833E51" w:rsidRDefault="00833E51" w:rsidP="00931C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398073" w14:textId="77777777" w:rsidR="00833E51" w:rsidRDefault="00833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7488088"/>
      <w:docPartObj>
        <w:docPartGallery w:val="Page Numbers (Bottom of Page)"/>
        <w:docPartUnique/>
      </w:docPartObj>
    </w:sdtPr>
    <w:sdtContent>
      <w:p w14:paraId="0C5BBAA1" w14:textId="231B90CF" w:rsidR="0002145E" w:rsidRDefault="0002145E">
        <w:pPr>
          <w:pStyle w:val="Footer"/>
          <w:jc w:val="center"/>
        </w:pPr>
        <w:r>
          <w:fldChar w:fldCharType="begin"/>
        </w:r>
        <w:r>
          <w:instrText>PAGE   \* MERGEFORMAT</w:instrText>
        </w:r>
        <w:r>
          <w:fldChar w:fldCharType="separate"/>
        </w:r>
        <w:r>
          <w:rPr>
            <w:lang w:val="en-GB"/>
          </w:rPr>
          <w:t>2</w:t>
        </w:r>
        <w:r>
          <w:fldChar w:fldCharType="end"/>
        </w:r>
      </w:p>
    </w:sdtContent>
  </w:sdt>
  <w:p w14:paraId="518011FE" w14:textId="641B1B8A" w:rsidR="00833E51" w:rsidRDefault="00833E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BEA75" w14:textId="77777777" w:rsidR="00A617CB" w:rsidRDefault="00A61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24ADA" w14:textId="77777777" w:rsidR="00833E51" w:rsidRDefault="00833E51" w:rsidP="00833E51">
      <w:pPr>
        <w:spacing w:after="0" w:line="240" w:lineRule="auto"/>
      </w:pPr>
      <w:r>
        <w:separator/>
      </w:r>
    </w:p>
  </w:footnote>
  <w:footnote w:type="continuationSeparator" w:id="0">
    <w:p w14:paraId="54B46B4B" w14:textId="77777777" w:rsidR="00833E51" w:rsidRDefault="00833E51" w:rsidP="00833E51">
      <w:pPr>
        <w:spacing w:after="0" w:line="240" w:lineRule="auto"/>
      </w:pPr>
      <w:r>
        <w:continuationSeparator/>
      </w:r>
    </w:p>
  </w:footnote>
  <w:footnote w:type="continuationNotice" w:id="1">
    <w:p w14:paraId="549CD7F9" w14:textId="77777777" w:rsidR="00E549C4" w:rsidRDefault="00E549C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67860" w14:textId="77777777" w:rsidR="00A617CB" w:rsidRDefault="00A617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BFECB" w14:textId="77777777" w:rsidR="00A617CB" w:rsidRDefault="00A617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AE59B" w14:textId="77777777" w:rsidR="00A617CB" w:rsidRDefault="00A617CB">
    <w:pPr>
      <w:pStyle w:val="Header"/>
    </w:pPr>
  </w:p>
</w:hdr>
</file>

<file path=word/intelligence2.xml><?xml version="1.0" encoding="utf-8"?>
<int2:intelligence xmlns:int2="http://schemas.microsoft.com/office/intelligence/2020/intelligence" xmlns:oel="http://schemas.microsoft.com/office/2019/extlst">
  <int2:observations>
    <int2:textHash int2:hashCode="kByidkXaRxGvMx" int2:id="1uwC4eLU">
      <int2:state int2:value="Rejected" int2:type="AugLoop_Text_Critique"/>
    </int2:textHash>
    <int2:textHash int2:hashCode="0/mm+WG2CauFYT" int2:id="7j4lLon4">
      <int2:state int2:value="Rejected" int2:type="AugLoop_Text_Critique"/>
    </int2:textHash>
    <int2:bookmark int2:bookmarkName="_Int_j5tdC08k" int2:invalidationBookmarkName="" int2:hashCode="0qBNcTAaiRUhfd" int2:id="ApQncce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D5E1D6"/>
    <w:rsid w:val="00015C8D"/>
    <w:rsid w:val="0002145E"/>
    <w:rsid w:val="0004257C"/>
    <w:rsid w:val="00073C7C"/>
    <w:rsid w:val="00087096"/>
    <w:rsid w:val="000926FA"/>
    <w:rsid w:val="000E5FA2"/>
    <w:rsid w:val="00122F56"/>
    <w:rsid w:val="001249A0"/>
    <w:rsid w:val="0012796B"/>
    <w:rsid w:val="00132ADA"/>
    <w:rsid w:val="00145AB8"/>
    <w:rsid w:val="00146999"/>
    <w:rsid w:val="00153007"/>
    <w:rsid w:val="0017090B"/>
    <w:rsid w:val="00190E64"/>
    <w:rsid w:val="001D367C"/>
    <w:rsid w:val="001E31C4"/>
    <w:rsid w:val="001E6F5B"/>
    <w:rsid w:val="00200527"/>
    <w:rsid w:val="0020324A"/>
    <w:rsid w:val="0020744A"/>
    <w:rsid w:val="002158A0"/>
    <w:rsid w:val="00220A3B"/>
    <w:rsid w:val="00222785"/>
    <w:rsid w:val="002451A8"/>
    <w:rsid w:val="00257859"/>
    <w:rsid w:val="00260254"/>
    <w:rsid w:val="0027045F"/>
    <w:rsid w:val="00281A23"/>
    <w:rsid w:val="002B7D51"/>
    <w:rsid w:val="002F209D"/>
    <w:rsid w:val="00306906"/>
    <w:rsid w:val="00323F2F"/>
    <w:rsid w:val="003355B0"/>
    <w:rsid w:val="00362458"/>
    <w:rsid w:val="003726CE"/>
    <w:rsid w:val="00383F8A"/>
    <w:rsid w:val="00390620"/>
    <w:rsid w:val="00391F2B"/>
    <w:rsid w:val="0039522B"/>
    <w:rsid w:val="00397057"/>
    <w:rsid w:val="003D095F"/>
    <w:rsid w:val="003D6A55"/>
    <w:rsid w:val="003E3F69"/>
    <w:rsid w:val="003E623E"/>
    <w:rsid w:val="003E6A1C"/>
    <w:rsid w:val="00407448"/>
    <w:rsid w:val="00421DCB"/>
    <w:rsid w:val="0042689D"/>
    <w:rsid w:val="00427EB8"/>
    <w:rsid w:val="00440725"/>
    <w:rsid w:val="00462EB6"/>
    <w:rsid w:val="0047755C"/>
    <w:rsid w:val="00492BCC"/>
    <w:rsid w:val="00493DAD"/>
    <w:rsid w:val="004C7534"/>
    <w:rsid w:val="004D391C"/>
    <w:rsid w:val="004D465D"/>
    <w:rsid w:val="004F09C6"/>
    <w:rsid w:val="00500EDC"/>
    <w:rsid w:val="005226F6"/>
    <w:rsid w:val="00527C46"/>
    <w:rsid w:val="00535BFF"/>
    <w:rsid w:val="005365C1"/>
    <w:rsid w:val="00536718"/>
    <w:rsid w:val="00554319"/>
    <w:rsid w:val="00557FD9"/>
    <w:rsid w:val="00561034"/>
    <w:rsid w:val="0056360D"/>
    <w:rsid w:val="00592912"/>
    <w:rsid w:val="0059412B"/>
    <w:rsid w:val="005A5C2D"/>
    <w:rsid w:val="005A7F4D"/>
    <w:rsid w:val="005B27FE"/>
    <w:rsid w:val="005C52D7"/>
    <w:rsid w:val="005D6697"/>
    <w:rsid w:val="005E69A0"/>
    <w:rsid w:val="006009D2"/>
    <w:rsid w:val="006053E7"/>
    <w:rsid w:val="00620F0D"/>
    <w:rsid w:val="00621683"/>
    <w:rsid w:val="00633344"/>
    <w:rsid w:val="00657409"/>
    <w:rsid w:val="00660319"/>
    <w:rsid w:val="006734A1"/>
    <w:rsid w:val="00684CCB"/>
    <w:rsid w:val="00694B61"/>
    <w:rsid w:val="006B5C77"/>
    <w:rsid w:val="00715D13"/>
    <w:rsid w:val="00754E85"/>
    <w:rsid w:val="00780BE1"/>
    <w:rsid w:val="007F1B30"/>
    <w:rsid w:val="007F5201"/>
    <w:rsid w:val="00831485"/>
    <w:rsid w:val="00833E51"/>
    <w:rsid w:val="00857938"/>
    <w:rsid w:val="00866F5A"/>
    <w:rsid w:val="00881829"/>
    <w:rsid w:val="008B2F37"/>
    <w:rsid w:val="008F262B"/>
    <w:rsid w:val="00905D26"/>
    <w:rsid w:val="00906060"/>
    <w:rsid w:val="0093446B"/>
    <w:rsid w:val="00944961"/>
    <w:rsid w:val="00960EE6"/>
    <w:rsid w:val="009845EC"/>
    <w:rsid w:val="00992CEF"/>
    <w:rsid w:val="009B55B9"/>
    <w:rsid w:val="009B73AF"/>
    <w:rsid w:val="009C19EC"/>
    <w:rsid w:val="009C7003"/>
    <w:rsid w:val="009D7601"/>
    <w:rsid w:val="009F70B3"/>
    <w:rsid w:val="00A03B2D"/>
    <w:rsid w:val="00A0715F"/>
    <w:rsid w:val="00A612F1"/>
    <w:rsid w:val="00A617CB"/>
    <w:rsid w:val="00A8707D"/>
    <w:rsid w:val="00AA1167"/>
    <w:rsid w:val="00AD39B7"/>
    <w:rsid w:val="00AF0730"/>
    <w:rsid w:val="00B17A4B"/>
    <w:rsid w:val="00B20A2A"/>
    <w:rsid w:val="00B22273"/>
    <w:rsid w:val="00B438B2"/>
    <w:rsid w:val="00B542BC"/>
    <w:rsid w:val="00B54AD1"/>
    <w:rsid w:val="00B62AC7"/>
    <w:rsid w:val="00B65E55"/>
    <w:rsid w:val="00B770CE"/>
    <w:rsid w:val="00BC2867"/>
    <w:rsid w:val="00BC66A3"/>
    <w:rsid w:val="00BD1D75"/>
    <w:rsid w:val="00BD3811"/>
    <w:rsid w:val="00BE2F15"/>
    <w:rsid w:val="00BF678B"/>
    <w:rsid w:val="00C40961"/>
    <w:rsid w:val="00C738AA"/>
    <w:rsid w:val="00C75CCE"/>
    <w:rsid w:val="00C770BA"/>
    <w:rsid w:val="00C83297"/>
    <w:rsid w:val="00CB08DF"/>
    <w:rsid w:val="00CC5A45"/>
    <w:rsid w:val="00CD7DC1"/>
    <w:rsid w:val="00CF19CC"/>
    <w:rsid w:val="00D079A4"/>
    <w:rsid w:val="00D15655"/>
    <w:rsid w:val="00D3660F"/>
    <w:rsid w:val="00D42BED"/>
    <w:rsid w:val="00D7482F"/>
    <w:rsid w:val="00DA6942"/>
    <w:rsid w:val="00DC07B2"/>
    <w:rsid w:val="00DC7606"/>
    <w:rsid w:val="00E15884"/>
    <w:rsid w:val="00E34335"/>
    <w:rsid w:val="00E43321"/>
    <w:rsid w:val="00E4699C"/>
    <w:rsid w:val="00E549C4"/>
    <w:rsid w:val="00E616DF"/>
    <w:rsid w:val="00E6645F"/>
    <w:rsid w:val="00E8797E"/>
    <w:rsid w:val="00EA3018"/>
    <w:rsid w:val="00EA47DC"/>
    <w:rsid w:val="00EB63CF"/>
    <w:rsid w:val="00ED7163"/>
    <w:rsid w:val="00EE2848"/>
    <w:rsid w:val="00F07789"/>
    <w:rsid w:val="00F1063E"/>
    <w:rsid w:val="00F2348E"/>
    <w:rsid w:val="00F34B9B"/>
    <w:rsid w:val="00F42AF9"/>
    <w:rsid w:val="00F45339"/>
    <w:rsid w:val="00F504C5"/>
    <w:rsid w:val="00F56C26"/>
    <w:rsid w:val="00F84C78"/>
    <w:rsid w:val="00F85E62"/>
    <w:rsid w:val="00FC66E2"/>
    <w:rsid w:val="00FC6B9E"/>
    <w:rsid w:val="00FD1E58"/>
    <w:rsid w:val="00FF7F24"/>
    <w:rsid w:val="01AE5428"/>
    <w:rsid w:val="02031AD3"/>
    <w:rsid w:val="026C0AEA"/>
    <w:rsid w:val="0311D614"/>
    <w:rsid w:val="0362F89F"/>
    <w:rsid w:val="03BC60B9"/>
    <w:rsid w:val="03E66015"/>
    <w:rsid w:val="0493FD5A"/>
    <w:rsid w:val="04C6BDCE"/>
    <w:rsid w:val="05177106"/>
    <w:rsid w:val="05FF604C"/>
    <w:rsid w:val="060A5993"/>
    <w:rsid w:val="0645D26F"/>
    <w:rsid w:val="0667A550"/>
    <w:rsid w:val="06B34167"/>
    <w:rsid w:val="06CD2BEA"/>
    <w:rsid w:val="0700BC59"/>
    <w:rsid w:val="0785EE77"/>
    <w:rsid w:val="0793D007"/>
    <w:rsid w:val="07BDE3C4"/>
    <w:rsid w:val="089A5C26"/>
    <w:rsid w:val="089C8CBA"/>
    <w:rsid w:val="093495CB"/>
    <w:rsid w:val="0959B425"/>
    <w:rsid w:val="0A1657AD"/>
    <w:rsid w:val="0A385D1B"/>
    <w:rsid w:val="0A6A4DC6"/>
    <w:rsid w:val="0ADDCAB6"/>
    <w:rsid w:val="0AEEF8C1"/>
    <w:rsid w:val="0B07A2A1"/>
    <w:rsid w:val="0B21DAB6"/>
    <w:rsid w:val="0B691135"/>
    <w:rsid w:val="0BABEA7C"/>
    <w:rsid w:val="0C28E30C"/>
    <w:rsid w:val="0C557973"/>
    <w:rsid w:val="0C71AD91"/>
    <w:rsid w:val="0C98C6E3"/>
    <w:rsid w:val="0CA43FFB"/>
    <w:rsid w:val="0CCE6A7A"/>
    <w:rsid w:val="0D09FA93"/>
    <w:rsid w:val="0D6FFDDD"/>
    <w:rsid w:val="0DEC0BBA"/>
    <w:rsid w:val="0E0D7DF2"/>
    <w:rsid w:val="0E1B85CA"/>
    <w:rsid w:val="0EB92A9D"/>
    <w:rsid w:val="0EF6D47E"/>
    <w:rsid w:val="0FC269E4"/>
    <w:rsid w:val="107AB028"/>
    <w:rsid w:val="10F090A2"/>
    <w:rsid w:val="114ED851"/>
    <w:rsid w:val="115E3A45"/>
    <w:rsid w:val="12110657"/>
    <w:rsid w:val="1295A4DE"/>
    <w:rsid w:val="12E8DC9B"/>
    <w:rsid w:val="12FA0AA6"/>
    <w:rsid w:val="1330E5C5"/>
    <w:rsid w:val="13B75EE1"/>
    <w:rsid w:val="140ED14B"/>
    <w:rsid w:val="14478117"/>
    <w:rsid w:val="14E93CD1"/>
    <w:rsid w:val="1504063A"/>
    <w:rsid w:val="153FA488"/>
    <w:rsid w:val="15910BC4"/>
    <w:rsid w:val="15BCBFF9"/>
    <w:rsid w:val="15C1671E"/>
    <w:rsid w:val="15EF0709"/>
    <w:rsid w:val="16CEAC75"/>
    <w:rsid w:val="16E38D86"/>
    <w:rsid w:val="1701E663"/>
    <w:rsid w:val="1706A542"/>
    <w:rsid w:val="17557528"/>
    <w:rsid w:val="17C26810"/>
    <w:rsid w:val="1880C4CF"/>
    <w:rsid w:val="188C4A2D"/>
    <w:rsid w:val="19089829"/>
    <w:rsid w:val="195E3871"/>
    <w:rsid w:val="19631AB7"/>
    <w:rsid w:val="19726FFB"/>
    <w:rsid w:val="19D81A86"/>
    <w:rsid w:val="1A1DF545"/>
    <w:rsid w:val="1B06824F"/>
    <w:rsid w:val="1B07D35F"/>
    <w:rsid w:val="1B721254"/>
    <w:rsid w:val="1C95D933"/>
    <w:rsid w:val="1CA90C48"/>
    <w:rsid w:val="1CCB721C"/>
    <w:rsid w:val="1CF0ABA8"/>
    <w:rsid w:val="1DAEA981"/>
    <w:rsid w:val="1E5DED50"/>
    <w:rsid w:val="1E78AC85"/>
    <w:rsid w:val="1EA15475"/>
    <w:rsid w:val="1EE76BA4"/>
    <w:rsid w:val="1EF3CFEB"/>
    <w:rsid w:val="1F36EABC"/>
    <w:rsid w:val="1F9E833A"/>
    <w:rsid w:val="1FD5E1D6"/>
    <w:rsid w:val="1FE8A915"/>
    <w:rsid w:val="20323F4F"/>
    <w:rsid w:val="20572595"/>
    <w:rsid w:val="20EEB408"/>
    <w:rsid w:val="21212DAD"/>
    <w:rsid w:val="214AE20D"/>
    <w:rsid w:val="22014ADA"/>
    <w:rsid w:val="23D50FBC"/>
    <w:rsid w:val="23DEF467"/>
    <w:rsid w:val="24B41E2D"/>
    <w:rsid w:val="2586627C"/>
    <w:rsid w:val="2650AC36"/>
    <w:rsid w:val="271DB759"/>
    <w:rsid w:val="272269C8"/>
    <w:rsid w:val="27C63326"/>
    <w:rsid w:val="28048183"/>
    <w:rsid w:val="281BF1A2"/>
    <w:rsid w:val="282D35DA"/>
    <w:rsid w:val="28471D49"/>
    <w:rsid w:val="287B28E7"/>
    <w:rsid w:val="28A3ED0F"/>
    <w:rsid w:val="2A5DE077"/>
    <w:rsid w:val="2AF0E9ED"/>
    <w:rsid w:val="2AF2AC4F"/>
    <w:rsid w:val="2B4B9659"/>
    <w:rsid w:val="2C010C45"/>
    <w:rsid w:val="2C2744A1"/>
    <w:rsid w:val="2CC9EF0D"/>
    <w:rsid w:val="2CCABFD6"/>
    <w:rsid w:val="2D1CBFDD"/>
    <w:rsid w:val="2DC6BD92"/>
    <w:rsid w:val="2E182A3E"/>
    <w:rsid w:val="2F67057F"/>
    <w:rsid w:val="30085E21"/>
    <w:rsid w:val="305B4F25"/>
    <w:rsid w:val="309EF5A6"/>
    <w:rsid w:val="30ADB19C"/>
    <w:rsid w:val="31239CDA"/>
    <w:rsid w:val="31283D8F"/>
    <w:rsid w:val="31377741"/>
    <w:rsid w:val="31EB4553"/>
    <w:rsid w:val="32C25B47"/>
    <w:rsid w:val="33A038CF"/>
    <w:rsid w:val="33C4F09C"/>
    <w:rsid w:val="34479A58"/>
    <w:rsid w:val="345EA903"/>
    <w:rsid w:val="353C0930"/>
    <w:rsid w:val="3574C95B"/>
    <w:rsid w:val="3640868F"/>
    <w:rsid w:val="3694A8C9"/>
    <w:rsid w:val="372935C9"/>
    <w:rsid w:val="3899A71A"/>
    <w:rsid w:val="38AA078B"/>
    <w:rsid w:val="38C5062A"/>
    <w:rsid w:val="395ADCE5"/>
    <w:rsid w:val="397B092F"/>
    <w:rsid w:val="39C98745"/>
    <w:rsid w:val="39CA0138"/>
    <w:rsid w:val="3A47508A"/>
    <w:rsid w:val="3A781BDA"/>
    <w:rsid w:val="3B58DD8E"/>
    <w:rsid w:val="3B6557A6"/>
    <w:rsid w:val="3BDB5FBF"/>
    <w:rsid w:val="3BDE9C8C"/>
    <w:rsid w:val="3C934001"/>
    <w:rsid w:val="3CF4ADEF"/>
    <w:rsid w:val="3D3729E6"/>
    <w:rsid w:val="3D7A6CED"/>
    <w:rsid w:val="3DB64861"/>
    <w:rsid w:val="3E17130E"/>
    <w:rsid w:val="3E436B72"/>
    <w:rsid w:val="3E7CEAF0"/>
    <w:rsid w:val="3FEF565B"/>
    <w:rsid w:val="4026345F"/>
    <w:rsid w:val="404DE5CE"/>
    <w:rsid w:val="40E78F34"/>
    <w:rsid w:val="41278DF5"/>
    <w:rsid w:val="4258D757"/>
    <w:rsid w:val="42B70AE2"/>
    <w:rsid w:val="436CE0E2"/>
    <w:rsid w:val="442A2192"/>
    <w:rsid w:val="4480EA31"/>
    <w:rsid w:val="448D3183"/>
    <w:rsid w:val="465E97DF"/>
    <w:rsid w:val="46AABC86"/>
    <w:rsid w:val="472C487A"/>
    <w:rsid w:val="4744024A"/>
    <w:rsid w:val="4756D0B8"/>
    <w:rsid w:val="47BA1D84"/>
    <w:rsid w:val="47BC7359"/>
    <w:rsid w:val="483433CC"/>
    <w:rsid w:val="48402A22"/>
    <w:rsid w:val="48AFCAE4"/>
    <w:rsid w:val="48C818DB"/>
    <w:rsid w:val="48FA8E9F"/>
    <w:rsid w:val="490EAE2E"/>
    <w:rsid w:val="491CF473"/>
    <w:rsid w:val="499638A1"/>
    <w:rsid w:val="49BAF81C"/>
    <w:rsid w:val="4A2591F0"/>
    <w:rsid w:val="4A4F5524"/>
    <w:rsid w:val="4A7BA30C"/>
    <w:rsid w:val="4B29A157"/>
    <w:rsid w:val="4B455242"/>
    <w:rsid w:val="4C23DE92"/>
    <w:rsid w:val="4C322F61"/>
    <w:rsid w:val="4CCDD963"/>
    <w:rsid w:val="4D8027B1"/>
    <w:rsid w:val="4D9ECCA2"/>
    <w:rsid w:val="4DD4BB1B"/>
    <w:rsid w:val="4E256A2F"/>
    <w:rsid w:val="4EF49945"/>
    <w:rsid w:val="4F2AE4E5"/>
    <w:rsid w:val="4F375A5F"/>
    <w:rsid w:val="4F69D023"/>
    <w:rsid w:val="4FA8A047"/>
    <w:rsid w:val="50BADCC9"/>
    <w:rsid w:val="50C376B4"/>
    <w:rsid w:val="50ED7C9C"/>
    <w:rsid w:val="5105A084"/>
    <w:rsid w:val="51C23735"/>
    <w:rsid w:val="51CDE142"/>
    <w:rsid w:val="51DEA783"/>
    <w:rsid w:val="5248F53A"/>
    <w:rsid w:val="525F4715"/>
    <w:rsid w:val="52D0CAF7"/>
    <w:rsid w:val="534C7291"/>
    <w:rsid w:val="53C6CDF6"/>
    <w:rsid w:val="53F27D8B"/>
    <w:rsid w:val="53F99B48"/>
    <w:rsid w:val="53FB1776"/>
    <w:rsid w:val="5408F25F"/>
    <w:rsid w:val="540ACB82"/>
    <w:rsid w:val="5417B57D"/>
    <w:rsid w:val="543D4146"/>
    <w:rsid w:val="545D16D8"/>
    <w:rsid w:val="5462289A"/>
    <w:rsid w:val="548C0093"/>
    <w:rsid w:val="54C6DFFA"/>
    <w:rsid w:val="5589195D"/>
    <w:rsid w:val="55B1987B"/>
    <w:rsid w:val="55C18AB8"/>
    <w:rsid w:val="55E364EF"/>
    <w:rsid w:val="56F2E64E"/>
    <w:rsid w:val="574F563F"/>
    <w:rsid w:val="5774E208"/>
    <w:rsid w:val="57B5EFD6"/>
    <w:rsid w:val="5805E485"/>
    <w:rsid w:val="5877AE09"/>
    <w:rsid w:val="58FB4CC7"/>
    <w:rsid w:val="5910B269"/>
    <w:rsid w:val="59C24B8C"/>
    <w:rsid w:val="59D819EA"/>
    <w:rsid w:val="5B594AFD"/>
    <w:rsid w:val="5B7F4C80"/>
    <w:rsid w:val="5BB445AC"/>
    <w:rsid w:val="5C22C762"/>
    <w:rsid w:val="5DE6DAC3"/>
    <w:rsid w:val="5E6BD310"/>
    <w:rsid w:val="5F0592DD"/>
    <w:rsid w:val="5F720394"/>
    <w:rsid w:val="5FC10CBA"/>
    <w:rsid w:val="6052BDA3"/>
    <w:rsid w:val="60813B67"/>
    <w:rsid w:val="60B96CE3"/>
    <w:rsid w:val="60C09A5A"/>
    <w:rsid w:val="60F63885"/>
    <w:rsid w:val="6137B432"/>
    <w:rsid w:val="615F8C4D"/>
    <w:rsid w:val="625C6ABB"/>
    <w:rsid w:val="636CBB40"/>
    <w:rsid w:val="638A5E65"/>
    <w:rsid w:val="644243FA"/>
    <w:rsid w:val="64AB6E47"/>
    <w:rsid w:val="65767EBB"/>
    <w:rsid w:val="65D0AEF3"/>
    <w:rsid w:val="660A1DF9"/>
    <w:rsid w:val="66735D4F"/>
    <w:rsid w:val="66CCE788"/>
    <w:rsid w:val="66E1913E"/>
    <w:rsid w:val="671A1274"/>
    <w:rsid w:val="671D56E1"/>
    <w:rsid w:val="67832FB0"/>
    <w:rsid w:val="683E273C"/>
    <w:rsid w:val="684D7C80"/>
    <w:rsid w:val="685DCF88"/>
    <w:rsid w:val="6886AA00"/>
    <w:rsid w:val="68F394ED"/>
    <w:rsid w:val="69CEFB05"/>
    <w:rsid w:val="69F99FE9"/>
    <w:rsid w:val="6A23486F"/>
    <w:rsid w:val="6A6C49FD"/>
    <w:rsid w:val="6A89B0ED"/>
    <w:rsid w:val="6AEE7ABF"/>
    <w:rsid w:val="6D018ADA"/>
    <w:rsid w:val="6D0CB619"/>
    <w:rsid w:val="6D26431D"/>
    <w:rsid w:val="6D337DEC"/>
    <w:rsid w:val="6E04F093"/>
    <w:rsid w:val="6E4DD4E5"/>
    <w:rsid w:val="6E82FAB1"/>
    <w:rsid w:val="6F7D06BE"/>
    <w:rsid w:val="6FDDBED1"/>
    <w:rsid w:val="703E3C89"/>
    <w:rsid w:val="707470F3"/>
    <w:rsid w:val="70DDAB15"/>
    <w:rsid w:val="7190FD3C"/>
    <w:rsid w:val="71E50982"/>
    <w:rsid w:val="71E5E921"/>
    <w:rsid w:val="720C9F54"/>
    <w:rsid w:val="72104154"/>
    <w:rsid w:val="72B4A780"/>
    <w:rsid w:val="7382C746"/>
    <w:rsid w:val="739584A1"/>
    <w:rsid w:val="73BE1488"/>
    <w:rsid w:val="73D01360"/>
    <w:rsid w:val="7419AE8C"/>
    <w:rsid w:val="74795C2B"/>
    <w:rsid w:val="747AFBC1"/>
    <w:rsid w:val="75375BCC"/>
    <w:rsid w:val="75712849"/>
    <w:rsid w:val="75CED695"/>
    <w:rsid w:val="7602601E"/>
    <w:rsid w:val="766592C1"/>
    <w:rsid w:val="76C778BC"/>
    <w:rsid w:val="76DF7DE4"/>
    <w:rsid w:val="76E01077"/>
    <w:rsid w:val="770D09D1"/>
    <w:rsid w:val="779BDDB2"/>
    <w:rsid w:val="7838EDFD"/>
    <w:rsid w:val="784187E8"/>
    <w:rsid w:val="785C388C"/>
    <w:rsid w:val="789178F1"/>
    <w:rsid w:val="7A18865D"/>
    <w:rsid w:val="7AAF5CB9"/>
    <w:rsid w:val="7AC5D3B7"/>
    <w:rsid w:val="7AD0C318"/>
    <w:rsid w:val="7B73CCA3"/>
    <w:rsid w:val="7B93D94E"/>
    <w:rsid w:val="7BB3819A"/>
    <w:rsid w:val="7C5B89C6"/>
    <w:rsid w:val="7C61A418"/>
    <w:rsid w:val="7C64FE17"/>
    <w:rsid w:val="7D14F90B"/>
    <w:rsid w:val="7DF63C84"/>
    <w:rsid w:val="7ECB7A10"/>
    <w:rsid w:val="7F489B71"/>
    <w:rsid w:val="7F82CCE0"/>
    <w:rsid w:val="7FA5CFC7"/>
    <w:rsid w:val="7FC5A04C"/>
    <w:rsid w:val="7FC68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D5E1D6"/>
  <w15:chartTrackingRefBased/>
  <w15:docId w15:val="{3BE9082B-619C-4602-8128-05543E0C4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053E7"/>
    <w:pPr>
      <w:spacing w:after="345" w:line="240" w:lineRule="auto"/>
    </w:pPr>
    <w:rPr>
      <w:rFonts w:ascii=".AppleSystemUIFont" w:eastAsiaTheme="minorEastAsia" w:hAnsi=".AppleSystemUIFont" w:cs="Times New Roman"/>
      <w:color w:val="000000"/>
      <w:sz w:val="35"/>
      <w:szCs w:val="35"/>
      <w:lang w:val="en-GB" w:eastAsia="en-GB"/>
    </w:rPr>
  </w:style>
  <w:style w:type="character" w:customStyle="1" w:styleId="s1">
    <w:name w:val="s1"/>
    <w:basedOn w:val="DefaultParagraphFont"/>
    <w:rsid w:val="006053E7"/>
    <w:rPr>
      <w:rFonts w:ascii=".SFUI-Semibold" w:hAnsi=".SFUI-Semibold" w:hint="default"/>
      <w:b w:val="0"/>
      <w:bCs w:val="0"/>
      <w:i w:val="0"/>
      <w:iCs w:val="0"/>
      <w:sz w:val="35"/>
      <w:szCs w:val="35"/>
    </w:rPr>
  </w:style>
  <w:style w:type="character" w:customStyle="1" w:styleId="apple-converted-space">
    <w:name w:val="apple-converted-space"/>
    <w:basedOn w:val="DefaultParagraphFont"/>
    <w:rsid w:val="00715D13"/>
  </w:style>
  <w:style w:type="character" w:styleId="Hyperlink">
    <w:name w:val="Hyperlink"/>
    <w:basedOn w:val="DefaultParagraphFont"/>
    <w:uiPriority w:val="99"/>
    <w:unhideWhenUsed/>
    <w:rsid w:val="00500EDC"/>
    <w:rPr>
      <w:color w:val="0563C1" w:themeColor="hyperlink"/>
      <w:u w:val="single"/>
    </w:rPr>
  </w:style>
  <w:style w:type="paragraph" w:styleId="NormalWeb">
    <w:name w:val="Normal (Web)"/>
    <w:basedOn w:val="Normal"/>
    <w:uiPriority w:val="99"/>
    <w:semiHidden/>
    <w:unhideWhenUsed/>
    <w:rsid w:val="007F1B30"/>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styleId="UnresolvedMention">
    <w:name w:val="Unresolved Mention"/>
    <w:basedOn w:val="DefaultParagraphFont"/>
    <w:uiPriority w:val="99"/>
    <w:semiHidden/>
    <w:unhideWhenUsed/>
    <w:rsid w:val="007F1B30"/>
    <w:rPr>
      <w:color w:val="605E5C"/>
      <w:shd w:val="clear" w:color="auto" w:fill="E1DFDD"/>
    </w:rPr>
  </w:style>
  <w:style w:type="paragraph" w:styleId="FootnoteText">
    <w:name w:val="footnote text"/>
    <w:basedOn w:val="Normal"/>
    <w:link w:val="FootnoteTextChar"/>
    <w:uiPriority w:val="99"/>
    <w:semiHidden/>
    <w:unhideWhenUsed/>
    <w:rsid w:val="00833E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3E51"/>
    <w:rPr>
      <w:sz w:val="20"/>
      <w:szCs w:val="20"/>
    </w:rPr>
  </w:style>
  <w:style w:type="character" w:styleId="FootnoteReference">
    <w:name w:val="footnote reference"/>
    <w:basedOn w:val="DefaultParagraphFont"/>
    <w:uiPriority w:val="99"/>
    <w:semiHidden/>
    <w:unhideWhenUsed/>
    <w:rsid w:val="00833E51"/>
    <w:rPr>
      <w:vertAlign w:val="superscript"/>
    </w:rPr>
  </w:style>
  <w:style w:type="paragraph" w:styleId="Header">
    <w:name w:val="header"/>
    <w:basedOn w:val="Normal"/>
    <w:link w:val="HeaderChar"/>
    <w:uiPriority w:val="99"/>
    <w:unhideWhenUsed/>
    <w:rsid w:val="00833E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E51"/>
  </w:style>
  <w:style w:type="paragraph" w:styleId="Footer">
    <w:name w:val="footer"/>
    <w:basedOn w:val="Normal"/>
    <w:link w:val="FooterChar"/>
    <w:uiPriority w:val="99"/>
    <w:unhideWhenUsed/>
    <w:rsid w:val="00833E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E51"/>
  </w:style>
  <w:style w:type="character" w:styleId="PageNumber">
    <w:name w:val="page number"/>
    <w:basedOn w:val="DefaultParagraphFont"/>
    <w:uiPriority w:val="99"/>
    <w:semiHidden/>
    <w:unhideWhenUsed/>
    <w:rsid w:val="00833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987601">
      <w:bodyDiv w:val="1"/>
      <w:marLeft w:val="0"/>
      <w:marRight w:val="0"/>
      <w:marTop w:val="0"/>
      <w:marBottom w:val="0"/>
      <w:divBdr>
        <w:top w:val="none" w:sz="0" w:space="0" w:color="auto"/>
        <w:left w:val="none" w:sz="0" w:space="0" w:color="auto"/>
        <w:bottom w:val="none" w:sz="0" w:space="0" w:color="auto"/>
        <w:right w:val="none" w:sz="0" w:space="0" w:color="auto"/>
      </w:divBdr>
    </w:div>
    <w:div w:id="987519968">
      <w:bodyDiv w:val="1"/>
      <w:marLeft w:val="0"/>
      <w:marRight w:val="0"/>
      <w:marTop w:val="0"/>
      <w:marBottom w:val="0"/>
      <w:divBdr>
        <w:top w:val="none" w:sz="0" w:space="0" w:color="auto"/>
        <w:left w:val="none" w:sz="0" w:space="0" w:color="auto"/>
        <w:bottom w:val="none" w:sz="0" w:space="0" w:color="auto"/>
        <w:right w:val="none" w:sz="0" w:space="0" w:color="auto"/>
      </w:divBdr>
    </w:div>
    <w:div w:id="1542553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rstandardsboard.org.uk/the-bsb-handbook.html?part=E3FF76D3-9538-4B97-94C02111664E5709&amp;audience=&amp;csrfToken=&amp;q=" TargetMode="External"/><Relationship Id="rId18" Type="http://schemas.openxmlformats.org/officeDocument/2006/relationships/hyperlink" Target="https://www.legislation.gov.uk/ukpga/2010/15/section/78%20Accessed%20on:2" TargetMode="External"/><Relationship Id="rId26" Type="http://schemas.openxmlformats.org/officeDocument/2006/relationships/hyperlink" Target="https://www.sra.org.uk/solicitors/standards-regulations/code-conduct-solicitors/" TargetMode="External"/><Relationship Id="rId39" Type="http://schemas.openxmlformats.org/officeDocument/2006/relationships/header" Target="header3.xml"/><Relationship Id="rId21" Type="http://schemas.openxmlformats.org/officeDocument/2006/relationships/hyperlink" Target="https://www.sra.org.uk/sra/equality-diversity/diversity-profession/diverse-legal-profession/" TargetMode="External"/><Relationship Id="rId34" Type="http://schemas.openxmlformats.org/officeDocument/2006/relationships/hyperlink" Target="https://www.lawsociety.org.uk/contact-or-visit-us/press-office/press-releases/firms-using-gender-pay-gap-reporting-to-drive-positive-change"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arstandardsboard.org.uk/the-bsb-handbook.html?part=E3FF76D3-9538-4B97-94C02111664E5709&amp;audience=&amp;csrfToken=&amp;q=" TargetMode="External"/><Relationship Id="rId20" Type="http://schemas.openxmlformats.org/officeDocument/2006/relationships/hyperlink" Target="https://www.lawgazette.co.uk/practice-management/the-most-significant-barrier-for-disabled-people-in-the-profession-/5109935.article" TargetMode="External"/><Relationship Id="rId29" Type="http://schemas.openxmlformats.org/officeDocument/2006/relationships/hyperlink" Target="https://www.sra.org.uk/solicitors/standards-regulations/principl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rstandardsboard.org.uk/the-bsb-handbook.html?part=E3FF76D3-9538-4B97-94C02111664E5709&amp;audience=&amp;csrfToken=&amp;q=" TargetMode="External"/><Relationship Id="rId24" Type="http://schemas.openxmlformats.org/officeDocument/2006/relationships/hyperlink" Target="https://www.legislation.gov.uk/ukpga/Geo5/9-10/71/enacted" TargetMode="External"/><Relationship Id="rId32" Type="http://schemas.openxmlformats.org/officeDocument/2006/relationships/hyperlink" Target="https://www.sra.org.uk/solicitors/standards-regulations/code-conduct-solicitors/"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barstandardsboard.org.uk/the-bsb-handbook.html?part=E3FF76D3-9538-4B97-94C02111664E5709&amp;audience=&amp;csrfToken=&amp;q=" TargetMode="External"/><Relationship Id="rId23" Type="http://schemas.openxmlformats.org/officeDocument/2006/relationships/hyperlink" Target="https://www.thebridgegroup.org.uk/news/partner-law" TargetMode="External"/><Relationship Id="rId28" Type="http://schemas.openxmlformats.org/officeDocument/2006/relationships/hyperlink" Target="https://www.sra.org.uk/solicitors/standards-regulations/code-conduct-solicitors/" TargetMode="External"/><Relationship Id="rId36" Type="http://schemas.openxmlformats.org/officeDocument/2006/relationships/header" Target="header2.xml"/><Relationship Id="rId10" Type="http://schemas.openxmlformats.org/officeDocument/2006/relationships/hyperlink" Target="https://www.barstandardsboard.org.uk/the-bsb-handbook.html?part=E3FF76D3-9538-4B97-94C02111664E5709&amp;audience=&amp;csrfToken=&amp;q=" TargetMode="External"/><Relationship Id="rId19" Type="http://schemas.openxmlformats.org/officeDocument/2006/relationships/hyperlink" Target="https://www.legislation.gov.uk/ukpga/2010/15/section/78%20Accessed%20on:2" TargetMode="External"/><Relationship Id="rId31" Type="http://schemas.openxmlformats.org/officeDocument/2006/relationships/hyperlink" Target="https://www.sra.org.uk/solicitors/standards-regulations/principl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arstandardsboard.org.uk/the-bsb-handbook.html?part=E3FF76D3-9538-4B97-94C02111664E5709&amp;audience=&amp;csrfToken=&amp;q=" TargetMode="External"/><Relationship Id="rId22" Type="http://schemas.openxmlformats.org/officeDocument/2006/relationships/hyperlink" Target="https://www.davidsonmorris.com/same-job-different-pay/" TargetMode="External"/><Relationship Id="rId27" Type="http://schemas.openxmlformats.org/officeDocument/2006/relationships/hyperlink" Target="https://www.sra.org.uk/solicitors/standards-regulations/code-conduct-solicitors/" TargetMode="External"/><Relationship Id="rId30" Type="http://schemas.openxmlformats.org/officeDocument/2006/relationships/hyperlink" Target="https://www.sra.org.uk/solicitors/standards-regulations/principles/" TargetMode="External"/><Relationship Id="rId35" Type="http://schemas.openxmlformats.org/officeDocument/2006/relationships/header" Target="header1.xml"/><Relationship Id="rId43" Type="http://schemas.microsoft.com/office/2020/10/relationships/intelligence" Target="intelligence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arstandardsboard.org.uk/the-bsb-handbook.html?part=E3FF76D3-9538-4B97-94C02111664E5709&amp;audience=&amp;csrfToken=&amp;q=" TargetMode="External"/><Relationship Id="rId17" Type="http://schemas.openxmlformats.org/officeDocument/2006/relationships/hyperlink" Target="https://www.cilex.org.uk/about_cilex/the_code_of_conduct/code-of-conduct/" TargetMode="External"/><Relationship Id="rId25" Type="http://schemas.openxmlformats.org/officeDocument/2006/relationships/hyperlink" Target="https://www.lawsociety.org.uk/topics/hr-and-people-management/boosting-socio-economic-diversity-at-senior-levels" TargetMode="External"/><Relationship Id="rId33" Type="http://schemas.openxmlformats.org/officeDocument/2006/relationships/hyperlink" Target="https://www.hcpc-uk.org/about-us/equality-diversity-and-inclusion/what-equality-diversity-and-inclusion-means-to-us/"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DCF1B22C-05CD-4280-97F4-53DF696DEE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CCE188-CEA9-430E-A1FE-6AE562579623}">
  <ds:schemaRefs>
    <ds:schemaRef ds:uri="http://schemas.microsoft.com/sharepoint/v3/contenttype/forms"/>
  </ds:schemaRefs>
</ds:datastoreItem>
</file>

<file path=customXml/itemProps3.xml><?xml version="1.0" encoding="utf-8"?>
<ds:datastoreItem xmlns:ds="http://schemas.openxmlformats.org/officeDocument/2006/customXml" ds:itemID="{25E9213C-301D-4D9A-A92A-FDC8B17BB163}">
  <ds:schemaRefs>
    <ds:schemaRef ds:uri="http://purl.org/dc/dcmitype/"/>
    <ds:schemaRef ds:uri="bd2b2a82-bc2e-4fcc-b8ad-fd63686c78d2"/>
    <ds:schemaRef ds:uri="http://schemas.microsoft.com/office/2006/metadata/properties"/>
    <ds:schemaRef ds:uri="http://purl.org/dc/elements/1.1/"/>
    <ds:schemaRef ds:uri="http://purl.org/dc/term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2534</Words>
  <Characters>16880</Characters>
  <Application>Microsoft Office Word</Application>
  <DocSecurity>0</DocSecurity>
  <Lines>330</Lines>
  <Paragraphs>64</Paragraphs>
  <ScaleCrop>false</ScaleCrop>
  <Company/>
  <LinksUpToDate>false</LinksUpToDate>
  <CharactersWithSpaces>19350</CharactersWithSpaces>
  <SharedDoc>false</SharedDoc>
  <HLinks>
    <vt:vector size="150" baseType="variant">
      <vt:variant>
        <vt:i4>8061046</vt:i4>
      </vt:variant>
      <vt:variant>
        <vt:i4>72</vt:i4>
      </vt:variant>
      <vt:variant>
        <vt:i4>0</vt:i4>
      </vt:variant>
      <vt:variant>
        <vt:i4>5</vt:i4>
      </vt:variant>
      <vt:variant>
        <vt:lpwstr>https://www.lawsociety.org.uk/contact-or-visit-us/press-office/press-releases/firms-using-gender-pay-gap-reporting-to-drive-positive-change</vt:lpwstr>
      </vt:variant>
      <vt:variant>
        <vt:lpwstr/>
      </vt:variant>
      <vt:variant>
        <vt:i4>655448</vt:i4>
      </vt:variant>
      <vt:variant>
        <vt:i4>69</vt:i4>
      </vt:variant>
      <vt:variant>
        <vt:i4>0</vt:i4>
      </vt:variant>
      <vt:variant>
        <vt:i4>5</vt:i4>
      </vt:variant>
      <vt:variant>
        <vt:lpwstr>https://www.hcpc-uk.org/about-us/equality-diversity-and-inclusion/what-equality-diversity-and-inclusion-means-to-us/</vt:lpwstr>
      </vt:variant>
      <vt:variant>
        <vt:lpwstr/>
      </vt:variant>
      <vt:variant>
        <vt:i4>5111817</vt:i4>
      </vt:variant>
      <vt:variant>
        <vt:i4>66</vt:i4>
      </vt:variant>
      <vt:variant>
        <vt:i4>0</vt:i4>
      </vt:variant>
      <vt:variant>
        <vt:i4>5</vt:i4>
      </vt:variant>
      <vt:variant>
        <vt:lpwstr>https://www.sra.org.uk/solicitors/standards-regulations/code-conduct-solicitors/</vt:lpwstr>
      </vt:variant>
      <vt:variant>
        <vt:lpwstr/>
      </vt:variant>
      <vt:variant>
        <vt:i4>7798906</vt:i4>
      </vt:variant>
      <vt:variant>
        <vt:i4>63</vt:i4>
      </vt:variant>
      <vt:variant>
        <vt:i4>0</vt:i4>
      </vt:variant>
      <vt:variant>
        <vt:i4>5</vt:i4>
      </vt:variant>
      <vt:variant>
        <vt:lpwstr>https://www.sra.org.uk/solicitors/standards-regulations/principles/</vt:lpwstr>
      </vt:variant>
      <vt:variant>
        <vt:lpwstr/>
      </vt:variant>
      <vt:variant>
        <vt:i4>7798906</vt:i4>
      </vt:variant>
      <vt:variant>
        <vt:i4>60</vt:i4>
      </vt:variant>
      <vt:variant>
        <vt:i4>0</vt:i4>
      </vt:variant>
      <vt:variant>
        <vt:i4>5</vt:i4>
      </vt:variant>
      <vt:variant>
        <vt:lpwstr>https://www.sra.org.uk/solicitors/standards-regulations/principles/</vt:lpwstr>
      </vt:variant>
      <vt:variant>
        <vt:lpwstr/>
      </vt:variant>
      <vt:variant>
        <vt:i4>7798906</vt:i4>
      </vt:variant>
      <vt:variant>
        <vt:i4>57</vt:i4>
      </vt:variant>
      <vt:variant>
        <vt:i4>0</vt:i4>
      </vt:variant>
      <vt:variant>
        <vt:i4>5</vt:i4>
      </vt:variant>
      <vt:variant>
        <vt:lpwstr>https://www.sra.org.uk/solicitors/standards-regulations/principles/</vt:lpwstr>
      </vt:variant>
      <vt:variant>
        <vt:lpwstr/>
      </vt:variant>
      <vt:variant>
        <vt:i4>5111817</vt:i4>
      </vt:variant>
      <vt:variant>
        <vt:i4>54</vt:i4>
      </vt:variant>
      <vt:variant>
        <vt:i4>0</vt:i4>
      </vt:variant>
      <vt:variant>
        <vt:i4>5</vt:i4>
      </vt:variant>
      <vt:variant>
        <vt:lpwstr>https://www.sra.org.uk/solicitors/standards-regulations/code-conduct-solicitors/</vt:lpwstr>
      </vt:variant>
      <vt:variant>
        <vt:lpwstr/>
      </vt:variant>
      <vt:variant>
        <vt:i4>5111817</vt:i4>
      </vt:variant>
      <vt:variant>
        <vt:i4>51</vt:i4>
      </vt:variant>
      <vt:variant>
        <vt:i4>0</vt:i4>
      </vt:variant>
      <vt:variant>
        <vt:i4>5</vt:i4>
      </vt:variant>
      <vt:variant>
        <vt:lpwstr>https://www.sra.org.uk/solicitors/standards-regulations/code-conduct-solicitors/</vt:lpwstr>
      </vt:variant>
      <vt:variant>
        <vt:lpwstr/>
      </vt:variant>
      <vt:variant>
        <vt:i4>5111817</vt:i4>
      </vt:variant>
      <vt:variant>
        <vt:i4>48</vt:i4>
      </vt:variant>
      <vt:variant>
        <vt:i4>0</vt:i4>
      </vt:variant>
      <vt:variant>
        <vt:i4>5</vt:i4>
      </vt:variant>
      <vt:variant>
        <vt:lpwstr>https://www.sra.org.uk/solicitors/standards-regulations/code-conduct-solicitors/</vt:lpwstr>
      </vt:variant>
      <vt:variant>
        <vt:lpwstr/>
      </vt:variant>
      <vt:variant>
        <vt:i4>917507</vt:i4>
      </vt:variant>
      <vt:variant>
        <vt:i4>45</vt:i4>
      </vt:variant>
      <vt:variant>
        <vt:i4>0</vt:i4>
      </vt:variant>
      <vt:variant>
        <vt:i4>5</vt:i4>
      </vt:variant>
      <vt:variant>
        <vt:lpwstr>https://www.lawsociety.org.uk/topics/hr-and-people-management/boosting-socio-economic-diversity-at-senior-levels</vt:lpwstr>
      </vt:variant>
      <vt:variant>
        <vt:lpwstr/>
      </vt:variant>
      <vt:variant>
        <vt:i4>1638400</vt:i4>
      </vt:variant>
      <vt:variant>
        <vt:i4>42</vt:i4>
      </vt:variant>
      <vt:variant>
        <vt:i4>0</vt:i4>
      </vt:variant>
      <vt:variant>
        <vt:i4>5</vt:i4>
      </vt:variant>
      <vt:variant>
        <vt:lpwstr>https://www.legislation.gov.uk/ukpga/Geo5/9-10/71/enacted</vt:lpwstr>
      </vt:variant>
      <vt:variant>
        <vt:lpwstr/>
      </vt:variant>
      <vt:variant>
        <vt:i4>7667766</vt:i4>
      </vt:variant>
      <vt:variant>
        <vt:i4>39</vt:i4>
      </vt:variant>
      <vt:variant>
        <vt:i4>0</vt:i4>
      </vt:variant>
      <vt:variant>
        <vt:i4>5</vt:i4>
      </vt:variant>
      <vt:variant>
        <vt:lpwstr>https://www.thebridgegroup.org.uk/news/partner-law</vt:lpwstr>
      </vt:variant>
      <vt:variant>
        <vt:lpwstr/>
      </vt:variant>
      <vt:variant>
        <vt:i4>3932210</vt:i4>
      </vt:variant>
      <vt:variant>
        <vt:i4>36</vt:i4>
      </vt:variant>
      <vt:variant>
        <vt:i4>0</vt:i4>
      </vt:variant>
      <vt:variant>
        <vt:i4>5</vt:i4>
      </vt:variant>
      <vt:variant>
        <vt:lpwstr>https://www.davidsonmorris.com/same-job-different-pay/</vt:lpwstr>
      </vt:variant>
      <vt:variant>
        <vt:lpwstr/>
      </vt:variant>
      <vt:variant>
        <vt:i4>6094863</vt:i4>
      </vt:variant>
      <vt:variant>
        <vt:i4>33</vt:i4>
      </vt:variant>
      <vt:variant>
        <vt:i4>0</vt:i4>
      </vt:variant>
      <vt:variant>
        <vt:i4>5</vt:i4>
      </vt:variant>
      <vt:variant>
        <vt:lpwstr>https://www.sra.org.uk/sra/equality-diversity/diversity-profession/diverse-legal-profession/</vt:lpwstr>
      </vt:variant>
      <vt:variant>
        <vt:lpwstr/>
      </vt:variant>
      <vt:variant>
        <vt:i4>5636164</vt:i4>
      </vt:variant>
      <vt:variant>
        <vt:i4>30</vt:i4>
      </vt:variant>
      <vt:variant>
        <vt:i4>0</vt:i4>
      </vt:variant>
      <vt:variant>
        <vt:i4>5</vt:i4>
      </vt:variant>
      <vt:variant>
        <vt:lpwstr>https://www.lawgazette.co.uk/practice-management/the-most-significant-barrier-for-disabled-people-in-the-profession-/5109935.article</vt:lpwstr>
      </vt:variant>
      <vt:variant>
        <vt:lpwstr/>
      </vt:variant>
      <vt:variant>
        <vt:i4>917531</vt:i4>
      </vt:variant>
      <vt:variant>
        <vt:i4>27</vt:i4>
      </vt:variant>
      <vt:variant>
        <vt:i4>0</vt:i4>
      </vt:variant>
      <vt:variant>
        <vt:i4>5</vt:i4>
      </vt:variant>
      <vt:variant>
        <vt:lpwstr>https://www.legislation.gov.uk/ukpga/2010/15/section/78 Accessed on:2</vt:lpwstr>
      </vt:variant>
      <vt:variant>
        <vt:lpwstr/>
      </vt:variant>
      <vt:variant>
        <vt:i4>917531</vt:i4>
      </vt:variant>
      <vt:variant>
        <vt:i4>24</vt:i4>
      </vt:variant>
      <vt:variant>
        <vt:i4>0</vt:i4>
      </vt:variant>
      <vt:variant>
        <vt:i4>5</vt:i4>
      </vt:variant>
      <vt:variant>
        <vt:lpwstr>https://www.legislation.gov.uk/ukpga/2010/15/section/78 Accessed on:2</vt:lpwstr>
      </vt:variant>
      <vt:variant>
        <vt:lpwstr/>
      </vt:variant>
      <vt:variant>
        <vt:i4>3342436</vt:i4>
      </vt:variant>
      <vt:variant>
        <vt:i4>21</vt:i4>
      </vt:variant>
      <vt:variant>
        <vt:i4>0</vt:i4>
      </vt:variant>
      <vt:variant>
        <vt:i4>5</vt:i4>
      </vt:variant>
      <vt:variant>
        <vt:lpwstr>https://www.cilex.org.uk/about_cilex/the_code_of_conduct/code-of-conduct/</vt:lpwstr>
      </vt:variant>
      <vt:variant>
        <vt:lpwstr/>
      </vt:variant>
      <vt:variant>
        <vt:i4>7405630</vt:i4>
      </vt:variant>
      <vt:variant>
        <vt:i4>18</vt:i4>
      </vt:variant>
      <vt:variant>
        <vt:i4>0</vt:i4>
      </vt:variant>
      <vt:variant>
        <vt:i4>5</vt:i4>
      </vt:variant>
      <vt:variant>
        <vt:lpwstr>https://www.barstandardsboard.org.uk/the-bsb-handbook.html?part=E3FF76D3-9538-4B97-94C02111664E5709&amp;audience=&amp;csrfToken=&amp;q=</vt:lpwstr>
      </vt:variant>
      <vt:variant>
        <vt:lpwstr/>
      </vt:variant>
      <vt:variant>
        <vt:i4>7405630</vt:i4>
      </vt:variant>
      <vt:variant>
        <vt:i4>15</vt:i4>
      </vt:variant>
      <vt:variant>
        <vt:i4>0</vt:i4>
      </vt:variant>
      <vt:variant>
        <vt:i4>5</vt:i4>
      </vt:variant>
      <vt:variant>
        <vt:lpwstr>https://www.barstandardsboard.org.uk/the-bsb-handbook.html?part=E3FF76D3-9538-4B97-94C02111664E5709&amp;audience=&amp;csrfToken=&amp;q=</vt:lpwstr>
      </vt:variant>
      <vt:variant>
        <vt:lpwstr/>
      </vt:variant>
      <vt:variant>
        <vt:i4>7405630</vt:i4>
      </vt:variant>
      <vt:variant>
        <vt:i4>12</vt:i4>
      </vt:variant>
      <vt:variant>
        <vt:i4>0</vt:i4>
      </vt:variant>
      <vt:variant>
        <vt:i4>5</vt:i4>
      </vt:variant>
      <vt:variant>
        <vt:lpwstr>https://www.barstandardsboard.org.uk/the-bsb-handbook.html?part=E3FF76D3-9538-4B97-94C02111664E5709&amp;audience=&amp;csrfToken=&amp;q=</vt:lpwstr>
      </vt:variant>
      <vt:variant>
        <vt:lpwstr/>
      </vt:variant>
      <vt:variant>
        <vt:i4>7405630</vt:i4>
      </vt:variant>
      <vt:variant>
        <vt:i4>9</vt:i4>
      </vt:variant>
      <vt:variant>
        <vt:i4>0</vt:i4>
      </vt:variant>
      <vt:variant>
        <vt:i4>5</vt:i4>
      </vt:variant>
      <vt:variant>
        <vt:lpwstr>https://www.barstandardsboard.org.uk/the-bsb-handbook.html?part=E3FF76D3-9538-4B97-94C02111664E5709&amp;audience=&amp;csrfToken=&amp;q=</vt:lpwstr>
      </vt:variant>
      <vt:variant>
        <vt:lpwstr/>
      </vt:variant>
      <vt:variant>
        <vt:i4>7405630</vt:i4>
      </vt:variant>
      <vt:variant>
        <vt:i4>6</vt:i4>
      </vt:variant>
      <vt:variant>
        <vt:i4>0</vt:i4>
      </vt:variant>
      <vt:variant>
        <vt:i4>5</vt:i4>
      </vt:variant>
      <vt:variant>
        <vt:lpwstr>https://www.barstandardsboard.org.uk/the-bsb-handbook.html?part=E3FF76D3-9538-4B97-94C02111664E5709&amp;audience=&amp;csrfToken=&amp;q=</vt:lpwstr>
      </vt:variant>
      <vt:variant>
        <vt:lpwstr/>
      </vt:variant>
      <vt:variant>
        <vt:i4>7405630</vt:i4>
      </vt:variant>
      <vt:variant>
        <vt:i4>3</vt:i4>
      </vt:variant>
      <vt:variant>
        <vt:i4>0</vt:i4>
      </vt:variant>
      <vt:variant>
        <vt:i4>5</vt:i4>
      </vt:variant>
      <vt:variant>
        <vt:lpwstr>https://www.barstandardsboard.org.uk/the-bsb-handbook.html?part=E3FF76D3-9538-4B97-94C02111664E5709&amp;audience=&amp;csrfToken=&amp;q=</vt:lpwstr>
      </vt:variant>
      <vt:variant>
        <vt:lpwstr/>
      </vt:variant>
      <vt:variant>
        <vt:i4>7405630</vt:i4>
      </vt:variant>
      <vt:variant>
        <vt:i4>0</vt:i4>
      </vt:variant>
      <vt:variant>
        <vt:i4>0</vt:i4>
      </vt:variant>
      <vt:variant>
        <vt:i4>5</vt:i4>
      </vt:variant>
      <vt:variant>
        <vt:lpwstr>https://www.barstandardsboard.org.uk/the-bsb-handbook.html?part=E3FF76D3-9538-4B97-94C02111664E5709&amp;audience=&amp;csrfToken=&amp;q=</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 (2306055)</dc:creator>
  <cp:keywords/>
  <dc:description/>
  <cp:lastModifiedBy>Shannon Davies (2306055)</cp:lastModifiedBy>
  <cp:revision>2</cp:revision>
  <dcterms:created xsi:type="dcterms:W3CDTF">2023-12-14T23:38:00Z</dcterms:created>
  <dcterms:modified xsi:type="dcterms:W3CDTF">2023-12-14T23:38:00Z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6f02c7a5444e9afa2566c7c56f5c3974af98ac5504250c93af7ae7ab0746ce7d</vt:lpwstr>
  </property>
  <property fmtid="{D5CDD505-2E9C-101B-9397-08002B2CF9AE}" pid="3" name="ContentTypeId">
    <vt:lpwstr>0x01010096C48B67E562FF45ADD1FE43E2BC7706</vt:lpwstr>
  </property>
</Properties>
</file>