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C0D2C" w14:textId="77777777" w:rsidR="00255734"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Name: </w:t>
      </w:r>
      <w:r>
        <w:rPr>
          <w:rFonts w:ascii="Times New Roman" w:eastAsia="Times New Roman" w:hAnsi="Times New Roman" w:cs="Times New Roman"/>
          <w:kern w:val="0"/>
          <w:lang w:eastAsia="en-GB"/>
          <w14:ligatures w14:val="none"/>
        </w:rPr>
        <w:t xml:space="preserve">Nafia Tasnim Rinbi </w:t>
      </w:r>
      <w:r w:rsidR="008B6AF7" w:rsidRPr="008B6AF7">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 xml:space="preserve">Student ID: </w:t>
      </w:r>
      <w:r>
        <w:rPr>
          <w:rFonts w:ascii="Times New Roman" w:eastAsia="Times New Roman" w:hAnsi="Times New Roman" w:cs="Times New Roman"/>
          <w:kern w:val="0"/>
          <w:lang w:eastAsia="en-GB"/>
          <w14:ligatures w14:val="none"/>
        </w:rPr>
        <w:t>2409141</w:t>
      </w:r>
      <w:r w:rsidR="008B6AF7" w:rsidRPr="008B6AF7">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 xml:space="preserve">Module Code: </w:t>
      </w:r>
      <w:r>
        <w:rPr>
          <w:rFonts w:ascii="Times New Roman" w:eastAsia="Times New Roman" w:hAnsi="Times New Roman" w:cs="Times New Roman"/>
          <w:kern w:val="0"/>
          <w:lang w:eastAsia="en-GB"/>
          <w14:ligatures w14:val="none"/>
        </w:rPr>
        <w:t>BMHP5016</w:t>
      </w:r>
      <w:r w:rsidR="008B6AF7" w:rsidRPr="008B6AF7">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 xml:space="preserve">Module Name: </w:t>
      </w:r>
      <w:r>
        <w:rPr>
          <w:rFonts w:ascii="Times New Roman" w:eastAsia="Times New Roman" w:hAnsi="Times New Roman" w:cs="Times New Roman"/>
          <w:kern w:val="0"/>
          <w:lang w:eastAsia="en-GB"/>
          <w14:ligatures w14:val="none"/>
        </w:rPr>
        <w:t>Principles of Health and Social Care Practice</w:t>
      </w:r>
    </w:p>
    <w:p w14:paraId="51006A5F" w14:textId="7A1D6015" w:rsidR="00255734" w:rsidRPr="002F07AE"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76CC49AE" w14:textId="77777777" w:rsidR="002F07AE"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472FEAC" w14:textId="29DCEADA"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br/>
        <w:t xml:space="preserve"> </w:t>
      </w:r>
      <w:r w:rsidR="002F07AE">
        <w:rPr>
          <w:rFonts w:ascii="Times New Roman" w:eastAsia="Times New Roman" w:hAnsi="Times New Roman" w:cs="Times New Roman"/>
          <w:b/>
          <w:bCs/>
          <w:kern w:val="0"/>
          <w:lang w:eastAsia="en-GB"/>
          <w14:ligatures w14:val="none"/>
        </w:rPr>
        <w:t>Titel</w:t>
      </w:r>
      <w:r w:rsidRPr="008B6AF7">
        <w:rPr>
          <w:rFonts w:ascii="Times New Roman" w:eastAsia="Times New Roman" w:hAnsi="Times New Roman" w:cs="Times New Roman"/>
          <w:kern w:val="0"/>
          <w:lang w:eastAsia="en-GB"/>
          <w14:ligatures w14:val="none"/>
        </w:rPr>
        <w:t xml:space="preserve">: </w:t>
      </w:r>
      <w:r w:rsidR="002F07AE">
        <w:rPr>
          <w:rFonts w:ascii="Times New Roman" w:eastAsia="Times New Roman" w:hAnsi="Times New Roman" w:cs="Times New Roman"/>
          <w:kern w:val="0"/>
          <w:lang w:eastAsia="en-GB"/>
          <w14:ligatures w14:val="none"/>
        </w:rPr>
        <w:t xml:space="preserve"> </w:t>
      </w:r>
      <w:r w:rsidRPr="008B6AF7">
        <w:rPr>
          <w:rFonts w:ascii="Times New Roman" w:eastAsia="Times New Roman" w:hAnsi="Times New Roman" w:cs="Times New Roman"/>
          <w:kern w:val="0"/>
          <w:lang w:eastAsia="en-GB"/>
          <w14:ligatures w14:val="none"/>
        </w:rPr>
        <w:t>Person Centred Care and Partnership Working in Learning Disability Services</w:t>
      </w:r>
    </w:p>
    <w:p w14:paraId="7AA0F767" w14:textId="4603B630"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0C40326B" w14:textId="530A1CE7" w:rsidR="008B6AF7" w:rsidRPr="008B6AF7"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 xml:space="preserve">Abstract </w:t>
      </w:r>
      <w:r w:rsidR="008B6AF7" w:rsidRPr="008B6AF7">
        <w:rPr>
          <w:rFonts w:ascii="Times New Roman" w:eastAsia="Times New Roman" w:hAnsi="Times New Roman" w:cs="Times New Roman"/>
          <w:kern w:val="0"/>
          <w:lang w:eastAsia="en-GB"/>
          <w14:ligatures w14:val="none"/>
        </w:rPr>
        <w:br/>
        <w:t xml:space="preserve">This report examines the principles and application of </w:t>
      </w:r>
      <w:proofErr w:type="gramStart"/>
      <w:r w:rsidR="008B6AF7" w:rsidRPr="008B6AF7">
        <w:rPr>
          <w:rFonts w:ascii="Times New Roman" w:eastAsia="Times New Roman" w:hAnsi="Times New Roman" w:cs="Times New Roman"/>
          <w:kern w:val="0"/>
          <w:lang w:eastAsia="en-GB"/>
          <w14:ligatures w14:val="none"/>
        </w:rPr>
        <w:t>Person Centred</w:t>
      </w:r>
      <w:proofErr w:type="gramEnd"/>
      <w:r w:rsidR="008B6AF7" w:rsidRPr="008B6AF7">
        <w:rPr>
          <w:rFonts w:ascii="Times New Roman" w:eastAsia="Times New Roman" w:hAnsi="Times New Roman" w:cs="Times New Roman"/>
          <w:kern w:val="0"/>
          <w:lang w:eastAsia="en-GB"/>
          <w14:ligatures w14:val="none"/>
        </w:rPr>
        <w:t xml:space="preserve"> Care (PCC) and Partnership Working (PW) within Learning Disability Services in the United Kingdom. PCC emphasises autonomy, dignity and personalised support (Coulter et al., 2015), while PW involves collaboration between professionals, service users and organisations (</w:t>
      </w:r>
      <w:proofErr w:type="spellStart"/>
      <w:r w:rsidR="008B6AF7" w:rsidRPr="008B6AF7">
        <w:rPr>
          <w:rFonts w:ascii="Times New Roman" w:eastAsia="Times New Roman" w:hAnsi="Times New Roman" w:cs="Times New Roman"/>
          <w:kern w:val="0"/>
          <w:lang w:eastAsia="en-GB"/>
          <w14:ligatures w14:val="none"/>
        </w:rPr>
        <w:t>Carnwell</w:t>
      </w:r>
      <w:proofErr w:type="spellEnd"/>
      <w:r w:rsidR="008B6AF7" w:rsidRPr="008B6AF7">
        <w:rPr>
          <w:rFonts w:ascii="Times New Roman" w:eastAsia="Times New Roman" w:hAnsi="Times New Roman" w:cs="Times New Roman"/>
          <w:kern w:val="0"/>
          <w:lang w:eastAsia="en-GB"/>
          <w14:ligatures w14:val="none"/>
        </w:rPr>
        <w:t xml:space="preserve"> and Buchanan, 2005). Evidence shows that PCC improves satisfaction and wellbeing (Health Foundation, 2016), although challenges such as staffing shortages and limited training remain barriers (Royal College of Nursing, 2021). Humanistic Theory and the Social Model of Disability underpin PCC and guide inclusive practice (Rogers, 1961; Oliver, 1990). Ethical principles including autonomy, justice and non-maleficence also underpin quality care in Learning Disability Services (Beauchamp and Childress, 2019). PW within Integrated Care Systems enhances communication and continuity, though challenges such as unclear roles and information-sharing issues persist (NHS England, 2022). Policies such as the Care Act 2014, Equality Act 2010 and Health and Care Act 2022 influence practice and promote personalised, collaborative care. Recommendations include improving staff training, strengthening interagency communication, and increasing the use of assistive technologies.</w:t>
      </w:r>
    </w:p>
    <w:p w14:paraId="15DADA10" w14:textId="46140150"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07EC4B38" w14:textId="5D8157D9" w:rsidR="008B6AF7" w:rsidRPr="008B6AF7"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 xml:space="preserve">Introduction </w:t>
      </w:r>
      <w:r w:rsidR="008B6AF7" w:rsidRPr="008B6AF7">
        <w:rPr>
          <w:rFonts w:ascii="Times New Roman" w:eastAsia="Times New Roman" w:hAnsi="Times New Roman" w:cs="Times New Roman"/>
          <w:kern w:val="0"/>
          <w:lang w:eastAsia="en-GB"/>
          <w14:ligatures w14:val="none"/>
        </w:rPr>
        <w:br/>
        <w:t>Person Centred Care (PCC) and Partnership Working (PW) are essential approaches within contemporary health and social care practice, particularly in Learning Disability Services. PCC promotes individual autonomy, dignity and meaningful involvement in decisions about support (McCormack and McCance, 2017). PW encourages collaboration between health professionals, social care staff, service users, families and voluntary agencies to deliver coordinated care (Glasby and Dickinson, 2014). The purpose of this report is to critically explore PCC and PW in Learning Disability Services. The report defines PCC, discusses relevant theories, examines ethical principles, evaluates PW, analyses policy and legislation, and provides evidence-based recommendations for future improvement.</w:t>
      </w:r>
    </w:p>
    <w:p w14:paraId="0F0E47B0" w14:textId="173DBCF8"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31E0E216" w14:textId="6508A20D" w:rsidR="008B6AF7" w:rsidRPr="008B6AF7"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 xml:space="preserve">Definition of Person-Centred Care </w:t>
      </w:r>
      <w:r w:rsidR="008B6AF7" w:rsidRPr="008B6AF7">
        <w:rPr>
          <w:rFonts w:ascii="Times New Roman" w:eastAsia="Times New Roman" w:hAnsi="Times New Roman" w:cs="Times New Roman"/>
          <w:kern w:val="0"/>
          <w:lang w:eastAsia="en-GB"/>
          <w14:ligatures w14:val="none"/>
        </w:rPr>
        <w:br/>
        <w:t xml:space="preserve">Person Centred Care is an approach that places the individual at the centre of decision-making, ensuring that care is tailored to their unique needs, values and preferences (Coulter et </w:t>
      </w:r>
      <w:r w:rsidR="008B6AF7" w:rsidRPr="008B6AF7">
        <w:rPr>
          <w:rFonts w:ascii="Times New Roman" w:eastAsia="Times New Roman" w:hAnsi="Times New Roman" w:cs="Times New Roman"/>
          <w:kern w:val="0"/>
          <w:lang w:eastAsia="en-GB"/>
          <w14:ligatures w14:val="none"/>
        </w:rPr>
        <w:lastRenderedPageBreak/>
        <w:t>al., 2015). In Learning Disability Services, PCC involves personalised support planning, communication aids, advocacy, and promoting independence in daily activities (NICE, 2021). The benefits of PCC include improved wellbeing, enhanced communication and greater trust between staff and service users (Health Foundation, 2016). However, limitations include resource pressures, staff shortages, time constraints and organisational cultures focused on routines rather than personal choice (</w:t>
      </w:r>
      <w:proofErr w:type="spellStart"/>
      <w:r w:rsidR="008B6AF7" w:rsidRPr="008B6AF7">
        <w:rPr>
          <w:rFonts w:ascii="Times New Roman" w:eastAsia="Times New Roman" w:hAnsi="Times New Roman" w:cs="Times New Roman"/>
          <w:kern w:val="0"/>
          <w:lang w:eastAsia="en-GB"/>
          <w14:ligatures w14:val="none"/>
        </w:rPr>
        <w:t>Tuffrey-Wijne</w:t>
      </w:r>
      <w:proofErr w:type="spellEnd"/>
      <w:r w:rsidR="008B6AF7" w:rsidRPr="008B6AF7">
        <w:rPr>
          <w:rFonts w:ascii="Times New Roman" w:eastAsia="Times New Roman" w:hAnsi="Times New Roman" w:cs="Times New Roman"/>
          <w:kern w:val="0"/>
          <w:lang w:eastAsia="en-GB"/>
          <w14:ligatures w14:val="none"/>
        </w:rPr>
        <w:t xml:space="preserve"> and Hollins, 2014). Communication difficulties can also reduce involvement in decision-making, highlighting the need for specialist training (NHS England, 2022).</w:t>
      </w:r>
    </w:p>
    <w:p w14:paraId="1B4E33D8" w14:textId="32FA164B"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2227B4BF" w14:textId="07B12C38" w:rsidR="008B6AF7" w:rsidRPr="008B6AF7" w:rsidRDefault="002F07AE"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Relevant Theories Supporting PCC</w:t>
      </w:r>
      <w:r w:rsidR="008B6AF7" w:rsidRPr="008B6AF7">
        <w:rPr>
          <w:rFonts w:ascii="Times New Roman" w:eastAsia="Times New Roman" w:hAnsi="Times New Roman" w:cs="Times New Roman"/>
          <w:kern w:val="0"/>
          <w:lang w:eastAsia="en-GB"/>
          <w14:ligatures w14:val="none"/>
        </w:rPr>
        <w:br/>
        <w:t>Humanistic Theory emphasises empathy, respect and self-determination, arguing that individuals should be supported to reach their full potential (Rogers, 1961). This theory aligns with PCC by supporting the dignity and individuality of people with learning disabilities.</w:t>
      </w:r>
      <w:r w:rsidR="008B6AF7" w:rsidRPr="008B6AF7">
        <w:rPr>
          <w:rFonts w:ascii="Times New Roman" w:eastAsia="Times New Roman" w:hAnsi="Times New Roman" w:cs="Times New Roman"/>
          <w:kern w:val="0"/>
          <w:lang w:eastAsia="en-GB"/>
          <w14:ligatures w14:val="none"/>
        </w:rPr>
        <w:br/>
        <w:t>The Social Model of Disability suggests that disability results from barriers within society rather than an individual’s impairment (Oliver, 1990). Within Learning Disability Services, this theory encourages staff to remove barriers, adapt environments and promote inclusion.</w:t>
      </w:r>
      <w:r w:rsidR="008B6AF7" w:rsidRPr="008B6AF7">
        <w:rPr>
          <w:rFonts w:ascii="Times New Roman" w:eastAsia="Times New Roman" w:hAnsi="Times New Roman" w:cs="Times New Roman"/>
          <w:kern w:val="0"/>
          <w:lang w:eastAsia="en-GB"/>
          <w14:ligatures w14:val="none"/>
        </w:rPr>
        <w:br/>
        <w:t>These theories support the use of personalised plans, adapted communication and accessible decision-making tools (Townsley et al., 2012). However, challenges such as underfunding, staff shortages and organisational pressures can limit full implementation (Taylor, 2017).</w:t>
      </w:r>
    </w:p>
    <w:p w14:paraId="684DBD9B" w14:textId="216A8B7B"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096FC252" w14:textId="669F7EFD"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 xml:space="preserve">Ethical Fundamental </w:t>
      </w:r>
      <w:r w:rsidRPr="008B6AF7">
        <w:rPr>
          <w:rFonts w:ascii="Times New Roman" w:eastAsia="Times New Roman" w:hAnsi="Times New Roman" w:cs="Times New Roman"/>
          <w:kern w:val="0"/>
          <w:lang w:eastAsia="en-GB"/>
          <w14:ligatures w14:val="none"/>
        </w:rPr>
        <w:br/>
        <w:t>Ethical principles underpin PCC and PW. Autonomy refers to respecting a person’s right to make informed choices. In Learning Disability Services, this requires accessible information, advocacy and supporting decision-making (NICE, 2018). Beneficence involves promoting wellbeing, while non-maleficence requires avoiding harm. Staff must balance promoting independence with ensuring safety. Justice requires fairness and equal access to services, which is vital for people with learning disabilities who may experience discrimination (Mencap, 2020). Ethical dilemmas arise when a service user makes a choice that appears unsafe. PCC encourages collaborative risk management and consideration of the individual’s perspective (</w:t>
      </w:r>
      <w:proofErr w:type="spellStart"/>
      <w:r w:rsidRPr="008B6AF7">
        <w:rPr>
          <w:rFonts w:ascii="Times New Roman" w:eastAsia="Times New Roman" w:hAnsi="Times New Roman" w:cs="Times New Roman"/>
          <w:kern w:val="0"/>
          <w:lang w:eastAsia="en-GB"/>
          <w14:ligatures w14:val="none"/>
        </w:rPr>
        <w:t>Tuffrey-Wijne</w:t>
      </w:r>
      <w:proofErr w:type="spellEnd"/>
      <w:r w:rsidRPr="008B6AF7">
        <w:rPr>
          <w:rFonts w:ascii="Times New Roman" w:eastAsia="Times New Roman" w:hAnsi="Times New Roman" w:cs="Times New Roman"/>
          <w:kern w:val="0"/>
          <w:lang w:eastAsia="en-GB"/>
          <w14:ligatures w14:val="none"/>
        </w:rPr>
        <w:t>, 2013).</w:t>
      </w:r>
    </w:p>
    <w:p w14:paraId="1F7E838E" w14:textId="6467C775"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5389A82A" w14:textId="5B0D1EFC" w:rsidR="008B6AF7" w:rsidRPr="008B6AF7" w:rsidRDefault="008B6AF7" w:rsidP="008B6AF7">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Evaluation of Partnership Working</w:t>
      </w:r>
      <w:r w:rsidRPr="008B6AF7">
        <w:rPr>
          <w:rFonts w:ascii="Times New Roman" w:eastAsia="Times New Roman" w:hAnsi="Times New Roman" w:cs="Times New Roman"/>
          <w:kern w:val="0"/>
          <w:lang w:eastAsia="en-GB"/>
          <w14:ligatures w14:val="none"/>
        </w:rPr>
        <w:br/>
        <w:t>Partnership Working refers to collaboration between agencies, professionals, service users and carers to deliver coordinated care (Glasby and Dickinson, 2014). PW is crucial in Learning Disability Services due to the complex needs of individuals. Benefits include improved communication, better continuity of care, reduced duplication and more holistic support (NHS England, 2022). Integrated Care Systems aim to improve coordination across health and social care sectors. Evidence suggests that successful PW leads to improved outcomes and reduced hospital admissions (Baxter et al., 2018).</w:t>
      </w:r>
      <w:r w:rsidRPr="008B6AF7">
        <w:rPr>
          <w:rFonts w:ascii="Times New Roman" w:eastAsia="Times New Roman" w:hAnsi="Times New Roman" w:cs="Times New Roman"/>
          <w:kern w:val="0"/>
          <w:lang w:eastAsia="en-GB"/>
          <w14:ligatures w14:val="none"/>
        </w:rPr>
        <w:br/>
        <w:t>However, challenges include communication breakdowns, unclear roles, organisational differences and delays in information sharing (</w:t>
      </w:r>
      <w:r w:rsidRPr="008B6AF7">
        <w:rPr>
          <w:rFonts w:ascii="Times New Roman" w:eastAsia="Times New Roman" w:hAnsi="Times New Roman" w:cs="Times New Roman"/>
          <w:kern w:val="0"/>
          <w:lang w:eastAsia="en-GB"/>
          <w14:ligatures w14:val="none"/>
        </w:rPr>
        <w:t>Cranwell</w:t>
      </w:r>
      <w:r w:rsidRPr="008B6AF7">
        <w:rPr>
          <w:rFonts w:ascii="Times New Roman" w:eastAsia="Times New Roman" w:hAnsi="Times New Roman" w:cs="Times New Roman"/>
          <w:kern w:val="0"/>
          <w:lang w:eastAsia="en-GB"/>
          <w14:ligatures w14:val="none"/>
        </w:rPr>
        <w:t xml:space="preserve"> and Buchanan, 2005). Families may </w:t>
      </w:r>
      <w:r w:rsidRPr="008B6AF7">
        <w:rPr>
          <w:rFonts w:ascii="Times New Roman" w:eastAsia="Times New Roman" w:hAnsi="Times New Roman" w:cs="Times New Roman"/>
          <w:kern w:val="0"/>
          <w:lang w:eastAsia="en-GB"/>
          <w14:ligatures w14:val="none"/>
        </w:rPr>
        <w:lastRenderedPageBreak/>
        <w:t>feel frustrated when services are poorly coordinated. Effective PW requires trust, shared goals, strong relationships and consistent communication.</w:t>
      </w:r>
    </w:p>
    <w:p w14:paraId="63053B55" w14:textId="28F2C2E2"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5AC2112E" w14:textId="52A6FB8E"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Policy Legislation</w:t>
      </w:r>
      <w:r w:rsidRPr="008B6AF7">
        <w:rPr>
          <w:rFonts w:ascii="Times New Roman" w:eastAsia="Times New Roman" w:hAnsi="Times New Roman" w:cs="Times New Roman"/>
          <w:kern w:val="0"/>
          <w:lang w:eastAsia="en-GB"/>
          <w14:ligatures w14:val="none"/>
        </w:rPr>
        <w:br/>
        <w:t>The Care Act 2014 places wellbeing, personalisation and involvement at the centre of social care practice.</w:t>
      </w:r>
      <w:r w:rsidRPr="008B6AF7">
        <w:rPr>
          <w:rFonts w:ascii="Times New Roman" w:eastAsia="Times New Roman" w:hAnsi="Times New Roman" w:cs="Times New Roman"/>
          <w:kern w:val="0"/>
          <w:lang w:eastAsia="en-GB"/>
          <w14:ligatures w14:val="none"/>
        </w:rPr>
        <w:br/>
        <w:t>The Health and Care Act 2022 promotes integration and supports partnership working across health and social care.</w:t>
      </w:r>
      <w:r w:rsidRPr="008B6AF7">
        <w:rPr>
          <w:rFonts w:ascii="Times New Roman" w:eastAsia="Times New Roman" w:hAnsi="Times New Roman" w:cs="Times New Roman"/>
          <w:kern w:val="0"/>
          <w:lang w:eastAsia="en-GB"/>
          <w14:ligatures w14:val="none"/>
        </w:rPr>
        <w:br/>
        <w:t>The Health and Social Care Act 2012 emphasises patient choice and empowerment, which supports PCC.</w:t>
      </w:r>
      <w:r w:rsidRPr="008B6AF7">
        <w:rPr>
          <w:rFonts w:ascii="Times New Roman" w:eastAsia="Times New Roman" w:hAnsi="Times New Roman" w:cs="Times New Roman"/>
          <w:kern w:val="0"/>
          <w:lang w:eastAsia="en-GB"/>
          <w14:ligatures w14:val="none"/>
        </w:rPr>
        <w:br/>
        <w:t>The Equality Act 2010 protects people with learning disabilities from discrimination and requires reasonable adjustments.</w:t>
      </w:r>
      <w:r w:rsidRPr="008B6AF7">
        <w:rPr>
          <w:rFonts w:ascii="Times New Roman" w:eastAsia="Times New Roman" w:hAnsi="Times New Roman" w:cs="Times New Roman"/>
          <w:kern w:val="0"/>
          <w:lang w:eastAsia="en-GB"/>
          <w14:ligatures w14:val="none"/>
        </w:rPr>
        <w:br/>
        <w:t>The Human Rights Act 1998 ensures dignity, respect and autonomy.</w:t>
      </w:r>
      <w:r w:rsidRPr="008B6AF7">
        <w:rPr>
          <w:rFonts w:ascii="Times New Roman" w:eastAsia="Times New Roman" w:hAnsi="Times New Roman" w:cs="Times New Roman"/>
          <w:kern w:val="0"/>
          <w:lang w:eastAsia="en-GB"/>
          <w14:ligatures w14:val="none"/>
        </w:rPr>
        <w:br/>
        <w:t>These policies influence Learning Disability Services by requiring personalised care plans, inclusion, advocacy and interagency collaboration (DHSC, 2022). However, workforce shortages and financial constraints can limit full implementation (RCN, 2021).</w:t>
      </w:r>
    </w:p>
    <w:p w14:paraId="738803CD" w14:textId="30C24C38" w:rsidR="008B6AF7" w:rsidRDefault="008B6AF7" w:rsidP="008B6AF7">
      <w:pPr>
        <w:spacing w:after="0" w:line="240" w:lineRule="auto"/>
        <w:rPr>
          <w:rFonts w:ascii="Times New Roman" w:eastAsia="Times New Roman" w:hAnsi="Times New Roman" w:cs="Times New Roman"/>
          <w:kern w:val="0"/>
          <w:lang w:eastAsia="en-GB"/>
          <w14:ligatures w14:val="none"/>
        </w:rPr>
      </w:pPr>
    </w:p>
    <w:p w14:paraId="1AC12B9E" w14:textId="258D1744"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sz w:val="28"/>
          <w:szCs w:val="28"/>
          <w:lang w:eastAsia="en-GB"/>
          <w14:ligatures w14:val="none"/>
        </w:rPr>
        <w:t xml:space="preserve">Recommendation  </w:t>
      </w:r>
      <w:r w:rsidRPr="008B6AF7">
        <w:rPr>
          <w:rFonts w:ascii="Times New Roman" w:eastAsia="Times New Roman" w:hAnsi="Times New Roman" w:cs="Times New Roman"/>
          <w:kern w:val="0"/>
          <w:lang w:eastAsia="en-GB"/>
          <w14:ligatures w14:val="none"/>
        </w:rPr>
        <w:br/>
        <w:t>There is a need for improved staff training on communication, trauma-informed care and learning disability awareness (Mencap, 2020). Increased use of assistive technology, such as communication apps and digital care planning systems, can enhance autonomy and involvement. Better collaboration across agencies is needed to reduce delays and improve continuity. Organisational cultures should prioritise independence, choice and inclusion. Barriers to implementation include funding challenges, digital exclusion, resistance to change and inconsistent training quality (Health Foundation, 2016).</w:t>
      </w:r>
    </w:p>
    <w:p w14:paraId="7FB30737" w14:textId="3D98F650" w:rsidR="008B6AF7" w:rsidRPr="008B6AF7" w:rsidRDefault="008B6AF7" w:rsidP="008B6AF7">
      <w:pPr>
        <w:spacing w:after="0" w:line="240" w:lineRule="auto"/>
        <w:rPr>
          <w:rFonts w:ascii="Times New Roman" w:eastAsia="Times New Roman" w:hAnsi="Times New Roman" w:cs="Times New Roman"/>
          <w:kern w:val="0"/>
          <w:lang w:eastAsia="en-GB"/>
          <w14:ligatures w14:val="none"/>
        </w:rPr>
      </w:pPr>
    </w:p>
    <w:p w14:paraId="3F5C5D09" w14:textId="50D5BEC5" w:rsidR="008B6AF7" w:rsidRPr="008B6AF7" w:rsidRDefault="008B6AF7" w:rsidP="008B6AF7">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Conclusion</w:t>
      </w:r>
      <w:r w:rsidRPr="008B6AF7">
        <w:rPr>
          <w:rFonts w:ascii="Times New Roman" w:eastAsia="Times New Roman" w:hAnsi="Times New Roman" w:cs="Times New Roman"/>
          <w:kern w:val="0"/>
          <w:lang w:eastAsia="en-GB"/>
          <w14:ligatures w14:val="none"/>
        </w:rPr>
        <w:br/>
        <w:t xml:space="preserve">This report examined the importance of </w:t>
      </w:r>
      <w:r w:rsidRPr="008B6AF7">
        <w:rPr>
          <w:rFonts w:ascii="Times New Roman" w:eastAsia="Times New Roman" w:hAnsi="Times New Roman" w:cs="Times New Roman"/>
          <w:kern w:val="0"/>
          <w:lang w:eastAsia="en-GB"/>
          <w14:ligatures w14:val="none"/>
        </w:rPr>
        <w:t>Person-Centred</w:t>
      </w:r>
      <w:r w:rsidRPr="008B6AF7">
        <w:rPr>
          <w:rFonts w:ascii="Times New Roman" w:eastAsia="Times New Roman" w:hAnsi="Times New Roman" w:cs="Times New Roman"/>
          <w:kern w:val="0"/>
          <w:lang w:eastAsia="en-GB"/>
          <w14:ligatures w14:val="none"/>
        </w:rPr>
        <w:t xml:space="preserve"> Care and Partnership Working in Learning Disability Services. PCC promotes autonomy, dignity and personalised support, while PW enhances coordination and overall outcomes. Theories, ethical principles and legislation all reinforce the need for high-quality, person-led care. Despite challenges, effective PCC and PW lead to improved wellbeing and inclusion. The recommendations presented highlight opportunities for further developing more collaborative, personalised and inclusive learning disability services.</w:t>
      </w:r>
    </w:p>
    <w:p w14:paraId="1B96DC94"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69EED8" w14:textId="3D37C46C"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Reference</w:t>
      </w:r>
    </w:p>
    <w:p w14:paraId="5BFCC6BC"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Baxter, S., Johnson, M., Chambers, D., Sutton, A. and Goyder, E. (2018) ‘The effects of integrated care: A systematic review of UK and international evidence.’ BMC Health Services Research, 18(1), pp. 1–13.</w:t>
      </w:r>
    </w:p>
    <w:p w14:paraId="0B60F437"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 xml:space="preserve">Beauchamp, T. and Childress, J. (2019) Principles of Biomedical Ethics. 8th </w:t>
      </w:r>
      <w:proofErr w:type="spellStart"/>
      <w:r w:rsidRPr="008B6AF7">
        <w:rPr>
          <w:rFonts w:ascii="Times New Roman" w:eastAsia="Times New Roman" w:hAnsi="Times New Roman" w:cs="Times New Roman"/>
          <w:kern w:val="0"/>
          <w:lang w:eastAsia="en-GB"/>
          <w14:ligatures w14:val="none"/>
        </w:rPr>
        <w:t>edn</w:t>
      </w:r>
      <w:proofErr w:type="spellEnd"/>
      <w:r w:rsidRPr="008B6AF7">
        <w:rPr>
          <w:rFonts w:ascii="Times New Roman" w:eastAsia="Times New Roman" w:hAnsi="Times New Roman" w:cs="Times New Roman"/>
          <w:kern w:val="0"/>
          <w:lang w:eastAsia="en-GB"/>
          <w14:ligatures w14:val="none"/>
        </w:rPr>
        <w:t>. Oxford: Oxford University Press.</w:t>
      </w:r>
    </w:p>
    <w:p w14:paraId="21859442"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8B6AF7">
        <w:rPr>
          <w:rFonts w:ascii="Times New Roman" w:eastAsia="Times New Roman" w:hAnsi="Times New Roman" w:cs="Times New Roman"/>
          <w:kern w:val="0"/>
          <w:lang w:eastAsia="en-GB"/>
          <w14:ligatures w14:val="none"/>
        </w:rPr>
        <w:lastRenderedPageBreak/>
        <w:t>Carnwell</w:t>
      </w:r>
      <w:proofErr w:type="spellEnd"/>
      <w:r w:rsidRPr="008B6AF7">
        <w:rPr>
          <w:rFonts w:ascii="Times New Roman" w:eastAsia="Times New Roman" w:hAnsi="Times New Roman" w:cs="Times New Roman"/>
          <w:kern w:val="0"/>
          <w:lang w:eastAsia="en-GB"/>
          <w14:ligatures w14:val="none"/>
        </w:rPr>
        <w:t>, R. and Buchanan, J. (2005) Effective Practice in Health, Social Care and Criminal Justice. Maidenhead: Open University Press.</w:t>
      </w:r>
    </w:p>
    <w:p w14:paraId="1C957D3F"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Coulter, A., Roberts, S. and Dixon, A. (2015) Delivering Better Services for People with Long-term Conditions. London: The King’s Fund.</w:t>
      </w:r>
    </w:p>
    <w:p w14:paraId="2DF2A87D"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DHSC (2022) Health and Care Act 2022: Fact Sheet. London: Department of Health and Social Care.</w:t>
      </w:r>
    </w:p>
    <w:p w14:paraId="51368BA4"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 xml:space="preserve">Glasby, J. and Dickinson, H. (2014) Partnership Working in Health and Social Care. 2nd </w:t>
      </w:r>
      <w:proofErr w:type="spellStart"/>
      <w:r w:rsidRPr="008B6AF7">
        <w:rPr>
          <w:rFonts w:ascii="Times New Roman" w:eastAsia="Times New Roman" w:hAnsi="Times New Roman" w:cs="Times New Roman"/>
          <w:kern w:val="0"/>
          <w:lang w:eastAsia="en-GB"/>
          <w14:ligatures w14:val="none"/>
        </w:rPr>
        <w:t>edn</w:t>
      </w:r>
      <w:proofErr w:type="spellEnd"/>
      <w:r w:rsidRPr="008B6AF7">
        <w:rPr>
          <w:rFonts w:ascii="Times New Roman" w:eastAsia="Times New Roman" w:hAnsi="Times New Roman" w:cs="Times New Roman"/>
          <w:kern w:val="0"/>
          <w:lang w:eastAsia="en-GB"/>
          <w14:ligatures w14:val="none"/>
        </w:rPr>
        <w:t>. Bristol: Policy Press.</w:t>
      </w:r>
    </w:p>
    <w:p w14:paraId="3497F050"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Health Foundation (2016) Person-centred Care Made Simple. London: The Health Foundation.</w:t>
      </w:r>
    </w:p>
    <w:p w14:paraId="43EB0FD1"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Mencap (2020) Death by Indifference Report Update. London: Mencap.</w:t>
      </w:r>
    </w:p>
    <w:p w14:paraId="2BCAAE34"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 xml:space="preserve">McCormack, B. and McCance, T. (2017) Person-Centred Practice in Nursing and Health Care. 2nd </w:t>
      </w:r>
      <w:proofErr w:type="spellStart"/>
      <w:r w:rsidRPr="008B6AF7">
        <w:rPr>
          <w:rFonts w:ascii="Times New Roman" w:eastAsia="Times New Roman" w:hAnsi="Times New Roman" w:cs="Times New Roman"/>
          <w:kern w:val="0"/>
          <w:lang w:eastAsia="en-GB"/>
          <w14:ligatures w14:val="none"/>
        </w:rPr>
        <w:t>edn</w:t>
      </w:r>
      <w:proofErr w:type="spellEnd"/>
      <w:r w:rsidRPr="008B6AF7">
        <w:rPr>
          <w:rFonts w:ascii="Times New Roman" w:eastAsia="Times New Roman" w:hAnsi="Times New Roman" w:cs="Times New Roman"/>
          <w:kern w:val="0"/>
          <w:lang w:eastAsia="en-GB"/>
          <w14:ligatures w14:val="none"/>
        </w:rPr>
        <w:t>. Oxford: Wiley Blackwell.</w:t>
      </w:r>
    </w:p>
    <w:p w14:paraId="1989BC3D"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NHS England (2022) Integrated Care Systems: Design Framework. London: NHS England.</w:t>
      </w:r>
    </w:p>
    <w:p w14:paraId="54071E3D"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NICE (2018) Decision-Making and Mental Capacity. NG108. London: National Institute for Health and Care Excellence.</w:t>
      </w:r>
    </w:p>
    <w:p w14:paraId="301FFF33"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NICE (2021) Learning Disability and Behaviour That Challenges. NG11. London: National Institute for Health and Care Excellence.</w:t>
      </w:r>
    </w:p>
    <w:p w14:paraId="568E16BA"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Oliver, M. (1990) The Politics of Disablement. Basingstoke: Macmillan.</w:t>
      </w:r>
    </w:p>
    <w:p w14:paraId="240AB730"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RCN (2021) Workforce in Crisis: Staff Shortages in Health and Social Care. London: Royal College of Nursing.</w:t>
      </w:r>
    </w:p>
    <w:p w14:paraId="4A226934"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Rogers, C. (1961) On Becoming a Person. Boston: Houghton Mifflin.</w:t>
      </w:r>
    </w:p>
    <w:p w14:paraId="252AD5A5"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Taylor, B. (2017) ‘Barriers to person-centred care in learning disability services.’ British Journal of Learning Disabilities, 45(3), pp. 180–189.</w:t>
      </w:r>
    </w:p>
    <w:p w14:paraId="7752E80A"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Townsley, R., Abbott, D. and Watson, D. (2012) ‘Making a difference in learning disability services.’ British Journal of Social Work, 42(4), pp. 730–748.</w:t>
      </w:r>
    </w:p>
    <w:p w14:paraId="429CC450"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Tuffrey-Wijne, I. (2013) Safeguarding People with Learning Disabilities. London: Jessica Kingsley Publishers.</w:t>
      </w:r>
    </w:p>
    <w:p w14:paraId="1324147F" w14:textId="77777777" w:rsidR="008B6AF7" w:rsidRPr="008B6AF7" w:rsidRDefault="008B6AF7" w:rsidP="008B6A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B6AF7">
        <w:rPr>
          <w:rFonts w:ascii="Times New Roman" w:eastAsia="Times New Roman" w:hAnsi="Times New Roman" w:cs="Times New Roman"/>
          <w:kern w:val="0"/>
          <w:lang w:eastAsia="en-GB"/>
          <w14:ligatures w14:val="none"/>
        </w:rPr>
        <w:t>Tuffrey-Wijne, I. and Hollins, S. (2014) ‘Preventing deaths in people with learning disabilities.’ British Journal of Psychiatry, 205(6), pp. 431–432.</w:t>
      </w:r>
    </w:p>
    <w:p w14:paraId="358CAFB4" w14:textId="77777777" w:rsidR="00EF2BD8" w:rsidRDefault="00EF2BD8"/>
    <w:sectPr w:rsidR="00EF2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AF7"/>
    <w:rsid w:val="00255734"/>
    <w:rsid w:val="002F07AE"/>
    <w:rsid w:val="005939B9"/>
    <w:rsid w:val="008B6AF7"/>
    <w:rsid w:val="00A879A3"/>
    <w:rsid w:val="00EF2BD8"/>
    <w:rsid w:val="00FD5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5093"/>
  <w15:chartTrackingRefBased/>
  <w15:docId w15:val="{2D9666A8-A5A4-4CA9-80EA-DE452854B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A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A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A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A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A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A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AF7"/>
    <w:rPr>
      <w:rFonts w:eastAsiaTheme="majorEastAsia" w:cstheme="majorBidi"/>
      <w:color w:val="272727" w:themeColor="text1" w:themeTint="D8"/>
    </w:rPr>
  </w:style>
  <w:style w:type="paragraph" w:styleId="Title">
    <w:name w:val="Title"/>
    <w:basedOn w:val="Normal"/>
    <w:next w:val="Normal"/>
    <w:link w:val="TitleChar"/>
    <w:uiPriority w:val="10"/>
    <w:qFormat/>
    <w:rsid w:val="008B6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AF7"/>
    <w:pPr>
      <w:spacing w:before="160"/>
      <w:jc w:val="center"/>
    </w:pPr>
    <w:rPr>
      <w:i/>
      <w:iCs/>
      <w:color w:val="404040" w:themeColor="text1" w:themeTint="BF"/>
    </w:rPr>
  </w:style>
  <w:style w:type="character" w:customStyle="1" w:styleId="QuoteChar">
    <w:name w:val="Quote Char"/>
    <w:basedOn w:val="DefaultParagraphFont"/>
    <w:link w:val="Quote"/>
    <w:uiPriority w:val="29"/>
    <w:rsid w:val="008B6AF7"/>
    <w:rPr>
      <w:i/>
      <w:iCs/>
      <w:color w:val="404040" w:themeColor="text1" w:themeTint="BF"/>
    </w:rPr>
  </w:style>
  <w:style w:type="paragraph" w:styleId="ListParagraph">
    <w:name w:val="List Paragraph"/>
    <w:basedOn w:val="Normal"/>
    <w:uiPriority w:val="34"/>
    <w:qFormat/>
    <w:rsid w:val="008B6AF7"/>
    <w:pPr>
      <w:ind w:left="720"/>
      <w:contextualSpacing/>
    </w:pPr>
  </w:style>
  <w:style w:type="character" w:styleId="IntenseEmphasis">
    <w:name w:val="Intense Emphasis"/>
    <w:basedOn w:val="DefaultParagraphFont"/>
    <w:uiPriority w:val="21"/>
    <w:qFormat/>
    <w:rsid w:val="008B6AF7"/>
    <w:rPr>
      <w:i/>
      <w:iCs/>
      <w:color w:val="0F4761" w:themeColor="accent1" w:themeShade="BF"/>
    </w:rPr>
  </w:style>
  <w:style w:type="paragraph" w:styleId="IntenseQuote">
    <w:name w:val="Intense Quote"/>
    <w:basedOn w:val="Normal"/>
    <w:next w:val="Normal"/>
    <w:link w:val="IntenseQuoteChar"/>
    <w:uiPriority w:val="30"/>
    <w:qFormat/>
    <w:rsid w:val="008B6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AF7"/>
    <w:rPr>
      <w:i/>
      <w:iCs/>
      <w:color w:val="0F4761" w:themeColor="accent1" w:themeShade="BF"/>
    </w:rPr>
  </w:style>
  <w:style w:type="character" w:styleId="IntenseReference">
    <w:name w:val="Intense Reference"/>
    <w:basedOn w:val="DefaultParagraphFont"/>
    <w:uiPriority w:val="32"/>
    <w:qFormat/>
    <w:rsid w:val="008B6A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1492</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Nafia Rinbi</dc:creator>
  <cp:keywords/>
  <dc:description/>
  <cp:lastModifiedBy>Nafia Rinbi</cp:lastModifiedBy>
  <cp:revision>2</cp:revision>
  <dcterms:created xsi:type="dcterms:W3CDTF">2025-11-14T21:04:00Z</dcterms:created>
  <dcterms:modified xsi:type="dcterms:W3CDTF">2025-11-14T21:35:00Z</dcterms:modified>
</cp:coreProperties>
</file>