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93962" w14:textId="23E838A8" w:rsidR="003A71D1" w:rsidRPr="00C23C62" w:rsidRDefault="00721B95" w:rsidP="00721B95">
      <w:pPr>
        <w:spacing w:line="360" w:lineRule="auto"/>
        <w:jc w:val="center"/>
        <w:rPr>
          <w:b/>
          <w:bCs/>
          <w:color w:val="000000" w:themeColor="text1"/>
          <w:sz w:val="42"/>
          <w:szCs w:val="42"/>
        </w:rPr>
      </w:pPr>
      <w:r w:rsidRPr="00C23C62">
        <w:rPr>
          <w:b/>
          <w:bCs/>
          <w:color w:val="000000" w:themeColor="text1"/>
          <w:sz w:val="42"/>
          <w:szCs w:val="42"/>
        </w:rPr>
        <w:t>Developing Workplace Critical Thinking: BMSW5101</w:t>
      </w:r>
    </w:p>
    <w:p w14:paraId="16DA94D7" w14:textId="5A8CBBB8" w:rsidR="007D3ACC" w:rsidRPr="00C23C62" w:rsidRDefault="007D3ACC" w:rsidP="007D3ACC">
      <w:pPr>
        <w:spacing w:line="360" w:lineRule="auto"/>
        <w:jc w:val="both"/>
        <w:rPr>
          <w:color w:val="000000" w:themeColor="text1"/>
          <w:sz w:val="34"/>
          <w:szCs w:val="34"/>
        </w:rPr>
      </w:pPr>
    </w:p>
    <w:p w14:paraId="640A63D9" w14:textId="2CEB6771" w:rsidR="007D3ACC" w:rsidRDefault="00E731BC" w:rsidP="00E731BC">
      <w:pPr>
        <w:spacing w:line="360" w:lineRule="auto"/>
        <w:jc w:val="center"/>
        <w:rPr>
          <w:b/>
          <w:bCs/>
          <w:color w:val="000000" w:themeColor="text1"/>
          <w:sz w:val="34"/>
          <w:szCs w:val="34"/>
        </w:rPr>
      </w:pPr>
      <w:r w:rsidRPr="00C23C62">
        <w:rPr>
          <w:b/>
          <w:bCs/>
          <w:color w:val="000000" w:themeColor="text1"/>
          <w:sz w:val="34"/>
          <w:szCs w:val="34"/>
        </w:rPr>
        <w:t>Task 1- Management Essay</w:t>
      </w:r>
    </w:p>
    <w:p w14:paraId="0C48B61E" w14:textId="77777777" w:rsidR="008333A6" w:rsidRDefault="008333A6" w:rsidP="00E731BC">
      <w:pPr>
        <w:spacing w:line="360" w:lineRule="auto"/>
        <w:jc w:val="center"/>
        <w:rPr>
          <w:b/>
          <w:bCs/>
          <w:color w:val="000000" w:themeColor="text1"/>
          <w:sz w:val="34"/>
          <w:szCs w:val="34"/>
        </w:rPr>
      </w:pPr>
    </w:p>
    <w:p w14:paraId="1B3864AE" w14:textId="3AB1F9D0" w:rsidR="008333A6" w:rsidRDefault="008333A6" w:rsidP="00E731BC">
      <w:pPr>
        <w:spacing w:line="360" w:lineRule="auto"/>
        <w:jc w:val="center"/>
        <w:rPr>
          <w:b/>
          <w:bCs/>
          <w:color w:val="000000" w:themeColor="text1"/>
          <w:sz w:val="34"/>
          <w:szCs w:val="34"/>
        </w:rPr>
      </w:pPr>
      <w:r>
        <w:rPr>
          <w:b/>
          <w:bCs/>
          <w:color w:val="000000" w:themeColor="text1"/>
          <w:sz w:val="34"/>
          <w:szCs w:val="34"/>
        </w:rPr>
        <w:t xml:space="preserve">Jahangir khalaj savojbolagh </w:t>
      </w:r>
    </w:p>
    <w:p w14:paraId="4D462EBF" w14:textId="77777777" w:rsidR="00DC5310" w:rsidRDefault="00DC5310" w:rsidP="00E731BC">
      <w:pPr>
        <w:spacing w:line="360" w:lineRule="auto"/>
        <w:jc w:val="center"/>
        <w:rPr>
          <w:b/>
          <w:bCs/>
          <w:color w:val="000000" w:themeColor="text1"/>
          <w:sz w:val="34"/>
          <w:szCs w:val="34"/>
        </w:rPr>
      </w:pPr>
    </w:p>
    <w:p w14:paraId="44751293" w14:textId="2374A762" w:rsidR="008333A6" w:rsidRDefault="00DC5310" w:rsidP="00E731BC">
      <w:pPr>
        <w:spacing w:line="360" w:lineRule="auto"/>
        <w:jc w:val="center"/>
        <w:rPr>
          <w:b/>
          <w:bCs/>
          <w:color w:val="000000" w:themeColor="text1"/>
          <w:sz w:val="34"/>
          <w:szCs w:val="34"/>
        </w:rPr>
      </w:pPr>
      <w:r>
        <w:rPr>
          <w:b/>
          <w:bCs/>
          <w:color w:val="000000" w:themeColor="text1"/>
          <w:sz w:val="34"/>
          <w:szCs w:val="34"/>
        </w:rPr>
        <w:t>BMSW</w:t>
      </w:r>
      <w:r w:rsidR="008333A6">
        <w:rPr>
          <w:b/>
          <w:bCs/>
          <w:color w:val="000000" w:themeColor="text1"/>
          <w:sz w:val="34"/>
          <w:szCs w:val="34"/>
        </w:rPr>
        <w:t>5101</w:t>
      </w:r>
    </w:p>
    <w:p w14:paraId="6F12B6E7" w14:textId="77777777" w:rsidR="00DC5310" w:rsidRDefault="00DC5310" w:rsidP="00E731BC">
      <w:pPr>
        <w:spacing w:line="360" w:lineRule="auto"/>
        <w:jc w:val="center"/>
        <w:rPr>
          <w:b/>
          <w:bCs/>
          <w:color w:val="000000" w:themeColor="text1"/>
          <w:sz w:val="34"/>
          <w:szCs w:val="34"/>
        </w:rPr>
      </w:pPr>
    </w:p>
    <w:p w14:paraId="5C9EA5E8" w14:textId="267C72E0" w:rsidR="00DC5310" w:rsidRDefault="00DC5310" w:rsidP="00E731BC">
      <w:pPr>
        <w:spacing w:line="360" w:lineRule="auto"/>
        <w:jc w:val="center"/>
        <w:rPr>
          <w:b/>
          <w:bCs/>
          <w:color w:val="000000" w:themeColor="text1"/>
          <w:sz w:val="34"/>
          <w:szCs w:val="34"/>
        </w:rPr>
      </w:pPr>
      <w:r>
        <w:rPr>
          <w:b/>
          <w:bCs/>
          <w:color w:val="000000" w:themeColor="text1"/>
          <w:sz w:val="34"/>
          <w:szCs w:val="34"/>
        </w:rPr>
        <w:t>2109914</w:t>
      </w:r>
    </w:p>
    <w:p w14:paraId="685BC3D5" w14:textId="77777777" w:rsidR="00DC5310" w:rsidRDefault="00DC5310" w:rsidP="00E731BC">
      <w:pPr>
        <w:spacing w:line="360" w:lineRule="auto"/>
        <w:jc w:val="center"/>
        <w:rPr>
          <w:b/>
          <w:bCs/>
          <w:color w:val="000000" w:themeColor="text1"/>
          <w:sz w:val="34"/>
          <w:szCs w:val="34"/>
        </w:rPr>
      </w:pPr>
    </w:p>
    <w:p w14:paraId="7C758C93" w14:textId="77777777" w:rsidR="008333A6" w:rsidRPr="00C23C62" w:rsidRDefault="008333A6" w:rsidP="00E731BC">
      <w:pPr>
        <w:spacing w:line="360" w:lineRule="auto"/>
        <w:jc w:val="center"/>
        <w:rPr>
          <w:b/>
          <w:bCs/>
          <w:color w:val="000000" w:themeColor="text1"/>
          <w:sz w:val="34"/>
          <w:szCs w:val="34"/>
        </w:rPr>
      </w:pPr>
    </w:p>
    <w:p w14:paraId="4E32D25C" w14:textId="0EBCE446" w:rsidR="007D3ACC" w:rsidRDefault="007D3ACC" w:rsidP="007D3ACC">
      <w:pPr>
        <w:spacing w:line="360" w:lineRule="auto"/>
        <w:jc w:val="both"/>
        <w:rPr>
          <w:color w:val="000000" w:themeColor="text1"/>
          <w:sz w:val="24"/>
          <w:szCs w:val="24"/>
        </w:rPr>
      </w:pPr>
    </w:p>
    <w:p w14:paraId="47BAF894" w14:textId="6ADF32B6" w:rsidR="00E731BC" w:rsidRDefault="00E731BC">
      <w:pPr>
        <w:rPr>
          <w:color w:val="000000" w:themeColor="text1"/>
          <w:sz w:val="24"/>
          <w:szCs w:val="24"/>
        </w:rPr>
      </w:pPr>
      <w:r>
        <w:rPr>
          <w:color w:val="000000" w:themeColor="text1"/>
          <w:sz w:val="24"/>
          <w:szCs w:val="24"/>
        </w:rPr>
        <w:br w:type="page"/>
      </w:r>
    </w:p>
    <w:p w14:paraId="64F36170" w14:textId="77777777" w:rsidR="00061B5A" w:rsidRPr="00061B5A" w:rsidRDefault="00061B5A" w:rsidP="00061B5A">
      <w:pPr>
        <w:spacing w:line="360" w:lineRule="auto"/>
        <w:jc w:val="both"/>
        <w:rPr>
          <w:b/>
          <w:bCs/>
          <w:color w:val="000000" w:themeColor="text1"/>
          <w:sz w:val="28"/>
          <w:szCs w:val="28"/>
          <w:lang w:val="en-GB"/>
        </w:rPr>
      </w:pPr>
      <w:r w:rsidRPr="00061B5A">
        <w:rPr>
          <w:b/>
          <w:bCs/>
          <w:color w:val="000000" w:themeColor="text1"/>
          <w:sz w:val="28"/>
          <w:szCs w:val="28"/>
          <w:lang w:val="en-GB"/>
        </w:rPr>
        <w:lastRenderedPageBreak/>
        <w:t>Introduction</w:t>
      </w:r>
    </w:p>
    <w:p w14:paraId="67EDF986" w14:textId="1498A72B"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 xml:space="preserve">According to Robbins et al. (2014), management theories are "a synthesis of the best thinking and practice" on how a business should be managed. Conceptual frameworks, tools, tactics, and strategies are all components of management theories that aim to solve specific problems inside an organisation (Azad et al., 2017). That's why it's crucial for businesses to have a good grasp of important management ideas. According to Regier and Redish (2015), the contingent theory of management stipulates that "the managerial approach should be tailored to the situation, rather than applying a single management model." There is no one optimal method for making business decisions or managing a corporation. Instead, the dynamics and circumstances both inside and beyond the company influence the viability of a certain business choice. When two or more parties engage in antagonistic behaviour against one another in order to achieve their respective goals, this is called a conflict. Therefore, the ability to resolve conflicts peacefully and effectively is a crucial strategic advantage for every business. The </w:t>
      </w:r>
      <w:r w:rsidR="00D003EF" w:rsidRPr="00061B5A">
        <w:rPr>
          <w:color w:val="000000" w:themeColor="text1"/>
          <w:sz w:val="24"/>
          <w:szCs w:val="24"/>
          <w:lang w:val="en-GB"/>
        </w:rPr>
        <w:t>fast-food</w:t>
      </w:r>
      <w:r w:rsidRPr="00061B5A">
        <w:rPr>
          <w:color w:val="000000" w:themeColor="text1"/>
          <w:sz w:val="24"/>
          <w:szCs w:val="24"/>
          <w:lang w:val="en-GB"/>
        </w:rPr>
        <w:t xml:space="preserve"> chain McDonald's will serve as the case study for this management paper.</w:t>
      </w:r>
    </w:p>
    <w:p w14:paraId="2F8A82D7" w14:textId="77777777" w:rsid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McDonald's, founded in 1940, is a globally renowned fast-food retailer with over 39,000 outlets in more than 100 countries (McDonald's, 2022). Serving approximately 69 million customers daily, it offers a varied menu, including signature items like Big Macs and McNuggets, while also adapting to regional tastes (McDonald's, 2022). The company targets a broad demographic, appealing to all age groups through affordability, convenience, and specialized offerings like Happy Meals. McDonald's ongoing commitment to healthier choices and sustainability underlines its operational ethos.</w:t>
      </w:r>
    </w:p>
    <w:p w14:paraId="1ED6DE2D" w14:textId="77777777" w:rsidR="00C23C62" w:rsidRDefault="00C23C62" w:rsidP="00061B5A">
      <w:pPr>
        <w:spacing w:line="360" w:lineRule="auto"/>
        <w:jc w:val="both"/>
        <w:rPr>
          <w:color w:val="000000" w:themeColor="text1"/>
          <w:sz w:val="24"/>
          <w:szCs w:val="24"/>
          <w:lang w:val="en-GB"/>
        </w:rPr>
      </w:pPr>
    </w:p>
    <w:p w14:paraId="5390724A" w14:textId="77777777" w:rsidR="00C23C62" w:rsidRDefault="00C23C62" w:rsidP="00061B5A">
      <w:pPr>
        <w:spacing w:line="360" w:lineRule="auto"/>
        <w:jc w:val="both"/>
        <w:rPr>
          <w:color w:val="000000" w:themeColor="text1"/>
          <w:sz w:val="24"/>
          <w:szCs w:val="24"/>
          <w:lang w:val="en-GB"/>
        </w:rPr>
      </w:pPr>
    </w:p>
    <w:p w14:paraId="5297B424" w14:textId="77777777" w:rsidR="00C23C62" w:rsidRDefault="00C23C62" w:rsidP="00061B5A">
      <w:pPr>
        <w:spacing w:line="360" w:lineRule="auto"/>
        <w:jc w:val="both"/>
        <w:rPr>
          <w:color w:val="000000" w:themeColor="text1"/>
          <w:sz w:val="24"/>
          <w:szCs w:val="24"/>
          <w:lang w:val="en-GB"/>
        </w:rPr>
      </w:pPr>
    </w:p>
    <w:p w14:paraId="4BE23916" w14:textId="77777777" w:rsidR="00C23C62" w:rsidRDefault="00C23C62" w:rsidP="00061B5A">
      <w:pPr>
        <w:spacing w:line="360" w:lineRule="auto"/>
        <w:jc w:val="both"/>
        <w:rPr>
          <w:color w:val="000000" w:themeColor="text1"/>
          <w:sz w:val="24"/>
          <w:szCs w:val="24"/>
          <w:lang w:val="en-GB"/>
        </w:rPr>
      </w:pPr>
    </w:p>
    <w:p w14:paraId="739B21CD" w14:textId="77777777" w:rsidR="00C23C62" w:rsidRPr="00061B5A" w:rsidRDefault="00C23C62" w:rsidP="00061B5A">
      <w:pPr>
        <w:spacing w:line="360" w:lineRule="auto"/>
        <w:jc w:val="both"/>
        <w:rPr>
          <w:color w:val="000000" w:themeColor="text1"/>
          <w:sz w:val="24"/>
          <w:szCs w:val="24"/>
          <w:lang w:val="en-GB"/>
        </w:rPr>
      </w:pPr>
    </w:p>
    <w:p w14:paraId="6FCA40ED" w14:textId="4AACFCAE" w:rsidR="00061B5A" w:rsidRPr="00061B5A" w:rsidRDefault="00D003EF" w:rsidP="00061B5A">
      <w:pPr>
        <w:spacing w:line="360" w:lineRule="auto"/>
        <w:jc w:val="both"/>
        <w:rPr>
          <w:b/>
          <w:bCs/>
          <w:color w:val="000000" w:themeColor="text1"/>
          <w:sz w:val="28"/>
          <w:szCs w:val="28"/>
          <w:lang w:val="en-GB"/>
        </w:rPr>
      </w:pPr>
      <w:r w:rsidRPr="00D003EF">
        <w:rPr>
          <w:b/>
          <w:bCs/>
          <w:color w:val="000000" w:themeColor="text1"/>
          <w:sz w:val="28"/>
          <w:szCs w:val="28"/>
          <w:lang w:val="en-GB"/>
        </w:rPr>
        <w:lastRenderedPageBreak/>
        <w:t>Body</w:t>
      </w:r>
    </w:p>
    <w:p w14:paraId="3D29C799"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According to Regier and Redish (2015), contingency management theory is a management paradigm that acknowledges the complexity of organisations and the necessity for managers to tailor their approach to the particular conditions of their environment. This method recognises that there is no "one size fits all" approach to management and that the most successful management approaches are those that are adapted to the specific requirements and obstacles of a given circumstance (Gopee and Galloway, 2017). Managers, according to the principles of contingency management (Ziser et al., 2018), should take into account not only internal factors like organisational size and task complexity but also external ones like the cultural and economic environment in which their business operates.</w:t>
      </w:r>
    </w:p>
    <w:p w14:paraId="06DB0A08"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McDonald's has provided several examples of how the principles of Contingency Management Theory might be used in practice (Tien, 2019). Managers, according to this notion (Otley, 2016), should tailor their strategies to take into account local conditions. McDonald's has shown it can adapt to local tastes by offering a variety of vegetarian and gluten-free options at its Indian restaurants (Tien, 2019; Uddin, 2020). In India, for instance, McDonald's has a number of vegetarian menu items, including burgers, wraps, and even fried chicken prepared with soy and wheat protein (McDonald's, 2022). In light of the fact that Indian customers have distinct cultural and nutritional requirements, the company has adapted its menu in that country accordingly.</w:t>
      </w:r>
    </w:p>
    <w:p w14:paraId="1C1C9965"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In addition to using the principles of contingency management, McDonald's has implemented artificial intelligence and data-driven decision-making (Royle and Rueckert, 2022). In order to better understand consumer preferences and manage company operations, McDonald's has invested extensively in data analytics (McDonald's, 2022). The corporation analyses data in a number of ways, including following patterns in sales to modify the menu and advertising strategies. In an effort to better serve its customers and optimise its business processes, McDonald's has also used artificial intelligence (AI) chatbots and other digital technologies. The adoption of these contemporary technologies by McDonald's suggests that the company is well aware of the need to adapt to changing customer needs and conditions in order to remain successful.</w:t>
      </w:r>
    </w:p>
    <w:p w14:paraId="10356BEB"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lastRenderedPageBreak/>
        <w:t>The fact that McDonald's prioritises home delivery and online/mobile ordering is more proof that the Contingency Management Theory is being put to use (Chia et al., 2020). Fast food restaurants are increasingly turning to Internet platforms for ordering and delivery (Husna et al., 2020), and the corporation has responded accordingly. In order to facilitate online meal orders and real-time delivery tracking, McDonald's has created a user-friendly mobile app and website.</w:t>
      </w:r>
    </w:p>
    <w:p w14:paraId="6C79E0FF"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McDonald's has found success thanks in part to their adoption of the Contingency Management Theory. McDonald's has been able to stay competitive and relevant thanks in large part to the company's ability to adapt to the demands and difficulties of diverse markets and settings (Lynch, 2018; Gendreau and Listwan, 2018). McDonald's is able to respond to changing market conditions and seize opportunities with greater speed and efficiency because of the use of a contingency management approach. McDonald's, for instance, has found success in the culturally and geographically different Indian market by tailoring its menu items to appeal to a larger spectrum of consumers (McDonald's, 2022). Similar to how McDonald's has improved operations and simplified the customer experience via the use of artificial intelligence and data-driven decision-making (Ali, Bangsawan, &amp; Rouly, 2020). In a more and more competitive market, this has helped the firm hold its own.</w:t>
      </w:r>
    </w:p>
    <w:p w14:paraId="1AB9938B" w14:textId="77777777" w:rsid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Optimising organisational performance by adapting management strategies to each company's unique requirements is yet another strength of the Contingency Management Theory (Briggs, Morrison and Coleman, 2012; Olden, 2016). McDonald's has been successful in fostering innovation and enhancing the overall performance of the company as a result of its successful use of the combined knowledge and skills of its staff members. McDonald's, for instance, has established training and development programmes that have increased employee satisfaction and retention by strengthening the skills and capacities of its personnel (McDonald's, 2022). In addition, McDonald's has been able to adapt to the changing demands of its consumers, especially in light of the recent COVID-19 epidemic, by emphasising online and mobile ordering and home delivery.</w:t>
      </w:r>
    </w:p>
    <w:p w14:paraId="60017C5C" w14:textId="77777777" w:rsidR="00C23C62" w:rsidRPr="00061B5A" w:rsidRDefault="00C23C62" w:rsidP="00061B5A">
      <w:pPr>
        <w:spacing w:line="360" w:lineRule="auto"/>
        <w:jc w:val="both"/>
        <w:rPr>
          <w:color w:val="000000" w:themeColor="text1"/>
          <w:sz w:val="24"/>
          <w:szCs w:val="24"/>
          <w:lang w:val="en-GB"/>
        </w:rPr>
      </w:pPr>
    </w:p>
    <w:p w14:paraId="5C5E0D8B"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lastRenderedPageBreak/>
        <w:t>According to Stranger, Budney, and Bickel (2013), one of the possible drawbacks is that the implementation of management theory may be difficult and time-consuming, and it may need considerable expenditures in training and development. A prime example is how time and money are wasted on McDonald's emphasis on staff training and development, a central tenet of modern management philosophy. This is because it may need substantial investment in order to provide continuous training and support to staff.</w:t>
      </w:r>
    </w:p>
    <w:p w14:paraId="1F3A635E"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Modern management theory also has the potential drawback of being difficult to execute and integrate into an already-established corporate culture (Armstrong, 2016; Islam and Hu, 2012). Conflicts and disputes with local customs and cultures may arise as a result of McDonald's worldwide development and the need to adapt its management strategy to the distinctive requirements of each region. This might make it hard to apply new management practices and increase resistance to change (Liphadzi, Aigbavboa and Thwala, 2017). However, in a fast-paced and cutthroat market like fast food, the emphasis on cooperation and collaboration in modern management philosophy may also be problematic. In a vast and diversified workforce, it may be difficult to ensure that workers work together efficiently and are able to share their skills and ideas. The risk of becoming out of date or irrelevant over time is another drawback of modern management philosophy (Islam and Hu, 2012). New management ideas and practices may become more useful or suitable for McDonald's as the company environment and market circumstances continue to change.</w:t>
      </w:r>
    </w:p>
    <w:p w14:paraId="1E02C6C5"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Conflicts are almost inevitable in an organisation of McDonald's size, just as they are in any huge firm (Ejimabo, 2015). Disagreements at McDonald's may stem from a number of different places, including differences in strategy and decision-making, tensions within departments or teams, and tensions between managers and workers (Baysinger &amp; Butler, 2019). In McDonald's, the struggle between centralization and decentralisation may lead to friction. Because of its size and worldwide reach, McDonald's must strike a balance between centralised management and uniformity and decentralised flexibility in response to local market circumstances (Watt et al., 2019). Decision-making and resource distribution are two areas where tensions may arise between corporate and local management.</w:t>
      </w:r>
    </w:p>
    <w:p w14:paraId="6B904131"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lastRenderedPageBreak/>
        <w:t>McDonald's may also experience tension due to the difficulty the company has in keeping its culture consistent despite its fast development (Dike et al., 2015; Al-Gamrh et al., 2020). Integration of new personnel and teams into the established corporate culture is a difficulty when the organisation develops into new regions and cultures. This may lead to tensions and disputes between the many groups and departments within an organisation, and it can also weaken the feeling of unity and shared purpose that is essential to the success of an organisation. In addition, disagreements inside McDonald's are caused by tensions between the company's many stakeholders (Baysinger and Butler, 2019). These stakeholders include workers, stockholders, consumers, and local communities. Problems might emerge between the corporation and its local communities over problems like environmental effects or labour practices or between the company and its workers over issues like salary and working conditions.</w:t>
      </w:r>
    </w:p>
    <w:p w14:paraId="1821D589"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Finally, in a fast-changing and complicated corporate environment, conflicts may also occur from the difficulties of adopting and integrating new management practices and technology (Watt et al., 2019). Tensions and disputes may arise inside an organisation as a result of its adoption of modern management practices like AI and data-driven decision-making, especially among individuals who are resistant to change or who do not fully comprehend the consequences of these new practices.</w:t>
      </w:r>
    </w:p>
    <w:p w14:paraId="6509AF6D" w14:textId="77777777" w:rsid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Competing, cooperating, compromising, avoiding, and accommodating are the five facets of the Thomas-Kilmann Model of conflict resolution (Riasi &amp; Asadzadeh, 2015). To begin, competition is a trait that emphasises looking out for number one at the detriment of everyone else (Islam and Rimi, 2017). Instead of fighting against one another, collaborators pool their resources to create a compromise that benefits everyone involved (Moore, 2014). In contrast to avoiding, which is staying out of the conflict entirely, compromising entails arriving at a solution that is satisfactory to all parties involved (Nischal, 2014). Last but not least, being accommodating is thinking about other people before oneself.</w:t>
      </w:r>
    </w:p>
    <w:p w14:paraId="655912C3" w14:textId="77777777" w:rsidR="00C23C62" w:rsidRDefault="00C23C62" w:rsidP="00061B5A">
      <w:pPr>
        <w:spacing w:line="360" w:lineRule="auto"/>
        <w:jc w:val="both"/>
        <w:rPr>
          <w:color w:val="000000" w:themeColor="text1"/>
          <w:sz w:val="24"/>
          <w:szCs w:val="24"/>
          <w:lang w:val="en-GB"/>
        </w:rPr>
      </w:pPr>
    </w:p>
    <w:p w14:paraId="7BECEA06" w14:textId="77777777" w:rsidR="00C23C62" w:rsidRPr="00061B5A" w:rsidRDefault="00C23C62" w:rsidP="00061B5A">
      <w:pPr>
        <w:spacing w:line="360" w:lineRule="auto"/>
        <w:jc w:val="both"/>
        <w:rPr>
          <w:color w:val="000000" w:themeColor="text1"/>
          <w:sz w:val="24"/>
          <w:szCs w:val="24"/>
          <w:lang w:val="en-GB"/>
        </w:rPr>
      </w:pPr>
    </w:p>
    <w:p w14:paraId="3F9BCD74"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lastRenderedPageBreak/>
        <w:t>For McDonald's, the nature of the disagreement determines which aspects of the Thomas-Kilmann Model are most applicable (Finkelman and Finkelman, 2012). A collaborative approach may be best, for instance, if the dispute includes a disagreement over strategy or decision-making. As part of this process, stakeholders from various groups are brought together to brainstorm a solution that works for everyone involved (Islam &amp; Rimi, 2017). However, if the issue at hand is how to divide up limited resources, it may be best to compromise (Riasi &amp; Asadzadeh, 2015). Because of this, McDonald's has to develop a solution that satisfies the requirements of all involved parties, such as distributing the available resources in accordance with their respective levels of importance or degree of need. Finally, if the conflict is minimal or not worth the time and resources necessary to settle it, avoidance may be the most suitable dimension of the Thomas-Kilmann Model (Nischal, 2014). Although avoidance is tempting, it should be used sparingly since it may sometimes make things worse.</w:t>
      </w:r>
    </w:p>
    <w:p w14:paraId="5725A159" w14:textId="77777777" w:rsidR="00061B5A" w:rsidRPr="00061B5A" w:rsidRDefault="00061B5A" w:rsidP="00061B5A">
      <w:pPr>
        <w:spacing w:line="360" w:lineRule="auto"/>
        <w:jc w:val="both"/>
        <w:rPr>
          <w:b/>
          <w:bCs/>
          <w:color w:val="000000" w:themeColor="text1"/>
          <w:sz w:val="28"/>
          <w:szCs w:val="28"/>
          <w:lang w:val="en-GB"/>
        </w:rPr>
      </w:pPr>
      <w:r w:rsidRPr="00061B5A">
        <w:rPr>
          <w:b/>
          <w:bCs/>
          <w:color w:val="000000" w:themeColor="text1"/>
          <w:sz w:val="28"/>
          <w:szCs w:val="28"/>
          <w:lang w:val="en-GB"/>
        </w:rPr>
        <w:t>Conclusion</w:t>
      </w:r>
    </w:p>
    <w:p w14:paraId="59ABB4BD" w14:textId="77777777" w:rsidR="00061B5A" w:rsidRPr="00061B5A" w:rsidRDefault="00061B5A" w:rsidP="00061B5A">
      <w:pPr>
        <w:spacing w:line="360" w:lineRule="auto"/>
        <w:jc w:val="both"/>
        <w:rPr>
          <w:color w:val="000000" w:themeColor="text1"/>
          <w:sz w:val="24"/>
          <w:szCs w:val="24"/>
          <w:lang w:val="en-GB"/>
        </w:rPr>
      </w:pPr>
      <w:r w:rsidRPr="00061B5A">
        <w:rPr>
          <w:color w:val="000000" w:themeColor="text1"/>
          <w:sz w:val="24"/>
          <w:szCs w:val="24"/>
          <w:lang w:val="en-GB"/>
        </w:rPr>
        <w:t>McDonald's was able to meet the demands of customers in a variety of markets because the company used theories of management like the Contingency Management Theory and was flexible enough to meet the obstacles presented by local conditions. Its continued success may be attributed in large part to the company's dedication to its employees by way of training and development, menu customization, artificial intelligence and data-driven decision-making, and online/mobile ordering and home delivery. When conflicts emerge at McDonald's, they may be addressed by using strategies from the competing, cooperating, compromising, avoiding, and accommodating dimensions of the Thomas-Kilmann Model. Overall, McDonald's dedication to development and change, as well as the adoption of new management techniques and the peaceful settlement of internal disputes, will be necessary to keep the company at the forefront of its industry.</w:t>
      </w:r>
    </w:p>
    <w:p w14:paraId="2B419599" w14:textId="77777777" w:rsidR="00061B5A" w:rsidRPr="00061B5A" w:rsidRDefault="00061B5A" w:rsidP="00061B5A">
      <w:pPr>
        <w:spacing w:line="360" w:lineRule="auto"/>
        <w:jc w:val="both"/>
        <w:rPr>
          <w:color w:val="000000" w:themeColor="text1"/>
          <w:sz w:val="24"/>
          <w:szCs w:val="24"/>
          <w:lang w:val="en-GB"/>
        </w:rPr>
      </w:pPr>
    </w:p>
    <w:p w14:paraId="0E14C762" w14:textId="23588A65" w:rsidR="00061B5A" w:rsidRDefault="00061B5A">
      <w:pPr>
        <w:rPr>
          <w:color w:val="000000" w:themeColor="text1"/>
          <w:sz w:val="24"/>
          <w:szCs w:val="24"/>
          <w:lang w:val="en-GB"/>
        </w:rPr>
      </w:pPr>
      <w:r>
        <w:rPr>
          <w:color w:val="000000" w:themeColor="text1"/>
          <w:sz w:val="24"/>
          <w:szCs w:val="24"/>
          <w:lang w:val="en-GB"/>
        </w:rPr>
        <w:br w:type="page"/>
      </w:r>
    </w:p>
    <w:p w14:paraId="16C208F4" w14:textId="4A66C053" w:rsidR="00061B5A" w:rsidRPr="000F2F25" w:rsidRDefault="000F2F25" w:rsidP="00061B5A">
      <w:pPr>
        <w:spacing w:line="360" w:lineRule="auto"/>
        <w:jc w:val="both"/>
        <w:rPr>
          <w:b/>
          <w:bCs/>
          <w:color w:val="000000" w:themeColor="text1"/>
          <w:sz w:val="32"/>
          <w:szCs w:val="32"/>
          <w:lang w:val="en-GB"/>
        </w:rPr>
      </w:pPr>
      <w:r w:rsidRPr="000F2F25">
        <w:rPr>
          <w:b/>
          <w:bCs/>
          <w:color w:val="000000" w:themeColor="text1"/>
          <w:sz w:val="32"/>
          <w:szCs w:val="32"/>
          <w:lang w:val="en-GB"/>
        </w:rPr>
        <w:lastRenderedPageBreak/>
        <w:t>References</w:t>
      </w:r>
    </w:p>
    <w:p w14:paraId="7CD820FC" w14:textId="77777777" w:rsidR="00314D8B" w:rsidRPr="00314D8B" w:rsidRDefault="00314D8B" w:rsidP="00314D8B">
      <w:pPr>
        <w:spacing w:line="360" w:lineRule="auto"/>
        <w:jc w:val="both"/>
        <w:rPr>
          <w:rFonts w:cstheme="minorHAnsi"/>
          <w:color w:val="000000" w:themeColor="text1"/>
          <w:sz w:val="32"/>
          <w:szCs w:val="32"/>
        </w:rPr>
      </w:pPr>
      <w:r w:rsidRPr="00314D8B">
        <w:rPr>
          <w:rFonts w:cstheme="minorHAnsi"/>
          <w:color w:val="000000" w:themeColor="text1"/>
          <w:sz w:val="24"/>
          <w:szCs w:val="24"/>
          <w:shd w:val="clear" w:color="auto" w:fill="FFFFFF"/>
        </w:rPr>
        <w:t>Al-Gamrh, B., Ku Ismail, K. N. I., Ahsan, T., and Alquhaif, A. (2020). Investment opportunities, corporate governance quality, and firm performance in the UAE. </w:t>
      </w:r>
      <w:r w:rsidRPr="00314D8B">
        <w:rPr>
          <w:rFonts w:cstheme="minorHAnsi"/>
          <w:i/>
          <w:iCs/>
          <w:color w:val="000000" w:themeColor="text1"/>
          <w:sz w:val="24"/>
          <w:szCs w:val="24"/>
          <w:shd w:val="clear" w:color="auto" w:fill="FFFFFF"/>
        </w:rPr>
        <w:t>Journal of Accounting in Emerging Economies</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10</w:t>
      </w:r>
      <w:r w:rsidRPr="00314D8B">
        <w:rPr>
          <w:rFonts w:cstheme="minorHAnsi"/>
          <w:color w:val="000000" w:themeColor="text1"/>
          <w:sz w:val="24"/>
          <w:szCs w:val="24"/>
          <w:shd w:val="clear" w:color="auto" w:fill="FFFFFF"/>
        </w:rPr>
        <w:t>(2), 261-276.</w:t>
      </w:r>
    </w:p>
    <w:p w14:paraId="0A766A7F"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Ali, M., Bangsawan, S., and Rouly, D. (2020). Consumer characteristics and the effects of social factors on purchasing decisions of Kentucky Fried Chicken (MCDONALD’S) eco-friendly products. In </w:t>
      </w:r>
      <w:r w:rsidRPr="00314D8B">
        <w:rPr>
          <w:rFonts w:cstheme="minorHAnsi"/>
          <w:i/>
          <w:iCs/>
          <w:color w:val="000000" w:themeColor="text1"/>
          <w:sz w:val="24"/>
          <w:szCs w:val="24"/>
          <w:shd w:val="clear" w:color="auto" w:fill="FFFFFF"/>
        </w:rPr>
        <w:t>The Future Opportunities and Challenges of Business in Digital Era 4.0</w:t>
      </w:r>
      <w:r w:rsidRPr="00314D8B">
        <w:rPr>
          <w:rFonts w:cstheme="minorHAnsi"/>
          <w:color w:val="000000" w:themeColor="text1"/>
          <w:sz w:val="24"/>
          <w:szCs w:val="24"/>
          <w:shd w:val="clear" w:color="auto" w:fill="FFFFFF"/>
        </w:rPr>
        <w:t> (pp. 86-89). Routledge.</w:t>
      </w:r>
    </w:p>
    <w:p w14:paraId="7BE042DB"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Armstrong, M. (2016). </w:t>
      </w:r>
      <w:r w:rsidRPr="00314D8B">
        <w:rPr>
          <w:rFonts w:cstheme="minorHAnsi"/>
          <w:i/>
          <w:iCs/>
          <w:sz w:val="24"/>
          <w:szCs w:val="24"/>
          <w:shd w:val="clear" w:color="auto" w:fill="FFFFFF"/>
        </w:rPr>
        <w:t>Armstrong's handbook of management and leadership for HR: Developing effective people skills for better leadership and management</w:t>
      </w:r>
      <w:r w:rsidRPr="00314D8B">
        <w:rPr>
          <w:rFonts w:cstheme="minorHAnsi"/>
          <w:sz w:val="24"/>
          <w:szCs w:val="24"/>
          <w:shd w:val="clear" w:color="auto" w:fill="FFFFFF"/>
        </w:rPr>
        <w:t>. Kogan Page Publishers.</w:t>
      </w:r>
    </w:p>
    <w:p w14:paraId="6571B8A7"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Azad, N., Anderson, H. G., Brooks, A., Garza, O., O’Neil, C., Stutz, M. M., and Sobotka, J. L. (2017). Leadership and management are one and the same. </w:t>
      </w:r>
      <w:r w:rsidRPr="00314D8B">
        <w:rPr>
          <w:rFonts w:cstheme="minorHAnsi"/>
          <w:i/>
          <w:iCs/>
          <w:sz w:val="24"/>
          <w:szCs w:val="24"/>
          <w:shd w:val="clear" w:color="auto" w:fill="FFFFFF"/>
        </w:rPr>
        <w:t>American Journal of Pharmaceutical Education</w:t>
      </w:r>
      <w:r w:rsidRPr="00314D8B">
        <w:rPr>
          <w:rFonts w:cstheme="minorHAnsi"/>
          <w:sz w:val="24"/>
          <w:szCs w:val="24"/>
          <w:shd w:val="clear" w:color="auto" w:fill="FFFFFF"/>
        </w:rPr>
        <w:t>, </w:t>
      </w:r>
      <w:r w:rsidRPr="00314D8B">
        <w:rPr>
          <w:rFonts w:cstheme="minorHAnsi"/>
          <w:i/>
          <w:iCs/>
          <w:sz w:val="24"/>
          <w:szCs w:val="24"/>
          <w:shd w:val="clear" w:color="auto" w:fill="FFFFFF"/>
        </w:rPr>
        <w:t>81</w:t>
      </w:r>
      <w:r w:rsidRPr="00314D8B">
        <w:rPr>
          <w:rFonts w:cstheme="minorHAnsi"/>
          <w:sz w:val="24"/>
          <w:szCs w:val="24"/>
          <w:shd w:val="clear" w:color="auto" w:fill="FFFFFF"/>
        </w:rPr>
        <w:t>(6).</w:t>
      </w:r>
    </w:p>
    <w:p w14:paraId="56C5CA7D"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Baysinger, B. D., and Butler, H. N. (2019). Corporate governance and the board of directors: Performance effects of changes in board composition. In </w:t>
      </w:r>
      <w:r w:rsidRPr="00314D8B">
        <w:rPr>
          <w:rFonts w:cstheme="minorHAnsi"/>
          <w:i/>
          <w:iCs/>
          <w:color w:val="000000" w:themeColor="text1"/>
          <w:sz w:val="24"/>
          <w:szCs w:val="24"/>
          <w:shd w:val="clear" w:color="auto" w:fill="FFFFFF"/>
        </w:rPr>
        <w:t>Corporate Governance</w:t>
      </w:r>
      <w:r w:rsidRPr="00314D8B">
        <w:rPr>
          <w:rFonts w:cstheme="minorHAnsi"/>
          <w:color w:val="000000" w:themeColor="text1"/>
          <w:sz w:val="24"/>
          <w:szCs w:val="24"/>
          <w:shd w:val="clear" w:color="auto" w:fill="FFFFFF"/>
        </w:rPr>
        <w:t> (pp. 215-238). Gower.</w:t>
      </w:r>
    </w:p>
    <w:p w14:paraId="7CF605DB"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Briggs, A. R., Morrison, M., and Coleman, M. (2012). </w:t>
      </w:r>
      <w:r w:rsidRPr="00314D8B">
        <w:rPr>
          <w:rFonts w:cstheme="minorHAnsi"/>
          <w:i/>
          <w:iCs/>
          <w:sz w:val="24"/>
          <w:szCs w:val="24"/>
          <w:shd w:val="clear" w:color="auto" w:fill="FFFFFF"/>
        </w:rPr>
        <w:t>Research methods in educational leadership and management</w:t>
      </w:r>
      <w:r w:rsidRPr="00314D8B">
        <w:rPr>
          <w:rFonts w:cstheme="minorHAnsi"/>
          <w:sz w:val="24"/>
          <w:szCs w:val="24"/>
          <w:shd w:val="clear" w:color="auto" w:fill="FFFFFF"/>
        </w:rPr>
        <w:t>. Sage Publications.</w:t>
      </w:r>
    </w:p>
    <w:p w14:paraId="054BAAB5"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Chia, X. R., Kee, D. M. H., Khor, S. T., Chin, K. Y., Lok, T. X., Almutairi, H. A., ... and Kulkarni, S. (2020). Contributing Factors to Organizational Success: A Case Study of McDonald’s. </w:t>
      </w:r>
      <w:r w:rsidRPr="00314D8B">
        <w:rPr>
          <w:rFonts w:cstheme="minorHAnsi"/>
          <w:i/>
          <w:iCs/>
          <w:sz w:val="24"/>
          <w:szCs w:val="24"/>
          <w:shd w:val="clear" w:color="auto" w:fill="FFFFFF"/>
        </w:rPr>
        <w:t>International Journal of Tourism and Hospitality in Asia Pasific (IJTHAP)</w:t>
      </w:r>
      <w:r w:rsidRPr="00314D8B">
        <w:rPr>
          <w:rFonts w:cstheme="minorHAnsi"/>
          <w:sz w:val="24"/>
          <w:szCs w:val="24"/>
          <w:shd w:val="clear" w:color="auto" w:fill="FFFFFF"/>
        </w:rPr>
        <w:t>, </w:t>
      </w:r>
      <w:r w:rsidRPr="00314D8B">
        <w:rPr>
          <w:rFonts w:cstheme="minorHAnsi"/>
          <w:i/>
          <w:iCs/>
          <w:sz w:val="24"/>
          <w:szCs w:val="24"/>
          <w:shd w:val="clear" w:color="auto" w:fill="FFFFFF"/>
        </w:rPr>
        <w:t>3</w:t>
      </w:r>
      <w:r w:rsidRPr="00314D8B">
        <w:rPr>
          <w:rFonts w:cstheme="minorHAnsi"/>
          <w:sz w:val="24"/>
          <w:szCs w:val="24"/>
          <w:shd w:val="clear" w:color="auto" w:fill="FFFFFF"/>
        </w:rPr>
        <w:t>(2), 38-47.</w:t>
      </w:r>
    </w:p>
    <w:p w14:paraId="42E096E1"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Dike, V. E., Odiwe, K., Ehujor, D. M., and Dike, V. E. (2015). Leadership and management in the 21st century organizations: A practical approach. </w:t>
      </w:r>
      <w:r w:rsidRPr="00314D8B">
        <w:rPr>
          <w:rFonts w:cstheme="minorHAnsi"/>
          <w:i/>
          <w:iCs/>
          <w:sz w:val="24"/>
          <w:szCs w:val="24"/>
          <w:shd w:val="clear" w:color="auto" w:fill="FFFFFF"/>
        </w:rPr>
        <w:t>World Journal of Social Science Research</w:t>
      </w:r>
      <w:r w:rsidRPr="00314D8B">
        <w:rPr>
          <w:rFonts w:cstheme="minorHAnsi"/>
          <w:sz w:val="24"/>
          <w:szCs w:val="24"/>
          <w:shd w:val="clear" w:color="auto" w:fill="FFFFFF"/>
        </w:rPr>
        <w:t>, </w:t>
      </w:r>
      <w:r w:rsidRPr="00314D8B">
        <w:rPr>
          <w:rFonts w:cstheme="minorHAnsi"/>
          <w:i/>
          <w:iCs/>
          <w:sz w:val="24"/>
          <w:szCs w:val="24"/>
          <w:shd w:val="clear" w:color="auto" w:fill="FFFFFF"/>
        </w:rPr>
        <w:t>2</w:t>
      </w:r>
      <w:r w:rsidRPr="00314D8B">
        <w:rPr>
          <w:rFonts w:cstheme="minorHAnsi"/>
          <w:sz w:val="24"/>
          <w:szCs w:val="24"/>
          <w:shd w:val="clear" w:color="auto" w:fill="FFFFFF"/>
        </w:rPr>
        <w:t>(2).</w:t>
      </w:r>
    </w:p>
    <w:p w14:paraId="3D090743"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Ejimabo, N. O. (2015). The influence of decision making in organizational leadership and management activities. </w:t>
      </w:r>
      <w:r w:rsidRPr="00314D8B">
        <w:rPr>
          <w:rFonts w:cstheme="minorHAnsi"/>
          <w:i/>
          <w:iCs/>
          <w:sz w:val="24"/>
          <w:szCs w:val="24"/>
          <w:shd w:val="clear" w:color="auto" w:fill="FFFFFF"/>
        </w:rPr>
        <w:t>Journal of Entrepreneurship and Organization Management</w:t>
      </w:r>
      <w:r w:rsidRPr="00314D8B">
        <w:rPr>
          <w:rFonts w:cstheme="minorHAnsi"/>
          <w:sz w:val="24"/>
          <w:szCs w:val="24"/>
          <w:shd w:val="clear" w:color="auto" w:fill="FFFFFF"/>
        </w:rPr>
        <w:t>, </w:t>
      </w:r>
      <w:r w:rsidRPr="00314D8B">
        <w:rPr>
          <w:rFonts w:cstheme="minorHAnsi"/>
          <w:i/>
          <w:iCs/>
          <w:sz w:val="24"/>
          <w:szCs w:val="24"/>
          <w:shd w:val="clear" w:color="auto" w:fill="FFFFFF"/>
        </w:rPr>
        <w:t>4</w:t>
      </w:r>
      <w:r w:rsidRPr="00314D8B">
        <w:rPr>
          <w:rFonts w:cstheme="minorHAnsi"/>
          <w:sz w:val="24"/>
          <w:szCs w:val="24"/>
          <w:shd w:val="clear" w:color="auto" w:fill="FFFFFF"/>
        </w:rPr>
        <w:t>(2), 2222-2839.</w:t>
      </w:r>
    </w:p>
    <w:p w14:paraId="1E6860CC" w14:textId="77777777" w:rsidR="00314D8B" w:rsidRPr="00314D8B" w:rsidRDefault="00314D8B" w:rsidP="007D3ACC">
      <w:pPr>
        <w:spacing w:line="360" w:lineRule="auto"/>
        <w:jc w:val="both"/>
        <w:rPr>
          <w:rFonts w:cstheme="minorHAnsi"/>
          <w:sz w:val="24"/>
          <w:szCs w:val="24"/>
          <w:shd w:val="clear" w:color="auto" w:fill="FFFFFF"/>
        </w:rPr>
      </w:pPr>
      <w:r w:rsidRPr="00314D8B">
        <w:rPr>
          <w:rFonts w:cstheme="minorHAnsi"/>
          <w:sz w:val="24"/>
          <w:szCs w:val="24"/>
          <w:shd w:val="clear" w:color="auto" w:fill="FFFFFF"/>
        </w:rPr>
        <w:lastRenderedPageBreak/>
        <w:t>Finkelman, A. W., and Finkelman, A. W. (2012). </w:t>
      </w:r>
      <w:r w:rsidRPr="00314D8B">
        <w:rPr>
          <w:rFonts w:cstheme="minorHAnsi"/>
          <w:i/>
          <w:iCs/>
          <w:sz w:val="24"/>
          <w:szCs w:val="24"/>
          <w:shd w:val="clear" w:color="auto" w:fill="FFFFFF"/>
        </w:rPr>
        <w:t>Leadership and management for nurses: Core competencies for quality care</w:t>
      </w:r>
      <w:r w:rsidRPr="00314D8B">
        <w:rPr>
          <w:rFonts w:cstheme="minorHAnsi"/>
          <w:sz w:val="24"/>
          <w:szCs w:val="24"/>
          <w:shd w:val="clear" w:color="auto" w:fill="FFFFFF"/>
        </w:rPr>
        <w:t> (p. 528). Upper Sadler River, NJ: Pearson.</w:t>
      </w:r>
    </w:p>
    <w:p w14:paraId="25562237"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Gendreau, P., and Listwan, S. J. (2018). Contingency management programs in corrections: Another panacea?. </w:t>
      </w:r>
      <w:r w:rsidRPr="00314D8B">
        <w:rPr>
          <w:rFonts w:cstheme="minorHAnsi"/>
          <w:i/>
          <w:iCs/>
          <w:color w:val="000000" w:themeColor="text1"/>
          <w:sz w:val="24"/>
          <w:szCs w:val="24"/>
          <w:shd w:val="clear" w:color="auto" w:fill="FFFFFF"/>
        </w:rPr>
        <w:t>Journal of Contemporary Criminal Justice</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34</w:t>
      </w:r>
      <w:r w:rsidRPr="00314D8B">
        <w:rPr>
          <w:rFonts w:cstheme="minorHAnsi"/>
          <w:color w:val="000000" w:themeColor="text1"/>
          <w:sz w:val="24"/>
          <w:szCs w:val="24"/>
          <w:shd w:val="clear" w:color="auto" w:fill="FFFFFF"/>
        </w:rPr>
        <w:t>(1), 35-46.</w:t>
      </w:r>
    </w:p>
    <w:p w14:paraId="746B62FB"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Gopee, N., and Galloway, J. (2017). </w:t>
      </w:r>
      <w:r w:rsidRPr="00314D8B">
        <w:rPr>
          <w:rFonts w:cstheme="minorHAnsi"/>
          <w:i/>
          <w:iCs/>
          <w:sz w:val="24"/>
          <w:szCs w:val="24"/>
          <w:shd w:val="clear" w:color="auto" w:fill="FFFFFF"/>
        </w:rPr>
        <w:t>Leadership and management in healthcare</w:t>
      </w:r>
      <w:r w:rsidRPr="00314D8B">
        <w:rPr>
          <w:rFonts w:cstheme="minorHAnsi"/>
          <w:sz w:val="24"/>
          <w:szCs w:val="24"/>
          <w:shd w:val="clear" w:color="auto" w:fill="FFFFFF"/>
        </w:rPr>
        <w:t>. Sage.</w:t>
      </w:r>
    </w:p>
    <w:p w14:paraId="56C13091"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Husna, N., Kee, D. M. H., Amirah, N. W., Syazreeza, R., Fatihah, N. A., Pandey, S., ... and Pandey, R. (2020). How organizational management affect employees’ motivation and service quality: A study of Kentucky Fried Chicken (MCDONALD’S). </w:t>
      </w:r>
      <w:r w:rsidRPr="00314D8B">
        <w:rPr>
          <w:rFonts w:cstheme="minorHAnsi"/>
          <w:i/>
          <w:iCs/>
          <w:color w:val="000000" w:themeColor="text1"/>
          <w:sz w:val="24"/>
          <w:szCs w:val="24"/>
          <w:shd w:val="clear" w:color="auto" w:fill="FFFFFF"/>
        </w:rPr>
        <w:t>International Journal of Applied Business and International Management (IJABIM)</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5</w:t>
      </w:r>
      <w:r w:rsidRPr="00314D8B">
        <w:rPr>
          <w:rFonts w:cstheme="minorHAnsi"/>
          <w:color w:val="000000" w:themeColor="text1"/>
          <w:sz w:val="24"/>
          <w:szCs w:val="24"/>
          <w:shd w:val="clear" w:color="auto" w:fill="FFFFFF"/>
        </w:rPr>
        <w:t>(2), 73-81.</w:t>
      </w:r>
    </w:p>
    <w:p w14:paraId="4C710E68"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Islam, J., and Hu, H. (2012). A review of literature on contingency theory in managerial accounting. </w:t>
      </w:r>
      <w:r w:rsidRPr="00314D8B">
        <w:rPr>
          <w:rFonts w:cstheme="minorHAnsi"/>
          <w:i/>
          <w:iCs/>
          <w:color w:val="000000" w:themeColor="text1"/>
          <w:sz w:val="24"/>
          <w:szCs w:val="24"/>
          <w:shd w:val="clear" w:color="auto" w:fill="FFFFFF"/>
        </w:rPr>
        <w:t>African journal of business management</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6</w:t>
      </w:r>
      <w:r w:rsidRPr="00314D8B">
        <w:rPr>
          <w:rFonts w:cstheme="minorHAnsi"/>
          <w:color w:val="000000" w:themeColor="text1"/>
          <w:sz w:val="24"/>
          <w:szCs w:val="24"/>
          <w:shd w:val="clear" w:color="auto" w:fill="FFFFFF"/>
        </w:rPr>
        <w:t>(15), 5159.</w:t>
      </w:r>
    </w:p>
    <w:p w14:paraId="28427C8E"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Islam, N., and Rimi, N. S. (2017). Conflict management technique in private commercial banks of Bangladesh: an application of Thomas-Kilmann conflict handling model. </w:t>
      </w:r>
      <w:r w:rsidRPr="00314D8B">
        <w:rPr>
          <w:rFonts w:cstheme="minorHAnsi"/>
          <w:i/>
          <w:iCs/>
          <w:sz w:val="24"/>
          <w:szCs w:val="24"/>
          <w:shd w:val="clear" w:color="auto" w:fill="FFFFFF"/>
        </w:rPr>
        <w:t>European Journal of Business and Management</w:t>
      </w:r>
      <w:r w:rsidRPr="00314D8B">
        <w:rPr>
          <w:rFonts w:cstheme="minorHAnsi"/>
          <w:sz w:val="24"/>
          <w:szCs w:val="24"/>
          <w:shd w:val="clear" w:color="auto" w:fill="FFFFFF"/>
        </w:rPr>
        <w:t>, </w:t>
      </w:r>
      <w:r w:rsidRPr="00314D8B">
        <w:rPr>
          <w:rFonts w:cstheme="minorHAnsi"/>
          <w:i/>
          <w:iCs/>
          <w:sz w:val="24"/>
          <w:szCs w:val="24"/>
          <w:shd w:val="clear" w:color="auto" w:fill="FFFFFF"/>
        </w:rPr>
        <w:t>9</w:t>
      </w:r>
      <w:r w:rsidRPr="00314D8B">
        <w:rPr>
          <w:rFonts w:cstheme="minorHAnsi"/>
          <w:sz w:val="24"/>
          <w:szCs w:val="24"/>
          <w:shd w:val="clear" w:color="auto" w:fill="FFFFFF"/>
        </w:rPr>
        <w:t>(29), 91-99.</w:t>
      </w:r>
    </w:p>
    <w:p w14:paraId="19B12616"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Liphadzi, M., Aigbavboa, C. O., and Thwala, W. D. (2017). A theoretical perspective on the difference between leadership and management. </w:t>
      </w:r>
      <w:r w:rsidRPr="00314D8B">
        <w:rPr>
          <w:rFonts w:cstheme="minorHAnsi"/>
          <w:i/>
          <w:iCs/>
          <w:sz w:val="24"/>
          <w:szCs w:val="24"/>
          <w:shd w:val="clear" w:color="auto" w:fill="FFFFFF"/>
        </w:rPr>
        <w:t>Procedia engineering</w:t>
      </w:r>
      <w:r w:rsidRPr="00314D8B">
        <w:rPr>
          <w:rFonts w:cstheme="minorHAnsi"/>
          <w:sz w:val="24"/>
          <w:szCs w:val="24"/>
          <w:shd w:val="clear" w:color="auto" w:fill="FFFFFF"/>
        </w:rPr>
        <w:t>, </w:t>
      </w:r>
      <w:r w:rsidRPr="00314D8B">
        <w:rPr>
          <w:rFonts w:cstheme="minorHAnsi"/>
          <w:i/>
          <w:iCs/>
          <w:sz w:val="24"/>
          <w:szCs w:val="24"/>
          <w:shd w:val="clear" w:color="auto" w:fill="FFFFFF"/>
        </w:rPr>
        <w:t>196</w:t>
      </w:r>
      <w:r w:rsidRPr="00314D8B">
        <w:rPr>
          <w:rFonts w:cstheme="minorHAnsi"/>
          <w:sz w:val="24"/>
          <w:szCs w:val="24"/>
          <w:shd w:val="clear" w:color="auto" w:fill="FFFFFF"/>
        </w:rPr>
        <w:t>, 478-482.</w:t>
      </w:r>
    </w:p>
    <w:p w14:paraId="3C0ECCF2"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Lynch, C. (2018). Love, leadership and McDonald's. </w:t>
      </w:r>
      <w:r w:rsidRPr="00314D8B">
        <w:rPr>
          <w:rFonts w:cstheme="minorHAnsi"/>
          <w:i/>
          <w:iCs/>
          <w:sz w:val="24"/>
          <w:szCs w:val="24"/>
          <w:shd w:val="clear" w:color="auto" w:fill="FFFFFF"/>
        </w:rPr>
        <w:t>Journal of the European Pentecostal Theological Association</w:t>
      </w:r>
      <w:r w:rsidRPr="00314D8B">
        <w:rPr>
          <w:rFonts w:cstheme="minorHAnsi"/>
          <w:sz w:val="24"/>
          <w:szCs w:val="24"/>
          <w:shd w:val="clear" w:color="auto" w:fill="FFFFFF"/>
        </w:rPr>
        <w:t>, </w:t>
      </w:r>
      <w:r w:rsidRPr="00314D8B">
        <w:rPr>
          <w:rFonts w:cstheme="minorHAnsi"/>
          <w:i/>
          <w:iCs/>
          <w:sz w:val="24"/>
          <w:szCs w:val="24"/>
          <w:shd w:val="clear" w:color="auto" w:fill="FFFFFF"/>
        </w:rPr>
        <w:t>38</w:t>
      </w:r>
      <w:r w:rsidRPr="00314D8B">
        <w:rPr>
          <w:rFonts w:cstheme="minorHAnsi"/>
          <w:sz w:val="24"/>
          <w:szCs w:val="24"/>
          <w:shd w:val="clear" w:color="auto" w:fill="FFFFFF"/>
        </w:rPr>
        <w:t>(2), 113-125.</w:t>
      </w:r>
    </w:p>
    <w:p w14:paraId="1ED9272C" w14:textId="77777777" w:rsidR="00314D8B" w:rsidRPr="00314D8B" w:rsidRDefault="00314D8B" w:rsidP="00314D8B">
      <w:pPr>
        <w:spacing w:line="360" w:lineRule="auto"/>
        <w:jc w:val="both"/>
        <w:rPr>
          <w:rFonts w:ascii="Calibri" w:hAnsi="Calibri" w:cs="Calibri"/>
          <w:color w:val="000000"/>
          <w:sz w:val="24"/>
          <w:szCs w:val="24"/>
          <w:lang w:val="en-GB"/>
        </w:rPr>
      </w:pPr>
      <w:r w:rsidRPr="00314D8B">
        <w:rPr>
          <w:rFonts w:ascii="Calibri" w:hAnsi="Calibri" w:cs="Calibri"/>
          <w:color w:val="000000"/>
          <w:sz w:val="24"/>
          <w:szCs w:val="24"/>
          <w:lang w:val="en-GB"/>
        </w:rPr>
        <w:t xml:space="preserve">McDonald's, (2022). </w:t>
      </w:r>
      <w:r w:rsidRPr="00314D8B">
        <w:rPr>
          <w:rFonts w:ascii="Calibri" w:hAnsi="Calibri" w:cs="Calibri"/>
          <w:i/>
          <w:iCs/>
          <w:color w:val="000000"/>
          <w:sz w:val="24"/>
          <w:szCs w:val="24"/>
          <w:lang w:val="en-GB"/>
        </w:rPr>
        <w:t>Annual Report 2022</w:t>
      </w:r>
      <w:r w:rsidRPr="00314D8B">
        <w:rPr>
          <w:rFonts w:ascii="Calibri" w:hAnsi="Calibri" w:cs="Calibri"/>
          <w:color w:val="000000"/>
          <w:sz w:val="24"/>
          <w:szCs w:val="24"/>
          <w:lang w:val="en-GB"/>
        </w:rPr>
        <w:t xml:space="preserve">. [Online]. Available at </w:t>
      </w:r>
      <w:hyperlink r:id="rId6" w:history="1">
        <w:r w:rsidRPr="00314D8B">
          <w:rPr>
            <w:rFonts w:ascii="Calibri" w:hAnsi="Calibri" w:cs="Calibri"/>
            <w:color w:val="000000"/>
            <w:sz w:val="24"/>
            <w:szCs w:val="24"/>
            <w:lang w:val="en-GB"/>
          </w:rPr>
          <w:t>https://corporate.mcdonalds.com/content/dam/sites/corp/nfl/pdf/MCD_2023_Annual_Report.pdf</w:t>
        </w:r>
      </w:hyperlink>
      <w:r w:rsidRPr="00314D8B">
        <w:rPr>
          <w:rFonts w:ascii="Calibri" w:hAnsi="Calibri" w:cs="Calibri"/>
          <w:color w:val="000000"/>
          <w:sz w:val="24"/>
          <w:szCs w:val="24"/>
          <w:lang w:val="en-GB"/>
        </w:rPr>
        <w:t xml:space="preserve"> [Assessed date 5 June 2023]</w:t>
      </w:r>
    </w:p>
    <w:p w14:paraId="0BC092DD"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Middlehurst, R. (2012). Leadership and management in higher education: A research perspective. </w:t>
      </w:r>
      <w:r w:rsidRPr="00314D8B">
        <w:rPr>
          <w:rFonts w:cstheme="minorHAnsi"/>
          <w:i/>
          <w:iCs/>
          <w:sz w:val="24"/>
          <w:szCs w:val="24"/>
          <w:shd w:val="clear" w:color="auto" w:fill="FFFFFF"/>
        </w:rPr>
        <w:t>Maastricht School of Management Working Papers</w:t>
      </w:r>
      <w:r w:rsidRPr="00314D8B">
        <w:rPr>
          <w:rFonts w:cstheme="minorHAnsi"/>
          <w:sz w:val="24"/>
          <w:szCs w:val="24"/>
          <w:shd w:val="clear" w:color="auto" w:fill="FFFFFF"/>
        </w:rPr>
        <w:t>, (2012/47).’</w:t>
      </w:r>
    </w:p>
    <w:p w14:paraId="75CECD86"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Moore, C. W. (2014). </w:t>
      </w:r>
      <w:r w:rsidRPr="00314D8B">
        <w:rPr>
          <w:rFonts w:cstheme="minorHAnsi"/>
          <w:i/>
          <w:iCs/>
          <w:color w:val="000000" w:themeColor="text1"/>
          <w:sz w:val="24"/>
          <w:szCs w:val="24"/>
          <w:shd w:val="clear" w:color="auto" w:fill="FFFFFF"/>
        </w:rPr>
        <w:t>The mediation process: Practical strategies for resolving conflict</w:t>
      </w:r>
      <w:r w:rsidRPr="00314D8B">
        <w:rPr>
          <w:rFonts w:cstheme="minorHAnsi"/>
          <w:color w:val="000000" w:themeColor="text1"/>
          <w:sz w:val="24"/>
          <w:szCs w:val="24"/>
          <w:shd w:val="clear" w:color="auto" w:fill="FFFFFF"/>
        </w:rPr>
        <w:t>. John Wiley and Sons.</w:t>
      </w:r>
    </w:p>
    <w:p w14:paraId="19AF7216"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lastRenderedPageBreak/>
        <w:t>Nischal, S. (2014). Application of Thomas Kilmann conflict resolution mechanism for conflict management in HR of manufacturing sector. </w:t>
      </w:r>
      <w:r w:rsidRPr="00314D8B">
        <w:rPr>
          <w:rFonts w:cstheme="minorHAnsi"/>
          <w:i/>
          <w:iCs/>
          <w:sz w:val="24"/>
          <w:szCs w:val="24"/>
          <w:shd w:val="clear" w:color="auto" w:fill="FFFFFF"/>
        </w:rPr>
        <w:t>The IIS University-Journal of Commerce and Management</w:t>
      </w:r>
      <w:r w:rsidRPr="00314D8B">
        <w:rPr>
          <w:rFonts w:cstheme="minorHAnsi"/>
          <w:sz w:val="24"/>
          <w:szCs w:val="24"/>
          <w:shd w:val="clear" w:color="auto" w:fill="FFFFFF"/>
        </w:rPr>
        <w:t>, </w:t>
      </w:r>
      <w:r w:rsidRPr="00314D8B">
        <w:rPr>
          <w:rFonts w:cstheme="minorHAnsi"/>
          <w:i/>
          <w:iCs/>
          <w:sz w:val="24"/>
          <w:szCs w:val="24"/>
          <w:shd w:val="clear" w:color="auto" w:fill="FFFFFF"/>
        </w:rPr>
        <w:t>3</w:t>
      </w:r>
      <w:r w:rsidRPr="00314D8B">
        <w:rPr>
          <w:rFonts w:cstheme="minorHAnsi"/>
          <w:sz w:val="24"/>
          <w:szCs w:val="24"/>
          <w:shd w:val="clear" w:color="auto" w:fill="FFFFFF"/>
        </w:rPr>
        <w:t>(1), 62-70.</w:t>
      </w:r>
    </w:p>
    <w:p w14:paraId="7AB878C0"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Olden, P. C. (2016). Contingency management of health care organizations: It depends. </w:t>
      </w:r>
      <w:r w:rsidRPr="00314D8B">
        <w:rPr>
          <w:rFonts w:cstheme="minorHAnsi"/>
          <w:i/>
          <w:iCs/>
          <w:color w:val="000000" w:themeColor="text1"/>
          <w:sz w:val="24"/>
          <w:szCs w:val="24"/>
          <w:shd w:val="clear" w:color="auto" w:fill="FFFFFF"/>
        </w:rPr>
        <w:t>The health care manager</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35</w:t>
      </w:r>
      <w:r w:rsidRPr="00314D8B">
        <w:rPr>
          <w:rFonts w:cstheme="minorHAnsi"/>
          <w:color w:val="000000" w:themeColor="text1"/>
          <w:sz w:val="24"/>
          <w:szCs w:val="24"/>
          <w:shd w:val="clear" w:color="auto" w:fill="FFFFFF"/>
        </w:rPr>
        <w:t>(1), 28-36.</w:t>
      </w:r>
    </w:p>
    <w:p w14:paraId="11FD57E3"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Otley, D. (2016). The contingency theory of management accounting and control: 1980–2014. </w:t>
      </w:r>
      <w:r w:rsidRPr="00314D8B">
        <w:rPr>
          <w:rFonts w:cstheme="minorHAnsi"/>
          <w:i/>
          <w:iCs/>
          <w:color w:val="000000" w:themeColor="text1"/>
          <w:sz w:val="24"/>
          <w:szCs w:val="24"/>
          <w:shd w:val="clear" w:color="auto" w:fill="FFFFFF"/>
        </w:rPr>
        <w:t>Management accounting research</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31</w:t>
      </w:r>
      <w:r w:rsidRPr="00314D8B">
        <w:rPr>
          <w:rFonts w:cstheme="minorHAnsi"/>
          <w:color w:val="000000" w:themeColor="text1"/>
          <w:sz w:val="24"/>
          <w:szCs w:val="24"/>
          <w:shd w:val="clear" w:color="auto" w:fill="FFFFFF"/>
        </w:rPr>
        <w:t>, 45-62.</w:t>
      </w:r>
    </w:p>
    <w:p w14:paraId="3F2155F0"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Regier, P. S., and Redish, A. D. (2015). Contingency management and deliberative decision-making processes. </w:t>
      </w:r>
      <w:r w:rsidRPr="00314D8B">
        <w:rPr>
          <w:rFonts w:cstheme="minorHAnsi"/>
          <w:i/>
          <w:iCs/>
          <w:color w:val="000000" w:themeColor="text1"/>
          <w:sz w:val="24"/>
          <w:szCs w:val="24"/>
          <w:shd w:val="clear" w:color="auto" w:fill="FFFFFF"/>
        </w:rPr>
        <w:t>Frontiers in Psychiatry</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6</w:t>
      </w:r>
      <w:r w:rsidRPr="00314D8B">
        <w:rPr>
          <w:rFonts w:cstheme="minorHAnsi"/>
          <w:color w:val="000000" w:themeColor="text1"/>
          <w:sz w:val="24"/>
          <w:szCs w:val="24"/>
          <w:shd w:val="clear" w:color="auto" w:fill="FFFFFF"/>
        </w:rPr>
        <w:t>, 76.</w:t>
      </w:r>
    </w:p>
    <w:p w14:paraId="7CEAB40C"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Riasi, A., and Asadzadeh, N. (2015). The relationship between principals’ reward power and their conflict management styles based on Thomas–Kilmann conflict mode instrument. </w:t>
      </w:r>
      <w:r w:rsidRPr="00314D8B">
        <w:rPr>
          <w:rFonts w:cstheme="minorHAnsi"/>
          <w:i/>
          <w:iCs/>
          <w:sz w:val="24"/>
          <w:szCs w:val="24"/>
          <w:shd w:val="clear" w:color="auto" w:fill="FFFFFF"/>
        </w:rPr>
        <w:t>Management Science Letters</w:t>
      </w:r>
      <w:r w:rsidRPr="00314D8B">
        <w:rPr>
          <w:rFonts w:cstheme="minorHAnsi"/>
          <w:sz w:val="24"/>
          <w:szCs w:val="24"/>
          <w:shd w:val="clear" w:color="auto" w:fill="FFFFFF"/>
        </w:rPr>
        <w:t>, </w:t>
      </w:r>
      <w:r w:rsidRPr="00314D8B">
        <w:rPr>
          <w:rFonts w:cstheme="minorHAnsi"/>
          <w:i/>
          <w:iCs/>
          <w:sz w:val="24"/>
          <w:szCs w:val="24"/>
          <w:shd w:val="clear" w:color="auto" w:fill="FFFFFF"/>
        </w:rPr>
        <w:t>5</w:t>
      </w:r>
      <w:r w:rsidRPr="00314D8B">
        <w:rPr>
          <w:rFonts w:cstheme="minorHAnsi"/>
          <w:sz w:val="24"/>
          <w:szCs w:val="24"/>
          <w:shd w:val="clear" w:color="auto" w:fill="FFFFFF"/>
        </w:rPr>
        <w:t>(6), 611-618.</w:t>
      </w:r>
    </w:p>
    <w:p w14:paraId="530A24B9"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Robbins, S. P., Bergman, R., Stagg, I., and Coulter, M. (2014). </w:t>
      </w:r>
      <w:r w:rsidRPr="00314D8B">
        <w:rPr>
          <w:rFonts w:cstheme="minorHAnsi"/>
          <w:i/>
          <w:iCs/>
          <w:color w:val="000000" w:themeColor="text1"/>
          <w:sz w:val="24"/>
          <w:szCs w:val="24"/>
          <w:shd w:val="clear" w:color="auto" w:fill="FFFFFF"/>
        </w:rPr>
        <w:t>Management</w:t>
      </w:r>
      <w:r w:rsidRPr="00314D8B">
        <w:rPr>
          <w:rFonts w:cstheme="minorHAnsi"/>
          <w:color w:val="000000" w:themeColor="text1"/>
          <w:sz w:val="24"/>
          <w:szCs w:val="24"/>
          <w:shd w:val="clear" w:color="auto" w:fill="FFFFFF"/>
        </w:rPr>
        <w:t>. Pearson Australia.</w:t>
      </w:r>
    </w:p>
    <w:p w14:paraId="472FAA7E"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Royle, T., and Rueckert, Y. (2022). McStrike! Framing,(political) opportunity and the development of a collective identity: McDonald’s and the UK Fast-Food Rights Campaign. </w:t>
      </w:r>
      <w:r w:rsidRPr="00314D8B">
        <w:rPr>
          <w:rFonts w:cstheme="minorHAnsi"/>
          <w:i/>
          <w:iCs/>
          <w:sz w:val="24"/>
          <w:szCs w:val="24"/>
          <w:shd w:val="clear" w:color="auto" w:fill="FFFFFF"/>
        </w:rPr>
        <w:t>Work, Employment and Society</w:t>
      </w:r>
      <w:r w:rsidRPr="00314D8B">
        <w:rPr>
          <w:rFonts w:cstheme="minorHAnsi"/>
          <w:sz w:val="24"/>
          <w:szCs w:val="24"/>
          <w:shd w:val="clear" w:color="auto" w:fill="FFFFFF"/>
        </w:rPr>
        <w:t>, </w:t>
      </w:r>
      <w:r w:rsidRPr="00314D8B">
        <w:rPr>
          <w:rFonts w:cstheme="minorHAnsi"/>
          <w:i/>
          <w:iCs/>
          <w:sz w:val="24"/>
          <w:szCs w:val="24"/>
          <w:shd w:val="clear" w:color="auto" w:fill="FFFFFF"/>
        </w:rPr>
        <w:t>36</w:t>
      </w:r>
      <w:r w:rsidRPr="00314D8B">
        <w:rPr>
          <w:rFonts w:cstheme="minorHAnsi"/>
          <w:sz w:val="24"/>
          <w:szCs w:val="24"/>
          <w:shd w:val="clear" w:color="auto" w:fill="FFFFFF"/>
        </w:rPr>
        <w:t>(3), 407-426.</w:t>
      </w:r>
    </w:p>
    <w:p w14:paraId="0AAC8316"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Stanger, C., Budney, A. J., and Bickel, W. K. (2013). A developmental perspective on neuroeconomic mechanisms of contingency management. </w:t>
      </w:r>
      <w:r w:rsidRPr="00314D8B">
        <w:rPr>
          <w:rFonts w:cstheme="minorHAnsi"/>
          <w:i/>
          <w:iCs/>
          <w:color w:val="000000" w:themeColor="text1"/>
          <w:sz w:val="24"/>
          <w:szCs w:val="24"/>
          <w:shd w:val="clear" w:color="auto" w:fill="FFFFFF"/>
        </w:rPr>
        <w:t>Psychology of Addictive Behaviors</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27</w:t>
      </w:r>
      <w:r w:rsidRPr="00314D8B">
        <w:rPr>
          <w:rFonts w:cstheme="minorHAnsi"/>
          <w:color w:val="000000" w:themeColor="text1"/>
          <w:sz w:val="24"/>
          <w:szCs w:val="24"/>
          <w:shd w:val="clear" w:color="auto" w:fill="FFFFFF"/>
        </w:rPr>
        <w:t>(2), 403.</w:t>
      </w:r>
    </w:p>
    <w:p w14:paraId="172D9845" w14:textId="77777777" w:rsidR="00314D8B" w:rsidRPr="00314D8B" w:rsidRDefault="00314D8B" w:rsidP="00314D8B">
      <w:pPr>
        <w:spacing w:line="360" w:lineRule="auto"/>
        <w:jc w:val="both"/>
        <w:rPr>
          <w:rFonts w:cstheme="minorHAnsi"/>
          <w:sz w:val="24"/>
          <w:szCs w:val="24"/>
          <w:shd w:val="clear" w:color="auto" w:fill="FFFFFF"/>
        </w:rPr>
      </w:pPr>
      <w:r w:rsidRPr="00314D8B">
        <w:rPr>
          <w:rFonts w:cstheme="minorHAnsi"/>
          <w:sz w:val="24"/>
          <w:szCs w:val="24"/>
          <w:shd w:val="clear" w:color="auto" w:fill="FFFFFF"/>
        </w:rPr>
        <w:t>Tien, N. H. (2019). Customization and Standardization of the Business Strategy of Foreign Enterprises in Vietnam: The McDonald’s case and the fast-food sector. </w:t>
      </w:r>
      <w:r w:rsidRPr="00314D8B">
        <w:rPr>
          <w:rFonts w:cstheme="minorHAnsi"/>
          <w:i/>
          <w:iCs/>
          <w:sz w:val="24"/>
          <w:szCs w:val="24"/>
          <w:shd w:val="clear" w:color="auto" w:fill="FFFFFF"/>
        </w:rPr>
        <w:t>International journal of research in marketing management and sales</w:t>
      </w:r>
      <w:r w:rsidRPr="00314D8B">
        <w:rPr>
          <w:rFonts w:cstheme="minorHAnsi"/>
          <w:sz w:val="24"/>
          <w:szCs w:val="24"/>
          <w:shd w:val="clear" w:color="auto" w:fill="FFFFFF"/>
        </w:rPr>
        <w:t>, </w:t>
      </w:r>
      <w:r w:rsidRPr="00314D8B">
        <w:rPr>
          <w:rFonts w:cstheme="minorHAnsi"/>
          <w:i/>
          <w:iCs/>
          <w:sz w:val="24"/>
          <w:szCs w:val="24"/>
          <w:shd w:val="clear" w:color="auto" w:fill="FFFFFF"/>
        </w:rPr>
        <w:t>1</w:t>
      </w:r>
      <w:r w:rsidRPr="00314D8B">
        <w:rPr>
          <w:rFonts w:cstheme="minorHAnsi"/>
          <w:sz w:val="24"/>
          <w:szCs w:val="24"/>
          <w:shd w:val="clear" w:color="auto" w:fill="FFFFFF"/>
        </w:rPr>
        <w:t>(2), 44-50.</w:t>
      </w:r>
    </w:p>
    <w:p w14:paraId="4B374829"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Uddin, S. M. (2020). Operational strategies and management of MCDONALD’S: An enquiry. </w:t>
      </w:r>
      <w:r w:rsidRPr="00314D8B">
        <w:rPr>
          <w:rFonts w:cstheme="minorHAnsi"/>
          <w:i/>
          <w:iCs/>
          <w:color w:val="000000" w:themeColor="text1"/>
          <w:sz w:val="24"/>
          <w:szCs w:val="24"/>
          <w:shd w:val="clear" w:color="auto" w:fill="FFFFFF"/>
        </w:rPr>
        <w:t>EPRA International Journal of Research and Development (IJRD)</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5</w:t>
      </w:r>
      <w:r w:rsidRPr="00314D8B">
        <w:rPr>
          <w:rFonts w:cstheme="minorHAnsi"/>
          <w:color w:val="000000" w:themeColor="text1"/>
          <w:sz w:val="24"/>
          <w:szCs w:val="24"/>
          <w:shd w:val="clear" w:color="auto" w:fill="FFFFFF"/>
        </w:rPr>
        <w:t>(4), 172-179.</w:t>
      </w:r>
    </w:p>
    <w:p w14:paraId="22D83678" w14:textId="77777777" w:rsidR="00314D8B" w:rsidRPr="00314D8B"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lastRenderedPageBreak/>
        <w:t>Watt, R. G., Daly, B., Allison, P., Macpherson, L. M., Venturelli, R., Listl, S., ... and Benzian, H. (2019). Ending the neglect of global oral health: time for radical action. </w:t>
      </w:r>
      <w:r w:rsidRPr="00314D8B">
        <w:rPr>
          <w:rFonts w:cstheme="minorHAnsi"/>
          <w:i/>
          <w:iCs/>
          <w:color w:val="000000" w:themeColor="text1"/>
          <w:sz w:val="24"/>
          <w:szCs w:val="24"/>
          <w:shd w:val="clear" w:color="auto" w:fill="FFFFFF"/>
        </w:rPr>
        <w:t>The Lancet</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394</w:t>
      </w:r>
      <w:r w:rsidRPr="00314D8B">
        <w:rPr>
          <w:rFonts w:cstheme="minorHAnsi"/>
          <w:color w:val="000000" w:themeColor="text1"/>
          <w:sz w:val="24"/>
          <w:szCs w:val="24"/>
          <w:shd w:val="clear" w:color="auto" w:fill="FFFFFF"/>
        </w:rPr>
        <w:t>(10194), 261-272.</w:t>
      </w:r>
    </w:p>
    <w:p w14:paraId="5BAE70CF" w14:textId="77777777" w:rsidR="00314D8B" w:rsidRPr="00E377E6" w:rsidRDefault="00314D8B" w:rsidP="00314D8B">
      <w:pPr>
        <w:spacing w:line="360" w:lineRule="auto"/>
        <w:jc w:val="both"/>
        <w:rPr>
          <w:rFonts w:cstheme="minorHAnsi"/>
          <w:color w:val="000000" w:themeColor="text1"/>
          <w:sz w:val="24"/>
          <w:szCs w:val="24"/>
          <w:shd w:val="clear" w:color="auto" w:fill="FFFFFF"/>
        </w:rPr>
      </w:pPr>
      <w:r w:rsidRPr="00314D8B">
        <w:rPr>
          <w:rFonts w:cstheme="minorHAnsi"/>
          <w:color w:val="000000" w:themeColor="text1"/>
          <w:sz w:val="24"/>
          <w:szCs w:val="24"/>
          <w:shd w:val="clear" w:color="auto" w:fill="FFFFFF"/>
        </w:rPr>
        <w:t>Ziser, K., Resmark, G., Giel, K. E., Becker, S., Stuber, F., Zipfel, S., and Junne, F. (2018). The effectiveness of contingency management in the treatment of patients with anorexia nervosa: A systematic review. </w:t>
      </w:r>
      <w:r w:rsidRPr="00314D8B">
        <w:rPr>
          <w:rFonts w:cstheme="minorHAnsi"/>
          <w:i/>
          <w:iCs/>
          <w:color w:val="000000" w:themeColor="text1"/>
          <w:sz w:val="24"/>
          <w:szCs w:val="24"/>
          <w:shd w:val="clear" w:color="auto" w:fill="FFFFFF"/>
        </w:rPr>
        <w:t>European Eating Disorders Review</w:t>
      </w:r>
      <w:r w:rsidRPr="00314D8B">
        <w:rPr>
          <w:rFonts w:cstheme="minorHAnsi"/>
          <w:color w:val="000000" w:themeColor="text1"/>
          <w:sz w:val="24"/>
          <w:szCs w:val="24"/>
          <w:shd w:val="clear" w:color="auto" w:fill="FFFFFF"/>
        </w:rPr>
        <w:t>, </w:t>
      </w:r>
      <w:r w:rsidRPr="00314D8B">
        <w:rPr>
          <w:rFonts w:cstheme="minorHAnsi"/>
          <w:i/>
          <w:iCs/>
          <w:color w:val="000000" w:themeColor="text1"/>
          <w:sz w:val="24"/>
          <w:szCs w:val="24"/>
          <w:shd w:val="clear" w:color="auto" w:fill="FFFFFF"/>
        </w:rPr>
        <w:t>26</w:t>
      </w:r>
      <w:r w:rsidRPr="00314D8B">
        <w:rPr>
          <w:rFonts w:cstheme="minorHAnsi"/>
          <w:color w:val="000000" w:themeColor="text1"/>
          <w:sz w:val="24"/>
          <w:szCs w:val="24"/>
          <w:shd w:val="clear" w:color="auto" w:fill="FFFFFF"/>
        </w:rPr>
        <w:t>(5), 379-393.</w:t>
      </w:r>
    </w:p>
    <w:sectPr w:rsidR="00314D8B" w:rsidRPr="00E377E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3B659" w14:textId="77777777" w:rsidR="004202DC" w:rsidRDefault="004202DC" w:rsidP="00733A21">
      <w:pPr>
        <w:spacing w:after="0" w:line="240" w:lineRule="auto"/>
      </w:pPr>
      <w:r>
        <w:separator/>
      </w:r>
    </w:p>
  </w:endnote>
  <w:endnote w:type="continuationSeparator" w:id="0">
    <w:p w14:paraId="40B3E3D0" w14:textId="77777777" w:rsidR="004202DC" w:rsidRDefault="004202DC" w:rsidP="00733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914632"/>
      <w:docPartObj>
        <w:docPartGallery w:val="Page Numbers (Bottom of Page)"/>
        <w:docPartUnique/>
      </w:docPartObj>
    </w:sdtPr>
    <w:sdtEndPr/>
    <w:sdtContent>
      <w:p w14:paraId="52BFFE86" w14:textId="14F169FF" w:rsidR="00733A21" w:rsidRDefault="00733A21">
        <w:pPr>
          <w:pStyle w:val="Footer"/>
          <w:jc w:val="center"/>
        </w:pPr>
        <w:r>
          <w:fldChar w:fldCharType="begin"/>
        </w:r>
        <w:r>
          <w:instrText>PAGE   \* MERGEFORMAT</w:instrText>
        </w:r>
        <w:r>
          <w:fldChar w:fldCharType="separate"/>
        </w:r>
        <w:r>
          <w:rPr>
            <w:lang w:val="en-GB"/>
          </w:rPr>
          <w:t>2</w:t>
        </w:r>
        <w:r>
          <w:fldChar w:fldCharType="end"/>
        </w:r>
      </w:p>
    </w:sdtContent>
  </w:sdt>
  <w:p w14:paraId="209E2CBD" w14:textId="77777777" w:rsidR="00733A21" w:rsidRDefault="00733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736F3" w14:textId="77777777" w:rsidR="004202DC" w:rsidRDefault="004202DC" w:rsidP="00733A21">
      <w:pPr>
        <w:spacing w:after="0" w:line="240" w:lineRule="auto"/>
      </w:pPr>
      <w:r>
        <w:separator/>
      </w:r>
    </w:p>
  </w:footnote>
  <w:footnote w:type="continuationSeparator" w:id="0">
    <w:p w14:paraId="52C69661" w14:textId="77777777" w:rsidR="004202DC" w:rsidRDefault="004202DC" w:rsidP="00733A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zMTEyNDQ1NjYytDBW0lEKTi0uzszPAykwrAUA8ZMMbiwAAAA="/>
  </w:docVars>
  <w:rsids>
    <w:rsidRoot w:val="00DE7152"/>
    <w:rsid w:val="0003178A"/>
    <w:rsid w:val="0004399E"/>
    <w:rsid w:val="00061B5A"/>
    <w:rsid w:val="000F2F25"/>
    <w:rsid w:val="00285D36"/>
    <w:rsid w:val="00314D8B"/>
    <w:rsid w:val="004202DC"/>
    <w:rsid w:val="00565DD6"/>
    <w:rsid w:val="00721B95"/>
    <w:rsid w:val="00733A21"/>
    <w:rsid w:val="007D3ACC"/>
    <w:rsid w:val="008333A6"/>
    <w:rsid w:val="009020A4"/>
    <w:rsid w:val="00AD66D7"/>
    <w:rsid w:val="00C23C62"/>
    <w:rsid w:val="00C36C17"/>
    <w:rsid w:val="00D003EF"/>
    <w:rsid w:val="00D469CB"/>
    <w:rsid w:val="00D93E71"/>
    <w:rsid w:val="00DC5310"/>
    <w:rsid w:val="00DE7152"/>
    <w:rsid w:val="00E55049"/>
    <w:rsid w:val="00E731BC"/>
    <w:rsid w:val="00EC27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0780"/>
  <w15:chartTrackingRefBased/>
  <w15:docId w15:val="{C84EDCA1-8784-4D19-B757-50705449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3A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A21"/>
  </w:style>
  <w:style w:type="paragraph" w:styleId="Footer">
    <w:name w:val="footer"/>
    <w:basedOn w:val="Normal"/>
    <w:link w:val="FooterChar"/>
    <w:uiPriority w:val="99"/>
    <w:unhideWhenUsed/>
    <w:rsid w:val="00733A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12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corporate.mcdonalds.com/content/dam/sites/corp/nfl/pdf/MCD_2023_Annual_Report.pdf" TargetMode="Externa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2877</Words>
  <Characters>16400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Jahangir Khalaj Savojbolagh</dc:creator>
  <cp:keywords/>
  <dc:description/>
  <cp:lastModifiedBy>jahan khalaj</cp:lastModifiedBy>
  <cp:revision>2</cp:revision>
  <dcterms:created xsi:type="dcterms:W3CDTF">2023-11-27T16:42:00Z</dcterms:created>
  <dcterms:modified xsi:type="dcterms:W3CDTF">2023-11-27T16:42:00Z</dcterms:modified>
</cp:coreProperties>
</file>