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5A969" w14:textId="77777777" w:rsidR="00530064" w:rsidRDefault="00530064" w:rsidP="00530064">
      <w:pPr>
        <w:jc w:val="both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Bibliography:</w:t>
      </w:r>
    </w:p>
    <w:p w14:paraId="46E0EBEC" w14:textId="77777777" w:rsidR="00530064" w:rsidRDefault="00530064" w:rsidP="00530064">
      <w:pPr>
        <w:jc w:val="both"/>
        <w:rPr>
          <w:rFonts w:cs="Arial"/>
          <w:b/>
          <w:sz w:val="32"/>
          <w:szCs w:val="32"/>
        </w:rPr>
      </w:pPr>
    </w:p>
    <w:p w14:paraId="3DC7A137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Abernathy, DF. &amp; Thornburg, AW (2020) "Theory and Application in the Design and Delivery of Engaging Online Courses: Four Key Principles That Drive Student and Instructor Engagement and Success." </w:t>
      </w:r>
      <w:r w:rsidRPr="004101A6">
        <w:rPr>
          <w:rFonts w:cs="Arial"/>
          <w:i/>
          <w:iCs/>
          <w:sz w:val="24"/>
          <w:szCs w:val="24"/>
          <w:shd w:val="clear" w:color="auto" w:fill="FFFFFF"/>
        </w:rPr>
        <w:t>Handbook of Research on Developing Engaging Online Courses,</w:t>
      </w:r>
      <w:r w:rsidRPr="004101A6">
        <w:rPr>
          <w:rFonts w:cs="Arial"/>
          <w:sz w:val="24"/>
          <w:szCs w:val="24"/>
          <w:shd w:val="clear" w:color="auto" w:fill="FFFFFF"/>
        </w:rPr>
        <w:t xml:space="preserve"> IGI Global, pp. 246-258.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hyperlink r:id="rId4" w:history="1">
        <w:r w:rsidRPr="00CA6AEB">
          <w:rPr>
            <w:rStyle w:val="Hyperlink"/>
            <w:rFonts w:cs="Arial"/>
            <w:sz w:val="24"/>
            <w:szCs w:val="24"/>
            <w:shd w:val="clear" w:color="auto" w:fill="FFFFFF"/>
          </w:rPr>
          <w:t>http://doi:10.4018/978-1-7998-2132-8.ch01</w:t>
        </w:r>
      </w:hyperlink>
      <w:r>
        <w:rPr>
          <w:rFonts w:cs="Arial"/>
          <w:sz w:val="24"/>
          <w:szCs w:val="24"/>
          <w:shd w:val="clear" w:color="auto" w:fill="FFFFFF"/>
        </w:rPr>
        <w:t xml:space="preserve"> (Accessed 30/04/2021)</w:t>
      </w:r>
    </w:p>
    <w:p w14:paraId="2E8084B6" w14:textId="77777777" w:rsidR="00530064" w:rsidRDefault="00530064" w:rsidP="00530064">
      <w:pPr>
        <w:jc w:val="both"/>
        <w:rPr>
          <w:rFonts w:cs="Arial"/>
          <w:b/>
          <w:sz w:val="32"/>
          <w:szCs w:val="32"/>
        </w:rPr>
      </w:pPr>
    </w:p>
    <w:p w14:paraId="137009C5" w14:textId="77777777" w:rsidR="00530064" w:rsidRPr="004101A6" w:rsidRDefault="00530064" w:rsidP="00530064">
      <w:pPr>
        <w:jc w:val="both"/>
        <w:rPr>
          <w:rFonts w:cs="Arial"/>
          <w:sz w:val="24"/>
          <w:szCs w:val="24"/>
        </w:rPr>
      </w:pPr>
      <w:r w:rsidRPr="00CC19B3">
        <w:rPr>
          <w:rFonts w:cs="Arial"/>
        </w:rPr>
        <w:t xml:space="preserve">Altay, B. (2014) User-centred design through learner-centred instruction, </w:t>
      </w:r>
      <w:r w:rsidRPr="00CC19B3">
        <w:rPr>
          <w:rFonts w:cs="Arial"/>
          <w:i/>
        </w:rPr>
        <w:t>Teaching in Higher Education,</w:t>
      </w:r>
      <w:r w:rsidRPr="00CC19B3">
        <w:rPr>
          <w:rFonts w:cs="Arial"/>
        </w:rPr>
        <w:t xml:space="preserve"> Vol </w:t>
      </w:r>
      <w:r w:rsidRPr="004101A6">
        <w:rPr>
          <w:rFonts w:cs="Arial"/>
          <w:sz w:val="24"/>
          <w:szCs w:val="24"/>
        </w:rPr>
        <w:t>19, No 2, pp 138-155 (Accessed 21/06/2021)</w:t>
      </w:r>
    </w:p>
    <w:p w14:paraId="4C338143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6EF2D81B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CFCFC"/>
        </w:rPr>
        <w:t>Amponsah, S. Exploring the dominant learning styles of adult learners in higher education. </w:t>
      </w:r>
      <w:r w:rsidRPr="004101A6">
        <w:rPr>
          <w:rFonts w:cs="Arial"/>
          <w:i/>
          <w:iCs/>
          <w:sz w:val="24"/>
          <w:szCs w:val="24"/>
          <w:shd w:val="clear" w:color="auto" w:fill="FCFCFC"/>
        </w:rPr>
        <w:t>Int Rev Educ</w:t>
      </w:r>
      <w:r w:rsidRPr="004101A6">
        <w:rPr>
          <w:rFonts w:cs="Arial"/>
          <w:sz w:val="24"/>
          <w:szCs w:val="24"/>
          <w:shd w:val="clear" w:color="auto" w:fill="FCFCFC"/>
        </w:rPr>
        <w:t> </w:t>
      </w:r>
      <w:r w:rsidRPr="004101A6">
        <w:rPr>
          <w:rFonts w:cs="Arial"/>
          <w:b/>
          <w:bCs/>
          <w:sz w:val="24"/>
          <w:szCs w:val="24"/>
          <w:shd w:val="clear" w:color="auto" w:fill="FCFCFC"/>
        </w:rPr>
        <w:t>66, </w:t>
      </w:r>
      <w:r w:rsidRPr="004101A6">
        <w:rPr>
          <w:rFonts w:cs="Arial"/>
          <w:sz w:val="24"/>
          <w:szCs w:val="24"/>
          <w:shd w:val="clear" w:color="auto" w:fill="FCFCFC"/>
        </w:rPr>
        <w:t>531–550 (2020). (Accessed 21/06/2021)</w:t>
      </w:r>
    </w:p>
    <w:p w14:paraId="75596BCE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0289C28A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Baran, Mette L. and Janice E. Jones. "Online Teaching and Learning in Higher Education Settings: Focus on Team Effectiveness." </w:t>
      </w:r>
      <w:r w:rsidRPr="004101A6">
        <w:rPr>
          <w:rFonts w:cs="Arial"/>
          <w:i/>
          <w:iCs/>
          <w:sz w:val="24"/>
          <w:szCs w:val="24"/>
          <w:shd w:val="clear" w:color="auto" w:fill="FFFFFF"/>
        </w:rPr>
        <w:t>Enriching Collaboration and Communication in Online Learning Communities,</w:t>
      </w:r>
      <w:r w:rsidRPr="004101A6">
        <w:rPr>
          <w:rFonts w:cs="Arial"/>
          <w:sz w:val="24"/>
          <w:szCs w:val="24"/>
          <w:shd w:val="clear" w:color="auto" w:fill="FFFFFF"/>
        </w:rPr>
        <w:t xml:space="preserve"> edited by Carolyn N. Stevenson and Joanna C. Bauer, IGI Global, 2020, pp. 137-158. </w:t>
      </w:r>
      <w:hyperlink r:id="rId5" w:history="1">
        <w:r w:rsidRPr="00CA6AEB">
          <w:rPr>
            <w:rStyle w:val="Hyperlink"/>
            <w:rFonts w:cs="Arial"/>
            <w:sz w:val="24"/>
            <w:szCs w:val="24"/>
            <w:shd w:val="clear" w:color="auto" w:fill="FFFFFF"/>
          </w:rPr>
          <w:t>http://doi:10.4018/978-1-5225-9814-5.ch008 (Accessed 22/06/2021</w:t>
        </w:r>
      </w:hyperlink>
      <w:r w:rsidRPr="004101A6">
        <w:rPr>
          <w:rFonts w:cs="Arial"/>
          <w:sz w:val="24"/>
          <w:szCs w:val="24"/>
          <w:shd w:val="clear" w:color="auto" w:fill="FFFFFF"/>
        </w:rPr>
        <w:t>)</w:t>
      </w:r>
    </w:p>
    <w:p w14:paraId="79F8CF9E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5941D609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Barkas, LA. Armstrong, PA. &amp; Bishop,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4101A6">
        <w:rPr>
          <w:rFonts w:cs="Arial"/>
          <w:sz w:val="24"/>
          <w:szCs w:val="24"/>
          <w:shd w:val="clear" w:color="auto" w:fill="FFFFFF"/>
        </w:rPr>
        <w:t>G. (2020) Is inclusion still an illusion in higher education? exploring the curriculum through the student voice, International Journal of Inclusive Education, </w:t>
      </w:r>
    </w:p>
    <w:p w14:paraId="4DBD0EEE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http:// </w:t>
      </w:r>
      <w:r w:rsidRPr="004101A6">
        <w:rPr>
          <w:rFonts w:cs="Arial"/>
          <w:sz w:val="24"/>
          <w:szCs w:val="24"/>
          <w:shd w:val="clear" w:color="auto" w:fill="FFFFFF"/>
        </w:rPr>
        <w:t>DOI: </w:t>
      </w:r>
      <w:hyperlink r:id="rId6" w:history="1">
        <w:r w:rsidRPr="004101A6">
          <w:rPr>
            <w:rFonts w:cs="Arial"/>
            <w:sz w:val="24"/>
            <w:szCs w:val="24"/>
            <w:shd w:val="clear" w:color="auto" w:fill="FFFFFF"/>
          </w:rPr>
          <w:t>10.1080/13603116.2020.1776777</w:t>
        </w:r>
      </w:hyperlink>
      <w:r>
        <w:rPr>
          <w:rFonts w:cs="Arial"/>
          <w:sz w:val="24"/>
          <w:szCs w:val="24"/>
          <w:shd w:val="clear" w:color="auto" w:fill="FFFFFF"/>
        </w:rPr>
        <w:t xml:space="preserve"> (Accessed 05/05/2021) </w:t>
      </w:r>
    </w:p>
    <w:p w14:paraId="68F29D5F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3E8C2858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Barnard, M. Whitt, E. &amp; McDonald, S. (2020) Learning objectives and their effects on learning and assessment preparation: insights from an undergraduate psychology course, Assessment &amp; Evaluation in Higher Education, DOI: </w:t>
      </w:r>
      <w:hyperlink r:id="rId7" w:history="1">
        <w:r w:rsidRPr="004101A6">
          <w:rPr>
            <w:rFonts w:cs="Arial"/>
            <w:sz w:val="24"/>
            <w:szCs w:val="24"/>
            <w:shd w:val="clear" w:color="auto" w:fill="FFFFFF"/>
          </w:rPr>
          <w:t>10.1080/02602938.2020.1822281</w:t>
        </w:r>
      </w:hyperlink>
      <w:r>
        <w:rPr>
          <w:rFonts w:cs="Arial"/>
          <w:sz w:val="24"/>
          <w:szCs w:val="24"/>
          <w:shd w:val="clear" w:color="auto" w:fill="FFFFFF"/>
        </w:rPr>
        <w:t xml:space="preserve"> (Accessed 20/05/2021)</w:t>
      </w:r>
    </w:p>
    <w:p w14:paraId="21F481DA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3C263F6B" w14:textId="77777777" w:rsidR="00530064" w:rsidRPr="00F60121" w:rsidRDefault="00530064" w:rsidP="00530064">
      <w:pPr>
        <w:jc w:val="both"/>
        <w:rPr>
          <w:rFonts w:cs="Arial"/>
          <w:b/>
          <w:i/>
          <w:iCs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Behle, H.  (2020) Students’ and graduates’ employability. A framework to classify and measure employability gain, </w:t>
      </w:r>
      <w:r w:rsidRPr="00F60121">
        <w:rPr>
          <w:rFonts w:cs="Arial"/>
          <w:i/>
          <w:iCs/>
          <w:sz w:val="24"/>
          <w:szCs w:val="24"/>
          <w:shd w:val="clear" w:color="auto" w:fill="FFFFFF"/>
        </w:rPr>
        <w:t>Policy Reviews in Higher Education, 4:1, 105-130.</w:t>
      </w:r>
    </w:p>
    <w:p w14:paraId="225BC0B1" w14:textId="77777777" w:rsidR="00530064" w:rsidRPr="004101A6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34FC1174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Bender,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4101A6">
        <w:rPr>
          <w:rFonts w:cs="Arial"/>
          <w:sz w:val="24"/>
          <w:szCs w:val="24"/>
          <w:shd w:val="clear" w:color="auto" w:fill="FFFFFF"/>
        </w:rPr>
        <w:t>K. Negi,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4101A6">
        <w:rPr>
          <w:rFonts w:cs="Arial"/>
          <w:sz w:val="24"/>
          <w:szCs w:val="24"/>
          <w:shd w:val="clear" w:color="auto" w:fill="FFFFFF"/>
        </w:rPr>
        <w:t>N and Fowler,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4101A6">
        <w:rPr>
          <w:rFonts w:cs="Arial"/>
          <w:sz w:val="24"/>
          <w:szCs w:val="24"/>
          <w:shd w:val="clear" w:color="auto" w:fill="FFFFFF"/>
        </w:rPr>
        <w:t>D.N (2010) ‘Exploring the relationship between Self -awareness and Student Commitment and Understanding of culturally Responsive Social-Work practice’ Journal Ethnic Cultural Diversity Social Work, 19(1):34-53.</w:t>
      </w:r>
    </w:p>
    <w:p w14:paraId="45367019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54774A92" w14:textId="77777777" w:rsidR="00530064" w:rsidRPr="00F60121" w:rsidRDefault="00530064" w:rsidP="00530064">
      <w:pPr>
        <w:jc w:val="both"/>
        <w:rPr>
          <w:rFonts w:cs="Arial"/>
          <w:b/>
          <w:i/>
          <w:iCs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Boeren, E. (2017) Understanding adult lifelong learning participation as a layered problem, </w:t>
      </w:r>
      <w:r w:rsidRPr="00F60121">
        <w:rPr>
          <w:rFonts w:cs="Arial"/>
          <w:i/>
          <w:iCs/>
          <w:sz w:val="24"/>
          <w:szCs w:val="24"/>
          <w:shd w:val="clear" w:color="auto" w:fill="FFFFFF"/>
        </w:rPr>
        <w:t>Studies in Continuing Education, 39:2, 161-175</w:t>
      </w:r>
    </w:p>
    <w:p w14:paraId="7F74948F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367423C4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Brannon, D. (2021). Supporting Student Teachers Teaching in Online or Blended Classrooms. In E. Langran &amp; L. Archambault (Eds.), </w:t>
      </w:r>
      <w:r w:rsidRPr="004101A6">
        <w:rPr>
          <w:rFonts w:cs="Arial"/>
          <w:i/>
          <w:iCs/>
          <w:sz w:val="24"/>
          <w:szCs w:val="24"/>
          <w:shd w:val="clear" w:color="auto" w:fill="FFFFFF"/>
        </w:rPr>
        <w:t>Proceedings of Society for Information Technology &amp; Teacher Education International Conference</w:t>
      </w:r>
      <w:r w:rsidRPr="004101A6">
        <w:rPr>
          <w:rFonts w:cs="Arial"/>
          <w:sz w:val="24"/>
          <w:szCs w:val="24"/>
          <w:shd w:val="clear" w:color="auto" w:fill="FFFFFF"/>
        </w:rPr>
        <w:t> (pp. 1162-1169). </w:t>
      </w:r>
      <w:r>
        <w:rPr>
          <w:rFonts w:cs="Arial"/>
          <w:sz w:val="24"/>
          <w:szCs w:val="24"/>
          <w:shd w:val="clear" w:color="auto" w:fill="FFFFFF"/>
        </w:rPr>
        <w:t>(Accessed 05/05/2021)</w:t>
      </w:r>
    </w:p>
    <w:p w14:paraId="208CECBF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59632D5B" w14:textId="77777777" w:rsidR="00530064" w:rsidRPr="00F60121" w:rsidRDefault="00530064" w:rsidP="00530064">
      <w:pPr>
        <w:jc w:val="both"/>
        <w:rPr>
          <w:rFonts w:cs="Arial"/>
          <w:b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Cotán A, Aguirre A, Morgado B, Melero N. Methodological Strategies of Faculty Members: Moving toward Inclusive Pedagogy in Higher Education. </w:t>
      </w:r>
      <w:r w:rsidRPr="00F60121">
        <w:rPr>
          <w:rStyle w:val="Emphasis"/>
          <w:rFonts w:cs="Arial"/>
          <w:sz w:val="24"/>
          <w:szCs w:val="24"/>
          <w:shd w:val="clear" w:color="auto" w:fill="FFFFFF"/>
        </w:rPr>
        <w:t>Sustainability</w:t>
      </w:r>
      <w:r w:rsidRPr="00F60121">
        <w:rPr>
          <w:rFonts w:cs="Arial"/>
          <w:sz w:val="24"/>
          <w:szCs w:val="24"/>
          <w:shd w:val="clear" w:color="auto" w:fill="FFFFFF"/>
        </w:rPr>
        <w:t xml:space="preserve">. </w:t>
      </w:r>
      <w:r w:rsidRPr="00F60121">
        <w:rPr>
          <w:rFonts w:cs="Arial"/>
          <w:i/>
          <w:iCs/>
          <w:sz w:val="24"/>
          <w:szCs w:val="24"/>
          <w:shd w:val="clear" w:color="auto" w:fill="FFFFFF"/>
        </w:rPr>
        <w:t>2021; 13(6):3031</w:t>
      </w:r>
      <w:r w:rsidRPr="00F60121">
        <w:rPr>
          <w:rFonts w:cs="Arial"/>
          <w:sz w:val="24"/>
          <w:szCs w:val="24"/>
          <w:shd w:val="clear" w:color="auto" w:fill="FFFFFF"/>
        </w:rPr>
        <w:t xml:space="preserve">. </w:t>
      </w:r>
    </w:p>
    <w:p w14:paraId="4CCFF152" w14:textId="77777777" w:rsidR="00530064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6069BAE4" w14:textId="77777777" w:rsidR="00530064" w:rsidRPr="004101A6" w:rsidRDefault="00530064" w:rsidP="00530064">
      <w:pPr>
        <w:jc w:val="both"/>
        <w:rPr>
          <w:rFonts w:cs="Arial"/>
          <w:sz w:val="24"/>
          <w:szCs w:val="24"/>
          <w:shd w:val="clear" w:color="auto" w:fill="FCFCFC"/>
        </w:rPr>
      </w:pPr>
      <w:r w:rsidRPr="004101A6">
        <w:rPr>
          <w:rFonts w:cs="Arial"/>
          <w:sz w:val="24"/>
          <w:szCs w:val="24"/>
          <w:shd w:val="clear" w:color="auto" w:fill="FCFCFC"/>
        </w:rPr>
        <w:lastRenderedPageBreak/>
        <w:t>Feld, L.D., Shah, N.L. (2021) Connecting During the Virtual Interview Process: Lessons from Experience. </w:t>
      </w:r>
      <w:r w:rsidRPr="004101A6">
        <w:rPr>
          <w:rFonts w:cs="Arial"/>
          <w:i/>
          <w:iCs/>
          <w:sz w:val="24"/>
          <w:szCs w:val="24"/>
          <w:shd w:val="clear" w:color="auto" w:fill="FCFCFC"/>
        </w:rPr>
        <w:t>Dig Dis Sci</w:t>
      </w:r>
      <w:r w:rsidRPr="004101A6">
        <w:rPr>
          <w:rFonts w:cs="Arial"/>
          <w:sz w:val="24"/>
          <w:szCs w:val="24"/>
          <w:shd w:val="clear" w:color="auto" w:fill="FCFCFC"/>
        </w:rPr>
        <w:t> </w:t>
      </w:r>
      <w:r w:rsidRPr="004101A6">
        <w:rPr>
          <w:rFonts w:cs="Arial"/>
          <w:b/>
          <w:bCs/>
          <w:sz w:val="24"/>
          <w:szCs w:val="24"/>
          <w:shd w:val="clear" w:color="auto" w:fill="FCFCFC"/>
        </w:rPr>
        <w:t>66, </w:t>
      </w:r>
      <w:r w:rsidRPr="004101A6">
        <w:rPr>
          <w:rFonts w:cs="Arial"/>
          <w:sz w:val="24"/>
          <w:szCs w:val="24"/>
          <w:shd w:val="clear" w:color="auto" w:fill="FCFCFC"/>
        </w:rPr>
        <w:t>917–918</w:t>
      </w:r>
      <w:r>
        <w:rPr>
          <w:rFonts w:cs="Arial"/>
          <w:sz w:val="24"/>
          <w:szCs w:val="24"/>
          <w:shd w:val="clear" w:color="auto" w:fill="FCFCFC"/>
        </w:rPr>
        <w:t>.</w:t>
      </w:r>
      <w:r w:rsidRPr="004101A6">
        <w:rPr>
          <w:rFonts w:cs="Arial"/>
          <w:sz w:val="24"/>
          <w:szCs w:val="24"/>
          <w:shd w:val="clear" w:color="auto" w:fill="FCFCFC"/>
        </w:rPr>
        <w:t xml:space="preserve">  </w:t>
      </w:r>
    </w:p>
    <w:p w14:paraId="5333B071" w14:textId="77777777" w:rsidR="00530064" w:rsidRDefault="00530064" w:rsidP="00530064">
      <w:pPr>
        <w:shd w:val="clear" w:color="auto" w:fill="FFFFFF"/>
        <w:spacing w:after="30" w:line="285" w:lineRule="atLeast"/>
        <w:ind w:right="1500"/>
        <w:jc w:val="both"/>
        <w:outlineLvl w:val="2"/>
        <w:rPr>
          <w:rFonts w:cs="Arial"/>
          <w:sz w:val="24"/>
          <w:szCs w:val="24"/>
        </w:rPr>
      </w:pPr>
    </w:p>
    <w:p w14:paraId="0104C34F" w14:textId="77777777" w:rsidR="00530064" w:rsidRPr="004101A6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Feucht, FC. Brownlee, JL. &amp; Schraw, G (2017) Moving Beyond Reflection: Reflexivity and Epistemic Cognition in Teaching and Teacher Education, </w:t>
      </w:r>
      <w:r w:rsidRPr="00F60121">
        <w:rPr>
          <w:rFonts w:cs="Arial"/>
          <w:i/>
          <w:iCs/>
          <w:sz w:val="24"/>
          <w:szCs w:val="24"/>
          <w:shd w:val="clear" w:color="auto" w:fill="FFFFFF"/>
        </w:rPr>
        <w:t>Educational Psychologist, 52:4, 234-241</w:t>
      </w:r>
    </w:p>
    <w:p w14:paraId="2EC56286" w14:textId="77777777" w:rsidR="00530064" w:rsidRDefault="00530064" w:rsidP="00530064">
      <w:pPr>
        <w:shd w:val="clear" w:color="auto" w:fill="FFFFFF"/>
        <w:spacing w:after="30" w:line="285" w:lineRule="atLeast"/>
        <w:ind w:right="1500"/>
        <w:jc w:val="both"/>
        <w:outlineLvl w:val="2"/>
        <w:rPr>
          <w:rFonts w:cs="Arial"/>
          <w:sz w:val="24"/>
          <w:szCs w:val="24"/>
        </w:rPr>
      </w:pPr>
    </w:p>
    <w:p w14:paraId="65618AB1" w14:textId="77777777" w:rsidR="00530064" w:rsidRPr="00F60121" w:rsidRDefault="00530064" w:rsidP="00530064">
      <w:pPr>
        <w:jc w:val="both"/>
        <w:rPr>
          <w:rFonts w:cs="Arial"/>
          <w:b/>
          <w:i/>
          <w:iCs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 xml:space="preserve">Green, W. Anderson, V. Tait, </w:t>
      </w:r>
      <w:proofErr w:type="gramStart"/>
      <w:r w:rsidRPr="004101A6">
        <w:rPr>
          <w:rFonts w:cs="Arial"/>
          <w:sz w:val="24"/>
          <w:szCs w:val="24"/>
          <w:shd w:val="clear" w:color="auto" w:fill="FFFFFF"/>
        </w:rPr>
        <w:t>K  &amp;</w:t>
      </w:r>
      <w:proofErr w:type="gramEnd"/>
      <w:r w:rsidRPr="004101A6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Pr="004101A6">
        <w:rPr>
          <w:rFonts w:cs="Arial"/>
          <w:sz w:val="24"/>
          <w:szCs w:val="24"/>
          <w:shd w:val="clear" w:color="auto" w:fill="FFFFFF"/>
        </w:rPr>
        <w:t>Thi</w:t>
      </w:r>
      <w:proofErr w:type="spellEnd"/>
      <w:r w:rsidRPr="004101A6">
        <w:rPr>
          <w:rFonts w:cs="Arial"/>
          <w:sz w:val="24"/>
          <w:szCs w:val="24"/>
          <w:shd w:val="clear" w:color="auto" w:fill="FFFFFF"/>
        </w:rPr>
        <w:t xml:space="preserve"> Tran, L. (2020) Precarity, fear and hope: reflecting and imagining in higher education during a global pandemic, </w:t>
      </w:r>
      <w:r w:rsidRPr="00F60121">
        <w:rPr>
          <w:rFonts w:cs="Arial"/>
          <w:i/>
          <w:iCs/>
          <w:sz w:val="24"/>
          <w:szCs w:val="24"/>
          <w:shd w:val="clear" w:color="auto" w:fill="FFFFFF"/>
        </w:rPr>
        <w:t>Higher Education Research &amp; Development, 39:7, 1309-1312</w:t>
      </w:r>
    </w:p>
    <w:p w14:paraId="6A128FBD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65212950" w14:textId="77777777" w:rsidR="00530064" w:rsidRPr="004101A6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 xml:space="preserve">Han. Y, &amp; </w:t>
      </w:r>
      <w:proofErr w:type="gramStart"/>
      <w:r w:rsidRPr="004101A6">
        <w:rPr>
          <w:rFonts w:cs="Arial"/>
          <w:sz w:val="24"/>
          <w:szCs w:val="24"/>
          <w:shd w:val="clear" w:color="auto" w:fill="FFFFFF"/>
        </w:rPr>
        <w:t>Xu .</w:t>
      </w:r>
      <w:proofErr w:type="gramEnd"/>
      <w:r w:rsidRPr="004101A6">
        <w:rPr>
          <w:rFonts w:cs="Arial"/>
          <w:sz w:val="24"/>
          <w:szCs w:val="24"/>
          <w:shd w:val="clear" w:color="auto" w:fill="FFFFFF"/>
        </w:rPr>
        <w:t xml:space="preserve"> Y, (2020) The development of student feedback literacy: the influences of teacher feedback on peer feedback, Assessment &amp; Evaluation in Higher Education, 45:5, 680-696, DOI: </w:t>
      </w:r>
      <w:hyperlink r:id="rId8" w:history="1">
        <w:r w:rsidRPr="004101A6">
          <w:rPr>
            <w:rFonts w:cs="Arial"/>
            <w:sz w:val="24"/>
            <w:szCs w:val="24"/>
            <w:shd w:val="clear" w:color="auto" w:fill="FFFFFF"/>
          </w:rPr>
          <w:t>10.1080/02602938.2019.1689545</w:t>
        </w:r>
      </w:hyperlink>
      <w:r>
        <w:rPr>
          <w:rFonts w:cs="Arial"/>
          <w:sz w:val="24"/>
          <w:szCs w:val="24"/>
          <w:shd w:val="clear" w:color="auto" w:fill="FFFFFF"/>
        </w:rPr>
        <w:t xml:space="preserve"> (Accessed 21/06/20211)</w:t>
      </w:r>
    </w:p>
    <w:p w14:paraId="443AD23B" w14:textId="77777777" w:rsidR="00530064" w:rsidRDefault="00530064" w:rsidP="00530064">
      <w:pPr>
        <w:shd w:val="clear" w:color="auto" w:fill="FFFFFF"/>
        <w:spacing w:after="30" w:line="285" w:lineRule="atLeast"/>
        <w:ind w:right="1500"/>
        <w:jc w:val="both"/>
        <w:outlineLvl w:val="2"/>
        <w:rPr>
          <w:rFonts w:cs="Arial"/>
          <w:sz w:val="24"/>
          <w:szCs w:val="24"/>
        </w:rPr>
      </w:pPr>
    </w:p>
    <w:p w14:paraId="1F9FF80E" w14:textId="77777777" w:rsidR="00530064" w:rsidRPr="00F60121" w:rsidRDefault="00530064" w:rsidP="00530064">
      <w:pPr>
        <w:jc w:val="both"/>
        <w:rPr>
          <w:rFonts w:cs="Arial"/>
          <w:b/>
          <w:i/>
          <w:iCs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Larsen, C. Walsh, C. Almond, N. &amp; Myers, C. (2017) The “real value” of field trips in the early weeks of higher education: the student perspective, </w:t>
      </w:r>
      <w:r w:rsidRPr="00F60121">
        <w:rPr>
          <w:rFonts w:cs="Arial"/>
          <w:i/>
          <w:iCs/>
          <w:sz w:val="24"/>
          <w:szCs w:val="24"/>
          <w:shd w:val="clear" w:color="auto" w:fill="FFFFFF"/>
        </w:rPr>
        <w:t>Educational Studies, 43:1, 110-121</w:t>
      </w:r>
    </w:p>
    <w:p w14:paraId="56FBE3A9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1859BB8A" w14:textId="77777777" w:rsidR="00530064" w:rsidRDefault="00530064" w:rsidP="00530064">
      <w:pPr>
        <w:jc w:val="both"/>
        <w:rPr>
          <w:rFonts w:cs="Arial"/>
          <w:sz w:val="24"/>
          <w:szCs w:val="24"/>
        </w:rPr>
      </w:pPr>
      <w:r w:rsidRPr="004101A6">
        <w:rPr>
          <w:rStyle w:val="hlfld-contribauthor"/>
          <w:rFonts w:cs="Arial"/>
          <w:sz w:val="24"/>
          <w:szCs w:val="24"/>
        </w:rPr>
        <w:t>Lynne M. Z. Lafave</w:t>
      </w:r>
      <w:r w:rsidRPr="004101A6">
        <w:rPr>
          <w:rStyle w:val="separator"/>
          <w:rFonts w:cs="Arial"/>
          <w:sz w:val="24"/>
          <w:szCs w:val="24"/>
        </w:rPr>
        <w:t>, </w:t>
      </w:r>
      <w:r w:rsidRPr="004101A6">
        <w:rPr>
          <w:rStyle w:val="hlfld-contribauthor"/>
          <w:rFonts w:cs="Arial"/>
          <w:sz w:val="24"/>
          <w:szCs w:val="24"/>
        </w:rPr>
        <w:t>Michelle Yeo</w:t>
      </w:r>
      <w:r w:rsidRPr="004101A6">
        <w:rPr>
          <w:rStyle w:val="separator"/>
          <w:rFonts w:cs="Arial"/>
          <w:sz w:val="24"/>
          <w:szCs w:val="24"/>
        </w:rPr>
        <w:t>, </w:t>
      </w:r>
      <w:r w:rsidRPr="004101A6">
        <w:rPr>
          <w:rStyle w:val="hlfld-contribauthor"/>
          <w:rFonts w:cs="Arial"/>
          <w:sz w:val="24"/>
          <w:szCs w:val="24"/>
        </w:rPr>
        <w:t>Mark R. Lafave</w:t>
      </w:r>
      <w:r w:rsidRPr="004101A6">
        <w:rPr>
          <w:rFonts w:cs="Arial"/>
          <w:sz w:val="24"/>
          <w:szCs w:val="24"/>
        </w:rPr>
        <w:t>. (2021) Concept mapping toward competency: Teaching and assessing undergraduate evidence</w:t>
      </w:r>
      <w:r w:rsidRPr="004101A6">
        <w:rPr>
          <w:rFonts w:ascii="Cambria Math" w:hAnsi="Cambria Math" w:cs="Cambria Math"/>
          <w:sz w:val="24"/>
          <w:szCs w:val="24"/>
        </w:rPr>
        <w:t>‐</w:t>
      </w:r>
      <w:r w:rsidRPr="004101A6">
        <w:rPr>
          <w:rFonts w:cs="Arial"/>
          <w:sz w:val="24"/>
          <w:szCs w:val="24"/>
        </w:rPr>
        <w:t>informed practice. </w:t>
      </w:r>
      <w:r w:rsidRPr="004101A6">
        <w:rPr>
          <w:rStyle w:val="nlmsource"/>
          <w:rFonts w:cs="Arial"/>
          <w:i/>
          <w:iCs/>
          <w:sz w:val="24"/>
          <w:szCs w:val="24"/>
        </w:rPr>
        <w:t>The Journal of Competency-Based Education</w:t>
      </w:r>
      <w:r w:rsidRPr="004101A6">
        <w:rPr>
          <w:rFonts w:cs="Arial"/>
          <w:sz w:val="24"/>
          <w:szCs w:val="24"/>
        </w:rPr>
        <w:t> 5</w:t>
      </w:r>
    </w:p>
    <w:p w14:paraId="457C5B40" w14:textId="77777777" w:rsidR="00530064" w:rsidRDefault="00530064" w:rsidP="00530064">
      <w:pPr>
        <w:jc w:val="both"/>
        <w:rPr>
          <w:rFonts w:cs="Arial"/>
          <w:sz w:val="24"/>
          <w:szCs w:val="24"/>
        </w:rPr>
      </w:pPr>
    </w:p>
    <w:p w14:paraId="4EC56FFB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Malik, AS. &amp; Malik, RH (2021) Twelve tips for conducting team-based learning session online in synchronous setting, Medical Teacher, DOI: </w:t>
      </w:r>
      <w:hyperlink r:id="rId9" w:history="1">
        <w:r w:rsidRPr="004101A6">
          <w:rPr>
            <w:rFonts w:cs="Arial"/>
            <w:sz w:val="24"/>
            <w:szCs w:val="24"/>
            <w:shd w:val="clear" w:color="auto" w:fill="FFFFFF"/>
          </w:rPr>
          <w:t>10.1080/0142159X.2021.1910642</w:t>
        </w:r>
      </w:hyperlink>
      <w:r>
        <w:rPr>
          <w:rFonts w:cs="Arial"/>
          <w:sz w:val="24"/>
          <w:szCs w:val="24"/>
          <w:shd w:val="clear" w:color="auto" w:fill="FFFFFF"/>
        </w:rPr>
        <w:t xml:space="preserve"> (Accessed 17/05/2021)</w:t>
      </w:r>
    </w:p>
    <w:p w14:paraId="0765BFD6" w14:textId="77777777" w:rsidR="00530064" w:rsidRDefault="00530064" w:rsidP="00530064">
      <w:pPr>
        <w:shd w:val="clear" w:color="auto" w:fill="FFFFFF"/>
        <w:spacing w:after="30" w:line="285" w:lineRule="atLeast"/>
        <w:ind w:right="1500"/>
        <w:jc w:val="both"/>
        <w:outlineLvl w:val="2"/>
        <w:rPr>
          <w:rFonts w:cs="Arial"/>
          <w:sz w:val="24"/>
          <w:szCs w:val="24"/>
        </w:rPr>
      </w:pPr>
    </w:p>
    <w:p w14:paraId="657D2B70" w14:textId="77777777" w:rsidR="00530064" w:rsidRPr="00F60121" w:rsidRDefault="00530064" w:rsidP="00530064">
      <w:pPr>
        <w:jc w:val="both"/>
        <w:textAlignment w:val="baseline"/>
        <w:rPr>
          <w:rFonts w:cs="Arial"/>
          <w:i/>
          <w:iCs/>
          <w:sz w:val="24"/>
          <w:szCs w:val="24"/>
        </w:rPr>
      </w:pPr>
      <w:r w:rsidRPr="00AC28FB">
        <w:rPr>
          <w:rFonts w:cs="Arial"/>
          <w:sz w:val="24"/>
          <w:szCs w:val="24"/>
        </w:rPr>
        <w:t>McMillan, L</w:t>
      </w:r>
      <w:r w:rsidRPr="004101A6">
        <w:rPr>
          <w:rFonts w:cs="Arial"/>
          <w:sz w:val="24"/>
          <w:szCs w:val="24"/>
        </w:rPr>
        <w:t>.</w:t>
      </w:r>
      <w:r w:rsidRPr="00AC28FB">
        <w:rPr>
          <w:rFonts w:cs="Arial"/>
          <w:sz w:val="24"/>
          <w:szCs w:val="24"/>
        </w:rPr>
        <w:t xml:space="preserve"> Johnson, T</w:t>
      </w:r>
      <w:r w:rsidRPr="004101A6">
        <w:rPr>
          <w:rFonts w:cs="Arial"/>
          <w:sz w:val="24"/>
          <w:szCs w:val="24"/>
        </w:rPr>
        <w:t>.</w:t>
      </w:r>
      <w:r w:rsidRPr="00AC28FB">
        <w:rPr>
          <w:rFonts w:cs="Arial"/>
          <w:sz w:val="24"/>
          <w:szCs w:val="24"/>
        </w:rPr>
        <w:t xml:space="preserve"> Parker, F</w:t>
      </w:r>
      <w:r w:rsidRPr="004101A6">
        <w:rPr>
          <w:rFonts w:cs="Arial"/>
          <w:sz w:val="24"/>
          <w:szCs w:val="24"/>
        </w:rPr>
        <w:t>.</w:t>
      </w:r>
      <w:r w:rsidRPr="00AC28FB">
        <w:rPr>
          <w:rFonts w:cs="Arial"/>
          <w:sz w:val="24"/>
          <w:szCs w:val="24"/>
        </w:rPr>
        <w:t xml:space="preserve"> Hunt</w:t>
      </w:r>
      <w:r w:rsidRPr="004101A6">
        <w:rPr>
          <w:rFonts w:cs="Arial"/>
          <w:sz w:val="24"/>
          <w:szCs w:val="24"/>
        </w:rPr>
        <w:t xml:space="preserve"> M,</w:t>
      </w:r>
      <w:r w:rsidRPr="00AC28FB">
        <w:rPr>
          <w:rFonts w:cs="Arial"/>
          <w:sz w:val="24"/>
          <w:szCs w:val="24"/>
        </w:rPr>
        <w:t xml:space="preserve"> Caralise W.; Boyd, DE.</w:t>
      </w:r>
      <w:r w:rsidRPr="004101A6">
        <w:rPr>
          <w:rFonts w:cs="Arial"/>
          <w:sz w:val="24"/>
          <w:szCs w:val="24"/>
        </w:rPr>
        <w:t xml:space="preserve"> (2020</w:t>
      </w:r>
      <w:r w:rsidRPr="004101A6">
        <w:rPr>
          <w:rFonts w:cs="Arial"/>
          <w:i/>
          <w:iCs/>
          <w:sz w:val="24"/>
          <w:szCs w:val="24"/>
        </w:rPr>
        <w:t xml:space="preserve">) </w:t>
      </w:r>
      <w:r w:rsidRPr="00AC28FB">
        <w:rPr>
          <w:rFonts w:cs="Arial"/>
          <w:i/>
          <w:iCs/>
          <w:sz w:val="24"/>
          <w:szCs w:val="24"/>
        </w:rPr>
        <w:t>Improving Student Learning Outcomes through a Collaborative Higher Education Partnership</w:t>
      </w:r>
      <w:r w:rsidRPr="004101A6">
        <w:rPr>
          <w:rFonts w:cs="Arial"/>
          <w:sz w:val="24"/>
          <w:szCs w:val="24"/>
        </w:rPr>
        <w:t xml:space="preserve">. </w:t>
      </w:r>
      <w:r w:rsidRPr="00F60121">
        <w:rPr>
          <w:rFonts w:cs="Arial"/>
          <w:i/>
          <w:iCs/>
          <w:sz w:val="24"/>
          <w:szCs w:val="24"/>
          <w:bdr w:val="none" w:sz="0" w:space="0" w:color="auto" w:frame="1"/>
        </w:rPr>
        <w:t>International Journal of Teaching and Learning in Higher Education</w:t>
      </w:r>
      <w:r w:rsidRPr="00F60121">
        <w:rPr>
          <w:rFonts w:cs="Arial"/>
          <w:i/>
          <w:iCs/>
          <w:sz w:val="24"/>
          <w:szCs w:val="24"/>
        </w:rPr>
        <w:t>, v32 n1 p117-</w:t>
      </w:r>
      <w:proofErr w:type="gramStart"/>
      <w:r w:rsidRPr="00F60121">
        <w:rPr>
          <w:rFonts w:cs="Arial"/>
          <w:i/>
          <w:iCs/>
          <w:sz w:val="24"/>
          <w:szCs w:val="24"/>
        </w:rPr>
        <w:t>124</w:t>
      </w:r>
      <w:proofErr w:type="gramEnd"/>
      <w:r w:rsidRPr="00F60121">
        <w:rPr>
          <w:rFonts w:cs="Arial"/>
          <w:i/>
          <w:iCs/>
          <w:sz w:val="24"/>
          <w:szCs w:val="24"/>
        </w:rPr>
        <w:t xml:space="preserve"> </w:t>
      </w:r>
    </w:p>
    <w:p w14:paraId="0DF85875" w14:textId="77777777" w:rsidR="00530064" w:rsidRDefault="00530064" w:rsidP="00530064">
      <w:pPr>
        <w:shd w:val="clear" w:color="auto" w:fill="FFFFFF"/>
        <w:spacing w:after="30" w:line="285" w:lineRule="atLeast"/>
        <w:ind w:right="1500"/>
        <w:jc w:val="both"/>
        <w:outlineLvl w:val="2"/>
        <w:rPr>
          <w:rFonts w:cs="Arial"/>
          <w:sz w:val="24"/>
          <w:szCs w:val="24"/>
        </w:rPr>
      </w:pPr>
    </w:p>
    <w:p w14:paraId="0B664225" w14:textId="77777777" w:rsidR="00530064" w:rsidRPr="004101A6" w:rsidRDefault="00530064" w:rsidP="00530064">
      <w:pPr>
        <w:shd w:val="clear" w:color="auto" w:fill="FFFFFF"/>
        <w:spacing w:after="30" w:line="285" w:lineRule="atLeast"/>
        <w:ind w:right="1500"/>
        <w:jc w:val="both"/>
        <w:outlineLvl w:val="2"/>
        <w:rPr>
          <w:rFonts w:cs="Arial"/>
          <w:sz w:val="24"/>
          <w:szCs w:val="24"/>
        </w:rPr>
      </w:pPr>
      <w:hyperlink r:id="rId10" w:history="1">
        <w:r w:rsidRPr="004101A6">
          <w:rPr>
            <w:rFonts w:cs="Arial"/>
            <w:sz w:val="24"/>
            <w:szCs w:val="24"/>
          </w:rPr>
          <w:t>Naciri</w:t>
        </w:r>
      </w:hyperlink>
      <w:r w:rsidRPr="004101A6">
        <w:rPr>
          <w:rFonts w:cs="Arial"/>
          <w:sz w:val="24"/>
          <w:szCs w:val="24"/>
        </w:rPr>
        <w:t>, A. Baba MA, Achbani, A</w:t>
      </w:r>
      <w:hyperlink r:id="rId11" w:history="1">
        <w:r w:rsidRPr="004101A6">
          <w:rPr>
            <w:rFonts w:cs="Arial"/>
            <w:sz w:val="24"/>
            <w:szCs w:val="24"/>
          </w:rPr>
          <w:t xml:space="preserve"> Kharbach</w:t>
        </w:r>
      </w:hyperlink>
      <w:r w:rsidRPr="004101A6">
        <w:rPr>
          <w:rFonts w:cs="Arial"/>
          <w:sz w:val="24"/>
          <w:szCs w:val="24"/>
        </w:rPr>
        <w:t xml:space="preserve">,A. (2020) - </w:t>
      </w:r>
      <w:hyperlink r:id="rId12" w:history="1">
        <w:r w:rsidRPr="004101A6">
          <w:rPr>
            <w:rFonts w:cs="Arial"/>
            <w:i/>
            <w:iCs/>
            <w:sz w:val="24"/>
            <w:szCs w:val="24"/>
          </w:rPr>
          <w:t>Mobile learning in </w:t>
        </w:r>
        <w:r w:rsidRPr="004101A6">
          <w:rPr>
            <w:rFonts w:cs="Arial"/>
            <w:b/>
            <w:bCs/>
            <w:i/>
            <w:iCs/>
            <w:sz w:val="24"/>
            <w:szCs w:val="24"/>
          </w:rPr>
          <w:t xml:space="preserve">Higher </w:t>
        </w:r>
        <w:r>
          <w:rPr>
            <w:rFonts w:cs="Arial"/>
            <w:b/>
            <w:bCs/>
            <w:i/>
            <w:iCs/>
            <w:sz w:val="24"/>
            <w:szCs w:val="24"/>
          </w:rPr>
          <w:t>e</w:t>
        </w:r>
        <w:r w:rsidRPr="004101A6">
          <w:rPr>
            <w:rFonts w:cs="Arial"/>
            <w:b/>
            <w:bCs/>
            <w:i/>
            <w:iCs/>
            <w:sz w:val="24"/>
            <w:szCs w:val="24"/>
          </w:rPr>
          <w:t>ducation</w:t>
        </w:r>
        <w:r w:rsidRPr="004101A6">
          <w:rPr>
            <w:rFonts w:cs="Arial"/>
            <w:i/>
            <w:iCs/>
            <w:sz w:val="24"/>
            <w:szCs w:val="24"/>
          </w:rPr>
          <w:t>: Unavoidable alternative during COVID-19</w:t>
        </w:r>
      </w:hyperlink>
      <w:r w:rsidRPr="004101A6">
        <w:rPr>
          <w:rFonts w:cs="Arial"/>
          <w:sz w:val="24"/>
          <w:szCs w:val="24"/>
        </w:rPr>
        <w:t>. Aquademia-journal.com (Accessed 20/06/2021)</w:t>
      </w:r>
    </w:p>
    <w:p w14:paraId="6D043D69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56B4D948" w14:textId="77777777" w:rsidR="00530064" w:rsidRDefault="00530064" w:rsidP="00530064">
      <w:pPr>
        <w:jc w:val="both"/>
        <w:rPr>
          <w:rFonts w:cs="Arial"/>
          <w:sz w:val="24"/>
          <w:szCs w:val="24"/>
          <w:lang w:val="en"/>
        </w:rPr>
      </w:pPr>
      <w:r w:rsidRPr="004101A6">
        <w:rPr>
          <w:rFonts w:cs="Arial"/>
          <w:sz w:val="24"/>
          <w:szCs w:val="24"/>
          <w:lang w:val="en"/>
        </w:rPr>
        <w:t xml:space="preserve">Quardokus, K. &amp; Henderson, C. (2015) Promoting instructional change: Using social network analysis to understand the informal structure of academic departments, </w:t>
      </w:r>
      <w:r w:rsidRPr="004101A6">
        <w:rPr>
          <w:rFonts w:cs="Arial"/>
          <w:i/>
          <w:sz w:val="24"/>
          <w:szCs w:val="24"/>
          <w:lang w:val="en"/>
        </w:rPr>
        <w:t>Higher Education,</w:t>
      </w:r>
      <w:r w:rsidRPr="004101A6">
        <w:rPr>
          <w:rFonts w:cs="Arial"/>
          <w:sz w:val="24"/>
          <w:szCs w:val="24"/>
          <w:lang w:val="en"/>
        </w:rPr>
        <w:t xml:space="preserve"> Vol 70, No 3, pp315-335 (Accessed 22/06/2021)</w:t>
      </w:r>
    </w:p>
    <w:p w14:paraId="73008DF9" w14:textId="77777777" w:rsidR="00530064" w:rsidRDefault="00530064" w:rsidP="00530064">
      <w:pPr>
        <w:jc w:val="both"/>
        <w:rPr>
          <w:rFonts w:cs="Arial"/>
          <w:sz w:val="24"/>
          <w:szCs w:val="24"/>
          <w:lang w:val="en"/>
        </w:rPr>
      </w:pPr>
    </w:p>
    <w:p w14:paraId="77537C18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Rafiola, R., Setyosari, P., Radjah, C. &amp; Ramli, M. (2020). The Effect of Learning Motivation, Self-Efficacy, and Blended Learning on Students’ Achievement in The Industrial Revolution 4.0. </w:t>
      </w:r>
      <w:r w:rsidRPr="004101A6">
        <w:rPr>
          <w:rFonts w:cs="Arial"/>
          <w:i/>
          <w:iCs/>
          <w:sz w:val="24"/>
          <w:szCs w:val="24"/>
          <w:shd w:val="clear" w:color="auto" w:fill="FFFFFF"/>
        </w:rPr>
        <w:t>International Journal of Emerging Technologies in Learning (iJET), 15</w:t>
      </w:r>
      <w:r w:rsidRPr="004101A6">
        <w:rPr>
          <w:rFonts w:cs="Arial"/>
          <w:sz w:val="24"/>
          <w:szCs w:val="24"/>
          <w:shd w:val="clear" w:color="auto" w:fill="FFFFFF"/>
        </w:rPr>
        <w:t>(8), 71-82. Kassel, Germany: International Journal of Emerging Technology in Learning. </w:t>
      </w:r>
      <w:r>
        <w:rPr>
          <w:rFonts w:cs="Arial"/>
          <w:sz w:val="24"/>
          <w:szCs w:val="24"/>
          <w:shd w:val="clear" w:color="auto" w:fill="FFFFFF"/>
        </w:rPr>
        <w:t>(Accessed 23/06/2021)</w:t>
      </w:r>
    </w:p>
    <w:p w14:paraId="58CCA19F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3D61492C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 xml:space="preserve">Rotar, </w:t>
      </w:r>
      <w:proofErr w:type="gramStart"/>
      <w:r>
        <w:rPr>
          <w:rFonts w:cs="Arial"/>
          <w:sz w:val="24"/>
          <w:szCs w:val="24"/>
          <w:shd w:val="clear" w:color="auto" w:fill="FFFFFF"/>
        </w:rPr>
        <w:t>O.(</w:t>
      </w:r>
      <w:proofErr w:type="gramEnd"/>
      <w:r>
        <w:rPr>
          <w:rFonts w:cs="Arial"/>
          <w:sz w:val="24"/>
          <w:szCs w:val="24"/>
          <w:shd w:val="clear" w:color="auto" w:fill="FFFFFF"/>
        </w:rPr>
        <w:t>2021) Online Student support: a Framework for Embedding Support interventions into the Online Learning Cycle. PsyArXiv.doi:10.31234/osf.io/s4kr6 (Accessed 22/06/21)</w:t>
      </w:r>
    </w:p>
    <w:p w14:paraId="5840F2DA" w14:textId="77777777" w:rsidR="00530064" w:rsidRDefault="00530064" w:rsidP="00530064">
      <w:pPr>
        <w:jc w:val="both"/>
        <w:rPr>
          <w:rFonts w:cs="Arial"/>
          <w:sz w:val="24"/>
          <w:szCs w:val="24"/>
          <w:shd w:val="clear" w:color="auto" w:fill="FFFFFF"/>
        </w:rPr>
      </w:pPr>
    </w:p>
    <w:p w14:paraId="4EB1752E" w14:textId="77777777" w:rsidR="00530064" w:rsidRPr="004101A6" w:rsidRDefault="00530064" w:rsidP="00530064">
      <w:pPr>
        <w:jc w:val="both"/>
        <w:rPr>
          <w:rFonts w:cs="Arial"/>
          <w:sz w:val="24"/>
          <w:szCs w:val="24"/>
          <w:lang w:val="en"/>
        </w:rPr>
      </w:pPr>
    </w:p>
    <w:p w14:paraId="08E93357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Singh, H. (2021). Building Effective Blended Learning Programs. In B. Khan, S. Affouneh, S. Hussein Salha, &amp; Z. Najee Khlaif (Eds.), </w:t>
      </w:r>
      <w:r w:rsidRPr="004101A6">
        <w:rPr>
          <w:rFonts w:cs="Arial"/>
          <w:i/>
          <w:iCs/>
          <w:sz w:val="24"/>
          <w:szCs w:val="24"/>
          <w:shd w:val="clear" w:color="auto" w:fill="FFFFFF"/>
        </w:rPr>
        <w:t>Challenges and Opportunities for the Global Implementation of E-Learning Frameworks</w:t>
      </w:r>
      <w:r w:rsidRPr="004101A6">
        <w:rPr>
          <w:rFonts w:cs="Arial"/>
          <w:sz w:val="24"/>
          <w:szCs w:val="24"/>
          <w:shd w:val="clear" w:color="auto" w:fill="FFFFFF"/>
        </w:rPr>
        <w:t xml:space="preserve"> (pp. 15-23). IGI Global. </w:t>
      </w:r>
      <w:hyperlink r:id="rId13" w:history="1">
        <w:r w:rsidRPr="00CA6AEB">
          <w:rPr>
            <w:rStyle w:val="Hyperlink"/>
            <w:rFonts w:cs="Arial"/>
            <w:sz w:val="24"/>
            <w:szCs w:val="24"/>
            <w:shd w:val="clear" w:color="auto" w:fill="FFFFFF"/>
          </w:rPr>
          <w:t>http://doi:10.4018/978-1-7998-7607-6.ch002</w:t>
        </w:r>
      </w:hyperlink>
      <w:r>
        <w:rPr>
          <w:rFonts w:cs="Arial"/>
          <w:sz w:val="24"/>
          <w:szCs w:val="24"/>
          <w:shd w:val="clear" w:color="auto" w:fill="FFFFFF"/>
        </w:rPr>
        <w:t xml:space="preserve"> (Accessed 20/06/2021)</w:t>
      </w:r>
    </w:p>
    <w:p w14:paraId="75634AF9" w14:textId="77777777" w:rsidR="00530064" w:rsidRDefault="00530064" w:rsidP="00530064">
      <w:pPr>
        <w:jc w:val="both"/>
        <w:rPr>
          <w:rFonts w:cs="Arial"/>
          <w:sz w:val="24"/>
          <w:szCs w:val="24"/>
          <w:lang w:val="en"/>
        </w:rPr>
      </w:pPr>
    </w:p>
    <w:p w14:paraId="7D401F66" w14:textId="77777777" w:rsidR="00530064" w:rsidRPr="00F60121" w:rsidRDefault="00530064" w:rsidP="00530064">
      <w:pPr>
        <w:jc w:val="both"/>
        <w:rPr>
          <w:rFonts w:cs="Arial"/>
          <w:i/>
          <w:iCs/>
          <w:sz w:val="24"/>
          <w:szCs w:val="24"/>
          <w:shd w:val="clear" w:color="auto" w:fill="FFFFFF"/>
        </w:rPr>
      </w:pPr>
      <w:r w:rsidRPr="004101A6">
        <w:rPr>
          <w:rFonts w:cs="Arial"/>
          <w:sz w:val="24"/>
          <w:szCs w:val="24"/>
          <w:shd w:val="clear" w:color="auto" w:fill="FFFFFF"/>
        </w:rPr>
        <w:t>Tsiligiris, V &amp; Hill, C. (2021) A prospective model for aligning educational quality and student experience in international higher education, </w:t>
      </w:r>
      <w:r w:rsidRPr="00F60121">
        <w:rPr>
          <w:rFonts w:cs="Arial"/>
          <w:i/>
          <w:iCs/>
          <w:sz w:val="24"/>
          <w:szCs w:val="24"/>
          <w:shd w:val="clear" w:color="auto" w:fill="FFFFFF"/>
        </w:rPr>
        <w:t>Studies in Higher Education, 46:2, 228-244. </w:t>
      </w:r>
    </w:p>
    <w:p w14:paraId="20019075" w14:textId="77777777" w:rsidR="00530064" w:rsidRPr="00F60121" w:rsidRDefault="00530064" w:rsidP="00530064">
      <w:pPr>
        <w:jc w:val="both"/>
        <w:rPr>
          <w:rFonts w:cs="Arial"/>
          <w:i/>
          <w:iCs/>
          <w:sz w:val="24"/>
          <w:szCs w:val="24"/>
          <w:lang w:val="en"/>
        </w:rPr>
      </w:pPr>
    </w:p>
    <w:p w14:paraId="770F8A7A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  <w:hyperlink r:id="rId14" w:tooltip="Liezel Vargas-Sevalle" w:history="1">
        <w:r w:rsidRPr="004101A6">
          <w:rPr>
            <w:rFonts w:cs="Arial"/>
            <w:sz w:val="24"/>
            <w:szCs w:val="24"/>
            <w:shd w:val="clear" w:color="auto" w:fill="FFFFFF"/>
          </w:rPr>
          <w:t>Vargas-Sevalle, L.</w:t>
        </w:r>
      </w:hyperlink>
      <w:r w:rsidRPr="004101A6">
        <w:rPr>
          <w:rFonts w:cs="Arial"/>
          <w:sz w:val="24"/>
          <w:szCs w:val="24"/>
          <w:shd w:val="clear" w:color="auto" w:fill="FFFFFF"/>
        </w:rPr>
        <w:t>, </w:t>
      </w:r>
      <w:hyperlink r:id="rId15" w:tooltip="Masoud Karami" w:history="1">
        <w:r w:rsidRPr="004101A6">
          <w:rPr>
            <w:rFonts w:cs="Arial"/>
            <w:sz w:val="24"/>
            <w:szCs w:val="24"/>
            <w:shd w:val="clear" w:color="auto" w:fill="FFFFFF"/>
          </w:rPr>
          <w:t>Karami, M.</w:t>
        </w:r>
      </w:hyperlink>
      <w:r w:rsidRPr="004101A6">
        <w:rPr>
          <w:rFonts w:cs="Arial"/>
          <w:sz w:val="24"/>
          <w:szCs w:val="24"/>
          <w:shd w:val="clear" w:color="auto" w:fill="FFFFFF"/>
        </w:rPr>
        <w:t> and </w:t>
      </w:r>
      <w:hyperlink r:id="rId16" w:tooltip="Sam Spector" w:history="1">
        <w:r w:rsidRPr="004101A6">
          <w:rPr>
            <w:rFonts w:cs="Arial"/>
            <w:sz w:val="24"/>
            <w:szCs w:val="24"/>
            <w:shd w:val="clear" w:color="auto" w:fill="FFFFFF"/>
          </w:rPr>
          <w:t>Spector, S.</w:t>
        </w:r>
      </w:hyperlink>
      <w:r w:rsidRPr="004101A6">
        <w:rPr>
          <w:rFonts w:cs="Arial"/>
          <w:sz w:val="24"/>
          <w:szCs w:val="24"/>
          <w:shd w:val="clear" w:color="auto" w:fill="FFFFFF"/>
        </w:rPr>
        <w:t> (2020), "Transformational Leadership in the Hospitality and Tourism Industry", </w:t>
      </w:r>
      <w:hyperlink r:id="rId17" w:tooltip="Vanessa Ratten" w:history="1">
        <w:r w:rsidRPr="004101A6">
          <w:rPr>
            <w:rFonts w:cs="Arial"/>
            <w:sz w:val="24"/>
            <w:szCs w:val="24"/>
            <w:shd w:val="clear" w:color="auto" w:fill="FFFFFF"/>
          </w:rPr>
          <w:t>Ratten, V.</w:t>
        </w:r>
      </w:hyperlink>
      <w:r w:rsidRPr="004101A6">
        <w:rPr>
          <w:rFonts w:cs="Arial"/>
          <w:sz w:val="24"/>
          <w:szCs w:val="24"/>
          <w:shd w:val="clear" w:color="auto" w:fill="FFFFFF"/>
        </w:rPr>
        <w:t> (Ed.) </w:t>
      </w:r>
      <w:r w:rsidRPr="004101A6">
        <w:rPr>
          <w:rFonts w:cs="Arial"/>
          <w:i/>
          <w:iCs/>
          <w:sz w:val="24"/>
          <w:szCs w:val="24"/>
          <w:shd w:val="clear" w:color="auto" w:fill="FFFFFF"/>
        </w:rPr>
        <w:t>Entrepreneurial Opportunities</w:t>
      </w:r>
      <w:r w:rsidRPr="004101A6">
        <w:rPr>
          <w:rFonts w:cs="Arial"/>
          <w:sz w:val="24"/>
          <w:szCs w:val="24"/>
          <w:shd w:val="clear" w:color="auto" w:fill="FFFFFF"/>
        </w:rPr>
        <w:t>, Emerald Publishing Limited, Bingley, pp. 73-97. </w:t>
      </w:r>
      <w:r w:rsidRPr="004101A6">
        <w:rPr>
          <w:rFonts w:cs="Arial"/>
          <w:b/>
          <w:sz w:val="24"/>
          <w:szCs w:val="24"/>
        </w:rPr>
        <w:t xml:space="preserve"> </w:t>
      </w:r>
    </w:p>
    <w:p w14:paraId="2A407072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05267E4A" w14:textId="77777777" w:rsidR="00530064" w:rsidRPr="009C1D3B" w:rsidRDefault="00530064" w:rsidP="00530064">
      <w:pPr>
        <w:shd w:val="clear" w:color="auto" w:fill="FFFFFF"/>
        <w:spacing w:after="105" w:line="360" w:lineRule="atLeast"/>
        <w:jc w:val="both"/>
        <w:outlineLvl w:val="0"/>
        <w:rPr>
          <w:rFonts w:cs="Arial"/>
          <w:sz w:val="24"/>
          <w:szCs w:val="24"/>
        </w:rPr>
      </w:pPr>
      <w:r w:rsidRPr="004101A6">
        <w:rPr>
          <w:rFonts w:cs="Arial"/>
          <w:sz w:val="24"/>
          <w:szCs w:val="24"/>
        </w:rPr>
        <w:t>Vaughan, M. &amp; Mertler, CA. (2020)</w:t>
      </w:r>
      <w:r w:rsidRPr="004101A6">
        <w:rPr>
          <w:rFonts w:cs="Arial"/>
          <w:b/>
          <w:bCs/>
          <w:kern w:val="36"/>
          <w:sz w:val="24"/>
          <w:szCs w:val="24"/>
        </w:rPr>
        <w:t xml:space="preserve"> </w:t>
      </w:r>
      <w:r w:rsidRPr="009C1D3B">
        <w:rPr>
          <w:rFonts w:cs="Arial"/>
          <w:i/>
          <w:iCs/>
          <w:kern w:val="36"/>
          <w:sz w:val="24"/>
          <w:szCs w:val="24"/>
        </w:rPr>
        <w:t xml:space="preserve">Reorienting Our Thinking Away </w:t>
      </w:r>
      <w:proofErr w:type="gramStart"/>
      <w:r w:rsidRPr="009C1D3B">
        <w:rPr>
          <w:rFonts w:cs="Arial"/>
          <w:i/>
          <w:iCs/>
          <w:kern w:val="36"/>
          <w:sz w:val="24"/>
          <w:szCs w:val="24"/>
        </w:rPr>
        <w:t>From</w:t>
      </w:r>
      <w:proofErr w:type="gramEnd"/>
      <w:r w:rsidRPr="009C1D3B">
        <w:rPr>
          <w:rFonts w:cs="Arial"/>
          <w:i/>
          <w:iCs/>
          <w:kern w:val="36"/>
          <w:sz w:val="24"/>
          <w:szCs w:val="24"/>
        </w:rPr>
        <w:t xml:space="preserve"> “Professional Development for Educators” and Toward the “Development of Professional Educators”</w:t>
      </w:r>
      <w:r>
        <w:rPr>
          <w:rFonts w:cs="Arial"/>
          <w:i/>
          <w:iCs/>
          <w:kern w:val="36"/>
          <w:sz w:val="24"/>
          <w:szCs w:val="24"/>
        </w:rPr>
        <w:t xml:space="preserve"> </w:t>
      </w:r>
      <w:r w:rsidRPr="009C1D3B">
        <w:rPr>
          <w:rFonts w:cs="Arial"/>
          <w:sz w:val="24"/>
          <w:szCs w:val="24"/>
          <w:shd w:val="clear" w:color="auto" w:fill="FFFFFF"/>
        </w:rPr>
        <w:t xml:space="preserve">First </w:t>
      </w:r>
      <w:r w:rsidRPr="004101A6">
        <w:rPr>
          <w:rFonts w:cs="Arial"/>
          <w:sz w:val="24"/>
          <w:szCs w:val="24"/>
          <w:shd w:val="clear" w:color="auto" w:fill="FFFFFF"/>
        </w:rPr>
        <w:t>Journal of School Leadership. Sage.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hyperlink r:id="rId18" w:history="1">
        <w:r w:rsidRPr="00CA6AEB">
          <w:rPr>
            <w:rStyle w:val="Hyperlink"/>
            <w:rFonts w:cs="Arial"/>
            <w:sz w:val="24"/>
            <w:szCs w:val="24"/>
          </w:rPr>
          <w:t>https://doi.org/10.1177/1052684620969926</w:t>
        </w:r>
      </w:hyperlink>
      <w:r>
        <w:rPr>
          <w:rFonts w:cs="Arial"/>
          <w:sz w:val="24"/>
          <w:szCs w:val="24"/>
        </w:rPr>
        <w:t xml:space="preserve"> (Accessed 15/01/2021)</w:t>
      </w:r>
    </w:p>
    <w:p w14:paraId="30C78B31" w14:textId="77777777" w:rsidR="00530064" w:rsidRPr="004101A6" w:rsidRDefault="00530064" w:rsidP="00530064">
      <w:pPr>
        <w:jc w:val="both"/>
        <w:rPr>
          <w:rFonts w:cs="Arial"/>
          <w:sz w:val="24"/>
          <w:szCs w:val="24"/>
          <w:lang w:val="en"/>
        </w:rPr>
      </w:pPr>
    </w:p>
    <w:p w14:paraId="72339404" w14:textId="1EA1CD43" w:rsidR="00530064" w:rsidRPr="004101A6" w:rsidRDefault="00530064" w:rsidP="00530064">
      <w:pPr>
        <w:jc w:val="both"/>
        <w:rPr>
          <w:rFonts w:cs="Arial"/>
          <w:sz w:val="24"/>
          <w:szCs w:val="24"/>
          <w:lang w:val="en"/>
        </w:rPr>
      </w:pPr>
      <w:r w:rsidRPr="004101A6">
        <w:rPr>
          <w:rFonts w:cs="Arial"/>
          <w:sz w:val="24"/>
          <w:szCs w:val="24"/>
          <w:lang w:val="en"/>
        </w:rPr>
        <w:t>Woods, P. Blunden, H. Elias. B,</w:t>
      </w:r>
      <w:r>
        <w:rPr>
          <w:rFonts w:cs="Arial"/>
          <w:sz w:val="24"/>
          <w:szCs w:val="24"/>
          <w:lang w:val="en"/>
        </w:rPr>
        <w:t xml:space="preserve"> </w:t>
      </w:r>
      <w:r w:rsidRPr="004101A6">
        <w:rPr>
          <w:rFonts w:cs="Arial"/>
          <w:sz w:val="24"/>
          <w:szCs w:val="24"/>
          <w:lang w:val="en"/>
        </w:rPr>
        <w:t xml:space="preserve">Webster. D (2019) Adopt &amp; Embrace Microsoft Teams. </w:t>
      </w:r>
      <w:r w:rsidRPr="004101A6">
        <w:rPr>
          <w:rFonts w:cs="Arial"/>
          <w:i/>
          <w:iCs/>
          <w:sz w:val="24"/>
          <w:szCs w:val="24"/>
          <w:lang w:val="en"/>
        </w:rPr>
        <w:t>A managers guide to communication, collaboration, and coordination with Microsoft Teams.</w:t>
      </w:r>
      <w:r w:rsidRPr="004101A6">
        <w:rPr>
          <w:rFonts w:cs="Arial"/>
          <w:sz w:val="24"/>
          <w:szCs w:val="24"/>
          <w:lang w:val="en"/>
        </w:rPr>
        <w:t xml:space="preserve"> Change Empire Books. London. United Kingdom.</w:t>
      </w:r>
    </w:p>
    <w:p w14:paraId="3FC246A7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1B1D4F69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  <w:r w:rsidRPr="004101A6">
        <w:rPr>
          <w:rFonts w:cs="Arial"/>
          <w:sz w:val="24"/>
          <w:szCs w:val="24"/>
          <w:shd w:val="clear" w:color="auto" w:fill="FFFFFF"/>
        </w:rPr>
        <w:t>Yusuf, M. A. (2021) “Adult Learning Principles a Strategy for Improving Instructional Delivery in Higher Institutions of Learning in Nigeria”, </w:t>
      </w:r>
      <w:r w:rsidRPr="004101A6">
        <w:rPr>
          <w:rFonts w:cs="Arial"/>
          <w:i/>
          <w:iCs/>
          <w:sz w:val="24"/>
          <w:szCs w:val="24"/>
          <w:shd w:val="clear" w:color="auto" w:fill="FFFFFF"/>
        </w:rPr>
        <w:t>Asian Journal of Education and Social Studies</w:t>
      </w:r>
      <w:r w:rsidRPr="004101A6">
        <w:rPr>
          <w:rFonts w:cs="Arial"/>
          <w:sz w:val="24"/>
          <w:szCs w:val="24"/>
          <w:shd w:val="clear" w:color="auto" w:fill="FFFFFF"/>
        </w:rPr>
        <w:t xml:space="preserve">, 15(1), pp. 38-45. </w:t>
      </w:r>
    </w:p>
    <w:p w14:paraId="4E7C2159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0B1821A3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37CF1693" w14:textId="77777777" w:rsidR="00530064" w:rsidRPr="004101A6" w:rsidRDefault="00530064" w:rsidP="00530064">
      <w:pPr>
        <w:jc w:val="both"/>
        <w:rPr>
          <w:rFonts w:cs="Arial"/>
          <w:b/>
          <w:sz w:val="24"/>
          <w:szCs w:val="24"/>
        </w:rPr>
      </w:pPr>
    </w:p>
    <w:p w14:paraId="1D4AB3C9" w14:textId="77777777" w:rsidR="000D0346" w:rsidRDefault="000D0346"/>
    <w:sectPr w:rsidR="000D03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64"/>
    <w:rsid w:val="000D0346"/>
    <w:rsid w:val="0053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9BF45"/>
  <w15:chartTrackingRefBased/>
  <w15:docId w15:val="{23BDE68F-4A73-47C8-BBB0-5518A3F4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064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0064"/>
    <w:rPr>
      <w:color w:val="0563C1" w:themeColor="hyperlink"/>
      <w:u w:val="single"/>
    </w:rPr>
  </w:style>
  <w:style w:type="character" w:customStyle="1" w:styleId="hlfld-contribauthor">
    <w:name w:val="hlfld-contribauthor"/>
    <w:basedOn w:val="DefaultParagraphFont"/>
    <w:rsid w:val="00530064"/>
  </w:style>
  <w:style w:type="character" w:customStyle="1" w:styleId="separator">
    <w:name w:val="separator"/>
    <w:basedOn w:val="DefaultParagraphFont"/>
    <w:rsid w:val="00530064"/>
  </w:style>
  <w:style w:type="character" w:customStyle="1" w:styleId="nlmsource">
    <w:name w:val="nlm_source"/>
    <w:basedOn w:val="DefaultParagraphFont"/>
    <w:rsid w:val="00530064"/>
  </w:style>
  <w:style w:type="character" w:styleId="Emphasis">
    <w:name w:val="Emphasis"/>
    <w:basedOn w:val="DefaultParagraphFont"/>
    <w:uiPriority w:val="20"/>
    <w:qFormat/>
    <w:rsid w:val="005300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2602938.2019.1689545" TargetMode="External"/><Relationship Id="rId13" Type="http://schemas.openxmlformats.org/officeDocument/2006/relationships/hyperlink" Target="http://doi:10.4018/978-1-7998-7607-6.ch002" TargetMode="External"/><Relationship Id="rId18" Type="http://schemas.openxmlformats.org/officeDocument/2006/relationships/hyperlink" Target="https://doi.org/10.1177/105268462096992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80/02602938.2020.1822281" TargetMode="External"/><Relationship Id="rId12" Type="http://schemas.openxmlformats.org/officeDocument/2006/relationships/hyperlink" Target="https://www.aquademia-journal.com/article/mobile-learning-in-higher-education-unavoidable-alternative-during-covid-19-8227" TargetMode="External"/><Relationship Id="rId17" Type="http://schemas.openxmlformats.org/officeDocument/2006/relationships/hyperlink" Target="https://www.emerald.com/insight/search?q=Vanessa%20Ratt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merald.com/insight/search?q=Sam%20Spector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i.org/10.1080/13603116.2020.1776777" TargetMode="External"/><Relationship Id="rId11" Type="http://schemas.openxmlformats.org/officeDocument/2006/relationships/hyperlink" Target="https://scholar.google.co.uk/citations?user=ELp1kN8AAAAJ&amp;hl=en&amp;oi=sra" TargetMode="External"/><Relationship Id="rId5" Type="http://schemas.openxmlformats.org/officeDocument/2006/relationships/hyperlink" Target="http://doi:10.4018/978-1-5225-9814-5.ch008%20(Accessed%2022/06/2021" TargetMode="External"/><Relationship Id="rId15" Type="http://schemas.openxmlformats.org/officeDocument/2006/relationships/hyperlink" Target="https://www.emerald.com/insight/search?q=Masoud%20Karami" TargetMode="External"/><Relationship Id="rId10" Type="http://schemas.openxmlformats.org/officeDocument/2006/relationships/hyperlink" Target="https://scholar.google.co.uk/citations?user=iG07c7YAAAAJ&amp;hl=en&amp;oi=sra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doi:10.4018/978-1-7998-2132-8.ch01" TargetMode="External"/><Relationship Id="rId9" Type="http://schemas.openxmlformats.org/officeDocument/2006/relationships/hyperlink" Target="https://doi.org/10.1080/0142159X.2021.1910642" TargetMode="External"/><Relationship Id="rId14" Type="http://schemas.openxmlformats.org/officeDocument/2006/relationships/hyperlink" Target="https://www.emerald.com/insight/search?q=Liezel%20Vargas-Seval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1149</Words>
  <Characters>6550</Characters>
  <Application>Microsoft Office Word</Application>
  <DocSecurity>0</DocSecurity>
  <Lines>54</Lines>
  <Paragraphs>15</Paragraphs>
  <ScaleCrop>false</ScaleCrop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Jayne Griffith Parry</cp:lastModifiedBy>
  <cp:revision>1</cp:revision>
  <dcterms:created xsi:type="dcterms:W3CDTF">2021-06-25T08:35:00Z</dcterms:created>
  <dcterms:modified xsi:type="dcterms:W3CDTF">2021-06-25T08:37:00Z</dcterms:modified>
</cp:coreProperties>
</file>