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398D6" w14:textId="4554DA11" w:rsidR="00491B22" w:rsidRDefault="001A47DE" w:rsidP="00491B22">
      <w:pPr>
        <w:jc w:val="both"/>
        <w:rPr>
          <w:rFonts w:ascii="Arial" w:hAnsi="Arial" w:cs="Arial"/>
          <w:sz w:val="22"/>
          <w:szCs w:val="22"/>
        </w:rPr>
      </w:pPr>
      <w:r w:rsidRPr="00C6304D">
        <w:rPr>
          <w:rFonts w:ascii="Arial" w:eastAsia="Century Schoolbook" w:hAnsi="Arial" w:cs="Arial"/>
          <w:noProof/>
          <w:sz w:val="22"/>
          <w:szCs w:val="22"/>
          <w:lang w:val="en-US"/>
        </w:rPr>
        <w:drawing>
          <wp:anchor distT="0" distB="0" distL="114300" distR="114300" simplePos="0" relativeHeight="251659264" behindDoc="0" locked="0" layoutInCell="1" allowOverlap="1" wp14:anchorId="633E9C82" wp14:editId="74071B5D">
            <wp:simplePos x="0" y="0"/>
            <wp:positionH relativeFrom="margin">
              <wp:posOffset>0</wp:posOffset>
            </wp:positionH>
            <wp:positionV relativeFrom="paragraph">
              <wp:posOffset>289560</wp:posOffset>
            </wp:positionV>
            <wp:extent cx="2600325" cy="914400"/>
            <wp:effectExtent l="0" t="0" r="9525" b="0"/>
            <wp:wrapSquare wrapText="bothSides"/>
            <wp:docPr id="1738574180" name="Picture 1" descr="Description: 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pic:spPr>
                </pic:pic>
              </a:graphicData>
            </a:graphic>
            <wp14:sizeRelH relativeFrom="margin">
              <wp14:pctWidth>0</wp14:pctWidth>
            </wp14:sizeRelH>
            <wp14:sizeRelV relativeFrom="margin">
              <wp14:pctHeight>0</wp14:pctHeight>
            </wp14:sizeRelV>
          </wp:anchor>
        </w:drawing>
      </w:r>
    </w:p>
    <w:p w14:paraId="2043D5BE" w14:textId="77777777" w:rsidR="001A47DE" w:rsidRDefault="001A47DE" w:rsidP="00491B22">
      <w:pPr>
        <w:jc w:val="both"/>
        <w:rPr>
          <w:rFonts w:ascii="Arial" w:hAnsi="Arial" w:cs="Arial"/>
          <w:sz w:val="22"/>
          <w:szCs w:val="22"/>
        </w:rPr>
      </w:pPr>
    </w:p>
    <w:p w14:paraId="6BB866CE" w14:textId="77777777" w:rsidR="001A47DE" w:rsidRDefault="001A47DE" w:rsidP="00491B22">
      <w:pPr>
        <w:jc w:val="both"/>
        <w:rPr>
          <w:rFonts w:ascii="Arial" w:hAnsi="Arial" w:cs="Arial"/>
          <w:sz w:val="22"/>
          <w:szCs w:val="22"/>
        </w:rPr>
      </w:pPr>
    </w:p>
    <w:p w14:paraId="4CA77BF8" w14:textId="77777777" w:rsidR="001A47DE" w:rsidRDefault="001A47DE" w:rsidP="00491B22">
      <w:pPr>
        <w:jc w:val="both"/>
        <w:rPr>
          <w:rFonts w:ascii="Arial" w:hAnsi="Arial" w:cs="Arial"/>
          <w:sz w:val="22"/>
          <w:szCs w:val="22"/>
        </w:rPr>
      </w:pPr>
    </w:p>
    <w:p w14:paraId="01D77B1D" w14:textId="77777777" w:rsidR="001A47DE" w:rsidRDefault="001A47DE" w:rsidP="00491B22">
      <w:pPr>
        <w:jc w:val="both"/>
        <w:rPr>
          <w:rFonts w:ascii="Arial" w:hAnsi="Arial" w:cs="Arial"/>
          <w:sz w:val="22"/>
          <w:szCs w:val="22"/>
        </w:rPr>
      </w:pPr>
    </w:p>
    <w:p w14:paraId="45C00B5C" w14:textId="77777777" w:rsidR="001A47DE" w:rsidRDefault="001A47DE" w:rsidP="00491B22">
      <w:pPr>
        <w:jc w:val="both"/>
        <w:rPr>
          <w:rFonts w:ascii="Arial" w:hAnsi="Arial" w:cs="Arial"/>
          <w:sz w:val="22"/>
          <w:szCs w:val="22"/>
        </w:rPr>
      </w:pPr>
    </w:p>
    <w:p w14:paraId="26991023" w14:textId="77777777" w:rsidR="001A47DE" w:rsidRDefault="001A47DE" w:rsidP="00491B22">
      <w:pPr>
        <w:jc w:val="both"/>
        <w:rPr>
          <w:rFonts w:ascii="Arial" w:hAnsi="Arial" w:cs="Arial"/>
          <w:sz w:val="22"/>
          <w:szCs w:val="22"/>
        </w:rPr>
      </w:pPr>
    </w:p>
    <w:p w14:paraId="5D7675F3" w14:textId="77777777" w:rsidR="001A47DE" w:rsidRDefault="001A47DE" w:rsidP="00491B22">
      <w:pPr>
        <w:jc w:val="both"/>
        <w:rPr>
          <w:rFonts w:ascii="Arial" w:hAnsi="Arial" w:cs="Arial"/>
          <w:sz w:val="22"/>
          <w:szCs w:val="22"/>
        </w:rPr>
      </w:pPr>
    </w:p>
    <w:p w14:paraId="6DDBA8A2" w14:textId="77777777" w:rsidR="001A47DE" w:rsidRDefault="001A47DE" w:rsidP="00491B22">
      <w:pPr>
        <w:jc w:val="both"/>
        <w:rPr>
          <w:rFonts w:ascii="Arial" w:hAnsi="Arial" w:cs="Arial"/>
          <w:sz w:val="22"/>
          <w:szCs w:val="22"/>
        </w:rPr>
      </w:pPr>
    </w:p>
    <w:p w14:paraId="5A62C9ED" w14:textId="77777777" w:rsidR="001A47DE" w:rsidRDefault="001A47DE" w:rsidP="00491B22">
      <w:pPr>
        <w:jc w:val="both"/>
        <w:rPr>
          <w:rFonts w:ascii="Arial" w:hAnsi="Arial" w:cs="Arial"/>
          <w:sz w:val="22"/>
          <w:szCs w:val="22"/>
        </w:rPr>
      </w:pPr>
    </w:p>
    <w:p w14:paraId="7B0DFA66" w14:textId="77777777" w:rsidR="001A47DE" w:rsidRDefault="001A47DE" w:rsidP="00491B22">
      <w:pPr>
        <w:jc w:val="both"/>
        <w:rPr>
          <w:rFonts w:ascii="Arial" w:hAnsi="Arial" w:cs="Arial"/>
          <w:sz w:val="22"/>
          <w:szCs w:val="22"/>
        </w:rPr>
      </w:pPr>
    </w:p>
    <w:p w14:paraId="59705873" w14:textId="77777777" w:rsidR="001A47DE" w:rsidRPr="00C6304D" w:rsidRDefault="001A47DE" w:rsidP="001A47DE">
      <w:pPr>
        <w:spacing w:before="120"/>
        <w:jc w:val="both"/>
        <w:rPr>
          <w:rFonts w:ascii="Arial" w:hAnsi="Arial" w:cs="Arial"/>
          <w:sz w:val="22"/>
          <w:szCs w:val="22"/>
        </w:rPr>
      </w:pPr>
      <w:r w:rsidRPr="00C6304D">
        <w:rPr>
          <w:rFonts w:ascii="Arial" w:hAnsi="Arial" w:cs="Arial"/>
          <w:color w:val="404040"/>
          <w:sz w:val="22"/>
          <w:szCs w:val="22"/>
        </w:rPr>
        <w:t xml:space="preserve">Module Name: </w:t>
      </w:r>
      <w:r w:rsidRPr="00C6304D">
        <w:rPr>
          <w:rFonts w:ascii="Arial" w:hAnsi="Arial" w:cs="Arial"/>
          <w:b/>
          <w:bCs/>
          <w:color w:val="404040"/>
          <w:sz w:val="22"/>
          <w:szCs w:val="22"/>
        </w:rPr>
        <w:t>Introduction to Public Health.</w:t>
      </w:r>
    </w:p>
    <w:p w14:paraId="45FE0993" w14:textId="77777777" w:rsidR="001A47DE" w:rsidRPr="00C6304D" w:rsidRDefault="001A47DE" w:rsidP="001A47DE">
      <w:pPr>
        <w:spacing w:before="120"/>
        <w:jc w:val="both"/>
        <w:rPr>
          <w:rFonts w:ascii="Arial" w:hAnsi="Arial" w:cs="Arial"/>
          <w:sz w:val="22"/>
          <w:szCs w:val="22"/>
          <w:lang w:val="nl-NL"/>
        </w:rPr>
      </w:pPr>
      <w:r w:rsidRPr="00C6304D">
        <w:rPr>
          <w:rFonts w:ascii="Arial" w:hAnsi="Arial" w:cs="Arial"/>
          <w:color w:val="404040"/>
          <w:sz w:val="22"/>
          <w:szCs w:val="22"/>
          <w:lang w:val="nl-NL"/>
        </w:rPr>
        <w:t xml:space="preserve">Module Code: </w:t>
      </w:r>
      <w:r w:rsidRPr="00C6304D">
        <w:rPr>
          <w:rFonts w:ascii="Arial" w:hAnsi="Arial" w:cs="Arial"/>
          <w:b/>
          <w:bCs/>
          <w:color w:val="404040"/>
          <w:sz w:val="22"/>
          <w:szCs w:val="22"/>
        </w:rPr>
        <w:t>LCHS4008</w:t>
      </w:r>
    </w:p>
    <w:p w14:paraId="3DC2160F" w14:textId="77777777" w:rsidR="001A47DE" w:rsidRPr="00C6304D" w:rsidRDefault="001A47DE" w:rsidP="001A47DE">
      <w:pPr>
        <w:spacing w:before="120"/>
        <w:jc w:val="both"/>
        <w:rPr>
          <w:rFonts w:ascii="Arial" w:hAnsi="Arial" w:cs="Arial"/>
          <w:sz w:val="22"/>
          <w:szCs w:val="22"/>
          <w:lang w:val="nl-NL"/>
        </w:rPr>
      </w:pPr>
      <w:r w:rsidRPr="00C6304D">
        <w:rPr>
          <w:rFonts w:ascii="Arial" w:hAnsi="Arial" w:cs="Arial"/>
          <w:color w:val="404040"/>
          <w:sz w:val="22"/>
          <w:szCs w:val="22"/>
          <w:lang w:val="nl-NL"/>
        </w:rPr>
        <w:t xml:space="preserve">Student name: </w:t>
      </w:r>
      <w:r w:rsidRPr="00C6304D">
        <w:rPr>
          <w:rFonts w:ascii="Arial" w:hAnsi="Arial" w:cs="Arial"/>
          <w:b/>
          <w:bCs/>
          <w:color w:val="404040"/>
          <w:sz w:val="22"/>
          <w:szCs w:val="22"/>
          <w:lang w:val="nl-NL"/>
        </w:rPr>
        <w:t>Jose Ngonga</w:t>
      </w:r>
    </w:p>
    <w:p w14:paraId="59D50621" w14:textId="77777777" w:rsidR="001A47DE" w:rsidRPr="00C6304D" w:rsidRDefault="001A47DE" w:rsidP="001A47DE">
      <w:pPr>
        <w:spacing w:before="120"/>
        <w:jc w:val="both"/>
        <w:rPr>
          <w:rFonts w:ascii="Arial" w:hAnsi="Arial" w:cs="Arial"/>
          <w:sz w:val="22"/>
          <w:szCs w:val="22"/>
          <w:lang w:val="nl-NL"/>
        </w:rPr>
      </w:pPr>
      <w:r w:rsidRPr="00C6304D">
        <w:rPr>
          <w:rFonts w:ascii="Arial" w:hAnsi="Arial" w:cs="Arial"/>
          <w:color w:val="404040"/>
          <w:sz w:val="22"/>
          <w:szCs w:val="22"/>
          <w:lang w:val="nl-NL"/>
        </w:rPr>
        <w:t>Student ID:</w:t>
      </w:r>
      <w:r w:rsidRPr="00C6304D">
        <w:rPr>
          <w:rFonts w:ascii="Arial" w:hAnsi="Arial" w:cs="Arial"/>
          <w:b/>
          <w:bCs/>
          <w:color w:val="404040"/>
          <w:sz w:val="22"/>
          <w:szCs w:val="22"/>
          <w:lang w:val="nl-NL"/>
        </w:rPr>
        <w:t xml:space="preserve"> 2320803</w:t>
      </w:r>
    </w:p>
    <w:p w14:paraId="5C59012B" w14:textId="77777777" w:rsidR="001A47DE" w:rsidRPr="00C6304D" w:rsidRDefault="001A47DE" w:rsidP="001A47DE">
      <w:pPr>
        <w:spacing w:before="120"/>
        <w:jc w:val="both"/>
        <w:rPr>
          <w:rFonts w:ascii="Arial" w:hAnsi="Arial" w:cs="Arial"/>
          <w:color w:val="404040"/>
          <w:sz w:val="22"/>
          <w:szCs w:val="22"/>
        </w:rPr>
      </w:pPr>
      <w:r w:rsidRPr="00C6304D">
        <w:rPr>
          <w:rFonts w:ascii="Arial" w:hAnsi="Arial" w:cs="Arial"/>
          <w:color w:val="404040"/>
          <w:sz w:val="22"/>
          <w:szCs w:val="22"/>
        </w:rPr>
        <w:t xml:space="preserve">Lecturer’s Name: </w:t>
      </w:r>
      <w:r w:rsidRPr="00C6304D">
        <w:rPr>
          <w:rFonts w:ascii="Arial" w:hAnsi="Arial" w:cs="Arial"/>
          <w:b/>
          <w:bCs/>
          <w:color w:val="404040"/>
          <w:sz w:val="22"/>
          <w:szCs w:val="22"/>
        </w:rPr>
        <w:t>Caroline Salami</w:t>
      </w:r>
    </w:p>
    <w:p w14:paraId="5D8EBF03" w14:textId="77777777" w:rsidR="001A47DE" w:rsidRPr="00C6304D" w:rsidRDefault="001A47DE" w:rsidP="001A47DE">
      <w:pPr>
        <w:spacing w:before="120"/>
        <w:jc w:val="both"/>
        <w:rPr>
          <w:rFonts w:ascii="Arial" w:hAnsi="Arial" w:cs="Arial"/>
          <w:sz w:val="22"/>
          <w:szCs w:val="22"/>
        </w:rPr>
      </w:pPr>
      <w:r w:rsidRPr="00C6304D">
        <w:rPr>
          <w:rFonts w:ascii="Arial" w:hAnsi="Arial" w:cs="Arial"/>
          <w:color w:val="404040"/>
          <w:sz w:val="22"/>
          <w:szCs w:val="22"/>
        </w:rPr>
        <w:t xml:space="preserve">Date: </w:t>
      </w:r>
      <w:r w:rsidRPr="00C6304D">
        <w:rPr>
          <w:rFonts w:ascii="Arial" w:hAnsi="Arial" w:cs="Arial"/>
          <w:b/>
          <w:bCs/>
          <w:color w:val="404040"/>
          <w:sz w:val="22"/>
          <w:szCs w:val="22"/>
        </w:rPr>
        <w:t>16 December 2025</w:t>
      </w:r>
    </w:p>
    <w:p w14:paraId="4842C19D" w14:textId="77777777" w:rsidR="001A47DE" w:rsidRPr="00C6304D" w:rsidRDefault="001A47DE" w:rsidP="001A47DE">
      <w:pPr>
        <w:pStyle w:val="ListParagraph"/>
        <w:jc w:val="both"/>
        <w:rPr>
          <w:rFonts w:ascii="Arial" w:hAnsi="Arial" w:cs="Arial"/>
          <w:b/>
          <w:bCs/>
          <w:sz w:val="22"/>
          <w:szCs w:val="22"/>
        </w:rPr>
      </w:pPr>
    </w:p>
    <w:p w14:paraId="429E4227" w14:textId="77777777" w:rsidR="001A47DE" w:rsidRDefault="001A47DE" w:rsidP="00491B22">
      <w:pPr>
        <w:jc w:val="both"/>
        <w:rPr>
          <w:rFonts w:ascii="Arial" w:hAnsi="Arial" w:cs="Arial"/>
          <w:sz w:val="22"/>
          <w:szCs w:val="22"/>
        </w:rPr>
      </w:pPr>
    </w:p>
    <w:p w14:paraId="1A883E47" w14:textId="77777777" w:rsidR="001A47DE" w:rsidRDefault="001A47DE" w:rsidP="00491B22">
      <w:pPr>
        <w:jc w:val="both"/>
        <w:rPr>
          <w:rFonts w:ascii="Arial" w:hAnsi="Arial" w:cs="Arial"/>
          <w:sz w:val="22"/>
          <w:szCs w:val="22"/>
        </w:rPr>
      </w:pPr>
    </w:p>
    <w:p w14:paraId="192E6FBA" w14:textId="77777777" w:rsidR="001A47DE" w:rsidRDefault="001A47DE" w:rsidP="00491B22">
      <w:pPr>
        <w:jc w:val="both"/>
        <w:rPr>
          <w:rFonts w:ascii="Arial" w:hAnsi="Arial" w:cs="Arial"/>
          <w:sz w:val="22"/>
          <w:szCs w:val="22"/>
        </w:rPr>
      </w:pPr>
    </w:p>
    <w:p w14:paraId="6144BB25" w14:textId="77777777" w:rsidR="001A47DE" w:rsidRDefault="001A47DE" w:rsidP="00491B22">
      <w:pPr>
        <w:jc w:val="both"/>
        <w:rPr>
          <w:rFonts w:ascii="Arial" w:hAnsi="Arial" w:cs="Arial"/>
          <w:sz w:val="22"/>
          <w:szCs w:val="22"/>
        </w:rPr>
      </w:pPr>
    </w:p>
    <w:p w14:paraId="4FFD867B" w14:textId="77777777" w:rsidR="001A47DE" w:rsidRDefault="001A47DE" w:rsidP="00491B22">
      <w:pPr>
        <w:jc w:val="both"/>
        <w:rPr>
          <w:rFonts w:ascii="Arial" w:hAnsi="Arial" w:cs="Arial"/>
          <w:sz w:val="22"/>
          <w:szCs w:val="22"/>
        </w:rPr>
      </w:pPr>
    </w:p>
    <w:p w14:paraId="0E2DE213" w14:textId="77777777" w:rsidR="001A47DE" w:rsidRDefault="001A47DE" w:rsidP="00491B22">
      <w:pPr>
        <w:jc w:val="both"/>
        <w:rPr>
          <w:rFonts w:ascii="Arial" w:hAnsi="Arial" w:cs="Arial"/>
          <w:sz w:val="22"/>
          <w:szCs w:val="22"/>
        </w:rPr>
      </w:pPr>
    </w:p>
    <w:p w14:paraId="60F34BAE" w14:textId="77777777" w:rsidR="001A47DE" w:rsidRDefault="001A47DE" w:rsidP="00491B22">
      <w:pPr>
        <w:jc w:val="both"/>
        <w:rPr>
          <w:rFonts w:ascii="Arial" w:hAnsi="Arial" w:cs="Arial"/>
          <w:sz w:val="22"/>
          <w:szCs w:val="22"/>
        </w:rPr>
      </w:pPr>
    </w:p>
    <w:p w14:paraId="75DC1151" w14:textId="77777777" w:rsidR="001A47DE" w:rsidRDefault="001A47DE" w:rsidP="00491B22">
      <w:pPr>
        <w:jc w:val="both"/>
        <w:rPr>
          <w:rFonts w:ascii="Arial" w:hAnsi="Arial" w:cs="Arial"/>
          <w:sz w:val="22"/>
          <w:szCs w:val="22"/>
        </w:rPr>
      </w:pPr>
    </w:p>
    <w:p w14:paraId="5F2E097A" w14:textId="77777777" w:rsidR="001A47DE" w:rsidRDefault="001A47DE" w:rsidP="00491B22">
      <w:pPr>
        <w:jc w:val="both"/>
        <w:rPr>
          <w:rFonts w:ascii="Arial" w:hAnsi="Arial" w:cs="Arial"/>
          <w:sz w:val="22"/>
          <w:szCs w:val="22"/>
        </w:rPr>
      </w:pPr>
    </w:p>
    <w:p w14:paraId="04497549" w14:textId="77777777" w:rsidR="001A47DE" w:rsidRDefault="001A47DE" w:rsidP="00491B22">
      <w:pPr>
        <w:jc w:val="both"/>
        <w:rPr>
          <w:rFonts w:ascii="Arial" w:hAnsi="Arial" w:cs="Arial"/>
          <w:sz w:val="22"/>
          <w:szCs w:val="22"/>
        </w:rPr>
      </w:pPr>
    </w:p>
    <w:p w14:paraId="57CA0AAA" w14:textId="77777777" w:rsidR="001A47DE" w:rsidRDefault="001A47DE" w:rsidP="00491B22">
      <w:pPr>
        <w:jc w:val="both"/>
        <w:rPr>
          <w:rFonts w:ascii="Arial" w:hAnsi="Arial" w:cs="Arial"/>
          <w:sz w:val="22"/>
          <w:szCs w:val="22"/>
        </w:rPr>
      </w:pPr>
    </w:p>
    <w:p w14:paraId="34E46613" w14:textId="77777777" w:rsidR="001A47DE" w:rsidRDefault="001A47DE" w:rsidP="00491B22">
      <w:pPr>
        <w:jc w:val="both"/>
        <w:rPr>
          <w:rFonts w:ascii="Arial" w:hAnsi="Arial" w:cs="Arial"/>
          <w:sz w:val="22"/>
          <w:szCs w:val="22"/>
        </w:rPr>
      </w:pPr>
    </w:p>
    <w:p w14:paraId="0DC888C1" w14:textId="77777777" w:rsidR="001A47DE" w:rsidRPr="00491B22" w:rsidRDefault="001A47DE" w:rsidP="00491B22">
      <w:pPr>
        <w:jc w:val="both"/>
        <w:rPr>
          <w:rFonts w:ascii="Arial" w:hAnsi="Arial" w:cs="Arial"/>
          <w:sz w:val="22"/>
          <w:szCs w:val="22"/>
        </w:rPr>
      </w:pPr>
    </w:p>
    <w:p w14:paraId="78BC4C71" w14:textId="77777777" w:rsidR="00CC3DDA" w:rsidRDefault="00CC3DDA" w:rsidP="00491B22">
      <w:pPr>
        <w:jc w:val="both"/>
        <w:rPr>
          <w:rFonts w:ascii="Arial" w:hAnsi="Arial" w:cs="Arial"/>
          <w:b/>
          <w:bCs/>
          <w:sz w:val="22"/>
          <w:szCs w:val="22"/>
        </w:rPr>
      </w:pPr>
    </w:p>
    <w:p w14:paraId="271B5A99" w14:textId="77777777" w:rsidR="00CC3DDA" w:rsidRPr="00CC3DDA" w:rsidRDefault="00CC3DDA" w:rsidP="00CC3DDA">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CC3DDA">
        <w:rPr>
          <w:rFonts w:ascii="Arial" w:eastAsia="Times New Roman" w:hAnsi="Arial" w:cs="Arial"/>
          <w:kern w:val="0"/>
          <w:sz w:val="22"/>
          <w:szCs w:val="22"/>
          <w:lang w:eastAsia="en-GB"/>
          <w14:ligatures w14:val="none"/>
        </w:rPr>
        <w:t>Table of Contents</w:t>
      </w:r>
    </w:p>
    <w:p w14:paraId="663B977A" w14:textId="6872FB7C" w:rsidR="003F2C7B" w:rsidRDefault="00CC3DDA" w:rsidP="003F2C7B">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CC3DDA">
        <w:rPr>
          <w:rFonts w:ascii="Arial" w:eastAsia="Times New Roman" w:hAnsi="Arial" w:cs="Arial"/>
          <w:kern w:val="0"/>
          <w:sz w:val="22"/>
          <w:szCs w:val="22"/>
          <w:lang w:eastAsia="en-GB"/>
          <w14:ligatures w14:val="none"/>
        </w:rPr>
        <w:t>Introduction</w:t>
      </w:r>
    </w:p>
    <w:p w14:paraId="4EED8C50" w14:textId="77777777" w:rsidR="003F2C7B" w:rsidRPr="003F2C7B" w:rsidRDefault="003F2C7B" w:rsidP="006B5A6F">
      <w:pPr>
        <w:spacing w:before="100" w:beforeAutospacing="1" w:after="100" w:afterAutospacing="1" w:line="240" w:lineRule="auto"/>
        <w:ind w:left="720"/>
        <w:rPr>
          <w:rFonts w:ascii="Arial" w:eastAsia="Times New Roman" w:hAnsi="Arial" w:cs="Arial"/>
          <w:kern w:val="0"/>
          <w:sz w:val="22"/>
          <w:szCs w:val="22"/>
          <w:lang w:eastAsia="en-GB"/>
          <w14:ligatures w14:val="none"/>
        </w:rPr>
      </w:pPr>
    </w:p>
    <w:p w14:paraId="4E33C837" w14:textId="77777777" w:rsidR="00CC3DDA" w:rsidRPr="00CC3DDA" w:rsidRDefault="00CC3DDA" w:rsidP="00CC3DDA">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CC3DDA">
        <w:rPr>
          <w:rFonts w:ascii="Arial" w:eastAsia="Times New Roman" w:hAnsi="Arial" w:cs="Arial"/>
          <w:kern w:val="0"/>
          <w:sz w:val="22"/>
          <w:szCs w:val="22"/>
          <w:lang w:eastAsia="en-GB"/>
          <w14:ligatures w14:val="none"/>
        </w:rPr>
        <w:t>Understanding Heart Disease</w:t>
      </w:r>
      <w:r w:rsidRPr="00CC3DDA">
        <w:rPr>
          <w:rFonts w:ascii="Arial" w:eastAsia="Times New Roman" w:hAnsi="Arial" w:cs="Arial"/>
          <w:kern w:val="0"/>
          <w:sz w:val="22"/>
          <w:szCs w:val="22"/>
          <w:lang w:eastAsia="en-GB"/>
          <w14:ligatures w14:val="none"/>
        </w:rPr>
        <w:br/>
        <w:t>2.1 What Heart Disease Is</w:t>
      </w:r>
      <w:r w:rsidRPr="00CC3DDA">
        <w:rPr>
          <w:rFonts w:ascii="Arial" w:eastAsia="Times New Roman" w:hAnsi="Arial" w:cs="Arial"/>
          <w:kern w:val="0"/>
          <w:sz w:val="22"/>
          <w:szCs w:val="22"/>
          <w:lang w:eastAsia="en-GB"/>
          <w14:ligatures w14:val="none"/>
        </w:rPr>
        <w:br/>
        <w:t>2.2 Common Signs and Symptoms</w:t>
      </w:r>
      <w:r w:rsidRPr="00CC3DDA">
        <w:rPr>
          <w:rFonts w:ascii="Arial" w:eastAsia="Times New Roman" w:hAnsi="Arial" w:cs="Arial"/>
          <w:kern w:val="0"/>
          <w:sz w:val="22"/>
          <w:szCs w:val="22"/>
          <w:lang w:eastAsia="en-GB"/>
          <w14:ligatures w14:val="none"/>
        </w:rPr>
        <w:br/>
        <w:t>2.3 How Widespread Heart Disease Is (UK and Global Data)</w:t>
      </w:r>
    </w:p>
    <w:p w14:paraId="3394B734" w14:textId="77777777" w:rsidR="00CC3DDA" w:rsidRPr="00CC3DDA" w:rsidRDefault="00CC3DDA" w:rsidP="00CC3DDA">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CC3DDA">
        <w:rPr>
          <w:rFonts w:ascii="Arial" w:eastAsia="Times New Roman" w:hAnsi="Arial" w:cs="Arial"/>
          <w:kern w:val="0"/>
          <w:sz w:val="22"/>
          <w:szCs w:val="22"/>
          <w:lang w:eastAsia="en-GB"/>
          <w14:ligatures w14:val="none"/>
        </w:rPr>
        <w:t>The Impact of Heart Disease on Communities</w:t>
      </w:r>
      <w:r w:rsidRPr="00CC3DDA">
        <w:rPr>
          <w:rFonts w:ascii="Arial" w:eastAsia="Times New Roman" w:hAnsi="Arial" w:cs="Arial"/>
          <w:kern w:val="0"/>
          <w:sz w:val="22"/>
          <w:szCs w:val="22"/>
          <w:lang w:eastAsia="en-GB"/>
          <w14:ligatures w14:val="none"/>
        </w:rPr>
        <w:br/>
        <w:t>3.1 Effects on Daily Life and Independence</w:t>
      </w:r>
      <w:r w:rsidRPr="00CC3DDA">
        <w:rPr>
          <w:rFonts w:ascii="Arial" w:eastAsia="Times New Roman" w:hAnsi="Arial" w:cs="Arial"/>
          <w:kern w:val="0"/>
          <w:sz w:val="22"/>
          <w:szCs w:val="22"/>
          <w:lang w:eastAsia="en-GB"/>
          <w14:ligatures w14:val="none"/>
        </w:rPr>
        <w:br/>
        <w:t>3.2 Impact on Families and Carers</w:t>
      </w:r>
      <w:r w:rsidRPr="00CC3DDA">
        <w:rPr>
          <w:rFonts w:ascii="Arial" w:eastAsia="Times New Roman" w:hAnsi="Arial" w:cs="Arial"/>
          <w:kern w:val="0"/>
          <w:sz w:val="22"/>
          <w:szCs w:val="22"/>
          <w:lang w:eastAsia="en-GB"/>
          <w14:ligatures w14:val="none"/>
        </w:rPr>
        <w:br/>
        <w:t>3.3 Financial and Economic Pressures</w:t>
      </w:r>
      <w:r w:rsidRPr="00CC3DDA">
        <w:rPr>
          <w:rFonts w:ascii="Arial" w:eastAsia="Times New Roman" w:hAnsi="Arial" w:cs="Arial"/>
          <w:kern w:val="0"/>
          <w:sz w:val="22"/>
          <w:szCs w:val="22"/>
          <w:lang w:eastAsia="en-GB"/>
          <w14:ligatures w14:val="none"/>
        </w:rPr>
        <w:br/>
        <w:t>3.4 Pressure on NHS and Local Health Services</w:t>
      </w:r>
      <w:r w:rsidRPr="00CC3DDA">
        <w:rPr>
          <w:rFonts w:ascii="Arial" w:eastAsia="Times New Roman" w:hAnsi="Arial" w:cs="Arial"/>
          <w:kern w:val="0"/>
          <w:sz w:val="22"/>
          <w:szCs w:val="22"/>
          <w:lang w:eastAsia="en-GB"/>
          <w14:ligatures w14:val="none"/>
        </w:rPr>
        <w:br/>
        <w:t>3.5 Health Inequalities and Deprived Areas</w:t>
      </w:r>
    </w:p>
    <w:p w14:paraId="6B451BD5" w14:textId="4F7F5B37" w:rsidR="00CC3DDA" w:rsidRPr="00CC3DDA" w:rsidRDefault="00CC3DDA" w:rsidP="00CC3DDA">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CC3DDA">
        <w:rPr>
          <w:rFonts w:ascii="Arial" w:eastAsia="Times New Roman" w:hAnsi="Arial" w:cs="Arial"/>
          <w:kern w:val="0"/>
          <w:sz w:val="22"/>
          <w:szCs w:val="22"/>
          <w:lang w:eastAsia="en-GB"/>
          <w14:ligatures w14:val="none"/>
        </w:rPr>
        <w:t xml:space="preserve">Factors Affecting Health and </w:t>
      </w:r>
      <w:r w:rsidR="00B956EB">
        <w:rPr>
          <w:rFonts w:ascii="Arial" w:eastAsia="Times New Roman" w:hAnsi="Arial" w:cs="Arial"/>
          <w:kern w:val="0"/>
          <w:sz w:val="22"/>
          <w:szCs w:val="22"/>
          <w:lang w:eastAsia="en-GB"/>
          <w14:ligatures w14:val="none"/>
        </w:rPr>
        <w:t>Well-being</w:t>
      </w:r>
      <w:r w:rsidRPr="00CC3DDA">
        <w:rPr>
          <w:rFonts w:ascii="Arial" w:eastAsia="Times New Roman" w:hAnsi="Arial" w:cs="Arial"/>
          <w:kern w:val="0"/>
          <w:sz w:val="22"/>
          <w:szCs w:val="22"/>
          <w:lang w:eastAsia="en-GB"/>
          <w14:ligatures w14:val="none"/>
        </w:rPr>
        <w:br/>
        <w:t>4.1 Biological and Medical Factors</w:t>
      </w:r>
      <w:r w:rsidRPr="00CC3DDA">
        <w:rPr>
          <w:rFonts w:ascii="Arial" w:eastAsia="Times New Roman" w:hAnsi="Arial" w:cs="Arial"/>
          <w:kern w:val="0"/>
          <w:sz w:val="22"/>
          <w:szCs w:val="22"/>
          <w:lang w:eastAsia="en-GB"/>
          <w14:ligatures w14:val="none"/>
        </w:rPr>
        <w:br/>
        <w:t>4.2 Lifestyle and Behaviour</w:t>
      </w:r>
      <w:r w:rsidRPr="00CC3DDA">
        <w:rPr>
          <w:rFonts w:ascii="Arial" w:eastAsia="Times New Roman" w:hAnsi="Arial" w:cs="Arial"/>
          <w:kern w:val="0"/>
          <w:sz w:val="22"/>
          <w:szCs w:val="22"/>
          <w:lang w:eastAsia="en-GB"/>
          <w14:ligatures w14:val="none"/>
        </w:rPr>
        <w:br/>
        <w:t>4.3 Social and Environmental Influences</w:t>
      </w:r>
      <w:r w:rsidRPr="00CC3DDA">
        <w:rPr>
          <w:rFonts w:ascii="Arial" w:eastAsia="Times New Roman" w:hAnsi="Arial" w:cs="Arial"/>
          <w:kern w:val="0"/>
          <w:sz w:val="22"/>
          <w:szCs w:val="22"/>
          <w:lang w:eastAsia="en-GB"/>
          <w14:ligatures w14:val="none"/>
        </w:rPr>
        <w:br/>
        <w:t xml:space="preserve">4.4 Mental Health and Emotional </w:t>
      </w:r>
      <w:r w:rsidR="00B956EB">
        <w:rPr>
          <w:rFonts w:ascii="Arial" w:eastAsia="Times New Roman" w:hAnsi="Arial" w:cs="Arial"/>
          <w:kern w:val="0"/>
          <w:sz w:val="22"/>
          <w:szCs w:val="22"/>
          <w:lang w:eastAsia="en-GB"/>
          <w14:ligatures w14:val="none"/>
        </w:rPr>
        <w:t>Well-being</w:t>
      </w:r>
      <w:r w:rsidRPr="00CC3DDA">
        <w:rPr>
          <w:rFonts w:ascii="Arial" w:eastAsia="Times New Roman" w:hAnsi="Arial" w:cs="Arial"/>
          <w:kern w:val="0"/>
          <w:sz w:val="22"/>
          <w:szCs w:val="22"/>
          <w:lang w:eastAsia="en-GB"/>
          <w14:ligatures w14:val="none"/>
        </w:rPr>
        <w:br/>
        <w:t>4.5 Education, Culture, and Health Awareness</w:t>
      </w:r>
    </w:p>
    <w:p w14:paraId="5549A154" w14:textId="77777777" w:rsidR="00CC3DDA" w:rsidRPr="00CC3DDA" w:rsidRDefault="00CC3DDA" w:rsidP="00CC3DDA">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CC3DDA">
        <w:rPr>
          <w:rFonts w:ascii="Arial" w:eastAsia="Times New Roman" w:hAnsi="Arial" w:cs="Arial"/>
          <w:kern w:val="0"/>
          <w:sz w:val="22"/>
          <w:szCs w:val="22"/>
          <w:lang w:eastAsia="en-GB"/>
          <w14:ligatures w14:val="none"/>
        </w:rPr>
        <w:t>Working Together to Improve Care</w:t>
      </w:r>
      <w:r w:rsidRPr="00CC3DDA">
        <w:rPr>
          <w:rFonts w:ascii="Arial" w:eastAsia="Times New Roman" w:hAnsi="Arial" w:cs="Arial"/>
          <w:kern w:val="0"/>
          <w:sz w:val="22"/>
          <w:szCs w:val="22"/>
          <w:lang w:eastAsia="en-GB"/>
          <w14:ligatures w14:val="none"/>
        </w:rPr>
        <w:br/>
        <w:t>5.1 Roles of Health and Social Care Professionals</w:t>
      </w:r>
      <w:r w:rsidRPr="00CC3DDA">
        <w:rPr>
          <w:rFonts w:ascii="Arial" w:eastAsia="Times New Roman" w:hAnsi="Arial" w:cs="Arial"/>
          <w:kern w:val="0"/>
          <w:sz w:val="22"/>
          <w:szCs w:val="22"/>
          <w:lang w:eastAsia="en-GB"/>
          <w14:ligatures w14:val="none"/>
        </w:rPr>
        <w:br/>
        <w:t>5.2 Joined-Up Care and Rehabilitation</w:t>
      </w:r>
      <w:r w:rsidRPr="00CC3DDA">
        <w:rPr>
          <w:rFonts w:ascii="Arial" w:eastAsia="Times New Roman" w:hAnsi="Arial" w:cs="Arial"/>
          <w:kern w:val="0"/>
          <w:sz w:val="22"/>
          <w:szCs w:val="22"/>
          <w:lang w:eastAsia="en-GB"/>
          <w14:ligatures w14:val="none"/>
        </w:rPr>
        <w:br/>
        <w:t>5.3 Communication and Information Sharing</w:t>
      </w:r>
      <w:r w:rsidRPr="00CC3DDA">
        <w:rPr>
          <w:rFonts w:ascii="Arial" w:eastAsia="Times New Roman" w:hAnsi="Arial" w:cs="Arial"/>
          <w:kern w:val="0"/>
          <w:sz w:val="22"/>
          <w:szCs w:val="22"/>
          <w:lang w:eastAsia="en-GB"/>
          <w14:ligatures w14:val="none"/>
        </w:rPr>
        <w:br/>
        <w:t>5.4 Use of Technology in Supporting Patients</w:t>
      </w:r>
    </w:p>
    <w:p w14:paraId="04BF038A" w14:textId="77777777" w:rsidR="00CC3DDA" w:rsidRDefault="00CC3DDA" w:rsidP="00CC3DDA">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CC3DDA">
        <w:rPr>
          <w:rFonts w:ascii="Arial" w:eastAsia="Times New Roman" w:hAnsi="Arial" w:cs="Arial"/>
          <w:kern w:val="0"/>
          <w:sz w:val="22"/>
          <w:szCs w:val="22"/>
          <w:lang w:eastAsia="en-GB"/>
          <w14:ligatures w14:val="none"/>
        </w:rPr>
        <w:t>Improving Collaboration for Better Outcomes</w:t>
      </w:r>
    </w:p>
    <w:p w14:paraId="5AB8CF81" w14:textId="77777777" w:rsidR="006B5A6F" w:rsidRPr="00CC3DDA" w:rsidRDefault="006B5A6F" w:rsidP="006B5A6F">
      <w:pPr>
        <w:spacing w:before="100" w:beforeAutospacing="1" w:after="100" w:afterAutospacing="1" w:line="240" w:lineRule="auto"/>
        <w:ind w:left="720"/>
        <w:rPr>
          <w:rFonts w:ascii="Arial" w:eastAsia="Times New Roman" w:hAnsi="Arial" w:cs="Arial"/>
          <w:kern w:val="0"/>
          <w:sz w:val="22"/>
          <w:szCs w:val="22"/>
          <w:lang w:eastAsia="en-GB"/>
          <w14:ligatures w14:val="none"/>
        </w:rPr>
      </w:pPr>
    </w:p>
    <w:p w14:paraId="2EF76774" w14:textId="77777777" w:rsidR="00CC3DDA" w:rsidRPr="00CC3DDA" w:rsidRDefault="00CC3DDA" w:rsidP="00CC3DDA">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CC3DDA">
        <w:rPr>
          <w:rFonts w:ascii="Arial" w:eastAsia="Times New Roman" w:hAnsi="Arial" w:cs="Arial"/>
          <w:kern w:val="0"/>
          <w:sz w:val="22"/>
          <w:szCs w:val="22"/>
          <w:lang w:eastAsia="en-GB"/>
          <w14:ligatures w14:val="none"/>
        </w:rPr>
        <w:t>Conclusion</w:t>
      </w:r>
    </w:p>
    <w:p w14:paraId="644887F5" w14:textId="77777777" w:rsidR="00CC3DDA" w:rsidRPr="00CC3DDA" w:rsidRDefault="00CC3DDA" w:rsidP="00CC3DDA">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CC3DDA">
        <w:rPr>
          <w:rFonts w:ascii="Arial" w:eastAsia="Times New Roman" w:hAnsi="Arial" w:cs="Arial"/>
          <w:kern w:val="0"/>
          <w:sz w:val="22"/>
          <w:szCs w:val="22"/>
          <w:lang w:eastAsia="en-GB"/>
          <w14:ligatures w14:val="none"/>
        </w:rPr>
        <w:t>References</w:t>
      </w:r>
    </w:p>
    <w:p w14:paraId="68F9DEA7" w14:textId="77777777" w:rsidR="00CC3DDA" w:rsidRDefault="00CC3DDA" w:rsidP="00491B22">
      <w:pPr>
        <w:jc w:val="both"/>
        <w:rPr>
          <w:rFonts w:ascii="Arial" w:hAnsi="Arial" w:cs="Arial"/>
          <w:b/>
          <w:bCs/>
          <w:sz w:val="22"/>
          <w:szCs w:val="22"/>
        </w:rPr>
      </w:pPr>
    </w:p>
    <w:p w14:paraId="22488C16" w14:textId="77777777" w:rsidR="00CC3DDA" w:rsidRDefault="00CC3DDA" w:rsidP="00491B22">
      <w:pPr>
        <w:jc w:val="both"/>
        <w:rPr>
          <w:rFonts w:ascii="Arial" w:hAnsi="Arial" w:cs="Arial"/>
          <w:b/>
          <w:bCs/>
          <w:sz w:val="22"/>
          <w:szCs w:val="22"/>
        </w:rPr>
      </w:pPr>
    </w:p>
    <w:p w14:paraId="3EAFD58B" w14:textId="77777777" w:rsidR="00CC3DDA" w:rsidRDefault="00CC3DDA" w:rsidP="00491B22">
      <w:pPr>
        <w:jc w:val="both"/>
        <w:rPr>
          <w:rFonts w:ascii="Arial" w:hAnsi="Arial" w:cs="Arial"/>
          <w:b/>
          <w:bCs/>
          <w:sz w:val="22"/>
          <w:szCs w:val="22"/>
        </w:rPr>
      </w:pPr>
    </w:p>
    <w:p w14:paraId="66098F7C" w14:textId="77777777" w:rsidR="00CC3DDA" w:rsidRDefault="00CC3DDA" w:rsidP="00491B22">
      <w:pPr>
        <w:jc w:val="both"/>
        <w:rPr>
          <w:rFonts w:ascii="Arial" w:hAnsi="Arial" w:cs="Arial"/>
          <w:b/>
          <w:bCs/>
          <w:sz w:val="22"/>
          <w:szCs w:val="22"/>
        </w:rPr>
      </w:pPr>
    </w:p>
    <w:p w14:paraId="01F2DA3D" w14:textId="77777777" w:rsidR="00CC3DDA" w:rsidRDefault="00CC3DDA" w:rsidP="00491B22">
      <w:pPr>
        <w:jc w:val="both"/>
        <w:rPr>
          <w:rFonts w:ascii="Arial" w:hAnsi="Arial" w:cs="Arial"/>
          <w:b/>
          <w:bCs/>
          <w:sz w:val="22"/>
          <w:szCs w:val="22"/>
        </w:rPr>
      </w:pPr>
    </w:p>
    <w:p w14:paraId="27055641" w14:textId="77777777" w:rsidR="00CC3DDA" w:rsidRDefault="00CC3DDA" w:rsidP="00491B22">
      <w:pPr>
        <w:jc w:val="both"/>
        <w:rPr>
          <w:rFonts w:ascii="Arial" w:hAnsi="Arial" w:cs="Arial"/>
          <w:b/>
          <w:bCs/>
          <w:sz w:val="22"/>
          <w:szCs w:val="22"/>
        </w:rPr>
      </w:pPr>
    </w:p>
    <w:p w14:paraId="0982BF4B" w14:textId="77777777" w:rsidR="00CC3DDA" w:rsidRDefault="00CC3DDA" w:rsidP="00491B22">
      <w:pPr>
        <w:jc w:val="both"/>
        <w:rPr>
          <w:rFonts w:ascii="Arial" w:hAnsi="Arial" w:cs="Arial"/>
          <w:b/>
          <w:bCs/>
          <w:sz w:val="22"/>
          <w:szCs w:val="22"/>
        </w:rPr>
      </w:pPr>
    </w:p>
    <w:p w14:paraId="7E5CA670" w14:textId="77777777" w:rsidR="00CC3DDA" w:rsidRDefault="00CC3DDA" w:rsidP="00491B22">
      <w:pPr>
        <w:jc w:val="both"/>
        <w:rPr>
          <w:rFonts w:ascii="Arial" w:hAnsi="Arial" w:cs="Arial"/>
          <w:b/>
          <w:bCs/>
          <w:sz w:val="22"/>
          <w:szCs w:val="22"/>
        </w:rPr>
      </w:pPr>
    </w:p>
    <w:p w14:paraId="586475EB" w14:textId="77777777" w:rsidR="00CC3DDA" w:rsidRDefault="00CC3DDA" w:rsidP="00491B22">
      <w:pPr>
        <w:jc w:val="both"/>
        <w:rPr>
          <w:rFonts w:ascii="Arial" w:hAnsi="Arial" w:cs="Arial"/>
          <w:b/>
          <w:bCs/>
          <w:sz w:val="22"/>
          <w:szCs w:val="22"/>
        </w:rPr>
      </w:pPr>
    </w:p>
    <w:p w14:paraId="7C0F7F3D" w14:textId="77777777" w:rsidR="00CC3DDA" w:rsidRDefault="00CC3DDA" w:rsidP="00491B22">
      <w:pPr>
        <w:jc w:val="both"/>
        <w:rPr>
          <w:rFonts w:ascii="Arial" w:hAnsi="Arial" w:cs="Arial"/>
          <w:b/>
          <w:bCs/>
          <w:sz w:val="22"/>
          <w:szCs w:val="22"/>
        </w:rPr>
      </w:pPr>
    </w:p>
    <w:p w14:paraId="288B37AA" w14:textId="0449C352" w:rsidR="00491B22" w:rsidRPr="00491B22" w:rsidRDefault="00491B22" w:rsidP="00491B22">
      <w:pPr>
        <w:jc w:val="both"/>
        <w:rPr>
          <w:rFonts w:ascii="Arial" w:hAnsi="Arial" w:cs="Arial"/>
          <w:sz w:val="22"/>
          <w:szCs w:val="22"/>
        </w:rPr>
      </w:pPr>
      <w:r w:rsidRPr="00491B22">
        <w:rPr>
          <w:rFonts w:ascii="Arial" w:hAnsi="Arial" w:cs="Arial"/>
          <w:b/>
          <w:bCs/>
          <w:sz w:val="22"/>
          <w:szCs w:val="22"/>
        </w:rPr>
        <w:lastRenderedPageBreak/>
        <w:t>Heart Disease</w:t>
      </w:r>
    </w:p>
    <w:p w14:paraId="7FE33A23"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Introduction</w:t>
      </w:r>
    </w:p>
    <w:p w14:paraId="4B3A588F"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Heart disease comprises various conditions that impact the heart's function. As the leading cause of death worldwide, it affects millions and underscores the importance of awareness and action. This means that about one in three deaths globally is related to heart or circulation issues. Approximately 640 million people worldwide live with these conditions ( WHO Global Health Estimates 2024; Zhou et al., 2021).</w:t>
      </w:r>
    </w:p>
    <w:p w14:paraId="18644BEE"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In the UK, heart disease results in about 170,000 deaths each year — making up one in every four fatalities. Around 7.6 million people in the UK live with a heart or circulatory condition. Each year, roughly 100,000 individuals have a heart attack, and 1.4 million UK residents have survived one. Over 1 million people live with heart failure (British Heart Foundation, 2023).</w:t>
      </w:r>
    </w:p>
    <w:p w14:paraId="5AC1A51A" w14:textId="6DE2E8C2" w:rsidR="00491B22" w:rsidRPr="00491B22" w:rsidRDefault="00491B22" w:rsidP="00491B22">
      <w:pPr>
        <w:jc w:val="both"/>
        <w:rPr>
          <w:rFonts w:ascii="Arial" w:hAnsi="Arial" w:cs="Arial"/>
          <w:sz w:val="22"/>
          <w:szCs w:val="22"/>
        </w:rPr>
      </w:pPr>
      <w:r w:rsidRPr="00491B22">
        <w:rPr>
          <w:rFonts w:ascii="Arial" w:hAnsi="Arial" w:cs="Arial"/>
          <w:sz w:val="22"/>
          <w:szCs w:val="22"/>
        </w:rPr>
        <w:t xml:space="preserve">Coronary artery disease is the most common heart disease, caused by narrowed or blocked blood vessels from fatty deposits, leading to chest pain, shortness of breath, or a heart attack. Risk factors include high blood pressure, cholesterol, smoking, diabetes, obesity, lack of exercise, family history, poor diet, alcohol, and stress. Symptoms can include fatigue, irregular heartbeat, chest pain, swelling, or breathing issues. Prevention involves exercise, healthy eating, avoiding smoking, and risk </w:t>
      </w:r>
      <w:r>
        <w:rPr>
          <w:rFonts w:ascii="Arial" w:hAnsi="Arial" w:cs="Arial"/>
          <w:sz w:val="22"/>
          <w:szCs w:val="22"/>
        </w:rPr>
        <w:t>awareness.</w:t>
      </w:r>
    </w:p>
    <w:p w14:paraId="51E7C6C3"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Implications of Heart Disease in Communities:</w:t>
      </w:r>
    </w:p>
    <w:p w14:paraId="43C10B65"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Heart disease has a wide impact on communities, not just on the people diagnosed with it. One of the biggest effects is on quality of life. Many people with heart disease live with ongoing symptoms such as tiredness, chest pain, or shortness of breath. These symptoms can make simple daily tasks, like walking, shopping, or cleaning, very difficult. As a result, people may lose confidence and independence. Some stop taking part in social activities, which can lead to isolation and loneliness, especially for older adults who already live alone.</w:t>
      </w:r>
    </w:p>
    <w:p w14:paraId="5FDEF263"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Heart disease also brings a strong economic burden for families and communities. Many people need time off work for hospital visits, recovery, or long-term treatment. In some cases, they may have to reduce their working hours or stop working completely. This can lead to loss of income and financial stress. Families may also face extra costs, such as paying for medication, travel to appointments, or special diets. When several people in a community are affected, local economies can suffer due to reduced productivity and increased demand for support services.</w:t>
      </w:r>
    </w:p>
    <w:p w14:paraId="0705B1DC"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The condition also places heavy pressure on the healthcare system, especially the NHS. Heart disease is one of the main causes of hospital admissions in the UK. Patients often need long-term care, including regular check-ups, medication, surgery, and cardiac rehabilitation. These services require significant funding and staff time. In areas with high rates of heart disease, hospitals and GP services can become overstretched. This can result in longer waiting times and less personalised care (British Heart Foundation, 2023).</w:t>
      </w:r>
    </w:p>
    <w:p w14:paraId="0084FC00"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 xml:space="preserve">Health inequalities play a major role in how heart disease affects communities. People from low-income backgrounds or certain ethnic minority groups are more likely to develop heart disease. This is often linked to higher smoking rates, poor diet, limited access to exercise spaces, and difficulty accessing healthcare. A real-life example can be seen in Blackpool, where hospital admissions for heart-related conditions are nearly double the national average. </w:t>
      </w:r>
      <w:r w:rsidRPr="00491B22">
        <w:rPr>
          <w:rFonts w:ascii="Arial" w:hAnsi="Arial" w:cs="Arial"/>
          <w:sz w:val="22"/>
          <w:szCs w:val="22"/>
        </w:rPr>
        <w:lastRenderedPageBreak/>
        <w:t>This is largely due to high levels of deprivation, smoking, unhealthy diets, and economic hardship. As a result, local NHS services in Blackpool face longer waiting times for heart appointments and increased pressure on emergency care units.</w:t>
      </w:r>
    </w:p>
    <w:p w14:paraId="08C42C86"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Heart disease also affects families across generations. Many relatives become unpaid carers, helping with daily tasks or emotional support. This can disrupt family routines and cause stress, anxiety, and burnout. Children and partners may worry about their loved one’s health, which can affect their own wellbeing.</w:t>
      </w:r>
    </w:p>
    <w:p w14:paraId="68ECBDB6"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Overall, heart disease has serious social, economic, and healthcare impacts on communities. Addressing these issues requires prevention, early support, and targeted action in the most affected areas. Early diagnosis and treatment prevent complications and support active, healthy lives (World Health Organisation, 2023).</w:t>
      </w:r>
    </w:p>
    <w:p w14:paraId="5D36DAD3" w14:textId="77777777" w:rsidR="00491B22" w:rsidRPr="00491B22" w:rsidRDefault="00491B22" w:rsidP="007E6255">
      <w:pPr>
        <w:ind w:left="720"/>
        <w:jc w:val="both"/>
        <w:rPr>
          <w:rFonts w:ascii="Arial" w:hAnsi="Arial" w:cs="Arial"/>
          <w:sz w:val="22"/>
          <w:szCs w:val="22"/>
        </w:rPr>
      </w:pPr>
      <w:r w:rsidRPr="00491B22">
        <w:rPr>
          <w:rFonts w:ascii="Arial" w:hAnsi="Arial" w:cs="Arial"/>
          <w:sz w:val="22"/>
          <w:szCs w:val="22"/>
        </w:rPr>
        <w:t>Factors Influencing Health and Wellbeing in Heart Disease:</w:t>
      </w:r>
    </w:p>
    <w:p w14:paraId="1C75C1CC"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The health and wellbeing of people living with heart disease are affected by many different factors. These include biological, lifestyle, environmental, and emotional influences, as well as education and cultural beliefs. All of these can shape how the condition develops and how well it is managed.</w:t>
      </w:r>
    </w:p>
    <w:p w14:paraId="6C986D39"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Biological factors play an important role. Age is a key factor, as the risk of heart disease increases as people get older. Genetics can also increase risk, especially if there is a family history of heart problems. Pre-existing conditions such as high blood pressure, high cholesterol, obesity, or diabetes place extra strain on the heart and blood vessels. People with these conditions are more likely to develop heart disease and may experience more serious symptoms.</w:t>
      </w:r>
    </w:p>
    <w:p w14:paraId="2EA313CD"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Lifestyle factors strongly influence heart health. A poor diet high in fat, salt, and sugar can lead to weight gain, high cholesterol, and high blood pressure. Smoking damages blood vessels and reduces oxygen supply to the heart, greatly increasing the risk of heart attacks. Drinking too much alcohol can weaken the heart muscle and raise blood pressure. Lack of physical activity also increases risk, as exercise helps control weight, reduce stress, and strengthen the heart.</w:t>
      </w:r>
    </w:p>
    <w:p w14:paraId="413B6F1F"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Environmental factors can make it harder for people to stay healthy. In some communities, there is limited access to affordable healthy food, meaning people rely on processed or fast foods. Unsafe neighbourhoods may discourage people from exercising outdoors. A lack of green spaces or parks reduces opportunities for physical activity. Air pollution can also affect heart health, as long-term exposure increases the risk of cardiovascular problems.</w:t>
      </w:r>
    </w:p>
    <w:p w14:paraId="2022D553"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Psychosocial factors are equally important. Stress from work, financial problems, or caring responsibilities can raise blood pressure and increase heart disease risk. After a diagnosis or cardiac event, many people experience fear, anxiety, or depression. Loneliness and social isolation can worsen mental health and reduce motivation to follow treatment or lifestyle advice.</w:t>
      </w:r>
    </w:p>
    <w:p w14:paraId="735E9B8E"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Education and health literacy also affect wellbeing. Some people do not recognise early symptoms of heart disease or delay seeking help. Others may struggle to understand medical advice or manage medication properly. Good health education helps people make informed decisions and manage their condition more effectively.</w:t>
      </w:r>
    </w:p>
    <w:p w14:paraId="0F827E97"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lastRenderedPageBreak/>
        <w:t>Cultural attitudes can influence how people respond to heart disease. In some groups, illness may be seen as a weakness, leading to stigma or delayed help-seeking. Gender norms may cause men to ignore symptoms, while distrust in healthcare systems may prevent some communities from engaging with services. Understanding these factors is essential for providing effective, person-centred care (Marmot et al., 2010).</w:t>
      </w:r>
    </w:p>
    <w:p w14:paraId="1C3F1ED4"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Interprofessional Collaboration for Better Outcomes:</w:t>
      </w:r>
    </w:p>
    <w:p w14:paraId="3C8E78CB"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People living with heart disease often need help from more than one service. Their care does not stop with one doctor or one hospital visit. When health and social care professionals work together, people with heart disease are more likely to recover well and manage their condition in the long term. Good teamwork helps make care safer, more organised, and focused on the person’s needs.</w:t>
      </w:r>
    </w:p>
    <w:p w14:paraId="40BCCC0D"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General Practitioners (GPs) usually manage heart disease in the community. They monitor long-term conditions such as high blood pressure or high cholesterol and adjust medication when needed. Nurses play an important role by checking vital signs, supporting medication use, and giving advice about healthy living. Cardiologists provide specialist care, especially during diagnosis or after serious events like heart attacks. Social workers support patients with practical issues, such as arranging home care, benefits, transport, or housing support. When these professionals share information and work together, patients receive more complete and consistent care.</w:t>
      </w:r>
    </w:p>
    <w:p w14:paraId="25ECF36E"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A joined-up care pathway is essential for good outcomes. For example, after a heart attack, a patient may be treated in hospital by cardiologists and specialist nurses. Once discharged, care continues in the community. The GP monitors recovery and medication, while physiotherapists support cardiac rehabilitation through safe exercise programmes. Community nurses may visit at home to check progress, and social care services help if the person struggles with daily activities. This coordinated approach supports recovery and reduces the risk of hospital readmission.</w:t>
      </w:r>
    </w:p>
    <w:p w14:paraId="0E437B3C"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Health promotion is also an important part of teamwork. Community nurses, dietitians, and health educators support patients with healthy eating, exercise, stopping smoking, and managing medication. Simple advice and ongoing encouragement help people feel more confident and in control of their condition, improving their quality of life.</w:t>
      </w:r>
    </w:p>
    <w:p w14:paraId="4DDB7015"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Clear communication between services is vital. Sharing information between hospitals, GP practices, and community teams prevents mistakes and gaps in care. Technology supports this through electronic health records, remote monitoring, and virtual appointments. Together, strong teamwork and good communication lead to better outcomes for people living with heart disease (NHS England, 2022).</w:t>
      </w:r>
    </w:p>
    <w:p w14:paraId="7667B3D0"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Improving Interprofessional Collaboration for Better Outcomes:</w:t>
      </w:r>
    </w:p>
    <w:p w14:paraId="036A18C5"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Good teamwork between health and social care professionals is very important for people living with heart disease. When services work well together, patients receive better support, recover more safely, and are less likely to return to hospital. Improving collaboration helps make care more organised, person-centred, and effective.</w:t>
      </w:r>
    </w:p>
    <w:p w14:paraId="1844E7C1"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 xml:space="preserve">One way to improve collaboration is through regular team meetings. These meetings allow GPs, nurses, cardiologists, physiotherapists, and social workers to share updates about </w:t>
      </w:r>
      <w:r w:rsidRPr="00491B22">
        <w:rPr>
          <w:rFonts w:ascii="Arial" w:hAnsi="Arial" w:cs="Arial"/>
          <w:sz w:val="22"/>
          <w:szCs w:val="22"/>
        </w:rPr>
        <w:lastRenderedPageBreak/>
        <w:t>patients. By talking openly, professionals can identify problems early and agree on the best actions. This reduces confusion about roles and responsibilities and helps prevent mistakes. Clear communication makes care safer and more consistent for patients.</w:t>
      </w:r>
    </w:p>
    <w:p w14:paraId="267B94B5"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Shared care plans are another important tool. A shared care plan includes information about a patient’s medication, rehabilitation goals, lifestyle advice, and social support needs. When all professionals can access and update the same plan, care becomes more joined-up. This avoids repeated assessments and ensures everyone is working toward the same goals. It also helps patients feel more supported, as their care feels organised rather than fragmented.</w:t>
      </w:r>
    </w:p>
    <w:p w14:paraId="6E04A311"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Using a patient-centred approach also strengthens teamwork. Patients and their families should be involved in decisions about care whenever possible. When people understand their condition and feel listened to, they are more likely to follow treatment advice and attend rehabilitation sessions. Family members often provide unpaid care, so including them in planning helps reduce stress and improves confidence in managing the condition.</w:t>
      </w:r>
    </w:p>
    <w:p w14:paraId="42F0AFAC"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Training professionals to work across services is also helpful. Teamwork training helps staff understand each other’s roles and improves communication skills. This is especially important in busy settings, where poor communication can easily lead to gaps in care.</w:t>
      </w:r>
    </w:p>
    <w:p w14:paraId="269033ED"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A good example of effective collaboration is the NHS Cardiac Rehabilitation Pathway. This programme links hospital care with community services, including GPs, physiotherapists, and health educators. Patients receive support with exercise, lifestyle changes, medication, and emotional wellbeing after leaving hospital. This joined-up approach has been shown to improve recovery and reduce hospital readmissions.</w:t>
      </w:r>
    </w:p>
    <w:p w14:paraId="0524C7CB"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Technology also supports collaboration. Electronic health records, virtual appointments, and remote monitoring help professionals share information quickly and support patients at home. Overall, strong teamwork leads to better outcomes and a higher quality of care for people with heart disease.</w:t>
      </w:r>
    </w:p>
    <w:p w14:paraId="6F116F2A"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Conclusion</w:t>
      </w:r>
    </w:p>
    <w:p w14:paraId="0AE295D9"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Heart disease remains one of the most serious long-term health conditions in the UK and around the world. It affects not only the individual but also families, communities, and health and social care services. Many people living with heart disease face emotional stress, financial pressure, and daily challenges that reduce their quality of life. Factors such as income, lifestyle choices, education, and access to healthcare all play an important role in how well people manage their condition.</w:t>
      </w:r>
    </w:p>
    <w:p w14:paraId="319B556A" w14:textId="77777777" w:rsidR="00491B22" w:rsidRPr="00491B22" w:rsidRDefault="00491B22" w:rsidP="00491B22">
      <w:pPr>
        <w:jc w:val="both"/>
        <w:rPr>
          <w:rFonts w:ascii="Arial" w:hAnsi="Arial" w:cs="Arial"/>
          <w:sz w:val="22"/>
          <w:szCs w:val="22"/>
        </w:rPr>
      </w:pPr>
      <w:r w:rsidRPr="00491B22">
        <w:rPr>
          <w:rFonts w:ascii="Arial" w:hAnsi="Arial" w:cs="Arial"/>
          <w:sz w:val="22"/>
          <w:szCs w:val="22"/>
        </w:rPr>
        <w:t>Working together across services is essential to improve outcomes. When healthcare and social care professionals share information, plan discharges carefully, and support people through community rehabilitation, patients are more likely to recover well and avoid further hospital admissions. Looking ahead, reducing the impact of heart disease requires a person-centred and joined-up approach that focuses on prevention, early support, and long-term care. A holistic model of care can reduce inequalities and help people with heart disease live healthier, more fulfilling lives.</w:t>
      </w:r>
    </w:p>
    <w:p w14:paraId="108BD07D" w14:textId="77777777" w:rsidR="00491B22" w:rsidRDefault="00491B22" w:rsidP="00491B22">
      <w:pPr>
        <w:jc w:val="both"/>
        <w:rPr>
          <w:rFonts w:ascii="Arial" w:hAnsi="Arial" w:cs="Arial"/>
          <w:sz w:val="22"/>
          <w:szCs w:val="22"/>
        </w:rPr>
      </w:pPr>
    </w:p>
    <w:p w14:paraId="5FE4EAC6" w14:textId="77777777" w:rsidR="00491B22" w:rsidRDefault="00491B22" w:rsidP="00491B22">
      <w:pPr>
        <w:jc w:val="both"/>
        <w:rPr>
          <w:rFonts w:ascii="Arial" w:hAnsi="Arial" w:cs="Arial"/>
          <w:sz w:val="22"/>
          <w:szCs w:val="22"/>
        </w:rPr>
      </w:pPr>
    </w:p>
    <w:p w14:paraId="6C0F9F38" w14:textId="77777777" w:rsidR="00491B22" w:rsidRPr="00C6304D" w:rsidRDefault="00491B22" w:rsidP="00491B22">
      <w:pPr>
        <w:jc w:val="both"/>
        <w:rPr>
          <w:rFonts w:ascii="Arial" w:hAnsi="Arial" w:cs="Arial"/>
          <w:sz w:val="22"/>
          <w:szCs w:val="22"/>
        </w:rPr>
      </w:pPr>
    </w:p>
    <w:p w14:paraId="2E5C19C3" w14:textId="77777777" w:rsidR="00491B22" w:rsidRDefault="00491B22" w:rsidP="00491B22">
      <w:pPr>
        <w:jc w:val="both"/>
        <w:rPr>
          <w:rFonts w:ascii="Arial" w:hAnsi="Arial" w:cs="Arial"/>
          <w:sz w:val="22"/>
          <w:szCs w:val="22"/>
        </w:rPr>
      </w:pPr>
      <w:r w:rsidRPr="00C6304D">
        <w:rPr>
          <w:rFonts w:ascii="Arial" w:hAnsi="Arial" w:cs="Arial"/>
          <w:sz w:val="22"/>
          <w:szCs w:val="22"/>
        </w:rPr>
        <w:t>References</w:t>
      </w:r>
    </w:p>
    <w:p w14:paraId="1E550F68" w14:textId="77777777" w:rsidR="00491B22" w:rsidRDefault="00491B22" w:rsidP="00491B22">
      <w:pPr>
        <w:jc w:val="both"/>
        <w:rPr>
          <w:rFonts w:ascii="Arial" w:hAnsi="Arial" w:cs="Arial"/>
          <w:sz w:val="22"/>
          <w:szCs w:val="22"/>
        </w:rPr>
      </w:pPr>
    </w:p>
    <w:p w14:paraId="403CB9C9" w14:textId="77777777" w:rsidR="00491B22" w:rsidRPr="00C6304D" w:rsidRDefault="00491B22" w:rsidP="00491B22">
      <w:pPr>
        <w:jc w:val="both"/>
        <w:rPr>
          <w:rFonts w:ascii="Arial" w:hAnsi="Arial" w:cs="Arial"/>
          <w:sz w:val="22"/>
          <w:szCs w:val="22"/>
        </w:rPr>
      </w:pPr>
    </w:p>
    <w:p w14:paraId="74B025EA" w14:textId="77777777" w:rsidR="00491B22" w:rsidRPr="00C6304D" w:rsidRDefault="00491B22" w:rsidP="00491B22">
      <w:pPr>
        <w:jc w:val="both"/>
        <w:rPr>
          <w:rFonts w:ascii="Arial" w:hAnsi="Arial" w:cs="Arial"/>
          <w:sz w:val="22"/>
          <w:szCs w:val="22"/>
        </w:rPr>
      </w:pPr>
      <w:r w:rsidRPr="00C6304D">
        <w:rPr>
          <w:rFonts w:ascii="Arial" w:hAnsi="Arial" w:cs="Arial"/>
          <w:sz w:val="22"/>
          <w:szCs w:val="22"/>
        </w:rPr>
        <w:t xml:space="preserve">British Heart Foundation (2023) </w:t>
      </w:r>
      <w:r w:rsidRPr="00C6304D">
        <w:rPr>
          <w:rFonts w:ascii="Arial" w:hAnsi="Arial" w:cs="Arial"/>
          <w:i/>
          <w:iCs/>
          <w:sz w:val="22"/>
          <w:szCs w:val="22"/>
        </w:rPr>
        <w:t>UK factsheet: Heart and circulatory disease statistics</w:t>
      </w:r>
      <w:r w:rsidRPr="00C6304D">
        <w:rPr>
          <w:rFonts w:ascii="Arial" w:hAnsi="Arial" w:cs="Arial"/>
          <w:sz w:val="22"/>
          <w:szCs w:val="22"/>
        </w:rPr>
        <w:t>. London: British Heart Foundation.</w:t>
      </w:r>
    </w:p>
    <w:p w14:paraId="24AB704E" w14:textId="77777777" w:rsidR="00491B22" w:rsidRPr="00C6304D" w:rsidRDefault="00491B22" w:rsidP="00491B22">
      <w:pPr>
        <w:jc w:val="both"/>
        <w:rPr>
          <w:rFonts w:ascii="Arial" w:hAnsi="Arial" w:cs="Arial"/>
          <w:sz w:val="22"/>
          <w:szCs w:val="22"/>
        </w:rPr>
      </w:pPr>
      <w:r w:rsidRPr="00C6304D">
        <w:rPr>
          <w:rFonts w:ascii="Arial" w:hAnsi="Arial" w:cs="Arial"/>
          <w:sz w:val="22"/>
          <w:szCs w:val="22"/>
        </w:rPr>
        <w:t xml:space="preserve">Department of Health (1999) </w:t>
      </w:r>
      <w:r w:rsidRPr="00C6304D">
        <w:rPr>
          <w:rFonts w:ascii="Arial" w:hAnsi="Arial" w:cs="Arial"/>
          <w:i/>
          <w:iCs/>
          <w:sz w:val="22"/>
          <w:szCs w:val="22"/>
        </w:rPr>
        <w:t>Saving lives: Our healthier nation</w:t>
      </w:r>
      <w:r w:rsidRPr="00C6304D">
        <w:rPr>
          <w:rFonts w:ascii="Arial" w:hAnsi="Arial" w:cs="Arial"/>
          <w:sz w:val="22"/>
          <w:szCs w:val="22"/>
        </w:rPr>
        <w:t>. London: The Stationery Office.</w:t>
      </w:r>
    </w:p>
    <w:p w14:paraId="60002232" w14:textId="77777777" w:rsidR="00491B22" w:rsidRPr="00C6304D" w:rsidRDefault="00491B22" w:rsidP="00491B22">
      <w:pPr>
        <w:jc w:val="both"/>
        <w:rPr>
          <w:rFonts w:ascii="Arial" w:hAnsi="Arial" w:cs="Arial"/>
          <w:sz w:val="22"/>
          <w:szCs w:val="22"/>
        </w:rPr>
      </w:pPr>
      <w:r w:rsidRPr="00C6304D">
        <w:rPr>
          <w:rFonts w:ascii="Arial" w:hAnsi="Arial" w:cs="Arial"/>
          <w:sz w:val="22"/>
          <w:szCs w:val="22"/>
        </w:rPr>
        <w:t>Marmot, M. (2010) Fair Society, Healthy Lives: The Marmot Review. London: The Marmot Review.</w:t>
      </w:r>
    </w:p>
    <w:p w14:paraId="002CCB68" w14:textId="77777777" w:rsidR="00491B22" w:rsidRPr="00C6304D" w:rsidRDefault="00491B22" w:rsidP="00491B22">
      <w:pPr>
        <w:jc w:val="both"/>
        <w:rPr>
          <w:rFonts w:ascii="Arial" w:hAnsi="Arial" w:cs="Arial"/>
          <w:sz w:val="22"/>
          <w:szCs w:val="22"/>
        </w:rPr>
      </w:pPr>
      <w:r w:rsidRPr="00C6304D">
        <w:rPr>
          <w:rFonts w:ascii="Arial" w:hAnsi="Arial" w:cs="Arial"/>
          <w:sz w:val="22"/>
          <w:szCs w:val="22"/>
        </w:rPr>
        <w:t xml:space="preserve">NHS (2023) </w:t>
      </w:r>
      <w:r w:rsidRPr="00C6304D">
        <w:rPr>
          <w:rFonts w:ascii="Arial" w:hAnsi="Arial" w:cs="Arial"/>
          <w:i/>
          <w:iCs/>
          <w:sz w:val="22"/>
          <w:szCs w:val="22"/>
        </w:rPr>
        <w:t>Coronary heart disease</w:t>
      </w:r>
      <w:r w:rsidRPr="00C6304D">
        <w:rPr>
          <w:rFonts w:ascii="Arial" w:hAnsi="Arial" w:cs="Arial"/>
          <w:sz w:val="22"/>
          <w:szCs w:val="22"/>
        </w:rPr>
        <w:t xml:space="preserve">. Available at: </w:t>
      </w:r>
      <w:hyperlink r:id="rId7" w:tgtFrame="_new" w:history="1">
        <w:r w:rsidRPr="00C6304D">
          <w:rPr>
            <w:rStyle w:val="Hyperlink"/>
            <w:rFonts w:ascii="Arial" w:hAnsi="Arial" w:cs="Arial"/>
            <w:sz w:val="22"/>
            <w:szCs w:val="22"/>
          </w:rPr>
          <w:t>https://www.nhs.uk/conditions/coronary-heart-disease</w:t>
        </w:r>
      </w:hyperlink>
      <w:r w:rsidRPr="00C6304D">
        <w:rPr>
          <w:rFonts w:ascii="Arial" w:hAnsi="Arial" w:cs="Arial"/>
          <w:sz w:val="22"/>
          <w:szCs w:val="22"/>
        </w:rPr>
        <w:t xml:space="preserve"> (Accessed: 21 November 2025).</w:t>
      </w:r>
    </w:p>
    <w:p w14:paraId="51841631" w14:textId="77777777" w:rsidR="00491B22" w:rsidRPr="00C6304D" w:rsidRDefault="00491B22" w:rsidP="00491B22">
      <w:pPr>
        <w:jc w:val="both"/>
        <w:rPr>
          <w:rFonts w:ascii="Arial" w:hAnsi="Arial" w:cs="Arial"/>
          <w:sz w:val="22"/>
          <w:szCs w:val="22"/>
        </w:rPr>
      </w:pPr>
      <w:r w:rsidRPr="00C6304D">
        <w:rPr>
          <w:rFonts w:ascii="Arial" w:hAnsi="Arial" w:cs="Arial"/>
          <w:sz w:val="22"/>
          <w:szCs w:val="22"/>
        </w:rPr>
        <w:t>NHS England (2019) The NHS Long Term Plan. London: NHS England.</w:t>
      </w:r>
    </w:p>
    <w:p w14:paraId="53544598" w14:textId="77777777" w:rsidR="00491B22" w:rsidRPr="00C6304D" w:rsidRDefault="00491B22" w:rsidP="00491B22">
      <w:pPr>
        <w:jc w:val="both"/>
        <w:rPr>
          <w:rFonts w:ascii="Arial" w:hAnsi="Arial" w:cs="Arial"/>
          <w:sz w:val="22"/>
          <w:szCs w:val="22"/>
        </w:rPr>
      </w:pPr>
      <w:r w:rsidRPr="00C6304D">
        <w:rPr>
          <w:rFonts w:ascii="Arial" w:hAnsi="Arial" w:cs="Arial"/>
          <w:sz w:val="22"/>
          <w:szCs w:val="22"/>
        </w:rPr>
        <w:t xml:space="preserve">Office for National Statistics (2024) </w:t>
      </w:r>
      <w:r w:rsidRPr="00C6304D">
        <w:rPr>
          <w:rFonts w:ascii="Arial" w:hAnsi="Arial" w:cs="Arial"/>
          <w:i/>
          <w:iCs/>
          <w:sz w:val="22"/>
          <w:szCs w:val="22"/>
        </w:rPr>
        <w:t>Deaths registered in England and Wales</w:t>
      </w:r>
      <w:r w:rsidRPr="00C6304D">
        <w:rPr>
          <w:rFonts w:ascii="Arial" w:hAnsi="Arial" w:cs="Arial"/>
          <w:sz w:val="22"/>
          <w:szCs w:val="22"/>
        </w:rPr>
        <w:t xml:space="preserve">. Available at: </w:t>
      </w:r>
      <w:hyperlink r:id="rId8" w:tgtFrame="_new" w:history="1">
        <w:r w:rsidRPr="00C6304D">
          <w:rPr>
            <w:rStyle w:val="Hyperlink"/>
            <w:rFonts w:ascii="Arial" w:hAnsi="Arial" w:cs="Arial"/>
            <w:sz w:val="22"/>
            <w:szCs w:val="22"/>
          </w:rPr>
          <w:t>https://www.ons.gov.uk</w:t>
        </w:r>
      </w:hyperlink>
      <w:r w:rsidRPr="00C6304D">
        <w:rPr>
          <w:rFonts w:ascii="Arial" w:hAnsi="Arial" w:cs="Arial"/>
          <w:sz w:val="22"/>
          <w:szCs w:val="22"/>
        </w:rPr>
        <w:t xml:space="preserve"> (Accessed: 28 November 2025).</w:t>
      </w:r>
    </w:p>
    <w:p w14:paraId="62FEC0BE" w14:textId="77777777" w:rsidR="00491B22" w:rsidRPr="00C6304D" w:rsidRDefault="00491B22" w:rsidP="00491B22">
      <w:pPr>
        <w:jc w:val="both"/>
        <w:rPr>
          <w:rFonts w:ascii="Arial" w:hAnsi="Arial" w:cs="Arial"/>
          <w:sz w:val="22"/>
          <w:szCs w:val="22"/>
        </w:rPr>
      </w:pPr>
      <w:r w:rsidRPr="00C6304D">
        <w:rPr>
          <w:rFonts w:ascii="Arial" w:hAnsi="Arial" w:cs="Arial"/>
          <w:sz w:val="22"/>
          <w:szCs w:val="22"/>
        </w:rPr>
        <w:t xml:space="preserve">Public Health England (2022) </w:t>
      </w:r>
      <w:r w:rsidRPr="00C6304D">
        <w:rPr>
          <w:rFonts w:ascii="Arial" w:hAnsi="Arial" w:cs="Arial"/>
          <w:i/>
          <w:iCs/>
          <w:sz w:val="22"/>
          <w:szCs w:val="22"/>
        </w:rPr>
        <w:t>Health matters: Preventing cardiovascular disease</w:t>
      </w:r>
      <w:r w:rsidRPr="00C6304D">
        <w:rPr>
          <w:rFonts w:ascii="Arial" w:hAnsi="Arial" w:cs="Arial"/>
          <w:sz w:val="22"/>
          <w:szCs w:val="22"/>
        </w:rPr>
        <w:t>. London: PHE.</w:t>
      </w:r>
    </w:p>
    <w:p w14:paraId="623521C5" w14:textId="77777777" w:rsidR="00491B22" w:rsidRPr="00C6304D" w:rsidRDefault="00491B22" w:rsidP="00491B22">
      <w:pPr>
        <w:jc w:val="both"/>
        <w:rPr>
          <w:rFonts w:ascii="Arial" w:hAnsi="Arial" w:cs="Arial"/>
          <w:sz w:val="22"/>
          <w:szCs w:val="22"/>
        </w:rPr>
      </w:pPr>
      <w:r w:rsidRPr="00C6304D">
        <w:rPr>
          <w:rFonts w:ascii="Arial" w:hAnsi="Arial" w:cs="Arial"/>
          <w:sz w:val="22"/>
          <w:szCs w:val="22"/>
        </w:rPr>
        <w:t xml:space="preserve">Townsend, P. and Davidson, N. (1982). </w:t>
      </w:r>
      <w:r w:rsidRPr="00C6304D">
        <w:rPr>
          <w:rFonts w:ascii="Arial" w:hAnsi="Arial" w:cs="Arial"/>
          <w:i/>
          <w:iCs/>
          <w:sz w:val="22"/>
          <w:szCs w:val="22"/>
        </w:rPr>
        <w:t>Inequalities in health</w:t>
      </w:r>
      <w:r w:rsidRPr="00C6304D">
        <w:rPr>
          <w:rFonts w:ascii="Arial" w:hAnsi="Arial" w:cs="Arial"/>
          <w:sz w:val="22"/>
          <w:szCs w:val="22"/>
        </w:rPr>
        <w:t>. Harmondsworth: Penguin Books.</w:t>
      </w:r>
    </w:p>
    <w:p w14:paraId="2B5D8039" w14:textId="77777777" w:rsidR="00491B22" w:rsidRPr="00C6304D" w:rsidRDefault="00491B22" w:rsidP="00491B22">
      <w:pPr>
        <w:jc w:val="both"/>
        <w:rPr>
          <w:rFonts w:ascii="Arial" w:hAnsi="Arial" w:cs="Arial"/>
          <w:sz w:val="22"/>
          <w:szCs w:val="22"/>
        </w:rPr>
      </w:pPr>
      <w:r w:rsidRPr="00C6304D">
        <w:rPr>
          <w:rFonts w:ascii="Arial" w:hAnsi="Arial" w:cs="Arial"/>
          <w:sz w:val="22"/>
          <w:szCs w:val="22"/>
        </w:rPr>
        <w:t xml:space="preserve">World Health Organisation (2023) </w:t>
      </w:r>
      <w:r w:rsidRPr="00C6304D">
        <w:rPr>
          <w:rFonts w:ascii="Arial" w:hAnsi="Arial" w:cs="Arial"/>
          <w:i/>
          <w:iCs/>
          <w:sz w:val="22"/>
          <w:szCs w:val="22"/>
        </w:rPr>
        <w:t>Cardiovascular diseases (CVDs)</w:t>
      </w:r>
      <w:r w:rsidRPr="00C6304D">
        <w:rPr>
          <w:rFonts w:ascii="Arial" w:hAnsi="Arial" w:cs="Arial"/>
          <w:sz w:val="22"/>
          <w:szCs w:val="22"/>
        </w:rPr>
        <w:t xml:space="preserve">. Available at: </w:t>
      </w:r>
      <w:hyperlink r:id="rId9" w:tgtFrame="_new" w:history="1">
        <w:r w:rsidRPr="00C6304D">
          <w:rPr>
            <w:rStyle w:val="Hyperlink"/>
            <w:rFonts w:ascii="Arial" w:hAnsi="Arial" w:cs="Arial"/>
            <w:sz w:val="22"/>
            <w:szCs w:val="22"/>
          </w:rPr>
          <w:t>https://www.who.int</w:t>
        </w:r>
      </w:hyperlink>
      <w:r w:rsidRPr="00C6304D">
        <w:rPr>
          <w:rFonts w:ascii="Arial" w:hAnsi="Arial" w:cs="Arial"/>
          <w:sz w:val="22"/>
          <w:szCs w:val="22"/>
        </w:rPr>
        <w:t xml:space="preserve"> (Accessed: 21 November 2025).</w:t>
      </w:r>
    </w:p>
    <w:p w14:paraId="3D0CD5A3" w14:textId="77777777" w:rsidR="00491B22" w:rsidRPr="00C6304D" w:rsidRDefault="00491B22" w:rsidP="00491B22">
      <w:pPr>
        <w:jc w:val="both"/>
        <w:rPr>
          <w:rFonts w:ascii="Arial" w:hAnsi="Arial" w:cs="Arial"/>
          <w:sz w:val="22"/>
          <w:szCs w:val="22"/>
        </w:rPr>
      </w:pPr>
      <w:r w:rsidRPr="00C6304D">
        <w:rPr>
          <w:rFonts w:ascii="Arial" w:hAnsi="Arial" w:cs="Arial"/>
          <w:sz w:val="22"/>
          <w:szCs w:val="22"/>
        </w:rPr>
        <w:t xml:space="preserve">Yusuf, S. et al. (2020) ‘Cardiovascular disease prevention and global health’, </w:t>
      </w:r>
      <w:r w:rsidRPr="00C6304D">
        <w:rPr>
          <w:rFonts w:ascii="Arial" w:hAnsi="Arial" w:cs="Arial"/>
          <w:i/>
          <w:iCs/>
          <w:sz w:val="22"/>
          <w:szCs w:val="22"/>
        </w:rPr>
        <w:t>The Lancet</w:t>
      </w:r>
      <w:r w:rsidRPr="00C6304D">
        <w:rPr>
          <w:rFonts w:ascii="Arial" w:hAnsi="Arial" w:cs="Arial"/>
          <w:sz w:val="22"/>
          <w:szCs w:val="22"/>
        </w:rPr>
        <w:t>, 395(10234), pp. 939–952.</w:t>
      </w:r>
    </w:p>
    <w:p w14:paraId="306C9A45" w14:textId="77777777" w:rsidR="00491B22" w:rsidRPr="00C6304D" w:rsidRDefault="00491B22" w:rsidP="00491B22">
      <w:pPr>
        <w:jc w:val="both"/>
        <w:rPr>
          <w:rFonts w:ascii="Arial" w:hAnsi="Arial" w:cs="Arial"/>
          <w:sz w:val="22"/>
          <w:szCs w:val="22"/>
        </w:rPr>
      </w:pPr>
    </w:p>
    <w:p w14:paraId="51670A8E" w14:textId="77777777" w:rsidR="00491B22" w:rsidRPr="00C6304D" w:rsidRDefault="00491B22" w:rsidP="00491B22">
      <w:pPr>
        <w:jc w:val="both"/>
        <w:rPr>
          <w:rFonts w:ascii="Arial" w:hAnsi="Arial" w:cs="Arial"/>
          <w:sz w:val="22"/>
          <w:szCs w:val="22"/>
        </w:rPr>
      </w:pPr>
    </w:p>
    <w:p w14:paraId="790CB9FB" w14:textId="77777777" w:rsidR="00491B22" w:rsidRPr="00C6304D" w:rsidRDefault="00491B22" w:rsidP="00491B22">
      <w:pPr>
        <w:jc w:val="both"/>
        <w:rPr>
          <w:rFonts w:ascii="Arial" w:hAnsi="Arial" w:cs="Arial"/>
          <w:sz w:val="22"/>
          <w:szCs w:val="22"/>
        </w:rPr>
      </w:pPr>
    </w:p>
    <w:p w14:paraId="1C4C59CE" w14:textId="77777777" w:rsidR="00491B22" w:rsidRPr="00491B22" w:rsidRDefault="00491B22" w:rsidP="00491B22">
      <w:pPr>
        <w:jc w:val="both"/>
        <w:rPr>
          <w:rFonts w:ascii="Arial" w:hAnsi="Arial" w:cs="Arial"/>
          <w:sz w:val="22"/>
          <w:szCs w:val="22"/>
        </w:rPr>
      </w:pPr>
    </w:p>
    <w:sectPr w:rsidR="00491B22" w:rsidRPr="00491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A66A7"/>
    <w:multiLevelType w:val="multilevel"/>
    <w:tmpl w:val="C5AE1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271AC0"/>
    <w:multiLevelType w:val="multilevel"/>
    <w:tmpl w:val="FE6E7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C55504"/>
    <w:multiLevelType w:val="multilevel"/>
    <w:tmpl w:val="90C0A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4596400">
    <w:abstractNumId w:val="2"/>
  </w:num>
  <w:num w:numId="2" w16cid:durableId="541097686">
    <w:abstractNumId w:val="1"/>
  </w:num>
  <w:num w:numId="3" w16cid:durableId="2058703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B22"/>
    <w:rsid w:val="001A47DE"/>
    <w:rsid w:val="001C394F"/>
    <w:rsid w:val="003F2C7B"/>
    <w:rsid w:val="00491B22"/>
    <w:rsid w:val="006B5A6F"/>
    <w:rsid w:val="007E6255"/>
    <w:rsid w:val="00A11D41"/>
    <w:rsid w:val="00B00BC6"/>
    <w:rsid w:val="00B956EB"/>
    <w:rsid w:val="00C80B5E"/>
    <w:rsid w:val="00CC3DDA"/>
    <w:rsid w:val="00E41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802AD"/>
  <w15:chartTrackingRefBased/>
  <w15:docId w15:val="{A8A866A9-23AB-4B8C-ABFB-500F3F906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B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1B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1B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1B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1B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1B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1B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1B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1B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B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1B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1B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1B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1B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1B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1B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1B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1B22"/>
    <w:rPr>
      <w:rFonts w:eastAsiaTheme="majorEastAsia" w:cstheme="majorBidi"/>
      <w:color w:val="272727" w:themeColor="text1" w:themeTint="D8"/>
    </w:rPr>
  </w:style>
  <w:style w:type="paragraph" w:styleId="Title">
    <w:name w:val="Title"/>
    <w:basedOn w:val="Normal"/>
    <w:next w:val="Normal"/>
    <w:link w:val="TitleChar"/>
    <w:uiPriority w:val="10"/>
    <w:qFormat/>
    <w:rsid w:val="00491B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1B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1B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1B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1B22"/>
    <w:pPr>
      <w:spacing w:before="160"/>
      <w:jc w:val="center"/>
    </w:pPr>
    <w:rPr>
      <w:i/>
      <w:iCs/>
      <w:color w:val="404040" w:themeColor="text1" w:themeTint="BF"/>
    </w:rPr>
  </w:style>
  <w:style w:type="character" w:customStyle="1" w:styleId="QuoteChar">
    <w:name w:val="Quote Char"/>
    <w:basedOn w:val="DefaultParagraphFont"/>
    <w:link w:val="Quote"/>
    <w:uiPriority w:val="29"/>
    <w:rsid w:val="00491B22"/>
    <w:rPr>
      <w:i/>
      <w:iCs/>
      <w:color w:val="404040" w:themeColor="text1" w:themeTint="BF"/>
    </w:rPr>
  </w:style>
  <w:style w:type="paragraph" w:styleId="ListParagraph">
    <w:name w:val="List Paragraph"/>
    <w:basedOn w:val="Normal"/>
    <w:uiPriority w:val="34"/>
    <w:qFormat/>
    <w:rsid w:val="00491B22"/>
    <w:pPr>
      <w:ind w:left="720"/>
      <w:contextualSpacing/>
    </w:pPr>
  </w:style>
  <w:style w:type="character" w:styleId="IntenseEmphasis">
    <w:name w:val="Intense Emphasis"/>
    <w:basedOn w:val="DefaultParagraphFont"/>
    <w:uiPriority w:val="21"/>
    <w:qFormat/>
    <w:rsid w:val="00491B22"/>
    <w:rPr>
      <w:i/>
      <w:iCs/>
      <w:color w:val="0F4761" w:themeColor="accent1" w:themeShade="BF"/>
    </w:rPr>
  </w:style>
  <w:style w:type="paragraph" w:styleId="IntenseQuote">
    <w:name w:val="Intense Quote"/>
    <w:basedOn w:val="Normal"/>
    <w:next w:val="Normal"/>
    <w:link w:val="IntenseQuoteChar"/>
    <w:uiPriority w:val="30"/>
    <w:qFormat/>
    <w:rsid w:val="00491B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1B22"/>
    <w:rPr>
      <w:i/>
      <w:iCs/>
      <w:color w:val="0F4761" w:themeColor="accent1" w:themeShade="BF"/>
    </w:rPr>
  </w:style>
  <w:style w:type="character" w:styleId="IntenseReference">
    <w:name w:val="Intense Reference"/>
    <w:basedOn w:val="DefaultParagraphFont"/>
    <w:uiPriority w:val="32"/>
    <w:qFormat/>
    <w:rsid w:val="00491B22"/>
    <w:rPr>
      <w:b/>
      <w:bCs/>
      <w:smallCaps/>
      <w:color w:val="0F4761" w:themeColor="accent1" w:themeShade="BF"/>
      <w:spacing w:val="5"/>
    </w:rPr>
  </w:style>
  <w:style w:type="character" w:styleId="Hyperlink">
    <w:name w:val="Hyperlink"/>
    <w:basedOn w:val="DefaultParagraphFont"/>
    <w:uiPriority w:val="99"/>
    <w:unhideWhenUsed/>
    <w:rsid w:val="00491B2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3" Type="http://schemas.openxmlformats.org/officeDocument/2006/relationships/settings" Target="settings.xml"/><Relationship Id="rId7" Type="http://schemas.openxmlformats.org/officeDocument/2006/relationships/hyperlink" Target="https://www.nhs.uk/conditions/coronary-heart-disea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7</Pages>
  <Words>2360</Words>
  <Characters>13457</Characters>
  <Application>Microsoft Office Word</Application>
  <DocSecurity>0</DocSecurity>
  <Lines>112</Lines>
  <Paragraphs>31</Paragraphs>
  <ScaleCrop>false</ScaleCrop>
  <Company/>
  <LinksUpToDate>false</LinksUpToDate>
  <CharactersWithSpaces>15786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ngonga</dc:creator>
  <cp:keywords/>
  <dc:description/>
  <cp:lastModifiedBy>jose ngonga</cp:lastModifiedBy>
  <cp:revision>10</cp:revision>
  <dcterms:created xsi:type="dcterms:W3CDTF">2025-12-15T16:02:00Z</dcterms:created>
  <dcterms:modified xsi:type="dcterms:W3CDTF">2025-12-15T16:22:00Z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fa069635-f5ff-4907-a568-568a797b040a</vt:lpwstr>
  </property>
</Properties>
</file>