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E6E6E6"/>
        <w:tblLook w:val="0000"/>
      </w:tblPr>
      <w:tblGrid>
        <w:gridCol w:w="8721"/>
        <w:gridCol w:w="521"/>
      </w:tblGrid>
      <w:tr w:rsidR="00BA12E7" w:rsidTr="004A6336">
        <w:tc>
          <w:tcPr>
            <w:tcW w:w="5000" w:type="pct"/>
            <w:gridSpan w:val="2"/>
            <w:tcBorders>
              <w:bottom w:val="single" w:sz="8" w:space="0" w:color="auto"/>
            </w:tcBorders>
            <w:shd w:val="clear" w:color="auto" w:fill="D9D9D9"/>
          </w:tcPr>
          <w:p w:rsidR="00BA12E7" w:rsidRDefault="00BA12E7" w:rsidP="004A6336">
            <w:pPr>
              <w:pStyle w:val="ExerciseHeading"/>
            </w:pPr>
          </w:p>
        </w:tc>
      </w:tr>
      <w:tr w:rsidR="00BA12E7" w:rsidTr="004A6336">
        <w:tc>
          <w:tcPr>
            <w:tcW w:w="5000" w:type="pct"/>
            <w:gridSpan w:val="2"/>
          </w:tcPr>
          <w:p w:rsidR="00BA12E7" w:rsidRDefault="00BA12E7" w:rsidP="004A6336">
            <w:pPr>
              <w:pStyle w:val="BodytextA0"/>
              <w:rPr>
                <w:b/>
              </w:rPr>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t>EXERCISE 2</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Ballard Ltd makes three products A, B and C.  Each passes through two departments; Machining and Assembly.</w:t>
            </w:r>
          </w:p>
          <w:p w:rsidR="00BA12E7" w:rsidRDefault="00BA12E7" w:rsidP="00BA12E7">
            <w:pPr>
              <w:pStyle w:val="BodyTextA"/>
            </w:pPr>
            <w:r>
              <w:t>Labour hours used in each department by each product</w:t>
            </w:r>
          </w:p>
          <w:tbl>
            <w:tblPr>
              <w:tblW w:w="6714" w:type="dxa"/>
              <w:tblLook w:val="0000"/>
            </w:tblPr>
            <w:tblGrid>
              <w:gridCol w:w="2484"/>
              <w:gridCol w:w="2160"/>
              <w:gridCol w:w="2070"/>
            </w:tblGrid>
            <w:tr w:rsidR="00BA12E7" w:rsidTr="004A6336">
              <w:tc>
                <w:tcPr>
                  <w:tcW w:w="2484" w:type="dxa"/>
                </w:tcPr>
                <w:p w:rsidR="00BA12E7" w:rsidRDefault="00BA12E7" w:rsidP="004A6336">
                  <w:pPr>
                    <w:pStyle w:val="BodyTextA"/>
                    <w:spacing w:after="80"/>
                    <w:rPr>
                      <w:b/>
                    </w:rPr>
                  </w:pPr>
                </w:p>
              </w:tc>
              <w:tc>
                <w:tcPr>
                  <w:tcW w:w="2160" w:type="dxa"/>
                </w:tcPr>
                <w:p w:rsidR="00BA12E7" w:rsidRDefault="00BA12E7" w:rsidP="004A6336">
                  <w:pPr>
                    <w:pStyle w:val="BodyTextA"/>
                    <w:spacing w:after="80"/>
                    <w:jc w:val="center"/>
                    <w:rPr>
                      <w:b/>
                    </w:rPr>
                  </w:pPr>
                  <w:r>
                    <w:rPr>
                      <w:b/>
                    </w:rPr>
                    <w:t>Machining</w:t>
                  </w:r>
                </w:p>
              </w:tc>
              <w:tc>
                <w:tcPr>
                  <w:tcW w:w="2070" w:type="dxa"/>
                </w:tcPr>
                <w:p w:rsidR="00BA12E7" w:rsidRDefault="00BA12E7" w:rsidP="004A6336">
                  <w:pPr>
                    <w:pStyle w:val="BodyTextA"/>
                    <w:spacing w:after="80"/>
                    <w:jc w:val="center"/>
                    <w:rPr>
                      <w:b/>
                    </w:rPr>
                  </w:pPr>
                  <w:r>
                    <w:rPr>
                      <w:b/>
                    </w:rPr>
                    <w:t>Assembly</w:t>
                  </w:r>
                </w:p>
              </w:tc>
            </w:tr>
            <w:tr w:rsidR="00BA12E7" w:rsidTr="004A6336">
              <w:tc>
                <w:tcPr>
                  <w:tcW w:w="2484" w:type="dxa"/>
                </w:tcPr>
                <w:p w:rsidR="00BA12E7" w:rsidRDefault="00BA12E7" w:rsidP="004A6336">
                  <w:pPr>
                    <w:pStyle w:val="BodyTextA"/>
                    <w:spacing w:before="0"/>
                  </w:pPr>
                  <w:r>
                    <w:t>Product A</w:t>
                  </w:r>
                </w:p>
              </w:tc>
              <w:tc>
                <w:tcPr>
                  <w:tcW w:w="2160" w:type="dxa"/>
                </w:tcPr>
                <w:p w:rsidR="00BA12E7" w:rsidRDefault="00BA12E7" w:rsidP="004A6336">
                  <w:pPr>
                    <w:pStyle w:val="BodyTextA"/>
                    <w:spacing w:before="0"/>
                    <w:jc w:val="center"/>
                  </w:pPr>
                  <w:r>
                    <w:t>1 hr</w:t>
                  </w:r>
                </w:p>
              </w:tc>
              <w:tc>
                <w:tcPr>
                  <w:tcW w:w="2070" w:type="dxa"/>
                </w:tcPr>
                <w:p w:rsidR="00BA12E7" w:rsidRDefault="00BA12E7" w:rsidP="004A6336">
                  <w:pPr>
                    <w:pStyle w:val="BodyTextA"/>
                    <w:spacing w:before="0"/>
                    <w:jc w:val="center"/>
                  </w:pPr>
                  <w:r>
                    <w:t>1 hr</w:t>
                  </w:r>
                </w:p>
              </w:tc>
            </w:tr>
            <w:tr w:rsidR="00BA12E7" w:rsidTr="004A6336">
              <w:tc>
                <w:tcPr>
                  <w:tcW w:w="2484" w:type="dxa"/>
                </w:tcPr>
                <w:p w:rsidR="00BA12E7" w:rsidRDefault="00BA12E7" w:rsidP="004A6336">
                  <w:pPr>
                    <w:pStyle w:val="BodyTextA"/>
                    <w:spacing w:before="0"/>
                  </w:pPr>
                  <w:r>
                    <w:t>Product B</w:t>
                  </w:r>
                </w:p>
              </w:tc>
              <w:tc>
                <w:tcPr>
                  <w:tcW w:w="2160" w:type="dxa"/>
                </w:tcPr>
                <w:p w:rsidR="00BA12E7" w:rsidRDefault="00BA12E7" w:rsidP="004A6336">
                  <w:pPr>
                    <w:pStyle w:val="BodyTextA"/>
                    <w:spacing w:before="0"/>
                    <w:jc w:val="center"/>
                  </w:pPr>
                  <w:r>
                    <w:t>2 hrs</w:t>
                  </w:r>
                </w:p>
              </w:tc>
              <w:tc>
                <w:tcPr>
                  <w:tcW w:w="2070" w:type="dxa"/>
                </w:tcPr>
                <w:p w:rsidR="00BA12E7" w:rsidRDefault="00BA12E7" w:rsidP="004A6336">
                  <w:pPr>
                    <w:pStyle w:val="BodyTextA"/>
                    <w:spacing w:before="0"/>
                    <w:jc w:val="center"/>
                  </w:pPr>
                  <w:r>
                    <w:t>½ hr</w:t>
                  </w:r>
                </w:p>
              </w:tc>
            </w:tr>
            <w:tr w:rsidR="00BA12E7" w:rsidTr="004A6336">
              <w:tc>
                <w:tcPr>
                  <w:tcW w:w="2484" w:type="dxa"/>
                </w:tcPr>
                <w:p w:rsidR="00BA12E7" w:rsidRDefault="00BA12E7" w:rsidP="004A6336">
                  <w:pPr>
                    <w:pStyle w:val="BodyTextA"/>
                    <w:spacing w:before="0"/>
                  </w:pPr>
                  <w:r>
                    <w:t>Product C</w:t>
                  </w:r>
                </w:p>
              </w:tc>
              <w:tc>
                <w:tcPr>
                  <w:tcW w:w="2160" w:type="dxa"/>
                </w:tcPr>
                <w:p w:rsidR="00BA12E7" w:rsidRDefault="00BA12E7" w:rsidP="004A6336">
                  <w:pPr>
                    <w:pStyle w:val="BodyTextA"/>
                    <w:spacing w:before="0"/>
                    <w:jc w:val="center"/>
                  </w:pPr>
                  <w:r>
                    <w:t>None</w:t>
                  </w:r>
                </w:p>
              </w:tc>
              <w:tc>
                <w:tcPr>
                  <w:tcW w:w="2070" w:type="dxa"/>
                </w:tcPr>
                <w:p w:rsidR="00BA12E7" w:rsidRDefault="00BA12E7" w:rsidP="004A6336">
                  <w:pPr>
                    <w:pStyle w:val="BodyTextA"/>
                    <w:spacing w:before="0"/>
                    <w:jc w:val="center"/>
                  </w:pPr>
                  <w:r>
                    <w:t>4 hrs</w:t>
                  </w:r>
                </w:p>
              </w:tc>
            </w:tr>
          </w:tbl>
          <w:p w:rsidR="00BA12E7" w:rsidRDefault="00BA12E7" w:rsidP="004A6336">
            <w:pPr>
              <w:pStyle w:val="BodyTextA"/>
            </w:pPr>
            <w:r>
              <w:t>Production is expected to be as follows</w:t>
            </w:r>
          </w:p>
          <w:p w:rsidR="00BA12E7" w:rsidRDefault="00BA12E7" w:rsidP="00BA12E7">
            <w:pPr>
              <w:pStyle w:val="BodyTextA"/>
            </w:pPr>
            <w:r>
              <w:t>Product A</w:t>
            </w:r>
            <w:r>
              <w:tab/>
              <w:t>1,000 units</w:t>
            </w:r>
          </w:p>
          <w:p w:rsidR="00BA12E7" w:rsidRDefault="00BA12E7" w:rsidP="00BA12E7">
            <w:pPr>
              <w:pStyle w:val="BodyTextA"/>
            </w:pPr>
            <w:r>
              <w:t>Product B</w:t>
            </w:r>
            <w:r>
              <w:tab/>
              <w:t>2,000 units</w:t>
            </w:r>
          </w:p>
          <w:p w:rsidR="00BA12E7" w:rsidRDefault="00BA12E7" w:rsidP="00BA12E7">
            <w:pPr>
              <w:pStyle w:val="BodyTextA"/>
            </w:pPr>
            <w:r>
              <w:t>Product C</w:t>
            </w:r>
            <w:r>
              <w:tab/>
              <w:t>500 units</w:t>
            </w:r>
          </w:p>
          <w:p w:rsidR="00BA12E7" w:rsidRDefault="00BA12E7" w:rsidP="004A6336">
            <w:pPr>
              <w:pStyle w:val="BodyTextA"/>
            </w:pPr>
            <w:r>
              <w:t>Overheads are budgeted as follows:</w:t>
            </w:r>
          </w:p>
          <w:tbl>
            <w:tblPr>
              <w:tblW w:w="0" w:type="auto"/>
              <w:tblInd w:w="1908" w:type="dxa"/>
              <w:tblLook w:val="0000"/>
            </w:tblPr>
            <w:tblGrid>
              <w:gridCol w:w="2520"/>
              <w:gridCol w:w="3420"/>
            </w:tblGrid>
            <w:tr w:rsidR="00BA12E7" w:rsidTr="004A6336">
              <w:tc>
                <w:tcPr>
                  <w:tcW w:w="2520" w:type="dxa"/>
                </w:tcPr>
                <w:p w:rsidR="00BA12E7" w:rsidRDefault="00BA12E7" w:rsidP="004A6336">
                  <w:pPr>
                    <w:pStyle w:val="BodyTextA"/>
                    <w:jc w:val="center"/>
                    <w:rPr>
                      <w:b/>
                      <w:bCs/>
                    </w:rPr>
                  </w:pPr>
                  <w:r>
                    <w:rPr>
                      <w:b/>
                      <w:bCs/>
                    </w:rPr>
                    <w:t>Machining</w:t>
                  </w:r>
                </w:p>
              </w:tc>
              <w:tc>
                <w:tcPr>
                  <w:tcW w:w="3420" w:type="dxa"/>
                </w:tcPr>
                <w:p w:rsidR="00BA12E7" w:rsidRDefault="00BA12E7" w:rsidP="004A6336">
                  <w:pPr>
                    <w:pStyle w:val="BodyTextA"/>
                    <w:jc w:val="center"/>
                    <w:rPr>
                      <w:b/>
                      <w:bCs/>
                    </w:rPr>
                  </w:pPr>
                  <w:r>
                    <w:rPr>
                      <w:b/>
                      <w:bCs/>
                    </w:rPr>
                    <w:t>Assembly</w:t>
                  </w:r>
                </w:p>
              </w:tc>
            </w:tr>
            <w:tr w:rsidR="00BA12E7" w:rsidTr="004A6336">
              <w:tc>
                <w:tcPr>
                  <w:tcW w:w="2520" w:type="dxa"/>
                </w:tcPr>
                <w:p w:rsidR="00BA12E7" w:rsidRDefault="00BA12E7" w:rsidP="004A6336">
                  <w:pPr>
                    <w:pStyle w:val="BodyTextA"/>
                    <w:jc w:val="center"/>
                  </w:pPr>
                  <w:r>
                    <w:t>£100,000</w:t>
                  </w:r>
                </w:p>
              </w:tc>
              <w:tc>
                <w:tcPr>
                  <w:tcW w:w="3420" w:type="dxa"/>
                </w:tcPr>
                <w:p w:rsidR="00BA12E7" w:rsidRDefault="00BA12E7" w:rsidP="004A6336">
                  <w:pPr>
                    <w:pStyle w:val="BodyTextA"/>
                    <w:jc w:val="center"/>
                  </w:pPr>
                  <w:r>
                    <w:t>£150,000</w:t>
                  </w:r>
                </w:p>
              </w:tc>
            </w:tr>
          </w:tbl>
          <w:p w:rsidR="00BA12E7" w:rsidRPr="00BA12E7" w:rsidRDefault="00BA12E7" w:rsidP="00BA12E7">
            <w:pPr>
              <w:pStyle w:val="BodyTextA"/>
            </w:pPr>
            <w:r w:rsidRPr="00BA12E7">
              <w:t>Required:</w:t>
            </w:r>
          </w:p>
          <w:p w:rsidR="00BA12E7" w:rsidRDefault="00BA12E7" w:rsidP="00BA12E7">
            <w:pPr>
              <w:pStyle w:val="BodyTextA"/>
            </w:pPr>
            <w:r>
              <w:t>Calculate overhead absorbed by each product, using a labour hour overhead absorption rate.</w:t>
            </w:r>
          </w:p>
          <w:p w:rsidR="00BA12E7" w:rsidRPr="00BA12E7" w:rsidRDefault="00BA12E7" w:rsidP="00BA12E7"/>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Pr="00BA12E7" w:rsidRDefault="005A5CD9" w:rsidP="00BA12E7">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lastRenderedPageBreak/>
              <w:t>EXERCISE 5</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LS Ltd has 2 production departments (Assembly and Finishing) and two service departments (Maintenance and Canteen).</w:t>
            </w:r>
          </w:p>
          <w:p w:rsidR="00BA12E7" w:rsidRDefault="00BA12E7" w:rsidP="004A6336">
            <w:pPr>
              <w:pStyle w:val="BodyTextA"/>
            </w:pPr>
            <w:r>
              <w:t>The following are budgeted costs for the next period:</w:t>
            </w:r>
          </w:p>
          <w:p w:rsidR="00BA12E7" w:rsidRDefault="00BA12E7" w:rsidP="00BA12E7">
            <w:pPr>
              <w:pStyle w:val="BodyTextA"/>
            </w:pPr>
            <w:r>
              <w:t>Indirect materials</w:t>
            </w:r>
            <w:r>
              <w:tab/>
              <w:t>£20,000</w:t>
            </w:r>
          </w:p>
          <w:p w:rsidR="00BA12E7" w:rsidRDefault="00BA12E7" w:rsidP="00BA12E7">
            <w:pPr>
              <w:pStyle w:val="BodyTextA"/>
            </w:pPr>
            <w:r>
              <w:t>Rent</w:t>
            </w:r>
            <w:r>
              <w:tab/>
              <w:t>£15,000</w:t>
            </w:r>
          </w:p>
          <w:p w:rsidR="00BA12E7" w:rsidRDefault="00BA12E7" w:rsidP="00BA12E7">
            <w:pPr>
              <w:pStyle w:val="BodyTextA"/>
            </w:pPr>
            <w:r>
              <w:t>Electricity</w:t>
            </w:r>
            <w:r>
              <w:tab/>
              <w:t>£10,000</w:t>
            </w:r>
          </w:p>
          <w:p w:rsidR="00BA12E7" w:rsidRDefault="00BA12E7" w:rsidP="00BA12E7">
            <w:pPr>
              <w:pStyle w:val="BodyTextA"/>
            </w:pPr>
            <w:r>
              <w:t>Machine depreciation</w:t>
            </w:r>
            <w:r>
              <w:tab/>
              <w:t>£5,000</w:t>
            </w:r>
          </w:p>
          <w:p w:rsidR="00BA12E7" w:rsidRDefault="00BA12E7" w:rsidP="00BA12E7">
            <w:pPr>
              <w:pStyle w:val="BodyTextA"/>
            </w:pPr>
            <w:r>
              <w:t>Indirect labour</w:t>
            </w:r>
            <w:r>
              <w:tab/>
              <w:t>£16,520</w:t>
            </w:r>
          </w:p>
          <w:p w:rsidR="00BA12E7" w:rsidRDefault="00BA12E7" w:rsidP="00BA12E7">
            <w:pPr>
              <w:pStyle w:val="BodyTextA"/>
            </w:pPr>
            <w:r>
              <w:t>Direct labour</w:t>
            </w:r>
            <w:r>
              <w:tab/>
              <w:t>£125,000</w:t>
            </w:r>
          </w:p>
          <w:p w:rsidR="00BA12E7" w:rsidRDefault="00BA12E7" w:rsidP="004A6336">
            <w:pPr>
              <w:pStyle w:val="BodyTextA"/>
            </w:pPr>
            <w:r>
              <w:t>The following information is available:</w:t>
            </w:r>
          </w:p>
          <w:tbl>
            <w:tblPr>
              <w:tblW w:w="7920" w:type="dxa"/>
              <w:tblInd w:w="144"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tblPr>
            <w:tblGrid>
              <w:gridCol w:w="2799"/>
              <w:gridCol w:w="1251"/>
              <w:gridCol w:w="1260"/>
              <w:gridCol w:w="1530"/>
              <w:gridCol w:w="1080"/>
            </w:tblGrid>
            <w:tr w:rsidR="00BA12E7" w:rsidTr="004A6336">
              <w:tc>
                <w:tcPr>
                  <w:tcW w:w="2799" w:type="dxa"/>
                </w:tcPr>
                <w:p w:rsidR="00BA12E7" w:rsidRDefault="00BA12E7" w:rsidP="004A6336">
                  <w:pPr>
                    <w:pStyle w:val="BodyText"/>
                    <w:jc w:val="right"/>
                  </w:pPr>
                </w:p>
              </w:tc>
              <w:tc>
                <w:tcPr>
                  <w:tcW w:w="1251" w:type="dxa"/>
                </w:tcPr>
                <w:p w:rsidR="00BA12E7" w:rsidRDefault="00BA12E7" w:rsidP="004A6336">
                  <w:pPr>
                    <w:pStyle w:val="BodyText"/>
                    <w:jc w:val="right"/>
                    <w:rPr>
                      <w:b/>
                    </w:rPr>
                  </w:pPr>
                  <w:r>
                    <w:rPr>
                      <w:b/>
                    </w:rPr>
                    <w:t>Assembly</w:t>
                  </w:r>
                </w:p>
              </w:tc>
              <w:tc>
                <w:tcPr>
                  <w:tcW w:w="1260" w:type="dxa"/>
                </w:tcPr>
                <w:p w:rsidR="00BA12E7" w:rsidRDefault="00BA12E7" w:rsidP="004A6336">
                  <w:pPr>
                    <w:pStyle w:val="BodyText"/>
                    <w:jc w:val="right"/>
                    <w:rPr>
                      <w:b/>
                    </w:rPr>
                  </w:pPr>
                  <w:r>
                    <w:rPr>
                      <w:b/>
                    </w:rPr>
                    <w:t>Finishing</w:t>
                  </w:r>
                </w:p>
              </w:tc>
              <w:tc>
                <w:tcPr>
                  <w:tcW w:w="1530" w:type="dxa"/>
                </w:tcPr>
                <w:p w:rsidR="00BA12E7" w:rsidRDefault="00BA12E7" w:rsidP="004A6336">
                  <w:pPr>
                    <w:pStyle w:val="BodyText"/>
                    <w:jc w:val="right"/>
                    <w:rPr>
                      <w:b/>
                    </w:rPr>
                  </w:pPr>
                  <w:r>
                    <w:rPr>
                      <w:b/>
                    </w:rPr>
                    <w:t>Maintenance</w:t>
                  </w:r>
                </w:p>
              </w:tc>
              <w:tc>
                <w:tcPr>
                  <w:tcW w:w="1080" w:type="dxa"/>
                </w:tcPr>
                <w:p w:rsidR="00BA12E7" w:rsidRDefault="00BA12E7" w:rsidP="004A6336">
                  <w:pPr>
                    <w:pStyle w:val="BodyText"/>
                    <w:jc w:val="right"/>
                    <w:rPr>
                      <w:b/>
                    </w:rPr>
                  </w:pPr>
                  <w:r>
                    <w:rPr>
                      <w:b/>
                    </w:rPr>
                    <w:t>Canteen</w:t>
                  </w:r>
                </w:p>
              </w:tc>
            </w:tr>
            <w:tr w:rsidR="00BA12E7" w:rsidTr="004A6336">
              <w:tc>
                <w:tcPr>
                  <w:tcW w:w="2799" w:type="dxa"/>
                </w:tcPr>
                <w:p w:rsidR="00BA12E7" w:rsidRDefault="00BA12E7" w:rsidP="004A6336">
                  <w:pPr>
                    <w:pStyle w:val="BodyText"/>
                    <w:spacing w:after="60"/>
                  </w:pPr>
                  <w:r>
                    <w:t>Area (sq. metres)</w:t>
                  </w:r>
                </w:p>
              </w:tc>
              <w:tc>
                <w:tcPr>
                  <w:tcW w:w="1251" w:type="dxa"/>
                </w:tcPr>
                <w:p w:rsidR="00BA12E7" w:rsidRDefault="00BA12E7" w:rsidP="004A6336">
                  <w:pPr>
                    <w:pStyle w:val="BodyText"/>
                    <w:spacing w:after="60"/>
                    <w:jc w:val="right"/>
                  </w:pPr>
                  <w:r>
                    <w:t>1,000</w:t>
                  </w:r>
                </w:p>
              </w:tc>
              <w:tc>
                <w:tcPr>
                  <w:tcW w:w="1260" w:type="dxa"/>
                </w:tcPr>
                <w:p w:rsidR="00BA12E7" w:rsidRDefault="00BA12E7" w:rsidP="004A6336">
                  <w:pPr>
                    <w:pStyle w:val="BodyText"/>
                    <w:spacing w:after="60"/>
                    <w:jc w:val="right"/>
                  </w:pPr>
                  <w:r>
                    <w:t>2,000</w:t>
                  </w:r>
                </w:p>
              </w:tc>
              <w:tc>
                <w:tcPr>
                  <w:tcW w:w="1530" w:type="dxa"/>
                </w:tcPr>
                <w:p w:rsidR="00BA12E7" w:rsidRDefault="00BA12E7" w:rsidP="004A6336">
                  <w:pPr>
                    <w:pStyle w:val="BodyText"/>
                    <w:spacing w:after="60"/>
                    <w:jc w:val="right"/>
                  </w:pPr>
                  <w:r>
                    <w:t>500</w:t>
                  </w:r>
                </w:p>
              </w:tc>
              <w:tc>
                <w:tcPr>
                  <w:tcW w:w="1080" w:type="dxa"/>
                </w:tcPr>
                <w:p w:rsidR="00BA12E7" w:rsidRDefault="00BA12E7" w:rsidP="004A6336">
                  <w:pPr>
                    <w:pStyle w:val="BodyText"/>
                    <w:spacing w:after="60"/>
                    <w:jc w:val="right"/>
                  </w:pPr>
                  <w:r>
                    <w:t>500</w:t>
                  </w:r>
                </w:p>
              </w:tc>
            </w:tr>
            <w:tr w:rsidR="00BA12E7" w:rsidTr="004A6336">
              <w:tc>
                <w:tcPr>
                  <w:tcW w:w="2799" w:type="dxa"/>
                </w:tcPr>
                <w:p w:rsidR="00BA12E7" w:rsidRDefault="00BA12E7" w:rsidP="004A6336">
                  <w:pPr>
                    <w:pStyle w:val="BodyText"/>
                    <w:spacing w:after="60"/>
                  </w:pPr>
                  <w:r>
                    <w:t>kW hours consumed</w:t>
                  </w:r>
                </w:p>
              </w:tc>
              <w:tc>
                <w:tcPr>
                  <w:tcW w:w="1251" w:type="dxa"/>
                </w:tcPr>
                <w:p w:rsidR="00BA12E7" w:rsidRDefault="00BA12E7" w:rsidP="004A6336">
                  <w:pPr>
                    <w:pStyle w:val="BodyText"/>
                    <w:spacing w:after="60"/>
                    <w:jc w:val="right"/>
                  </w:pPr>
                  <w:r>
                    <w:t>2,750</w:t>
                  </w:r>
                </w:p>
              </w:tc>
              <w:tc>
                <w:tcPr>
                  <w:tcW w:w="1260" w:type="dxa"/>
                </w:tcPr>
                <w:p w:rsidR="00BA12E7" w:rsidRDefault="00BA12E7" w:rsidP="004A6336">
                  <w:pPr>
                    <w:pStyle w:val="BodyText"/>
                    <w:spacing w:after="60"/>
                    <w:jc w:val="right"/>
                  </w:pPr>
                  <w:r>
                    <w:t>4,500</w:t>
                  </w:r>
                </w:p>
              </w:tc>
              <w:tc>
                <w:tcPr>
                  <w:tcW w:w="1530" w:type="dxa"/>
                </w:tcPr>
                <w:p w:rsidR="00BA12E7" w:rsidRDefault="00BA12E7" w:rsidP="004A6336">
                  <w:pPr>
                    <w:pStyle w:val="BodyText"/>
                    <w:spacing w:after="60"/>
                    <w:jc w:val="right"/>
                  </w:pPr>
                  <w:r>
                    <w:t>1,975</w:t>
                  </w:r>
                </w:p>
              </w:tc>
              <w:tc>
                <w:tcPr>
                  <w:tcW w:w="1080" w:type="dxa"/>
                </w:tcPr>
                <w:p w:rsidR="00BA12E7" w:rsidRDefault="00BA12E7" w:rsidP="004A6336">
                  <w:pPr>
                    <w:pStyle w:val="BodyText"/>
                    <w:spacing w:after="60"/>
                    <w:jc w:val="right"/>
                  </w:pPr>
                  <w:r>
                    <w:t>775</w:t>
                  </w:r>
                </w:p>
              </w:tc>
            </w:tr>
            <w:tr w:rsidR="00BA12E7" w:rsidTr="004A6336">
              <w:tc>
                <w:tcPr>
                  <w:tcW w:w="2799" w:type="dxa"/>
                </w:tcPr>
                <w:p w:rsidR="00BA12E7" w:rsidRDefault="00BA12E7" w:rsidP="004A6336">
                  <w:pPr>
                    <w:pStyle w:val="BodyText"/>
                    <w:spacing w:after="60"/>
                  </w:pPr>
                  <w:r>
                    <w:t>Machine value</w:t>
                  </w:r>
                </w:p>
              </w:tc>
              <w:tc>
                <w:tcPr>
                  <w:tcW w:w="1251" w:type="dxa"/>
                </w:tcPr>
                <w:p w:rsidR="00BA12E7" w:rsidRDefault="00BA12E7" w:rsidP="004A6336">
                  <w:pPr>
                    <w:pStyle w:val="BodyText"/>
                    <w:spacing w:after="60"/>
                    <w:jc w:val="right"/>
                  </w:pPr>
                  <w:r>
                    <w:t>£45,000</w:t>
                  </w:r>
                </w:p>
              </w:tc>
              <w:tc>
                <w:tcPr>
                  <w:tcW w:w="1260" w:type="dxa"/>
                </w:tcPr>
                <w:p w:rsidR="00BA12E7" w:rsidRDefault="00BA12E7" w:rsidP="004A6336">
                  <w:pPr>
                    <w:pStyle w:val="BodyText"/>
                    <w:spacing w:after="60"/>
                    <w:jc w:val="right"/>
                  </w:pPr>
                  <w:r>
                    <w:t>£35,000</w:t>
                  </w:r>
                </w:p>
              </w:tc>
              <w:tc>
                <w:tcPr>
                  <w:tcW w:w="1530" w:type="dxa"/>
                </w:tcPr>
                <w:p w:rsidR="00BA12E7" w:rsidRDefault="00BA12E7" w:rsidP="004A6336">
                  <w:pPr>
                    <w:pStyle w:val="BodyText"/>
                    <w:spacing w:after="60"/>
                    <w:jc w:val="right"/>
                  </w:pPr>
                  <w:r>
                    <w:t>£11,000</w:t>
                  </w:r>
                </w:p>
              </w:tc>
              <w:tc>
                <w:tcPr>
                  <w:tcW w:w="1080" w:type="dxa"/>
                </w:tcPr>
                <w:p w:rsidR="00BA12E7" w:rsidRDefault="00BA12E7" w:rsidP="004A6336">
                  <w:pPr>
                    <w:pStyle w:val="BodyText"/>
                    <w:spacing w:after="60"/>
                    <w:jc w:val="right"/>
                  </w:pPr>
                  <w:r>
                    <w:t>£9,000</w:t>
                  </w:r>
                </w:p>
              </w:tc>
            </w:tr>
            <w:tr w:rsidR="00BA12E7" w:rsidTr="004A6336">
              <w:tc>
                <w:tcPr>
                  <w:tcW w:w="2799" w:type="dxa"/>
                </w:tcPr>
                <w:p w:rsidR="00BA12E7" w:rsidRDefault="00BA12E7" w:rsidP="004A6336">
                  <w:pPr>
                    <w:pStyle w:val="BodyText"/>
                    <w:spacing w:after="60"/>
                  </w:pPr>
                  <w:r>
                    <w:t>Number staff</w:t>
                  </w:r>
                </w:p>
              </w:tc>
              <w:tc>
                <w:tcPr>
                  <w:tcW w:w="1251" w:type="dxa"/>
                </w:tcPr>
                <w:p w:rsidR="00BA12E7" w:rsidRDefault="00BA12E7" w:rsidP="004A6336">
                  <w:pPr>
                    <w:pStyle w:val="BodyText"/>
                    <w:spacing w:after="60"/>
                    <w:jc w:val="right"/>
                  </w:pPr>
                  <w:r>
                    <w:t>20</w:t>
                  </w:r>
                </w:p>
              </w:tc>
              <w:tc>
                <w:tcPr>
                  <w:tcW w:w="1260" w:type="dxa"/>
                </w:tcPr>
                <w:p w:rsidR="00BA12E7" w:rsidRDefault="00BA12E7" w:rsidP="004A6336">
                  <w:pPr>
                    <w:pStyle w:val="BodyText"/>
                    <w:spacing w:after="60"/>
                    <w:jc w:val="right"/>
                  </w:pPr>
                  <w:r>
                    <w:t>30</w:t>
                  </w:r>
                </w:p>
              </w:tc>
              <w:tc>
                <w:tcPr>
                  <w:tcW w:w="1530" w:type="dxa"/>
                </w:tcPr>
                <w:p w:rsidR="00BA12E7" w:rsidRDefault="00BA12E7" w:rsidP="004A6336">
                  <w:pPr>
                    <w:pStyle w:val="BodyText"/>
                    <w:spacing w:after="60"/>
                    <w:jc w:val="right"/>
                  </w:pPr>
                  <w:r>
                    <w:t>10</w:t>
                  </w:r>
                </w:p>
              </w:tc>
              <w:tc>
                <w:tcPr>
                  <w:tcW w:w="1080" w:type="dxa"/>
                </w:tcPr>
                <w:p w:rsidR="00BA12E7" w:rsidRDefault="00BA12E7" w:rsidP="004A6336">
                  <w:pPr>
                    <w:pStyle w:val="BodyText"/>
                    <w:spacing w:after="60"/>
                    <w:jc w:val="right"/>
                  </w:pPr>
                  <w:r>
                    <w:t>2</w:t>
                  </w:r>
                </w:p>
              </w:tc>
            </w:tr>
            <w:tr w:rsidR="00BA12E7" w:rsidTr="004A6336">
              <w:tc>
                <w:tcPr>
                  <w:tcW w:w="2799" w:type="dxa"/>
                </w:tcPr>
                <w:p w:rsidR="00BA12E7" w:rsidRDefault="00BA12E7" w:rsidP="004A6336">
                  <w:pPr>
                    <w:pStyle w:val="BodyText"/>
                    <w:spacing w:after="60"/>
                  </w:pPr>
                  <w:r>
                    <w:t>Direct labour hours</w:t>
                  </w:r>
                </w:p>
              </w:tc>
              <w:tc>
                <w:tcPr>
                  <w:tcW w:w="1251" w:type="dxa"/>
                </w:tcPr>
                <w:p w:rsidR="00BA12E7" w:rsidRDefault="00BA12E7" w:rsidP="004A6336">
                  <w:pPr>
                    <w:pStyle w:val="BodyText"/>
                    <w:spacing w:after="60"/>
                    <w:jc w:val="right"/>
                  </w:pPr>
                  <w:r>
                    <w:t>3,175</w:t>
                  </w:r>
                </w:p>
              </w:tc>
              <w:tc>
                <w:tcPr>
                  <w:tcW w:w="1260" w:type="dxa"/>
                </w:tcPr>
                <w:p w:rsidR="00BA12E7" w:rsidRDefault="00BA12E7" w:rsidP="004A6336">
                  <w:pPr>
                    <w:pStyle w:val="BodyText"/>
                    <w:spacing w:after="60"/>
                    <w:jc w:val="right"/>
                  </w:pPr>
                  <w:r>
                    <w:t>3,800</w:t>
                  </w:r>
                </w:p>
              </w:tc>
              <w:tc>
                <w:tcPr>
                  <w:tcW w:w="1530" w:type="dxa"/>
                </w:tcPr>
                <w:p w:rsidR="00BA12E7" w:rsidRDefault="00BA12E7" w:rsidP="004A6336">
                  <w:pPr>
                    <w:pStyle w:val="BodyText"/>
                    <w:spacing w:after="60"/>
                    <w:jc w:val="right"/>
                  </w:pPr>
                </w:p>
              </w:tc>
              <w:tc>
                <w:tcPr>
                  <w:tcW w:w="1080" w:type="dxa"/>
                </w:tcPr>
                <w:p w:rsidR="00BA12E7" w:rsidRDefault="00BA12E7" w:rsidP="004A6336">
                  <w:pPr>
                    <w:pStyle w:val="BodyText"/>
                    <w:spacing w:after="60"/>
                    <w:jc w:val="right"/>
                  </w:pPr>
                </w:p>
              </w:tc>
            </w:tr>
            <w:tr w:rsidR="00BA12E7" w:rsidTr="004A6336">
              <w:tc>
                <w:tcPr>
                  <w:tcW w:w="2799" w:type="dxa"/>
                </w:tcPr>
                <w:p w:rsidR="00BA12E7" w:rsidRDefault="00BA12E7" w:rsidP="004A6336">
                  <w:pPr>
                    <w:pStyle w:val="BodyText"/>
                    <w:spacing w:after="60"/>
                  </w:pPr>
                  <w:r>
                    <w:t>Indirect materials budget (£)</w:t>
                  </w:r>
                </w:p>
              </w:tc>
              <w:tc>
                <w:tcPr>
                  <w:tcW w:w="1251" w:type="dxa"/>
                </w:tcPr>
                <w:p w:rsidR="00BA12E7" w:rsidRDefault="00BA12E7" w:rsidP="004A6336">
                  <w:pPr>
                    <w:pStyle w:val="BodyText"/>
                    <w:spacing w:after="60"/>
                    <w:jc w:val="right"/>
                  </w:pPr>
                  <w:r>
                    <w:t>7,000</w:t>
                  </w:r>
                </w:p>
              </w:tc>
              <w:tc>
                <w:tcPr>
                  <w:tcW w:w="1260" w:type="dxa"/>
                </w:tcPr>
                <w:p w:rsidR="00BA12E7" w:rsidRDefault="00BA12E7" w:rsidP="004A6336">
                  <w:pPr>
                    <w:pStyle w:val="BodyText"/>
                    <w:spacing w:after="60"/>
                    <w:jc w:val="right"/>
                  </w:pPr>
                  <w:r>
                    <w:t>8,000</w:t>
                  </w:r>
                </w:p>
              </w:tc>
              <w:tc>
                <w:tcPr>
                  <w:tcW w:w="1530" w:type="dxa"/>
                </w:tcPr>
                <w:p w:rsidR="00BA12E7" w:rsidRDefault="00BA12E7" w:rsidP="004A6336">
                  <w:pPr>
                    <w:pStyle w:val="BodyText"/>
                    <w:spacing w:after="60"/>
                    <w:jc w:val="right"/>
                  </w:pPr>
                  <w:r>
                    <w:t>3,000</w:t>
                  </w:r>
                </w:p>
              </w:tc>
              <w:tc>
                <w:tcPr>
                  <w:tcW w:w="1080" w:type="dxa"/>
                </w:tcPr>
                <w:p w:rsidR="00BA12E7" w:rsidRDefault="00BA12E7" w:rsidP="004A6336">
                  <w:pPr>
                    <w:pStyle w:val="BodyText"/>
                    <w:spacing w:after="60"/>
                    <w:jc w:val="right"/>
                  </w:pPr>
                  <w:r>
                    <w:t>2,000</w:t>
                  </w:r>
                </w:p>
              </w:tc>
            </w:tr>
            <w:tr w:rsidR="00BA12E7" w:rsidTr="004A6336">
              <w:tc>
                <w:tcPr>
                  <w:tcW w:w="2799" w:type="dxa"/>
                </w:tcPr>
                <w:p w:rsidR="00BA12E7" w:rsidRDefault="00BA12E7" w:rsidP="004A6336">
                  <w:pPr>
                    <w:pStyle w:val="BodyText"/>
                    <w:spacing w:after="60"/>
                  </w:pPr>
                  <w:r>
                    <w:t>Indirect labour budget (£)</w:t>
                  </w:r>
                </w:p>
              </w:tc>
              <w:tc>
                <w:tcPr>
                  <w:tcW w:w="1251" w:type="dxa"/>
                </w:tcPr>
                <w:p w:rsidR="00BA12E7" w:rsidRDefault="00BA12E7" w:rsidP="004A6336">
                  <w:pPr>
                    <w:pStyle w:val="BodyText"/>
                    <w:spacing w:after="60"/>
                    <w:jc w:val="right"/>
                  </w:pPr>
                  <w:r>
                    <w:t>1,600</w:t>
                  </w:r>
                </w:p>
              </w:tc>
              <w:tc>
                <w:tcPr>
                  <w:tcW w:w="1260" w:type="dxa"/>
                </w:tcPr>
                <w:p w:rsidR="00BA12E7" w:rsidRDefault="00BA12E7" w:rsidP="004A6336">
                  <w:pPr>
                    <w:pStyle w:val="BodyText"/>
                    <w:spacing w:after="60"/>
                    <w:jc w:val="right"/>
                  </w:pPr>
                  <w:r>
                    <w:t>2,220</w:t>
                  </w:r>
                </w:p>
              </w:tc>
              <w:tc>
                <w:tcPr>
                  <w:tcW w:w="1530" w:type="dxa"/>
                </w:tcPr>
                <w:p w:rsidR="00BA12E7" w:rsidRDefault="00BA12E7" w:rsidP="004A6336">
                  <w:pPr>
                    <w:pStyle w:val="BodyText"/>
                    <w:spacing w:after="60"/>
                    <w:jc w:val="right"/>
                  </w:pPr>
                  <w:r>
                    <w:t>11,200</w:t>
                  </w:r>
                </w:p>
              </w:tc>
              <w:tc>
                <w:tcPr>
                  <w:tcW w:w="1080" w:type="dxa"/>
                </w:tcPr>
                <w:p w:rsidR="00BA12E7" w:rsidRDefault="00BA12E7" w:rsidP="004A6336">
                  <w:pPr>
                    <w:pStyle w:val="BodyText"/>
                    <w:spacing w:after="60"/>
                    <w:jc w:val="right"/>
                  </w:pPr>
                  <w:r>
                    <w:t>1,500</w:t>
                  </w:r>
                </w:p>
              </w:tc>
            </w:tr>
          </w:tbl>
          <w:p w:rsidR="00BA12E7" w:rsidRPr="00BA12E7" w:rsidRDefault="00BA12E7" w:rsidP="004A6336">
            <w:pPr>
              <w:pStyle w:val="BodyTextA"/>
            </w:pPr>
            <w:r w:rsidRPr="00BA12E7">
              <w:t>Required:</w:t>
            </w:r>
          </w:p>
          <w:p w:rsidR="00BA12E7" w:rsidRDefault="00BA12E7" w:rsidP="004A6336">
            <w:pPr>
              <w:pStyle w:val="BodyTextA"/>
            </w:pPr>
            <w:r>
              <w:t>Calculate the total budgeted overheads for each department, entering the figures in the chart overleaf.</w:t>
            </w:r>
          </w:p>
          <w:p w:rsidR="00BA12E7" w:rsidRDefault="00BA12E7" w:rsidP="00BA12E7">
            <w:pPr>
              <w:pStyle w:val="BodyTextA"/>
            </w:pPr>
            <w:r>
              <w:t>Overhead Analysis Sheet</w:t>
            </w:r>
          </w:p>
          <w:tbl>
            <w:tblPr>
              <w:tblW w:w="849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tblPr>
            <w:tblGrid>
              <w:gridCol w:w="1247"/>
              <w:gridCol w:w="1246"/>
              <w:gridCol w:w="1246"/>
              <w:gridCol w:w="1246"/>
              <w:gridCol w:w="1246"/>
              <w:gridCol w:w="1246"/>
              <w:gridCol w:w="1013"/>
            </w:tblGrid>
            <w:tr w:rsidR="00BA12E7" w:rsidTr="004A6336">
              <w:trPr>
                <w:trHeight w:val="622"/>
              </w:trPr>
              <w:tc>
                <w:tcPr>
                  <w:tcW w:w="1247" w:type="dxa"/>
                </w:tcPr>
                <w:p w:rsidR="00BA12E7" w:rsidRDefault="00BA12E7" w:rsidP="004A6336">
                  <w:pPr>
                    <w:pStyle w:val="BodyTextA"/>
                    <w:jc w:val="center"/>
                    <w:rPr>
                      <w:b/>
                      <w:bCs/>
                      <w:sz w:val="16"/>
                      <w:szCs w:val="16"/>
                    </w:rPr>
                  </w:pPr>
                  <w:r>
                    <w:rPr>
                      <w:b/>
                      <w:bCs/>
                      <w:sz w:val="16"/>
                      <w:szCs w:val="16"/>
                    </w:rPr>
                    <w:t>Overhead</w:t>
                  </w:r>
                </w:p>
              </w:tc>
              <w:tc>
                <w:tcPr>
                  <w:tcW w:w="1246" w:type="dxa"/>
                </w:tcPr>
                <w:p w:rsidR="00BA12E7" w:rsidRDefault="00BA12E7" w:rsidP="004A6336">
                  <w:pPr>
                    <w:pStyle w:val="BodyTextA"/>
                    <w:jc w:val="center"/>
                    <w:rPr>
                      <w:b/>
                      <w:bCs/>
                      <w:sz w:val="16"/>
                      <w:szCs w:val="16"/>
                    </w:rPr>
                  </w:pPr>
                  <w:r>
                    <w:rPr>
                      <w:b/>
                      <w:bCs/>
                      <w:sz w:val="16"/>
                      <w:szCs w:val="16"/>
                    </w:rPr>
                    <w:t>Basis of apportion-</w:t>
                  </w:r>
                  <w:proofErr w:type="spellStart"/>
                  <w:r>
                    <w:rPr>
                      <w:b/>
                      <w:bCs/>
                      <w:sz w:val="16"/>
                      <w:szCs w:val="16"/>
                    </w:rPr>
                    <w:t>ment</w:t>
                  </w:r>
                  <w:proofErr w:type="spellEnd"/>
                </w:p>
              </w:tc>
              <w:tc>
                <w:tcPr>
                  <w:tcW w:w="1246" w:type="dxa"/>
                </w:tcPr>
                <w:p w:rsidR="00BA12E7" w:rsidRDefault="00BA12E7" w:rsidP="004A6336">
                  <w:pPr>
                    <w:pStyle w:val="BodyTextA"/>
                    <w:jc w:val="center"/>
                    <w:rPr>
                      <w:b/>
                      <w:bCs/>
                      <w:sz w:val="16"/>
                      <w:szCs w:val="16"/>
                    </w:rPr>
                  </w:pPr>
                  <w:r>
                    <w:rPr>
                      <w:b/>
                      <w:bCs/>
                      <w:sz w:val="16"/>
                      <w:szCs w:val="16"/>
                    </w:rPr>
                    <w:t>Assembly</w:t>
                  </w:r>
                </w:p>
              </w:tc>
              <w:tc>
                <w:tcPr>
                  <w:tcW w:w="1246" w:type="dxa"/>
                </w:tcPr>
                <w:p w:rsidR="00BA12E7" w:rsidRDefault="00BA12E7" w:rsidP="004A6336">
                  <w:pPr>
                    <w:pStyle w:val="BodyTextA"/>
                    <w:jc w:val="center"/>
                    <w:rPr>
                      <w:b/>
                      <w:bCs/>
                      <w:sz w:val="16"/>
                      <w:szCs w:val="16"/>
                    </w:rPr>
                  </w:pPr>
                  <w:r>
                    <w:rPr>
                      <w:b/>
                      <w:bCs/>
                      <w:sz w:val="16"/>
                      <w:szCs w:val="16"/>
                    </w:rPr>
                    <w:t>Finishing</w:t>
                  </w:r>
                </w:p>
              </w:tc>
              <w:tc>
                <w:tcPr>
                  <w:tcW w:w="1246" w:type="dxa"/>
                </w:tcPr>
                <w:p w:rsidR="00BA12E7" w:rsidRDefault="00BA12E7" w:rsidP="004A6336">
                  <w:pPr>
                    <w:pStyle w:val="BodyTextA"/>
                    <w:jc w:val="center"/>
                    <w:rPr>
                      <w:b/>
                      <w:bCs/>
                      <w:sz w:val="16"/>
                      <w:szCs w:val="16"/>
                    </w:rPr>
                  </w:pPr>
                  <w:r>
                    <w:rPr>
                      <w:b/>
                      <w:bCs/>
                      <w:sz w:val="16"/>
                      <w:szCs w:val="16"/>
                    </w:rPr>
                    <w:t>Maintenance</w:t>
                  </w:r>
                </w:p>
              </w:tc>
              <w:tc>
                <w:tcPr>
                  <w:tcW w:w="1246" w:type="dxa"/>
                </w:tcPr>
                <w:p w:rsidR="00BA12E7" w:rsidRDefault="00BA12E7" w:rsidP="004A6336">
                  <w:pPr>
                    <w:pStyle w:val="BodyTextA"/>
                    <w:jc w:val="center"/>
                    <w:rPr>
                      <w:b/>
                      <w:bCs/>
                      <w:sz w:val="16"/>
                      <w:szCs w:val="16"/>
                    </w:rPr>
                  </w:pPr>
                  <w:r>
                    <w:rPr>
                      <w:b/>
                      <w:bCs/>
                      <w:sz w:val="16"/>
                      <w:szCs w:val="16"/>
                    </w:rPr>
                    <w:t>Canteen</w:t>
                  </w:r>
                </w:p>
              </w:tc>
              <w:tc>
                <w:tcPr>
                  <w:tcW w:w="1013" w:type="dxa"/>
                </w:tcPr>
                <w:p w:rsidR="00BA12E7" w:rsidRDefault="00BA12E7" w:rsidP="004A6336">
                  <w:pPr>
                    <w:pStyle w:val="BodyTextA"/>
                    <w:jc w:val="center"/>
                    <w:rPr>
                      <w:b/>
                      <w:bCs/>
                      <w:sz w:val="16"/>
                      <w:szCs w:val="16"/>
                    </w:rPr>
                  </w:pPr>
                  <w:r>
                    <w:rPr>
                      <w:b/>
                      <w:bCs/>
                      <w:sz w:val="16"/>
                      <w:szCs w:val="16"/>
                    </w:rPr>
                    <w:t>Total</w:t>
                  </w:r>
                </w:p>
              </w:tc>
            </w:tr>
            <w:tr w:rsidR="00BA12E7" w:rsidTr="004A6336">
              <w:trPr>
                <w:trHeight w:val="855"/>
              </w:trPr>
              <w:tc>
                <w:tcPr>
                  <w:tcW w:w="1247" w:type="dxa"/>
                </w:tcPr>
                <w:p w:rsidR="00BA12E7" w:rsidRDefault="00BA12E7" w:rsidP="004A6336">
                  <w:pPr>
                    <w:pStyle w:val="Atable4pt4pt"/>
                    <w:rPr>
                      <w:sz w:val="18"/>
                      <w:szCs w:val="18"/>
                    </w:rPr>
                  </w:pPr>
                  <w:r>
                    <w:rPr>
                      <w:sz w:val="18"/>
                      <w:szCs w:val="18"/>
                    </w:rPr>
                    <w:t>Indirect materials</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Rent</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Electricity</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Machine depreciation</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lastRenderedPageBreak/>
                    <w:t>Indirect labour</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b/>
                      <w:sz w:val="18"/>
                      <w:szCs w:val="18"/>
                    </w:rPr>
                  </w:pPr>
                  <w:r>
                    <w:rPr>
                      <w:b/>
                      <w:sz w:val="18"/>
                      <w:szCs w:val="18"/>
                    </w:rPr>
                    <w:t>Total</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bl>
          <w:p w:rsidR="00BA12E7" w:rsidRPr="00BA12E7" w:rsidRDefault="00BA12E7" w:rsidP="004A6336">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lastRenderedPageBreak/>
              <w:t>EXERCISE 5 (continued)</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In the above example, suppose that the following additional information is available.</w:t>
            </w:r>
          </w:p>
          <w:p w:rsidR="00BA12E7" w:rsidRDefault="00BA12E7" w:rsidP="004A6336">
            <w:pPr>
              <w:pStyle w:val="BodyTextA"/>
            </w:pPr>
            <w:r>
              <w:t>Proportion of its time spent by the maintenance department servicing equipment in the other departments:</w:t>
            </w:r>
          </w:p>
          <w:p w:rsidR="00BA12E7" w:rsidRPr="00BA12E7" w:rsidRDefault="00BA12E7" w:rsidP="004A6336">
            <w:pPr>
              <w:pStyle w:val="BodyTextA"/>
            </w:pPr>
            <w:r w:rsidRPr="00BA12E7">
              <w:t>Assembly 60%, Finishing 40%.</w:t>
            </w:r>
          </w:p>
          <w:p w:rsidR="00BA12E7" w:rsidRPr="00BA12E7" w:rsidRDefault="00BA12E7" w:rsidP="004A6336">
            <w:pPr>
              <w:pStyle w:val="BodyTextA"/>
            </w:pPr>
            <w:r w:rsidRPr="00BA12E7">
              <w:t>Canteen department's overheads to be apportioned on the basis of number of employees in the other three departments.</w:t>
            </w:r>
          </w:p>
          <w:p w:rsidR="00BA12E7" w:rsidRPr="00BA12E7" w:rsidRDefault="00BA12E7" w:rsidP="004A6336">
            <w:pPr>
              <w:pStyle w:val="BodyTextA"/>
            </w:pPr>
            <w:r w:rsidRPr="00BA12E7">
              <w:t>Required:</w:t>
            </w:r>
          </w:p>
          <w:p w:rsidR="00BA12E7" w:rsidRDefault="00BA12E7" w:rsidP="00BA12E7">
            <w:pPr>
              <w:pStyle w:val="BodyTextA"/>
            </w:pPr>
            <w:r>
              <w:t>(a)</w:t>
            </w:r>
            <w:r>
              <w:tab/>
              <w:t>Re-apportion service centre costs to the production departments.</w:t>
            </w:r>
          </w:p>
          <w:p w:rsidR="00BA12E7" w:rsidRDefault="00BA12E7" w:rsidP="00BA12E7">
            <w:pPr>
              <w:pStyle w:val="BodyTextA"/>
            </w:pPr>
            <w:r>
              <w:t>(b)</w:t>
            </w:r>
            <w:r>
              <w:tab/>
              <w:t>A suitable basis for sharing out canteen costs is the number of employees.</w:t>
            </w:r>
          </w:p>
          <w:p w:rsidR="00BA12E7" w:rsidRDefault="00BA12E7" w:rsidP="00BA12E7">
            <w:pPr>
              <w:pStyle w:val="BodyTextA"/>
            </w:pPr>
            <w:r>
              <w:t>(c)</w:t>
            </w:r>
            <w:r>
              <w:tab/>
              <w:t>A suitable basis for sharing out the maintenance costs is the time spent servicing equipment.</w:t>
            </w:r>
          </w:p>
          <w:p w:rsidR="00BA12E7" w:rsidRDefault="00BA12E7" w:rsidP="00BA12E7">
            <w:pPr>
              <w:pStyle w:val="BodyTextA"/>
            </w:pPr>
            <w:r>
              <w:t>(d)</w:t>
            </w:r>
            <w:r>
              <w:tab/>
              <w:t>First re-apportion canteen costs since they do work for maintenance but maintenance do NOT work for the canteen.</w:t>
            </w:r>
          </w:p>
          <w:tbl>
            <w:tblPr>
              <w:tblW w:w="8364" w:type="dxa"/>
              <w:tblInd w:w="108"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tblPr>
            <w:tblGrid>
              <w:gridCol w:w="1350"/>
              <w:gridCol w:w="1060"/>
              <w:gridCol w:w="1276"/>
              <w:gridCol w:w="1174"/>
              <w:gridCol w:w="1519"/>
              <w:gridCol w:w="1134"/>
              <w:gridCol w:w="851"/>
            </w:tblGrid>
            <w:tr w:rsidR="00BA12E7" w:rsidTr="004A6336">
              <w:tc>
                <w:tcPr>
                  <w:tcW w:w="1350" w:type="dxa"/>
                </w:tcPr>
                <w:p w:rsidR="00BA12E7" w:rsidRDefault="00BA12E7" w:rsidP="004A6336">
                  <w:pPr>
                    <w:pStyle w:val="BodyTextA"/>
                    <w:rPr>
                      <w:b/>
                      <w:bCs/>
                    </w:rPr>
                  </w:pPr>
                  <w:r>
                    <w:rPr>
                      <w:b/>
                      <w:bCs/>
                    </w:rPr>
                    <w:t>Overhead</w:t>
                  </w:r>
                </w:p>
              </w:tc>
              <w:tc>
                <w:tcPr>
                  <w:tcW w:w="1060" w:type="dxa"/>
                </w:tcPr>
                <w:p w:rsidR="00BA12E7" w:rsidRDefault="00BA12E7" w:rsidP="004A6336">
                  <w:pPr>
                    <w:pStyle w:val="BodyTextA"/>
                    <w:rPr>
                      <w:b/>
                      <w:bCs/>
                    </w:rPr>
                  </w:pPr>
                  <w:r>
                    <w:rPr>
                      <w:b/>
                      <w:bCs/>
                    </w:rPr>
                    <w:t>Basis</w:t>
                  </w:r>
                </w:p>
              </w:tc>
              <w:tc>
                <w:tcPr>
                  <w:tcW w:w="1276" w:type="dxa"/>
                </w:tcPr>
                <w:p w:rsidR="00BA12E7" w:rsidRDefault="00BA12E7" w:rsidP="004A6336">
                  <w:pPr>
                    <w:pStyle w:val="BodyTextA"/>
                    <w:rPr>
                      <w:b/>
                      <w:bCs/>
                    </w:rPr>
                  </w:pPr>
                  <w:r>
                    <w:rPr>
                      <w:b/>
                      <w:bCs/>
                    </w:rPr>
                    <w:t>Assembly</w:t>
                  </w:r>
                </w:p>
              </w:tc>
              <w:tc>
                <w:tcPr>
                  <w:tcW w:w="1174" w:type="dxa"/>
                </w:tcPr>
                <w:p w:rsidR="00BA12E7" w:rsidRDefault="00BA12E7" w:rsidP="004A6336">
                  <w:pPr>
                    <w:pStyle w:val="BodyTextA"/>
                    <w:rPr>
                      <w:b/>
                      <w:bCs/>
                    </w:rPr>
                  </w:pPr>
                  <w:r>
                    <w:rPr>
                      <w:b/>
                      <w:bCs/>
                    </w:rPr>
                    <w:t>Finishing</w:t>
                  </w:r>
                </w:p>
              </w:tc>
              <w:tc>
                <w:tcPr>
                  <w:tcW w:w="1519" w:type="dxa"/>
                </w:tcPr>
                <w:p w:rsidR="00BA12E7" w:rsidRDefault="00BA12E7" w:rsidP="004A6336">
                  <w:pPr>
                    <w:pStyle w:val="BodyTextA"/>
                    <w:rPr>
                      <w:b/>
                      <w:bCs/>
                    </w:rPr>
                  </w:pPr>
                  <w:r>
                    <w:rPr>
                      <w:b/>
                      <w:bCs/>
                    </w:rPr>
                    <w:t>Maintenance</w:t>
                  </w:r>
                </w:p>
              </w:tc>
              <w:tc>
                <w:tcPr>
                  <w:tcW w:w="1134" w:type="dxa"/>
                </w:tcPr>
                <w:p w:rsidR="00BA12E7" w:rsidRDefault="00BA12E7" w:rsidP="004A6336">
                  <w:pPr>
                    <w:pStyle w:val="BodyTextA"/>
                    <w:rPr>
                      <w:b/>
                      <w:bCs/>
                    </w:rPr>
                  </w:pPr>
                  <w:r>
                    <w:rPr>
                      <w:b/>
                      <w:bCs/>
                    </w:rPr>
                    <w:t>Canteen</w:t>
                  </w:r>
                </w:p>
              </w:tc>
              <w:tc>
                <w:tcPr>
                  <w:tcW w:w="851" w:type="dxa"/>
                </w:tcPr>
                <w:p w:rsidR="00BA12E7" w:rsidRDefault="00BA12E7" w:rsidP="004A6336">
                  <w:pPr>
                    <w:pStyle w:val="BodyTextA"/>
                    <w:rPr>
                      <w:b/>
                      <w:bCs/>
                    </w:rPr>
                  </w:pPr>
                  <w:r>
                    <w:rPr>
                      <w:b/>
                      <w:bCs/>
                    </w:rPr>
                    <w:t>Total</w:t>
                  </w: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Total from above</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Canteen</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Sub-total</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Maintenance</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Total</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bl>
          <w:p w:rsidR="00BA12E7" w:rsidRDefault="00BA12E7" w:rsidP="004A6336">
            <w:pPr>
              <w:pStyle w:val="BodyTextA"/>
            </w:pPr>
            <w:r w:rsidRPr="00BA12E7">
              <w:t>Required:</w:t>
            </w:r>
          </w:p>
          <w:p w:rsidR="00BA12E7" w:rsidRDefault="00BA12E7" w:rsidP="004A6336">
            <w:pPr>
              <w:pStyle w:val="BodyTextA"/>
            </w:pPr>
            <w:r>
              <w:t>Calculate the Overhead Absorption Rate for the two production departments, using a labour hour basis.</w:t>
            </w:r>
          </w:p>
          <w:p w:rsidR="00BA12E7" w:rsidRDefault="00BA12E7" w:rsidP="004A6336">
            <w:pPr>
              <w:pStyle w:val="BodyTextA"/>
            </w:pPr>
            <w:r>
              <w:t xml:space="preserve">One of the products produced by LS Ltd is product A.  This product takes 15 minutes of labour time in the assembly department and 30 minutes of labour time in the finishing department.  </w:t>
            </w:r>
          </w:p>
          <w:p w:rsidR="00BA12E7" w:rsidRPr="00BA12E7" w:rsidRDefault="00BA12E7" w:rsidP="004A6336">
            <w:pPr>
              <w:pStyle w:val="BodyTextA"/>
            </w:pPr>
            <w:r w:rsidRPr="00BA12E7">
              <w:t>Required:</w:t>
            </w:r>
          </w:p>
          <w:p w:rsidR="00BA12E7" w:rsidRPr="00BA12E7" w:rsidRDefault="00BA12E7" w:rsidP="004A6336">
            <w:pPr>
              <w:pStyle w:val="BodyTextA"/>
            </w:pPr>
            <w:r>
              <w:t>What is the departmental overhead charge per unit for product A?</w:t>
            </w:r>
          </w:p>
        </w:tc>
      </w:tr>
      <w:tr w:rsidR="00BA12E7" w:rsidTr="00BA12E7">
        <w:trPr>
          <w:gridAfter w:val="1"/>
          <w:wAfter w:w="282" w:type="pct"/>
        </w:trPr>
        <w:tc>
          <w:tcPr>
            <w:tcW w:w="4718" w:type="pct"/>
            <w:tcBorders>
              <w:bottom w:val="single" w:sz="8" w:space="0" w:color="auto"/>
            </w:tcBorders>
            <w:shd w:val="clear" w:color="auto" w:fill="D9D9D9"/>
          </w:tcPr>
          <w:p w:rsidR="005A5CD9" w:rsidRDefault="005A5CD9" w:rsidP="004A6336">
            <w:pPr>
              <w:pStyle w:val="ExerciseHeading"/>
            </w:pPr>
          </w:p>
          <w:p w:rsidR="005A5CD9" w:rsidRDefault="005A5CD9" w:rsidP="004A6336">
            <w:pPr>
              <w:pStyle w:val="ExerciseHeading"/>
            </w:pPr>
          </w:p>
          <w:p w:rsidR="005A5CD9" w:rsidRDefault="005A5CD9" w:rsidP="004A6336">
            <w:pPr>
              <w:pStyle w:val="ExerciseHeading"/>
            </w:pPr>
          </w:p>
          <w:p w:rsidR="005A5CD9" w:rsidRDefault="005A5CD9" w:rsidP="004A6336">
            <w:pPr>
              <w:pStyle w:val="ExerciseHeading"/>
            </w:pPr>
          </w:p>
          <w:p w:rsidR="00BA12E7" w:rsidRDefault="00BA12E7" w:rsidP="004A6336">
            <w:pPr>
              <w:pStyle w:val="ExerciseHeading"/>
            </w:pPr>
            <w:r>
              <w:lastRenderedPageBreak/>
              <w:t>EXERCISE 6</w:t>
            </w:r>
          </w:p>
        </w:tc>
      </w:tr>
      <w:tr w:rsidR="005A5CD9" w:rsidTr="00BA12E7">
        <w:trPr>
          <w:gridAfter w:val="1"/>
          <w:wAfter w:w="282" w:type="pct"/>
        </w:trPr>
        <w:tc>
          <w:tcPr>
            <w:tcW w:w="4718" w:type="pct"/>
            <w:tcBorders>
              <w:bottom w:val="single" w:sz="8" w:space="0" w:color="auto"/>
            </w:tcBorders>
            <w:shd w:val="clear" w:color="auto" w:fill="D9D9D9"/>
          </w:tcPr>
          <w:p w:rsidR="005A5CD9" w:rsidRDefault="005A5CD9" w:rsidP="004A6336">
            <w:pPr>
              <w:pStyle w:val="ExerciseHeading"/>
            </w:pPr>
          </w:p>
        </w:tc>
      </w:tr>
      <w:tr w:rsidR="00BA12E7" w:rsidTr="00BA12E7">
        <w:trPr>
          <w:gridAfter w:val="1"/>
          <w:wAfter w:w="282" w:type="pct"/>
        </w:trPr>
        <w:tc>
          <w:tcPr>
            <w:tcW w:w="4718" w:type="pct"/>
          </w:tcPr>
          <w:p w:rsidR="00BA12E7" w:rsidRDefault="00BA12E7" w:rsidP="004C6CE4">
            <w:pPr>
              <w:pStyle w:val="BodyTextA"/>
              <w:spacing w:beforeLines="60" w:after="60"/>
            </w:pPr>
            <w:r>
              <w:t>ABC Limited is preparing its departmental budgets and product cost estimates for the year ending 31 December 20X5.  The company has three manufacturing departments – Machining, Assembly, and Finishing – together with a production maintenance department.</w:t>
            </w:r>
          </w:p>
          <w:p w:rsidR="00BA12E7" w:rsidRDefault="00BA12E7" w:rsidP="004C6CE4">
            <w:pPr>
              <w:pStyle w:val="BodyTextA"/>
              <w:spacing w:beforeLines="60" w:after="60"/>
            </w:pPr>
            <w:r>
              <w:t>The following costs and related data have been estimated for the year to 31 December 20X5:</w:t>
            </w:r>
          </w:p>
          <w:tbl>
            <w:tblPr>
              <w:tblW w:w="8497" w:type="dxa"/>
              <w:tblLook w:val="0000"/>
            </w:tblPr>
            <w:tblGrid>
              <w:gridCol w:w="2087"/>
              <w:gridCol w:w="1416"/>
              <w:gridCol w:w="1416"/>
              <w:gridCol w:w="1063"/>
              <w:gridCol w:w="1520"/>
              <w:gridCol w:w="995"/>
            </w:tblGrid>
            <w:tr w:rsidR="00BA12E7" w:rsidTr="004A6336">
              <w:tc>
                <w:tcPr>
                  <w:tcW w:w="2091" w:type="dxa"/>
                </w:tcPr>
                <w:p w:rsidR="00BA12E7" w:rsidRDefault="00BA12E7" w:rsidP="004A6336">
                  <w:pPr>
                    <w:pStyle w:val="body"/>
                    <w:jc w:val="center"/>
                    <w:rPr>
                      <w:rFonts w:ascii="Arial" w:hAnsi="Arial" w:cs="Arial"/>
                      <w:sz w:val="18"/>
                      <w:szCs w:val="18"/>
                    </w:rPr>
                  </w:pPr>
                </w:p>
              </w:tc>
              <w:tc>
                <w:tcPr>
                  <w:tcW w:w="1417"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Machining</w:t>
                  </w:r>
                </w:p>
              </w:tc>
              <w:tc>
                <w:tcPr>
                  <w:tcW w:w="1418"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Assembly</w:t>
                  </w:r>
                </w:p>
              </w:tc>
              <w:tc>
                <w:tcPr>
                  <w:tcW w:w="1053"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Finishing</w:t>
                  </w:r>
                </w:p>
              </w:tc>
              <w:tc>
                <w:tcPr>
                  <w:tcW w:w="1522"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Maintenance</w:t>
                  </w:r>
                </w:p>
              </w:tc>
              <w:tc>
                <w:tcPr>
                  <w:tcW w:w="996"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Total</w:t>
                  </w:r>
                </w:p>
              </w:tc>
            </w:tr>
            <w:tr w:rsidR="00BA12E7" w:rsidTr="004A6336">
              <w:tc>
                <w:tcPr>
                  <w:tcW w:w="2091" w:type="dxa"/>
                </w:tcPr>
                <w:p w:rsidR="00BA12E7" w:rsidRDefault="00BA12E7" w:rsidP="004A6336">
                  <w:pPr>
                    <w:pStyle w:val="body"/>
                    <w:spacing w:before="20" w:after="20"/>
                    <w:rPr>
                      <w:rFonts w:ascii="Arial" w:hAnsi="Arial" w:cs="Arial"/>
                      <w:b/>
                    </w:rPr>
                  </w:pPr>
                  <w:r>
                    <w:rPr>
                      <w:rFonts w:ascii="Arial" w:hAnsi="Arial" w:cs="Arial"/>
                      <w:b/>
                    </w:rPr>
                    <w:t>Costs:</w:t>
                  </w:r>
                </w:p>
              </w:tc>
              <w:tc>
                <w:tcPr>
                  <w:tcW w:w="1417"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418"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053"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522"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996" w:type="dxa"/>
                </w:tcPr>
                <w:p w:rsidR="00BA12E7" w:rsidRDefault="00BA12E7" w:rsidP="004A6336">
                  <w:pPr>
                    <w:pStyle w:val="body"/>
                    <w:spacing w:before="20" w:after="20"/>
                    <w:jc w:val="center"/>
                    <w:rPr>
                      <w:rFonts w:ascii="Arial" w:hAnsi="Arial" w:cs="Arial"/>
                      <w:bCs/>
                    </w:rPr>
                  </w:pPr>
                  <w:r>
                    <w:rPr>
                      <w:rFonts w:ascii="Arial" w:hAnsi="Arial" w:cs="Arial"/>
                      <w:bCs/>
                    </w:rPr>
                    <w:t>£000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wages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60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32</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72</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164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Indirect wages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6</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54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materials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80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10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94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Indirect materials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15</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20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47</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Power</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102</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Light and heat</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Depreciation</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7</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Rent and rates</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25</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Personnel</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63</w:t>
                  </w:r>
                </w:p>
              </w:tc>
            </w:tr>
            <w:tr w:rsidR="00BA12E7" w:rsidTr="004A6336">
              <w:tc>
                <w:tcPr>
                  <w:tcW w:w="2091" w:type="dxa"/>
                </w:tcPr>
                <w:p w:rsidR="00BA12E7" w:rsidRDefault="00BA12E7" w:rsidP="004A6336">
                  <w:pPr>
                    <w:pStyle w:val="body"/>
                    <w:spacing w:before="20" w:after="20"/>
                    <w:rPr>
                      <w:rFonts w:ascii="Arial" w:hAnsi="Arial" w:cs="Arial"/>
                      <w:b/>
                    </w:rPr>
                  </w:pP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p>
              </w:tc>
            </w:tr>
            <w:tr w:rsidR="00BA12E7" w:rsidTr="004A6336">
              <w:tc>
                <w:tcPr>
                  <w:tcW w:w="2091" w:type="dxa"/>
                </w:tcPr>
                <w:p w:rsidR="00BA12E7" w:rsidRDefault="00BA12E7" w:rsidP="004A6336">
                  <w:pPr>
                    <w:pStyle w:val="body"/>
                    <w:spacing w:before="20" w:after="20"/>
                    <w:rPr>
                      <w:rFonts w:ascii="Arial" w:hAnsi="Arial" w:cs="Arial"/>
                      <w:b/>
                    </w:rPr>
                  </w:pPr>
                  <w:r>
                    <w:rPr>
                      <w:rFonts w:ascii="Arial" w:hAnsi="Arial" w:cs="Arial"/>
                      <w:b/>
                    </w:rPr>
                    <w:t>Other data:</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labour hours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12,000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8,000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16,000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6,000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42,000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Machine hours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40,000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5,000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6,000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51,000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Employees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6</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21</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Floor area (m</w:t>
                  </w:r>
                  <w:r>
                    <w:rPr>
                      <w:rFonts w:ascii="Arial" w:hAnsi="Arial" w:cs="Arial"/>
                      <w:vertAlign w:val="superscript"/>
                    </w:rPr>
                    <w:t>2</w:t>
                  </w:r>
                  <w:r>
                    <w:rPr>
                      <w:rFonts w:ascii="Arial" w:hAnsi="Arial" w:cs="Arial"/>
                    </w:rPr>
                    <w:t>)</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300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Net book value of fixed assets (£)</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20,000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8,000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3,000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4,000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35,000</w:t>
                  </w:r>
                </w:p>
              </w:tc>
            </w:tr>
          </w:tbl>
          <w:p w:rsidR="00BA12E7" w:rsidRDefault="00BA12E7" w:rsidP="004A6336">
            <w:pPr>
              <w:pStyle w:val="CNTableText"/>
            </w:pPr>
          </w:p>
          <w:p w:rsidR="00BA12E7" w:rsidRDefault="00BA12E7" w:rsidP="004A6336">
            <w:pPr>
              <w:pStyle w:val="CNTableText"/>
            </w:pPr>
            <w:r>
              <w:t xml:space="preserve">The maintenance department is expected to spend 60% of its time working for the machining department, with the remainder of its time being shared equally between </w:t>
            </w:r>
            <w:proofErr w:type="gramStart"/>
            <w:r>
              <w:t>assembly</w:t>
            </w:r>
            <w:proofErr w:type="gramEnd"/>
            <w:r>
              <w:t xml:space="preserve"> and finishing.</w:t>
            </w:r>
          </w:p>
          <w:p w:rsidR="00BA12E7" w:rsidRDefault="00BA12E7" w:rsidP="004A6336">
            <w:pPr>
              <w:pStyle w:val="CNTableText"/>
              <w:rPr>
                <w:b/>
              </w:rPr>
            </w:pPr>
            <w:r>
              <w:rPr>
                <w:b/>
              </w:rPr>
              <w:t xml:space="preserve">You are required to: </w:t>
            </w:r>
          </w:p>
          <w:p w:rsidR="00BA12E7" w:rsidRDefault="00BA12E7" w:rsidP="004A6336">
            <w:pPr>
              <w:pStyle w:val="CNabullet"/>
              <w:rPr>
                <w:b/>
              </w:rPr>
            </w:pPr>
            <w:r>
              <w:t xml:space="preserve">(a) </w:t>
            </w:r>
            <w:r>
              <w:tab/>
              <w:t>prepare an overhead analysis sheet for ABC Limited for its year ending 31 December 20X5;</w:t>
            </w:r>
            <w:r>
              <w:tab/>
            </w:r>
            <w:r>
              <w:rPr>
                <w:b/>
              </w:rPr>
              <w:t xml:space="preserve"> </w:t>
            </w:r>
            <w:r>
              <w:rPr>
                <w:b/>
              </w:rPr>
              <w:tab/>
              <w:t>(5 marks)</w:t>
            </w:r>
          </w:p>
          <w:p w:rsidR="00BA12E7" w:rsidRDefault="00BA12E7" w:rsidP="004A6336">
            <w:pPr>
              <w:pStyle w:val="CNabullet"/>
              <w:rPr>
                <w:b/>
              </w:rPr>
            </w:pPr>
            <w:r>
              <w:t xml:space="preserve">(b) </w:t>
            </w:r>
            <w:r>
              <w:tab/>
              <w:t>calculate appropriate overhead absorption rates for the machining, assembly and finishing departments;</w:t>
            </w:r>
            <w:r>
              <w:tab/>
            </w:r>
            <w:r>
              <w:rPr>
                <w:b/>
              </w:rPr>
              <w:t>(3 marks)</w:t>
            </w:r>
          </w:p>
          <w:p w:rsidR="005A5CD9" w:rsidRDefault="005A5CD9" w:rsidP="005A5CD9">
            <w:pPr>
              <w:pStyle w:val="CNabullet"/>
              <w:rPr>
                <w:b/>
                <w:bCs/>
              </w:rPr>
            </w:pPr>
          </w:p>
          <w:p w:rsidR="00BA12E7" w:rsidRDefault="00BA12E7" w:rsidP="004A6336">
            <w:pPr>
              <w:pStyle w:val="BodyTextA"/>
              <w:rPr>
                <w:b/>
                <w:bCs/>
              </w:rPr>
            </w:pPr>
          </w:p>
        </w:tc>
      </w:tr>
    </w:tbl>
    <w:p w:rsidR="005A5CD9" w:rsidRDefault="005A5CD9" w:rsidP="00BA12E7">
      <w:pPr>
        <w:pStyle w:val="Heading1A"/>
        <w:spacing w:before="400"/>
      </w:pPr>
    </w:p>
    <w:p w:rsidR="005A5CD9" w:rsidRDefault="005A5CD9" w:rsidP="00BA12E7">
      <w:pPr>
        <w:pStyle w:val="Heading1A"/>
        <w:spacing w:before="400"/>
      </w:pPr>
    </w:p>
    <w:p w:rsidR="005A5CD9" w:rsidRDefault="005A5CD9" w:rsidP="00BA12E7">
      <w:pPr>
        <w:pStyle w:val="Heading1A"/>
        <w:spacing w:before="400"/>
      </w:pPr>
    </w:p>
    <w:p w:rsidR="00BA12E7" w:rsidRDefault="00BA12E7" w:rsidP="005A5CD9">
      <w:pPr>
        <w:pStyle w:val="Heading1A"/>
        <w:spacing w:before="400"/>
        <w:ind w:left="0"/>
      </w:pPr>
      <w:r>
        <w:t xml:space="preserve"> MULTIPLE CHOICE QUESTIONS</w:t>
      </w:r>
    </w:p>
    <w:p w:rsidR="00BA12E7" w:rsidRDefault="00BA12E7" w:rsidP="00BA12E7">
      <w:pPr>
        <w:pStyle w:val="CNabullet"/>
        <w:numPr>
          <w:ilvl w:val="0"/>
          <w:numId w:val="1"/>
        </w:numPr>
      </w:pPr>
      <w:r>
        <w:t>The process of cost apportionment is carried out so that:</w:t>
      </w:r>
    </w:p>
    <w:p w:rsidR="00BA12E7" w:rsidRDefault="00BA12E7" w:rsidP="00BA12E7">
      <w:pPr>
        <w:pStyle w:val="CNIndenti"/>
      </w:pPr>
      <w:proofErr w:type="gramStart"/>
      <w:r>
        <w:t xml:space="preserve">A  </w:t>
      </w:r>
      <w:r>
        <w:tab/>
        <w:t>costs</w:t>
      </w:r>
      <w:proofErr w:type="gramEnd"/>
      <w:r>
        <w:t xml:space="preserve"> may be controlled.</w:t>
      </w:r>
    </w:p>
    <w:p w:rsidR="00BA12E7" w:rsidRDefault="00BA12E7" w:rsidP="00BA12E7">
      <w:pPr>
        <w:pStyle w:val="CNIndenti"/>
      </w:pPr>
      <w:r>
        <w:t xml:space="preserve">B  </w:t>
      </w:r>
      <w:r>
        <w:tab/>
        <w:t>cost units gather overheads as they pass through cost centres.</w:t>
      </w:r>
    </w:p>
    <w:p w:rsidR="00BA12E7" w:rsidRDefault="00BA12E7" w:rsidP="00BA12E7">
      <w:pPr>
        <w:pStyle w:val="CNIndenti"/>
      </w:pPr>
      <w:r>
        <w:t xml:space="preserve">C  </w:t>
      </w:r>
      <w:r>
        <w:tab/>
        <w:t>whole items of cost can be charged to cost centres.</w:t>
      </w:r>
    </w:p>
    <w:p w:rsidR="00BA12E7" w:rsidRDefault="00BA12E7" w:rsidP="00BA12E7">
      <w:pPr>
        <w:pStyle w:val="CNIndenti"/>
      </w:pPr>
      <w:r>
        <w:t xml:space="preserve">D  </w:t>
      </w:r>
      <w:r>
        <w:tab/>
        <w:t>common costs are shared among cost centres.</w:t>
      </w:r>
    </w:p>
    <w:p w:rsidR="00BA12E7" w:rsidRDefault="00BA12E7" w:rsidP="00BA12E7">
      <w:pPr>
        <w:pStyle w:val="CNabullet"/>
        <w:numPr>
          <w:ilvl w:val="0"/>
          <w:numId w:val="1"/>
        </w:numPr>
      </w:pPr>
      <w:proofErr w:type="spellStart"/>
      <w:r>
        <w:t>Datron</w:t>
      </w:r>
      <w:proofErr w:type="spellEnd"/>
      <w:r>
        <w:t xml:space="preserve"> Ltd has just allocated and apportioned all its overheads between its two production departments (P1 and P2) and two service departments (S1 and S2) as follows (in £000):</w:t>
      </w:r>
    </w:p>
    <w:tbl>
      <w:tblPr>
        <w:tblW w:w="0" w:type="auto"/>
        <w:tblInd w:w="675" w:type="dxa"/>
        <w:tblLayout w:type="fixed"/>
        <w:tblLook w:val="0000"/>
      </w:tblPr>
      <w:tblGrid>
        <w:gridCol w:w="3069"/>
        <w:gridCol w:w="900"/>
        <w:gridCol w:w="1026"/>
        <w:gridCol w:w="954"/>
        <w:gridCol w:w="1080"/>
      </w:tblGrid>
      <w:tr w:rsidR="00BA12E7" w:rsidTr="004A6336">
        <w:tc>
          <w:tcPr>
            <w:tcW w:w="3069" w:type="dxa"/>
          </w:tcPr>
          <w:p w:rsidR="00BA12E7" w:rsidRDefault="00BA12E7" w:rsidP="004A6336">
            <w:pPr>
              <w:pStyle w:val="BodyTextA"/>
            </w:pPr>
            <w:r>
              <w:t>Overhead</w:t>
            </w:r>
          </w:p>
        </w:tc>
        <w:tc>
          <w:tcPr>
            <w:tcW w:w="900" w:type="dxa"/>
          </w:tcPr>
          <w:p w:rsidR="00BA12E7" w:rsidRDefault="00BA12E7" w:rsidP="004A6336">
            <w:pPr>
              <w:pStyle w:val="BodyTextA"/>
              <w:jc w:val="center"/>
            </w:pPr>
            <w:r>
              <w:t>P1</w:t>
            </w:r>
          </w:p>
        </w:tc>
        <w:tc>
          <w:tcPr>
            <w:tcW w:w="1026" w:type="dxa"/>
          </w:tcPr>
          <w:p w:rsidR="00BA12E7" w:rsidRDefault="00BA12E7" w:rsidP="004A6336">
            <w:pPr>
              <w:pStyle w:val="BodyTextA"/>
              <w:jc w:val="center"/>
            </w:pPr>
            <w:r>
              <w:t>P2</w:t>
            </w:r>
          </w:p>
        </w:tc>
        <w:tc>
          <w:tcPr>
            <w:tcW w:w="954" w:type="dxa"/>
          </w:tcPr>
          <w:p w:rsidR="00BA12E7" w:rsidRDefault="00BA12E7" w:rsidP="004A6336">
            <w:pPr>
              <w:pStyle w:val="BodyTextA"/>
              <w:jc w:val="center"/>
            </w:pPr>
            <w:r>
              <w:t>S1</w:t>
            </w:r>
          </w:p>
        </w:tc>
        <w:tc>
          <w:tcPr>
            <w:tcW w:w="1080" w:type="dxa"/>
          </w:tcPr>
          <w:p w:rsidR="00BA12E7" w:rsidRDefault="00BA12E7" w:rsidP="004A6336">
            <w:pPr>
              <w:pStyle w:val="BodyTextA"/>
              <w:jc w:val="center"/>
            </w:pPr>
            <w:r>
              <w:t>S2</w:t>
            </w:r>
          </w:p>
        </w:tc>
      </w:tr>
      <w:tr w:rsidR="00BA12E7" w:rsidTr="004A6336">
        <w:tc>
          <w:tcPr>
            <w:tcW w:w="3069" w:type="dxa"/>
          </w:tcPr>
          <w:p w:rsidR="00BA12E7" w:rsidRDefault="00BA12E7" w:rsidP="004A6336">
            <w:pPr>
              <w:pStyle w:val="BodyTextA"/>
            </w:pPr>
            <w:r>
              <w:t xml:space="preserve">Allocated and apportioned </w:t>
            </w:r>
          </w:p>
        </w:tc>
        <w:tc>
          <w:tcPr>
            <w:tcW w:w="900" w:type="dxa"/>
          </w:tcPr>
          <w:p w:rsidR="00BA12E7" w:rsidRDefault="00BA12E7" w:rsidP="004A6336">
            <w:pPr>
              <w:pStyle w:val="BodyTextA"/>
              <w:jc w:val="center"/>
            </w:pPr>
            <w:r>
              <w:t>257</w:t>
            </w:r>
          </w:p>
        </w:tc>
        <w:tc>
          <w:tcPr>
            <w:tcW w:w="1026" w:type="dxa"/>
          </w:tcPr>
          <w:p w:rsidR="00BA12E7" w:rsidRDefault="00BA12E7" w:rsidP="004A6336">
            <w:pPr>
              <w:pStyle w:val="BodyTextA"/>
              <w:jc w:val="center"/>
            </w:pPr>
            <w:r>
              <w:t>378</w:t>
            </w:r>
          </w:p>
        </w:tc>
        <w:tc>
          <w:tcPr>
            <w:tcW w:w="954" w:type="dxa"/>
          </w:tcPr>
          <w:p w:rsidR="00BA12E7" w:rsidRDefault="00BA12E7" w:rsidP="004A6336">
            <w:pPr>
              <w:pStyle w:val="BodyTextA"/>
              <w:jc w:val="center"/>
            </w:pPr>
            <w:r>
              <w:t>107</w:t>
            </w:r>
          </w:p>
        </w:tc>
        <w:tc>
          <w:tcPr>
            <w:tcW w:w="1080" w:type="dxa"/>
          </w:tcPr>
          <w:p w:rsidR="00BA12E7" w:rsidRDefault="00BA12E7" w:rsidP="004A6336">
            <w:pPr>
              <w:pStyle w:val="BodyTextA"/>
              <w:jc w:val="center"/>
            </w:pPr>
            <w:r>
              <w:t>78</w:t>
            </w:r>
          </w:p>
        </w:tc>
      </w:tr>
    </w:tbl>
    <w:p w:rsidR="00BA12E7" w:rsidRDefault="00BA12E7" w:rsidP="00BA12E7">
      <w:pPr>
        <w:pStyle w:val="CNIndent"/>
      </w:pPr>
      <w:r>
        <w:t>S1 provides service to P1 and P2 in the ratio 2:1.  S2 provides service to the other 3 departments as follows:  P1: 1/3, P2: 1/2, S1: 1/6.</w:t>
      </w:r>
    </w:p>
    <w:p w:rsidR="00BA12E7" w:rsidRDefault="00BA12E7" w:rsidP="00BA12E7">
      <w:pPr>
        <w:pStyle w:val="CNIndent"/>
      </w:pPr>
      <w:r>
        <w:t xml:space="preserve">The total overheads to be allocated and apportioned to the production departments after the reallocation of service </w:t>
      </w:r>
      <w:proofErr w:type="gramStart"/>
      <w:r>
        <w:t>departments</w:t>
      </w:r>
      <w:proofErr w:type="gramEnd"/>
      <w:r>
        <w:t xml:space="preserve"> overheads are (to the nearest £000):</w:t>
      </w:r>
    </w:p>
    <w:tbl>
      <w:tblPr>
        <w:tblW w:w="0" w:type="auto"/>
        <w:tblInd w:w="684" w:type="dxa"/>
        <w:tblLook w:val="00BF"/>
      </w:tblPr>
      <w:tblGrid>
        <w:gridCol w:w="990"/>
        <w:gridCol w:w="810"/>
        <w:gridCol w:w="1530"/>
      </w:tblGrid>
      <w:tr w:rsidR="00BA12E7" w:rsidTr="004A6336">
        <w:trPr>
          <w:trHeight w:hRule="exact" w:val="425"/>
        </w:trPr>
        <w:tc>
          <w:tcPr>
            <w:tcW w:w="990" w:type="dxa"/>
          </w:tcPr>
          <w:p w:rsidR="00BA12E7" w:rsidRDefault="00BA12E7" w:rsidP="004A6336">
            <w:pPr>
              <w:pStyle w:val="BodyTextA"/>
              <w:rPr>
                <w:i/>
              </w:rPr>
            </w:pPr>
            <w:r>
              <w:rPr>
                <w:i/>
              </w:rPr>
              <w:tab/>
            </w:r>
          </w:p>
        </w:tc>
        <w:tc>
          <w:tcPr>
            <w:tcW w:w="810" w:type="dxa"/>
          </w:tcPr>
          <w:p w:rsidR="00BA12E7" w:rsidRDefault="00BA12E7" w:rsidP="004A6336">
            <w:pPr>
              <w:pStyle w:val="BodyTextA"/>
              <w:jc w:val="center"/>
              <w:rPr>
                <w:i/>
              </w:rPr>
            </w:pPr>
            <w:r>
              <w:rPr>
                <w:i/>
              </w:rPr>
              <w:t>P1</w:t>
            </w:r>
          </w:p>
        </w:tc>
        <w:tc>
          <w:tcPr>
            <w:tcW w:w="1530" w:type="dxa"/>
          </w:tcPr>
          <w:p w:rsidR="00BA12E7" w:rsidRDefault="00BA12E7" w:rsidP="004A6336">
            <w:pPr>
              <w:pStyle w:val="BodyTextA"/>
              <w:jc w:val="center"/>
              <w:rPr>
                <w:i/>
              </w:rPr>
            </w:pPr>
            <w:r>
              <w:rPr>
                <w:i/>
              </w:rPr>
              <w:t>P2</w:t>
            </w:r>
          </w:p>
        </w:tc>
      </w:tr>
      <w:tr w:rsidR="00BA12E7" w:rsidTr="004A6336">
        <w:trPr>
          <w:trHeight w:hRule="exact" w:val="425"/>
        </w:trPr>
        <w:tc>
          <w:tcPr>
            <w:tcW w:w="990" w:type="dxa"/>
          </w:tcPr>
          <w:p w:rsidR="00BA12E7" w:rsidRDefault="00BA12E7" w:rsidP="004A6336">
            <w:pPr>
              <w:pStyle w:val="BodyTextA"/>
            </w:pPr>
            <w:r>
              <w:t>A</w:t>
            </w:r>
          </w:p>
        </w:tc>
        <w:tc>
          <w:tcPr>
            <w:tcW w:w="810" w:type="dxa"/>
          </w:tcPr>
          <w:p w:rsidR="00BA12E7" w:rsidRDefault="00BA12E7" w:rsidP="004A6336">
            <w:pPr>
              <w:pStyle w:val="BodyTextA"/>
              <w:jc w:val="center"/>
            </w:pPr>
            <w:r>
              <w:t>106</w:t>
            </w:r>
          </w:p>
        </w:tc>
        <w:tc>
          <w:tcPr>
            <w:tcW w:w="1530" w:type="dxa"/>
          </w:tcPr>
          <w:p w:rsidR="00BA12E7" w:rsidRDefault="00BA12E7" w:rsidP="004A6336">
            <w:pPr>
              <w:pStyle w:val="BodyTextA"/>
              <w:jc w:val="center"/>
            </w:pPr>
            <w:r>
              <w:t>79</w:t>
            </w:r>
          </w:p>
        </w:tc>
      </w:tr>
      <w:tr w:rsidR="00BA12E7" w:rsidTr="004A6336">
        <w:trPr>
          <w:trHeight w:hRule="exact" w:val="425"/>
        </w:trPr>
        <w:tc>
          <w:tcPr>
            <w:tcW w:w="990" w:type="dxa"/>
          </w:tcPr>
          <w:p w:rsidR="00BA12E7" w:rsidRDefault="00BA12E7" w:rsidP="004A6336">
            <w:pPr>
              <w:pStyle w:val="BodyTextA"/>
            </w:pPr>
            <w:r>
              <w:t>B</w:t>
            </w:r>
          </w:p>
        </w:tc>
        <w:tc>
          <w:tcPr>
            <w:tcW w:w="810" w:type="dxa"/>
          </w:tcPr>
          <w:p w:rsidR="00BA12E7" w:rsidRDefault="00BA12E7" w:rsidP="004A6336">
            <w:pPr>
              <w:pStyle w:val="BodyTextA"/>
              <w:jc w:val="center"/>
            </w:pPr>
            <w:r>
              <w:t>97</w:t>
            </w:r>
          </w:p>
        </w:tc>
        <w:tc>
          <w:tcPr>
            <w:tcW w:w="1530" w:type="dxa"/>
          </w:tcPr>
          <w:p w:rsidR="00BA12E7" w:rsidRDefault="00BA12E7" w:rsidP="004A6336">
            <w:pPr>
              <w:pStyle w:val="BodyTextA"/>
              <w:jc w:val="center"/>
            </w:pPr>
            <w:r>
              <w:t>75</w:t>
            </w:r>
          </w:p>
        </w:tc>
      </w:tr>
      <w:tr w:rsidR="00BA12E7" w:rsidTr="004A6336">
        <w:trPr>
          <w:trHeight w:hRule="exact" w:val="425"/>
        </w:trPr>
        <w:tc>
          <w:tcPr>
            <w:tcW w:w="990" w:type="dxa"/>
          </w:tcPr>
          <w:p w:rsidR="00BA12E7" w:rsidRDefault="00BA12E7" w:rsidP="004A6336">
            <w:pPr>
              <w:pStyle w:val="BodyTextA"/>
            </w:pPr>
            <w:r>
              <w:t>C</w:t>
            </w:r>
          </w:p>
        </w:tc>
        <w:tc>
          <w:tcPr>
            <w:tcW w:w="810" w:type="dxa"/>
          </w:tcPr>
          <w:p w:rsidR="00BA12E7" w:rsidRDefault="00BA12E7" w:rsidP="004A6336">
            <w:pPr>
              <w:pStyle w:val="BodyTextA"/>
              <w:jc w:val="center"/>
            </w:pPr>
            <w:r>
              <w:t>363</w:t>
            </w:r>
          </w:p>
        </w:tc>
        <w:tc>
          <w:tcPr>
            <w:tcW w:w="1530" w:type="dxa"/>
          </w:tcPr>
          <w:p w:rsidR="00BA12E7" w:rsidRDefault="00BA12E7" w:rsidP="004A6336">
            <w:pPr>
              <w:pStyle w:val="BodyTextA"/>
              <w:jc w:val="center"/>
            </w:pPr>
            <w:r>
              <w:t>457</w:t>
            </w:r>
          </w:p>
        </w:tc>
      </w:tr>
      <w:tr w:rsidR="00BA12E7" w:rsidTr="004A6336">
        <w:trPr>
          <w:trHeight w:hRule="exact" w:val="425"/>
        </w:trPr>
        <w:tc>
          <w:tcPr>
            <w:tcW w:w="990" w:type="dxa"/>
          </w:tcPr>
          <w:p w:rsidR="00BA12E7" w:rsidRDefault="00BA12E7" w:rsidP="004A6336">
            <w:pPr>
              <w:pStyle w:val="BodyTextA"/>
            </w:pPr>
            <w:r>
              <w:t>D</w:t>
            </w:r>
          </w:p>
        </w:tc>
        <w:tc>
          <w:tcPr>
            <w:tcW w:w="810" w:type="dxa"/>
          </w:tcPr>
          <w:p w:rsidR="00BA12E7" w:rsidRDefault="00BA12E7" w:rsidP="004A6336">
            <w:pPr>
              <w:pStyle w:val="BodyTextA"/>
              <w:jc w:val="center"/>
            </w:pPr>
            <w:r>
              <w:t>354</w:t>
            </w:r>
          </w:p>
        </w:tc>
        <w:tc>
          <w:tcPr>
            <w:tcW w:w="1530" w:type="dxa"/>
          </w:tcPr>
          <w:p w:rsidR="00BA12E7" w:rsidRDefault="00BA12E7" w:rsidP="004A6336">
            <w:pPr>
              <w:pStyle w:val="BodyTextA"/>
              <w:jc w:val="center"/>
            </w:pPr>
            <w:r>
              <w:t>453</w:t>
            </w:r>
          </w:p>
        </w:tc>
      </w:tr>
    </w:tbl>
    <w:p w:rsidR="00BA12E7" w:rsidRDefault="00BA12E7" w:rsidP="00BA12E7">
      <w:pPr>
        <w:pStyle w:val="BodyTextA"/>
        <w:pBdr>
          <w:top w:val="single" w:sz="4" w:space="1" w:color="auto"/>
        </w:pBdr>
        <w:rPr>
          <w:i/>
          <w:iCs/>
        </w:rPr>
      </w:pPr>
      <w:r>
        <w:rPr>
          <w:i/>
          <w:iCs/>
        </w:rPr>
        <w:t>The following data are to be used for Questions 3 and 4.</w:t>
      </w:r>
    </w:p>
    <w:tbl>
      <w:tblPr>
        <w:tblW w:w="0" w:type="auto"/>
        <w:tblLayout w:type="fixed"/>
        <w:tblLook w:val="0000"/>
      </w:tblPr>
      <w:tblGrid>
        <w:gridCol w:w="1674"/>
        <w:gridCol w:w="2687"/>
        <w:gridCol w:w="2268"/>
      </w:tblGrid>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Budgeted labour hours</w:t>
            </w:r>
          </w:p>
        </w:tc>
        <w:tc>
          <w:tcPr>
            <w:tcW w:w="2268" w:type="dxa"/>
          </w:tcPr>
          <w:p w:rsidR="00BA12E7" w:rsidRDefault="00BA12E7" w:rsidP="004A6336">
            <w:pPr>
              <w:pStyle w:val="BodyTextA"/>
              <w:spacing w:before="0" w:line="240" w:lineRule="auto"/>
              <w:jc w:val="right"/>
            </w:pPr>
            <w:r>
              <w:t>8,500</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Budgeted overheads</w:t>
            </w:r>
          </w:p>
        </w:tc>
        <w:tc>
          <w:tcPr>
            <w:tcW w:w="2268" w:type="dxa"/>
          </w:tcPr>
          <w:p w:rsidR="00BA12E7" w:rsidRDefault="00BA12E7" w:rsidP="004A6336">
            <w:pPr>
              <w:pStyle w:val="BodyTextA"/>
              <w:spacing w:before="0" w:line="240" w:lineRule="auto"/>
              <w:jc w:val="right"/>
            </w:pPr>
            <w:r>
              <w:t>£148,750</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Actual labour hours</w:t>
            </w:r>
          </w:p>
        </w:tc>
        <w:tc>
          <w:tcPr>
            <w:tcW w:w="2268" w:type="dxa"/>
          </w:tcPr>
          <w:p w:rsidR="00BA12E7" w:rsidRDefault="00BA12E7" w:rsidP="004A6336">
            <w:pPr>
              <w:pStyle w:val="BodyTextA"/>
              <w:spacing w:before="0" w:line="240" w:lineRule="auto"/>
              <w:jc w:val="right"/>
            </w:pPr>
            <w:r>
              <w:t>7,928</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Actual overheads</w:t>
            </w:r>
          </w:p>
        </w:tc>
        <w:tc>
          <w:tcPr>
            <w:tcW w:w="2268" w:type="dxa"/>
          </w:tcPr>
          <w:p w:rsidR="00BA12E7" w:rsidRDefault="00BA12E7" w:rsidP="004A6336">
            <w:pPr>
              <w:pStyle w:val="BodyTextA"/>
              <w:spacing w:before="0" w:line="240" w:lineRule="auto"/>
              <w:jc w:val="right"/>
            </w:pPr>
            <w:r>
              <w:t>£146,200</w:t>
            </w:r>
          </w:p>
        </w:tc>
      </w:tr>
    </w:tbl>
    <w:p w:rsidR="00BA12E7" w:rsidRDefault="00BA12E7" w:rsidP="00BA12E7">
      <w:pPr>
        <w:pStyle w:val="CNabullet"/>
        <w:numPr>
          <w:ilvl w:val="0"/>
          <w:numId w:val="1"/>
        </w:numPr>
        <w:pBdr>
          <w:top w:val="single" w:sz="4" w:space="1" w:color="auto"/>
        </w:pBdr>
      </w:pPr>
      <w:r>
        <w:t>Based on the data given above, what is the labour hour overhead absorption rate?</w:t>
      </w:r>
    </w:p>
    <w:p w:rsidR="00BA12E7" w:rsidRDefault="00BA12E7" w:rsidP="00BA12E7">
      <w:pPr>
        <w:pStyle w:val="CNIndenti"/>
      </w:pPr>
      <w:r>
        <w:t xml:space="preserve">A  </w:t>
      </w:r>
      <w:r>
        <w:tab/>
        <w:t>£17.50 per hour</w:t>
      </w:r>
    </w:p>
    <w:p w:rsidR="00BA12E7" w:rsidRDefault="00BA12E7" w:rsidP="00BA12E7">
      <w:pPr>
        <w:pStyle w:val="CNIndenti"/>
      </w:pPr>
      <w:r>
        <w:t xml:space="preserve">B  </w:t>
      </w:r>
      <w:r>
        <w:tab/>
        <w:t>£17.20 per hour</w:t>
      </w:r>
    </w:p>
    <w:p w:rsidR="00BA12E7" w:rsidRDefault="00BA12E7" w:rsidP="00BA12E7">
      <w:pPr>
        <w:pStyle w:val="CNIndenti"/>
      </w:pPr>
      <w:r>
        <w:t xml:space="preserve">C  </w:t>
      </w:r>
      <w:r>
        <w:tab/>
        <w:t>£18.44 per hour</w:t>
      </w:r>
    </w:p>
    <w:p w:rsidR="00BA12E7" w:rsidRDefault="00BA12E7" w:rsidP="00BA12E7">
      <w:pPr>
        <w:pStyle w:val="CNIndenti"/>
      </w:pPr>
      <w:r>
        <w:t xml:space="preserve">D  </w:t>
      </w:r>
      <w:r>
        <w:tab/>
        <w:t>£18.76 per hour</w:t>
      </w:r>
    </w:p>
    <w:p w:rsidR="00BA12E7" w:rsidRDefault="00BA12E7" w:rsidP="00BA12E7">
      <w:pPr>
        <w:pStyle w:val="CNabullet"/>
        <w:numPr>
          <w:ilvl w:val="0"/>
          <w:numId w:val="1"/>
        </w:numPr>
      </w:pPr>
      <w:r>
        <w:lastRenderedPageBreak/>
        <w:t>Based on the data given above, what is the amount of overhead under/over-absorbed?</w:t>
      </w:r>
    </w:p>
    <w:p w:rsidR="00BA12E7" w:rsidRDefault="00BA12E7" w:rsidP="00BA12E7">
      <w:pPr>
        <w:pStyle w:val="CNIndenti"/>
      </w:pPr>
      <w:r>
        <w:t xml:space="preserve">A  </w:t>
      </w:r>
      <w:r>
        <w:tab/>
        <w:t>£2,550 under-absorbed</w:t>
      </w:r>
    </w:p>
    <w:p w:rsidR="00BA12E7" w:rsidRDefault="00BA12E7" w:rsidP="00BA12E7">
      <w:pPr>
        <w:pStyle w:val="CNIndenti"/>
      </w:pPr>
      <w:r>
        <w:t xml:space="preserve">B  </w:t>
      </w:r>
      <w:r>
        <w:tab/>
        <w:t>£2,529 over-absorbed</w:t>
      </w:r>
    </w:p>
    <w:p w:rsidR="00BA12E7" w:rsidRDefault="00BA12E7" w:rsidP="00BA12E7">
      <w:pPr>
        <w:pStyle w:val="CNIndenti"/>
      </w:pPr>
      <w:r>
        <w:t xml:space="preserve">C  </w:t>
      </w:r>
      <w:r>
        <w:tab/>
        <w:t>£2,550 over-absorbed</w:t>
      </w:r>
    </w:p>
    <w:p w:rsidR="00BA12E7" w:rsidRDefault="00BA12E7" w:rsidP="00BA12E7">
      <w:pPr>
        <w:pStyle w:val="CNIndenti"/>
      </w:pPr>
      <w:r>
        <w:t xml:space="preserve">D  </w:t>
      </w:r>
      <w:r>
        <w:tab/>
        <w:t>£7,460 under-absorbed</w:t>
      </w:r>
    </w:p>
    <w:p w:rsidR="00BA12E7" w:rsidRDefault="00BA12E7" w:rsidP="00BA12E7">
      <w:pPr>
        <w:pStyle w:val="CNabullet"/>
        <w:numPr>
          <w:ilvl w:val="0"/>
          <w:numId w:val="1"/>
        </w:numPr>
      </w:pPr>
      <w:r>
        <w:t>Over-absorbed overheads occur when:</w:t>
      </w:r>
    </w:p>
    <w:p w:rsidR="00BA12E7" w:rsidRDefault="00BA12E7" w:rsidP="00BA12E7">
      <w:pPr>
        <w:pStyle w:val="CNIndenti"/>
      </w:pPr>
      <w:proofErr w:type="gramStart"/>
      <w:r>
        <w:t>A</w:t>
      </w:r>
      <w:proofErr w:type="gramEnd"/>
      <w:r>
        <w:t xml:space="preserve">  </w:t>
      </w:r>
      <w:r>
        <w:tab/>
        <w:t>absorbed overheads exceed actual overheads.</w:t>
      </w:r>
    </w:p>
    <w:p w:rsidR="00BA12E7" w:rsidRDefault="00BA12E7" w:rsidP="00BA12E7">
      <w:pPr>
        <w:pStyle w:val="CNIndenti"/>
      </w:pPr>
      <w:r>
        <w:t xml:space="preserve">B  </w:t>
      </w:r>
      <w:r>
        <w:tab/>
        <w:t>absorbed overheads exceed budgeted overheads.</w:t>
      </w:r>
    </w:p>
    <w:p w:rsidR="00BA12E7" w:rsidRDefault="00BA12E7" w:rsidP="00BA12E7">
      <w:pPr>
        <w:pStyle w:val="CNIndenti"/>
      </w:pPr>
      <w:r>
        <w:t xml:space="preserve">C  </w:t>
      </w:r>
      <w:r>
        <w:tab/>
        <w:t>actual overheads exceed budgeted overheads.</w:t>
      </w:r>
    </w:p>
    <w:p w:rsidR="00BA12E7" w:rsidRDefault="00BA12E7" w:rsidP="00BA12E7">
      <w:pPr>
        <w:pStyle w:val="CNIndenti"/>
      </w:pPr>
      <w:r>
        <w:t xml:space="preserve">D  </w:t>
      </w:r>
      <w:r>
        <w:tab/>
        <w:t>budgeted overheads exceed absorbed overheads.</w:t>
      </w:r>
    </w:p>
    <w:p w:rsidR="00E310F7" w:rsidRDefault="00E310F7"/>
    <w:sectPr w:rsidR="00E310F7" w:rsidSect="00E310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D0B88"/>
    <w:rsid w:val="002D0B88"/>
    <w:rsid w:val="004C6CE4"/>
    <w:rsid w:val="005A5CD9"/>
    <w:rsid w:val="00B81D7A"/>
    <w:rsid w:val="00BA12E7"/>
    <w:rsid w:val="00E310F7"/>
    <w:rsid w:val="00F345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2E7"/>
    <w:pPr>
      <w:spacing w:before="60" w:after="60" w:line="240" w:lineRule="auto"/>
    </w:pPr>
    <w:rPr>
      <w:rFonts w:ascii="Comic Sans MS" w:eastAsia="Times New Roman" w:hAnsi="Comic Sans MS" w:cs="Times New Roman"/>
      <w:sz w:val="20"/>
      <w:szCs w:val="20"/>
    </w:rPr>
  </w:style>
  <w:style w:type="paragraph" w:styleId="Heading1">
    <w:name w:val="heading 1"/>
    <w:basedOn w:val="Normal"/>
    <w:next w:val="Normal"/>
    <w:link w:val="Heading1Char"/>
    <w:uiPriority w:val="9"/>
    <w:qFormat/>
    <w:rsid w:val="00BA12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A12E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semiHidden/>
    <w:rsid w:val="00BA12E7"/>
  </w:style>
  <w:style w:type="paragraph" w:customStyle="1" w:styleId="BodyTextA">
    <w:name w:val="Body Text A"/>
    <w:basedOn w:val="Normal"/>
    <w:rsid w:val="00BA12E7"/>
    <w:pPr>
      <w:tabs>
        <w:tab w:val="left" w:pos="567"/>
        <w:tab w:val="left" w:pos="1134"/>
        <w:tab w:val="right" w:pos="8505"/>
      </w:tabs>
      <w:spacing w:before="120" w:after="120" w:line="260" w:lineRule="exact"/>
      <w:jc w:val="both"/>
    </w:pPr>
    <w:rPr>
      <w:rFonts w:ascii="Arial" w:hAnsi="Arial" w:cs="Arial"/>
      <w:szCs w:val="18"/>
    </w:rPr>
  </w:style>
  <w:style w:type="paragraph" w:customStyle="1" w:styleId="ExerciseHeading">
    <w:name w:val="Exercise Heading"/>
    <w:basedOn w:val="Heading2"/>
    <w:rsid w:val="00BA12E7"/>
    <w:pPr>
      <w:keepNext w:val="0"/>
      <w:keepLines w:val="0"/>
      <w:tabs>
        <w:tab w:val="left" w:pos="5103"/>
      </w:tabs>
      <w:spacing w:before="60" w:after="40"/>
      <w:ind w:left="567" w:hanging="567"/>
      <w:jc w:val="center"/>
    </w:pPr>
    <w:rPr>
      <w:rFonts w:ascii="Arial" w:eastAsia="Times New Roman" w:hAnsi="Arial" w:cs="Arial"/>
      <w:bCs w:val="0"/>
      <w:iCs/>
      <w:caps/>
      <w:color w:val="000000"/>
      <w:szCs w:val="22"/>
    </w:rPr>
  </w:style>
  <w:style w:type="paragraph" w:customStyle="1" w:styleId="BodytextA0">
    <w:name w:val="Body text A"/>
    <w:basedOn w:val="Normal"/>
    <w:rsid w:val="00BA12E7"/>
    <w:pPr>
      <w:tabs>
        <w:tab w:val="left" w:pos="567"/>
        <w:tab w:val="left" w:pos="1134"/>
        <w:tab w:val="left" w:pos="1701"/>
        <w:tab w:val="right" w:pos="8505"/>
      </w:tabs>
      <w:spacing w:before="120" w:after="120" w:line="260" w:lineRule="exact"/>
      <w:jc w:val="both"/>
    </w:pPr>
    <w:rPr>
      <w:rFonts w:ascii="Arial" w:hAnsi="Arial"/>
      <w:szCs w:val="36"/>
    </w:rPr>
  </w:style>
  <w:style w:type="paragraph" w:styleId="BodyText">
    <w:name w:val="Body Text"/>
    <w:basedOn w:val="Normal"/>
    <w:link w:val="BodyTextChar"/>
    <w:uiPriority w:val="99"/>
    <w:semiHidden/>
    <w:unhideWhenUsed/>
    <w:rsid w:val="00BA12E7"/>
    <w:pPr>
      <w:spacing w:after="120"/>
    </w:pPr>
  </w:style>
  <w:style w:type="character" w:customStyle="1" w:styleId="BodyTextChar">
    <w:name w:val="Body Text Char"/>
    <w:basedOn w:val="DefaultParagraphFont"/>
    <w:link w:val="BodyText"/>
    <w:uiPriority w:val="99"/>
    <w:semiHidden/>
    <w:rsid w:val="00BA12E7"/>
    <w:rPr>
      <w:rFonts w:ascii="Comic Sans MS" w:eastAsia="Times New Roman" w:hAnsi="Comic Sans MS" w:cs="Times New Roman"/>
      <w:sz w:val="20"/>
      <w:szCs w:val="20"/>
    </w:rPr>
  </w:style>
  <w:style w:type="character" w:customStyle="1" w:styleId="Heading2Char">
    <w:name w:val="Heading 2 Char"/>
    <w:basedOn w:val="DefaultParagraphFont"/>
    <w:link w:val="Heading2"/>
    <w:uiPriority w:val="9"/>
    <w:semiHidden/>
    <w:rsid w:val="00BA12E7"/>
    <w:rPr>
      <w:rFonts w:asciiTheme="majorHAnsi" w:eastAsiaTheme="majorEastAsia" w:hAnsiTheme="majorHAnsi" w:cstheme="majorBidi"/>
      <w:b/>
      <w:bCs/>
      <w:color w:val="4F81BD" w:themeColor="accent1"/>
      <w:sz w:val="26"/>
      <w:szCs w:val="26"/>
    </w:rPr>
  </w:style>
  <w:style w:type="paragraph" w:customStyle="1" w:styleId="CNabullet">
    <w:name w:val="CN (a) bullet"/>
    <w:basedOn w:val="BodyTextA"/>
    <w:rsid w:val="00BA12E7"/>
    <w:pPr>
      <w:ind w:left="567" w:hanging="567"/>
    </w:pPr>
  </w:style>
  <w:style w:type="paragraph" w:customStyle="1" w:styleId="Heading2A">
    <w:name w:val="Heading 2A"/>
    <w:basedOn w:val="BodyTextA"/>
    <w:rsid w:val="00BA12E7"/>
    <w:pPr>
      <w:spacing w:line="240" w:lineRule="auto"/>
      <w:jc w:val="left"/>
    </w:pPr>
    <w:rPr>
      <w:b/>
      <w:bCs/>
      <w:sz w:val="26"/>
      <w:szCs w:val="22"/>
    </w:rPr>
  </w:style>
  <w:style w:type="paragraph" w:customStyle="1" w:styleId="Atable4pt4pt">
    <w:name w:val="A table 4pt 4pt"/>
    <w:basedOn w:val="BodyTextA"/>
    <w:semiHidden/>
    <w:rsid w:val="00BA12E7"/>
    <w:rPr>
      <w:szCs w:val="22"/>
    </w:rPr>
  </w:style>
  <w:style w:type="paragraph" w:customStyle="1" w:styleId="Heading1A">
    <w:name w:val="Heading 1A"/>
    <w:basedOn w:val="Heading1"/>
    <w:rsid w:val="00BA12E7"/>
    <w:pPr>
      <w:keepLines w:val="0"/>
      <w:spacing w:before="200" w:after="120"/>
      <w:ind w:left="-567"/>
    </w:pPr>
    <w:rPr>
      <w:rFonts w:ascii="Arial" w:eastAsia="Times New Roman" w:hAnsi="Arial" w:cs="Arial"/>
      <w:color w:val="auto"/>
      <w:kern w:val="32"/>
      <w:sz w:val="30"/>
      <w:szCs w:val="32"/>
    </w:rPr>
  </w:style>
  <w:style w:type="paragraph" w:customStyle="1" w:styleId="CNTableText">
    <w:name w:val="CN Table Text"/>
    <w:basedOn w:val="BodyTextA"/>
    <w:rsid w:val="00BA12E7"/>
    <w:pPr>
      <w:spacing w:before="60" w:after="60"/>
    </w:pPr>
    <w:rPr>
      <w:rFonts w:cs="Times New Roman"/>
      <w:szCs w:val="20"/>
    </w:rPr>
  </w:style>
  <w:style w:type="paragraph" w:customStyle="1" w:styleId="CNIndenti">
    <w:name w:val="CN Indent (i)"/>
    <w:basedOn w:val="BodyTextA"/>
    <w:rsid w:val="00BA12E7"/>
    <w:pPr>
      <w:ind w:left="1134" w:hanging="567"/>
    </w:pPr>
  </w:style>
  <w:style w:type="paragraph" w:customStyle="1" w:styleId="CNIndent">
    <w:name w:val="CN Indent"/>
    <w:basedOn w:val="BodyTextA"/>
    <w:rsid w:val="00BA12E7"/>
    <w:pPr>
      <w:ind w:left="567"/>
    </w:pPr>
  </w:style>
  <w:style w:type="character" w:customStyle="1" w:styleId="Heading1Char">
    <w:name w:val="Heading 1 Char"/>
    <w:basedOn w:val="DefaultParagraphFont"/>
    <w:link w:val="Heading1"/>
    <w:uiPriority w:val="9"/>
    <w:rsid w:val="00BA12E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6</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Patrick</dc:creator>
  <cp:keywords/>
  <dc:description/>
  <cp:lastModifiedBy>Boyd Patrick</cp:lastModifiedBy>
  <cp:revision>3</cp:revision>
  <dcterms:created xsi:type="dcterms:W3CDTF">2012-02-13T14:03:00Z</dcterms:created>
  <dcterms:modified xsi:type="dcterms:W3CDTF">2012-02-29T10:07:00Z</dcterms:modified>
</cp:coreProperties>
</file>