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spacing w:line="480" w:lineRule="auto"/>
      </w:pPr>
      <w:r>
        <w:rPr>
          <w:rFonts w:ascii="Arial" w:cs="Arial" w:hAnsi="Arial" w:eastAsia="Arial"/>
          <w:sz w:val="24"/>
          <w:szCs w:val="24"/>
        </w:rPr>
        <mc:AlternateContent>
          <mc:Choice Requires="wps">
            <w:drawing>
              <wp:anchor distT="152400" distB="152400" distL="152400" distR="152400" simplePos="0" relativeHeight="251660288" behindDoc="0" locked="0" layoutInCell="1" allowOverlap="1">
                <wp:simplePos x="0" y="0"/>
                <wp:positionH relativeFrom="margin">
                  <wp:posOffset>1120197</wp:posOffset>
                </wp:positionH>
                <wp:positionV relativeFrom="page">
                  <wp:posOffset>2624675</wp:posOffset>
                </wp:positionV>
                <wp:extent cx="1067184" cy="278758"/>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microsoft.com/office/word/2010/wordprocessingShape">
                    <wps:wsp>
                      <wps:cNvSpPr/>
                      <wps:spPr>
                        <a:xfrm>
                          <a:off x="0" y="0"/>
                          <a:ext cx="1067184" cy="278758"/>
                        </a:xfrm>
                        <a:prstGeom prst="rect">
                          <a:avLst/>
                        </a:prstGeom>
                        <a:noFill/>
                        <a:ln w="12700" cap="flat">
                          <a:noFill/>
                          <a:miter lim="400000"/>
                        </a:ln>
                        <a:effectLst/>
                      </wps:spPr>
                      <wps:txbx>
                        <w:txbxContent>
                          <w:p>
                            <w:pPr>
                              <w:pStyle w:val="Body"/>
                            </w:pPr>
                            <w:r>
                              <w:rPr>
                                <w:rFonts w:ascii="Arial" w:hAnsi="Arial"/>
                                <w:b w:val="1"/>
                                <w:bCs w:val="1"/>
                                <w:sz w:val="24"/>
                                <w:szCs w:val="24"/>
                                <w:rtl w:val="0"/>
                                <w:lang w:val="en-US"/>
                              </w:rPr>
                              <w:t>Elisha Flack</w:t>
                            </w:r>
                          </w:p>
                        </w:txbxContent>
                      </wps:txbx>
                      <wps:bodyPr wrap="square" lIns="50800" tIns="50800" rIns="50800" bIns="50800" numCol="1" anchor="t">
                        <a:noAutofit/>
                      </wps:bodyPr>
                    </wps:wsp>
                  </a:graphicData>
                </a:graphic>
              </wp:anchor>
            </w:drawing>
          </mc:Choice>
          <mc:Fallback>
            <w:pict>
              <v:rect id="_x0000_s1026" style="visibility:visible;position:absolute;margin-left:88.2pt;margin-top:206.7pt;width:84.0pt;height:21.9pt;z-index:251660288;mso-position-horizontal:absolute;mso-position-horizontal-relative:margin;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Fonts w:ascii="Arial" w:hAnsi="Arial"/>
                          <w:b w:val="1"/>
                          <w:bCs w:val="1"/>
                          <w:sz w:val="24"/>
                          <w:szCs w:val="24"/>
                          <w:rtl w:val="0"/>
                          <w:lang w:val="en-US"/>
                        </w:rPr>
                        <w:t>Elisha Flack</w:t>
                      </w:r>
                    </w:p>
                  </w:txbxContent>
                </v:textbox>
                <w10:wrap type="through" side="bothSides" anchorx="margin" anchory="page"/>
              </v:rect>
            </w:pict>
          </mc:Fallback>
        </mc:AlternateContent>
      </w:r>
      <w:r>
        <w:rPr>
          <w:rFonts w:ascii="Arial" w:cs="Arial" w:hAnsi="Arial" w:eastAsia="Arial"/>
          <w:sz w:val="24"/>
          <w:szCs w:val="24"/>
        </w:rPr>
        <mc:AlternateContent>
          <mc:Choice Requires="wps">
            <w:drawing>
              <wp:anchor distT="152400" distB="152400" distL="152400" distR="152400" simplePos="0" relativeHeight="251661312" behindDoc="0" locked="0" layoutInCell="1" allowOverlap="1">
                <wp:simplePos x="0" y="0"/>
                <wp:positionH relativeFrom="margin">
                  <wp:posOffset>5035213</wp:posOffset>
                </wp:positionH>
                <wp:positionV relativeFrom="page">
                  <wp:posOffset>2624675</wp:posOffset>
                </wp:positionV>
                <wp:extent cx="792536" cy="278758"/>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microsoft.com/office/word/2010/wordprocessingShape">
                    <wps:wsp>
                      <wps:cNvSpPr/>
                      <wps:spPr>
                        <a:xfrm>
                          <a:off x="0" y="0"/>
                          <a:ext cx="792536" cy="278758"/>
                        </a:xfrm>
                        <a:prstGeom prst="rect">
                          <a:avLst/>
                        </a:prstGeom>
                        <a:noFill/>
                        <a:ln w="12700" cap="flat">
                          <a:noFill/>
                          <a:miter lim="400000"/>
                        </a:ln>
                        <a:effectLst/>
                      </wps:spPr>
                      <wps:txbx>
                        <w:txbxContent>
                          <w:p>
                            <w:pPr>
                              <w:pStyle w:val="Body"/>
                            </w:pPr>
                            <w:r>
                              <w:rPr>
                                <w:rFonts w:ascii="Arial" w:hAnsi="Arial"/>
                                <w:b w:val="1"/>
                                <w:bCs w:val="1"/>
                                <w:sz w:val="24"/>
                                <w:szCs w:val="24"/>
                                <w:rtl w:val="0"/>
                                <w:lang w:val="en-US"/>
                              </w:rPr>
                              <w:t>P145670</w:t>
                            </w:r>
                          </w:p>
                        </w:txbxContent>
                      </wps:txbx>
                      <wps:bodyPr wrap="square" lIns="50800" tIns="50800" rIns="50800" bIns="50800" numCol="1" anchor="t">
                        <a:noAutofit/>
                      </wps:bodyPr>
                    </wps:wsp>
                  </a:graphicData>
                </a:graphic>
              </wp:anchor>
            </w:drawing>
          </mc:Choice>
          <mc:Fallback>
            <w:pict>
              <v:rect id="_x0000_s1027" style="visibility:visible;position:absolute;margin-left:396.5pt;margin-top:206.7pt;width:62.4pt;height:21.9pt;z-index:251661312;mso-position-horizontal:absolute;mso-position-horizontal-relative:margin;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Fonts w:ascii="Arial" w:hAnsi="Arial"/>
                          <w:b w:val="1"/>
                          <w:bCs w:val="1"/>
                          <w:sz w:val="24"/>
                          <w:szCs w:val="24"/>
                          <w:rtl w:val="0"/>
                          <w:lang w:val="en-US"/>
                        </w:rPr>
                        <w:t>P145670</w:t>
                      </w:r>
                    </w:p>
                  </w:txbxContent>
                </v:textbox>
                <w10:wrap type="through" side="bothSides" anchorx="margin" anchory="page"/>
              </v:rect>
            </w:pict>
          </mc:Fallback>
        </mc:AlternateContent>
      </w:r>
    </w:p>
    <w:p>
      <w:pPr>
        <w:pStyle w:val="Body"/>
        <w:spacing w:line="480" w:lineRule="auto"/>
      </w:pPr>
      <w:r>
        <w:rPr>
          <w:rFonts w:ascii="Arial" w:cs="Arial" w:hAnsi="Arial" w:eastAsia="Arial"/>
          <w:sz w:val="24"/>
          <w:szCs w:val="24"/>
        </w:rPr>
        <w:drawing>
          <wp:anchor distT="152400" distB="152400" distL="152400" distR="152400" simplePos="0" relativeHeight="251659264" behindDoc="0" locked="0" layoutInCell="1" allowOverlap="1">
            <wp:simplePos x="0" y="0"/>
            <wp:positionH relativeFrom="margin">
              <wp:posOffset>-639045</wp:posOffset>
            </wp:positionH>
            <wp:positionV relativeFrom="page">
              <wp:posOffset>720000</wp:posOffset>
            </wp:positionV>
            <wp:extent cx="7385291" cy="8379376"/>
            <wp:effectExtent l="0" t="0" r="0" b="0"/>
            <wp:wrapThrough wrapText="bothSides" distL="152400" distR="152400">
              <wp:wrapPolygon edited="1">
                <wp:start x="0" y="0"/>
                <wp:lineTo x="0" y="21600"/>
                <wp:lineTo x="21600" y="21600"/>
                <wp:lineTo x="21600" y="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 Shot 2019-01-03 at 16.51.51.png"/>
                    <pic:cNvPicPr>
                      <a:picLocks noChangeAspect="1"/>
                    </pic:cNvPicPr>
                  </pic:nvPicPr>
                  <pic:blipFill>
                    <a:blip r:embed="rId4">
                      <a:extLst/>
                    </a:blip>
                    <a:srcRect l="4778" t="1647" r="4778" b="0"/>
                    <a:stretch>
                      <a:fillRect/>
                    </a:stretch>
                  </pic:blipFill>
                  <pic:spPr>
                    <a:xfrm>
                      <a:off x="0" y="0"/>
                      <a:ext cx="7385291" cy="8379376"/>
                    </a:xfrm>
                    <a:prstGeom prst="rect">
                      <a:avLst/>
                    </a:prstGeom>
                    <a:ln w="12700" cap="flat">
                      <a:noFill/>
                      <a:miter lim="400000"/>
                    </a:ln>
                    <a:effectLst/>
                  </pic:spPr>
                </pic:pic>
              </a:graphicData>
            </a:graphic>
          </wp:anchor>
        </w:drawing>
      </w:r>
    </w:p>
    <w:p>
      <w:pPr>
        <w:pStyle w:val="Body"/>
        <w:spacing w:line="480" w:lineRule="auto"/>
      </w:pPr>
      <w:r>
        <w:rPr>
          <w:rFonts w:ascii="Arial" w:cs="Arial" w:hAnsi="Arial" w:eastAsia="Arial"/>
          <w:sz w:val="24"/>
          <w:szCs w:val="24"/>
          <w:rtl w:val="0"/>
          <w:lang w:val="en-US"/>
        </w:rPr>
        <w:tab/>
        <w:t xml:space="preserve">This assignment is going to focus on the critical analysis of the relationship between teacher subject knowledge and effective learning and teaching in the primary school. Firstly, I am going to discuss the literature that is surrounding subject knowledge in primary schools, mainly having a focus on Schulman and The Knowledge Quartet. Secondly, I will base this assignment on my Professional Teaching Experience (PTE) and reflect on my experiences of teacher subject knowledge and how this affects learning and teaching in the classroom. </w:t>
      </w:r>
      <w:r>
        <w:rPr>
          <w:rFonts w:ascii="Arial" w:hAnsi="Arial"/>
          <w:sz w:val="24"/>
          <w:szCs w:val="24"/>
          <w:rtl w:val="0"/>
          <w:lang w:val="en-US"/>
        </w:rPr>
        <w:t>In</w:t>
      </w:r>
      <w:r>
        <w:rPr>
          <w:rFonts w:ascii="Arial" w:hAnsi="Arial"/>
          <w:sz w:val="24"/>
          <w:szCs w:val="24"/>
          <w:rtl w:val="0"/>
          <w:lang w:val="en-US"/>
        </w:rPr>
        <w:t xml:space="preserve"> accordance with the BERA (2018) guidelines, I </w:t>
      </w:r>
      <w:r>
        <w:rPr>
          <w:rFonts w:ascii="Arial" w:hAnsi="Arial"/>
          <w:sz w:val="24"/>
          <w:szCs w:val="24"/>
          <w:rtl w:val="0"/>
          <w:lang w:val="en-US"/>
        </w:rPr>
        <w:t xml:space="preserve">will not </w:t>
      </w:r>
      <w:r>
        <w:rPr>
          <w:rFonts w:ascii="Arial" w:hAnsi="Arial"/>
          <w:sz w:val="24"/>
          <w:szCs w:val="24"/>
          <w:rtl w:val="0"/>
          <w:lang w:val="en-US"/>
        </w:rPr>
        <w:t>mention the teacher</w:t>
      </w:r>
      <w:r>
        <w:rPr>
          <w:rFonts w:ascii="Arial" w:hAnsi="Arial" w:hint="default"/>
          <w:sz w:val="24"/>
          <w:szCs w:val="24"/>
          <w:rtl w:val="0"/>
          <w:lang w:val="en-US"/>
        </w:rPr>
        <w:t>’</w:t>
      </w:r>
      <w:r>
        <w:rPr>
          <w:rFonts w:ascii="Arial" w:hAnsi="Arial"/>
          <w:sz w:val="24"/>
          <w:szCs w:val="24"/>
          <w:rtl w:val="0"/>
          <w:lang w:val="en-US"/>
        </w:rPr>
        <w:t>s name or the children</w:t>
      </w:r>
      <w:r>
        <w:rPr>
          <w:rFonts w:ascii="Arial" w:hAnsi="Arial" w:hint="default"/>
          <w:sz w:val="24"/>
          <w:szCs w:val="24"/>
          <w:rtl w:val="0"/>
          <w:lang w:val="en-US"/>
        </w:rPr>
        <w:t>’</w:t>
      </w:r>
      <w:r>
        <w:rPr>
          <w:rFonts w:ascii="Arial" w:hAnsi="Arial"/>
          <w:sz w:val="24"/>
          <w:szCs w:val="24"/>
          <w:rtl w:val="0"/>
          <w:lang w:val="en-US"/>
        </w:rPr>
        <w:t>s name due to the ethical issues and confidentiality in the classroom</w:t>
      </w:r>
      <w:r>
        <w:rPr>
          <w:rFonts w:ascii="Arial" w:hAnsi="Arial"/>
          <w:sz w:val="24"/>
          <w:szCs w:val="24"/>
          <w:rtl w:val="0"/>
          <w:lang w:val="en-US"/>
        </w:rPr>
        <w:t>, therefore I will identify the school as School X</w:t>
      </w:r>
      <w:r>
        <w:rPr>
          <w:rFonts w:ascii="Arial" w:hAnsi="Arial"/>
          <w:sz w:val="24"/>
          <w:szCs w:val="24"/>
          <w:rtl w:val="0"/>
          <w:lang w:val="en-US"/>
        </w:rPr>
        <w:t xml:space="preserve">. </w:t>
      </w:r>
    </w:p>
    <w:p>
      <w:pPr>
        <w:pStyle w:val="Body"/>
        <w:spacing w:line="480" w:lineRule="auto"/>
      </w:pPr>
      <w:r>
        <w:rPr>
          <w:rFonts w:ascii="Arial" w:cs="Arial" w:hAnsi="Arial" w:eastAsia="Arial"/>
          <w:sz w:val="24"/>
          <w:szCs w:val="24"/>
          <w:lang w:val="en-US"/>
        </w:rPr>
        <w:tab/>
      </w:r>
      <w:r>
        <w:rPr>
          <w:rFonts w:ascii="Arial" w:hAnsi="Arial"/>
          <w:sz w:val="24"/>
          <w:szCs w:val="24"/>
          <w:rtl w:val="0"/>
          <w:lang w:val="en-US"/>
        </w:rPr>
        <w:t>School X</w:t>
      </w:r>
      <w:r>
        <w:rPr>
          <w:rFonts w:ascii="Arial" w:hAnsi="Arial"/>
          <w:sz w:val="24"/>
          <w:szCs w:val="24"/>
          <w:rtl w:val="0"/>
          <w:lang w:val="en-US"/>
        </w:rPr>
        <w:t xml:space="preserve"> was </w:t>
      </w:r>
      <w:r>
        <w:rPr>
          <w:rFonts w:ascii="Arial" w:hAnsi="Arial"/>
          <w:sz w:val="24"/>
          <w:szCs w:val="24"/>
          <w:rtl w:val="0"/>
          <w:lang w:val="en-US"/>
        </w:rPr>
        <w:t>1</w:t>
      </w:r>
      <w:r>
        <w:rPr>
          <w:rFonts w:ascii="Arial" w:hAnsi="Arial"/>
          <w:sz w:val="24"/>
          <w:szCs w:val="24"/>
          <w:rtl w:val="0"/>
          <w:lang w:val="en-US"/>
        </w:rPr>
        <w:t xml:space="preserve"> of 18 primary schools in Wales to pick up a recognising excellence award at a recent Estyn Awards ceremony. </w:t>
      </w:r>
      <w:r>
        <w:rPr>
          <w:rFonts w:ascii="Arial" w:hAnsi="Arial"/>
          <w:sz w:val="24"/>
          <w:szCs w:val="24"/>
          <w:rtl w:val="0"/>
          <w:lang w:val="en-US"/>
        </w:rPr>
        <w:t>They received ESTYN (2018, p.2) Recognising Excellence Awards</w:t>
      </w:r>
      <w:r>
        <w:rPr>
          <w:rFonts w:ascii="Arial" w:hAnsi="Arial"/>
          <w:sz w:val="24"/>
          <w:szCs w:val="24"/>
          <w:rtl w:val="0"/>
          <w:lang w:val="en-US"/>
        </w:rPr>
        <w:t xml:space="preserve">. </w:t>
      </w:r>
      <w:r>
        <w:rPr>
          <w:rFonts w:ascii="Arial" w:hAnsi="Arial"/>
          <w:sz w:val="24"/>
          <w:szCs w:val="24"/>
          <w:rtl w:val="0"/>
          <w:lang w:val="en-US"/>
        </w:rPr>
        <w:t>School X is situated in</w:t>
      </w:r>
      <w:r>
        <w:rPr>
          <w:rFonts w:ascii="Arial" w:hAnsi="Arial"/>
          <w:sz w:val="24"/>
          <w:szCs w:val="24"/>
          <w:rtl w:val="0"/>
          <w:lang w:val="en-US"/>
        </w:rPr>
        <w:t xml:space="preserve"> the City an</w:t>
      </w:r>
      <w:r>
        <w:rPr>
          <w:rFonts w:ascii="Arial" w:hAnsi="Arial"/>
          <w:sz w:val="24"/>
          <w:szCs w:val="24"/>
          <w:rtl w:val="0"/>
          <w:lang w:val="en-US"/>
        </w:rPr>
        <w:t>d</w:t>
      </w:r>
      <w:r>
        <w:rPr>
          <w:rFonts w:ascii="Arial" w:hAnsi="Arial"/>
          <w:sz w:val="24"/>
          <w:szCs w:val="24"/>
          <w:rtl w:val="0"/>
          <w:lang w:val="en-US"/>
        </w:rPr>
        <w:t xml:space="preserve"> County of Swansea lying some 6 miles to the </w:t>
      </w:r>
      <w:r>
        <w:rPr>
          <w:rFonts w:ascii="Arial" w:hAnsi="Arial"/>
          <w:sz w:val="24"/>
          <w:szCs w:val="24"/>
          <w:rtl w:val="0"/>
          <w:lang w:val="en-US"/>
        </w:rPr>
        <w:t>N</w:t>
      </w:r>
      <w:r>
        <w:rPr>
          <w:rFonts w:ascii="Arial" w:hAnsi="Arial"/>
          <w:sz w:val="24"/>
          <w:szCs w:val="24"/>
          <w:rtl w:val="0"/>
          <w:lang w:val="en-US"/>
        </w:rPr>
        <w:t xml:space="preserve">orth </w:t>
      </w:r>
      <w:r>
        <w:rPr>
          <w:rFonts w:ascii="Arial" w:hAnsi="Arial"/>
          <w:sz w:val="24"/>
          <w:szCs w:val="24"/>
          <w:rtl w:val="0"/>
          <w:lang w:val="en-US"/>
        </w:rPr>
        <w:t>E</w:t>
      </w:r>
      <w:r>
        <w:rPr>
          <w:rFonts w:ascii="Arial" w:hAnsi="Arial"/>
          <w:sz w:val="24"/>
          <w:szCs w:val="24"/>
          <w:rtl w:val="0"/>
          <w:lang w:val="en-US"/>
        </w:rPr>
        <w:t>ast of Swansea City Centre.</w:t>
      </w:r>
      <w:r>
        <w:rPr>
          <w:rFonts w:ascii="Arial" w:hAnsi="Arial"/>
          <w:sz w:val="24"/>
          <w:szCs w:val="24"/>
          <w:rtl w:val="0"/>
          <w:lang w:val="en-US"/>
        </w:rPr>
        <w:t xml:space="preserve"> </w:t>
      </w:r>
      <w:r>
        <w:rPr>
          <w:rFonts w:ascii="Arial" w:hAnsi="Arial"/>
          <w:sz w:val="24"/>
          <w:szCs w:val="24"/>
          <w:rtl w:val="0"/>
          <w:lang w:val="en-US"/>
        </w:rPr>
        <w:t>School X</w:t>
      </w:r>
      <w:r>
        <w:rPr>
          <w:rFonts w:ascii="Arial" w:hAnsi="Arial"/>
          <w:sz w:val="24"/>
          <w:szCs w:val="24"/>
          <w:rtl w:val="0"/>
          <w:lang w:val="en-US"/>
        </w:rPr>
        <w:t xml:space="preserve"> has a capacity of 190 children who are from both the </w:t>
      </w:r>
      <w:r>
        <w:rPr>
          <w:rFonts w:ascii="Arial" w:hAnsi="Arial"/>
          <w:sz w:val="24"/>
          <w:szCs w:val="24"/>
          <w:rtl w:val="0"/>
          <w:lang w:val="en-US"/>
        </w:rPr>
        <w:t>two local</w:t>
      </w:r>
      <w:r>
        <w:rPr>
          <w:rFonts w:ascii="Arial" w:hAnsi="Arial"/>
          <w:sz w:val="24"/>
          <w:szCs w:val="24"/>
          <w:rtl w:val="0"/>
          <w:lang w:val="en-US"/>
        </w:rPr>
        <w:t xml:space="preserve"> communities.</w:t>
      </w:r>
      <w:r>
        <w:rPr>
          <w:rFonts w:ascii="Arial" w:hAnsi="Arial"/>
          <w:sz w:val="24"/>
          <w:szCs w:val="24"/>
          <w:rtl w:val="0"/>
          <w:lang w:val="en-US"/>
        </w:rPr>
        <w:t xml:space="preserve"> 95.2</w:t>
      </w:r>
      <w:r>
        <w:rPr>
          <w:rFonts w:ascii="Arial" w:hAnsi="Arial"/>
          <w:sz w:val="24"/>
          <w:szCs w:val="24"/>
          <w:rtl w:val="0"/>
          <w:lang w:val="en-US"/>
        </w:rPr>
        <w:t xml:space="preserve">% </w:t>
      </w:r>
      <w:r>
        <w:rPr>
          <w:rFonts w:ascii="Arial" w:hAnsi="Arial"/>
          <w:sz w:val="24"/>
          <w:szCs w:val="24"/>
          <w:rtl w:val="0"/>
          <w:lang w:val="en-US"/>
        </w:rPr>
        <w:t xml:space="preserve">of </w:t>
      </w:r>
      <w:r>
        <w:rPr>
          <w:rFonts w:ascii="Arial" w:hAnsi="Arial"/>
          <w:sz w:val="24"/>
          <w:szCs w:val="24"/>
          <w:rtl w:val="0"/>
          <w:lang w:val="en-US"/>
        </w:rPr>
        <w:t>pupils a</w:t>
      </w:r>
      <w:r>
        <w:rPr>
          <w:rFonts w:ascii="Arial" w:hAnsi="Arial"/>
          <w:sz w:val="24"/>
          <w:szCs w:val="24"/>
          <w:rtl w:val="0"/>
          <w:lang w:val="en-US"/>
        </w:rPr>
        <w:t>re achieving</w:t>
      </w:r>
      <w:r>
        <w:rPr>
          <w:rFonts w:ascii="Arial" w:hAnsi="Arial"/>
          <w:sz w:val="24"/>
          <w:szCs w:val="24"/>
          <w:rtl w:val="0"/>
          <w:lang w:val="en-US"/>
        </w:rPr>
        <w:t xml:space="preserve"> the expected outcome in the Foundation Phase areas of learning</w:t>
      </w:r>
      <w:r>
        <w:rPr>
          <w:rFonts w:ascii="Arial" w:hAnsi="Arial"/>
          <w:sz w:val="24"/>
          <w:szCs w:val="24"/>
          <w:rtl w:val="0"/>
          <w:lang w:val="en-US"/>
        </w:rPr>
        <w:t xml:space="preserve"> and 89.5</w:t>
      </w:r>
      <w:r>
        <w:rPr>
          <w:rFonts w:ascii="Arial" w:hAnsi="Arial"/>
          <w:sz w:val="24"/>
          <w:szCs w:val="24"/>
          <w:rtl w:val="0"/>
          <w:lang w:val="en-US"/>
        </w:rPr>
        <w:t xml:space="preserve">% </w:t>
      </w:r>
      <w:r>
        <w:rPr>
          <w:rFonts w:ascii="Arial" w:hAnsi="Arial"/>
          <w:sz w:val="24"/>
          <w:szCs w:val="24"/>
          <w:rtl w:val="0"/>
          <w:lang w:val="en-US"/>
        </w:rPr>
        <w:t xml:space="preserve">of </w:t>
      </w:r>
      <w:r>
        <w:rPr>
          <w:rFonts w:ascii="Arial" w:hAnsi="Arial"/>
          <w:sz w:val="24"/>
          <w:szCs w:val="24"/>
          <w:rtl w:val="0"/>
          <w:lang w:val="en-US"/>
        </w:rPr>
        <w:t xml:space="preserve">pupils have reached the expected level </w:t>
      </w:r>
      <w:r>
        <w:rPr>
          <w:rFonts w:ascii="Arial" w:hAnsi="Arial"/>
          <w:sz w:val="24"/>
          <w:szCs w:val="24"/>
          <w:rtl w:val="0"/>
          <w:lang w:val="en-US"/>
        </w:rPr>
        <w:t>of the c</w:t>
      </w:r>
      <w:r>
        <w:rPr>
          <w:rFonts w:ascii="Arial" w:hAnsi="Arial"/>
          <w:sz w:val="24"/>
          <w:szCs w:val="24"/>
          <w:rtl w:val="0"/>
          <w:lang w:val="en-US"/>
        </w:rPr>
        <w:t>ore subject indicator</w:t>
      </w:r>
      <w:r>
        <w:rPr>
          <w:rFonts w:ascii="Arial" w:hAnsi="Arial"/>
          <w:sz w:val="24"/>
          <w:szCs w:val="24"/>
          <w:rtl w:val="0"/>
          <w:lang w:val="en-US"/>
        </w:rPr>
        <w:t>. There is a total of 50.1% free school meals. Throughout my professional teaching experience, I was in Reception class, in Foundation Phase, working with 4 and 5 year olds.</w:t>
      </w:r>
    </w:p>
    <w:p>
      <w:pPr>
        <w:pStyle w:val="Body"/>
        <w:spacing w:line="480" w:lineRule="auto"/>
      </w:pPr>
      <w:r>
        <w:rPr>
          <w:rFonts w:ascii="Arial" w:cs="Arial" w:hAnsi="Arial" w:eastAsia="Arial"/>
          <w:sz w:val="24"/>
          <w:szCs w:val="24"/>
          <w:rtl w:val="0"/>
          <w:lang w:val="en-US"/>
        </w:rPr>
        <w:tab/>
        <w:t xml:space="preserve">There is a new curriculum in Wales which was informed by Professor Graham Donaldson which is called </w:t>
      </w:r>
      <w:r>
        <w:rPr>
          <w:rFonts w:ascii="Arial" w:hAnsi="Arial" w:hint="default"/>
          <w:sz w:val="24"/>
          <w:szCs w:val="24"/>
          <w:rtl w:val="0"/>
          <w:lang w:val="en-US"/>
        </w:rPr>
        <w:t>‘</w:t>
      </w:r>
      <w:r>
        <w:rPr>
          <w:rFonts w:ascii="Arial" w:hAnsi="Arial"/>
          <w:sz w:val="24"/>
          <w:szCs w:val="24"/>
          <w:rtl w:val="0"/>
          <w:lang w:val="en-US"/>
        </w:rPr>
        <w:t>Successful Futures</w:t>
      </w:r>
      <w:r>
        <w:rPr>
          <w:rFonts w:ascii="Arial" w:hAnsi="Arial" w:hint="default"/>
          <w:sz w:val="24"/>
          <w:szCs w:val="24"/>
          <w:rtl w:val="0"/>
          <w:lang w:val="en-US"/>
        </w:rPr>
        <w:t>’</w:t>
      </w:r>
      <w:r>
        <w:rPr>
          <w:rFonts w:ascii="Arial" w:hAnsi="Arial"/>
          <w:sz w:val="24"/>
          <w:szCs w:val="24"/>
          <w:rtl w:val="0"/>
          <w:lang w:val="en-US"/>
        </w:rPr>
        <w:t xml:space="preserve">. This new curriculum that is evolving is replacing key stages with </w:t>
      </w:r>
      <w:r>
        <w:rPr>
          <w:rFonts w:ascii="Arial" w:hAnsi="Arial" w:hint="default"/>
          <w:sz w:val="24"/>
          <w:szCs w:val="24"/>
          <w:rtl w:val="0"/>
          <w:lang w:val="en-US"/>
        </w:rPr>
        <w:t>‘</w:t>
      </w:r>
      <w:r>
        <w:rPr>
          <w:rFonts w:ascii="Arial" w:hAnsi="Arial"/>
          <w:sz w:val="24"/>
          <w:szCs w:val="24"/>
          <w:rtl w:val="0"/>
          <w:lang w:val="en-US"/>
        </w:rPr>
        <w:t>progression steps</w:t>
      </w:r>
      <w:r>
        <w:rPr>
          <w:rFonts w:ascii="Arial" w:hAnsi="Arial" w:hint="default"/>
          <w:sz w:val="24"/>
          <w:szCs w:val="24"/>
          <w:rtl w:val="0"/>
          <w:lang w:val="en-US"/>
        </w:rPr>
        <w:t xml:space="preserve">’ </w:t>
      </w:r>
      <w:r>
        <w:rPr>
          <w:rFonts w:ascii="Arial" w:hAnsi="Arial"/>
          <w:sz w:val="24"/>
          <w:szCs w:val="24"/>
          <w:rtl w:val="0"/>
          <w:lang w:val="en-US"/>
        </w:rPr>
        <w:t xml:space="preserve">and it provides a </w:t>
      </w:r>
      <w:r>
        <w:rPr>
          <w:rFonts w:ascii="Arial" w:hAnsi="Arial" w:hint="default"/>
          <w:sz w:val="24"/>
          <w:szCs w:val="24"/>
          <w:rtl w:val="0"/>
          <w:lang w:val="en-US"/>
        </w:rPr>
        <w:t>‘</w:t>
      </w:r>
      <w:r>
        <w:rPr>
          <w:rFonts w:ascii="Arial" w:hAnsi="Arial"/>
          <w:sz w:val="24"/>
          <w:szCs w:val="24"/>
          <w:rtl w:val="0"/>
          <w:lang w:val="en-US"/>
        </w:rPr>
        <w:t>road map</w:t>
      </w:r>
      <w:r>
        <w:rPr>
          <w:rFonts w:ascii="Arial" w:hAnsi="Arial" w:hint="default"/>
          <w:sz w:val="24"/>
          <w:szCs w:val="24"/>
          <w:rtl w:val="0"/>
          <w:lang w:val="en-US"/>
        </w:rPr>
        <w:t xml:space="preserve">’ </w:t>
      </w:r>
      <w:r>
        <w:rPr>
          <w:rFonts w:ascii="Arial" w:hAnsi="Arial"/>
          <w:sz w:val="24"/>
          <w:szCs w:val="24"/>
          <w:rtl w:val="0"/>
          <w:lang w:val="en-US"/>
        </w:rPr>
        <w:t xml:space="preserve">for pupils according to their individual needs. Successful Futures is available for feedback by 2019 and it will be used in Wales by 2022 for children aged 3 - 16. The whole aim of this new curriculum for Wales is to ensure that young people will be ready for their life. A new digital competence framework is introducing digital skills across the curriculum and it will include three cross-curricular responsibilities: literacy, numeracy and digital competence. </w:t>
      </w:r>
    </w:p>
    <w:p>
      <w:pPr>
        <w:pStyle w:val="Body"/>
        <w:spacing w:line="480" w:lineRule="auto"/>
      </w:pPr>
      <w:r>
        <w:rPr>
          <w:rFonts w:ascii="Arial" w:cs="Arial" w:hAnsi="Arial" w:eastAsia="Arial"/>
          <w:sz w:val="24"/>
          <w:szCs w:val="24"/>
          <w:lang w:val="en-US"/>
        </w:rPr>
        <w:tab/>
      </w:r>
      <w:r>
        <w:rPr>
          <w:rFonts w:ascii="Arial" w:hAnsi="Arial"/>
          <w:sz w:val="24"/>
          <w:szCs w:val="24"/>
          <w:rtl w:val="0"/>
          <w:lang w:val="en-US"/>
        </w:rPr>
        <w:t>The new curriculum supports learners to be a</w:t>
      </w:r>
      <w:r>
        <w:rPr>
          <w:rFonts w:ascii="Arial" w:hAnsi="Arial"/>
          <w:sz w:val="24"/>
          <w:szCs w:val="24"/>
          <w:rtl w:val="0"/>
          <w:lang w:val="en-US"/>
        </w:rPr>
        <w:t xml:space="preserve">mbitious, capable learners, ready to learn throughout their lives. Enterprising, creative contributors, ready to play a full part in life and work. Ethical, informed citizens of Wales and the world. Also healthy, confident individuals, ready to lead fulfilling lives as valued members of society. </w:t>
      </w:r>
      <w:r>
        <w:rPr>
          <w:rFonts w:ascii="Arial" w:hAnsi="Arial"/>
          <w:sz w:val="24"/>
          <w:szCs w:val="24"/>
          <w:rtl w:val="0"/>
          <w:lang w:val="en-US"/>
        </w:rPr>
        <w:t>Within the new curriculum, there will be 6 areas of learning which will be e</w:t>
      </w:r>
      <w:r>
        <w:rPr>
          <w:rFonts w:ascii="Arial" w:hAnsi="Arial"/>
          <w:sz w:val="24"/>
          <w:szCs w:val="24"/>
          <w:rtl w:val="0"/>
          <w:lang w:val="en-US"/>
        </w:rPr>
        <w:t xml:space="preserve">xpressive arts, health and well-being, humanities, languages, literacy and communication, Maths and numeracy and Science and technology. </w:t>
      </w:r>
      <w:r>
        <w:rPr>
          <w:rFonts w:ascii="Arial" w:hAnsi="Arial"/>
          <w:sz w:val="24"/>
          <w:szCs w:val="24"/>
          <w:rtl w:val="0"/>
          <w:lang w:val="en-US"/>
        </w:rPr>
        <w:t>What does the new curriculum mean for primary schools? It means that there will be a focus on</w:t>
      </w:r>
      <w:r>
        <w:rPr>
          <w:rFonts w:ascii="Arial" w:hAnsi="Arial"/>
          <w:sz w:val="24"/>
          <w:szCs w:val="24"/>
          <w:rtl w:val="0"/>
          <w:lang w:val="en-US"/>
        </w:rPr>
        <w:t xml:space="preserve"> Areas of Learning and Experience instead of subjects which will enable schools to build on the Foundation Phase up to the middle of primary school. Teachers in Key Stage 2 will be able to focus more on creatively planning as they do not have to cover all the subjects. Schools and teachers can choose to organise learning in a way which is likely to have the best outcome.</w:t>
      </w:r>
    </w:p>
    <w:p>
      <w:pPr>
        <w:pStyle w:val="Body"/>
        <w:spacing w:line="480" w:lineRule="auto"/>
      </w:pPr>
      <w:r>
        <w:rPr>
          <w:rFonts w:ascii="Arial" w:cs="Arial" w:hAnsi="Arial" w:eastAsia="Arial"/>
          <w:sz w:val="24"/>
          <w:szCs w:val="24"/>
          <w:rtl w:val="0"/>
          <w:lang w:val="en-US"/>
        </w:rPr>
        <w:tab/>
        <w:t xml:space="preserve">What is it that teachers know that makes them special? Is it that they can care for children? Control large groups? Have subject knowledge? Educationalist Lee Shulman asked the same question and he came up with a way of describing this and he called it Pedagogical Content Knowledge. </w:t>
      </w:r>
      <w:r>
        <w:rPr>
          <w:rFonts w:ascii="Arial" w:hAnsi="Arial"/>
          <w:sz w:val="24"/>
          <w:szCs w:val="24"/>
          <w:rtl w:val="0"/>
          <w:lang w:val="en-US"/>
        </w:rPr>
        <w:t xml:space="preserve">It was defined as </w:t>
      </w:r>
      <w:r>
        <w:rPr>
          <w:rFonts w:ascii="Arial" w:hAnsi="Arial" w:hint="default"/>
          <w:sz w:val="24"/>
          <w:szCs w:val="24"/>
          <w:rtl w:val="0"/>
          <w:lang w:val="en-US"/>
        </w:rPr>
        <w:t>“</w:t>
      </w:r>
      <w:r>
        <w:rPr>
          <w:rFonts w:ascii="Arial" w:hAnsi="Arial"/>
          <w:sz w:val="24"/>
          <w:szCs w:val="24"/>
          <w:rtl w:val="0"/>
          <w:lang w:val="en-US"/>
        </w:rPr>
        <w:t>the</w:t>
      </w:r>
      <w:r>
        <w:rPr>
          <w:rFonts w:ascii="Arial" w:hAnsi="Arial"/>
          <w:sz w:val="24"/>
          <w:szCs w:val="24"/>
          <w:rtl w:val="0"/>
          <w:lang w:val="en-US"/>
        </w:rPr>
        <w:t xml:space="preserve"> second kind of content knowledge</w:t>
      </w:r>
      <w:r>
        <w:rPr>
          <w:rFonts w:ascii="Arial" w:hAnsi="Arial" w:hint="default"/>
          <w:sz w:val="24"/>
          <w:szCs w:val="24"/>
          <w:rtl w:val="0"/>
          <w:lang w:val="en-US"/>
        </w:rPr>
        <w:t xml:space="preserve">” </w:t>
      </w:r>
      <w:r>
        <w:rPr>
          <w:rFonts w:ascii="Arial" w:hAnsi="Arial"/>
          <w:sz w:val="24"/>
          <w:szCs w:val="24"/>
          <w:rtl w:val="0"/>
          <w:lang w:val="en-US"/>
        </w:rPr>
        <w:t>(Shulman, 1986, p. 9)</w:t>
      </w:r>
      <w:r>
        <w:rPr>
          <w:rFonts w:ascii="Arial" w:hAnsi="Arial"/>
          <w:sz w:val="24"/>
          <w:szCs w:val="24"/>
          <w:rtl w:val="0"/>
          <w:lang w:val="en-US"/>
        </w:rPr>
        <w:t xml:space="preserve">. </w:t>
      </w:r>
      <w:r>
        <w:rPr>
          <w:rFonts w:ascii="Arial" w:hAnsi="Arial"/>
          <w:sz w:val="24"/>
          <w:szCs w:val="24"/>
          <w:rtl w:val="0"/>
          <w:lang w:val="en-US"/>
        </w:rPr>
        <w:t>Lee Shulman was the President of the American Education Research Association back in the early 1980s and he was a man who was always thinking and learning.</w:t>
      </w:r>
      <w:r>
        <w:rPr>
          <w:rFonts w:ascii="Arial" w:hAnsi="Arial"/>
          <w:sz w:val="24"/>
          <w:szCs w:val="24"/>
          <w:rtl w:val="0"/>
          <w:lang w:val="en-US"/>
        </w:rPr>
        <w:t xml:space="preserve"> </w:t>
      </w:r>
      <w:r>
        <w:rPr>
          <w:rFonts w:ascii="Arial" w:hAnsi="Arial" w:hint="default"/>
          <w:sz w:val="24"/>
          <w:szCs w:val="24"/>
          <w:rtl w:val="0"/>
          <w:lang w:val="en-US"/>
        </w:rPr>
        <w:t>“</w:t>
      </w:r>
      <w:r>
        <w:rPr>
          <w:rFonts w:ascii="Arial" w:hAnsi="Arial"/>
          <w:sz w:val="24"/>
          <w:szCs w:val="24"/>
          <w:rtl w:val="0"/>
          <w:lang w:val="en-US"/>
        </w:rPr>
        <w:t>Lee Shulman</w:t>
      </w:r>
      <w:r>
        <w:rPr>
          <w:rFonts w:ascii="Arial" w:hAnsi="Arial" w:hint="default"/>
          <w:sz w:val="24"/>
          <w:szCs w:val="24"/>
          <w:rtl w:val="0"/>
          <w:lang w:val="en-US"/>
        </w:rPr>
        <w:t>’</w:t>
      </w:r>
      <w:r>
        <w:rPr>
          <w:rFonts w:ascii="Arial" w:hAnsi="Arial"/>
          <w:sz w:val="24"/>
          <w:szCs w:val="24"/>
          <w:rtl w:val="0"/>
          <w:lang w:val="en-US"/>
        </w:rPr>
        <w:t>s</w:t>
      </w:r>
      <w:r>
        <w:rPr>
          <w:rFonts w:ascii="Arial" w:hAnsi="Arial"/>
          <w:sz w:val="24"/>
          <w:szCs w:val="24"/>
          <w:rtl w:val="0"/>
          <w:lang w:val="en-US"/>
        </w:rPr>
        <w:t xml:space="preserve"> t</w:t>
      </w:r>
      <w:r>
        <w:rPr>
          <w:rFonts w:ascii="Arial" w:hAnsi="Arial"/>
          <w:sz w:val="24"/>
          <w:szCs w:val="24"/>
          <w:rtl w:val="0"/>
          <w:lang w:val="en-US"/>
        </w:rPr>
        <w:t>heoretical framework has had a substantial influence on research in preservice teacher education, and consequently, schools of education</w:t>
      </w:r>
      <w:r>
        <w:rPr>
          <w:rFonts w:ascii="Arial" w:hAnsi="Arial" w:hint="default"/>
          <w:sz w:val="24"/>
          <w:szCs w:val="24"/>
          <w:rtl w:val="0"/>
          <w:lang w:val="en-US"/>
        </w:rPr>
        <w:t xml:space="preserve">” </w:t>
      </w:r>
      <w:r>
        <w:rPr>
          <w:rFonts w:ascii="Arial" w:hAnsi="Arial"/>
          <w:sz w:val="24"/>
          <w:szCs w:val="24"/>
          <w:rtl w:val="0"/>
          <w:lang w:val="en-US"/>
        </w:rPr>
        <w:t xml:space="preserve">(Mecoli, 2013, p.27). He believed that there is not much to teaching, as long as you had the knowledge of the content, that was enough. </w:t>
      </w:r>
      <w:r>
        <w:rPr>
          <w:rFonts w:ascii="Arial" w:hAnsi="Arial" w:hint="default"/>
          <w:sz w:val="24"/>
          <w:szCs w:val="24"/>
          <w:rtl w:val="0"/>
          <w:lang w:val="en-US"/>
        </w:rPr>
        <w:t>“</w:t>
      </w:r>
      <w:r>
        <w:rPr>
          <w:rFonts w:ascii="Arial" w:hAnsi="Arial"/>
          <w:sz w:val="24"/>
          <w:szCs w:val="24"/>
          <w:rtl w:val="0"/>
          <w:lang w:val="en-US"/>
        </w:rPr>
        <w:t>Pedagogical content knowledge is a form of knowledge that makes science teachers</w:t>
      </w:r>
      <w:r>
        <w:rPr>
          <w:rFonts w:ascii="Arial" w:hAnsi="Arial"/>
          <w:sz w:val="24"/>
          <w:szCs w:val="24"/>
          <w:rtl w:val="0"/>
          <w:lang w:val="en-US"/>
        </w:rPr>
        <w:t>,</w:t>
      </w:r>
      <w:r>
        <w:rPr>
          <w:rFonts w:ascii="Arial" w:hAnsi="Arial"/>
          <w:sz w:val="24"/>
          <w:szCs w:val="24"/>
          <w:rtl w:val="0"/>
          <w:lang w:val="en-US"/>
        </w:rPr>
        <w:t xml:space="preserve"> teachers rather than</w:t>
      </w:r>
      <w:r>
        <w:rPr>
          <w:rFonts w:ascii="Arial" w:hAnsi="Arial"/>
          <w:sz w:val="24"/>
          <w:szCs w:val="24"/>
          <w:rtl w:val="0"/>
          <w:lang w:val="en-US"/>
        </w:rPr>
        <w:t xml:space="preserve"> </w:t>
      </w:r>
      <w:r>
        <w:rPr>
          <w:rFonts w:ascii="Arial" w:hAnsi="Arial"/>
          <w:sz w:val="24"/>
          <w:szCs w:val="24"/>
          <w:rtl w:val="0"/>
          <w:lang w:val="en-US"/>
        </w:rPr>
        <w:t>scientists</w:t>
      </w:r>
      <w:r>
        <w:rPr>
          <w:rFonts w:ascii="Arial" w:hAnsi="Arial" w:hint="default"/>
          <w:sz w:val="24"/>
          <w:szCs w:val="24"/>
          <w:rtl w:val="0"/>
          <w:lang w:val="en-US"/>
        </w:rPr>
        <w:t>”</w:t>
      </w:r>
      <w:r>
        <w:rPr>
          <w:rFonts w:ascii="Arial" w:hAnsi="Arial"/>
          <w:sz w:val="24"/>
          <w:szCs w:val="24"/>
          <w:rtl w:val="0"/>
          <w:lang w:val="en-US"/>
        </w:rPr>
        <w:t xml:space="preserve"> (Gudmundsdottir, 1987</w:t>
      </w:r>
      <w:r>
        <w:rPr>
          <w:rFonts w:ascii="Arial" w:hAnsi="Arial"/>
          <w:sz w:val="24"/>
          <w:szCs w:val="24"/>
          <w:rtl w:val="0"/>
          <w:lang w:val="en-US"/>
        </w:rPr>
        <w:t xml:space="preserve">, p.56). Shulman believed that teaching was no less cognitively complex than medicine and that teachers, like doctors, engaged in acts of decisions - making and professional judgement the informed their practice. </w:t>
      </w:r>
      <w:r>
        <w:rPr>
          <w:rFonts w:ascii="Arial" w:hAnsi="Arial" w:hint="default"/>
          <w:sz w:val="24"/>
          <w:szCs w:val="24"/>
          <w:rtl w:val="0"/>
          <w:lang w:val="en-US"/>
        </w:rPr>
        <w:t>“</w:t>
      </w:r>
      <w:r>
        <w:rPr>
          <w:rFonts w:ascii="Arial" w:hAnsi="Arial"/>
          <w:sz w:val="24"/>
          <w:szCs w:val="24"/>
          <w:rtl w:val="0"/>
          <w:lang w:val="en-US"/>
        </w:rPr>
        <w:t>In the teaching and learning process, a PCK involves teachers' competence in delivering the conceptual approach, relational understanding and adaptive reasoning of the subject</w:t>
      </w:r>
      <w:r>
        <w:rPr>
          <w:rFonts w:ascii="Arial" w:hAnsi="Arial"/>
          <w:sz w:val="24"/>
          <w:szCs w:val="24"/>
          <w:rtl w:val="0"/>
          <w:lang w:val="en-US"/>
        </w:rPr>
        <w:t xml:space="preserve"> matter</w:t>
      </w:r>
      <w:r>
        <w:rPr>
          <w:rFonts w:ascii="Arial" w:hAnsi="Arial" w:hint="default"/>
          <w:sz w:val="24"/>
          <w:szCs w:val="24"/>
          <w:rtl w:val="0"/>
          <w:lang w:val="en-US"/>
        </w:rPr>
        <w:t xml:space="preserve">” </w:t>
      </w:r>
      <w:r>
        <w:rPr>
          <w:rFonts w:ascii="Arial" w:hAnsi="Arial"/>
          <w:sz w:val="24"/>
          <w:szCs w:val="24"/>
          <w:rtl w:val="0"/>
          <w:lang w:val="en-US"/>
        </w:rPr>
        <w:t>(Puteh, 2014, p.12). Shulman thought that one crucial aspect of teachers</w:t>
      </w:r>
      <w:r>
        <w:rPr>
          <w:rFonts w:ascii="Arial" w:hAnsi="Arial" w:hint="default"/>
          <w:sz w:val="24"/>
          <w:szCs w:val="24"/>
          <w:rtl w:val="0"/>
          <w:lang w:val="en-US"/>
        </w:rPr>
        <w:t xml:space="preserve">’ </w:t>
      </w:r>
      <w:r>
        <w:rPr>
          <w:rFonts w:ascii="Arial" w:hAnsi="Arial"/>
          <w:sz w:val="24"/>
          <w:szCs w:val="24"/>
          <w:rtl w:val="0"/>
          <w:lang w:val="en-US"/>
        </w:rPr>
        <w:t xml:space="preserve">knowledge development is how they can develop and grow upon their subject knowledge, focusing on what they already know about a subject. </w:t>
      </w:r>
      <w:r>
        <w:rPr>
          <w:rFonts w:ascii="Arial" w:hAnsi="Arial"/>
          <w:sz w:val="24"/>
          <w:szCs w:val="24"/>
          <w:rtl w:val="0"/>
          <w:lang w:val="en-US"/>
        </w:rPr>
        <w:t xml:space="preserve">This is what Shulman saw as an integral form of content knowledge. </w:t>
      </w:r>
    </w:p>
    <w:p>
      <w:pPr>
        <w:pStyle w:val="Body"/>
        <w:spacing w:line="480" w:lineRule="auto"/>
      </w:pPr>
      <w:r>
        <w:rPr>
          <w:rFonts w:ascii="Arial" w:cs="Arial" w:hAnsi="Arial" w:eastAsia="Arial"/>
          <w:sz w:val="24"/>
          <w:szCs w:val="24"/>
          <w:lang w:val="en-US"/>
        </w:rPr>
        <w:tab/>
      </w:r>
      <w:r>
        <w:rPr>
          <w:rFonts w:ascii="Arial" w:hAnsi="Arial"/>
          <w:sz w:val="24"/>
          <w:szCs w:val="24"/>
          <w:rtl w:val="0"/>
          <w:lang w:val="en-US"/>
        </w:rPr>
        <w:t xml:space="preserve">Content knowledge is how much knowledge you have of a subject. </w:t>
      </w:r>
      <w:r>
        <w:rPr>
          <w:rFonts w:ascii="Arial" w:hAnsi="Arial" w:hint="default"/>
          <w:sz w:val="24"/>
          <w:szCs w:val="24"/>
          <w:rtl w:val="0"/>
          <w:lang w:val="en-US"/>
        </w:rPr>
        <w:t>“</w:t>
      </w:r>
      <w:r>
        <w:rPr>
          <w:rFonts w:ascii="Arial" w:hAnsi="Arial"/>
          <w:sz w:val="24"/>
          <w:szCs w:val="24"/>
          <w:rtl w:val="0"/>
          <w:lang w:val="en-US"/>
        </w:rPr>
        <w:t>Knowledge of the subject matter without consideration about teaching the subject matter</w:t>
      </w:r>
      <w:r>
        <w:rPr>
          <w:rFonts w:ascii="Arial" w:hAnsi="Arial" w:hint="default"/>
          <w:sz w:val="24"/>
          <w:szCs w:val="24"/>
          <w:rtl w:val="0"/>
          <w:lang w:val="en-US"/>
        </w:rPr>
        <w:t xml:space="preserve">” </w:t>
      </w:r>
      <w:r>
        <w:rPr>
          <w:rFonts w:ascii="Arial" w:hAnsi="Arial"/>
          <w:sz w:val="24"/>
          <w:szCs w:val="24"/>
          <w:rtl w:val="0"/>
          <w:lang w:val="en-US"/>
        </w:rPr>
        <w:t xml:space="preserve">(Enqvist, 2016, p.3). </w:t>
      </w:r>
      <w:r>
        <w:rPr>
          <w:rFonts w:ascii="Arial" w:hAnsi="Arial"/>
          <w:sz w:val="24"/>
          <w:szCs w:val="24"/>
          <w:rtl w:val="0"/>
          <w:lang w:val="en-US"/>
        </w:rPr>
        <w:t>.</w:t>
      </w:r>
      <w:r>
        <w:rPr>
          <w:rFonts w:ascii="Arial" w:hAnsi="Arial"/>
          <w:sz w:val="24"/>
          <w:szCs w:val="24"/>
          <w:rtl w:val="0"/>
          <w:lang w:val="en-US"/>
        </w:rPr>
        <w:t xml:space="preserve">Teachers need to be subject experts and this is their content knowledge. </w:t>
      </w:r>
      <w:r>
        <w:rPr>
          <w:rFonts w:ascii="Arial" w:hAnsi="Arial" w:hint="default"/>
          <w:sz w:val="24"/>
          <w:szCs w:val="24"/>
          <w:rtl w:val="0"/>
          <w:lang w:val="en-US"/>
        </w:rPr>
        <w:t>“</w:t>
      </w:r>
      <w:r>
        <w:rPr>
          <w:rFonts w:ascii="Arial" w:hAnsi="Arial"/>
          <w:sz w:val="24"/>
          <w:szCs w:val="24"/>
          <w:rtl w:val="0"/>
          <w:lang w:val="en-US"/>
        </w:rPr>
        <w:t xml:space="preserve">Content knowledge consists of theories and principles of teaching and learning, knowledge of learners and knowledge of principles of classroom behaviour and management (Shulman, 1985, p.19). This links on to the important factor that teachers need to know how children learn and how to adapt their learning styles in the right way for each individual. A great teacher has both content knowledge and pedagogical knowledge however, pedagogical content knowledge goes one step further. Teachers do not use the same technique on each student every day and they recognise mistakes children are going to make before they even make them; this is how teachers know how to teach with content knowledge. Teaching is not just telling people what you know, this is where pedagogical content knowledge comes in. </w:t>
      </w:r>
      <w:r>
        <w:rPr>
          <w:rFonts w:ascii="Arial" w:hAnsi="Arial" w:hint="default"/>
          <w:sz w:val="24"/>
          <w:szCs w:val="24"/>
          <w:rtl w:val="0"/>
          <w:lang w:val="en-US"/>
        </w:rPr>
        <w:t>“</w:t>
      </w:r>
      <w:r>
        <w:rPr>
          <w:rFonts w:ascii="Arial" w:hAnsi="Arial"/>
          <w:sz w:val="24"/>
          <w:szCs w:val="24"/>
          <w:rtl w:val="0"/>
          <w:lang w:val="en-US"/>
        </w:rPr>
        <w:t>The striking thing between the relationship content knowledge and the quality of teaching was that the coefficients were far weaker than what we thought</w:t>
      </w:r>
      <w:r>
        <w:rPr>
          <w:rFonts w:ascii="Arial" w:hAnsi="Arial" w:hint="default"/>
          <w:sz w:val="24"/>
          <w:szCs w:val="24"/>
          <w:rtl w:val="0"/>
          <w:lang w:val="en-US"/>
        </w:rPr>
        <w:t xml:space="preserve">” </w:t>
      </w:r>
      <w:r>
        <w:rPr>
          <w:rFonts w:ascii="Arial" w:hAnsi="Arial"/>
          <w:sz w:val="24"/>
          <w:szCs w:val="24"/>
          <w:rtl w:val="0"/>
          <w:lang w:val="en-US"/>
        </w:rPr>
        <w:t xml:space="preserve">(Berry, 2015, p.68). However, pedagogical skill was generic. </w:t>
      </w:r>
      <w:r>
        <w:rPr>
          <w:rFonts w:ascii="Arial" w:hAnsi="Arial" w:hint="default"/>
          <w:sz w:val="24"/>
          <w:szCs w:val="24"/>
          <w:rtl w:val="0"/>
          <w:lang w:val="en-US"/>
        </w:rPr>
        <w:t>“</w:t>
      </w:r>
      <w:r>
        <w:rPr>
          <w:rFonts w:ascii="Arial" w:hAnsi="Arial"/>
          <w:sz w:val="24"/>
          <w:szCs w:val="24"/>
          <w:rtl w:val="0"/>
          <w:lang w:val="en-US"/>
        </w:rPr>
        <w:t>Isn</w:t>
      </w:r>
      <w:r>
        <w:rPr>
          <w:rFonts w:ascii="Arial" w:hAnsi="Arial" w:hint="default"/>
          <w:sz w:val="24"/>
          <w:szCs w:val="24"/>
          <w:rtl w:val="0"/>
          <w:lang w:val="en-US"/>
        </w:rPr>
        <w:t>’</w:t>
      </w:r>
      <w:r>
        <w:rPr>
          <w:rFonts w:ascii="Arial" w:hAnsi="Arial"/>
          <w:sz w:val="24"/>
          <w:szCs w:val="24"/>
          <w:rtl w:val="0"/>
          <w:lang w:val="en-US"/>
        </w:rPr>
        <w:t>t there a missing planet between content and pedagogy knowledge that defines the essential missing aspect of teaching?</w:t>
      </w:r>
      <w:r>
        <w:rPr>
          <w:rFonts w:ascii="Arial" w:hAnsi="Arial" w:hint="default"/>
          <w:sz w:val="24"/>
          <w:szCs w:val="24"/>
          <w:rtl w:val="0"/>
          <w:lang w:val="en-US"/>
        </w:rPr>
        <w:t xml:space="preserve">” </w:t>
      </w:r>
      <w:r>
        <w:rPr>
          <w:rFonts w:ascii="Arial" w:hAnsi="Arial"/>
          <w:sz w:val="24"/>
          <w:szCs w:val="24"/>
          <w:rtl w:val="0"/>
          <w:lang w:val="en-US"/>
        </w:rPr>
        <w:t xml:space="preserve">(Berry, 2015, p.89). Then the Pedagogical Content Knowledge began.  </w:t>
      </w:r>
    </w:p>
    <w:p>
      <w:pPr>
        <w:pStyle w:val="Body"/>
        <w:spacing w:line="480" w:lineRule="auto"/>
      </w:pPr>
      <w:r>
        <w:rPr>
          <w:rFonts w:ascii="Arial" w:cs="Arial" w:hAnsi="Arial" w:eastAsia="Arial"/>
          <w:sz w:val="24"/>
          <w:szCs w:val="24"/>
          <w:lang w:val="en-US"/>
        </w:rPr>
        <w:tab/>
      </w:r>
      <w:r>
        <w:rPr>
          <w:rFonts w:ascii="Arial" w:hAnsi="Arial"/>
          <w:sz w:val="24"/>
          <w:szCs w:val="24"/>
          <w:rtl w:val="0"/>
          <w:lang w:val="en-US"/>
        </w:rPr>
        <w:t>What are the components of PCK</w:t>
      </w:r>
      <w:r>
        <w:rPr>
          <w:rFonts w:ascii="Arial" w:hAnsi="Arial"/>
          <w:sz w:val="24"/>
          <w:szCs w:val="24"/>
          <w:rtl w:val="0"/>
          <w:lang w:val="en-US"/>
        </w:rPr>
        <w:t>? Th</w:t>
      </w:r>
      <w:r>
        <w:rPr>
          <w:rFonts w:ascii="Arial" w:hAnsi="Arial"/>
          <w:sz w:val="24"/>
          <w:szCs w:val="24"/>
          <w:rtl w:val="0"/>
          <w:lang w:val="en-US"/>
        </w:rPr>
        <w:t>is one of the fundamental questions</w:t>
      </w:r>
      <w:r>
        <w:rPr>
          <w:rFonts w:ascii="Arial" w:hAnsi="Arial"/>
          <w:sz w:val="24"/>
          <w:szCs w:val="24"/>
          <w:rtl w:val="0"/>
          <w:lang w:val="en-US"/>
        </w:rPr>
        <w:t xml:space="preserve">. Pedagogical Content Knowledge (PCK) is how you deliver your subject knowledge to others. PCK is a type of knowledge that is unique to teachers. </w:t>
      </w:r>
      <w:r>
        <w:rPr>
          <w:rFonts w:ascii="Arial" w:hAnsi="Arial" w:hint="default"/>
          <w:sz w:val="24"/>
          <w:szCs w:val="24"/>
          <w:rtl w:val="0"/>
          <w:lang w:val="en-US"/>
        </w:rPr>
        <w:t>“</w:t>
      </w:r>
      <w:r>
        <w:rPr>
          <w:rFonts w:ascii="Arial" w:hAnsi="Arial"/>
          <w:sz w:val="24"/>
          <w:szCs w:val="24"/>
          <w:rtl w:val="0"/>
          <w:lang w:val="en-US"/>
        </w:rPr>
        <w:t>PCK is the combination of the rich knowledge of pedagogy and content together, each shaping and interacting with each other</w:t>
      </w:r>
      <w:r>
        <w:rPr>
          <w:rFonts w:ascii="Arial" w:hAnsi="Arial" w:hint="default"/>
          <w:sz w:val="24"/>
          <w:szCs w:val="24"/>
          <w:rtl w:val="0"/>
          <w:lang w:val="en-US"/>
        </w:rPr>
        <w:t xml:space="preserve">” </w:t>
      </w:r>
      <w:r>
        <w:rPr>
          <w:rFonts w:ascii="Arial" w:hAnsi="Arial"/>
          <w:sz w:val="24"/>
          <w:szCs w:val="24"/>
          <w:rtl w:val="0"/>
          <w:lang w:val="en-US"/>
        </w:rPr>
        <w:t xml:space="preserve">(Loughran, 2012, p.201). It is professional development and blending of content and pedagogy; it is a way of making knowledge accessible to learners. </w:t>
      </w:r>
      <w:r>
        <w:rPr>
          <w:rFonts w:ascii="Arial" w:hAnsi="Arial"/>
          <w:sz w:val="24"/>
          <w:szCs w:val="24"/>
          <w:rtl w:val="0"/>
          <w:lang w:val="it-IT"/>
        </w:rPr>
        <w:t>Shulman (Gudmundsdottir &amp; Shulman, 1987</w:t>
      </w:r>
      <w:r>
        <w:rPr>
          <w:rFonts w:ascii="Arial" w:hAnsi="Arial"/>
          <w:sz w:val="24"/>
          <w:szCs w:val="24"/>
          <w:rtl w:val="0"/>
          <w:lang w:val="en-US"/>
        </w:rPr>
        <w:t>, p.35</w:t>
      </w:r>
      <w:r>
        <w:rPr>
          <w:rFonts w:ascii="Arial" w:hAnsi="Arial"/>
          <w:sz w:val="24"/>
          <w:szCs w:val="24"/>
          <w:rtl w:val="0"/>
          <w:lang w:val="en-US"/>
        </w:rPr>
        <w:t>) divided PCK into three categories</w:t>
      </w:r>
      <w:r>
        <w:rPr>
          <w:rFonts w:ascii="Arial" w:hAnsi="Arial"/>
          <w:sz w:val="24"/>
          <w:szCs w:val="24"/>
          <w:rtl w:val="0"/>
          <w:lang w:val="en-US"/>
        </w:rPr>
        <w:t>:</w:t>
      </w:r>
    </w:p>
    <w:p>
      <w:pPr>
        <w:pStyle w:val="Body"/>
        <w:numPr>
          <w:ilvl w:val="0"/>
          <w:numId w:val="2"/>
        </w:numPr>
        <w:rPr>
          <w:rFonts w:ascii="Arial" w:hAnsi="Arial"/>
          <w:sz w:val="24"/>
          <w:szCs w:val="24"/>
          <w:lang w:val="en-US"/>
        </w:rPr>
      </w:pPr>
      <w:r>
        <w:rPr>
          <w:rFonts w:ascii="Arial" w:hAnsi="Arial"/>
          <w:sz w:val="24"/>
          <w:szCs w:val="24"/>
          <w:rtl w:val="0"/>
          <w:lang w:val="en-US"/>
        </w:rPr>
        <w:t>K</w:t>
      </w:r>
      <w:r>
        <w:rPr>
          <w:rFonts w:ascii="Arial" w:hAnsi="Arial"/>
          <w:sz w:val="24"/>
          <w:szCs w:val="24"/>
          <w:rtl w:val="0"/>
          <w:lang w:val="en-US"/>
        </w:rPr>
        <w:t>nowledge of the central topics, concepts, and areas of the subject matter that can be and are taught to students</w:t>
      </w:r>
      <w:r>
        <w:rPr>
          <w:rFonts w:ascii="Arial" w:hAnsi="Arial"/>
          <w:sz w:val="24"/>
          <w:szCs w:val="24"/>
          <w:rtl w:val="0"/>
          <w:lang w:val="en-US"/>
        </w:rPr>
        <w:t>.</w:t>
      </w:r>
    </w:p>
    <w:p>
      <w:pPr>
        <w:pStyle w:val="Body"/>
        <w:numPr>
          <w:ilvl w:val="0"/>
          <w:numId w:val="2"/>
        </w:numPr>
        <w:rPr>
          <w:rFonts w:ascii="Arial" w:hAnsi="Arial"/>
          <w:sz w:val="24"/>
          <w:szCs w:val="24"/>
          <w:lang w:val="en-US"/>
        </w:rPr>
      </w:pPr>
      <w:r>
        <w:rPr>
          <w:rFonts w:ascii="Arial" w:hAnsi="Arial"/>
          <w:sz w:val="24"/>
          <w:szCs w:val="24"/>
          <w:rtl w:val="0"/>
          <w:lang w:val="en-US"/>
        </w:rPr>
        <w:t>K</w:t>
      </w:r>
      <w:r>
        <w:rPr>
          <w:rFonts w:ascii="Arial" w:hAnsi="Arial"/>
          <w:sz w:val="24"/>
          <w:szCs w:val="24"/>
          <w:rtl w:val="0"/>
          <w:lang w:val="en-US"/>
        </w:rPr>
        <w:t>nowledge of the different ways topics can be taught, and the pros and cons of each approach, which is influenced by general pedagogical knowledge</w:t>
      </w:r>
      <w:r>
        <w:rPr>
          <w:rFonts w:ascii="Arial" w:hAnsi="Arial"/>
          <w:sz w:val="24"/>
          <w:szCs w:val="24"/>
          <w:rtl w:val="0"/>
          <w:lang w:val="en-US"/>
        </w:rPr>
        <w:t>.</w:t>
      </w:r>
    </w:p>
    <w:p>
      <w:pPr>
        <w:pStyle w:val="Body"/>
        <w:numPr>
          <w:ilvl w:val="0"/>
          <w:numId w:val="2"/>
        </w:numPr>
        <w:rPr>
          <w:rFonts w:ascii="Arial" w:hAnsi="Arial"/>
          <w:sz w:val="24"/>
          <w:szCs w:val="24"/>
          <w:lang w:val="en-US"/>
        </w:rPr>
      </w:pPr>
      <w:r>
        <w:rPr>
          <w:rFonts w:ascii="Arial" w:hAnsi="Arial"/>
          <w:sz w:val="24"/>
          <w:szCs w:val="24"/>
          <w:rtl w:val="0"/>
          <w:lang w:val="en-US"/>
        </w:rPr>
        <w:t>K</w:t>
      </w:r>
      <w:r>
        <w:rPr>
          <w:rFonts w:ascii="Arial" w:hAnsi="Arial"/>
          <w:sz w:val="24"/>
          <w:szCs w:val="24"/>
          <w:rtl w:val="0"/>
          <w:lang w:val="en-US"/>
        </w:rPr>
        <w:t>nowledge of students</w:t>
      </w:r>
      <w:r>
        <w:rPr>
          <w:rFonts w:ascii="Arial" w:hAnsi="Arial" w:hint="default"/>
          <w:sz w:val="24"/>
          <w:szCs w:val="24"/>
          <w:rtl w:val="0"/>
        </w:rPr>
        <w:t xml:space="preserve">’ </w:t>
      </w:r>
      <w:r>
        <w:rPr>
          <w:rFonts w:ascii="Arial" w:hAnsi="Arial"/>
          <w:sz w:val="24"/>
          <w:szCs w:val="24"/>
          <w:rtl w:val="0"/>
          <w:lang w:val="en-US"/>
        </w:rPr>
        <w:t>preconceptions or misconceptions about the topics they learn, and knowledge of the topics students find interesting, difficult or easy to learn, which is influenced by</w:t>
      </w:r>
      <w:r>
        <w:rPr>
          <w:rFonts w:ascii="Arial" w:hAnsi="Arial"/>
          <w:sz w:val="24"/>
          <w:szCs w:val="24"/>
          <w:rtl w:val="0"/>
          <w:lang w:val="en-US"/>
        </w:rPr>
        <w:t xml:space="preserve"> the</w:t>
      </w:r>
      <w:r>
        <w:rPr>
          <w:rFonts w:ascii="Arial" w:hAnsi="Arial"/>
          <w:sz w:val="24"/>
          <w:szCs w:val="24"/>
          <w:rtl w:val="0"/>
          <w:lang w:val="en-US"/>
        </w:rPr>
        <w:t xml:space="preserve"> knowledge of students</w:t>
      </w:r>
      <w:r>
        <w:rPr>
          <w:rFonts w:ascii="Arial" w:hAnsi="Arial"/>
          <w:sz w:val="24"/>
          <w:szCs w:val="24"/>
          <w:rtl w:val="0"/>
          <w:lang w:val="en-US"/>
        </w:rPr>
        <w:t>.</w:t>
      </w:r>
    </w:p>
    <w:p>
      <w:pPr>
        <w:pStyle w:val="Body"/>
        <w:spacing w:line="480" w:lineRule="auto"/>
      </w:pPr>
      <w:r>
        <w:rPr>
          <w:rFonts w:ascii="Arial" w:hAnsi="Arial"/>
          <w:sz w:val="24"/>
          <w:szCs w:val="24"/>
          <w:rtl w:val="0"/>
        </w:rPr>
        <w:t xml:space="preserve">Shulman </w:t>
      </w:r>
      <w:r>
        <w:rPr>
          <w:rFonts w:ascii="Arial" w:hAnsi="Arial"/>
          <w:sz w:val="24"/>
          <w:szCs w:val="24"/>
          <w:rtl w:val="0"/>
          <w:lang w:val="en-US"/>
        </w:rPr>
        <w:t xml:space="preserve">(1986, p.18) </w:t>
      </w:r>
      <w:r>
        <w:rPr>
          <w:rFonts w:ascii="Arial" w:hAnsi="Arial"/>
          <w:sz w:val="24"/>
          <w:szCs w:val="24"/>
          <w:rtl w:val="0"/>
          <w:lang w:val="en-US"/>
        </w:rPr>
        <w:t xml:space="preserve">defined </w:t>
      </w:r>
      <w:r>
        <w:rPr>
          <w:rFonts w:ascii="Arial" w:hAnsi="Arial"/>
          <w:sz w:val="24"/>
          <w:szCs w:val="24"/>
          <w:rtl w:val="0"/>
          <w:lang w:val="en-US"/>
        </w:rPr>
        <w:t>PCK</w:t>
      </w:r>
      <w:r>
        <w:rPr>
          <w:rFonts w:ascii="Arial" w:hAnsi="Arial"/>
          <w:sz w:val="24"/>
          <w:szCs w:val="24"/>
          <w:rtl w:val="0"/>
          <w:lang w:val="en-US"/>
        </w:rPr>
        <w:t xml:space="preserve"> as </w:t>
      </w:r>
      <w:r>
        <w:rPr>
          <w:rFonts w:ascii="Arial" w:hAnsi="Arial" w:hint="default"/>
          <w:sz w:val="24"/>
          <w:szCs w:val="24"/>
          <w:rtl w:val="0"/>
          <w:lang w:val="de-DE"/>
        </w:rPr>
        <w:t>“</w:t>
      </w:r>
      <w:r>
        <w:rPr>
          <w:rFonts w:ascii="Arial" w:hAnsi="Arial"/>
          <w:sz w:val="24"/>
          <w:szCs w:val="24"/>
          <w:rtl w:val="0"/>
          <w:lang w:val="en-US"/>
        </w:rPr>
        <w:t>that special amalgam of content and pedagogy that is uniquely the province of teachers, their own special form of professional understanding</w:t>
      </w:r>
      <w:r>
        <w:rPr>
          <w:rFonts w:ascii="Arial" w:hAnsi="Arial" w:hint="default"/>
          <w:sz w:val="24"/>
          <w:szCs w:val="24"/>
          <w:rtl w:val="0"/>
          <w:lang w:val="en-US"/>
        </w:rPr>
        <w:t>”</w:t>
      </w:r>
      <w:r>
        <w:rPr>
          <w:rFonts w:ascii="Arial" w:hAnsi="Arial"/>
          <w:sz w:val="24"/>
          <w:szCs w:val="24"/>
          <w:rtl w:val="0"/>
          <w:lang w:val="en-US"/>
        </w:rPr>
        <w:t xml:space="preserve">. </w:t>
      </w:r>
      <w:r>
        <w:rPr>
          <w:rFonts w:ascii="Arial" w:hAnsi="Arial" w:hint="default"/>
          <w:sz w:val="24"/>
          <w:szCs w:val="24"/>
          <w:rtl w:val="0"/>
          <w:lang w:val="en-US"/>
        </w:rPr>
        <w:t>“</w:t>
      </w:r>
      <w:r>
        <w:rPr>
          <w:rFonts w:ascii="Arial" w:hAnsi="Arial"/>
          <w:sz w:val="24"/>
          <w:szCs w:val="24"/>
          <w:rtl w:val="0"/>
          <w:lang w:val="en-US"/>
        </w:rPr>
        <w:t>PCK was the most powerful analogies, illustrations, examples, explanations and demonstrations</w:t>
      </w:r>
      <w:r>
        <w:rPr>
          <w:rFonts w:ascii="Arial" w:hAnsi="Arial"/>
          <w:sz w:val="24"/>
          <w:szCs w:val="24"/>
          <w:rtl w:val="0"/>
          <w:lang w:val="en-US"/>
        </w:rPr>
        <w:t>.</w:t>
      </w:r>
      <w:r>
        <w:rPr>
          <w:rFonts w:ascii="Arial" w:hAnsi="Arial"/>
          <w:sz w:val="24"/>
          <w:szCs w:val="24"/>
          <w:rtl w:val="0"/>
        </w:rPr>
        <w:t xml:space="preserve"> </w:t>
      </w:r>
      <w:r>
        <w:rPr>
          <w:rFonts w:ascii="Arial" w:hAnsi="Arial"/>
          <w:sz w:val="24"/>
          <w:szCs w:val="24"/>
          <w:rtl w:val="0"/>
          <w:lang w:val="en-US"/>
        </w:rPr>
        <w:t>T</w:t>
      </w:r>
      <w:r>
        <w:rPr>
          <w:rFonts w:ascii="Arial" w:hAnsi="Arial"/>
          <w:sz w:val="24"/>
          <w:szCs w:val="24"/>
          <w:rtl w:val="0"/>
          <w:lang w:val="en-US"/>
        </w:rPr>
        <w:t>he most powerful ways of representing the subject that makes it comprehensible for others</w:t>
      </w:r>
      <w:r>
        <w:rPr>
          <w:rFonts w:ascii="Arial" w:hAnsi="Arial" w:hint="default"/>
          <w:sz w:val="24"/>
          <w:szCs w:val="24"/>
          <w:rtl w:val="0"/>
          <w:lang w:val="en-US"/>
        </w:rPr>
        <w:t xml:space="preserve">” </w:t>
      </w:r>
      <w:r>
        <w:rPr>
          <w:rFonts w:ascii="Arial" w:hAnsi="Arial"/>
          <w:sz w:val="24"/>
          <w:szCs w:val="24"/>
          <w:rtl w:val="0"/>
          <w:lang w:val="en-US"/>
        </w:rPr>
        <w:t xml:space="preserve">(RCC, 2019, p.1). Pedagogical Content Knowledge is when subject matter is transformed for teaching through knowledge of concepts. </w:t>
      </w:r>
      <w:r>
        <w:rPr>
          <w:rFonts w:ascii="Arial" w:hAnsi="Arial" w:hint="default"/>
          <w:sz w:val="24"/>
          <w:szCs w:val="24"/>
          <w:rtl w:val="0"/>
          <w:lang w:val="en-US"/>
        </w:rPr>
        <w:t>“</w:t>
      </w:r>
      <w:r>
        <w:rPr>
          <w:rFonts w:ascii="Arial" w:hAnsi="Arial"/>
          <w:sz w:val="24"/>
          <w:szCs w:val="24"/>
          <w:rtl w:val="0"/>
          <w:lang w:val="en-US"/>
        </w:rPr>
        <w:t>In addition, preservice teachers have been shown to find it difficult to articulate the relationships between pedagogical ideas and subject matter concepts</w:t>
      </w:r>
      <w:r>
        <w:rPr>
          <w:rFonts w:ascii="Arial" w:hAnsi="Arial" w:hint="default"/>
          <w:sz w:val="24"/>
          <w:szCs w:val="24"/>
          <w:rtl w:val="0"/>
          <w:lang w:val="en-US"/>
        </w:rPr>
        <w:t>”</w:t>
      </w:r>
      <w:r>
        <w:rPr>
          <w:rFonts w:ascii="Arial" w:hAnsi="Arial"/>
          <w:sz w:val="24"/>
          <w:szCs w:val="24"/>
          <w:rtl w:val="0"/>
          <w:lang w:val="en-US"/>
        </w:rPr>
        <w:t xml:space="preserve"> (Gess-Newsome &amp; Lederman, 1993</w:t>
      </w:r>
      <w:r>
        <w:rPr>
          <w:rFonts w:ascii="Arial" w:hAnsi="Arial"/>
          <w:sz w:val="24"/>
          <w:szCs w:val="24"/>
          <w:rtl w:val="0"/>
          <w:lang w:val="en-US"/>
        </w:rPr>
        <w:t>, p.202</w:t>
      </w:r>
      <w:r>
        <w:rPr>
          <w:rFonts w:ascii="Arial" w:hAnsi="Arial"/>
          <w:sz w:val="24"/>
          <w:szCs w:val="24"/>
          <w:rtl w:val="0"/>
          <w:lang w:val="en-US"/>
        </w:rPr>
        <w:t>)</w:t>
      </w:r>
      <w:r>
        <w:rPr>
          <w:rFonts w:ascii="Arial" w:hAnsi="Arial"/>
          <w:sz w:val="24"/>
          <w:szCs w:val="24"/>
          <w:rtl w:val="0"/>
          <w:lang w:val="en-US"/>
        </w:rPr>
        <w:t xml:space="preserve">. </w:t>
      </w:r>
      <w:r>
        <w:rPr>
          <w:rFonts w:ascii="Arial" w:hAnsi="Arial"/>
          <w:sz w:val="24"/>
          <w:szCs w:val="24"/>
          <w:rtl w:val="0"/>
          <w:lang w:val="en-US"/>
        </w:rPr>
        <w:t>Shulman</w:t>
      </w:r>
      <w:r>
        <w:rPr>
          <w:rFonts w:ascii="Arial" w:hAnsi="Arial"/>
          <w:sz w:val="24"/>
          <w:szCs w:val="24"/>
          <w:rtl w:val="0"/>
          <w:lang w:val="en-US"/>
        </w:rPr>
        <w:t xml:space="preserve"> said in order for a teacher to teach a specific subject, they must combine content with pedagogy.</w:t>
      </w:r>
    </w:p>
    <w:p>
      <w:pPr>
        <w:pStyle w:val="Body"/>
        <w:spacing w:line="480" w:lineRule="auto"/>
      </w:pPr>
      <w:r>
        <w:rPr>
          <w:rFonts w:ascii="Arial" w:cs="Arial" w:hAnsi="Arial" w:eastAsia="Arial"/>
          <w:sz w:val="24"/>
          <w:szCs w:val="24"/>
          <w:lang w:val="en-US"/>
        </w:rPr>
        <w:tab/>
      </w:r>
      <w:r>
        <w:rPr>
          <w:rFonts w:ascii="Arial" w:hAnsi="Arial"/>
          <w:sz w:val="24"/>
          <w:szCs w:val="24"/>
          <w:rtl w:val="0"/>
          <w:lang w:val="en-US"/>
        </w:rPr>
        <w:t>Shulman</w:t>
      </w:r>
      <w:r>
        <w:rPr>
          <w:rFonts w:ascii="Arial" w:hAnsi="Arial" w:hint="default"/>
          <w:sz w:val="24"/>
          <w:szCs w:val="24"/>
          <w:rtl w:val="0"/>
          <w:lang w:val="en-US"/>
        </w:rPr>
        <w:t>’</w:t>
      </w:r>
      <w:r>
        <w:rPr>
          <w:rFonts w:ascii="Arial" w:hAnsi="Arial"/>
          <w:sz w:val="24"/>
          <w:szCs w:val="24"/>
          <w:rtl w:val="0"/>
          <w:lang w:val="en-US"/>
        </w:rPr>
        <w:t xml:space="preserve">s clarification of PCK components is still </w:t>
      </w:r>
      <w:r>
        <w:rPr>
          <w:rFonts w:ascii="Arial" w:hAnsi="Arial"/>
          <w:sz w:val="24"/>
          <w:szCs w:val="24"/>
          <w:rtl w:val="0"/>
          <w:lang w:val="en-US"/>
        </w:rPr>
        <w:t>quite</w:t>
      </w:r>
      <w:r>
        <w:rPr>
          <w:rFonts w:ascii="Arial" w:hAnsi="Arial"/>
          <w:sz w:val="24"/>
          <w:szCs w:val="24"/>
          <w:rtl w:val="0"/>
          <w:lang w:val="en-US"/>
        </w:rPr>
        <w:t xml:space="preserve"> narrow.</w:t>
      </w:r>
      <w:r>
        <w:rPr>
          <w:rFonts w:ascii="Arial" w:hAnsi="Arial"/>
          <w:sz w:val="24"/>
          <w:szCs w:val="24"/>
          <w:rtl w:val="0"/>
          <w:lang w:val="en-US"/>
        </w:rPr>
        <w:t xml:space="preserve"> </w:t>
      </w:r>
      <w:r>
        <w:rPr>
          <w:rFonts w:ascii="Arial" w:hAnsi="Arial"/>
          <w:sz w:val="24"/>
          <w:szCs w:val="24"/>
          <w:rtl w:val="0"/>
          <w:lang w:val="en-US"/>
        </w:rPr>
        <w:t>Andrews (2001</w:t>
      </w:r>
      <w:r>
        <w:rPr>
          <w:rFonts w:ascii="Arial" w:hAnsi="Arial"/>
          <w:sz w:val="24"/>
          <w:szCs w:val="24"/>
          <w:rtl w:val="0"/>
          <w:lang w:val="en-US"/>
        </w:rPr>
        <w:t>, p.78</w:t>
      </w:r>
      <w:r>
        <w:rPr>
          <w:rFonts w:ascii="Arial" w:hAnsi="Arial"/>
          <w:sz w:val="24"/>
          <w:szCs w:val="24"/>
          <w:rtl w:val="0"/>
          <w:lang w:val="en-US"/>
        </w:rPr>
        <w:t xml:space="preserve">) argues that the PCK defined by other researchers is too generic to demonstrate the uniqueness of language teaching. </w:t>
      </w:r>
      <w:r>
        <w:rPr>
          <w:rFonts w:ascii="Arial" w:hAnsi="Arial"/>
          <w:sz w:val="24"/>
          <w:szCs w:val="24"/>
          <w:rtl w:val="0"/>
          <w:lang w:val="en-US"/>
        </w:rPr>
        <w:t xml:space="preserve">He believes that </w:t>
      </w:r>
      <w:r>
        <w:rPr>
          <w:rFonts w:ascii="Arial" w:hAnsi="Arial" w:hint="default"/>
          <w:sz w:val="24"/>
          <w:szCs w:val="24"/>
          <w:rtl w:val="0"/>
          <w:lang w:val="en-US"/>
        </w:rPr>
        <w:t>“</w:t>
      </w:r>
      <w:r>
        <w:rPr>
          <w:rFonts w:ascii="Arial" w:hAnsi="Arial"/>
          <w:sz w:val="24"/>
          <w:szCs w:val="24"/>
          <w:rtl w:val="0"/>
          <w:lang w:val="en-US"/>
        </w:rPr>
        <w:t>language is taugh</w:t>
      </w:r>
      <w:r>
        <w:rPr>
          <w:rFonts w:ascii="Arial" w:hAnsi="Arial"/>
          <w:sz w:val="24"/>
          <w:szCs w:val="24"/>
          <w:rtl w:val="0"/>
          <w:lang w:val="en-US"/>
        </w:rPr>
        <w:t xml:space="preserve">t </w:t>
      </w:r>
      <w:r>
        <w:rPr>
          <w:rFonts w:ascii="Arial" w:hAnsi="Arial"/>
          <w:sz w:val="24"/>
          <w:szCs w:val="24"/>
          <w:rtl w:val="0"/>
          <w:lang w:val="en-US"/>
        </w:rPr>
        <w:t>through language</w:t>
      </w:r>
      <w:r>
        <w:rPr>
          <w:rFonts w:ascii="Arial" w:hAnsi="Arial" w:hint="default"/>
          <w:sz w:val="24"/>
          <w:szCs w:val="24"/>
          <w:rtl w:val="0"/>
          <w:lang w:val="en-US"/>
        </w:rPr>
        <w:t xml:space="preserve">” </w:t>
      </w:r>
      <w:r>
        <w:rPr>
          <w:rFonts w:ascii="Arial" w:hAnsi="Arial"/>
          <w:sz w:val="24"/>
          <w:szCs w:val="24"/>
          <w:rtl w:val="0"/>
          <w:lang w:val="en-US"/>
        </w:rPr>
        <w:t>(p. 78).</w:t>
      </w:r>
      <w:r>
        <w:rPr>
          <w:rFonts w:ascii="Arial" w:hAnsi="Arial"/>
          <w:sz w:val="24"/>
          <w:szCs w:val="24"/>
          <w:rtl w:val="0"/>
          <w:lang w:val="en-US"/>
        </w:rPr>
        <w:t xml:space="preserve"> This indicates that Andrews believes that having subject knowledge, content knowledge and </w:t>
      </w:r>
      <w:r>
        <w:rPr>
          <w:rFonts w:ascii="Arial" w:hAnsi="Arial"/>
          <w:sz w:val="24"/>
          <w:szCs w:val="24"/>
          <w:rtl w:val="0"/>
          <w:lang w:val="en-US"/>
        </w:rPr>
        <w:t xml:space="preserve">language competence should </w:t>
      </w:r>
      <w:r>
        <w:rPr>
          <w:rFonts w:ascii="Arial" w:hAnsi="Arial"/>
          <w:sz w:val="24"/>
          <w:szCs w:val="24"/>
          <w:rtl w:val="0"/>
          <w:lang w:val="en-US"/>
        </w:rPr>
        <w:t>play a big part in the PCK. Andrew criticises Shulman</w:t>
      </w:r>
      <w:r>
        <w:rPr>
          <w:rFonts w:ascii="Arial" w:hAnsi="Arial" w:hint="default"/>
          <w:sz w:val="24"/>
          <w:szCs w:val="24"/>
          <w:rtl w:val="0"/>
          <w:lang w:val="en-US"/>
        </w:rPr>
        <w:t>’</w:t>
      </w:r>
      <w:r>
        <w:rPr>
          <w:rFonts w:ascii="Arial" w:hAnsi="Arial"/>
          <w:sz w:val="24"/>
          <w:szCs w:val="24"/>
          <w:rtl w:val="0"/>
          <w:lang w:val="en-US"/>
        </w:rPr>
        <w:t>s PCK theory as he believed it should be made up of knowledge of pedagogy, curriculum, context and learners as well as teacher language awareness. In Grossman</w:t>
      </w:r>
      <w:r>
        <w:rPr>
          <w:rFonts w:ascii="Arial" w:hAnsi="Arial" w:hint="default"/>
          <w:sz w:val="24"/>
          <w:szCs w:val="24"/>
          <w:rtl w:val="0"/>
          <w:lang w:val="en-US"/>
        </w:rPr>
        <w:t>’</w:t>
      </w:r>
      <w:r>
        <w:rPr>
          <w:rFonts w:ascii="Arial" w:hAnsi="Arial"/>
          <w:sz w:val="24"/>
          <w:szCs w:val="24"/>
          <w:rtl w:val="0"/>
          <w:lang w:val="en-US"/>
        </w:rPr>
        <w:t>s (1990, p.70) clarification, she agrees with Shulman</w:t>
      </w:r>
      <w:r>
        <w:rPr>
          <w:rFonts w:ascii="Arial" w:hAnsi="Arial" w:hint="default"/>
          <w:sz w:val="24"/>
          <w:szCs w:val="24"/>
          <w:rtl w:val="0"/>
          <w:lang w:val="en-US"/>
        </w:rPr>
        <w:t>’</w:t>
      </w:r>
      <w:r>
        <w:rPr>
          <w:rFonts w:ascii="Arial" w:hAnsi="Arial"/>
          <w:sz w:val="24"/>
          <w:szCs w:val="24"/>
          <w:rtl w:val="0"/>
          <w:lang w:val="en-US"/>
        </w:rPr>
        <w:t>s theory on PCK and says that there are four central components for the PCK. These are the concept of teaching purposes, knowledge of students and student</w:t>
      </w:r>
      <w:r>
        <w:rPr>
          <w:rFonts w:ascii="Arial" w:hAnsi="Arial" w:hint="default"/>
          <w:sz w:val="24"/>
          <w:szCs w:val="24"/>
          <w:rtl w:val="0"/>
          <w:lang w:val="en-US"/>
        </w:rPr>
        <w:t>’</w:t>
      </w:r>
      <w:r>
        <w:rPr>
          <w:rFonts w:ascii="Arial" w:hAnsi="Arial"/>
          <w:sz w:val="24"/>
          <w:szCs w:val="24"/>
          <w:rtl w:val="0"/>
          <w:lang w:val="en-US"/>
        </w:rPr>
        <w:t>s understanding, curricular knowledge and knowledge of instructional strategies. Grossman</w:t>
      </w:r>
      <w:r>
        <w:rPr>
          <w:rFonts w:ascii="Arial" w:hAnsi="Arial" w:hint="default"/>
          <w:sz w:val="24"/>
          <w:szCs w:val="24"/>
          <w:rtl w:val="0"/>
          <w:lang w:val="en-US"/>
        </w:rPr>
        <w:t>’</w:t>
      </w:r>
      <w:r>
        <w:rPr>
          <w:rFonts w:ascii="Arial" w:hAnsi="Arial"/>
          <w:sz w:val="24"/>
          <w:szCs w:val="24"/>
          <w:rtl w:val="0"/>
          <w:lang w:val="en-US"/>
        </w:rPr>
        <w:t xml:space="preserve">s clarification is a most widely referred study. Dewey (1899, p.192) argued that the role of the teacher is to serve more as a facilitator than an instructor. </w:t>
      </w:r>
      <w:r>
        <w:rPr>
          <w:rFonts w:ascii="Arial" w:hAnsi="Arial" w:hint="default"/>
          <w:sz w:val="24"/>
          <w:szCs w:val="24"/>
          <w:rtl w:val="0"/>
          <w:lang w:val="en-US"/>
        </w:rPr>
        <w:t>“</w:t>
      </w:r>
      <w:r>
        <w:rPr>
          <w:rFonts w:ascii="Arial" w:hAnsi="Arial"/>
          <w:sz w:val="24"/>
          <w:szCs w:val="24"/>
          <w:rtl w:val="0"/>
          <w:lang w:val="en-US"/>
        </w:rPr>
        <w:t>You may see a teacher deliver background content information, but then you would also likely see students working in groups</w:t>
      </w:r>
      <w:r>
        <w:rPr>
          <w:rFonts w:ascii="Arial" w:hAnsi="Arial" w:hint="default"/>
          <w:sz w:val="24"/>
          <w:szCs w:val="24"/>
          <w:rtl w:val="0"/>
          <w:lang w:val="en-US"/>
        </w:rPr>
        <w:t xml:space="preserve">” </w:t>
      </w:r>
      <w:r>
        <w:rPr>
          <w:rFonts w:ascii="Arial" w:hAnsi="Arial"/>
          <w:sz w:val="24"/>
          <w:szCs w:val="24"/>
          <w:rtl w:val="0"/>
          <w:lang w:val="en-US"/>
        </w:rPr>
        <w:t>(Dewey, 1899, p.102). Unlike Shulman, Dewey believed that having background foundation content knowledge is enough for children to be taught.</w:t>
      </w:r>
    </w:p>
    <w:p>
      <w:pPr>
        <w:pStyle w:val="Default"/>
        <w:bidi w:val="0"/>
        <w:spacing w:line="480" w:lineRule="auto"/>
        <w:ind w:left="0" w:right="0" w:firstLine="0"/>
        <w:jc w:val="left"/>
        <w:rPr>
          <w:rtl w:val="0"/>
        </w:rPr>
      </w:pPr>
      <w:r>
        <w:rPr>
          <w:rFonts w:ascii="Arial" w:cs="Arial" w:hAnsi="Arial" w:eastAsia="Arial"/>
          <w:sz w:val="24"/>
          <w:szCs w:val="24"/>
          <w:rtl w:val="0"/>
          <w:lang w:val="en-US"/>
        </w:rPr>
        <w:tab/>
        <w:t>Teachers have the most important role in scaffolding children</w:t>
      </w:r>
      <w:r>
        <w:rPr>
          <w:rFonts w:ascii="Arial" w:hAnsi="Arial" w:hint="default"/>
          <w:sz w:val="24"/>
          <w:szCs w:val="24"/>
          <w:rtl w:val="0"/>
          <w:lang w:val="en-US"/>
        </w:rPr>
        <w:t>’</w:t>
      </w:r>
      <w:r>
        <w:rPr>
          <w:rFonts w:ascii="Arial" w:hAnsi="Arial"/>
          <w:sz w:val="24"/>
          <w:szCs w:val="24"/>
          <w:rtl w:val="0"/>
          <w:lang w:val="en-US"/>
        </w:rPr>
        <w:t xml:space="preserve">s knowledge and then understanding it. In Shulman's (1986, p.3) case study of the twenty-five-year veteran English teacher, it shows that she has clear content knowledge of how to read a book. She breaks reading skills into four sections. Level 1 is simply reading the book, translating it and understanding the meaning. Level 2 is still looking at the words but goes a bit deeper into what the words mean and what is it telling us. Level 3 is the level of interpretation and thinking deeper into why does the author do certain things that he does? Level 4 is called application and evaluation, where she says she gets the students to see how the book has any meaning for their own lives. This is where she uses Pedagogical Content Knowledge to deliver what she knows. She has the content knowledge as this is what she knows from the book and how to read, but now delivering it to children in this way, using four sections of reading is how she uses pedagogical content knowledge. </w:t>
      </w:r>
    </w:p>
    <w:p>
      <w:pPr>
        <w:pStyle w:val="Default"/>
        <w:bidi w:val="0"/>
        <w:spacing w:line="480" w:lineRule="auto"/>
        <w:ind w:left="0" w:right="0" w:firstLine="0"/>
        <w:jc w:val="left"/>
        <w:rPr>
          <w:rtl w:val="0"/>
        </w:rPr>
      </w:pPr>
      <w:r>
        <w:rPr>
          <w:rFonts w:ascii="Arial" w:cs="Arial" w:hAnsi="Arial" w:eastAsia="Arial"/>
          <w:sz w:val="24"/>
          <w:szCs w:val="24"/>
          <w:rtl w:val="0"/>
          <w:lang w:val="en-US"/>
        </w:rPr>
        <w:tab/>
        <w:t>In Shulman</w:t>
      </w:r>
      <w:r>
        <w:rPr>
          <w:rFonts w:ascii="Arial" w:hAnsi="Arial" w:hint="default"/>
          <w:sz w:val="24"/>
          <w:szCs w:val="24"/>
          <w:rtl w:val="0"/>
          <w:lang w:val="en-US"/>
        </w:rPr>
        <w:t>’</w:t>
      </w:r>
      <w:r>
        <w:rPr>
          <w:rFonts w:ascii="Arial" w:hAnsi="Arial"/>
          <w:sz w:val="24"/>
          <w:szCs w:val="24"/>
          <w:rtl w:val="0"/>
          <w:lang w:val="en-US"/>
        </w:rPr>
        <w:t>s (1986, p.18) case study, it is clear that Colleen did not have sufficient and appropriate subject knowledge for the lesson she was teaching. This led to the children</w:t>
      </w:r>
      <w:r>
        <w:rPr>
          <w:rFonts w:ascii="Arial" w:hAnsi="Arial" w:hint="default"/>
          <w:sz w:val="24"/>
          <w:szCs w:val="24"/>
          <w:rtl w:val="0"/>
          <w:lang w:val="en-US"/>
        </w:rPr>
        <w:t>’</w:t>
      </w:r>
      <w:r>
        <w:rPr>
          <w:rFonts w:ascii="Arial" w:hAnsi="Arial"/>
          <w:sz w:val="24"/>
          <w:szCs w:val="24"/>
          <w:rtl w:val="0"/>
          <w:lang w:val="en-US"/>
        </w:rPr>
        <w:t>s learning being unsatisfactory. Even though Colleen had completed a master</w:t>
      </w:r>
      <w:r>
        <w:rPr>
          <w:rFonts w:ascii="Arial" w:hAnsi="Arial" w:hint="default"/>
          <w:sz w:val="24"/>
          <w:szCs w:val="24"/>
          <w:rtl w:val="0"/>
          <w:lang w:val="en-US"/>
        </w:rPr>
        <w:t>’</w:t>
      </w:r>
      <w:r>
        <w:rPr>
          <w:rFonts w:ascii="Arial" w:hAnsi="Arial"/>
          <w:sz w:val="24"/>
          <w:szCs w:val="24"/>
          <w:rtl w:val="0"/>
          <w:lang w:val="en-US"/>
        </w:rPr>
        <w:t xml:space="preserve">s degree in English and she expressed confidence in her subject matter, this was not the case. </w:t>
      </w:r>
      <w:r>
        <w:rPr>
          <w:rFonts w:ascii="Arial" w:hAnsi="Arial" w:hint="default"/>
          <w:sz w:val="24"/>
          <w:szCs w:val="24"/>
          <w:rtl w:val="0"/>
          <w:lang w:val="en-US"/>
        </w:rPr>
        <w:t>“</w:t>
      </w:r>
      <w:r>
        <w:rPr>
          <w:rFonts w:ascii="Arial" w:hAnsi="Arial"/>
          <w:sz w:val="24"/>
          <w:szCs w:val="24"/>
          <w:rtl w:val="0"/>
          <w:lang w:val="en-US"/>
        </w:rPr>
        <w:t>If we accept that subject knowledge is important to successful teaching, what can we do to improve the knowledge we have?</w:t>
      </w:r>
      <w:r>
        <w:rPr>
          <w:rFonts w:ascii="Arial" w:hAnsi="Arial" w:hint="default"/>
          <w:sz w:val="24"/>
          <w:szCs w:val="24"/>
          <w:rtl w:val="0"/>
          <w:lang w:val="en-US"/>
        </w:rPr>
        <w:t xml:space="preserve">” </w:t>
      </w:r>
      <w:r>
        <w:rPr>
          <w:rFonts w:ascii="Arial" w:hAnsi="Arial"/>
          <w:sz w:val="24"/>
          <w:szCs w:val="24"/>
          <w:rtl w:val="0"/>
          <w:lang w:val="en-US"/>
        </w:rPr>
        <w:t xml:space="preserve">(Enser, 2018, p.14). This quote suggests that Colleen needed to look into her degree more outside of literature. This case study of Colleen showed that even though she had a lot of content knowledge in a particular subject that she was confident in, she did not have the pedagogical content knowledge to teach the children and to get them to have an understanding on the grammar side of the subject. Colleen lacked confidence in grammar which led her not being able to apply any effective pedagogy. </w:t>
      </w:r>
      <w:r>
        <w:rPr>
          <w:rFonts w:ascii="Arial" w:hAnsi="Arial" w:hint="default"/>
          <w:sz w:val="24"/>
          <w:szCs w:val="24"/>
          <w:rtl w:val="0"/>
          <w:lang w:val="en-US"/>
        </w:rPr>
        <w:t>“</w:t>
      </w:r>
      <w:r>
        <w:rPr>
          <w:rFonts w:ascii="Arial" w:hAnsi="Arial"/>
          <w:sz w:val="24"/>
          <w:szCs w:val="24"/>
          <w:rtl w:val="0"/>
          <w:lang w:val="en-US"/>
        </w:rPr>
        <w:t>Good teaching depends on good subject knowledge and excellent pedagogical skills. You can</w:t>
      </w:r>
      <w:r>
        <w:rPr>
          <w:rFonts w:ascii="Arial" w:hAnsi="Arial" w:hint="default"/>
          <w:sz w:val="24"/>
          <w:szCs w:val="24"/>
          <w:rtl w:val="0"/>
          <w:lang w:val="en-US"/>
        </w:rPr>
        <w:t>’</w:t>
      </w:r>
      <w:r>
        <w:rPr>
          <w:rFonts w:ascii="Arial" w:hAnsi="Arial"/>
          <w:sz w:val="24"/>
          <w:szCs w:val="24"/>
          <w:rtl w:val="0"/>
          <w:lang w:val="en-US"/>
        </w:rPr>
        <w:t>t do it without being in possession of both.</w:t>
      </w:r>
      <w:r>
        <w:rPr>
          <w:rFonts w:ascii="Arial" w:hAnsi="Arial" w:hint="default"/>
          <w:sz w:val="24"/>
          <w:szCs w:val="24"/>
          <w:rtl w:val="0"/>
          <w:lang w:val="en-US"/>
        </w:rPr>
        <w:t>”</w:t>
      </w:r>
      <w:r>
        <w:rPr>
          <w:rFonts w:ascii="Arial" w:hAnsi="Arial"/>
          <w:sz w:val="24"/>
          <w:szCs w:val="24"/>
          <w:rtl w:val="0"/>
          <w:lang w:val="en-US"/>
        </w:rPr>
        <w:t xml:space="preserve"> (Morrison, 2014, p.8). </w:t>
      </w:r>
      <w:r>
        <w:rPr>
          <w:rFonts w:ascii="Arial" w:hAnsi="Arial"/>
          <w:sz w:val="24"/>
          <w:szCs w:val="24"/>
          <w:rtl w:val="0"/>
          <w:lang w:val="en-US"/>
        </w:rPr>
        <w:t xml:space="preserve">It stated that Colleen looked like a different teacher during that lesson. </w:t>
      </w:r>
      <w:r>
        <w:rPr>
          <w:rFonts w:ascii="Arial" w:hAnsi="Arial" w:hint="default"/>
          <w:sz w:val="24"/>
          <w:szCs w:val="24"/>
          <w:rtl w:val="0"/>
          <w:lang w:val="en-US"/>
        </w:rPr>
        <w:t>“</w:t>
      </w:r>
      <w:r>
        <w:rPr>
          <w:rFonts w:ascii="Arial" w:hAnsi="Arial"/>
          <w:sz w:val="24"/>
          <w:szCs w:val="24"/>
          <w:rtl w:val="0"/>
          <w:lang w:val="en-US"/>
        </w:rPr>
        <w:t>Students were not given opportunities to raise questions or offer alternative views</w:t>
      </w:r>
      <w:r>
        <w:rPr>
          <w:rFonts w:ascii="Arial" w:hAnsi="Arial" w:hint="default"/>
          <w:sz w:val="24"/>
          <w:szCs w:val="24"/>
          <w:rtl w:val="0"/>
          <w:lang w:val="en-US"/>
        </w:rPr>
        <w:t xml:space="preserve">” </w:t>
      </w:r>
      <w:r>
        <w:rPr>
          <w:rFonts w:ascii="Arial" w:hAnsi="Arial"/>
          <w:sz w:val="24"/>
          <w:szCs w:val="24"/>
          <w:rtl w:val="0"/>
          <w:lang w:val="en-US"/>
        </w:rPr>
        <w:t>(Schulman, 1986, p.18). The contingency part of The Knowledge Quartet is that teachers should always allow time for children to ask questions and teachers should always respond to learners</w:t>
      </w:r>
      <w:r>
        <w:rPr>
          <w:rFonts w:ascii="Arial" w:hAnsi="Arial" w:hint="default"/>
          <w:sz w:val="24"/>
          <w:szCs w:val="24"/>
          <w:rtl w:val="0"/>
          <w:lang w:val="en-US"/>
        </w:rPr>
        <w:t xml:space="preserve">’ </w:t>
      </w:r>
      <w:r>
        <w:rPr>
          <w:rFonts w:ascii="Arial" w:hAnsi="Arial"/>
          <w:sz w:val="24"/>
          <w:szCs w:val="24"/>
          <w:rtl w:val="0"/>
          <w:lang w:val="en-US"/>
        </w:rPr>
        <w:t xml:space="preserve">ideas and questions. This case study shows that if you do not have enough subject knowledge then you are going to be uncertain about the content. Shulman points out how important reflection is for a teacher, it is looking back on things that you have taught and what learning has occurred. </w:t>
      </w:r>
      <w:r>
        <w:rPr>
          <w:rFonts w:ascii="Arial" w:hAnsi="Arial" w:hint="default"/>
          <w:sz w:val="24"/>
          <w:szCs w:val="24"/>
          <w:rtl w:val="0"/>
          <w:lang w:val="en-US"/>
        </w:rPr>
        <w:t>“</w:t>
      </w:r>
      <w:r>
        <w:rPr>
          <w:rFonts w:ascii="Arial" w:hAnsi="Arial"/>
          <w:sz w:val="24"/>
          <w:szCs w:val="24"/>
          <w:rtl w:val="0"/>
          <w:lang w:val="en-US"/>
        </w:rPr>
        <w:t>Here again, it is likely that reflection is not merely a disposition or a set of strategies, but the use of particular kinds of analytic knowledge brought to bear on one</w:t>
      </w:r>
      <w:r>
        <w:rPr>
          <w:rFonts w:ascii="Arial" w:hAnsi="Arial" w:hint="default"/>
          <w:sz w:val="24"/>
          <w:szCs w:val="24"/>
          <w:rtl w:val="0"/>
          <w:lang w:val="en-US"/>
        </w:rPr>
        <w:t>’</w:t>
      </w:r>
      <w:r>
        <w:rPr>
          <w:rFonts w:ascii="Arial" w:hAnsi="Arial"/>
          <w:sz w:val="24"/>
          <w:szCs w:val="24"/>
          <w:rtl w:val="0"/>
          <w:lang w:val="en-US"/>
        </w:rPr>
        <w:t>s work. (Shulman, 1986, p.19).</w:t>
      </w:r>
    </w:p>
    <w:p>
      <w:pPr>
        <w:pStyle w:val="Body"/>
        <w:spacing w:line="480" w:lineRule="auto"/>
      </w:pPr>
      <w:r>
        <w:rPr>
          <w:rFonts w:ascii="Arial" w:hAnsi="Arial"/>
          <w:sz w:val="24"/>
          <w:szCs w:val="24"/>
          <w:rtl w:val="0"/>
          <w:lang w:val="en-US"/>
        </w:rPr>
        <w:t xml:space="preserve"> </w:t>
        <w:tab/>
        <w:t>The Knowledge Quartet is a four-dimensional framework for the analysis of Mathematics teaching. This is a framework for Primary trainee teachers to visualise their knowledge in their planning and in their teaching. The Knowledge Quartet is split into 4 parts: foundation, connection, transformation and contingency. Every 4 dimensions are subcategories of what we judge. Shulman</w:t>
      </w:r>
      <w:r>
        <w:rPr>
          <w:rFonts w:ascii="Arial" w:hAnsi="Arial" w:hint="default"/>
          <w:sz w:val="24"/>
          <w:szCs w:val="24"/>
          <w:rtl w:val="0"/>
          <w:lang w:val="en-US"/>
        </w:rPr>
        <w:t>’</w:t>
      </w:r>
      <w:r>
        <w:rPr>
          <w:rFonts w:ascii="Arial" w:hAnsi="Arial"/>
          <w:sz w:val="24"/>
          <w:szCs w:val="24"/>
          <w:rtl w:val="0"/>
          <w:lang w:val="en-US"/>
        </w:rPr>
        <w:t xml:space="preserve">s distinction between subject matter knowledge that pedagogical knowledge underpins this consideration of Mathematics teaching (Shulman, 1986, p.32). </w:t>
      </w:r>
    </w:p>
    <w:p>
      <w:pPr>
        <w:pStyle w:val="Body"/>
        <w:spacing w:line="480" w:lineRule="auto"/>
      </w:pPr>
      <w:r>
        <w:rPr>
          <w:rFonts w:ascii="Arial" w:cs="Arial" w:hAnsi="Arial" w:eastAsia="Arial"/>
          <w:sz w:val="24"/>
          <w:szCs w:val="24"/>
          <w:lang w:val="en-US"/>
        </w:rPr>
        <w:tab/>
      </w:r>
      <w:r>
        <w:rPr>
          <w:rFonts w:ascii="Arial" w:hAnsi="Arial"/>
          <w:sz w:val="24"/>
          <w:szCs w:val="24"/>
          <w:rtl w:val="0"/>
          <w:lang w:val="en-US"/>
        </w:rPr>
        <w:t>Foundation is one of the four parts of The Knowledge Quartet. The foundation part outlines the understanding of the content and how it is being taught. It is being able to understand how children learn and how they can be taught, thinking about the different learning styles there are such as kinaesthetic, visual, auditory and sensory. It is the understanding of pedagogy. It is realising how to identify pupils errors and trying to think of the mistakes children can make before they make them.</w:t>
      </w:r>
    </w:p>
    <w:p>
      <w:pPr>
        <w:pStyle w:val="Body"/>
        <w:spacing w:line="480" w:lineRule="auto"/>
      </w:pPr>
      <w:r>
        <w:rPr>
          <w:rFonts w:ascii="Arial" w:cs="Arial" w:hAnsi="Arial" w:eastAsia="Arial"/>
          <w:sz w:val="24"/>
          <w:szCs w:val="24"/>
          <w:rtl w:val="0"/>
          <w:lang w:val="en-US"/>
        </w:rPr>
        <w:tab/>
        <w:t>Transformation is one of the parts of The Knowledge Quartet. The transformation part enables teachers to model, demonstrate or explain things in order for the learners to understand. It is identifying appropriate examples of work to show the children and using appropriate materials to support. The transformation part is to be able to ensure all the procedures and the concepts are completely understood.</w:t>
      </w:r>
    </w:p>
    <w:p>
      <w:pPr>
        <w:pStyle w:val="Body"/>
        <w:spacing w:line="480" w:lineRule="auto"/>
      </w:pPr>
      <w:r>
        <w:rPr>
          <w:rFonts w:ascii="Arial" w:cs="Arial" w:hAnsi="Arial" w:eastAsia="Arial"/>
          <w:sz w:val="24"/>
          <w:szCs w:val="24"/>
          <w:rtl w:val="0"/>
          <w:lang w:val="en-US"/>
        </w:rPr>
        <w:tab/>
        <w:t>Connection is one of the parts of The Knowledge Quartet. It is about making connections between different concepts and ideas. It is being able to build on prior knowledge and allow that to make connections of future learning. It is being able to make progression steps and understand when these steps need to take place.</w:t>
      </w:r>
    </w:p>
    <w:p>
      <w:pPr>
        <w:pStyle w:val="Body"/>
        <w:spacing w:line="480" w:lineRule="auto"/>
      </w:pPr>
      <w:r>
        <w:rPr>
          <w:rFonts w:ascii="Arial" w:cs="Arial" w:hAnsi="Arial" w:eastAsia="Arial"/>
          <w:sz w:val="24"/>
          <w:szCs w:val="24"/>
          <w:rtl w:val="0"/>
          <w:lang w:val="en-US"/>
        </w:rPr>
        <w:tab/>
        <w:t>Contingency is one of the parts of The Knowledge Quartet. It is about responding to learners</w:t>
      </w:r>
      <w:r>
        <w:rPr>
          <w:rFonts w:ascii="Arial" w:hAnsi="Arial" w:hint="default"/>
          <w:sz w:val="24"/>
          <w:szCs w:val="24"/>
          <w:rtl w:val="0"/>
          <w:lang w:val="en-US"/>
        </w:rPr>
        <w:t xml:space="preserve">’ </w:t>
      </w:r>
      <w:r>
        <w:rPr>
          <w:rFonts w:ascii="Arial" w:hAnsi="Arial"/>
          <w:sz w:val="24"/>
          <w:szCs w:val="24"/>
          <w:rtl w:val="0"/>
          <w:lang w:val="en-US"/>
        </w:rPr>
        <w:t>questions, ideas and their difficulties. It is being able to offer alternative tasks if needed; always doing what is suitable and appropriate for the learners. It is also about being able to exploit opportunities to enhance learning and to maximise the learners potential.</w:t>
      </w:r>
    </w:p>
    <w:p>
      <w:pPr>
        <w:pStyle w:val="Body"/>
        <w:spacing w:line="480" w:lineRule="auto"/>
      </w:pPr>
      <w:r>
        <w:rPr>
          <w:rFonts w:ascii="Arial" w:cs="Arial" w:hAnsi="Arial" w:eastAsia="Arial"/>
          <w:sz w:val="24"/>
          <w:szCs w:val="24"/>
          <w:rtl w:val="0"/>
          <w:lang w:val="en-US"/>
        </w:rPr>
        <w:tab/>
        <w:t>Whilst I was on my PTE, I had experience of very limited subject knowledge and good subject knowledge. One lesson where I experienced limited subject knowledge was when I had to plan a lesson on Remembrance Day. Even though I knew the basics and what Remembrance Day was for, I was not aware of how much detail the children needed to be taught. This is when I noticed that my subject knowledge was lacking slightly regarding this specific topic. Despite the children are only 4 and 5 years old, they had a bit of background knowledge as to why we wear poppies and what for. I had to teach myself and learn about Remembrance Day in order for me to teach the children. This is when I realised how important subject knowledge is and how much detail you need to develop and know. I based my lesson on Expressive Arts of the area of learning suggested by Donaldson in Successful Futures (2015) as I got the children to create their own poppy for Remembrance Day using tissue paper, cupcake cases, buttons and glue. (See appendix 1 for an example of a child</w:t>
      </w:r>
      <w:r>
        <w:rPr>
          <w:rFonts w:ascii="Arial" w:hAnsi="Arial" w:hint="default"/>
          <w:sz w:val="24"/>
          <w:szCs w:val="24"/>
          <w:rtl w:val="0"/>
          <w:lang w:val="en-US"/>
        </w:rPr>
        <w:t>’</w:t>
      </w:r>
      <w:r>
        <w:rPr>
          <w:rFonts w:ascii="Arial" w:hAnsi="Arial"/>
          <w:sz w:val="24"/>
          <w:szCs w:val="24"/>
          <w:rtl w:val="0"/>
          <w:lang w:val="en-US"/>
        </w:rPr>
        <w:t xml:space="preserve">s work). The lesson I did was also aimed at the digital competency framework suggested by Donaldson as I was able to use the interactive whiteboard to introduce Remembrance Day. </w:t>
      </w:r>
      <w:r>
        <w:rPr>
          <w:rFonts w:ascii="Arial" w:hAnsi="Arial"/>
          <w:sz w:val="24"/>
          <w:szCs w:val="24"/>
          <w:rtl w:val="0"/>
          <w:lang w:val="en-US"/>
        </w:rPr>
        <w:t>(See appendix 2 for lesson plan).</w:t>
      </w:r>
    </w:p>
    <w:p>
      <w:pPr>
        <w:pStyle w:val="Body"/>
        <w:spacing w:line="480" w:lineRule="auto"/>
      </w:pPr>
      <w:r>
        <w:rPr>
          <w:rFonts w:ascii="Arial" w:cs="Arial" w:hAnsi="Arial" w:eastAsia="Arial"/>
          <w:sz w:val="24"/>
          <w:szCs w:val="24"/>
          <w:rtl w:val="0"/>
          <w:lang w:val="en-US"/>
        </w:rPr>
        <w:tab/>
        <w:t xml:space="preserve">How could I overcome this? </w:t>
      </w:r>
      <w:r>
        <w:rPr>
          <w:rFonts w:ascii="Arial" w:hAnsi="Arial"/>
          <w:sz w:val="24"/>
          <w:szCs w:val="24"/>
          <w:rtl w:val="0"/>
          <w:lang w:val="en-US"/>
        </w:rPr>
        <w:t>That is what I kept asking myself. This was a strong indication that having foundation content knowledge before going off to teach a lesson is vital. If I had more of a broad subject knowledge I probably would have felt more comfortable doing this from the start instead of having to teach myself the basics ready to teach the children. I was able to teach the children this myself, only once I had researched into it. I would have not had the confidence to teach the children and know how to teach the children using PCK when I was not confident in that subject myself.</w:t>
      </w:r>
    </w:p>
    <w:p>
      <w:pPr>
        <w:pStyle w:val="Body"/>
        <w:spacing w:line="480" w:lineRule="auto"/>
      </w:pPr>
      <w:r>
        <w:rPr>
          <w:rFonts w:ascii="Arial" w:cs="Arial" w:hAnsi="Arial" w:eastAsia="Arial"/>
          <w:sz w:val="24"/>
          <w:szCs w:val="24"/>
          <w:rtl w:val="0"/>
          <w:lang w:val="en-US"/>
        </w:rPr>
        <w:tab/>
        <w:t xml:space="preserve">However, one lesson where I experienced good subject knowledge was when I taught the children to recognise coins and what their value is. This was my first lesson and I felt a bit nervous as it was on Maths. Maths is an abstract subject and a very important subject for all children. As I am aware of what the coins look like and I know their value, I was going into this lesson with a confidence boost as I knew what I was going to be teaching as I have background knowledge of it. I expected the lesson to go smoothly and that the children were going to understand, but I took that for granted. I struggled to explain the value of the different coins and how they are different. For example, the children thought that a 1p and a 5p were 2p as there were 2 pennies. I did not think of that mistake that they could have made. This experience is an example of when I had content knowledge, but I was not able to use pedagogical content knowledge effectively as I was unable to teach the children the subject in a way they were going to have an understanding. </w:t>
      </w:r>
      <w:r>
        <w:rPr>
          <w:rFonts w:ascii="Arial" w:hAnsi="Arial" w:hint="default"/>
          <w:sz w:val="24"/>
          <w:szCs w:val="24"/>
          <w:rtl w:val="0"/>
          <w:lang w:val="en-US"/>
        </w:rPr>
        <w:t>“</w:t>
      </w:r>
      <w:r>
        <w:rPr>
          <w:rFonts w:ascii="Arial" w:hAnsi="Arial"/>
          <w:sz w:val="24"/>
          <w:szCs w:val="24"/>
          <w:rtl w:val="0"/>
          <w:lang w:val="en-US"/>
        </w:rPr>
        <w:t>It may be possible to see into how a teacher</w:t>
      </w:r>
      <w:r>
        <w:rPr>
          <w:rFonts w:ascii="Arial" w:hAnsi="Arial" w:hint="default"/>
          <w:sz w:val="24"/>
          <w:szCs w:val="24"/>
          <w:rtl w:val="0"/>
          <w:lang w:val="en-US"/>
        </w:rPr>
        <w:t>’</w:t>
      </w:r>
      <w:r>
        <w:rPr>
          <w:rFonts w:ascii="Arial" w:hAnsi="Arial"/>
          <w:sz w:val="24"/>
          <w:szCs w:val="24"/>
          <w:rtl w:val="0"/>
          <w:lang w:val="en-US"/>
        </w:rPr>
        <w:t>s PCK develops by paying careful attention to how knowledge of pedagogy and knowledge of content combine</w:t>
      </w:r>
      <w:r>
        <w:rPr>
          <w:rFonts w:ascii="Arial" w:hAnsi="Arial" w:hint="default"/>
          <w:sz w:val="24"/>
          <w:szCs w:val="24"/>
          <w:rtl w:val="0"/>
          <w:lang w:val="en-US"/>
        </w:rPr>
        <w:t>”</w:t>
      </w:r>
      <w:r>
        <w:rPr>
          <w:rFonts w:ascii="Arial" w:hAnsi="Arial"/>
          <w:sz w:val="24"/>
          <w:szCs w:val="24"/>
          <w:rtl w:val="0"/>
          <w:lang w:val="en-US"/>
        </w:rPr>
        <w:t xml:space="preserve">. </w:t>
      </w:r>
      <w:r>
        <w:rPr>
          <w:rFonts w:ascii="Arial" w:hAnsi="Arial"/>
          <w:sz w:val="24"/>
          <w:szCs w:val="24"/>
          <w:rtl w:val="0"/>
          <w:lang w:val="en-US"/>
        </w:rPr>
        <w:t>(Loughran, 2012, p.192)</w:t>
      </w:r>
    </w:p>
    <w:p>
      <w:pPr>
        <w:pStyle w:val="Body"/>
        <w:spacing w:line="480" w:lineRule="auto"/>
      </w:pPr>
      <w:r>
        <w:rPr>
          <w:rFonts w:ascii="Arial" w:cs="Arial" w:hAnsi="Arial" w:eastAsia="Arial"/>
          <w:sz w:val="24"/>
          <w:szCs w:val="24"/>
          <w:lang w:val="en-US"/>
        </w:rPr>
        <w:tab/>
      </w:r>
      <w:r>
        <w:rPr>
          <w:rFonts w:ascii="Arial" w:hAnsi="Arial"/>
          <w:sz w:val="24"/>
          <w:szCs w:val="24"/>
          <w:rtl w:val="0"/>
          <w:lang w:val="en-US"/>
        </w:rPr>
        <w:t>How could I overcome this? As I mentioned earlier, as a teacher I need to be aware of the obvious mistakes children could make. I was so happy that I thought I had a good lesson planned and good use of resources and tracking records that it was going to be good. Even though it was good, it could have been even better if I was aware of the simple mistakes children were going to make. When I spoke to my mentor about it, she said that is a common mistake as they just count the pennies, so to overcome a scenario like this again I could ask the class teacher beforehand if I need to be aware of any common mistakes.</w:t>
      </w:r>
    </w:p>
    <w:p>
      <w:pPr>
        <w:pStyle w:val="Body"/>
        <w:spacing w:line="480" w:lineRule="auto"/>
      </w:pPr>
      <w:r>
        <w:rPr>
          <w:rFonts w:ascii="Arial" w:hAnsi="Arial"/>
          <w:sz w:val="24"/>
          <w:szCs w:val="24"/>
          <w:u w:val="single"/>
          <w:rtl w:val="0"/>
          <w:lang w:val="en-US"/>
        </w:rPr>
        <w:t>Foundation</w:t>
      </w:r>
    </w:p>
    <w:p>
      <w:pPr>
        <w:pStyle w:val="Body"/>
        <w:spacing w:line="480" w:lineRule="auto"/>
      </w:pPr>
      <w:r>
        <w:rPr>
          <w:rFonts w:ascii="Arial" w:cs="Arial" w:hAnsi="Arial" w:eastAsia="Arial"/>
          <w:sz w:val="24"/>
          <w:szCs w:val="24"/>
          <w:rtl w:val="0"/>
          <w:lang w:val="en-US"/>
        </w:rPr>
        <w:tab/>
        <w:t xml:space="preserve">In my professional teaching practice, I used the foundation part of The Knowledge Quartet in my classroom. There were 4 different ability groups from the high ability group the </w:t>
      </w:r>
      <w:r>
        <w:rPr>
          <w:rFonts w:ascii="Arial" w:hAnsi="Arial" w:hint="default"/>
          <w:sz w:val="24"/>
          <w:szCs w:val="24"/>
          <w:rtl w:val="0"/>
          <w:lang w:val="en-US"/>
        </w:rPr>
        <w:t>‘</w:t>
      </w:r>
      <w:r>
        <w:rPr>
          <w:rFonts w:ascii="Arial" w:hAnsi="Arial"/>
          <w:sz w:val="24"/>
          <w:szCs w:val="24"/>
          <w:rtl w:val="0"/>
          <w:lang w:val="en-US"/>
        </w:rPr>
        <w:t>wizards</w:t>
      </w:r>
      <w:r>
        <w:rPr>
          <w:rFonts w:ascii="Arial" w:hAnsi="Arial" w:hint="default"/>
          <w:sz w:val="24"/>
          <w:szCs w:val="24"/>
          <w:rtl w:val="0"/>
          <w:lang w:val="en-US"/>
        </w:rPr>
        <w:t>’</w:t>
      </w:r>
      <w:r>
        <w:rPr>
          <w:rFonts w:ascii="Arial" w:hAnsi="Arial"/>
          <w:sz w:val="24"/>
          <w:szCs w:val="24"/>
          <w:rtl w:val="0"/>
          <w:lang w:val="en-US"/>
        </w:rPr>
        <w:t xml:space="preserve">, to the lowest ability group the </w:t>
      </w:r>
      <w:r>
        <w:rPr>
          <w:rFonts w:ascii="Arial" w:hAnsi="Arial" w:hint="default"/>
          <w:sz w:val="24"/>
          <w:szCs w:val="24"/>
          <w:rtl w:val="0"/>
          <w:lang w:val="en-US"/>
        </w:rPr>
        <w:t>‘</w:t>
      </w:r>
      <w:r>
        <w:rPr>
          <w:rFonts w:ascii="Arial" w:hAnsi="Arial"/>
          <w:sz w:val="24"/>
          <w:szCs w:val="24"/>
          <w:rtl w:val="0"/>
          <w:lang w:val="en-US"/>
        </w:rPr>
        <w:t>elves</w:t>
      </w:r>
      <w:r>
        <w:rPr>
          <w:rFonts w:ascii="Arial" w:hAnsi="Arial" w:hint="default"/>
          <w:sz w:val="24"/>
          <w:szCs w:val="24"/>
          <w:rtl w:val="0"/>
          <w:lang w:val="en-US"/>
        </w:rPr>
        <w:t>’</w:t>
      </w:r>
      <w:r>
        <w:rPr>
          <w:rFonts w:ascii="Arial" w:hAnsi="Arial"/>
          <w:sz w:val="24"/>
          <w:szCs w:val="24"/>
          <w:rtl w:val="0"/>
          <w:lang w:val="en-US"/>
        </w:rPr>
        <w:t xml:space="preserve">. The foundation part of The Knowledge Quartet focusing on how it is being taught and experience different ways of teaching to ensure different learners learn to the best of their ability. The way I adapted this in my teaching was to allow the children who needed extra help to work through their work with an additional adult and with support. There was one child in my class and he was a kinaesthetic learner, he needed to be doing something practical in order to work. One lesson where the learning objective was to be able to count to 10, I got real life Christmas objects such as baubles and small Christmas trees so that this learner was able to find lessons fun and practical and therefore he would work to the best of his ability. </w:t>
      </w:r>
      <w:r>
        <w:rPr>
          <w:rFonts w:ascii="Arial" w:hAnsi="Arial" w:hint="default"/>
          <w:sz w:val="24"/>
          <w:szCs w:val="24"/>
          <w:rtl w:val="0"/>
          <w:lang w:val="en-US"/>
        </w:rPr>
        <w:t>“</w:t>
      </w:r>
      <w:r>
        <w:rPr>
          <w:rFonts w:ascii="Arial" w:hAnsi="Arial"/>
          <w:sz w:val="24"/>
          <w:szCs w:val="24"/>
          <w:rtl w:val="0"/>
          <w:lang w:val="en-US"/>
        </w:rPr>
        <w:t>Teachers should master content material taught, how to teach it, and can interpret the students</w:t>
      </w:r>
      <w:r>
        <w:rPr>
          <w:rFonts w:ascii="Arial" w:hAnsi="Arial" w:hint="default"/>
          <w:sz w:val="24"/>
          <w:szCs w:val="24"/>
          <w:rtl w:val="0"/>
          <w:lang w:val="en-US"/>
        </w:rPr>
        <w:t xml:space="preserve">’ </w:t>
      </w:r>
      <w:r>
        <w:rPr>
          <w:rFonts w:ascii="Arial" w:hAnsi="Arial"/>
          <w:sz w:val="24"/>
          <w:szCs w:val="24"/>
          <w:rtl w:val="0"/>
          <w:lang w:val="en-US"/>
        </w:rPr>
        <w:t>thinking so that students easily understand the subject matter</w:t>
      </w:r>
      <w:r>
        <w:rPr>
          <w:rFonts w:ascii="Arial" w:hAnsi="Arial" w:hint="default"/>
          <w:sz w:val="24"/>
          <w:szCs w:val="24"/>
          <w:rtl w:val="0"/>
          <w:lang w:val="en-US"/>
        </w:rPr>
        <w:t xml:space="preserve">” </w:t>
      </w:r>
      <w:r>
        <w:rPr>
          <w:rFonts w:ascii="Arial" w:hAnsi="Arial"/>
          <w:sz w:val="24"/>
          <w:szCs w:val="24"/>
          <w:rtl w:val="0"/>
          <w:lang w:val="en-US"/>
        </w:rPr>
        <w:t>(Juniati, 2017, p.3).</w:t>
      </w:r>
    </w:p>
    <w:p>
      <w:pPr>
        <w:pStyle w:val="Body"/>
        <w:spacing w:line="480" w:lineRule="auto"/>
      </w:pPr>
      <w:r>
        <w:rPr>
          <w:rFonts w:ascii="Arial" w:hAnsi="Arial"/>
          <w:sz w:val="24"/>
          <w:szCs w:val="24"/>
          <w:u w:val="single"/>
          <w:rtl w:val="0"/>
          <w:lang w:val="en-US"/>
        </w:rPr>
        <w:t>Transformation</w:t>
      </w:r>
    </w:p>
    <w:p>
      <w:pPr>
        <w:pStyle w:val="Body"/>
        <w:spacing w:line="480" w:lineRule="auto"/>
      </w:pPr>
      <w:r>
        <w:rPr>
          <w:rFonts w:ascii="Arial" w:cs="Arial" w:hAnsi="Arial" w:eastAsia="Arial"/>
          <w:sz w:val="24"/>
          <w:szCs w:val="24"/>
          <w:rtl w:val="0"/>
          <w:lang w:val="en-US"/>
        </w:rPr>
        <w:tab/>
        <w:t>In my professional teaching practice, I used the transformation part of The Knowledge Quartet in my classroom. In my class, we had to prepare for a Christmas Fayre where we had to make Christmas decorations by hand. I was in charge of preparing the lessons, demonstrating to the children exactly what we are going to do, selecting appropriate examples and materials for our items for the Christmas Fayre. (See Appendix 3 for examples). I believe it is so important to show children appropriate examples and materials of work to support your teaching. I allowed the children to pick the top 5 items that they would like to create so they had a better understanding of what they wanted to do. Modelling work to young children is so important, a lot of the children in my class were visual learners, just like myself! They were able to work better and they had a better understanding of what they were supposed to be doing once they had visualised it. By demonstrating how to create these ideas was tough to begin with, simply because I was teaching myself how to create them. However, once I had made one, I was able to demonstrate and explain to the children exactly how I did it showing step by step instructions.</w:t>
      </w:r>
    </w:p>
    <w:p>
      <w:pPr>
        <w:pStyle w:val="Body"/>
        <w:spacing w:line="480" w:lineRule="auto"/>
      </w:pPr>
      <w:r>
        <w:rPr>
          <w:rFonts w:ascii="Arial" w:hAnsi="Arial"/>
          <w:sz w:val="24"/>
          <w:szCs w:val="24"/>
          <w:u w:val="single"/>
          <w:rtl w:val="0"/>
          <w:lang w:val="en-US"/>
        </w:rPr>
        <w:t>Connection</w:t>
      </w:r>
    </w:p>
    <w:p>
      <w:pPr>
        <w:pStyle w:val="Body"/>
        <w:spacing w:line="480" w:lineRule="auto"/>
      </w:pPr>
      <w:r>
        <w:rPr>
          <w:rFonts w:ascii="Arial" w:cs="Arial" w:hAnsi="Arial" w:eastAsia="Arial"/>
          <w:sz w:val="24"/>
          <w:szCs w:val="24"/>
          <w:lang w:val="en-US"/>
        </w:rPr>
        <w:tab/>
      </w:r>
      <w:r>
        <w:rPr>
          <w:rFonts w:ascii="Arial" w:hAnsi="Arial"/>
          <w:sz w:val="24"/>
          <w:szCs w:val="24"/>
          <w:rtl w:val="0"/>
          <w:lang w:val="en-US"/>
        </w:rPr>
        <w:t>In my professional teaching practice, I used the connection part of The Knowledge Quartet in my classroom. In one of my History lessons, I planned for the children to see how we change over time. I did this by having photos of myself so the children could see how I have changed over time. They loved seeing me and not a stranger, they engaged more with the lesson. A few weeks later, I taught another lesson on History about the olden days and I was fortunate enough to have a guest speaker come in and talk to the children on how life was back when she was a young girl. We reflected back on how people change as the guest speaker brought in pictures of herself when she was younger to now. I think it is so important for children to be able to build on prior learning and make connections with future learning as it rekindles their memory and repetition is so important for young children. In my professional teaching practice, I was familiar with understanding progressive steps for children, as I marked their work, this allowed me to reflect back on previous pieces of work and to see what next steps were appropriate for them. I also completed a RAG rating tracking record for the children to see what the next steps were. (See appendix 4 for RAG).</w:t>
      </w:r>
    </w:p>
    <w:p>
      <w:pPr>
        <w:pStyle w:val="Body"/>
        <w:spacing w:line="480" w:lineRule="auto"/>
      </w:pPr>
      <w:r>
        <w:rPr>
          <w:rFonts w:ascii="Arial" w:hAnsi="Arial"/>
          <w:sz w:val="24"/>
          <w:szCs w:val="24"/>
          <w:u w:val="single"/>
          <w:rtl w:val="0"/>
          <w:lang w:val="en-US"/>
        </w:rPr>
        <w:t>Contingency</w:t>
      </w:r>
    </w:p>
    <w:p>
      <w:pPr>
        <w:pStyle w:val="Body"/>
        <w:spacing w:line="480" w:lineRule="auto"/>
      </w:pPr>
      <w:r>
        <w:rPr>
          <w:rFonts w:ascii="Arial" w:cs="Arial" w:hAnsi="Arial" w:eastAsia="Arial"/>
          <w:sz w:val="24"/>
          <w:szCs w:val="24"/>
          <w:rtl w:val="0"/>
          <w:lang w:val="en-US"/>
        </w:rPr>
        <w:tab/>
        <w:t>In my professional teaching practice, I used the contingency part of The Knowledge Quarter in my classroom. We took a trip to buy some materials and resources to make items for the Christmas Fayre. Before we went, I sat in front of the class and I asked them to share their ideas with the rest of the class and I wrote them all down. It is important to allow the children to have their input in any of the work that goes on in the classroom and allow them to ask any questions they want to ask. No question is ever a wrong question. Children are curious about everything around them and to everything that is going on, this is why sometimes you have to deviate from your plans you have done to ensure that there is effective learning taking place. One bit of the contingency part is being able to offer alternative tasks if needed and I did that in my classroom. As there is a range of different abilities in the classroom, work always differentiated. In my literacy lesson, I planned for the children to use whiteboards to sound out the picture and then write down the letters that make that word. However, for the low ability set, they had the first and the last letter already there for them so they just had to write down the middle letter. This is why it is so important that teachers are able to alter tasks and examples for the less able.</w:t>
      </w:r>
    </w:p>
    <w:p>
      <w:pPr>
        <w:pStyle w:val="Body"/>
        <w:spacing w:line="480" w:lineRule="auto"/>
      </w:pPr>
      <w:r>
        <w:rPr>
          <w:rFonts w:ascii="Arial" w:cs="Arial" w:hAnsi="Arial" w:eastAsia="Arial"/>
          <w:sz w:val="24"/>
          <w:szCs w:val="24"/>
          <w:rtl w:val="0"/>
          <w:lang w:val="en-US"/>
        </w:rPr>
        <w:tab/>
        <w:t xml:space="preserve">In conclusion, I believe I have focused on the critical analysis of the relationship between teacher subject knowledge and effective learning and teaching in the primary school. I outlined the literature by Shulman and The Knowledge Quartet and I have discussed how that had an effect on my Professional Teaching Experience and how I used some of their ways in my own experiences. I built upon my subject knowledge in the classroom whether it being good or very limited and I discussed how those issues can be overcome. </w:t>
      </w:r>
      <w:r>
        <w:rPr>
          <w:rFonts w:ascii="Arial" w:hAnsi="Arial" w:hint="default"/>
          <w:sz w:val="24"/>
          <w:szCs w:val="24"/>
          <w:rtl w:val="0"/>
          <w:lang w:val="en-US"/>
        </w:rPr>
        <w:t>“</w:t>
      </w:r>
      <w:r>
        <w:rPr>
          <w:rFonts w:ascii="Arial" w:hAnsi="Arial"/>
          <w:sz w:val="24"/>
          <w:szCs w:val="24"/>
          <w:rtl w:val="0"/>
          <w:lang w:val="en-US"/>
        </w:rPr>
        <w:t>We must achieve standards without standardisation, we must be careful that the knowledge-based approach does not produce an overly technical imagine of teaching</w:t>
      </w:r>
      <w:r>
        <w:rPr>
          <w:rFonts w:ascii="Arial" w:hAnsi="Arial" w:hint="default"/>
          <w:sz w:val="24"/>
          <w:szCs w:val="24"/>
          <w:rtl w:val="0"/>
          <w:lang w:val="en-US"/>
        </w:rPr>
        <w:t>”</w:t>
      </w:r>
      <w:r>
        <w:rPr>
          <w:rFonts w:ascii="Arial" w:hAnsi="Arial"/>
          <w:sz w:val="24"/>
          <w:szCs w:val="24"/>
          <w:rtl w:val="0"/>
          <w:lang w:val="en-US"/>
        </w:rPr>
        <w:t>. (Shulman, 1986, p.20). I believe that Shulman is saying that content knowledge is important, but if you know something it is not enough. It is the way you teach and how they understand what is being taught. Subject knowledge, content knowledge and pedagogical content knowledge are so important when it comes to teaching a class and for them to have a clear understanding of what they are being taught.</w:t>
      </w: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r>
        <w:rPr>
          <w:rFonts w:ascii="Arial" w:hAnsi="Arial"/>
          <w:b w:val="0"/>
          <w:bCs w:val="0"/>
          <w:sz w:val="24"/>
          <w:szCs w:val="24"/>
          <w:u w:val="single"/>
          <w:rtl w:val="0"/>
          <w:lang w:val="en-US"/>
        </w:rPr>
        <w:t>Appendices:</w:t>
      </w:r>
    </w:p>
    <w:p>
      <w:pPr>
        <w:pStyle w:val="Body"/>
        <w:spacing w:line="480" w:lineRule="auto"/>
      </w:pPr>
      <w:r>
        <w:rPr>
          <w:rFonts w:ascii="Arial" w:hAnsi="Arial"/>
          <w:b w:val="0"/>
          <w:bCs w:val="0"/>
          <w:sz w:val="24"/>
          <w:szCs w:val="24"/>
          <w:rtl w:val="0"/>
          <w:lang w:val="en-US"/>
        </w:rPr>
        <w:t>Appendix 1:</w:t>
      </w:r>
      <w:r>
        <w:rPr>
          <w:rFonts w:ascii="Arial" w:cs="Arial" w:hAnsi="Arial" w:eastAsia="Arial"/>
          <w:b w:val="0"/>
          <w:bCs w:val="0"/>
          <w:sz w:val="24"/>
          <w:szCs w:val="24"/>
          <w:lang w:val="en-US"/>
        </w:rPr>
        <w:drawing>
          <wp:anchor distT="152400" distB="152400" distL="152400" distR="152400" simplePos="0" relativeHeight="251666432" behindDoc="0" locked="0" layoutInCell="1" allowOverlap="1">
            <wp:simplePos x="0" y="0"/>
            <wp:positionH relativeFrom="margin">
              <wp:posOffset>-6350</wp:posOffset>
            </wp:positionH>
            <wp:positionV relativeFrom="line">
              <wp:posOffset>242944</wp:posOffset>
            </wp:positionV>
            <wp:extent cx="3392954" cy="3309755"/>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G_E5487.jpg"/>
                    <pic:cNvPicPr>
                      <a:picLocks noChangeAspect="1"/>
                    </pic:cNvPicPr>
                  </pic:nvPicPr>
                  <pic:blipFill>
                    <a:blip r:embed="rId5">
                      <a:extLst/>
                    </a:blip>
                    <a:stretch>
                      <a:fillRect/>
                    </a:stretch>
                  </pic:blipFill>
                  <pic:spPr>
                    <a:xfrm>
                      <a:off x="0" y="0"/>
                      <a:ext cx="3392954" cy="3309755"/>
                    </a:xfrm>
                    <a:prstGeom prst="rect">
                      <a:avLst/>
                    </a:prstGeom>
                    <a:ln w="12700" cap="flat">
                      <a:noFill/>
                      <a:miter lim="400000"/>
                    </a:ln>
                    <a:effectLst/>
                  </pic:spPr>
                </pic:pic>
              </a:graphicData>
            </a:graphic>
          </wp:anchor>
        </w:drawing>
      </w: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r>
        <w:rPr>
          <w:rFonts w:ascii="Arial" w:hAnsi="Arial"/>
          <w:b w:val="0"/>
          <w:bCs w:val="0"/>
          <w:sz w:val="24"/>
          <w:szCs w:val="24"/>
          <w:rtl w:val="0"/>
          <w:lang w:val="en-US"/>
        </w:rPr>
        <w:t>Appendix 2:</w:t>
      </w:r>
      <w:r>
        <w:rPr>
          <w:rFonts w:ascii="Arial" w:cs="Arial" w:hAnsi="Arial" w:eastAsia="Arial"/>
          <w:b w:val="0"/>
          <w:bCs w:val="0"/>
          <w:sz w:val="24"/>
          <w:szCs w:val="24"/>
          <w:lang w:val="en-US"/>
        </w:rPr>
        <w:drawing>
          <wp:anchor distT="152400" distB="152400" distL="152400" distR="152400" simplePos="0" relativeHeight="251662336" behindDoc="0" locked="0" layoutInCell="1" allowOverlap="1">
            <wp:simplePos x="0" y="0"/>
            <wp:positionH relativeFrom="margin">
              <wp:posOffset>-6349</wp:posOffset>
            </wp:positionH>
            <wp:positionV relativeFrom="line">
              <wp:posOffset>256617</wp:posOffset>
            </wp:positionV>
            <wp:extent cx="5658938" cy="4285001"/>
            <wp:effectExtent l="0" t="0" r="0" b="0"/>
            <wp:wrapThrough wrapText="bothSides" distL="152400" distR="152400">
              <wp:wrapPolygon edited="1">
                <wp:start x="0" y="0"/>
                <wp:lineTo x="21621" y="0"/>
                <wp:lineTo x="21621" y="21617"/>
                <wp:lineTo x="0" y="21617"/>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 Shot 2019-01-05 at 22.58.12.png"/>
                    <pic:cNvPicPr>
                      <a:picLocks noChangeAspect="1"/>
                    </pic:cNvPicPr>
                  </pic:nvPicPr>
                  <pic:blipFill>
                    <a:blip r:embed="rId6">
                      <a:extLst/>
                    </a:blip>
                    <a:stretch>
                      <a:fillRect/>
                    </a:stretch>
                  </pic:blipFill>
                  <pic:spPr>
                    <a:xfrm>
                      <a:off x="0" y="0"/>
                      <a:ext cx="5658938" cy="4285001"/>
                    </a:xfrm>
                    <a:prstGeom prst="rect">
                      <a:avLst/>
                    </a:prstGeom>
                    <a:ln w="12700" cap="flat">
                      <a:noFill/>
                      <a:miter lim="400000"/>
                    </a:ln>
                    <a:effectLst/>
                  </pic:spPr>
                </pic:pic>
              </a:graphicData>
            </a:graphic>
          </wp:anchor>
        </w:drawing>
      </w: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r>
        <w:rPr>
          <w:rFonts w:ascii="Arial" w:hAnsi="Arial"/>
          <w:b w:val="0"/>
          <w:bCs w:val="0"/>
          <w:sz w:val="24"/>
          <w:szCs w:val="24"/>
          <w:rtl w:val="0"/>
          <w:lang w:val="en-US"/>
        </w:rPr>
        <w:t>Appendix 3:</w:t>
      </w:r>
      <w:r>
        <w:rPr>
          <w:rFonts w:ascii="Arial" w:cs="Arial" w:hAnsi="Arial" w:eastAsia="Arial"/>
          <w:b w:val="0"/>
          <w:bCs w:val="0"/>
          <w:sz w:val="24"/>
          <w:szCs w:val="24"/>
          <w:lang w:val="en-US"/>
        </w:rPr>
        <w:drawing>
          <wp:anchor distT="152400" distB="152400" distL="152400" distR="152400" simplePos="0" relativeHeight="251663360" behindDoc="0" locked="0" layoutInCell="1" allowOverlap="1">
            <wp:simplePos x="0" y="0"/>
            <wp:positionH relativeFrom="margin">
              <wp:posOffset>-6350</wp:posOffset>
            </wp:positionH>
            <wp:positionV relativeFrom="line">
              <wp:posOffset>259402</wp:posOffset>
            </wp:positionV>
            <wp:extent cx="2900667" cy="1710602"/>
            <wp:effectExtent l="0" t="0" r="0" b="0"/>
            <wp:wrapThrough wrapText="bothSides" distL="152400" distR="152400">
              <wp:wrapPolygon edited="1">
                <wp:start x="0" y="0"/>
                <wp:lineTo x="0" y="21599"/>
                <wp:lineTo x="21601" y="21599"/>
                <wp:lineTo x="21601" y="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Screen Shot 2019-01-05 at 23.07.40.png"/>
                    <pic:cNvPicPr>
                      <a:picLocks noChangeAspect="1"/>
                    </pic:cNvPicPr>
                  </pic:nvPicPr>
                  <pic:blipFill>
                    <a:blip r:embed="rId7">
                      <a:extLst/>
                    </a:blip>
                    <a:srcRect l="0" t="0" r="0" b="44905"/>
                    <a:stretch>
                      <a:fillRect/>
                    </a:stretch>
                  </pic:blipFill>
                  <pic:spPr>
                    <a:xfrm>
                      <a:off x="0" y="0"/>
                      <a:ext cx="2900667" cy="1710602"/>
                    </a:xfrm>
                    <a:prstGeom prst="rect">
                      <a:avLst/>
                    </a:prstGeom>
                    <a:ln w="12700" cap="flat">
                      <a:noFill/>
                      <a:miter lim="400000"/>
                    </a:ln>
                    <a:effectLst/>
                  </pic:spPr>
                </pic:pic>
              </a:graphicData>
            </a:graphic>
          </wp:anchor>
        </w:drawing>
      </w:r>
      <w:r>
        <w:rPr>
          <w:rFonts w:ascii="Arial" w:cs="Arial" w:hAnsi="Arial" w:eastAsia="Arial"/>
          <w:b w:val="0"/>
          <w:bCs w:val="0"/>
          <w:sz w:val="24"/>
          <w:szCs w:val="24"/>
          <w:lang w:val="en-US"/>
        </w:rPr>
        <w:drawing>
          <wp:anchor distT="152400" distB="152400" distL="152400" distR="152400" simplePos="0" relativeHeight="251665408" behindDoc="0" locked="0" layoutInCell="1" allowOverlap="1">
            <wp:simplePos x="0" y="0"/>
            <wp:positionH relativeFrom="margin">
              <wp:posOffset>2894409</wp:posOffset>
            </wp:positionH>
            <wp:positionV relativeFrom="line">
              <wp:posOffset>259402</wp:posOffset>
            </wp:positionV>
            <wp:extent cx="3577355" cy="1710532"/>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Screen Shot 2019-01-05 at 23.09.52.png"/>
                    <pic:cNvPicPr>
                      <a:picLocks noChangeAspect="1"/>
                    </pic:cNvPicPr>
                  </pic:nvPicPr>
                  <pic:blipFill>
                    <a:blip r:embed="rId8">
                      <a:extLst/>
                    </a:blip>
                    <a:stretch>
                      <a:fillRect/>
                    </a:stretch>
                  </pic:blipFill>
                  <pic:spPr>
                    <a:xfrm>
                      <a:off x="0" y="0"/>
                      <a:ext cx="3577355" cy="1710532"/>
                    </a:xfrm>
                    <a:prstGeom prst="rect">
                      <a:avLst/>
                    </a:prstGeom>
                    <a:ln w="12700" cap="flat">
                      <a:noFill/>
                      <a:miter lim="400000"/>
                    </a:ln>
                    <a:effectLst/>
                  </pic:spPr>
                </pic:pic>
              </a:graphicData>
            </a:graphic>
          </wp:anchor>
        </w:drawing>
      </w: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r>
        <w:rPr>
          <w:rFonts w:ascii="Arial" w:hAnsi="Arial"/>
          <w:b w:val="0"/>
          <w:bCs w:val="0"/>
          <w:sz w:val="24"/>
          <w:szCs w:val="24"/>
          <w:u w:val="single"/>
          <w:rtl w:val="0"/>
          <w:lang w:val="en-US"/>
        </w:rPr>
        <w:t>Appendix 4:</w:t>
      </w:r>
      <w:r>
        <w:rPr>
          <w:rFonts w:ascii="Arial" w:cs="Arial" w:hAnsi="Arial" w:eastAsia="Arial"/>
          <w:b w:val="0"/>
          <w:bCs w:val="0"/>
          <w:sz w:val="24"/>
          <w:szCs w:val="24"/>
          <w:u w:val="single"/>
          <w:lang w:val="en-US"/>
        </w:rPr>
        <w:drawing>
          <wp:anchor distT="152400" distB="152400" distL="152400" distR="152400" simplePos="0" relativeHeight="251664384" behindDoc="0" locked="0" layoutInCell="1" allowOverlap="1">
            <wp:simplePos x="0" y="0"/>
            <wp:positionH relativeFrom="margin">
              <wp:posOffset>-6350</wp:posOffset>
            </wp:positionH>
            <wp:positionV relativeFrom="line">
              <wp:posOffset>368124</wp:posOffset>
            </wp:positionV>
            <wp:extent cx="6120057" cy="4621738"/>
            <wp:effectExtent l="0" t="0" r="0" b="0"/>
            <wp:wrapThrough wrapText="bothSides" distL="152400" distR="152400">
              <wp:wrapPolygon edited="1">
                <wp:start x="0" y="0"/>
                <wp:lineTo x="21600" y="0"/>
                <wp:lineTo x="21600" y="21619"/>
                <wp:lineTo x="0" y="21619"/>
                <wp:lineTo x="0" y="0"/>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Screen Shot 2019-01-05 at 23.09.05.png"/>
                    <pic:cNvPicPr>
                      <a:picLocks noChangeAspect="1"/>
                    </pic:cNvPicPr>
                  </pic:nvPicPr>
                  <pic:blipFill>
                    <a:blip r:embed="rId9">
                      <a:extLst/>
                    </a:blip>
                    <a:stretch>
                      <a:fillRect/>
                    </a:stretch>
                  </pic:blipFill>
                  <pic:spPr>
                    <a:xfrm>
                      <a:off x="0" y="0"/>
                      <a:ext cx="6120057" cy="4621738"/>
                    </a:xfrm>
                    <a:prstGeom prst="rect">
                      <a:avLst/>
                    </a:prstGeom>
                    <a:ln w="12700" cap="flat">
                      <a:noFill/>
                      <a:miter lim="400000"/>
                    </a:ln>
                    <a:effectLst/>
                  </pic:spPr>
                </pic:pic>
              </a:graphicData>
            </a:graphic>
          </wp:anchor>
        </w:drawing>
      </w:r>
    </w:p>
    <w:p>
      <w:pPr>
        <w:pStyle w:val="Body"/>
        <w:spacing w:line="480" w:lineRule="auto"/>
      </w:pPr>
    </w:p>
    <w:p>
      <w:pPr>
        <w:pStyle w:val="Body"/>
        <w:spacing w:line="480" w:lineRule="auto"/>
      </w:pPr>
      <w:r>
        <w:rPr>
          <w:rFonts w:ascii="Arial" w:hAnsi="Arial"/>
          <w:b w:val="1"/>
          <w:bCs w:val="1"/>
          <w:sz w:val="24"/>
          <w:szCs w:val="24"/>
          <w:u w:val="single"/>
          <w:rtl w:val="0"/>
          <w:lang w:val="en-US"/>
        </w:rPr>
        <w:t>References:</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 xml:space="preserve">Shulman, L. S. (1986). Those who understand: Knowledge growth in teaching. </w:t>
      </w:r>
      <w:r>
        <w:rPr>
          <w:rFonts w:ascii="Arial" w:hAnsi="Arial"/>
          <w:i w:val="1"/>
          <w:iCs w:val="1"/>
          <w:sz w:val="24"/>
          <w:szCs w:val="24"/>
          <w:rtl w:val="0"/>
          <w:lang w:val="en-US"/>
        </w:rPr>
        <w:t>Educational Researcher</w:t>
      </w:r>
      <w:r>
        <w:rPr>
          <w:rFonts w:ascii="Arial" w:hAnsi="Arial"/>
          <w:i w:val="1"/>
          <w:iCs w:val="1"/>
          <w:sz w:val="24"/>
          <w:szCs w:val="24"/>
          <w:rtl w:val="0"/>
          <w:lang w:val="en-US"/>
        </w:rPr>
        <w:t>.</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Shulman, L. (1987). Knowledge and teaching: Foundations of new reform. Harvard Educational Review,</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Dewey, J. (1899). The School of Society. United States.</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Loughran, J. (2012). Understanding and Developing Science Teachers</w:t>
      </w:r>
      <w:r>
        <w:rPr>
          <w:rFonts w:ascii="Arial" w:hAnsi="Arial" w:hint="default"/>
          <w:sz w:val="24"/>
          <w:szCs w:val="24"/>
          <w:rtl w:val="0"/>
          <w:lang w:val="en-US"/>
        </w:rPr>
        <w:t xml:space="preserve">’ </w:t>
      </w:r>
      <w:r>
        <w:rPr>
          <w:rFonts w:ascii="Arial" w:hAnsi="Arial"/>
          <w:sz w:val="24"/>
          <w:szCs w:val="24"/>
          <w:rtl w:val="0"/>
          <w:lang w:val="en-US"/>
        </w:rPr>
        <w:t>Pedagogical Content Knowledge. United Kindgom.</w:t>
      </w:r>
    </w:p>
    <w:p>
      <w:pPr>
        <w:pStyle w:val="Default"/>
        <w:numPr>
          <w:ilvl w:val="0"/>
          <w:numId w:val="5"/>
        </w:numPr>
        <w:suppressAutoHyphens w:val="1"/>
        <w:spacing w:line="480" w:lineRule="auto"/>
        <w:jc w:val="left"/>
        <w:rPr>
          <w:rFonts w:ascii="Arial" w:hAnsi="Arial"/>
          <w:sz w:val="24"/>
          <w:szCs w:val="24"/>
          <w:u w:color="000000"/>
          <w:lang w:val="en-US"/>
        </w:rPr>
      </w:pPr>
      <w:r>
        <w:rPr>
          <w:rFonts w:ascii="Arial" w:hAnsi="Arial"/>
          <w:sz w:val="24"/>
          <w:szCs w:val="24"/>
          <w:u w:color="000000"/>
          <w:rtl w:val="0"/>
          <w:lang w:val="en-US"/>
        </w:rPr>
        <w:t>Estyn Report (201</w:t>
      </w:r>
      <w:r>
        <w:rPr>
          <w:rFonts w:ascii="Arial" w:hAnsi="Arial"/>
          <w:sz w:val="24"/>
          <w:szCs w:val="24"/>
          <w:u w:color="000000"/>
          <w:rtl w:val="0"/>
          <w:lang w:val="en-US"/>
        </w:rPr>
        <w:t>8</w:t>
      </w:r>
      <w:r>
        <w:rPr>
          <w:rFonts w:ascii="Arial" w:hAnsi="Arial"/>
          <w:sz w:val="24"/>
          <w:szCs w:val="24"/>
          <w:u w:color="000000"/>
          <w:rtl w:val="0"/>
          <w:lang w:val="en-US"/>
        </w:rPr>
        <w:t xml:space="preserve">). </w:t>
      </w:r>
      <w:r>
        <w:rPr>
          <w:rFonts w:ascii="Arial" w:hAnsi="Arial"/>
          <w:i w:val="1"/>
          <w:iCs w:val="1"/>
          <w:sz w:val="24"/>
          <w:szCs w:val="24"/>
          <w:u w:color="000000"/>
          <w:rtl w:val="0"/>
          <w:lang w:val="en-US"/>
        </w:rPr>
        <w:t>School</w:t>
      </w:r>
      <w:r>
        <w:rPr>
          <w:rFonts w:ascii="Arial" w:hAnsi="Arial" w:hint="default"/>
          <w:i w:val="1"/>
          <w:iCs w:val="1"/>
          <w:sz w:val="24"/>
          <w:szCs w:val="24"/>
          <w:u w:color="000000"/>
          <w:rtl w:val="0"/>
          <w:lang w:val="en-US"/>
        </w:rPr>
        <w:t>’</w:t>
      </w:r>
      <w:r>
        <w:rPr>
          <w:rFonts w:ascii="Arial" w:hAnsi="Arial"/>
          <w:i w:val="1"/>
          <w:iCs w:val="1"/>
          <w:sz w:val="24"/>
          <w:szCs w:val="24"/>
          <w:u w:color="000000"/>
          <w:rtl w:val="0"/>
          <w:lang w:val="en-US"/>
        </w:rPr>
        <w:t>s Report.</w:t>
      </w:r>
      <w:r>
        <w:rPr>
          <w:rFonts w:ascii="Arial" w:hAnsi="Arial"/>
          <w:sz w:val="24"/>
          <w:szCs w:val="24"/>
          <w:u w:color="000000"/>
          <w:rtl w:val="0"/>
          <w:lang w:val="en-US"/>
        </w:rPr>
        <w:t xml:space="preserve"> Wales</w:t>
      </w:r>
      <w:r>
        <w:rPr>
          <w:rFonts w:ascii="Arial" w:hAnsi="Arial"/>
          <w:sz w:val="24"/>
          <w:szCs w:val="24"/>
          <w:u w:color="000000"/>
          <w:rtl w:val="0"/>
          <w:lang w:val="en-US"/>
        </w:rPr>
        <w:t xml:space="preserve">. </w:t>
      </w:r>
      <w:r>
        <w:rPr>
          <w:rFonts w:ascii="Arial" w:hAnsi="Arial"/>
          <w:i w:val="1"/>
          <w:iCs w:val="1"/>
          <w:color w:val="357ca2"/>
          <w:sz w:val="24"/>
          <w:szCs w:val="24"/>
          <w:u w:val="single" w:color="000000"/>
          <w:rtl w:val="0"/>
          <w:lang w:val="en-US"/>
        </w:rPr>
        <w:t>https://www.estyn.gov.wales/provider/craigfelen-primary-school</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Berry, A. (2015). Re-examining Pedagogical Content Knowledge in Science Education. London.</w:t>
      </w:r>
    </w:p>
    <w:p>
      <w:pPr>
        <w:pStyle w:val="Default"/>
        <w:numPr>
          <w:ilvl w:val="0"/>
          <w:numId w:val="6"/>
        </w:numPr>
        <w:bidi w:val="0"/>
        <w:spacing w:line="480" w:lineRule="auto"/>
        <w:ind w:right="0"/>
        <w:jc w:val="left"/>
        <w:rPr>
          <w:rFonts w:ascii="Arial" w:hAnsi="Arial"/>
          <w:sz w:val="24"/>
          <w:szCs w:val="24"/>
          <w:rtl w:val="0"/>
          <w:lang w:val="en-US"/>
        </w:rPr>
      </w:pPr>
      <w:r>
        <w:rPr>
          <w:rFonts w:ascii="Arial" w:hAnsi="Arial"/>
          <w:sz w:val="24"/>
          <w:szCs w:val="24"/>
          <w:rtl w:val="0"/>
          <w:lang w:val="en-US"/>
        </w:rPr>
        <w:t>Gess-Newsome, J., &amp; Lederman, N. (1993). Preservice biology teachers' knowledge structures as a function of professional teacher education: A year-long assessment.</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Gudmundsdottir, S. (1987). Learning to teach social studies: Case studies of Chris and Cathy. Paper presented at the Annual Meeting of the American Educational Research Association. Washington, D.C.</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 xml:space="preserve">Juniati, D. (2017). Pedagogical Content Knowledge: Knowledge of Pedagogy Novie Teachers. United Kingdom. </w:t>
      </w:r>
      <w:r>
        <w:rPr>
          <w:rFonts w:ascii="Arial" w:hAnsi="Arial"/>
          <w:i w:val="1"/>
          <w:iCs w:val="1"/>
          <w:color w:val="357ca2"/>
          <w:sz w:val="24"/>
          <w:szCs w:val="24"/>
          <w:u w:val="single"/>
          <w:rtl w:val="0"/>
          <w:lang w:val="it-IT"/>
        </w:rPr>
        <w:t>https://aip.scitation.org/doi/10.1063/1.4975975</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 xml:space="preserve">Puteh, M. (2014). Effective Teaching: Pedagogical Content Knowledge. Indonesia. </w:t>
      </w:r>
      <w:r>
        <w:rPr>
          <w:rFonts w:ascii="Arial" w:hAnsi="Arial"/>
          <w:i w:val="1"/>
          <w:iCs w:val="1"/>
          <w:color w:val="357ca2"/>
          <w:sz w:val="24"/>
          <w:szCs w:val="24"/>
          <w:u w:val="single"/>
          <w:rtl w:val="0"/>
          <w:lang w:val="en-US"/>
        </w:rPr>
        <w:t>https://www.researchgate.net/publication/303940850_Effective_Teaching_Pedagogical_Content_Knowledge</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Royal Society of Chemistry (2019). What is Pedagogical Content Knowledge? London.</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 xml:space="preserve">Rowland, T. (2012). The Knowledge Quartet. University of Cambridge. </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Morrison, N. (2014). Subject Knowledge Is Prime Factor In Good Teaching. England.</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 xml:space="preserve">Enser, M. (2018). Maintaining Your Subject Knowledge. </w:t>
      </w:r>
      <w:r>
        <w:rPr>
          <w:rFonts w:ascii="Arial" w:hAnsi="Arial"/>
          <w:sz w:val="24"/>
          <w:szCs w:val="24"/>
          <w:rtl w:val="0"/>
          <w:lang w:val="en-US"/>
        </w:rPr>
        <w:t>Heathfield Community College</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Enqvist, J. (2016). PCK - Pedagogical Content Knowledge. United Kingdom.</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 xml:space="preserve">Mecoli, S. (2013). The Influence of the Pedagogical Content Knowledge Theoretical Framework on Research on Preservice Teacher Education. </w:t>
      </w:r>
      <w:r>
        <w:rPr>
          <w:rStyle w:val="Hyperlink.0"/>
          <w:rFonts w:ascii="Arial" w:cs="Arial" w:hAnsi="Arial" w:eastAsia="Arial"/>
          <w:sz w:val="24"/>
          <w:szCs w:val="24"/>
          <w:rtl w:val="0"/>
        </w:rPr>
        <w:fldChar w:fldCharType="begin" w:fldLock="0"/>
      </w:r>
      <w:r>
        <w:rPr>
          <w:rStyle w:val="Hyperlink.0"/>
          <w:rFonts w:ascii="Arial" w:cs="Arial" w:hAnsi="Arial" w:eastAsia="Arial"/>
          <w:sz w:val="24"/>
          <w:szCs w:val="24"/>
          <w:rtl w:val="0"/>
        </w:rPr>
        <w:instrText xml:space="preserve"> HYPERLINK "https://www.jstor.org/stable/24636918?seq=1#page_scan_tab_contents"</w:instrText>
      </w:r>
      <w:r>
        <w:rPr>
          <w:rStyle w:val="Hyperlink.0"/>
          <w:rFonts w:ascii="Arial" w:cs="Arial" w:hAnsi="Arial" w:eastAsia="Arial"/>
          <w:sz w:val="24"/>
          <w:szCs w:val="24"/>
          <w:rtl w:val="0"/>
        </w:rPr>
        <w:fldChar w:fldCharType="separate" w:fldLock="0"/>
      </w:r>
      <w:r>
        <w:rPr>
          <w:rStyle w:val="Hyperlink.0"/>
          <w:rFonts w:ascii="Arial" w:hAnsi="Arial"/>
          <w:sz w:val="24"/>
          <w:szCs w:val="24"/>
          <w:rtl w:val="0"/>
          <w:lang w:val="en-US"/>
        </w:rPr>
        <w:t>https://www.jstor.org/stable/24636918?seq=1#page_scan_tab_contents</w:t>
      </w:r>
      <w:r>
        <w:rPr>
          <w:rFonts w:ascii="Arial" w:cs="Arial" w:hAnsi="Arial" w:eastAsia="Arial"/>
          <w:sz w:val="24"/>
          <w:szCs w:val="24"/>
          <w:rtl w:val="0"/>
        </w:rPr>
        <w:fldChar w:fldCharType="end" w:fldLock="0"/>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Andrews, S. (2001). The language awareness of the L2 teacher: Its impact upon pedagogical practice. Language Awareness</w:t>
      </w:r>
      <w:r>
        <w:rPr>
          <w:rFonts w:ascii="Arial" w:hAnsi="Arial"/>
          <w:sz w:val="24"/>
          <w:szCs w:val="24"/>
          <w:rtl w:val="0"/>
          <w:lang w:val="en-US"/>
        </w:rPr>
        <w:t>.</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Grossman, P. L. (1990). The making of a teacher: Teacher knowledge and teacher education. New York</w:t>
      </w:r>
      <w:r>
        <w:rPr>
          <w:rFonts w:ascii="Arial" w:hAnsi="Arial"/>
          <w:sz w:val="24"/>
          <w:szCs w:val="24"/>
          <w:rtl w:val="0"/>
          <w:lang w:val="en-US"/>
        </w:rPr>
        <w:t>.</w:t>
      </w:r>
    </w:p>
    <w:sectPr>
      <w:headerReference w:type="default" r:id="rId10"/>
      <w:footerReference w:type="default" r:id="rId11"/>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tab/>
    </w:r>
    <w:r>
      <w:rPr>
        <w:rtl w:val="0"/>
        <w:lang w:val="en-US"/>
      </w:rPr>
      <w:t xml:space="preserve">Page </w:t>
    </w:r>
    <w:r>
      <w:rPr/>
      <w:fldChar w:fldCharType="begin" w:fldLock="0"/>
    </w:r>
    <w:r>
      <w:instrText xml:space="preserve"> PAGE </w:instrText>
    </w:r>
    <w:r>
      <w:rPr/>
      <w:fldChar w:fldCharType="separate" w:fldLock="0"/>
    </w:r>
    <w:r>
      <w:t>17</w:t>
    </w:r>
    <w:r>
      <w:rPr/>
      <w:fldChar w:fldCharType="end" w:fldLock="0"/>
    </w:r>
    <w:r>
      <w:rPr>
        <w:rtl w:val="0"/>
        <w:lang w:val="en-US"/>
      </w:rPr>
      <w:t xml:space="preserve"> of </w:t>
    </w:r>
    <w:r>
      <w:rPr/>
      <w:fldChar w:fldCharType="begin" w:fldLock="0"/>
    </w:r>
    <w:r>
      <w:instrText xml:space="preserve"> NUMPAGES </w:instrText>
    </w:r>
    <w:r>
      <w:rPr/>
      <w:fldChar w:fldCharType="separate" w:fldLock="0"/>
    </w:r>
    <w:r>
      <w:t>17</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tab/>
      <w:tab/>
    </w:r>
    <w:r>
      <w:rPr>
        <w:rtl w:val="0"/>
        <w:lang w:val="en-US"/>
      </w:rPr>
      <w:t>P145670</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Bullet"/>
  </w:abstractNum>
  <w:abstractNum w:abstractNumId="3">
    <w:multiLevelType w:val="hybridMultilevel"/>
    <w:styleLink w:val="Bullet"/>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 w:numId="3">
    <w:abstractNumId w:val="3"/>
  </w:num>
  <w:num w:numId="4">
    <w:abstractNumId w:val="2"/>
  </w:num>
  <w:num w:numId="5">
    <w:abstractNumId w:val="2"/>
    <w:lvlOverride w:ilvl="0">
      <w:lvl w:ilvl="0">
        <w:start w:val="1"/>
        <w:numFmt w:val="bullet"/>
        <w:suff w:val="tab"/>
        <w:lvlText w:val="•"/>
        <w:lvlJc w:val="left"/>
        <w:pPr>
          <w:ind w:left="213" w:hanging="213"/>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7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55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73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91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109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127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145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163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6">
    <w:abstractNumId w:val="2"/>
    <w:lvlOverride w:ilvl="0">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numbering" w:styleId="Numbered">
    <w:name w:val="Numbered"/>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numbering" w:styleId="Bullet">
    <w:name w:val="Bullet"/>
    <w:pPr>
      <w:numPr>
        <w:numId w:val="3"/>
      </w:numPr>
    </w:p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numbering" Target="numbering.xml"/><Relationship Id="rId13"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