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6062" w14:textId="509486E1" w:rsidR="00F43B81" w:rsidRDefault="0023270E" w:rsidP="0023270E">
      <w:pPr>
        <w:jc w:val="center"/>
        <w:rPr>
          <w:b/>
          <w:bCs/>
          <w:sz w:val="56"/>
          <w:szCs w:val="56"/>
        </w:rPr>
      </w:pPr>
      <w:r w:rsidRPr="0023270E">
        <w:rPr>
          <w:b/>
          <w:bCs/>
          <w:sz w:val="56"/>
          <w:szCs w:val="56"/>
        </w:rPr>
        <w:t>Prosiect Ymchwil: Astudiaeth achos archwiliadol yn seiliedig ar y Profiad Dewisol</w:t>
      </w:r>
    </w:p>
    <w:p w14:paraId="6BA29C04" w14:textId="77777777" w:rsidR="006145E6" w:rsidRDefault="006145E6" w:rsidP="0023270E">
      <w:pPr>
        <w:jc w:val="center"/>
        <w:rPr>
          <w:b/>
          <w:bCs/>
          <w:sz w:val="56"/>
          <w:szCs w:val="56"/>
        </w:rPr>
      </w:pPr>
    </w:p>
    <w:p w14:paraId="67297543" w14:textId="57CF87C3" w:rsidR="006145E6" w:rsidRDefault="006145E6" w:rsidP="0023270E">
      <w:pPr>
        <w:jc w:val="center"/>
        <w:rPr>
          <w:b/>
          <w:bCs/>
          <w:sz w:val="32"/>
          <w:szCs w:val="32"/>
        </w:rPr>
      </w:pPr>
      <w:r w:rsidRPr="006145E6">
        <w:rPr>
          <w:rFonts w:ascii="Arial" w:eastAsia="Arial" w:hAnsi="Arial" w:cs="Arial"/>
          <w:b/>
          <w:bCs/>
          <w:sz w:val="32"/>
          <w:szCs w:val="32"/>
        </w:rPr>
        <w:t>Beth yw profiadau staff ysgol gynradd o ddefnyddio stratagaethau ac ymyrraethau cyfathrebu a rheoli ymddygiad dysgwyr cyfnod sylfaen ag awtistiaeth?</w:t>
      </w:r>
    </w:p>
    <w:p w14:paraId="1D40E526" w14:textId="77777777" w:rsidR="006145E6" w:rsidRDefault="006145E6" w:rsidP="0023270E">
      <w:pPr>
        <w:jc w:val="center"/>
        <w:rPr>
          <w:b/>
          <w:bCs/>
          <w:sz w:val="32"/>
          <w:szCs w:val="32"/>
        </w:rPr>
      </w:pPr>
    </w:p>
    <w:p w14:paraId="68A66FDE" w14:textId="32AE175C" w:rsidR="006145E6" w:rsidRDefault="006145E6" w:rsidP="0023270E">
      <w:pPr>
        <w:jc w:val="center"/>
        <w:rPr>
          <w:b/>
          <w:bCs/>
          <w:sz w:val="32"/>
          <w:szCs w:val="32"/>
        </w:rPr>
      </w:pPr>
      <w:r>
        <w:rPr>
          <w:b/>
          <w:bCs/>
          <w:sz w:val="32"/>
          <w:szCs w:val="32"/>
        </w:rPr>
        <w:t>Mared Jones</w:t>
      </w:r>
    </w:p>
    <w:p w14:paraId="639E16A1" w14:textId="68FC068D" w:rsidR="006145E6" w:rsidRPr="0023270E" w:rsidRDefault="006145E6" w:rsidP="0023270E">
      <w:pPr>
        <w:jc w:val="center"/>
        <w:rPr>
          <w:b/>
          <w:bCs/>
          <w:sz w:val="56"/>
          <w:szCs w:val="56"/>
        </w:rPr>
      </w:pPr>
      <w:r>
        <w:rPr>
          <w:b/>
          <w:bCs/>
          <w:sz w:val="32"/>
          <w:szCs w:val="32"/>
        </w:rPr>
        <w:t>2102860</w:t>
      </w:r>
    </w:p>
    <w:p w14:paraId="135AF495" w14:textId="3D076444" w:rsidR="00633D2B" w:rsidRDefault="00F43B81">
      <w:r>
        <w:br w:type="page"/>
      </w:r>
    </w:p>
    <w:tbl>
      <w:tblPr>
        <w:tblStyle w:val="TableGrid"/>
        <w:tblpPr w:leftFromText="180" w:rightFromText="180" w:vertAnchor="text" w:horzAnchor="margin" w:tblpXSpec="center" w:tblpY="351"/>
        <w:tblW w:w="10627" w:type="dxa"/>
        <w:tblInd w:w="0" w:type="dxa"/>
        <w:tblLook w:val="04A0" w:firstRow="1" w:lastRow="0" w:firstColumn="1" w:lastColumn="0" w:noHBand="0" w:noVBand="1"/>
      </w:tblPr>
      <w:tblGrid>
        <w:gridCol w:w="3114"/>
        <w:gridCol w:w="2313"/>
        <w:gridCol w:w="5200"/>
      </w:tblGrid>
      <w:tr w:rsidR="00CC42AA" w14:paraId="3539A63F" w14:textId="77777777" w:rsidTr="00CC42AA">
        <w:tc>
          <w:tcPr>
            <w:tcW w:w="3114" w:type="dxa"/>
            <w:tcBorders>
              <w:top w:val="single" w:sz="4" w:space="0" w:color="auto"/>
              <w:left w:val="single" w:sz="4" w:space="0" w:color="auto"/>
              <w:bottom w:val="single" w:sz="4" w:space="0" w:color="auto"/>
              <w:right w:val="single" w:sz="4" w:space="0" w:color="auto"/>
            </w:tcBorders>
            <w:hideMark/>
          </w:tcPr>
          <w:p w14:paraId="703524B7" w14:textId="77777777" w:rsidR="00CC42AA" w:rsidRDefault="00CC42AA" w:rsidP="00CC42AA">
            <w:pPr>
              <w:pStyle w:val="AssignBody"/>
              <w:rPr>
                <w:b/>
                <w:bCs/>
                <w:sz w:val="20"/>
                <w:szCs w:val="20"/>
              </w:rPr>
            </w:pPr>
            <w:proofErr w:type="spellStart"/>
            <w:r>
              <w:rPr>
                <w:b/>
                <w:bCs/>
                <w:sz w:val="20"/>
                <w:szCs w:val="20"/>
              </w:rPr>
              <w:lastRenderedPageBreak/>
              <w:t>Targedau</w:t>
            </w:r>
            <w:proofErr w:type="spellEnd"/>
            <w:r>
              <w:rPr>
                <w:b/>
                <w:bCs/>
                <w:sz w:val="20"/>
                <w:szCs w:val="20"/>
              </w:rPr>
              <w:t xml:space="preserve"> </w:t>
            </w:r>
          </w:p>
        </w:tc>
        <w:tc>
          <w:tcPr>
            <w:tcW w:w="2313" w:type="dxa"/>
            <w:tcBorders>
              <w:top w:val="single" w:sz="4" w:space="0" w:color="auto"/>
              <w:left w:val="single" w:sz="4" w:space="0" w:color="auto"/>
              <w:bottom w:val="single" w:sz="4" w:space="0" w:color="auto"/>
              <w:right w:val="single" w:sz="4" w:space="0" w:color="auto"/>
            </w:tcBorders>
            <w:hideMark/>
          </w:tcPr>
          <w:p w14:paraId="41CE6170" w14:textId="77777777" w:rsidR="00CC42AA" w:rsidRDefault="00CC42AA" w:rsidP="00CC42AA">
            <w:pPr>
              <w:pStyle w:val="AssignBody"/>
              <w:rPr>
                <w:b/>
                <w:bCs/>
                <w:sz w:val="20"/>
                <w:szCs w:val="20"/>
              </w:rPr>
            </w:pPr>
            <w:r>
              <w:rPr>
                <w:b/>
                <w:bCs/>
                <w:sz w:val="20"/>
                <w:szCs w:val="20"/>
              </w:rPr>
              <w:t xml:space="preserve">Sut </w:t>
            </w:r>
            <w:proofErr w:type="spellStart"/>
            <w:r>
              <w:rPr>
                <w:b/>
                <w:bCs/>
                <w:sz w:val="20"/>
                <w:szCs w:val="20"/>
              </w:rPr>
              <w:t>rydych</w:t>
            </w:r>
            <w:proofErr w:type="spellEnd"/>
            <w:r>
              <w:rPr>
                <w:b/>
                <w:bCs/>
                <w:sz w:val="20"/>
                <w:szCs w:val="20"/>
              </w:rPr>
              <w:t xml:space="preserve"> </w:t>
            </w:r>
            <w:proofErr w:type="spellStart"/>
            <w:r>
              <w:rPr>
                <w:b/>
                <w:bCs/>
                <w:sz w:val="20"/>
                <w:szCs w:val="20"/>
              </w:rPr>
              <w:t>wedi</w:t>
            </w:r>
            <w:proofErr w:type="spellEnd"/>
            <w:r>
              <w:rPr>
                <w:b/>
                <w:bCs/>
                <w:sz w:val="20"/>
                <w:szCs w:val="20"/>
              </w:rPr>
              <w:t xml:space="preserve"> </w:t>
            </w:r>
            <w:proofErr w:type="spellStart"/>
            <w:r>
              <w:rPr>
                <w:b/>
                <w:bCs/>
                <w:sz w:val="20"/>
                <w:szCs w:val="20"/>
              </w:rPr>
              <w:t>gweithio</w:t>
            </w:r>
            <w:proofErr w:type="spellEnd"/>
            <w:r>
              <w:rPr>
                <w:b/>
                <w:bCs/>
                <w:sz w:val="20"/>
                <w:szCs w:val="20"/>
              </w:rPr>
              <w:t xml:space="preserve"> </w:t>
            </w:r>
            <w:proofErr w:type="spellStart"/>
            <w:r>
              <w:rPr>
                <w:b/>
                <w:bCs/>
                <w:sz w:val="20"/>
                <w:szCs w:val="20"/>
              </w:rPr>
              <w:t>ar</w:t>
            </w:r>
            <w:proofErr w:type="spellEnd"/>
            <w:r>
              <w:rPr>
                <w:b/>
                <w:bCs/>
                <w:sz w:val="20"/>
                <w:szCs w:val="20"/>
              </w:rPr>
              <w:t xml:space="preserve"> </w:t>
            </w:r>
            <w:proofErr w:type="spellStart"/>
            <w:r>
              <w:rPr>
                <w:b/>
                <w:bCs/>
                <w:sz w:val="20"/>
                <w:szCs w:val="20"/>
              </w:rPr>
              <w:t>hwn</w:t>
            </w:r>
            <w:proofErr w:type="spellEnd"/>
            <w:r>
              <w:rPr>
                <w:b/>
                <w:bCs/>
                <w:sz w:val="20"/>
                <w:szCs w:val="20"/>
              </w:rPr>
              <w:t xml:space="preserve"> </w:t>
            </w:r>
          </w:p>
          <w:p w14:paraId="257CE154" w14:textId="77777777" w:rsidR="00CC42AA" w:rsidRDefault="00CC42AA" w:rsidP="00CC42AA">
            <w:pPr>
              <w:pStyle w:val="AssignBody"/>
              <w:rPr>
                <w:b/>
                <w:bCs/>
                <w:sz w:val="20"/>
                <w:szCs w:val="20"/>
              </w:rPr>
            </w:pPr>
          </w:p>
        </w:tc>
        <w:tc>
          <w:tcPr>
            <w:tcW w:w="5200" w:type="dxa"/>
            <w:tcBorders>
              <w:top w:val="single" w:sz="4" w:space="0" w:color="auto"/>
              <w:left w:val="single" w:sz="4" w:space="0" w:color="auto"/>
              <w:bottom w:val="single" w:sz="4" w:space="0" w:color="auto"/>
              <w:right w:val="single" w:sz="4" w:space="0" w:color="auto"/>
            </w:tcBorders>
            <w:hideMark/>
          </w:tcPr>
          <w:p w14:paraId="42DD0C9C" w14:textId="77777777" w:rsidR="00CC42AA" w:rsidRDefault="00CC42AA" w:rsidP="00CC42AA">
            <w:pPr>
              <w:pStyle w:val="AssignBody"/>
              <w:rPr>
                <w:b/>
                <w:bCs/>
                <w:sz w:val="20"/>
                <w:szCs w:val="20"/>
              </w:rPr>
            </w:pPr>
            <w:proofErr w:type="spellStart"/>
            <w:r>
              <w:rPr>
                <w:b/>
                <w:bCs/>
                <w:sz w:val="20"/>
                <w:szCs w:val="20"/>
              </w:rPr>
              <w:t>Ceir</w:t>
            </w:r>
            <w:proofErr w:type="spellEnd"/>
            <w:r>
              <w:rPr>
                <w:b/>
                <w:bCs/>
                <w:sz w:val="20"/>
                <w:szCs w:val="20"/>
              </w:rPr>
              <w:t xml:space="preserve"> </w:t>
            </w:r>
            <w:proofErr w:type="spellStart"/>
            <w:r>
              <w:rPr>
                <w:b/>
                <w:bCs/>
                <w:sz w:val="20"/>
                <w:szCs w:val="20"/>
              </w:rPr>
              <w:t>enghraifft</w:t>
            </w:r>
            <w:proofErr w:type="spellEnd"/>
            <w:r>
              <w:rPr>
                <w:b/>
                <w:bCs/>
                <w:sz w:val="20"/>
                <w:szCs w:val="20"/>
              </w:rPr>
              <w:t xml:space="preserve"> </w:t>
            </w:r>
            <w:proofErr w:type="spellStart"/>
            <w:r>
              <w:rPr>
                <w:b/>
                <w:bCs/>
                <w:sz w:val="20"/>
                <w:szCs w:val="20"/>
              </w:rPr>
              <w:t>ar</w:t>
            </w:r>
            <w:proofErr w:type="spellEnd"/>
            <w:r>
              <w:rPr>
                <w:b/>
                <w:bCs/>
                <w:sz w:val="20"/>
                <w:szCs w:val="20"/>
              </w:rPr>
              <w:t xml:space="preserve"> </w:t>
            </w:r>
          </w:p>
        </w:tc>
      </w:tr>
      <w:tr w:rsidR="00CC42AA" w:rsidRPr="007B2775" w14:paraId="09BA7016" w14:textId="77777777" w:rsidTr="00CC42AA">
        <w:tc>
          <w:tcPr>
            <w:tcW w:w="3114" w:type="dxa"/>
            <w:tcBorders>
              <w:top w:val="single" w:sz="4" w:space="0" w:color="auto"/>
              <w:left w:val="single" w:sz="4" w:space="0" w:color="auto"/>
              <w:bottom w:val="single" w:sz="4" w:space="0" w:color="auto"/>
              <w:right w:val="single" w:sz="4" w:space="0" w:color="auto"/>
            </w:tcBorders>
            <w:hideMark/>
          </w:tcPr>
          <w:p w14:paraId="7FAB961A" w14:textId="77777777" w:rsidR="00CC42AA" w:rsidRPr="0087342A" w:rsidRDefault="00CC42AA" w:rsidP="00CC42AA">
            <w:pPr>
              <w:pStyle w:val="AssignBody"/>
              <w:spacing w:line="240" w:lineRule="auto"/>
              <w:rPr>
                <w:sz w:val="20"/>
                <w:szCs w:val="20"/>
              </w:rPr>
            </w:pPr>
            <w:proofErr w:type="spellStart"/>
            <w:r>
              <w:rPr>
                <w:rFonts w:ascii="Roboto" w:hAnsi="Roboto"/>
                <w:color w:val="283041"/>
                <w:sz w:val="21"/>
                <w:szCs w:val="21"/>
                <w:shd w:val="clear" w:color="auto" w:fill="FFFFFF"/>
              </w:rPr>
              <w:t>Cynnwys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targedau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o’r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aseiniad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blaenorol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ddechrau’r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a nodi </w:t>
            </w:r>
            <w:proofErr w:type="spellStart"/>
            <w:r>
              <w:rPr>
                <w:rFonts w:ascii="Roboto" w:hAnsi="Roboto"/>
                <w:color w:val="283041"/>
                <w:sz w:val="21"/>
                <w:szCs w:val="21"/>
                <w:shd w:val="clear" w:color="auto" w:fill="FFFFFF"/>
              </w:rPr>
              <w:t>sut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rydych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wedi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ymateb</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iddynt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aseiniad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templed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gael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Moodle).</w:t>
            </w:r>
          </w:p>
        </w:tc>
        <w:tc>
          <w:tcPr>
            <w:tcW w:w="2313" w:type="dxa"/>
            <w:tcBorders>
              <w:top w:val="single" w:sz="4" w:space="0" w:color="auto"/>
              <w:left w:val="single" w:sz="4" w:space="0" w:color="auto"/>
              <w:bottom w:val="single" w:sz="4" w:space="0" w:color="auto"/>
              <w:right w:val="single" w:sz="4" w:space="0" w:color="auto"/>
            </w:tcBorders>
          </w:tcPr>
          <w:p w14:paraId="74AA4DC4" w14:textId="77777777" w:rsidR="00CC42AA" w:rsidRPr="00EF0507" w:rsidRDefault="00CC42AA" w:rsidP="00CC42AA">
            <w:pPr>
              <w:pStyle w:val="AssignBody"/>
              <w:spacing w:line="240" w:lineRule="auto"/>
              <w:rPr>
                <w:sz w:val="20"/>
                <w:szCs w:val="20"/>
              </w:rPr>
            </w:pPr>
            <w:proofErr w:type="spellStart"/>
            <w:r>
              <w:rPr>
                <w:sz w:val="20"/>
                <w:szCs w:val="20"/>
              </w:rPr>
              <w:t>Cynnwys</w:t>
            </w:r>
            <w:proofErr w:type="spellEnd"/>
            <w:r>
              <w:rPr>
                <w:sz w:val="20"/>
                <w:szCs w:val="20"/>
              </w:rPr>
              <w:t xml:space="preserve"> </w:t>
            </w:r>
            <w:proofErr w:type="spellStart"/>
            <w:r>
              <w:rPr>
                <w:sz w:val="20"/>
                <w:szCs w:val="20"/>
              </w:rPr>
              <w:t>targedau</w:t>
            </w:r>
            <w:proofErr w:type="spellEnd"/>
            <w:r>
              <w:rPr>
                <w:sz w:val="20"/>
                <w:szCs w:val="20"/>
              </w:rPr>
              <w:t xml:space="preserve"> </w:t>
            </w:r>
            <w:proofErr w:type="spellStart"/>
            <w:r>
              <w:rPr>
                <w:sz w:val="20"/>
                <w:szCs w:val="20"/>
              </w:rPr>
              <w:t>o’r</w:t>
            </w:r>
            <w:proofErr w:type="spellEnd"/>
            <w:r>
              <w:rPr>
                <w:sz w:val="20"/>
                <w:szCs w:val="20"/>
              </w:rPr>
              <w:t xml:space="preserve"> </w:t>
            </w:r>
            <w:proofErr w:type="spellStart"/>
            <w:r>
              <w:rPr>
                <w:sz w:val="20"/>
                <w:szCs w:val="20"/>
              </w:rPr>
              <w:t>aseiniad</w:t>
            </w:r>
            <w:proofErr w:type="spellEnd"/>
            <w:r>
              <w:rPr>
                <w:sz w:val="20"/>
                <w:szCs w:val="20"/>
              </w:rPr>
              <w:t xml:space="preserve"> </w:t>
            </w:r>
            <w:proofErr w:type="spellStart"/>
            <w:r>
              <w:rPr>
                <w:sz w:val="20"/>
                <w:szCs w:val="20"/>
              </w:rPr>
              <w:t>blaenorol</w:t>
            </w:r>
            <w:proofErr w:type="spellEnd"/>
            <w:r>
              <w:rPr>
                <w:sz w:val="20"/>
                <w:szCs w:val="20"/>
              </w:rPr>
              <w:t xml:space="preserve"> </w:t>
            </w:r>
            <w:proofErr w:type="spellStart"/>
            <w:r>
              <w:rPr>
                <w:sz w:val="20"/>
                <w:szCs w:val="20"/>
              </w:rPr>
              <w:t>ar</w:t>
            </w:r>
            <w:proofErr w:type="spellEnd"/>
            <w:r>
              <w:rPr>
                <w:sz w:val="20"/>
                <w:szCs w:val="20"/>
              </w:rPr>
              <w:t xml:space="preserve"> y </w:t>
            </w:r>
            <w:proofErr w:type="spellStart"/>
            <w:r>
              <w:rPr>
                <w:sz w:val="20"/>
                <w:szCs w:val="20"/>
              </w:rPr>
              <w:t>dechrau</w:t>
            </w:r>
            <w:proofErr w:type="spellEnd"/>
          </w:p>
        </w:tc>
        <w:tc>
          <w:tcPr>
            <w:tcW w:w="5200" w:type="dxa"/>
            <w:tcBorders>
              <w:top w:val="single" w:sz="4" w:space="0" w:color="auto"/>
              <w:left w:val="single" w:sz="4" w:space="0" w:color="auto"/>
              <w:bottom w:val="single" w:sz="4" w:space="0" w:color="auto"/>
              <w:right w:val="single" w:sz="4" w:space="0" w:color="auto"/>
            </w:tcBorders>
          </w:tcPr>
          <w:p w14:paraId="44764ED1" w14:textId="1F97039F" w:rsidR="00CC42AA" w:rsidRPr="007B2775" w:rsidRDefault="0043143A" w:rsidP="00CC42AA">
            <w:pPr>
              <w:pStyle w:val="AssignBody"/>
              <w:rPr>
                <w:sz w:val="20"/>
                <w:szCs w:val="20"/>
              </w:rPr>
            </w:pPr>
            <w:r>
              <w:rPr>
                <w:sz w:val="20"/>
                <w:szCs w:val="20"/>
              </w:rPr>
              <w:t xml:space="preserve">Yn y </w:t>
            </w:r>
            <w:proofErr w:type="spellStart"/>
            <w:r>
              <w:rPr>
                <w:sz w:val="20"/>
                <w:szCs w:val="20"/>
              </w:rPr>
              <w:t>tabl</w:t>
            </w:r>
            <w:proofErr w:type="spellEnd"/>
            <w:r>
              <w:rPr>
                <w:sz w:val="20"/>
                <w:szCs w:val="20"/>
              </w:rPr>
              <w:t xml:space="preserve"> </w:t>
            </w:r>
            <w:proofErr w:type="spellStart"/>
            <w:r>
              <w:rPr>
                <w:sz w:val="20"/>
                <w:szCs w:val="20"/>
              </w:rPr>
              <w:t>targedau</w:t>
            </w:r>
            <w:proofErr w:type="spellEnd"/>
          </w:p>
        </w:tc>
      </w:tr>
      <w:tr w:rsidR="00CC42AA" w:rsidRPr="00403A4B" w14:paraId="7A0790A1" w14:textId="77777777" w:rsidTr="00CC42AA">
        <w:trPr>
          <w:trHeight w:val="1069"/>
        </w:trPr>
        <w:tc>
          <w:tcPr>
            <w:tcW w:w="3114" w:type="dxa"/>
            <w:tcBorders>
              <w:top w:val="single" w:sz="4" w:space="0" w:color="auto"/>
              <w:left w:val="single" w:sz="4" w:space="0" w:color="auto"/>
              <w:bottom w:val="single" w:sz="4" w:space="0" w:color="auto"/>
              <w:right w:val="single" w:sz="4" w:space="0" w:color="auto"/>
            </w:tcBorders>
            <w:hideMark/>
          </w:tcPr>
          <w:p w14:paraId="506AAC65" w14:textId="151904B7" w:rsidR="00CC42AA" w:rsidRPr="00180DBA" w:rsidRDefault="00E52FF9" w:rsidP="00CC42AA">
            <w:pPr>
              <w:pStyle w:val="AssignBody"/>
              <w:spacing w:line="240" w:lineRule="auto"/>
              <w:rPr>
                <w:sz w:val="20"/>
                <w:szCs w:val="20"/>
              </w:rPr>
            </w:pPr>
            <w:proofErr w:type="spellStart"/>
            <w:r>
              <w:rPr>
                <w:rFonts w:ascii="Roboto" w:hAnsi="Roboto"/>
                <w:color w:val="283041"/>
                <w:sz w:val="21"/>
                <w:szCs w:val="21"/>
                <w:shd w:val="clear" w:color="auto" w:fill="FFFFFF"/>
              </w:rPr>
              <w:t>Prawf-ddarllen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hollol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drwyadl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ffocysu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wella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atalnodi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threigliadau</w:t>
            </w:r>
            <w:proofErr w:type="spellEnd"/>
          </w:p>
        </w:tc>
        <w:tc>
          <w:tcPr>
            <w:tcW w:w="2313" w:type="dxa"/>
            <w:tcBorders>
              <w:top w:val="single" w:sz="4" w:space="0" w:color="auto"/>
              <w:left w:val="single" w:sz="4" w:space="0" w:color="auto"/>
              <w:bottom w:val="single" w:sz="4" w:space="0" w:color="auto"/>
              <w:right w:val="single" w:sz="4" w:space="0" w:color="auto"/>
            </w:tcBorders>
          </w:tcPr>
          <w:p w14:paraId="27648592" w14:textId="797FA6FB" w:rsidR="00CC42AA" w:rsidRPr="00263B45" w:rsidRDefault="00E52FF9" w:rsidP="00CC42AA">
            <w:pPr>
              <w:pStyle w:val="AssignBody"/>
              <w:spacing w:line="240" w:lineRule="auto"/>
              <w:rPr>
                <w:sz w:val="20"/>
                <w:szCs w:val="20"/>
              </w:rPr>
            </w:pPr>
            <w:proofErr w:type="spellStart"/>
            <w:r>
              <w:rPr>
                <w:sz w:val="20"/>
                <w:szCs w:val="20"/>
              </w:rPr>
              <w:t>Prawfddarllen</w:t>
            </w:r>
            <w:proofErr w:type="spellEnd"/>
            <w:r>
              <w:rPr>
                <w:sz w:val="20"/>
                <w:szCs w:val="20"/>
              </w:rPr>
              <w:t xml:space="preserve"> </w:t>
            </w:r>
            <w:proofErr w:type="spellStart"/>
            <w:r>
              <w:rPr>
                <w:sz w:val="20"/>
                <w:szCs w:val="20"/>
              </w:rPr>
              <w:t>fy</w:t>
            </w:r>
            <w:proofErr w:type="spellEnd"/>
            <w:r>
              <w:rPr>
                <w:sz w:val="20"/>
                <w:szCs w:val="20"/>
              </w:rPr>
              <w:t xml:space="preserve"> </w:t>
            </w:r>
            <w:proofErr w:type="spellStart"/>
            <w:r>
              <w:rPr>
                <w:sz w:val="20"/>
                <w:szCs w:val="20"/>
              </w:rPr>
              <w:t>ngwaith</w:t>
            </w:r>
            <w:proofErr w:type="spellEnd"/>
            <w:r>
              <w:rPr>
                <w:sz w:val="20"/>
                <w:szCs w:val="20"/>
              </w:rPr>
              <w:t xml:space="preserve"> a </w:t>
            </w:r>
            <w:proofErr w:type="spellStart"/>
            <w:r>
              <w:rPr>
                <w:sz w:val="20"/>
                <w:szCs w:val="20"/>
              </w:rPr>
              <w:t>defnyddio</w:t>
            </w:r>
            <w:proofErr w:type="spellEnd"/>
            <w:r>
              <w:rPr>
                <w:sz w:val="20"/>
                <w:szCs w:val="20"/>
              </w:rPr>
              <w:t xml:space="preserve"> </w:t>
            </w:r>
            <w:proofErr w:type="spellStart"/>
            <w:r>
              <w:rPr>
                <w:sz w:val="20"/>
                <w:szCs w:val="20"/>
              </w:rPr>
              <w:t>cysill</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wirio</w:t>
            </w:r>
            <w:proofErr w:type="spellEnd"/>
          </w:p>
        </w:tc>
        <w:tc>
          <w:tcPr>
            <w:tcW w:w="5200" w:type="dxa"/>
            <w:tcBorders>
              <w:top w:val="single" w:sz="4" w:space="0" w:color="auto"/>
              <w:left w:val="single" w:sz="4" w:space="0" w:color="auto"/>
              <w:bottom w:val="single" w:sz="4" w:space="0" w:color="auto"/>
              <w:right w:val="single" w:sz="4" w:space="0" w:color="auto"/>
            </w:tcBorders>
          </w:tcPr>
          <w:p w14:paraId="5664F493" w14:textId="64B97190" w:rsidR="00CC42AA" w:rsidRPr="00403A4B" w:rsidRDefault="00E52FF9" w:rsidP="00CC42AA">
            <w:pPr>
              <w:pStyle w:val="AssignBody"/>
              <w:spacing w:line="240" w:lineRule="auto"/>
              <w:rPr>
                <w:sz w:val="20"/>
                <w:szCs w:val="20"/>
              </w:rPr>
            </w:pPr>
            <w:proofErr w:type="spellStart"/>
            <w:r>
              <w:rPr>
                <w:sz w:val="20"/>
                <w:szCs w:val="20"/>
              </w:rPr>
              <w:t>Aseinid</w:t>
            </w:r>
            <w:proofErr w:type="spellEnd"/>
            <w:r>
              <w:rPr>
                <w:sz w:val="20"/>
                <w:szCs w:val="20"/>
              </w:rPr>
              <w:t xml:space="preserve"> </w:t>
            </w:r>
            <w:proofErr w:type="spellStart"/>
            <w:r>
              <w:rPr>
                <w:sz w:val="20"/>
                <w:szCs w:val="20"/>
              </w:rPr>
              <w:t>cyfan</w:t>
            </w:r>
            <w:proofErr w:type="spellEnd"/>
          </w:p>
        </w:tc>
      </w:tr>
      <w:tr w:rsidR="00CC42AA" w:rsidRPr="000515CF" w14:paraId="29E0BC2F" w14:textId="77777777" w:rsidTr="00CC42AA">
        <w:tc>
          <w:tcPr>
            <w:tcW w:w="3114" w:type="dxa"/>
            <w:tcBorders>
              <w:top w:val="single" w:sz="4" w:space="0" w:color="auto"/>
              <w:left w:val="single" w:sz="4" w:space="0" w:color="auto"/>
              <w:bottom w:val="single" w:sz="4" w:space="0" w:color="auto"/>
              <w:right w:val="single" w:sz="4" w:space="0" w:color="auto"/>
            </w:tcBorders>
            <w:hideMark/>
          </w:tcPr>
          <w:p w14:paraId="0F44598B" w14:textId="7C303D46" w:rsidR="00CC42AA" w:rsidRPr="00EF0507" w:rsidRDefault="00A35AC5" w:rsidP="00CC42AA">
            <w:pPr>
              <w:pStyle w:val="AssignBody"/>
              <w:spacing w:line="240" w:lineRule="auto"/>
              <w:rPr>
                <w:sz w:val="20"/>
                <w:szCs w:val="20"/>
              </w:rPr>
            </w:pPr>
            <w:proofErr w:type="spellStart"/>
            <w:r>
              <w:rPr>
                <w:rFonts w:ascii="Roboto" w:hAnsi="Roboto"/>
                <w:color w:val="283041"/>
                <w:sz w:val="21"/>
                <w:szCs w:val="21"/>
                <w:shd w:val="clear" w:color="auto" w:fill="FFFFFF"/>
              </w:rPr>
              <w:t>Cynnwys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gyfeiriadau</w:t>
            </w:r>
            <w:proofErr w:type="spellEnd"/>
            <w:r>
              <w:rPr>
                <w:rFonts w:ascii="Roboto" w:hAnsi="Roboto"/>
                <w:color w:val="283041"/>
                <w:sz w:val="21"/>
                <w:szCs w:val="21"/>
                <w:shd w:val="clear" w:color="auto" w:fill="FFFFFF"/>
              </w:rPr>
              <w:t xml:space="preserve"> at </w:t>
            </w:r>
            <w:proofErr w:type="spellStart"/>
            <w:r>
              <w:rPr>
                <w:rFonts w:ascii="Roboto" w:hAnsi="Roboto"/>
                <w:color w:val="283041"/>
                <w:sz w:val="21"/>
                <w:szCs w:val="21"/>
                <w:shd w:val="clear" w:color="auto" w:fill="FFFFFF"/>
              </w:rPr>
              <w:t>ddamcaniaethau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datblygiad</w:t>
            </w:r>
            <w:proofErr w:type="spellEnd"/>
            <w:r>
              <w:rPr>
                <w:rFonts w:ascii="Roboto" w:hAnsi="Roboto"/>
                <w:color w:val="283041"/>
                <w:sz w:val="21"/>
                <w:szCs w:val="21"/>
                <w:shd w:val="clear" w:color="auto" w:fill="FFFFFF"/>
              </w:rPr>
              <w:t xml:space="preserve"> plant a </w:t>
            </w:r>
            <w:proofErr w:type="spellStart"/>
            <w:r>
              <w:rPr>
                <w:rFonts w:ascii="Roboto" w:hAnsi="Roboto"/>
                <w:color w:val="283041"/>
                <w:sz w:val="21"/>
                <w:szCs w:val="21"/>
                <w:shd w:val="clear" w:color="auto" w:fill="FFFFFF"/>
              </w:rPr>
              <w:t>dadansoddi'r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rhain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mewn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modd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critigol</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mewn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ddyfnder</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manylder</w:t>
            </w:r>
            <w:proofErr w:type="spellEnd"/>
            <w:r>
              <w:rPr>
                <w:rFonts w:ascii="Roboto" w:hAnsi="Roboto"/>
                <w:color w:val="283041"/>
                <w:sz w:val="21"/>
                <w:szCs w:val="21"/>
                <w:shd w:val="clear" w:color="auto" w:fill="FFFFFF"/>
              </w:rPr>
              <w:t>.</w:t>
            </w:r>
          </w:p>
        </w:tc>
        <w:tc>
          <w:tcPr>
            <w:tcW w:w="2313" w:type="dxa"/>
            <w:tcBorders>
              <w:top w:val="single" w:sz="4" w:space="0" w:color="auto"/>
              <w:left w:val="single" w:sz="4" w:space="0" w:color="auto"/>
              <w:bottom w:val="single" w:sz="4" w:space="0" w:color="auto"/>
              <w:right w:val="single" w:sz="4" w:space="0" w:color="auto"/>
            </w:tcBorders>
          </w:tcPr>
          <w:p w14:paraId="4C2BD015" w14:textId="2E07E83F" w:rsidR="00CC42AA" w:rsidRPr="007554F1" w:rsidRDefault="00A35AC5" w:rsidP="00CC42AA">
            <w:pPr>
              <w:pStyle w:val="AssignBody"/>
              <w:spacing w:line="240" w:lineRule="auto"/>
              <w:rPr>
                <w:sz w:val="20"/>
                <w:szCs w:val="20"/>
              </w:rPr>
            </w:pPr>
            <w:proofErr w:type="spellStart"/>
            <w:r>
              <w:rPr>
                <w:sz w:val="20"/>
                <w:szCs w:val="20"/>
              </w:rPr>
              <w:t>Ymchwilio</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damcaniaethau</w:t>
            </w:r>
            <w:proofErr w:type="spellEnd"/>
            <w:r>
              <w:rPr>
                <w:sz w:val="20"/>
                <w:szCs w:val="20"/>
              </w:rPr>
              <w:t xml:space="preserve"> pan </w:t>
            </w:r>
            <w:proofErr w:type="spellStart"/>
            <w:r>
              <w:rPr>
                <w:sz w:val="20"/>
                <w:szCs w:val="20"/>
              </w:rPr>
              <w:t>mae’n</w:t>
            </w:r>
            <w:proofErr w:type="spellEnd"/>
            <w:r>
              <w:rPr>
                <w:sz w:val="20"/>
                <w:szCs w:val="20"/>
              </w:rPr>
              <w:t xml:space="preserve"> </w:t>
            </w:r>
            <w:proofErr w:type="spellStart"/>
            <w:r w:rsidR="00542CD7">
              <w:rPr>
                <w:sz w:val="20"/>
                <w:szCs w:val="20"/>
              </w:rPr>
              <w:t>berthnasol</w:t>
            </w:r>
            <w:proofErr w:type="spellEnd"/>
          </w:p>
        </w:tc>
        <w:tc>
          <w:tcPr>
            <w:tcW w:w="5200" w:type="dxa"/>
            <w:tcBorders>
              <w:top w:val="single" w:sz="4" w:space="0" w:color="auto"/>
              <w:left w:val="single" w:sz="4" w:space="0" w:color="auto"/>
              <w:bottom w:val="single" w:sz="4" w:space="0" w:color="auto"/>
              <w:right w:val="single" w:sz="4" w:space="0" w:color="auto"/>
            </w:tcBorders>
          </w:tcPr>
          <w:p w14:paraId="47DAA45F" w14:textId="002E894B" w:rsidR="00CC42AA" w:rsidRPr="000515CF" w:rsidRDefault="00542CD7" w:rsidP="00CC42AA">
            <w:pPr>
              <w:pStyle w:val="AssignBody"/>
              <w:spacing w:line="240" w:lineRule="auto"/>
              <w:rPr>
                <w:sz w:val="20"/>
                <w:szCs w:val="20"/>
              </w:rPr>
            </w:pPr>
            <w:proofErr w:type="spellStart"/>
            <w:r>
              <w:rPr>
                <w:sz w:val="20"/>
                <w:szCs w:val="20"/>
              </w:rPr>
              <w:t>Dadansoddiad</w:t>
            </w:r>
            <w:proofErr w:type="spellEnd"/>
            <w:r>
              <w:rPr>
                <w:sz w:val="20"/>
                <w:szCs w:val="20"/>
              </w:rPr>
              <w:t xml:space="preserve"> </w:t>
            </w:r>
            <w:proofErr w:type="spellStart"/>
            <w:r>
              <w:rPr>
                <w:sz w:val="20"/>
                <w:szCs w:val="20"/>
              </w:rPr>
              <w:t>o’r</w:t>
            </w:r>
            <w:proofErr w:type="spellEnd"/>
            <w:r>
              <w:rPr>
                <w:sz w:val="20"/>
                <w:szCs w:val="20"/>
              </w:rPr>
              <w:t xml:space="preserve"> </w:t>
            </w:r>
            <w:proofErr w:type="spellStart"/>
            <w:r>
              <w:rPr>
                <w:sz w:val="20"/>
                <w:szCs w:val="20"/>
              </w:rPr>
              <w:t>canfyddiadau</w:t>
            </w:r>
            <w:proofErr w:type="spellEnd"/>
          </w:p>
        </w:tc>
      </w:tr>
    </w:tbl>
    <w:p w14:paraId="03F110F9" w14:textId="77777777" w:rsidR="00F359A3" w:rsidRDefault="00F359A3" w:rsidP="00F359A3">
      <w:pPr>
        <w:spacing w:line="360" w:lineRule="auto"/>
        <w:rPr>
          <w:sz w:val="24"/>
          <w:szCs w:val="24"/>
        </w:rPr>
      </w:pPr>
    </w:p>
    <w:p w14:paraId="4F8F5936" w14:textId="77777777" w:rsidR="00CE1300" w:rsidRDefault="00F359A3">
      <w:pPr>
        <w:rPr>
          <w:sz w:val="24"/>
          <w:szCs w:val="24"/>
        </w:rPr>
      </w:pPr>
      <w:r>
        <w:rPr>
          <w:sz w:val="24"/>
          <w:szCs w:val="24"/>
        </w:rPr>
        <w:br w:type="page"/>
      </w:r>
    </w:p>
    <w:p w14:paraId="6A2E0622" w14:textId="567131C6" w:rsidR="00F359A3" w:rsidRDefault="00F359A3">
      <w:pPr>
        <w:rPr>
          <w:sz w:val="24"/>
          <w:szCs w:val="24"/>
        </w:rPr>
      </w:pPr>
    </w:p>
    <w:p w14:paraId="36233FF8" w14:textId="5224D5E1" w:rsidR="00831475" w:rsidRPr="00F359A3" w:rsidRDefault="00AD645A" w:rsidP="00F359A3">
      <w:pPr>
        <w:spacing w:line="360" w:lineRule="auto"/>
        <w:rPr>
          <w:sz w:val="24"/>
          <w:szCs w:val="24"/>
        </w:rPr>
      </w:pPr>
      <w:r w:rsidRPr="00F359A3">
        <w:rPr>
          <w:sz w:val="24"/>
          <w:szCs w:val="24"/>
        </w:rPr>
        <w:t xml:space="preserve">Ar gyfer y prosiect ymchwil rydw i wedi penderfynu canolbwyntio ar Anghenion Dysgu Ychwanegol (ADY) gan archwilio i brofiadau staff ysgol gynradd o ddefnyddio strategaethau ac ymyraethau cyfathrebu a rheoli ymddygiad dysgwyr cyfnod sylfaen ag awtistiaeth. Pan roeddwn ar PAP2 roedd gennyf griw o ddysgwyr yn fy nosbarth a oedd yn mynd trwy’r broses o brofion ADHD ac awtistiaeth. Roedd e’n ddiddorol i mi weld y strategaethau roedd staff yr ysgol yn defnyddio i gyfathrebu a rheoli ymddygiad mwy heriol y dysgwyr. Roedd hyn yn cynnwys rhoi amser iddynt gael seibiant o’u gwaith ac o’r dosbarth, defnyddio strategaethau gwobrwyo, ac amrywiaeth o strategaethau rheoli ymddygiad a chyfathrebu yn effeithiol gyda’r dysgwyr. </w:t>
      </w:r>
      <w:r w:rsidR="0019024C" w:rsidRPr="00F359A3">
        <w:rPr>
          <w:sz w:val="24"/>
          <w:szCs w:val="24"/>
        </w:rPr>
        <w:t>Gwelais hefyd sut roedd dod i adnabod y dysgwr a’i diddordebau yn fuddiol a sut roedd addasu gwersi i’w diddordebau yn eu helpu i ganolbwyntio (McDougal et al, 2023). Gwelais hefyd sut roedd amserlen ddyddiol weledol yn helpu’r dysgwyr i ganolbwyntio ac yn eu gwneud nhw’n hapusach yn y dosbarth, caiff hyn ei gefnogi gan Skinner et al, 2019. Mae Ryder, 2013 yn diffinio ADY fel ‘ymadrodd sy’n cwmpasu ystod o anghenion amrywiol dysgwyr sy’n fwy nag anghenion eu cyfoedion o’r un oedran’ (tud 24). Mae hi’n pwysleisio fod yna amrywiaeth o anghenion dysgu ychwanegol ag y dylai pob plentyn cael y gefnogaeth sydd angen arnynt i lwyddo.</w:t>
      </w:r>
    </w:p>
    <w:p w14:paraId="6533FB3F" w14:textId="77777777" w:rsidR="00606008" w:rsidRPr="00F359A3" w:rsidRDefault="00606008" w:rsidP="00F359A3">
      <w:pPr>
        <w:spacing w:line="360" w:lineRule="auto"/>
        <w:rPr>
          <w:sz w:val="24"/>
          <w:szCs w:val="24"/>
        </w:rPr>
      </w:pPr>
      <w:r w:rsidRPr="00F359A3">
        <w:rPr>
          <w:sz w:val="24"/>
          <w:szCs w:val="24"/>
        </w:rPr>
        <w:t xml:space="preserve">Mae’r ymchwil yn cysylltu gyda’r PDP gan glymu fewn gyda rhai o’r safonau SAC megis Rheoli’r amgylchedd dysgu gan adnabod sut i addasu’r amgylchedd ar gyfer dysgwyr ag anghenion gwahanol; gwahaniaethau gan addasu gwaith ar gyfer dysgwyr ag anghenion gwahanol; gweithio gyda chydweithwyr eraill gan ddysgu sut i weithio gyda staff cymorth dysgu megis cynorthwywyr un i un; darllen yn ehangach a chanfyddiadau ymchwil trwy gynnal ymchwil mewn rhywbeth sydd o ddiddordeb a dysgu yn broffesiynol. </w:t>
      </w:r>
    </w:p>
    <w:p w14:paraId="619D0894" w14:textId="77777777" w:rsidR="00B83BEA" w:rsidRPr="00F359A3" w:rsidRDefault="00B83BEA" w:rsidP="00F359A3">
      <w:pPr>
        <w:spacing w:line="360" w:lineRule="auto"/>
        <w:rPr>
          <w:sz w:val="24"/>
          <w:szCs w:val="24"/>
        </w:rPr>
      </w:pPr>
      <w:r w:rsidRPr="00F359A3">
        <w:rPr>
          <w:sz w:val="24"/>
          <w:szCs w:val="24"/>
        </w:rPr>
        <w:t xml:space="preserve">Byddaf yn cyfeirio at yr ysgol a chynhaliwyd yr ymchwil ynddo fel ‘Ysgol A’ er mwyn dilyn canllawiau moeseg y brifysgol a chanllawiau BERA (BERA, 2018). Mae Ysgol Ac wedi ei leoli mewn ardal wledig tu allan i dref yn Ne, Orllewin Cymru. Mae yna tua 90 o ddysgwyr yn yr ysgol ac mae 6.5% ohonynt gydag anghenion dysgu ychwanegol (estyn, 2023). Gwnes i gynnal fy ymchwil mewn dosbarth o blant dosbarth derbyn a blwyddyn 1 lle'r oedd yna dau blentyn dosbarth derbyn ag awtistiaeth. Byddaf yn cyfeirio at y dysgwyr yma fel disgybl A a Disgybl B er mwyn dilyn canllawiau moeseg BERA (BERA, 2018). Roedd y ddau ddisgybl yma </w:t>
      </w:r>
      <w:r w:rsidRPr="00F359A3">
        <w:rPr>
          <w:sz w:val="24"/>
          <w:szCs w:val="24"/>
        </w:rPr>
        <w:lastRenderedPageBreak/>
        <w:t xml:space="preserve">gyda chymhorthydd un i un ac roedd gan y ddau ddisgybl sgiliau cyfathrebu gwan gydag un ohonynt yn ar lafar. </w:t>
      </w:r>
    </w:p>
    <w:p w14:paraId="2AB4FDE4" w14:textId="3D1BE97E" w:rsidR="00590374" w:rsidRPr="00F359A3" w:rsidRDefault="00E63898" w:rsidP="00F359A3">
      <w:pPr>
        <w:spacing w:line="360" w:lineRule="auto"/>
        <w:rPr>
          <w:sz w:val="24"/>
          <w:szCs w:val="24"/>
        </w:rPr>
      </w:pPr>
      <w:r w:rsidRPr="00F359A3">
        <w:rPr>
          <w:sz w:val="24"/>
          <w:szCs w:val="24"/>
        </w:rPr>
        <w:t xml:space="preserve">Mae gwefan y gymdeithas awtistiaeth genedlaethol (gag) yn nodi fod awtistiaeth (National Autism Society, 2024) yn anabledd datblygiadol sy’n effeithio sut mae pobl yn cyfathrebu a rhyngweithio gyda’r byd. Bydd gan rhai pobl ychydig neu dim sgiliau cyfathrebu ar lafar, fel disgybl A a B yn fy ymchwil, a bydd gan eraill sgiliau cyfathrebu cryf ond byddent yn cael trafferth deall eraill yn cyfathrebu yn eiriol a di eiriol, er enghraifft bydd llawer o bobl ag awtistiaeth yn cael trafferth deall pethau coeglyd ar adegau ac yn cymryd pethau yn llythrennol (National Autism Society, 2024). Yn ôl erthygl gan Bringell et al, 2018, mae ymyrraethau llafar yn ffordd o atgyfnerthu sgiliau cyfathrebu unioglion sydd gyda awtistiaeth. Mae’r theori wedi ei seilio ar y ffaith bod diffyg sgiliau llafar yn seilio o agweddau eraill o awtsitiaeth megis lefel isel o ysgogiad cymdeithasol; anaeddfedrwydd o datblygiad y lleferydd; sgiliau dynwared gwan. </w:t>
      </w:r>
      <w:r w:rsidR="005E0C23" w:rsidRPr="00F359A3">
        <w:rPr>
          <w:sz w:val="24"/>
          <w:szCs w:val="24"/>
        </w:rPr>
        <w:t>Bydd cyfuniad o’r cyfyngiadau yma yn achosi sgiliau iaith a chyfathrebu gwan. Mae’r erthygl yn dweud bod os mae’r theori yma yn gywir dylai ymyraethau sy’n canolbwyntio ar ddatblygu’r meysydd yma helpu datblygu’r sgiliau datblygu llafar yr unigolyn, er mae’r erthygl yn awgrymu ychydig o ansicrwydd yn hyn. Mae erthygl gan Watkins et al, 2017 yn cynnig ymyraethau cyfathrebu cymdeithasol megis modelu, promptio, atgyfnerthu ymddygiad dymunol, modelu trwy fideo a chefnogaeth weledol e.e. makaton i gefnogi unigolion. Awgrymir hefyd fod addasu a chynllunio ymyraethau o amgylch diddordebau unigolion yn cynyddu effeithlonrwydd yr ymyraethau gan fod nifer o bobl ag awtistiaeth yn dueddol o fod gyda diddordeb cryf mewn rhywbeth penodol. Caiff hyn ei gefnogi gan gag a Gunn &amp; Butt, 2016 sy’n ychwanegu bod hyn yn caniatáu athrawon i fod yn fwy cynhwysol yn y dosbarth yn ogystal.</w:t>
      </w:r>
    </w:p>
    <w:p w14:paraId="67794B58" w14:textId="5390A45B" w:rsidR="0024313E" w:rsidRPr="00F359A3" w:rsidRDefault="00D62EC8" w:rsidP="00F359A3">
      <w:pPr>
        <w:spacing w:line="360" w:lineRule="auto"/>
        <w:rPr>
          <w:sz w:val="24"/>
          <w:szCs w:val="24"/>
        </w:rPr>
      </w:pPr>
      <w:r w:rsidRPr="00F359A3">
        <w:rPr>
          <w:sz w:val="24"/>
          <w:szCs w:val="24"/>
        </w:rPr>
        <w:t xml:space="preserve">Mae’r gag hefyd yn dweud bod llawer o bobl gydag awtistiaeth yn mynd yn rhwystredig ac yn dangos ymddygiad heriol (meltdown) ar lafar ac yn gorfforol megis gweiddi a sgrechian a brathu a chicio. Ar y gwrthwyneb mae rhai hefyd yn cau i lawr gan fynd yn dawel a chael trafferth esbonio beth sy’n bod. Mae’r ymddygiadau yma yn digwydd pan mae person ag awtistiaeth yn teimlo fel bod pethau yn ormod neu pan nad ydynt wedi derbyn digon o symbyliad. Yn aml bydd plant ag awtistiaeth yn dangos ymddygiad hunanysgogol ac mae hyn yn gallu amharu ar ymddygiadau ac ymatebion priodol (Kern et al, 1982). Er enghraifft bydd rhai plant yn gwneud symudiadau ailadroddus fel chwifio breichiau, symud pen nol ac mae'n </w:t>
      </w:r>
      <w:r w:rsidRPr="00F359A3">
        <w:rPr>
          <w:sz w:val="24"/>
          <w:szCs w:val="24"/>
        </w:rPr>
        <w:lastRenderedPageBreak/>
        <w:t>neud defnyddio gwrthrych fel band elastig (NHS, 2023).</w:t>
      </w:r>
      <w:r w:rsidRPr="00F359A3">
        <w:rPr>
          <w:sz w:val="24"/>
          <w:szCs w:val="24"/>
        </w:rPr>
        <w:t xml:space="preserve"> </w:t>
      </w:r>
      <w:r w:rsidR="00944A1A" w:rsidRPr="00F359A3">
        <w:rPr>
          <w:sz w:val="24"/>
          <w:szCs w:val="24"/>
        </w:rPr>
        <w:t xml:space="preserve">Mae ymddygiadau heriol gyda dysgwyr ag awtistiaeth fel arfer yn cael eu hachosi oherwydd nad ydynt yn cael digon o symbyliad neu yn derbyn gormod o symbyliad fel golau rhy lachar, lliwiau prysur a synau mawr, neu pan nad ydynt yn deall neu yn gallu gwneud synnwyr o beth sy’n mynd ymlaen o’u hamgylch. Gydag anghenion dysgu ychwanegol sy’n achosi problemau ymddygiadol megis awtistiaeth, mae’n bwysig edrych ar sut i hwyluso bywyd y plentyn yn yr ysgol. Wrth gynllunio ymyraethau ar gyfer ADY sy’n effeithio ar ymddygiad a chyfathrebu megis awtistiaeth, dylai cydnabod yr ymddygiadau heriol ag yna'r ymddygiadau dymunol ar gyfer y plentyn, wrth wneud hyn dylai feddwl am bethau fel sut i atal ymddygiad heriol. </w:t>
      </w:r>
      <w:r w:rsidR="00EE5788" w:rsidRPr="00F359A3">
        <w:rPr>
          <w:sz w:val="24"/>
          <w:szCs w:val="24"/>
        </w:rPr>
        <w:t xml:space="preserve">Er enghraifft trwy egluro os mae newid am fod i’r amserlen mewn digon o amser, a trwy roi cyfarwyddiadau clir er mwyn osgoi’r plentyn yn mynd yn rhwystredig (Brock et al, 2010). Mae’r polisi ADY Cymru yn nodi mai un o’u nodau yw ‘canolbwyntio ar bwysigrwydd nodi anghenion yn gynnar a rhoi ymyriadau amserol ac effeithiol ar waith sy’n cael eu monitro a’u haddasu i sicrhau eu bod yn cyflawni’r deilliannau a ddymunir’ (llywodraeth Cymru, 2018, tud 2). Mae hyn yn dangos fod asesu dysgwyr yn gynnar a chymryd camau sy’n addas ar gyfer yr unigolyn yn hanfodol er mwyn darparu’r gefnogaeth orau.  </w:t>
      </w:r>
    </w:p>
    <w:p w14:paraId="4D4AA048" w14:textId="77777777" w:rsidR="0069213A" w:rsidRPr="00F359A3" w:rsidRDefault="0069213A" w:rsidP="00F359A3">
      <w:pPr>
        <w:spacing w:line="360" w:lineRule="auto"/>
        <w:rPr>
          <w:sz w:val="24"/>
          <w:szCs w:val="24"/>
        </w:rPr>
      </w:pPr>
      <w:r w:rsidRPr="00F359A3">
        <w:rPr>
          <w:sz w:val="24"/>
          <w:szCs w:val="24"/>
        </w:rPr>
        <w:t xml:space="preserve">Mae sicrhau bod dosbarth yn gynhwysol yn ffordd effeithiol o reoli dosbarth sydd hefo plant ag ADY, mae’n hanfodol fod pob plentyn yn cael cyfle teg ac yn derbyn y gefnogaeth sydd ei angen arnynt. Trwy wneud hyn, fe fydd dysgwyr yn fwy tebygol o gymryd rhan, canolbwyntio a mwynhau bod yn yr ysgol yn gyffredinol (Reid &amp; Morgan, 2014). Mae hyn yn unol â hawliau plant sy’n dweud na ddylai plant gael eu gwahaniaethu (Comisiynydd Plant Cymru, 2023). Felly mae’n hanfodol i fod yn ymwybodol o anghenion unigol pob plentyn a thrwy hynny gellir sicrhau bod pob plentyn yn cael y cyfle gorau i lwyddo. </w:t>
      </w:r>
    </w:p>
    <w:p w14:paraId="32706BEB" w14:textId="75A81C17" w:rsidR="002E1AE7" w:rsidRPr="00F359A3" w:rsidRDefault="003C1748" w:rsidP="00F359A3">
      <w:pPr>
        <w:spacing w:line="360" w:lineRule="auto"/>
        <w:rPr>
          <w:sz w:val="24"/>
          <w:szCs w:val="24"/>
        </w:rPr>
      </w:pPr>
      <w:r w:rsidRPr="00F359A3">
        <w:rPr>
          <w:sz w:val="24"/>
          <w:szCs w:val="24"/>
        </w:rPr>
        <w:t>Mae’r llenyddiaeth yma yn ffocysu yn bennaf ar ymddygiad a sgiliau cyfathrebu dysgwyr sydd ar y sbetc</w:t>
      </w:r>
      <w:r w:rsidR="00833063" w:rsidRPr="00F359A3">
        <w:rPr>
          <w:sz w:val="24"/>
          <w:szCs w:val="24"/>
        </w:rPr>
        <w:t xml:space="preserve">rwm awtistig, mae’n ymddangos fod yna llawer o ymchwil wedi cael ei wneud ers nifer o flynyddoedd i fewn i effeithlonrwydd </w:t>
      </w:r>
      <w:r w:rsidR="00D001F0" w:rsidRPr="00F359A3">
        <w:rPr>
          <w:sz w:val="24"/>
          <w:szCs w:val="24"/>
        </w:rPr>
        <w:t xml:space="preserve">ymyrraethau a stratagaethau </w:t>
      </w:r>
      <w:r w:rsidR="00F64EE2" w:rsidRPr="00F359A3">
        <w:rPr>
          <w:sz w:val="24"/>
          <w:szCs w:val="24"/>
        </w:rPr>
        <w:t>gwahanol a hoffwn weld enghriefftiau o rhain ar waith yn ystod fy ymchwil</w:t>
      </w:r>
      <w:r w:rsidR="00E155E8" w:rsidRPr="00F359A3">
        <w:rPr>
          <w:sz w:val="24"/>
          <w:szCs w:val="24"/>
        </w:rPr>
        <w:t xml:space="preserve"> er mwyn cael dealltwriaeth dyfnach o sut maen nhw’n gweithio a beth yw eu manteision ac anfanteision. </w:t>
      </w:r>
      <w:r w:rsidR="009C10C5" w:rsidRPr="00F359A3">
        <w:rPr>
          <w:sz w:val="24"/>
          <w:szCs w:val="24"/>
        </w:rPr>
        <w:t xml:space="preserve">Trwy defnyddio llenyddiaeth cyfredol </w:t>
      </w:r>
      <w:r w:rsidR="00CA6A5A" w:rsidRPr="00F359A3">
        <w:rPr>
          <w:sz w:val="24"/>
          <w:szCs w:val="24"/>
        </w:rPr>
        <w:t xml:space="preserve">ac academaidd </w:t>
      </w:r>
      <w:r w:rsidR="00744128" w:rsidRPr="00F359A3">
        <w:rPr>
          <w:sz w:val="24"/>
          <w:szCs w:val="24"/>
        </w:rPr>
        <w:t xml:space="preserve">neu proffesiynol </w:t>
      </w:r>
      <w:r w:rsidR="00CA6A5A" w:rsidRPr="00F359A3">
        <w:rPr>
          <w:sz w:val="24"/>
          <w:szCs w:val="24"/>
        </w:rPr>
        <w:t>gallaf fod yn eithaf hyderus bod y wybodaeth yn ddibynadwy</w:t>
      </w:r>
      <w:r w:rsidR="00744128" w:rsidRPr="00F359A3">
        <w:rPr>
          <w:sz w:val="24"/>
          <w:szCs w:val="24"/>
        </w:rPr>
        <w:t>.</w:t>
      </w:r>
    </w:p>
    <w:p w14:paraId="07617B0E" w14:textId="688129D9" w:rsidR="00612A2E" w:rsidRPr="00F359A3" w:rsidRDefault="00DB1B76" w:rsidP="00F359A3">
      <w:pPr>
        <w:spacing w:line="360" w:lineRule="auto"/>
        <w:rPr>
          <w:sz w:val="24"/>
          <w:szCs w:val="24"/>
        </w:rPr>
      </w:pPr>
      <w:r w:rsidRPr="00F359A3">
        <w:rPr>
          <w:sz w:val="24"/>
          <w:szCs w:val="24"/>
        </w:rPr>
        <w:lastRenderedPageBreak/>
        <w:t>Er mwyn cynnal yr ymchwil byddaf yn cynnal astudiaeth achos. Methodoleg ymchwil a ddefnyddir yn aml mewn gwyddorau cymdeithasol yw astudiaeth achos, gellir cael ei ddiffinio fel astudiaeth ddwys ar uned unigol, er enghraifft person neu grŵp o bobl (Heale &amp; Twycross, 2017), enghreifftiau yn yr achos yma byddai dysgwr unigol, neu grŵp o ddysgwyr fel dosbarth neu grŵp ffocws. Ychwanegir Gerring, 2004 at hyn gan ddweud bod yr astudiaeth o’r uned unigol yn gallu cael ei ddefnyddio er mwyn cael gwell dealltwriaeth o grŵp mwy o unedau tebyg. Gellir defnyddio amrywiaeth o ddulliau i astudio’r uned yna megis arsylwadau, holiaduron a chyfweliadau (Flyvbjerg, 2011). Mae Gerring, 2004 yn pwysleisio fod hyn yn rhoi hyblygrwydd i astudiaeth achos gan nad oes yna strwythur pendant iddo ac mae’n gallu cael ei addasu yn ddibynnol ar beth sy’n cael ei astudio.</w:t>
      </w:r>
      <w:r w:rsidRPr="00F359A3">
        <w:rPr>
          <w:sz w:val="24"/>
          <w:szCs w:val="24"/>
        </w:rPr>
        <w:t xml:space="preserve"> </w:t>
      </w:r>
      <w:r w:rsidR="00E532D4" w:rsidRPr="00F359A3">
        <w:rPr>
          <w:sz w:val="24"/>
          <w:szCs w:val="24"/>
        </w:rPr>
        <w:t xml:space="preserve">Oherwydd yr hyblygrwydd yma i edrych ar wahanol agweddau a defnyddio gwahanol ddulliau, mae’n caniatáu i’r ymchwilydd edrych yn y cyd-destun llawn gan ystyried ffactorau a allai effeithio ar yr ymchwil (Starman, 2013). Mae hyn yn awgrymu fod astudiaeth achos yn ddull effeithiol o gynnal ymchwil sydd hefo potensial o newid a fyddai’n addas i ddefnyddio dulliau ymchwil lled-strwythredig yn yr ymchwil. Ar y gwrthwyneb, mae Starman hefyd yn nodi bod y nodwedd o astudio un uned yn unig yn wendid gan fod yr un uned yna yn cael ei ddefnyddio i gynrychioli sampl llawer yn fwy, ac nid yw hynny o hyd cynrychioliad manwl cywir. </w:t>
      </w:r>
      <w:r w:rsidR="00D95695" w:rsidRPr="00F359A3">
        <w:rPr>
          <w:sz w:val="24"/>
          <w:szCs w:val="24"/>
        </w:rPr>
        <w:t>Gall hyn fod yn wendid i fy ymchwil i yn enwedig gan mai ar bobl mae’r ymchwil wedi ei seilio, er hyn mae’r ffaith fod pob plentyn yn wahanol yn cael ei gydnabod fel ffactor pwysig i’w ystyried o fewn y pwnc. Ar y gwrthwyneb, gall y nodwedd o astudio uned unigol sefyll fel mantais oherwydd mae’n caniatáu i’r ymchwilydd edrych ar un achos mewn llawer o fanylder, mae hyn yn darparu cyfle i ddarganfod gwybodaeth oedd yr ymchwilydd ddim yn disgwyl ei ddarganfod ar y dechrau (Krusenvik, 2016). Mae hyn yn gyfle i gael canfyddiadau ehangach a gwella dealltwriaeth o’r maes ymhellach. Nodir Krusenvik hefyd fod astudiaeth achos yn ddefnyddiol ar gyfer datblygu hypothesis sy’n gallu bod yn gryfder yn ei hun oherwydd mae’n darparu sylfaen i ymchwilio ymhellach ohono, ond ar y gwrthwyneb mae yna ddulliau ymchwil eraill sy’n fwy gwerthfawr er mwyn profi hypothesis a phrofi theori. Awgrymir hyn fod mwy o ymchwil angen cael ei wneud ar ôl astudiaeth achos er mwyn deall y pwnc yn iawn.</w:t>
      </w:r>
    </w:p>
    <w:p w14:paraId="71A431ED" w14:textId="77777777" w:rsidR="00D905B2" w:rsidRPr="00F359A3" w:rsidRDefault="00D905B2" w:rsidP="00F359A3">
      <w:pPr>
        <w:spacing w:line="360" w:lineRule="auto"/>
        <w:rPr>
          <w:sz w:val="24"/>
          <w:szCs w:val="24"/>
        </w:rPr>
      </w:pPr>
      <w:r w:rsidRPr="00F359A3">
        <w:rPr>
          <w:sz w:val="24"/>
          <w:szCs w:val="24"/>
        </w:rPr>
        <w:t xml:space="preserve">Byddaf yn creu astudiaeth achos archwiliadol lle byddaf yn edrych ar strategaethau ac ymyraethau cyfathrebu ac ymddygiad ar gyfer dysgwyr cyfnod sylfaen gydag awtistiaeth, gan </w:t>
      </w:r>
      <w:r w:rsidRPr="00F359A3">
        <w:rPr>
          <w:sz w:val="24"/>
          <w:szCs w:val="24"/>
        </w:rPr>
        <w:lastRenderedPageBreak/>
        <w:t>edrych ar brofiadau staff ysgol o hynny er mwyn gwneud fy ymchwil. Pwnc yr ymchwil fydd plentyn neud grŵp o blant yn y cyfnod sylfaen sydd ag awtistiaeth. A’r gwrthrych felly fydd y strategaethau ac ymyraethau a ddefnyddiwyd neu sy’n gallu cael eu defnyddio ar gyfer datblygu sgiliau cyfathrebu ac ymddygiad y dysgwyr. Gan fod yr astudiaeth yn gofyn am ddysgwyr ag awtistiaeth yn benodol, nid oedd yn bosib dewis cyfranogwyr ar hap felly, fe wnes i siarad gyda phennaeth yr ysgol lle roeddwn yn cynnal yr ymchwil a derbyniais gyngor ar ba ddysgwyr fyddai’n addas i fod yn gyfranogwyr. Roedd yna dau ddisgybl gydag awtistiaeth yn y Cyfnod sylfaen ac yn yr un dosbarth, felly penderfynwyd mai nhw fyddai’r cyfranogwyr yn yr ymchwil (ar ôl derbyn caniatâd eu rhieni). Byddaf yn cyfeirio at y dysgwyr hyn fel disgybl A a Disgybl B.</w:t>
      </w:r>
    </w:p>
    <w:p w14:paraId="591136EB" w14:textId="77777777" w:rsidR="0022368B" w:rsidRPr="00F359A3" w:rsidRDefault="003638C2" w:rsidP="00F359A3">
      <w:pPr>
        <w:spacing w:before="240" w:line="360" w:lineRule="auto"/>
        <w:rPr>
          <w:sz w:val="24"/>
          <w:szCs w:val="24"/>
        </w:rPr>
      </w:pPr>
      <w:r w:rsidRPr="00F359A3">
        <w:rPr>
          <w:sz w:val="24"/>
          <w:szCs w:val="24"/>
        </w:rPr>
        <w:t xml:space="preserve">Y dulliau ymchwil penderfynais eu defnyddio oedd cyfweliad lled strwythuredig gyda chynorthwywyr un i un disgybl A a disgybl B a dau arsylwad o ddisgybl A. Roedd disgybl B yn absennol yn ystod diwrnodau ymchwil felly nid oedd yn bosib cynnal arsylwad ohonynt. Roeddwn hefyd wedi cynllunio gwneud cyfweliad grŵp ffocws gyda’r disgyblion ond ar ôl cyrraedd yr ysgol cefais wybod bod disgybl A a B hefo anawsterau cyfathrebu dwys ac roedd disgybl B yn an-lafar a dim ond ychydig o eirfa oedd gan ddisgybl A ac nid oeddent yn cyfathrebu ar lafar llawer. Felly nid oedd cyfweliad yn bosib gyda nhw. </w:t>
      </w:r>
    </w:p>
    <w:p w14:paraId="55633429" w14:textId="45A1B9F3" w:rsidR="00E45DE2" w:rsidRPr="00F359A3" w:rsidRDefault="008B190E" w:rsidP="00F359A3">
      <w:pPr>
        <w:spacing w:before="240" w:line="360" w:lineRule="auto"/>
        <w:rPr>
          <w:sz w:val="24"/>
          <w:szCs w:val="24"/>
        </w:rPr>
      </w:pPr>
      <w:r w:rsidRPr="00F359A3">
        <w:rPr>
          <w:sz w:val="24"/>
          <w:szCs w:val="24"/>
        </w:rPr>
        <w:t xml:space="preserve">Mae yna fathau gwahanol o gyfweliadau megis cyfweliad strwythuredig a chyfweliad lled-strwythredig. Mae cyfweliad strwythuredig yn fwy ffurfiol ac mae’n digwydd ar ffurf cwestiwn ac ateb gyda strwythur. Ar y llaw arall mae cyfweliad lled-strwythredig yn fwy hyblyg ac mae mwy fel sgwrs anffurfiol sy’n canolbwyntio ar themâu gwahanol (Raworth, 2012). Mae cyfweliad lled-strwythredig yn darparu’r cyfle i ychwanegu cwestiynau a gadael i’r cyfranogwyr gyfrannu syniadau, profiadau a storiâu i’r ateb. Mae hefyd yn gallu bod yn fwy cyfforddus i’r cyfranogwr a’r ymchwilydd oherwydd tydi o ddim yn rhy ffurfiol (Rabionet, 2011). Penderfynais ddefnyddio cyfweliad lled strwythuredig oherwydd mae’n caniatáu i mi gynnal y cyfweliad dros gyfnod o amser gan fod amser y cyfranogwyr fel cynorthwywyr un i un yn brin, felly roeddwn yn gallu cynnal y cyfweliad ar ffurf sgwrs anffurfiol. Wrth gynnal cyfweliad lled-strwythredig mae’n bwysig ystyried cysylltedd a phroffesiynoldeb. </w:t>
      </w:r>
      <w:r w:rsidR="00617133" w:rsidRPr="00F359A3">
        <w:rPr>
          <w:sz w:val="24"/>
          <w:szCs w:val="24"/>
        </w:rPr>
        <w:t xml:space="preserve">Mae hyn yn gwneud y cyfranogwyr yn fwy cyfforddus yn ystod y cyfweliad. Gellir gwneud hyn trwy gynnal y cyfweliad mewn amgylchedd cyfarwydd, wnes i gynnal y cyfweliad yn y dosbarth felly roedd adnoddau fel llyfrau’r plant, cardiau cyfathrebu ac amserlen ddyddiol y dysgwyr </w:t>
      </w:r>
      <w:r w:rsidR="00617133" w:rsidRPr="00F359A3">
        <w:rPr>
          <w:sz w:val="24"/>
          <w:szCs w:val="24"/>
        </w:rPr>
        <w:lastRenderedPageBreak/>
        <w:t xml:space="preserve">ar gael, cyfathrebu’n glir trwy ddefnyddio iaith gorfforol a llafar er mwyn dangos eich bod yn gwrando (Brown &amp; Danaher, 2017). Pwysleisir yn yr erthygl hefyd bod ansawdd y data sy’n cael ei gasglu mewn cyfweliad lled-strwythredig yn ddibynnol ar y ffactorau yma oherwydd mae’n effeithio ar ba mor barod a cyfforddus yw’r cyfranogwyr i rannu gwybodaeth.  </w:t>
      </w:r>
      <w:r w:rsidR="004861AA" w:rsidRPr="00F359A3">
        <w:rPr>
          <w:sz w:val="24"/>
          <w:szCs w:val="24"/>
        </w:rPr>
        <w:t>Yn fy ymchwil iddo fe wnes i egluro pwrpas yr ymchwil i’r cyfranogwyr ac roedden nhw’n fodlon ac yn awyddus iawn i helpu drwy ateb cwestiynau. Trwy gynnal cyfweliad lled-strwythredig rydych yn cymryd mantais o sgil ac arfer dyddiol dynol o gael sgwrs, mae hyn yn caniatáu i wybodaeth cael ei rannu a’i dderbyn yn naturiol ac yn gyflym a heb fod angen rhoi pwysau ar gyfranogwr i ateb cwestiwn mewn ffordd benodol neu ateb cwestiwn yn y ffordd maen nhw’n meddwl mai’r ymchwilydd eisiau iddo gael ei glywed (Brinkmann, 2014). Er hyn, wrth gynnal cyfweliad lled-strwythredig mae’n bwysig sicrhau eich bod yn canolbwyntio ar themâu penodol a ffurfio cwestiynau sylfaenol yn seiliedig ar hynny. Mae hyn yn bwysig er mwyn sicrhau eich bod chi fel ymchwilydd ddim yn mynd i ffwrdd o’r themâu ac eich bod yn derbyn ateb ar gyfer bob cwestiwn (Roulston &amp; Choi, 2018).</w:t>
      </w:r>
    </w:p>
    <w:p w14:paraId="5CC0E2CB" w14:textId="25B1DCB7" w:rsidR="00486F4E" w:rsidRPr="00F359A3" w:rsidRDefault="00486F4E" w:rsidP="00F359A3">
      <w:pPr>
        <w:spacing w:before="240" w:line="360" w:lineRule="auto"/>
        <w:rPr>
          <w:sz w:val="24"/>
          <w:szCs w:val="24"/>
        </w:rPr>
      </w:pPr>
      <w:r w:rsidRPr="00F359A3">
        <w:rPr>
          <w:sz w:val="24"/>
          <w:szCs w:val="24"/>
        </w:rPr>
        <w:t>Mi wnes i dorri fy nghwestiynau cyfweliad i fewn i chwech rhan</w:t>
      </w:r>
      <w:r w:rsidR="00B05C22" w:rsidRPr="00F359A3">
        <w:rPr>
          <w:sz w:val="24"/>
          <w:szCs w:val="24"/>
        </w:rPr>
        <w:t xml:space="preserve"> (cyfeiriwch at atodiad 1)</w:t>
      </w:r>
      <w:r w:rsidRPr="00F359A3">
        <w:rPr>
          <w:sz w:val="24"/>
          <w:szCs w:val="24"/>
        </w:rPr>
        <w:t>:</w:t>
      </w:r>
    </w:p>
    <w:p w14:paraId="21D95281" w14:textId="77777777" w:rsidR="004C1E66" w:rsidRPr="00F359A3" w:rsidRDefault="004C1E66" w:rsidP="00F359A3">
      <w:pPr>
        <w:spacing w:before="240" w:after="240" w:line="360" w:lineRule="auto"/>
        <w:rPr>
          <w:rFonts w:eastAsia="Times New Roman" w:cstheme="minorHAnsi"/>
          <w:kern w:val="0"/>
          <w:sz w:val="24"/>
          <w:szCs w:val="24"/>
          <w:lang w:val="en-GB" w:eastAsia="en-GB"/>
          <w14:ligatures w14:val="none"/>
        </w:rPr>
      </w:pPr>
      <w:proofErr w:type="spellStart"/>
      <w:r w:rsidRPr="00F359A3">
        <w:rPr>
          <w:rFonts w:eastAsia="Times New Roman" w:cstheme="minorHAnsi"/>
          <w:kern w:val="0"/>
          <w:sz w:val="24"/>
          <w:szCs w:val="24"/>
          <w:lang w:val="en-GB" w:eastAsia="en-GB"/>
          <w14:ligatures w14:val="none"/>
        </w:rPr>
        <w:t>Roedd</w:t>
      </w:r>
      <w:proofErr w:type="spellEnd"/>
      <w:r w:rsidRPr="00F359A3">
        <w:rPr>
          <w:rFonts w:eastAsia="Times New Roman" w:cstheme="minorHAnsi"/>
          <w:kern w:val="0"/>
          <w:sz w:val="24"/>
          <w:szCs w:val="24"/>
          <w:lang w:val="en-GB" w:eastAsia="en-GB"/>
          <w14:ligatures w14:val="none"/>
        </w:rPr>
        <w:t xml:space="preserve"> y </w:t>
      </w:r>
      <w:proofErr w:type="spellStart"/>
      <w:r w:rsidRPr="00F359A3">
        <w:rPr>
          <w:rFonts w:eastAsia="Times New Roman" w:cstheme="minorHAnsi"/>
          <w:kern w:val="0"/>
          <w:sz w:val="24"/>
          <w:szCs w:val="24"/>
          <w:lang w:val="en-GB" w:eastAsia="en-GB"/>
          <w14:ligatures w14:val="none"/>
        </w:rPr>
        <w:t>cwestiynau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yma</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ganolbwyntiedig</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y </w:t>
      </w:r>
      <w:proofErr w:type="spellStart"/>
      <w:r w:rsidRPr="00F359A3">
        <w:rPr>
          <w:rFonts w:eastAsia="Times New Roman" w:cstheme="minorHAnsi"/>
          <w:kern w:val="0"/>
          <w:sz w:val="24"/>
          <w:szCs w:val="24"/>
          <w:lang w:val="en-GB" w:eastAsia="en-GB"/>
          <w14:ligatures w14:val="none"/>
        </w:rPr>
        <w:t>cwestiwn</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dod</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themâu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penodol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Roedden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nhw</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gwestiynau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agored</w:t>
      </w:r>
      <w:proofErr w:type="spellEnd"/>
      <w:r w:rsidRPr="00F359A3">
        <w:rPr>
          <w:rFonts w:eastAsia="Times New Roman" w:cstheme="minorHAnsi"/>
          <w:kern w:val="0"/>
          <w:sz w:val="24"/>
          <w:szCs w:val="24"/>
          <w:lang w:val="en-GB" w:eastAsia="en-GB"/>
          <w14:ligatures w14:val="none"/>
        </w:rPr>
        <w:t xml:space="preserve"> er </w:t>
      </w:r>
      <w:proofErr w:type="spellStart"/>
      <w:r w:rsidRPr="00F359A3">
        <w:rPr>
          <w:rFonts w:eastAsia="Times New Roman" w:cstheme="minorHAnsi"/>
          <w:kern w:val="0"/>
          <w:sz w:val="24"/>
          <w:szCs w:val="24"/>
          <w:lang w:val="en-GB" w:eastAsia="en-GB"/>
          <w14:ligatures w14:val="none"/>
        </w:rPr>
        <w:t>mwyn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rhoi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cyfle</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cyfranogwr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ehangu</w:t>
      </w:r>
      <w:proofErr w:type="spellEnd"/>
      <w:r w:rsidRPr="00F359A3">
        <w:rPr>
          <w:rFonts w:eastAsia="Times New Roman" w:cstheme="minorHAnsi"/>
          <w:kern w:val="0"/>
          <w:sz w:val="24"/>
          <w:szCs w:val="24"/>
          <w:lang w:val="en-GB" w:eastAsia="en-GB"/>
          <w14:ligatures w14:val="none"/>
        </w:rPr>
        <w:t xml:space="preserve"> a </w:t>
      </w:r>
      <w:proofErr w:type="spellStart"/>
      <w:r w:rsidRPr="00F359A3">
        <w:rPr>
          <w:rFonts w:eastAsia="Times New Roman" w:cstheme="minorHAnsi"/>
          <w:kern w:val="0"/>
          <w:sz w:val="24"/>
          <w:szCs w:val="24"/>
          <w:lang w:val="en-GB" w:eastAsia="en-GB"/>
          <w14:ligatures w14:val="none"/>
        </w:rPr>
        <w:t>rhannu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gymaint</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wybodaeth</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roedden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nhw</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eisiau</w:t>
      </w:r>
      <w:proofErr w:type="spellEnd"/>
      <w:r w:rsidRPr="00F359A3">
        <w:rPr>
          <w:rFonts w:eastAsia="Times New Roman" w:cstheme="minorHAnsi"/>
          <w:kern w:val="0"/>
          <w:sz w:val="24"/>
          <w:szCs w:val="24"/>
          <w:lang w:val="en-GB" w:eastAsia="en-GB"/>
          <w14:ligatures w14:val="none"/>
        </w:rPr>
        <w:t xml:space="preserve"> (Reja, 2003). </w:t>
      </w:r>
      <w:proofErr w:type="spellStart"/>
      <w:r w:rsidRPr="00F359A3">
        <w:rPr>
          <w:rFonts w:eastAsia="Times New Roman" w:cstheme="minorHAnsi"/>
          <w:kern w:val="0"/>
          <w:sz w:val="24"/>
          <w:szCs w:val="24"/>
          <w:lang w:val="en-GB" w:eastAsia="en-GB"/>
          <w14:ligatures w14:val="none"/>
        </w:rPr>
        <w:t>Roedd</w:t>
      </w:r>
      <w:proofErr w:type="spellEnd"/>
      <w:r w:rsidRPr="00F359A3">
        <w:rPr>
          <w:rFonts w:eastAsia="Times New Roman" w:cstheme="minorHAnsi"/>
          <w:kern w:val="0"/>
          <w:sz w:val="24"/>
          <w:szCs w:val="24"/>
          <w:lang w:val="en-GB" w:eastAsia="en-GB"/>
          <w14:ligatures w14:val="none"/>
        </w:rPr>
        <w:t xml:space="preserve"> </w:t>
      </w:r>
      <w:proofErr w:type="spellStart"/>
      <w:proofErr w:type="gramStart"/>
      <w:r w:rsidRPr="00F359A3">
        <w:rPr>
          <w:rFonts w:eastAsia="Times New Roman" w:cstheme="minorHAnsi"/>
          <w:kern w:val="0"/>
          <w:sz w:val="24"/>
          <w:szCs w:val="24"/>
          <w:lang w:val="en-GB" w:eastAsia="en-GB"/>
          <w14:ligatures w14:val="none"/>
        </w:rPr>
        <w:t>hyn</w:t>
      </w:r>
      <w:proofErr w:type="spellEnd"/>
      <w:r w:rsidRPr="00F359A3">
        <w:rPr>
          <w:rFonts w:eastAsia="Times New Roman" w:cstheme="minorHAnsi"/>
          <w:kern w:val="0"/>
          <w:sz w:val="24"/>
          <w:szCs w:val="24"/>
          <w:lang w:val="en-GB" w:eastAsia="en-GB"/>
          <w14:ligatures w14:val="none"/>
        </w:rPr>
        <w:t xml:space="preserve">  felly</w:t>
      </w:r>
      <w:proofErr w:type="gram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gyfle</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mi </w:t>
      </w:r>
      <w:proofErr w:type="spellStart"/>
      <w:r w:rsidRPr="00F359A3">
        <w:rPr>
          <w:rFonts w:eastAsia="Times New Roman" w:cstheme="minorHAnsi"/>
          <w:kern w:val="0"/>
          <w:sz w:val="24"/>
          <w:szCs w:val="24"/>
          <w:lang w:val="en-GB" w:eastAsia="en-GB"/>
          <w14:ligatures w14:val="none"/>
        </w:rPr>
        <w:t>gasglu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gymaint</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wybodaeth</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roeddwn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gallu</w:t>
      </w:r>
      <w:proofErr w:type="spellEnd"/>
      <w:r w:rsidRPr="00F359A3">
        <w:rPr>
          <w:rFonts w:eastAsia="Times New Roman" w:cstheme="minorHAnsi"/>
          <w:kern w:val="0"/>
          <w:sz w:val="24"/>
          <w:szCs w:val="24"/>
          <w:lang w:val="en-GB" w:eastAsia="en-GB"/>
          <w14:ligatures w14:val="none"/>
        </w:rPr>
        <w:t xml:space="preserve"> a </w:t>
      </w:r>
      <w:proofErr w:type="spellStart"/>
      <w:r w:rsidRPr="00F359A3">
        <w:rPr>
          <w:rFonts w:eastAsia="Times New Roman" w:cstheme="minorHAnsi"/>
          <w:kern w:val="0"/>
          <w:sz w:val="24"/>
          <w:szCs w:val="24"/>
          <w:lang w:val="en-GB" w:eastAsia="en-GB"/>
          <w14:ligatures w14:val="none"/>
        </w:rPr>
        <w:t>darparu’r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cyfle</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mi </w:t>
      </w:r>
      <w:proofErr w:type="spellStart"/>
      <w:r w:rsidRPr="00F359A3">
        <w:rPr>
          <w:rFonts w:eastAsia="Times New Roman" w:cstheme="minorHAnsi"/>
          <w:kern w:val="0"/>
          <w:sz w:val="24"/>
          <w:szCs w:val="24"/>
          <w:lang w:val="en-GB" w:eastAsia="en-GB"/>
          <w14:ligatures w14:val="none"/>
        </w:rPr>
        <w:t>holi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mwy</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seiliedig</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atebion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roeddwn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ei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derbyn</w:t>
      </w:r>
      <w:proofErr w:type="spellEnd"/>
      <w:r w:rsidRPr="00F359A3">
        <w:rPr>
          <w:rFonts w:eastAsia="Times New Roman" w:cstheme="minorHAnsi"/>
          <w:kern w:val="0"/>
          <w:sz w:val="24"/>
          <w:szCs w:val="24"/>
          <w:lang w:val="en-GB" w:eastAsia="en-GB"/>
          <w14:ligatures w14:val="none"/>
        </w:rPr>
        <w:t xml:space="preserve"> er </w:t>
      </w:r>
      <w:proofErr w:type="spellStart"/>
      <w:r w:rsidRPr="00F359A3">
        <w:rPr>
          <w:rFonts w:eastAsia="Times New Roman" w:cstheme="minorHAnsi"/>
          <w:kern w:val="0"/>
          <w:sz w:val="24"/>
          <w:szCs w:val="24"/>
          <w:lang w:val="en-GB" w:eastAsia="en-GB"/>
          <w14:ligatures w14:val="none"/>
        </w:rPr>
        <w:t>mwyn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cael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gwybodaeth</w:t>
      </w:r>
      <w:proofErr w:type="spellEnd"/>
      <w:r w:rsidRPr="00F359A3">
        <w:rPr>
          <w:rFonts w:eastAsia="Times New Roman" w:cstheme="minorHAnsi"/>
          <w:kern w:val="0"/>
          <w:sz w:val="24"/>
          <w:szCs w:val="24"/>
          <w:lang w:val="en-GB" w:eastAsia="en-GB"/>
          <w14:ligatures w14:val="none"/>
        </w:rPr>
        <w:t xml:space="preserve"> a </w:t>
      </w:r>
      <w:proofErr w:type="spellStart"/>
      <w:r w:rsidRPr="00F359A3">
        <w:rPr>
          <w:rFonts w:eastAsia="Times New Roman" w:cstheme="minorHAnsi"/>
          <w:kern w:val="0"/>
          <w:sz w:val="24"/>
          <w:szCs w:val="24"/>
          <w:lang w:val="en-GB" w:eastAsia="en-GB"/>
          <w14:ligatures w14:val="none"/>
        </w:rPr>
        <w:t>dealltwriaeth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ddyfnach</w:t>
      </w:r>
      <w:proofErr w:type="spellEnd"/>
      <w:r w:rsidRPr="00F359A3">
        <w:rPr>
          <w:rFonts w:eastAsia="Times New Roman" w:cstheme="minorHAnsi"/>
          <w:kern w:val="0"/>
          <w:sz w:val="24"/>
          <w:szCs w:val="24"/>
          <w:lang w:val="en-GB" w:eastAsia="en-GB"/>
          <w14:ligatures w14:val="none"/>
        </w:rPr>
        <w:t xml:space="preserve">.  </w:t>
      </w:r>
    </w:p>
    <w:p w14:paraId="040C59FF" w14:textId="77777777" w:rsidR="004C1E66" w:rsidRPr="00F359A3" w:rsidRDefault="004C1E66" w:rsidP="00F359A3">
      <w:pPr>
        <w:spacing w:before="240" w:after="240" w:line="360" w:lineRule="auto"/>
        <w:rPr>
          <w:rFonts w:eastAsia="Times New Roman" w:cstheme="minorHAnsi"/>
          <w:kern w:val="0"/>
          <w:sz w:val="24"/>
          <w:szCs w:val="24"/>
          <w:lang w:val="en-GB" w:eastAsia="en-GB"/>
          <w14:ligatures w14:val="none"/>
        </w:rPr>
      </w:pPr>
      <w:r w:rsidRPr="00F359A3">
        <w:rPr>
          <w:rFonts w:eastAsia="Times New Roman" w:cstheme="minorHAnsi"/>
          <w:kern w:val="0"/>
          <w:sz w:val="24"/>
          <w:szCs w:val="24"/>
          <w:lang w:val="en-GB" w:eastAsia="en-GB"/>
          <w14:ligatures w14:val="none"/>
        </w:rPr>
        <w:t xml:space="preserve">Mi </w:t>
      </w:r>
      <w:proofErr w:type="spellStart"/>
      <w:r w:rsidRPr="00F359A3">
        <w:rPr>
          <w:rFonts w:eastAsia="Times New Roman" w:cstheme="minorHAnsi"/>
          <w:kern w:val="0"/>
          <w:sz w:val="24"/>
          <w:szCs w:val="24"/>
          <w:lang w:val="en-GB" w:eastAsia="en-GB"/>
          <w14:ligatures w14:val="none"/>
        </w:rPr>
        <w:t>wnes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gynnal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ddisgybl</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ystod</w:t>
      </w:r>
      <w:proofErr w:type="spellEnd"/>
      <w:r w:rsidRPr="00F359A3">
        <w:rPr>
          <w:rFonts w:eastAsia="Times New Roman" w:cstheme="minorHAnsi"/>
          <w:kern w:val="0"/>
          <w:sz w:val="24"/>
          <w:szCs w:val="24"/>
          <w:lang w:val="en-GB" w:eastAsia="en-GB"/>
          <w14:ligatures w14:val="none"/>
        </w:rPr>
        <w:t xml:space="preserve"> trip </w:t>
      </w:r>
      <w:proofErr w:type="spellStart"/>
      <w:r w:rsidRPr="00F359A3">
        <w:rPr>
          <w:rFonts w:eastAsia="Times New Roman" w:cstheme="minorHAnsi"/>
          <w:kern w:val="0"/>
          <w:sz w:val="24"/>
          <w:szCs w:val="24"/>
          <w:lang w:val="en-GB" w:eastAsia="en-GB"/>
          <w14:ligatures w14:val="none"/>
        </w:rPr>
        <w:t>ysgol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theatr</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ystod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ymyrraeth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amser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bwced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gyfer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trip </w:t>
      </w:r>
      <w:proofErr w:type="spellStart"/>
      <w:r w:rsidRPr="00F359A3">
        <w:rPr>
          <w:rFonts w:eastAsia="Times New Roman" w:cstheme="minorHAnsi"/>
          <w:kern w:val="0"/>
          <w:sz w:val="24"/>
          <w:szCs w:val="24"/>
          <w:lang w:val="en-GB" w:eastAsia="en-GB"/>
          <w14:ligatures w14:val="none"/>
        </w:rPr>
        <w:t>ysgol</w:t>
      </w:r>
      <w:proofErr w:type="spellEnd"/>
      <w:r w:rsidRPr="00F359A3">
        <w:rPr>
          <w:rFonts w:eastAsia="Times New Roman" w:cstheme="minorHAnsi"/>
          <w:kern w:val="0"/>
          <w:sz w:val="24"/>
          <w:szCs w:val="24"/>
          <w:lang w:val="en-GB" w:eastAsia="en-GB"/>
          <w14:ligatures w14:val="none"/>
        </w:rPr>
        <w:t xml:space="preserve"> mi </w:t>
      </w:r>
      <w:proofErr w:type="spellStart"/>
      <w:r w:rsidRPr="00F359A3">
        <w:rPr>
          <w:rFonts w:eastAsia="Times New Roman" w:cstheme="minorHAnsi"/>
          <w:kern w:val="0"/>
          <w:sz w:val="24"/>
          <w:szCs w:val="24"/>
          <w:lang w:val="en-GB" w:eastAsia="en-GB"/>
          <w14:ligatures w14:val="none"/>
        </w:rPr>
        <w:t>wnes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greu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tabl</w:t>
      </w:r>
      <w:proofErr w:type="spellEnd"/>
      <w:r w:rsidRPr="00F359A3">
        <w:rPr>
          <w:rFonts w:eastAsia="Times New Roman" w:cstheme="minorHAnsi"/>
          <w:kern w:val="0"/>
          <w:sz w:val="24"/>
          <w:szCs w:val="24"/>
          <w:lang w:val="en-GB" w:eastAsia="en-GB"/>
          <w14:ligatures w14:val="none"/>
        </w:rPr>
        <w:t xml:space="preserve"> er </w:t>
      </w:r>
      <w:proofErr w:type="spellStart"/>
      <w:r w:rsidRPr="00F359A3">
        <w:rPr>
          <w:rFonts w:eastAsia="Times New Roman" w:cstheme="minorHAnsi"/>
          <w:kern w:val="0"/>
          <w:sz w:val="24"/>
          <w:szCs w:val="24"/>
          <w:lang w:val="en-GB" w:eastAsia="en-GB"/>
          <w14:ligatures w14:val="none"/>
        </w:rPr>
        <w:t>mwyn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creu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nodiadau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cyfeiriwch</w:t>
      </w:r>
      <w:proofErr w:type="spellEnd"/>
      <w:r w:rsidRPr="00F359A3">
        <w:rPr>
          <w:rFonts w:eastAsia="Times New Roman" w:cstheme="minorHAnsi"/>
          <w:kern w:val="0"/>
          <w:sz w:val="24"/>
          <w:szCs w:val="24"/>
          <w:lang w:val="en-GB" w:eastAsia="en-GB"/>
          <w14:ligatures w14:val="none"/>
        </w:rPr>
        <w:t xml:space="preserve"> at </w:t>
      </w:r>
      <w:proofErr w:type="spellStart"/>
      <w:r w:rsidRPr="00F359A3">
        <w:rPr>
          <w:rFonts w:eastAsia="Times New Roman" w:cstheme="minorHAnsi"/>
          <w:kern w:val="0"/>
          <w:sz w:val="24"/>
          <w:szCs w:val="24"/>
          <w:lang w:val="en-GB" w:eastAsia="en-GB"/>
          <w14:ligatures w14:val="none"/>
        </w:rPr>
        <w:t>atodiad</w:t>
      </w:r>
      <w:proofErr w:type="spellEnd"/>
      <w:r w:rsidRPr="00F359A3">
        <w:rPr>
          <w:rFonts w:eastAsia="Times New Roman" w:cstheme="minorHAnsi"/>
          <w:kern w:val="0"/>
          <w:sz w:val="24"/>
          <w:szCs w:val="24"/>
          <w:lang w:val="en-GB" w:eastAsia="en-GB"/>
          <w14:ligatures w14:val="none"/>
        </w:rPr>
        <w:t xml:space="preserve"> 2)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ystod</w:t>
      </w:r>
      <w:proofErr w:type="spellEnd"/>
      <w:r w:rsidRPr="00F359A3">
        <w:rPr>
          <w:rFonts w:eastAsia="Times New Roman" w:cstheme="minorHAnsi"/>
          <w:kern w:val="0"/>
          <w:sz w:val="24"/>
          <w:szCs w:val="24"/>
          <w:lang w:val="en-GB" w:eastAsia="en-GB"/>
          <w14:ligatures w14:val="none"/>
        </w:rPr>
        <w:t xml:space="preserve"> y bore, </w:t>
      </w:r>
      <w:proofErr w:type="spellStart"/>
      <w:r w:rsidRPr="00F359A3">
        <w:rPr>
          <w:rFonts w:eastAsia="Times New Roman" w:cstheme="minorHAnsi"/>
          <w:kern w:val="0"/>
          <w:sz w:val="24"/>
          <w:szCs w:val="24"/>
          <w:lang w:val="en-GB" w:eastAsia="en-GB"/>
          <w14:ligatures w14:val="none"/>
        </w:rPr>
        <w:t>gan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fod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dros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gyfnod</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ychydig</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oriau</w:t>
      </w:r>
      <w:proofErr w:type="spellEnd"/>
      <w:r w:rsidRPr="00F359A3">
        <w:rPr>
          <w:rFonts w:eastAsia="Times New Roman" w:cstheme="minorHAnsi"/>
          <w:kern w:val="0"/>
          <w:sz w:val="24"/>
          <w:szCs w:val="24"/>
          <w:lang w:val="en-GB" w:eastAsia="en-GB"/>
          <w14:ligatures w14:val="none"/>
        </w:rPr>
        <w:t xml:space="preserve">. Gan </w:t>
      </w:r>
      <w:proofErr w:type="spellStart"/>
      <w:r w:rsidRPr="00F359A3">
        <w:rPr>
          <w:rFonts w:eastAsia="Times New Roman" w:cstheme="minorHAnsi"/>
          <w:kern w:val="0"/>
          <w:sz w:val="24"/>
          <w:szCs w:val="24"/>
          <w:lang w:val="en-GB" w:eastAsia="en-GB"/>
          <w14:ligatures w14:val="none"/>
        </w:rPr>
        <w:t>fod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amser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bwced</w:t>
      </w:r>
      <w:proofErr w:type="spellEnd"/>
      <w:r w:rsidRPr="00F359A3">
        <w:rPr>
          <w:rFonts w:eastAsia="Times New Roman" w:cstheme="minorHAnsi"/>
          <w:kern w:val="0"/>
          <w:sz w:val="24"/>
          <w:szCs w:val="24"/>
          <w:lang w:val="en-GB" w:eastAsia="en-GB"/>
          <w14:ligatures w14:val="none"/>
        </w:rPr>
        <w:t xml:space="preserve"> dim </w:t>
      </w:r>
      <w:proofErr w:type="spellStart"/>
      <w:r w:rsidRPr="00F359A3">
        <w:rPr>
          <w:rFonts w:eastAsia="Times New Roman" w:cstheme="minorHAnsi"/>
          <w:kern w:val="0"/>
          <w:sz w:val="24"/>
          <w:szCs w:val="24"/>
          <w:lang w:val="en-GB" w:eastAsia="en-GB"/>
          <w14:ligatures w14:val="none"/>
        </w:rPr>
        <w:t>ond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dros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gyfnod</w:t>
      </w:r>
      <w:proofErr w:type="spellEnd"/>
      <w:r w:rsidRPr="00F359A3">
        <w:rPr>
          <w:rFonts w:eastAsia="Times New Roman" w:cstheme="minorHAnsi"/>
          <w:kern w:val="0"/>
          <w:sz w:val="24"/>
          <w:szCs w:val="24"/>
          <w:lang w:val="en-GB" w:eastAsia="en-GB"/>
          <w14:ligatures w14:val="none"/>
        </w:rPr>
        <w:t xml:space="preserve"> o 5 </w:t>
      </w:r>
      <w:proofErr w:type="spellStart"/>
      <w:r w:rsidRPr="00F359A3">
        <w:rPr>
          <w:rFonts w:eastAsia="Times New Roman" w:cstheme="minorHAnsi"/>
          <w:kern w:val="0"/>
          <w:sz w:val="24"/>
          <w:szCs w:val="24"/>
          <w:lang w:val="en-GB" w:eastAsia="en-GB"/>
          <w14:ligatures w14:val="none"/>
        </w:rPr>
        <w:t>munud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penderfynais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ddefnyddio</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graddfa</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leuven</w:t>
      </w:r>
      <w:proofErr w:type="spellEnd"/>
      <w:r w:rsidRPr="00F359A3">
        <w:rPr>
          <w:rFonts w:eastAsia="Times New Roman" w:cstheme="minorHAnsi"/>
          <w:kern w:val="0"/>
          <w:sz w:val="24"/>
          <w:szCs w:val="24"/>
          <w:lang w:val="en-GB" w:eastAsia="en-GB"/>
          <w14:ligatures w14:val="none"/>
        </w:rPr>
        <w:t xml:space="preserve"> er </w:t>
      </w:r>
      <w:proofErr w:type="spellStart"/>
      <w:r w:rsidRPr="00F359A3">
        <w:rPr>
          <w:rFonts w:eastAsia="Times New Roman" w:cstheme="minorHAnsi"/>
          <w:kern w:val="0"/>
          <w:sz w:val="24"/>
          <w:szCs w:val="24"/>
          <w:lang w:val="en-GB" w:eastAsia="en-GB"/>
          <w14:ligatures w14:val="none"/>
        </w:rPr>
        <w:t>mwyn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cynnal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cyfeiriwch</w:t>
      </w:r>
      <w:proofErr w:type="spellEnd"/>
      <w:r w:rsidRPr="00F359A3">
        <w:rPr>
          <w:rFonts w:eastAsia="Times New Roman" w:cstheme="minorHAnsi"/>
          <w:kern w:val="0"/>
          <w:sz w:val="24"/>
          <w:szCs w:val="24"/>
          <w:lang w:val="en-GB" w:eastAsia="en-GB"/>
          <w14:ligatures w14:val="none"/>
        </w:rPr>
        <w:t xml:space="preserve"> at </w:t>
      </w:r>
      <w:proofErr w:type="spellStart"/>
      <w:r w:rsidRPr="00F359A3">
        <w:rPr>
          <w:rFonts w:eastAsia="Times New Roman" w:cstheme="minorHAnsi"/>
          <w:kern w:val="0"/>
          <w:sz w:val="24"/>
          <w:szCs w:val="24"/>
          <w:lang w:val="en-GB" w:eastAsia="en-GB"/>
          <w14:ligatures w14:val="none"/>
        </w:rPr>
        <w:t>atodiad</w:t>
      </w:r>
      <w:proofErr w:type="spellEnd"/>
      <w:r w:rsidRPr="00F359A3">
        <w:rPr>
          <w:rFonts w:eastAsia="Times New Roman" w:cstheme="minorHAnsi"/>
          <w:kern w:val="0"/>
          <w:sz w:val="24"/>
          <w:szCs w:val="24"/>
          <w:lang w:val="en-GB" w:eastAsia="en-GB"/>
          <w14:ligatures w14:val="none"/>
        </w:rPr>
        <w:t xml:space="preserve"> 3). </w:t>
      </w:r>
    </w:p>
    <w:p w14:paraId="4C4373B0" w14:textId="77777777" w:rsidR="00474F3C" w:rsidRPr="00F359A3" w:rsidRDefault="00474F3C" w:rsidP="00F359A3">
      <w:pPr>
        <w:spacing w:before="240" w:after="240" w:line="360" w:lineRule="auto"/>
        <w:rPr>
          <w:rFonts w:eastAsia="Times New Roman" w:cstheme="minorHAnsi"/>
          <w:kern w:val="0"/>
          <w:sz w:val="24"/>
          <w:szCs w:val="24"/>
          <w:lang w:val="en-GB" w:eastAsia="en-GB"/>
          <w14:ligatures w14:val="none"/>
        </w:rPr>
      </w:pPr>
      <w:r w:rsidRPr="00F359A3">
        <w:rPr>
          <w:rFonts w:eastAsia="Times New Roman" w:cstheme="minorHAnsi"/>
          <w:kern w:val="0"/>
          <w:sz w:val="24"/>
          <w:szCs w:val="24"/>
          <w:lang w:val="en-GB" w:eastAsia="en-GB"/>
          <w14:ligatures w14:val="none"/>
        </w:rPr>
        <w:t xml:space="preserve">Mae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ffordd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amlbwrpas</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gasglu</w:t>
      </w:r>
      <w:proofErr w:type="spellEnd"/>
      <w:r w:rsidRPr="00F359A3">
        <w:rPr>
          <w:rFonts w:eastAsia="Times New Roman" w:cstheme="minorHAnsi"/>
          <w:kern w:val="0"/>
          <w:sz w:val="24"/>
          <w:szCs w:val="24"/>
          <w:lang w:val="en-GB" w:eastAsia="en-GB"/>
          <w14:ligatures w14:val="none"/>
        </w:rPr>
        <w:t xml:space="preserve"> data ac </w:t>
      </w:r>
      <w:proofErr w:type="spellStart"/>
      <w:r w:rsidRPr="00F359A3">
        <w:rPr>
          <w:rFonts w:eastAsia="Times New Roman" w:cstheme="minorHAnsi"/>
          <w:kern w:val="0"/>
          <w:sz w:val="24"/>
          <w:szCs w:val="24"/>
          <w:lang w:val="en-GB" w:eastAsia="en-GB"/>
          <w14:ligatures w14:val="none"/>
        </w:rPr>
        <w:t>mae’n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galluogi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ymchwilwyr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weld </w:t>
      </w:r>
      <w:proofErr w:type="spellStart"/>
      <w:r w:rsidRPr="00F359A3">
        <w:rPr>
          <w:rFonts w:eastAsia="Times New Roman" w:cstheme="minorHAnsi"/>
          <w:kern w:val="0"/>
          <w:sz w:val="24"/>
          <w:szCs w:val="24"/>
          <w:lang w:val="en-GB" w:eastAsia="en-GB"/>
          <w14:ligatures w14:val="none"/>
        </w:rPr>
        <w:t>pethau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waith</w:t>
      </w:r>
      <w:proofErr w:type="spellEnd"/>
      <w:r w:rsidRPr="00F359A3">
        <w:rPr>
          <w:rFonts w:eastAsia="Times New Roman" w:cstheme="minorHAnsi"/>
          <w:kern w:val="0"/>
          <w:sz w:val="24"/>
          <w:szCs w:val="24"/>
          <w:lang w:val="en-GB" w:eastAsia="en-GB"/>
          <w14:ligatures w14:val="none"/>
        </w:rPr>
        <w:t xml:space="preserve">, er </w:t>
      </w:r>
      <w:proofErr w:type="spellStart"/>
      <w:r w:rsidRPr="00F359A3">
        <w:rPr>
          <w:rFonts w:eastAsia="Times New Roman" w:cstheme="minorHAnsi"/>
          <w:kern w:val="0"/>
          <w:sz w:val="24"/>
          <w:szCs w:val="24"/>
          <w:lang w:val="en-GB" w:eastAsia="en-GB"/>
          <w14:ligatures w14:val="none"/>
        </w:rPr>
        <w:t>enghraifft</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trwy</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ymddygiad</w:t>
      </w:r>
      <w:proofErr w:type="spellEnd"/>
      <w:r w:rsidRPr="00F359A3">
        <w:rPr>
          <w:rFonts w:eastAsia="Times New Roman" w:cstheme="minorHAnsi"/>
          <w:kern w:val="0"/>
          <w:sz w:val="24"/>
          <w:szCs w:val="24"/>
          <w:lang w:val="en-GB" w:eastAsia="en-GB"/>
          <w14:ligatures w14:val="none"/>
        </w:rPr>
        <w:t xml:space="preserve"> neu </w:t>
      </w:r>
      <w:proofErr w:type="spellStart"/>
      <w:r w:rsidRPr="00F359A3">
        <w:rPr>
          <w:rFonts w:eastAsia="Times New Roman" w:cstheme="minorHAnsi"/>
          <w:kern w:val="0"/>
          <w:sz w:val="24"/>
          <w:szCs w:val="24"/>
          <w:lang w:val="en-GB" w:eastAsia="en-GB"/>
          <w14:ligatures w14:val="none"/>
        </w:rPr>
        <w:t>ymyraethau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Mae’n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caniatáu</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ymchwilydd</w:t>
      </w:r>
      <w:proofErr w:type="spellEnd"/>
      <w:r w:rsidRPr="00F359A3">
        <w:rPr>
          <w:rFonts w:eastAsia="Times New Roman" w:cstheme="minorHAnsi"/>
          <w:kern w:val="0"/>
          <w:sz w:val="24"/>
          <w:szCs w:val="24"/>
          <w:lang w:val="en-GB" w:eastAsia="en-GB"/>
          <w14:ligatures w14:val="none"/>
        </w:rPr>
        <w:t xml:space="preserve"> weld </w:t>
      </w:r>
      <w:proofErr w:type="spellStart"/>
      <w:r w:rsidRPr="00F359A3">
        <w:rPr>
          <w:rFonts w:eastAsia="Times New Roman" w:cstheme="minorHAnsi"/>
          <w:kern w:val="0"/>
          <w:sz w:val="24"/>
          <w:szCs w:val="24"/>
          <w:lang w:val="en-GB" w:eastAsia="en-GB"/>
          <w14:ligatures w14:val="none"/>
        </w:rPr>
        <w:t>pethau</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safbwynt</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gwahanol</w:t>
      </w:r>
      <w:proofErr w:type="spellEnd"/>
      <w:r w:rsidRPr="00F359A3">
        <w:rPr>
          <w:rFonts w:eastAsia="Times New Roman" w:cstheme="minorHAnsi"/>
          <w:kern w:val="0"/>
          <w:sz w:val="24"/>
          <w:szCs w:val="24"/>
          <w:lang w:val="en-GB" w:eastAsia="en-GB"/>
          <w14:ligatures w14:val="none"/>
        </w:rPr>
        <w:t xml:space="preserve"> (Simpson &amp; </w:t>
      </w:r>
      <w:proofErr w:type="spellStart"/>
      <w:r w:rsidRPr="00F359A3">
        <w:rPr>
          <w:rFonts w:eastAsia="Times New Roman" w:cstheme="minorHAnsi"/>
          <w:kern w:val="0"/>
          <w:sz w:val="24"/>
          <w:szCs w:val="24"/>
          <w:lang w:val="en-GB" w:eastAsia="en-GB"/>
          <w14:ligatures w14:val="none"/>
        </w:rPr>
        <w:t>Touson</w:t>
      </w:r>
      <w:proofErr w:type="spellEnd"/>
      <w:r w:rsidRPr="00F359A3">
        <w:rPr>
          <w:rFonts w:eastAsia="Times New Roman" w:cstheme="minorHAnsi"/>
          <w:kern w:val="0"/>
          <w:sz w:val="24"/>
          <w:szCs w:val="24"/>
          <w:lang w:val="en-GB" w:eastAsia="en-GB"/>
          <w14:ligatures w14:val="none"/>
        </w:rPr>
        <w:t xml:space="preserve">, 2003). </w:t>
      </w:r>
      <w:proofErr w:type="spellStart"/>
      <w:r w:rsidRPr="00F359A3">
        <w:rPr>
          <w:rFonts w:eastAsia="Times New Roman" w:cstheme="minorHAnsi"/>
          <w:kern w:val="0"/>
          <w:sz w:val="24"/>
          <w:szCs w:val="24"/>
          <w:lang w:val="en-GB" w:eastAsia="en-GB"/>
          <w14:ligatures w14:val="none"/>
        </w:rPr>
        <w:t>Wrth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rhywbeth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sy’n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gyffredin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ymchwilydd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mae’n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gallu</w:t>
      </w:r>
      <w:proofErr w:type="spellEnd"/>
      <w:r w:rsidRPr="00F359A3">
        <w:rPr>
          <w:rFonts w:eastAsia="Times New Roman" w:cstheme="minorHAnsi"/>
          <w:kern w:val="0"/>
          <w:sz w:val="24"/>
          <w:szCs w:val="24"/>
          <w:lang w:val="en-GB" w:eastAsia="en-GB"/>
          <w14:ligatures w14:val="none"/>
        </w:rPr>
        <w:t xml:space="preserve"> bod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rhwystr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oherwydd</w:t>
      </w:r>
      <w:proofErr w:type="spellEnd"/>
      <w:r w:rsidRPr="00F359A3">
        <w:rPr>
          <w:rFonts w:eastAsia="Times New Roman" w:cstheme="minorHAnsi"/>
          <w:kern w:val="0"/>
          <w:sz w:val="24"/>
          <w:szCs w:val="24"/>
          <w:lang w:val="en-GB" w:eastAsia="en-GB"/>
          <w14:ligatures w14:val="none"/>
        </w:rPr>
        <w:t xml:space="preserve"> gall </w:t>
      </w:r>
      <w:proofErr w:type="spellStart"/>
      <w:r w:rsidRPr="00F359A3">
        <w:rPr>
          <w:rFonts w:eastAsia="Times New Roman" w:cstheme="minorHAnsi"/>
          <w:kern w:val="0"/>
          <w:sz w:val="24"/>
          <w:szCs w:val="24"/>
          <w:lang w:val="en-GB" w:eastAsia="en-GB"/>
          <w14:ligatures w14:val="none"/>
        </w:rPr>
        <w:t>yna</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fod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lastRenderedPageBreak/>
        <w:t>tueddiad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wneud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tybiaeth</w:t>
      </w:r>
      <w:proofErr w:type="spellEnd"/>
      <w:r w:rsidRPr="00F359A3">
        <w:rPr>
          <w:rFonts w:eastAsia="Times New Roman" w:cstheme="minorHAnsi"/>
          <w:kern w:val="0"/>
          <w:sz w:val="24"/>
          <w:szCs w:val="24"/>
          <w:lang w:val="en-GB" w:eastAsia="en-GB"/>
          <w14:ligatures w14:val="none"/>
        </w:rPr>
        <w:t xml:space="preserve"> am </w:t>
      </w:r>
      <w:proofErr w:type="spellStart"/>
      <w:r w:rsidRPr="00F359A3">
        <w:rPr>
          <w:rFonts w:eastAsia="Times New Roman" w:cstheme="minorHAnsi"/>
          <w:kern w:val="0"/>
          <w:sz w:val="24"/>
          <w:szCs w:val="24"/>
          <w:lang w:val="en-GB" w:eastAsia="en-GB"/>
          <w14:ligatures w14:val="none"/>
        </w:rPr>
        <w:t>beth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sy’n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digwydd</w:t>
      </w:r>
      <w:proofErr w:type="spellEnd"/>
      <w:r w:rsidRPr="00F359A3">
        <w:rPr>
          <w:rFonts w:eastAsia="Times New Roman" w:cstheme="minorHAnsi"/>
          <w:kern w:val="0"/>
          <w:sz w:val="24"/>
          <w:szCs w:val="24"/>
          <w:lang w:val="en-GB" w:eastAsia="en-GB"/>
          <w14:ligatures w14:val="none"/>
        </w:rPr>
        <w:t xml:space="preserve"> neu pam </w:t>
      </w:r>
      <w:proofErr w:type="spellStart"/>
      <w:r w:rsidRPr="00F359A3">
        <w:rPr>
          <w:rFonts w:eastAsia="Times New Roman" w:cstheme="minorHAnsi"/>
          <w:kern w:val="0"/>
          <w:sz w:val="24"/>
          <w:szCs w:val="24"/>
          <w:lang w:val="en-GB" w:eastAsia="en-GB"/>
          <w14:ligatures w14:val="none"/>
        </w:rPr>
        <w:t>mae</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rhywbeth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digwydd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seiliedig</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wybodaeth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flaenorol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hytrach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na</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edrych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fanwl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beth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sy’n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digwydd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gofnodi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llythrennol</w:t>
      </w:r>
      <w:proofErr w:type="spellEnd"/>
      <w:r w:rsidRPr="00F359A3">
        <w:rPr>
          <w:rFonts w:eastAsia="Times New Roman" w:cstheme="minorHAnsi"/>
          <w:kern w:val="0"/>
          <w:sz w:val="24"/>
          <w:szCs w:val="24"/>
          <w:lang w:val="en-GB" w:eastAsia="en-GB"/>
          <w14:ligatures w14:val="none"/>
        </w:rPr>
        <w:t xml:space="preserve">. Felly er </w:t>
      </w:r>
      <w:proofErr w:type="spellStart"/>
      <w:r w:rsidRPr="00F359A3">
        <w:rPr>
          <w:rFonts w:eastAsia="Times New Roman" w:cstheme="minorHAnsi"/>
          <w:kern w:val="0"/>
          <w:sz w:val="24"/>
          <w:szCs w:val="24"/>
          <w:lang w:val="en-GB" w:eastAsia="en-GB"/>
          <w14:ligatures w14:val="none"/>
        </w:rPr>
        <w:t>mwyn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osgoi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hyn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mae</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angen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ymchwilydd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fynd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mewn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arsylwad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fel</w:t>
      </w:r>
      <w:proofErr w:type="spellEnd"/>
      <w:r w:rsidRPr="00F359A3">
        <w:rPr>
          <w:rFonts w:eastAsia="Times New Roman" w:cstheme="minorHAnsi"/>
          <w:kern w:val="0"/>
          <w:sz w:val="24"/>
          <w:szCs w:val="24"/>
          <w:lang w:val="en-GB" w:eastAsia="en-GB"/>
          <w14:ligatures w14:val="none"/>
        </w:rPr>
        <w:t xml:space="preserve"> bod </w:t>
      </w:r>
      <w:proofErr w:type="spellStart"/>
      <w:r w:rsidRPr="00F359A3">
        <w:rPr>
          <w:rFonts w:eastAsia="Times New Roman" w:cstheme="minorHAnsi"/>
          <w:kern w:val="0"/>
          <w:sz w:val="24"/>
          <w:szCs w:val="24"/>
          <w:lang w:val="en-GB" w:eastAsia="en-GB"/>
          <w14:ligatures w14:val="none"/>
        </w:rPr>
        <w:t>nhw</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ddim</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hefo</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llawer</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ddealltwriaeth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flaenorol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o’r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pwnc</w:t>
      </w:r>
      <w:proofErr w:type="spellEnd"/>
      <w:r w:rsidRPr="00F359A3">
        <w:rPr>
          <w:rFonts w:eastAsia="Times New Roman" w:cstheme="minorHAnsi"/>
          <w:kern w:val="0"/>
          <w:sz w:val="24"/>
          <w:szCs w:val="24"/>
          <w:lang w:val="en-GB" w:eastAsia="en-GB"/>
          <w14:ligatures w14:val="none"/>
        </w:rPr>
        <w:t xml:space="preserve">, ac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hytrach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dylai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defnyddio’r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wybodaeth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flaenorol</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yma</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wrth</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ddadansoddi’r</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wybodaeth</w:t>
      </w:r>
      <w:proofErr w:type="spellEnd"/>
      <w:r w:rsidRPr="00F359A3">
        <w:rPr>
          <w:rFonts w:eastAsia="Times New Roman" w:cstheme="minorHAnsi"/>
          <w:kern w:val="0"/>
          <w:sz w:val="24"/>
          <w:szCs w:val="24"/>
          <w:lang w:val="en-GB" w:eastAsia="en-GB"/>
          <w14:ligatures w14:val="none"/>
        </w:rPr>
        <w:t xml:space="preserve"> (Stokes &amp; Cotton, 2010). Yn </w:t>
      </w:r>
      <w:proofErr w:type="spellStart"/>
      <w:r w:rsidRPr="00F359A3">
        <w:rPr>
          <w:rFonts w:eastAsia="Times New Roman" w:cstheme="minorHAnsi"/>
          <w:kern w:val="0"/>
          <w:sz w:val="24"/>
          <w:szCs w:val="24"/>
          <w:lang w:val="en-GB" w:eastAsia="en-GB"/>
          <w14:ligatures w14:val="none"/>
        </w:rPr>
        <w:t>fy</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achos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nid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oedd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gennyf</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lawer</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ddealltwriaeth</w:t>
      </w:r>
      <w:proofErr w:type="spellEnd"/>
      <w:r w:rsidRPr="00F359A3">
        <w:rPr>
          <w:rFonts w:eastAsia="Times New Roman" w:cstheme="minorHAnsi"/>
          <w:kern w:val="0"/>
          <w:sz w:val="24"/>
          <w:szCs w:val="24"/>
          <w:lang w:val="en-GB" w:eastAsia="en-GB"/>
          <w14:ligatures w14:val="none"/>
        </w:rPr>
        <w:t xml:space="preserve"> am y </w:t>
      </w:r>
      <w:proofErr w:type="spellStart"/>
      <w:r w:rsidRPr="00F359A3">
        <w:rPr>
          <w:rFonts w:eastAsia="Times New Roman" w:cstheme="minorHAnsi"/>
          <w:kern w:val="0"/>
          <w:sz w:val="24"/>
          <w:szCs w:val="24"/>
          <w:lang w:val="en-GB" w:eastAsia="en-GB"/>
          <w14:ligatures w14:val="none"/>
        </w:rPr>
        <w:t>pwnc</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flaenorol</w:t>
      </w:r>
      <w:proofErr w:type="spellEnd"/>
      <w:r w:rsidRPr="00F359A3">
        <w:rPr>
          <w:rFonts w:eastAsia="Times New Roman" w:cstheme="minorHAnsi"/>
          <w:kern w:val="0"/>
          <w:sz w:val="24"/>
          <w:szCs w:val="24"/>
          <w:lang w:val="en-GB" w:eastAsia="en-GB"/>
          <w14:ligatures w14:val="none"/>
        </w:rPr>
        <w:t xml:space="preserve"> felly </w:t>
      </w:r>
      <w:proofErr w:type="spellStart"/>
      <w:r w:rsidRPr="00F359A3">
        <w:rPr>
          <w:rFonts w:eastAsia="Times New Roman" w:cstheme="minorHAnsi"/>
          <w:kern w:val="0"/>
          <w:sz w:val="24"/>
          <w:szCs w:val="24"/>
          <w:lang w:val="en-GB" w:eastAsia="en-GB"/>
          <w14:ligatures w14:val="none"/>
        </w:rPr>
        <w:t>nid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oedd</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hyn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yn</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gymaint</w:t>
      </w:r>
      <w:proofErr w:type="spellEnd"/>
      <w:r w:rsidRPr="00F359A3">
        <w:rPr>
          <w:rFonts w:eastAsia="Times New Roman" w:cstheme="minorHAnsi"/>
          <w:kern w:val="0"/>
          <w:sz w:val="24"/>
          <w:szCs w:val="24"/>
          <w:lang w:val="en-GB" w:eastAsia="en-GB"/>
          <w14:ligatures w14:val="none"/>
        </w:rPr>
        <w:t xml:space="preserve"> o </w:t>
      </w:r>
      <w:proofErr w:type="spellStart"/>
      <w:r w:rsidRPr="00F359A3">
        <w:rPr>
          <w:rFonts w:eastAsia="Times New Roman" w:cstheme="minorHAnsi"/>
          <w:kern w:val="0"/>
          <w:sz w:val="24"/>
          <w:szCs w:val="24"/>
          <w:lang w:val="en-GB" w:eastAsia="en-GB"/>
          <w14:ligatures w14:val="none"/>
        </w:rPr>
        <w:t>anfantais</w:t>
      </w:r>
      <w:proofErr w:type="spellEnd"/>
      <w:r w:rsidRPr="00F359A3">
        <w:rPr>
          <w:rFonts w:eastAsia="Times New Roman" w:cstheme="minorHAnsi"/>
          <w:kern w:val="0"/>
          <w:sz w:val="24"/>
          <w:szCs w:val="24"/>
          <w:lang w:val="en-GB" w:eastAsia="en-GB"/>
          <w14:ligatures w14:val="none"/>
        </w:rPr>
        <w:t xml:space="preserve"> </w:t>
      </w:r>
      <w:proofErr w:type="spellStart"/>
      <w:r w:rsidRPr="00F359A3">
        <w:rPr>
          <w:rFonts w:eastAsia="Times New Roman" w:cstheme="minorHAnsi"/>
          <w:kern w:val="0"/>
          <w:sz w:val="24"/>
          <w:szCs w:val="24"/>
          <w:lang w:val="en-GB" w:eastAsia="en-GB"/>
          <w14:ligatures w14:val="none"/>
        </w:rPr>
        <w:t>i</w:t>
      </w:r>
      <w:proofErr w:type="spellEnd"/>
      <w:r w:rsidRPr="00F359A3">
        <w:rPr>
          <w:rFonts w:eastAsia="Times New Roman" w:cstheme="minorHAnsi"/>
          <w:kern w:val="0"/>
          <w:sz w:val="24"/>
          <w:szCs w:val="24"/>
          <w:lang w:val="en-GB" w:eastAsia="en-GB"/>
          <w14:ligatures w14:val="none"/>
        </w:rPr>
        <w:t xml:space="preserve"> mi. </w:t>
      </w:r>
    </w:p>
    <w:p w14:paraId="0ECD029D" w14:textId="368FF8AA" w:rsidR="008C2A1D" w:rsidRPr="00F359A3" w:rsidRDefault="0011302B" w:rsidP="00F359A3">
      <w:pPr>
        <w:spacing w:before="240" w:after="240" w:line="360" w:lineRule="auto"/>
        <w:rPr>
          <w:rFonts w:eastAsia="Times New Roman" w:cstheme="minorHAnsi"/>
          <w:kern w:val="0"/>
          <w:sz w:val="24"/>
          <w:szCs w:val="24"/>
          <w:lang w:val="en-GB" w:eastAsia="en-GB"/>
          <w14:ligatures w14:val="none"/>
        </w:rPr>
      </w:pPr>
      <w:proofErr w:type="spellStart"/>
      <w:r w:rsidRPr="00F359A3">
        <w:rPr>
          <w:rFonts w:eastAsia="Times New Roman" w:cstheme="minorHAnsi"/>
          <w:kern w:val="0"/>
          <w:sz w:val="24"/>
          <w:szCs w:val="24"/>
          <w:lang w:val="en-GB" w:eastAsia="en-GB"/>
          <w14:ligatures w14:val="none"/>
        </w:rPr>
        <w:t>Defnyddiais</w:t>
      </w:r>
      <w:proofErr w:type="spellEnd"/>
      <w:r w:rsidRPr="00F359A3">
        <w:rPr>
          <w:rFonts w:eastAsia="Times New Roman" w:cstheme="minorHAnsi"/>
          <w:kern w:val="0"/>
          <w:sz w:val="24"/>
          <w:szCs w:val="24"/>
          <w:lang w:val="en-GB" w:eastAsia="en-GB"/>
          <w14:ligatures w14:val="none"/>
        </w:rPr>
        <w:t xml:space="preserve"> </w:t>
      </w:r>
      <w:proofErr w:type="spellStart"/>
      <w:r w:rsidR="00230981" w:rsidRPr="00F359A3">
        <w:rPr>
          <w:rFonts w:eastAsia="Times New Roman" w:cstheme="minorHAnsi"/>
          <w:kern w:val="0"/>
          <w:sz w:val="24"/>
          <w:szCs w:val="24"/>
          <w:lang w:val="en-GB" w:eastAsia="en-GB"/>
          <w14:ligatures w14:val="none"/>
        </w:rPr>
        <w:t>graddfa</w:t>
      </w:r>
      <w:proofErr w:type="spellEnd"/>
      <w:r w:rsidR="00230981" w:rsidRPr="00F359A3">
        <w:rPr>
          <w:rFonts w:eastAsia="Times New Roman" w:cstheme="minorHAnsi"/>
          <w:kern w:val="0"/>
          <w:sz w:val="24"/>
          <w:szCs w:val="24"/>
          <w:lang w:val="en-GB" w:eastAsia="en-GB"/>
          <w14:ligatures w14:val="none"/>
        </w:rPr>
        <w:t xml:space="preserve"> </w:t>
      </w:r>
      <w:proofErr w:type="spellStart"/>
      <w:r w:rsidR="00230981" w:rsidRPr="00F359A3">
        <w:rPr>
          <w:rFonts w:eastAsia="Times New Roman" w:cstheme="minorHAnsi"/>
          <w:kern w:val="0"/>
          <w:sz w:val="24"/>
          <w:szCs w:val="24"/>
          <w:lang w:val="en-GB" w:eastAsia="en-GB"/>
          <w14:ligatures w14:val="none"/>
        </w:rPr>
        <w:t>l</w:t>
      </w:r>
      <w:r w:rsidR="00171540" w:rsidRPr="00F359A3">
        <w:rPr>
          <w:rFonts w:eastAsia="Times New Roman" w:cstheme="minorHAnsi"/>
          <w:kern w:val="0"/>
          <w:sz w:val="24"/>
          <w:szCs w:val="24"/>
          <w:lang w:val="en-GB" w:eastAsia="en-GB"/>
          <w14:ligatures w14:val="none"/>
        </w:rPr>
        <w:t>euven</w:t>
      </w:r>
      <w:proofErr w:type="spellEnd"/>
      <w:r w:rsidR="00171540"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i</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gynnal</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arsylwd</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o’r</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myrraeth</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amser</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bwced</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gan</w:t>
      </w:r>
      <w:proofErr w:type="spellEnd"/>
      <w:r w:rsidR="00B564AB" w:rsidRPr="00F359A3">
        <w:rPr>
          <w:rFonts w:eastAsia="Times New Roman" w:cstheme="minorHAnsi"/>
          <w:kern w:val="0"/>
          <w:sz w:val="24"/>
          <w:szCs w:val="24"/>
          <w:lang w:val="en-GB" w:eastAsia="en-GB"/>
          <w14:ligatures w14:val="none"/>
        </w:rPr>
        <w:t xml:space="preserve"> </w:t>
      </w:r>
      <w:proofErr w:type="spellStart"/>
      <w:r w:rsidR="00B564AB" w:rsidRPr="00F359A3">
        <w:rPr>
          <w:rFonts w:eastAsia="Times New Roman" w:cstheme="minorHAnsi"/>
          <w:kern w:val="0"/>
          <w:sz w:val="24"/>
          <w:szCs w:val="24"/>
          <w:lang w:val="en-GB" w:eastAsia="en-GB"/>
          <w14:ligatures w14:val="none"/>
        </w:rPr>
        <w:t>cofnodi</w:t>
      </w:r>
      <w:proofErr w:type="spellEnd"/>
      <w:r w:rsidR="00B564AB" w:rsidRPr="00F359A3">
        <w:rPr>
          <w:rFonts w:eastAsia="Times New Roman" w:cstheme="minorHAnsi"/>
          <w:kern w:val="0"/>
          <w:sz w:val="24"/>
          <w:szCs w:val="24"/>
          <w:lang w:val="en-GB" w:eastAsia="en-GB"/>
          <w14:ligatures w14:val="none"/>
        </w:rPr>
        <w:t xml:space="preserve"> </w:t>
      </w:r>
      <w:proofErr w:type="spellStart"/>
      <w:r w:rsidR="00E42865" w:rsidRPr="00F359A3">
        <w:rPr>
          <w:rFonts w:eastAsia="Times New Roman" w:cstheme="minorHAnsi"/>
          <w:kern w:val="0"/>
          <w:sz w:val="24"/>
          <w:szCs w:val="24"/>
          <w:lang w:val="en-GB" w:eastAsia="en-GB"/>
          <w14:ligatures w14:val="none"/>
        </w:rPr>
        <w:t>ymateb</w:t>
      </w:r>
      <w:proofErr w:type="spellEnd"/>
      <w:r w:rsidR="00E42865" w:rsidRPr="00F359A3">
        <w:rPr>
          <w:rFonts w:eastAsia="Times New Roman" w:cstheme="minorHAnsi"/>
          <w:kern w:val="0"/>
          <w:sz w:val="24"/>
          <w:szCs w:val="24"/>
          <w:lang w:val="en-GB" w:eastAsia="en-GB"/>
          <w14:ligatures w14:val="none"/>
        </w:rPr>
        <w:t xml:space="preserve"> </w:t>
      </w:r>
      <w:proofErr w:type="spellStart"/>
      <w:r w:rsidR="00E42865" w:rsidRPr="00F359A3">
        <w:rPr>
          <w:rFonts w:eastAsia="Times New Roman" w:cstheme="minorHAnsi"/>
          <w:kern w:val="0"/>
          <w:sz w:val="24"/>
          <w:szCs w:val="24"/>
          <w:lang w:val="en-GB" w:eastAsia="en-GB"/>
          <w14:ligatures w14:val="none"/>
        </w:rPr>
        <w:t>Plentyn</w:t>
      </w:r>
      <w:proofErr w:type="spellEnd"/>
      <w:r w:rsidR="00E42865" w:rsidRPr="00F359A3">
        <w:rPr>
          <w:rFonts w:eastAsia="Times New Roman" w:cstheme="minorHAnsi"/>
          <w:kern w:val="0"/>
          <w:sz w:val="24"/>
          <w:szCs w:val="24"/>
          <w:lang w:val="en-GB" w:eastAsia="en-GB"/>
          <w14:ligatures w14:val="none"/>
        </w:rPr>
        <w:t xml:space="preserve"> </w:t>
      </w:r>
      <w:r w:rsidR="006F1DAD" w:rsidRPr="00F359A3">
        <w:rPr>
          <w:rFonts w:eastAsia="Times New Roman" w:cstheme="minorHAnsi"/>
          <w:kern w:val="0"/>
          <w:sz w:val="24"/>
          <w:szCs w:val="24"/>
          <w:lang w:val="en-GB" w:eastAsia="en-GB"/>
          <w14:ligatures w14:val="none"/>
        </w:rPr>
        <w:t xml:space="preserve">A </w:t>
      </w:r>
      <w:proofErr w:type="spellStart"/>
      <w:r w:rsidR="006F1DAD" w:rsidRPr="00F359A3">
        <w:rPr>
          <w:rFonts w:eastAsia="Times New Roman" w:cstheme="minorHAnsi"/>
          <w:kern w:val="0"/>
          <w:sz w:val="24"/>
          <w:szCs w:val="24"/>
          <w:lang w:val="en-GB" w:eastAsia="en-GB"/>
          <w14:ligatures w14:val="none"/>
        </w:rPr>
        <w:t>pob</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munud</w:t>
      </w:r>
      <w:proofErr w:type="spellEnd"/>
      <w:r w:rsidR="006F1DAD" w:rsidRPr="00F359A3">
        <w:rPr>
          <w:rFonts w:eastAsia="Times New Roman" w:cstheme="minorHAnsi"/>
          <w:kern w:val="0"/>
          <w:sz w:val="24"/>
          <w:szCs w:val="24"/>
          <w:lang w:val="en-GB" w:eastAsia="en-GB"/>
          <w14:ligatures w14:val="none"/>
        </w:rPr>
        <w:t xml:space="preserve"> am bum </w:t>
      </w:r>
      <w:proofErr w:type="spellStart"/>
      <w:r w:rsidR="006F1DAD" w:rsidRPr="00F359A3">
        <w:rPr>
          <w:rFonts w:eastAsia="Times New Roman" w:cstheme="minorHAnsi"/>
          <w:kern w:val="0"/>
          <w:sz w:val="24"/>
          <w:szCs w:val="24"/>
          <w:lang w:val="en-GB" w:eastAsia="en-GB"/>
          <w14:ligatures w14:val="none"/>
        </w:rPr>
        <w:t>munud</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yn</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ystod</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yr</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amser</w:t>
      </w:r>
      <w:proofErr w:type="spellEnd"/>
      <w:r w:rsidR="006F1DAD" w:rsidRPr="00F359A3">
        <w:rPr>
          <w:rFonts w:eastAsia="Times New Roman" w:cstheme="minorHAnsi"/>
          <w:kern w:val="0"/>
          <w:sz w:val="24"/>
          <w:szCs w:val="24"/>
          <w:lang w:val="en-GB" w:eastAsia="en-GB"/>
          <w14:ligatures w14:val="none"/>
        </w:rPr>
        <w:t xml:space="preserve"> </w:t>
      </w:r>
      <w:proofErr w:type="spellStart"/>
      <w:r w:rsidR="006F1DAD" w:rsidRPr="00F359A3">
        <w:rPr>
          <w:rFonts w:eastAsia="Times New Roman" w:cstheme="minorHAnsi"/>
          <w:kern w:val="0"/>
          <w:sz w:val="24"/>
          <w:szCs w:val="24"/>
          <w:lang w:val="en-GB" w:eastAsia="en-GB"/>
          <w14:ligatures w14:val="none"/>
        </w:rPr>
        <w:t>bwced</w:t>
      </w:r>
      <w:proofErr w:type="spellEnd"/>
      <w:r w:rsidR="00EA4874" w:rsidRPr="00F359A3">
        <w:rPr>
          <w:rFonts w:eastAsia="Times New Roman" w:cstheme="minorHAnsi"/>
          <w:kern w:val="0"/>
          <w:sz w:val="24"/>
          <w:szCs w:val="24"/>
          <w:lang w:val="en-GB" w:eastAsia="en-GB"/>
          <w14:ligatures w14:val="none"/>
        </w:rPr>
        <w:t xml:space="preserve"> (</w:t>
      </w:r>
      <w:proofErr w:type="spellStart"/>
      <w:r w:rsidR="00EA4874" w:rsidRPr="00F359A3">
        <w:rPr>
          <w:rFonts w:eastAsia="Times New Roman" w:cstheme="minorHAnsi"/>
          <w:kern w:val="0"/>
          <w:sz w:val="24"/>
          <w:szCs w:val="24"/>
          <w:lang w:val="en-GB" w:eastAsia="en-GB"/>
          <w14:ligatures w14:val="none"/>
        </w:rPr>
        <w:t>gweler</w:t>
      </w:r>
      <w:proofErr w:type="spellEnd"/>
      <w:r w:rsidR="00EA4874" w:rsidRPr="00F359A3">
        <w:rPr>
          <w:rFonts w:eastAsia="Times New Roman" w:cstheme="minorHAnsi"/>
          <w:kern w:val="0"/>
          <w:sz w:val="24"/>
          <w:szCs w:val="24"/>
          <w:lang w:val="en-GB" w:eastAsia="en-GB"/>
          <w14:ligatures w14:val="none"/>
        </w:rPr>
        <w:t xml:space="preserve"> </w:t>
      </w:r>
      <w:proofErr w:type="spellStart"/>
      <w:r w:rsidR="00EA4874" w:rsidRPr="00F359A3">
        <w:rPr>
          <w:rFonts w:eastAsia="Times New Roman" w:cstheme="minorHAnsi"/>
          <w:kern w:val="0"/>
          <w:sz w:val="24"/>
          <w:szCs w:val="24"/>
          <w:lang w:val="en-GB" w:eastAsia="en-GB"/>
          <w14:ligatures w14:val="none"/>
        </w:rPr>
        <w:t>atodiad</w:t>
      </w:r>
      <w:proofErr w:type="spellEnd"/>
      <w:r w:rsidR="00EA4874" w:rsidRPr="00F359A3">
        <w:rPr>
          <w:rFonts w:eastAsia="Times New Roman" w:cstheme="minorHAnsi"/>
          <w:kern w:val="0"/>
          <w:sz w:val="24"/>
          <w:szCs w:val="24"/>
          <w:lang w:val="en-GB" w:eastAsia="en-GB"/>
          <w14:ligatures w14:val="none"/>
        </w:rPr>
        <w:t xml:space="preserve"> </w:t>
      </w:r>
      <w:r w:rsidR="00BA459F" w:rsidRPr="00F359A3">
        <w:rPr>
          <w:rFonts w:eastAsia="Times New Roman" w:cstheme="minorHAnsi"/>
          <w:kern w:val="0"/>
          <w:sz w:val="24"/>
          <w:szCs w:val="24"/>
          <w:lang w:val="en-GB" w:eastAsia="en-GB"/>
          <w14:ligatures w14:val="none"/>
        </w:rPr>
        <w:t>6)</w:t>
      </w:r>
    </w:p>
    <w:p w14:paraId="23445210" w14:textId="77777777" w:rsidR="00246E8A" w:rsidRPr="00F359A3" w:rsidRDefault="002834C2" w:rsidP="00F359A3">
      <w:pPr>
        <w:spacing w:line="360" w:lineRule="auto"/>
        <w:rPr>
          <w:sz w:val="24"/>
          <w:szCs w:val="24"/>
        </w:rPr>
      </w:pPr>
      <w:r w:rsidRPr="00F359A3">
        <w:rPr>
          <w:sz w:val="24"/>
          <w:szCs w:val="24"/>
        </w:rPr>
        <w:t xml:space="preserve">Er mwyn cyflwyno’r data p’r cyfweliad mi wnes i greu trawsgrifiad o’r cyfweliad ar ôl ei recordio a chymryd nodiadau yn ystod y cyfweliad. Mae hyn yn effeithiol er mwyn sicrhau bod popeth o’r cyfweliad yn cael ei gynnwys yn fy nata. Mae recordio cyfweliad yn ffordd bwerus o gasglu’r data a bod yn hyderus yn ddibynadwyedd y data mae’r ymchwilydd wedi ei gasglu (Nordstorm, 2015). Mae hefyd yn caniatáu ymchwilwyr i ddyfynnu os oes angen (Nordstorm, 2015). Er hyn, gall recordiad fod yn llai effeithiol oherwydd ffactorau fel sŵn cefndirol a phroblemau technegol, felly mae cymryd nodiadau ar yr un pryd yn atgyfnerthu’r broses (Bloom &amp; Crabtree, 2006). Penderfynais felly fod cyfuniad o dechnegau yn fwy addas ar gyfer cyflwyno’r data. Gan fod y cwestiynau wedi eu gosod mewn themâu, roeddwn yn gallu dadansoddi’r data yn seiliedig ar wahanol feysydd a phynciau. </w:t>
      </w:r>
    </w:p>
    <w:p w14:paraId="2F4CD544" w14:textId="390FB316" w:rsidR="00E835A1" w:rsidRPr="00F359A3" w:rsidRDefault="00F33FA0" w:rsidP="00F359A3">
      <w:pPr>
        <w:spacing w:line="360" w:lineRule="auto"/>
        <w:rPr>
          <w:sz w:val="24"/>
          <w:szCs w:val="24"/>
        </w:rPr>
      </w:pPr>
      <w:r w:rsidRPr="00F359A3">
        <w:rPr>
          <w:sz w:val="24"/>
          <w:szCs w:val="24"/>
        </w:rPr>
        <w:t>Defnyddiais ddull o greu nodiadau ar gyfer fy arsylwad cyntaf o ddisgybl Ac ar drip ysgol. Penderfynais wneud hyn oherwydd roedd yr arsylwad dros gyfnod hir ac roeddwn eisiau cael cofnod manwl o beth wnes i arsylwi. Mi wnes i drefnu’r cofnod mewn tabl wedi ei drefnu mewn trefn y dydd (gweler atodiad 2). Fel yr esbonnir uchod, mae recordio a chymryd nodiadau ar yr un pryd yn ddull mwy effeithiol na dim ond gwneud un, ond pan nad yw un yn bosib mae’n rhaid dewis yr un mwyaf addas, er enghraifft nid oedd recordio’r disgybl ar y trip yn bosib felly roedd rhaid defnyddio nodiadau yn unig. Gall cymryd nodiadau fod yn aneffeithiol oherwydd mae’n hawdd methu pethau allan (Muswazi &amp; Nhamo, 2013), nodir yn yr erthygl hefyd bod sicrhau bod trefn i’r nodiadau yn helpu osgoi methu rhywbeth allan, hynny yw gosod nodiadau o dan is-deitlau a themâu gwahanol, caiff hyn ei gefnogi gan Larimi et al, 2010.</w:t>
      </w:r>
    </w:p>
    <w:p w14:paraId="4F04C79D" w14:textId="77777777" w:rsidR="00F74443" w:rsidRPr="00F359A3" w:rsidRDefault="00F74443" w:rsidP="00F359A3">
      <w:pPr>
        <w:spacing w:line="360" w:lineRule="auto"/>
        <w:rPr>
          <w:sz w:val="24"/>
          <w:szCs w:val="24"/>
        </w:rPr>
      </w:pPr>
      <w:r w:rsidRPr="00F359A3">
        <w:rPr>
          <w:sz w:val="24"/>
          <w:szCs w:val="24"/>
        </w:rPr>
        <w:lastRenderedPageBreak/>
        <w:t>Y dull arall defnyddiais i gofnodi a dadansoddi data oedd graddfa leuven. Mae graddfa leuven yn ffordd dda i ymchwilydd arsylwi dysgwyr o bellter (MacRae &amp; Jones, 2023). Penderfyniad cynnal yr arsylwad yma oherwydd roedd o’n ymyrraeth doeddwn i heb ei weld o’r blaen a trwy wneud graddfa leuven roeddwn i’n gallu gweld sut roedd ymateb disgybl Ac yn newid yn ystod y sesiwn (MacRae &amp; Jones, 2023).</w:t>
      </w:r>
    </w:p>
    <w:p w14:paraId="1606ED51" w14:textId="6A54B731" w:rsidR="00865145" w:rsidRPr="00F359A3" w:rsidRDefault="000956D2" w:rsidP="00F359A3">
      <w:pPr>
        <w:spacing w:line="360" w:lineRule="auto"/>
        <w:rPr>
          <w:sz w:val="24"/>
          <w:szCs w:val="24"/>
        </w:rPr>
      </w:pPr>
      <w:r w:rsidRPr="00F359A3">
        <w:rPr>
          <w:sz w:val="24"/>
          <w:szCs w:val="24"/>
        </w:rPr>
        <w:t>Wrth gynnal ymchwil mae’n hanfodol bod yn foesegol</w:t>
      </w:r>
      <w:r w:rsidR="002A41CF" w:rsidRPr="00F359A3">
        <w:rPr>
          <w:sz w:val="24"/>
          <w:szCs w:val="24"/>
        </w:rPr>
        <w:t>. Mae</w:t>
      </w:r>
      <w:r w:rsidR="00C23808" w:rsidRPr="00F359A3">
        <w:rPr>
          <w:sz w:val="24"/>
          <w:szCs w:val="24"/>
        </w:rPr>
        <w:t xml:space="preserve"> canllawiau</w:t>
      </w:r>
      <w:r w:rsidR="002A41CF" w:rsidRPr="00F359A3">
        <w:rPr>
          <w:sz w:val="24"/>
          <w:szCs w:val="24"/>
        </w:rPr>
        <w:t xml:space="preserve"> BERA yn </w:t>
      </w:r>
      <w:r w:rsidR="00C23808" w:rsidRPr="00F359A3">
        <w:rPr>
          <w:sz w:val="24"/>
          <w:szCs w:val="24"/>
        </w:rPr>
        <w:t xml:space="preserve">dweud fod rhaid i ymchwilwyr addysgegol ystyried a dilyn y canllawiau i </w:t>
      </w:r>
      <w:r w:rsidR="008F5983" w:rsidRPr="00F359A3">
        <w:rPr>
          <w:sz w:val="24"/>
          <w:szCs w:val="24"/>
        </w:rPr>
        <w:t>fod yn foesegl trwy</w:t>
      </w:r>
      <w:r w:rsidR="00865145" w:rsidRPr="00F359A3">
        <w:rPr>
          <w:sz w:val="24"/>
          <w:szCs w:val="24"/>
        </w:rPr>
        <w:t>:</w:t>
      </w:r>
    </w:p>
    <w:p w14:paraId="45D357B4" w14:textId="0F4C7E08" w:rsidR="00865145" w:rsidRPr="00F359A3" w:rsidRDefault="00865145" w:rsidP="00F359A3">
      <w:pPr>
        <w:spacing w:line="360" w:lineRule="auto"/>
        <w:ind w:left="720"/>
        <w:rPr>
          <w:sz w:val="24"/>
          <w:szCs w:val="24"/>
        </w:rPr>
      </w:pPr>
      <w:r w:rsidRPr="00F359A3">
        <w:rPr>
          <w:sz w:val="24"/>
          <w:szCs w:val="24"/>
        </w:rPr>
        <w:t>-</w:t>
      </w:r>
      <w:r w:rsidR="008F5983" w:rsidRPr="00F359A3">
        <w:rPr>
          <w:sz w:val="24"/>
          <w:szCs w:val="24"/>
        </w:rPr>
        <w:t xml:space="preserve">derbyn caniatad a cydsyniad </w:t>
      </w:r>
    </w:p>
    <w:p w14:paraId="2E5886CE" w14:textId="6273CB56" w:rsidR="00865145" w:rsidRPr="00F359A3" w:rsidRDefault="00865145" w:rsidP="00F359A3">
      <w:pPr>
        <w:spacing w:line="360" w:lineRule="auto"/>
        <w:ind w:left="720"/>
        <w:rPr>
          <w:sz w:val="24"/>
          <w:szCs w:val="24"/>
        </w:rPr>
      </w:pPr>
      <w:r w:rsidRPr="00F359A3">
        <w:rPr>
          <w:sz w:val="24"/>
          <w:szCs w:val="24"/>
        </w:rPr>
        <w:t>-</w:t>
      </w:r>
      <w:r w:rsidR="00B26BBB" w:rsidRPr="00F359A3">
        <w:rPr>
          <w:sz w:val="24"/>
          <w:szCs w:val="24"/>
        </w:rPr>
        <w:t>bod yn dryloyw</w:t>
      </w:r>
      <w:r w:rsidR="00B26811" w:rsidRPr="00F359A3">
        <w:rPr>
          <w:sz w:val="24"/>
          <w:szCs w:val="24"/>
        </w:rPr>
        <w:t xml:space="preserve"> gyda cyfranogwyr</w:t>
      </w:r>
    </w:p>
    <w:p w14:paraId="0DA045C2" w14:textId="1538525F" w:rsidR="00B9286F" w:rsidRPr="00F359A3" w:rsidRDefault="00865145" w:rsidP="00F359A3">
      <w:pPr>
        <w:spacing w:line="360" w:lineRule="auto"/>
        <w:ind w:left="720"/>
        <w:rPr>
          <w:sz w:val="24"/>
          <w:szCs w:val="24"/>
        </w:rPr>
      </w:pPr>
      <w:r w:rsidRPr="00F359A3">
        <w:rPr>
          <w:sz w:val="24"/>
          <w:szCs w:val="24"/>
        </w:rPr>
        <w:t xml:space="preserve">-egluro’r hawl i dynnu allan </w:t>
      </w:r>
    </w:p>
    <w:p w14:paraId="78BCA171" w14:textId="1E97BD03" w:rsidR="001A455E" w:rsidRPr="00F359A3" w:rsidRDefault="001A455E" w:rsidP="00F359A3">
      <w:pPr>
        <w:spacing w:line="360" w:lineRule="auto"/>
        <w:ind w:left="720"/>
        <w:rPr>
          <w:sz w:val="24"/>
          <w:szCs w:val="24"/>
        </w:rPr>
      </w:pPr>
      <w:r w:rsidRPr="00F359A3">
        <w:rPr>
          <w:sz w:val="24"/>
          <w:szCs w:val="24"/>
        </w:rPr>
        <w:t>-</w:t>
      </w:r>
      <w:r w:rsidR="005D76D6" w:rsidRPr="00F359A3">
        <w:rPr>
          <w:sz w:val="24"/>
          <w:szCs w:val="24"/>
        </w:rPr>
        <w:t>-cyfrinachedd</w:t>
      </w:r>
    </w:p>
    <w:p w14:paraId="71425EF5" w14:textId="6D282209" w:rsidR="005D76D6" w:rsidRPr="00F359A3" w:rsidRDefault="005D76D6" w:rsidP="00F359A3">
      <w:pPr>
        <w:spacing w:line="360" w:lineRule="auto"/>
        <w:ind w:left="720"/>
        <w:rPr>
          <w:sz w:val="24"/>
          <w:szCs w:val="24"/>
        </w:rPr>
      </w:pPr>
      <w:r w:rsidRPr="00F359A3">
        <w:rPr>
          <w:sz w:val="24"/>
          <w:szCs w:val="24"/>
        </w:rPr>
        <w:t>(BERA, 20</w:t>
      </w:r>
      <w:r w:rsidR="006B5959" w:rsidRPr="00F359A3">
        <w:rPr>
          <w:sz w:val="24"/>
          <w:szCs w:val="24"/>
        </w:rPr>
        <w:t>18</w:t>
      </w:r>
      <w:r w:rsidRPr="00F359A3">
        <w:rPr>
          <w:sz w:val="24"/>
          <w:szCs w:val="24"/>
        </w:rPr>
        <w:t>)</w:t>
      </w:r>
    </w:p>
    <w:p w14:paraId="062810AD" w14:textId="77777777" w:rsidR="000272C9" w:rsidRPr="00F359A3" w:rsidRDefault="000272C9" w:rsidP="00F359A3">
      <w:pPr>
        <w:spacing w:line="360" w:lineRule="auto"/>
        <w:rPr>
          <w:sz w:val="24"/>
          <w:szCs w:val="24"/>
        </w:rPr>
      </w:pPr>
      <w:r w:rsidRPr="00F359A3">
        <w:rPr>
          <w:sz w:val="24"/>
          <w:szCs w:val="24"/>
        </w:rPr>
        <w:t>Mae bod yn foesegol yn hanfodol o fewn ymchwil addysg er mwyn sicrhau bod gan yr ymchwilydd hawl i gynnal yr ymchwil a sicrhau bod neb yn dioddef neu yn cael eu rhoi mewn pergl fel canlyniad i’r ymchwil (Khan, 2016). Felly mae’n hanfodol bod canllawiau BERA yn cael eu dilyn trwy gydol yr ymchwil.</w:t>
      </w:r>
    </w:p>
    <w:p w14:paraId="03E0D3E0" w14:textId="77777777" w:rsidR="0040797D" w:rsidRPr="00F359A3" w:rsidRDefault="0040797D" w:rsidP="00F359A3">
      <w:pPr>
        <w:spacing w:line="360" w:lineRule="auto"/>
        <w:rPr>
          <w:sz w:val="24"/>
          <w:szCs w:val="24"/>
        </w:rPr>
      </w:pPr>
      <w:r w:rsidRPr="00F359A3">
        <w:rPr>
          <w:sz w:val="24"/>
          <w:szCs w:val="24"/>
        </w:rPr>
        <w:t xml:space="preserve">Un o’r pethau roedd rhaid i mi ei ystyried wrth gynnal yr ymchwil oedd fy safleoldeb. Wrth ystyried ein salfeoldeb mae’n rhaid ystyried ein rol oferwn yr ymchwil ac ein perthynas gyda’r cyfranogwyr. Gall safleoldeb yr ymchwilydd effeithio’r ymchwil oherwydd gall rhagfarnau a thuedd cael eu creu fel canlyniad o wybodaeth flaenorol neu ddiffyg gwybodaeth flaenorol o’r cyfranogwyr a’r ymchwil (Bourke, 2014). Cytunir Rios &amp; Patel (2022) gyda hyn gan ychwanegu bod angen ystyried hil, dosbarth a rhywedd wrth ystyried safleoldeb o fewn ymchwil hefyd gan fod hyn yn gallu effeithio ein tuedd anymwybodol. </w:t>
      </w:r>
    </w:p>
    <w:p w14:paraId="1F02A7F2" w14:textId="77777777" w:rsidR="006C425E" w:rsidRPr="00F359A3" w:rsidRDefault="006C425E" w:rsidP="00F359A3">
      <w:pPr>
        <w:spacing w:line="360" w:lineRule="auto"/>
        <w:rPr>
          <w:sz w:val="24"/>
          <w:szCs w:val="24"/>
        </w:rPr>
      </w:pPr>
      <w:r w:rsidRPr="00F359A3">
        <w:rPr>
          <w:sz w:val="24"/>
          <w:szCs w:val="24"/>
        </w:rPr>
        <w:t xml:space="preserve">Wrth ystyried fy safleoldeb i, doeddwn i ddim yn adnabod y cyfranogwyr cyn yr ymchwil felly doeddwn i ddim hefo rhagfarn ohonynt. Roedd gennyf wybodaeth flaenorol o blant gydag awtistiaeth felly gall hyn fod wedi effeithio fy nhuedd anymwybodol ychydig. Roeddwn wedi bod yn yr ysgol ar brofiad addysgu am chwe wythnos dwy flynedd yn gynharach felly roeddwn yn adnabod rhywfaint o’r staff ond doedd dim ond perthynas sylfaenol roedd </w:t>
      </w:r>
      <w:r w:rsidRPr="00F359A3">
        <w:rPr>
          <w:sz w:val="24"/>
          <w:szCs w:val="24"/>
        </w:rPr>
        <w:lastRenderedPageBreak/>
        <w:t xml:space="preserve">gennym ni ac nid oedd unrhyw un roeddwn i wedi cyfarfod o’r blaen yn gyfranogwr i’r ymchwil. </w:t>
      </w:r>
    </w:p>
    <w:p w14:paraId="792E9F4F" w14:textId="77777777" w:rsidR="006C425E" w:rsidRPr="00F359A3" w:rsidRDefault="006C425E" w:rsidP="00F359A3">
      <w:pPr>
        <w:spacing w:line="360" w:lineRule="auto"/>
        <w:rPr>
          <w:sz w:val="24"/>
          <w:szCs w:val="24"/>
        </w:rPr>
      </w:pPr>
      <w:r w:rsidRPr="00F359A3">
        <w:rPr>
          <w:sz w:val="24"/>
          <w:szCs w:val="24"/>
        </w:rPr>
        <w:t>Er mwyn bod yn foesegol yn yr ymchwil mi wnes i lenwi ffurflen foeseg (cyfeiriwch at atodiad 4), lle mi wnes i esbonio popeth roeddwn i am ei neud, fel beth oedd pwrpas yr ymchwil, pwy fyddai’r cyfranogwyr, sut byddwn i’n casglu a chofnodi’r data, beth oedd fy nulliau ymchwil a sut roeddwn am gadw’r wybodaeth yn gyfrinachol.</w:t>
      </w:r>
    </w:p>
    <w:p w14:paraId="7645EE84" w14:textId="77777777" w:rsidR="008A2FBE" w:rsidRPr="00F359A3" w:rsidRDefault="008A2FBE" w:rsidP="00F359A3">
      <w:pPr>
        <w:spacing w:line="360" w:lineRule="auto"/>
        <w:rPr>
          <w:sz w:val="24"/>
          <w:szCs w:val="24"/>
        </w:rPr>
      </w:pPr>
      <w:r w:rsidRPr="00F359A3">
        <w:rPr>
          <w:sz w:val="24"/>
          <w:szCs w:val="24"/>
        </w:rPr>
        <w:t>Er mwyn cadw gwybodaeth am y cyfranwyr yn gyfrinachol rydw i wedi defnyddio ffugenwau megis Disgybl A a Disgybl B, a tydw i heb enwi’r aelodau staff na'r ysgol. Mae’n rhaid cadw popeth yn gyfrinachol er mwyn diogelu cyfranogwyr yn ogystal â’r ymchwilydd oherwydd os byddai gwybodaeth sensitif yn cael ei rannu fe allai arwain at achos cyfreithiol (Francis, 2008). Mae hyn yn bwysig er mwyn sicrhau bod neb yn gallu darganfod pwy oedd cyfranogwyr yr ymchwil a darganfod gwybodaeth bersonol amdanynt (BERA, 2018).</w:t>
      </w:r>
    </w:p>
    <w:p w14:paraId="4DC33BC8" w14:textId="77777777" w:rsidR="00327F96" w:rsidRPr="00F359A3" w:rsidRDefault="00327F96" w:rsidP="00F359A3">
      <w:pPr>
        <w:spacing w:line="360" w:lineRule="auto"/>
        <w:rPr>
          <w:sz w:val="24"/>
          <w:szCs w:val="24"/>
        </w:rPr>
      </w:pPr>
      <w:r w:rsidRPr="00F359A3">
        <w:rPr>
          <w:sz w:val="24"/>
          <w:szCs w:val="24"/>
        </w:rPr>
        <w:t>Yn ogystal, mi wnes i roi llythyr caniatâd (gweler atodiad 5) i rieni disgybl A a B er mwyn derbyn eu cydsyniad gan fod y dysgwyr methu rhoi caniatâd dros eu hunain oherwydd bod nhw rhy ifanc. Er mwyn derbyn caniatâd a ddau gynorthwyydd, mi wnes i egluro iddynt beth oedd yr ymchwil a gofyn a oedden nhw’n hapus i gymryd rhan. Mi wnes i egluro i bob cyfranogwr bod ganddynt yr hawl i dynnu’n ddol o’r ymchwil ar unrhyw bryd a gwnes i egluro’r broses i gyfrinachedd gan esbonio fy mod i ddim am ddefnyddio eu henwau o gwbl a bydd neb yn gweld y wybodaeth heblaw amdanaf i. Esboniais hefyd beth oedd pwrpas yr ymchwil gan egluro fy mod am ei ddefnyddio i ysgrifennu prosiect ymchwil ar gyfer fy aseiniad prifysgol. Roedd hyn i gyd yn unol gyda chanllawiau Bera (BERA 2018)</w:t>
      </w:r>
    </w:p>
    <w:p w14:paraId="75E1C6F3" w14:textId="2489991A" w:rsidR="00B5793D" w:rsidRPr="00F359A3" w:rsidRDefault="00CC1923" w:rsidP="00F359A3">
      <w:pPr>
        <w:spacing w:line="360" w:lineRule="auto"/>
        <w:rPr>
          <w:sz w:val="24"/>
          <w:szCs w:val="24"/>
        </w:rPr>
      </w:pPr>
      <w:r w:rsidRPr="00F359A3">
        <w:rPr>
          <w:sz w:val="24"/>
          <w:szCs w:val="24"/>
        </w:rPr>
        <w:t xml:space="preserve">Mae’r canfyddiadau ymchwil yn dangos </w:t>
      </w:r>
      <w:r w:rsidR="0069754C" w:rsidRPr="00F359A3">
        <w:rPr>
          <w:sz w:val="24"/>
          <w:szCs w:val="24"/>
        </w:rPr>
        <w:t>prif stratagethau ac ymyrraethau cyfathrebu sef:</w:t>
      </w:r>
    </w:p>
    <w:p w14:paraId="65F60DD9" w14:textId="1B91A56C" w:rsidR="0069754C" w:rsidRPr="00F359A3" w:rsidRDefault="0069754C" w:rsidP="00F359A3">
      <w:pPr>
        <w:spacing w:line="360" w:lineRule="auto"/>
        <w:rPr>
          <w:sz w:val="24"/>
          <w:szCs w:val="24"/>
        </w:rPr>
      </w:pPr>
      <w:r w:rsidRPr="00F359A3">
        <w:rPr>
          <w:sz w:val="24"/>
          <w:szCs w:val="24"/>
        </w:rPr>
        <w:t>-Cyfathrebu gweledol gyda cardiau lluniau a gwrthrychau</w:t>
      </w:r>
    </w:p>
    <w:p w14:paraId="04ADD359" w14:textId="17247573" w:rsidR="0069754C" w:rsidRPr="00F359A3" w:rsidRDefault="0069754C" w:rsidP="00F359A3">
      <w:pPr>
        <w:spacing w:line="360" w:lineRule="auto"/>
        <w:rPr>
          <w:sz w:val="24"/>
          <w:szCs w:val="24"/>
        </w:rPr>
      </w:pPr>
      <w:r w:rsidRPr="00F359A3">
        <w:rPr>
          <w:sz w:val="24"/>
          <w:szCs w:val="24"/>
        </w:rPr>
        <w:t xml:space="preserve">-Defnyddio geiriau </w:t>
      </w:r>
      <w:r w:rsidR="00D23F5A" w:rsidRPr="00F359A3">
        <w:rPr>
          <w:sz w:val="24"/>
          <w:szCs w:val="24"/>
        </w:rPr>
        <w:t>a iaith syml</w:t>
      </w:r>
    </w:p>
    <w:p w14:paraId="38688E7B" w14:textId="26965C46" w:rsidR="00731634" w:rsidRPr="00F359A3" w:rsidRDefault="0070250D" w:rsidP="00F359A3">
      <w:pPr>
        <w:spacing w:line="360" w:lineRule="auto"/>
        <w:rPr>
          <w:sz w:val="24"/>
          <w:szCs w:val="24"/>
        </w:rPr>
      </w:pPr>
      <w:r w:rsidRPr="00F359A3">
        <w:rPr>
          <w:sz w:val="24"/>
          <w:szCs w:val="24"/>
        </w:rPr>
        <w:t xml:space="preserve">Roedd y cynorthwyydd yn defnyddio cerdiau cyfathrebu a bag eitemau i ddangos i disgybl A beth oedd angen iddi wneud neu beth oedd yn digwydd nesaf. Roedd hyn yn gwneud cyfarwyddiadau yn llawer mwy clir i disgybl A a B gan bod eu sgiliau cyfathrebu yn gwan oherwydd eu awtistiaeth. Mae ymchwil wedi dangos fod defnyddio dull cyfathrebu gweledol megis cardiau lluniau i gyfathrebu gyda plant yn effeithiol wrth datblygu eu sgiliau </w:t>
      </w:r>
      <w:r w:rsidRPr="00F359A3">
        <w:rPr>
          <w:sz w:val="24"/>
          <w:szCs w:val="24"/>
        </w:rPr>
        <w:lastRenderedPageBreak/>
        <w:t xml:space="preserve">cyfathrebu yn ogystal a lleferydd a hefyd yn ogystal a gwella eu dealltwriaeth o beth mae rhywun yn trio dweud wrthynt (Gordon et al, 2011). Gwelais bod disgybl A a B yn cyfathrebu yn ol gyda’i chymhorthydd trwy defnyddio ystumiau megis nodio ei phen neu gwenu a roedd hyn yn dangos ei bod hi wedi deall ac yn hapus. </w:t>
      </w:r>
      <w:r w:rsidR="00BE48FE" w:rsidRPr="00F359A3">
        <w:rPr>
          <w:sz w:val="24"/>
          <w:szCs w:val="24"/>
        </w:rPr>
        <w:t xml:space="preserve">Mae’n hanfodol fod ffordd addas o gyfathrebu gyda dysgwyr ag awtistiaeth yn cael ei ddefnyddio er mwyn sicrhau eu bod nhw’n cael eu cynnwys, un o’r egwyddorion o’r cod anghenion dysgu ychwanegol yw bod addysg yn gynhwysol a bod staff yn adnabod, ymyrryd ac atal yn gynnar (Llywodraeth Cymru, 2021). Mae plant ag awtistiaeth yn llawer mwy sensitif i bethau sydd ddim yn mynd fel maen nhw wedi disgwyl neud fel maen nhw eisiau, mae hyn yn arwain at ymateb naturiol y corff o gwffio, dianc neu rewi, a gall hyn arwain at y plentyn yn mynd yn rhwystredig ac yn cael ‘meltown’ (Baker, 2008). Gall hyn cael ei achosi gan nifer o bethau megis trefn y dydd yn newid, sŵn uchel neu ddiffyg dealltwriaeth. </w:t>
      </w:r>
      <w:r w:rsidR="00182049" w:rsidRPr="00F359A3">
        <w:rPr>
          <w:sz w:val="24"/>
          <w:szCs w:val="24"/>
        </w:rPr>
        <w:t>Felly mae cyfathrebu yn glir yn hanfodol er mwyn osgoi’r ymddygiad yma a chadw’r dysgwyr yn hapus ac yn gyfforddus. Gyda disgybl A, roedd hi’n llawer hapusach pan oedd hi’n deall beth oedd yn digwydd a phan roedd popeth yn glir iddi. Roedd strategaethau cyfathrebu eraill hefyd yn cael eu defnyddio fel defnyddio geiriau syml a dealladwy a oedd yn gyfarwydd i’r disgybl i gyfathrebu, roedd hyn hefyd yn ffactor i reoli ei ymddygiad heriol gan fod cyfarwyddiadau yn fwy clir a hefyd roedd geiriau syml fel ‘no’ a ‘stop’ yn haws iddi ddeall.</w:t>
      </w:r>
    </w:p>
    <w:p w14:paraId="03203CA3" w14:textId="1FBE2478" w:rsidR="00613F1C" w:rsidRPr="00F359A3" w:rsidRDefault="005F305D" w:rsidP="00F359A3">
      <w:pPr>
        <w:spacing w:line="360" w:lineRule="auto"/>
        <w:rPr>
          <w:sz w:val="24"/>
          <w:szCs w:val="24"/>
        </w:rPr>
      </w:pPr>
      <w:r w:rsidRPr="00F359A3">
        <w:rPr>
          <w:sz w:val="24"/>
          <w:szCs w:val="24"/>
        </w:rPr>
        <w:t xml:space="preserve">Defnyddiais raddfa leuven i arsylwi disgybl A yn ystod ymyrraeth amser bwced. Wrth edrych ar batrwm y raddfa leuven, roedd ymgysylltiad a sylw disgybl A at weithgaredd yn cynyddu wrth i amser fynd yn ei flaen. Roedd disgybl A yn eistedd yn gwylio’r cynorthwyydd yn defnyddio’r gwrthrychau a’r teganau ac erbyn y diwedd roedd ei sylw llawn arni. Mae amser bwced yn ymyrraeth sy’n canolbwyntio ar ddatblygu sgiliau talu sylw a chanolbwyntio dysgwyr. Mae dysgwyr gydag awtistiaeth yn datblygu sgiliau talu sylw ar y cyd yn arafach, sgiliau talu sylw ar y cyd yw pan mae dau berson yn talu sylw at yr un peth ac yn rhannu hynny (Jones &amp; Carr, 2004). Arsylwais i fod yn ystod yr amser bwced roedd disgybl A yn talu sylw ar y gweithgaredd ac yn ymateb pan roedd y cynorthwyed yn arwain ei sylw at deganau neu wrthrychau gwahanol. Mae ymchwil wedi dangos fod ymyraethau sy’n canolbwyntio ar sylw yn effeithiol ar gyfer gwella sgiliau cymdeithasol ac ymddygiad dysgwyr ag awtistiaeth ac mae amser bwced yn enghraifft o hynny (Nye et al, 2016). </w:t>
      </w:r>
      <w:r w:rsidR="007578CE" w:rsidRPr="00F359A3">
        <w:rPr>
          <w:sz w:val="24"/>
          <w:szCs w:val="24"/>
        </w:rPr>
        <w:t xml:space="preserve">Roedd y staff hefyd yn manteisio ar ddod i adnabod y dysgwyr fel unigolion wrth gynllunio ar eu cyfer, er enghraifft </w:t>
      </w:r>
      <w:r w:rsidR="007578CE" w:rsidRPr="00F359A3">
        <w:rPr>
          <w:sz w:val="24"/>
          <w:szCs w:val="24"/>
        </w:rPr>
        <w:lastRenderedPageBreak/>
        <w:t>roedd yna raglen teledu benodol roedd dysgwr Ac yn hoffi felly roedd ei chynorthwywr yn addasu gwaith ar ei chyfer. Trwy wneud hyn, mae’r dysgwr yn fwy tebygol o fwynhau’r dasg ac felly bydd eu hymgysylltiad yn gryfach a ni fydd y dysgwr yn diflasu ac yn profi rhwystredigaeth fel canlyniad i ddiffyg symbyliad (Azevedo, 2012). Roedd y staff hefyd yn cymryd sylw o beth roedd y dysgwyr yn hoffi gwneud, er enghraifft celf a cherdd ac yn defnyddio hynna wrth greu tasgau i’r dysgwyr.</w:t>
      </w:r>
    </w:p>
    <w:p w14:paraId="127C179A" w14:textId="77777777" w:rsidR="00E00B66" w:rsidRPr="00F359A3" w:rsidRDefault="00E00B66" w:rsidP="00F359A3">
      <w:pPr>
        <w:spacing w:line="360" w:lineRule="auto"/>
        <w:rPr>
          <w:sz w:val="24"/>
          <w:szCs w:val="24"/>
        </w:rPr>
      </w:pPr>
      <w:r w:rsidRPr="00F359A3">
        <w:rPr>
          <w:sz w:val="24"/>
          <w:szCs w:val="24"/>
        </w:rPr>
        <w:t xml:space="preserve">Roedd canmol a modelu yn strategaeth a ddefnyddiwyd yn aml er mwyn atgyfnerthu ymddygiadau dymunol. Mae hyn yn gydfyd a theori Pavlov o gyflyru classurol sy’n awgrymu bod gwobrwyo a chanmol ymddygiad dymunol gan blant yn cyflyru nhw i ailadrodd yr ymddygiad yna yn y dyfodol (Rehman et al, 2017). Gellir gwneud hyn drwy ganmol gwaith da, ymddygiad da ac ymdrech da gyda geiriau positif, rhoi gwobr i’r disgybl, er enghraifft chwarae gem maen nhw’n hoffi neu wneud gweithgaredd maen nhw’n hoffi. Wrth wneud hyn mae’n bwysig esbonio beth mae’r dysgwr wedi ei wneud yn dda neud gwneud cysylltiad syml at y gwaith da wrth ganmol, mae hyn yn sicrhau fod y dysgwr wedi deall beth maen nhw wedi gwneud yn dda (Soenens &amp; Vansteenkiste, 2020). Er mwyn gwneud hyn, roedd y cynorthwyydd yn canmol Disgybl A a B wrth iddynt wneud rhywbeth, er enghraifft rhoi cot ymlaen heb ffws, roedd y cynorthwywyr yn dangos yn glir bod hyn yn gwneud nhw’n hapus a'i fod yn ymddygiad cadarnhaol. </w:t>
      </w:r>
    </w:p>
    <w:p w14:paraId="13698CCC" w14:textId="4F4A8CDF" w:rsidR="003733E4" w:rsidRPr="00F359A3" w:rsidRDefault="00614E50" w:rsidP="00F359A3">
      <w:pPr>
        <w:spacing w:line="360" w:lineRule="auto"/>
        <w:rPr>
          <w:sz w:val="24"/>
          <w:szCs w:val="24"/>
        </w:rPr>
      </w:pPr>
      <w:r w:rsidRPr="00F359A3">
        <w:rPr>
          <w:sz w:val="24"/>
          <w:szCs w:val="24"/>
        </w:rPr>
        <w:t>Wrth edrych ar yr ymchwil a wnes i, gallaf weld fod ymyraethau a strategaethau cyfathrebu ac ymddygiad ar gyfer plant ag awtistiaeth yn cael eu cynllunio yn seiliedig ar faterion cefndirol awtistiaeth (Bringell et al, 2018). Fel canlyniad i’r ymchwil o lenyddiaeth rydw i wedi gallu gweld fod ymyraethau a strategaethau gwahanol yn gweithio’n wahanol ar gyfer dysgwyr gwahanol ag awtistiaeth. Gan fod y ddau ddisgybl a ddefnyddiais yn fy ymchwil yn debyg iawn, ni welais wahaniaeth mawr yn yr ymyraethau a ddefnyddiwyd ar gyfer dysgwyr ag awtistiaeth, felly gall hyn effeithio gallu'r ymchwil i gael ei chyffredinoli.</w:t>
      </w:r>
      <w:r w:rsidRPr="00F359A3">
        <w:rPr>
          <w:sz w:val="24"/>
          <w:szCs w:val="24"/>
        </w:rPr>
        <w:t xml:space="preserve"> </w:t>
      </w:r>
      <w:r w:rsidR="00D12683" w:rsidRPr="00F359A3">
        <w:rPr>
          <w:sz w:val="24"/>
          <w:szCs w:val="24"/>
        </w:rPr>
        <w:t xml:space="preserve">Defnyddiais sampl bychan iawn o gyfranogwyr yn yr ymchwil (roedd hyn fel canlyniad i’r disgyblion oedd yn fy ysgol profiad dewisol) felly er mwyn gwneud yr ymchwil yn fwy dibynadwy a dilys buaswn yn cynnal yr ymchwil ar raddfa fwy a defnyddio sampl mwy o blant ar ardaloedd gwahanol o’r sbectrwm awtistiaeth, gan fod yn sbectrwm mor eang, fe fyddai hyn wedi bod yn ddefnyddiol er mwyn casglu mwy o ddata a gweld gwahanol ymyraethau a strategaethau a’u cymharu (Boddy, 2016). Mae Boddy hefyd yn awgrymu bod sample bychan yn gallu bod yn </w:t>
      </w:r>
      <w:r w:rsidR="00D12683" w:rsidRPr="00F359A3">
        <w:rPr>
          <w:sz w:val="24"/>
          <w:szCs w:val="24"/>
        </w:rPr>
        <w:lastRenderedPageBreak/>
        <w:t xml:space="preserve">effeithiol er mwyn edrych ar achosion yn fanylach, mae hyn hefyd yn addas ar gyfer astudiaeth achos oherwydd mae astudiaeth achos yn caniatau i ymchwilydd edrych ar un uned yn fanwl, yn yr achos yma, y ddau ddisgybl oedd hynny (Heale &amp; Twycross, 2017). </w:t>
      </w:r>
      <w:r w:rsidR="00E117E0" w:rsidRPr="00F359A3">
        <w:rPr>
          <w:sz w:val="24"/>
          <w:szCs w:val="24"/>
        </w:rPr>
        <w:t>Felly, buaswn yn edrych ar grŵp ychydig yn fwy tro nesaf er mwyn gallu ymchwilio i mewn i ddysgwyr ar ardaloedd gwahanol o’r sbectrwm awtistiaeth. Gweithiodd fy nulliau ymchwil yn dda er mwyn cael gwybodaeth fanwl gan y cynorthwywyr a hefyd cael cyfle i weld ymyraethau a strategaethau ar waith ac yna holi staff yn seiliedig ar rhai pethau oeddwn wedi ei weld. Gweithiodd y raddfa leuven yn dda er mwyn gweld pa mor effeithiol oedd yr ymyrraeth bwced yn dal sylw disgybl A ac felly pa mor effeithiol oedd o.</w:t>
      </w:r>
    </w:p>
    <w:p w14:paraId="0733A166" w14:textId="69C1915B" w:rsidR="009801BB" w:rsidRPr="00F359A3" w:rsidRDefault="006E2D25" w:rsidP="00F359A3">
      <w:pPr>
        <w:spacing w:line="360" w:lineRule="auto"/>
        <w:rPr>
          <w:sz w:val="24"/>
          <w:szCs w:val="24"/>
        </w:rPr>
      </w:pPr>
      <w:r w:rsidRPr="00F359A3">
        <w:rPr>
          <w:sz w:val="24"/>
          <w:szCs w:val="24"/>
        </w:rPr>
        <w:t>Yn y dyfodol, hoffwn ddefnyddio ymyrraeth bwced a chardiau lluniau pe byddwn yn dysgu plentyn ag awtistiaeth oherwydd hoffwn weld sut effaith byddai hyn yn cael ar y dysgwr dros gyfnod o amser. Fodd bynnag, mae’n bosib ni fyddai hyn yn bosib ar PAP3 os na fydd yna blentyn ag awtistiaeth yn y dosbarth. Felly hoffwn dalu sylw i sut mae canmoliaeth a chyflyru clasurol yn gweithio o fewn y dosbarth gyda dysgwyr gyda ADY neu gyda dysgwyr yn gyffredinol. Hoffwn edrych ar sut mae hyn yn atgyfnerthu ymddygiad heriol sy’n cael ei achosi gan nifer o ffactorau. Credaf y gallai fwy o ymchwil gael ei wneud i mewn i’r ymyrraeth amser bwced a sut effaith mae’n ei gael ar ddysgwyr ag awtistiaeth yn hir dymor, cefais drafferth yn ffeindio lot o wybodaeth ar hyn felly mae’n amlwg i mi fod mwy o ymchwil i’w cael ei wneud. Er hyn, darganfyddai llawer am wreiddiau’r ymyrraeth a sut mae wedi ei seilio talu sylw ar y cyd.</w:t>
      </w:r>
    </w:p>
    <w:p w14:paraId="6BFF93F6" w14:textId="77777777" w:rsidR="0089389F" w:rsidRDefault="0089389F" w:rsidP="009A77E5">
      <w:pPr>
        <w:rPr>
          <w:b/>
          <w:bCs/>
          <w:u w:val="single"/>
        </w:rPr>
      </w:pPr>
    </w:p>
    <w:p w14:paraId="06939C97" w14:textId="77777777" w:rsidR="0089389F" w:rsidRPr="0089389F" w:rsidRDefault="0089389F" w:rsidP="009A77E5">
      <w:pPr>
        <w:rPr>
          <w:b/>
          <w:bCs/>
          <w:u w:val="single"/>
        </w:rPr>
      </w:pPr>
    </w:p>
    <w:p w14:paraId="0F22EBDF" w14:textId="77777777" w:rsidR="00F7109F" w:rsidRDefault="00F7109F"/>
    <w:p w14:paraId="4F29406E" w14:textId="77777777" w:rsidR="00265FF3" w:rsidRDefault="00265FF3"/>
    <w:p w14:paraId="5D9C6337" w14:textId="77777777" w:rsidR="006E2D25" w:rsidRDefault="006E2D25"/>
    <w:p w14:paraId="6684CFEC" w14:textId="77777777" w:rsidR="006E2D25" w:rsidRDefault="006E2D25"/>
    <w:p w14:paraId="23C16ED9" w14:textId="77777777" w:rsidR="006E2D25" w:rsidRDefault="006E2D25"/>
    <w:p w14:paraId="255B4DD2" w14:textId="77777777" w:rsidR="006E2D25" w:rsidRDefault="006E2D25"/>
    <w:p w14:paraId="397EF519" w14:textId="77777777" w:rsidR="006E2D25" w:rsidRDefault="006E2D25"/>
    <w:p w14:paraId="10AA4C2B" w14:textId="77777777" w:rsidR="006E2D25" w:rsidRDefault="006E2D25"/>
    <w:p w14:paraId="4ED2D10B" w14:textId="77777777" w:rsidR="006E2D25" w:rsidRDefault="006E2D25"/>
    <w:p w14:paraId="2432E22B" w14:textId="77777777" w:rsidR="00F359A3" w:rsidRDefault="00F359A3"/>
    <w:p w14:paraId="661393F0" w14:textId="77777777" w:rsidR="00F359A3" w:rsidRDefault="00F359A3"/>
    <w:p w14:paraId="3F887A96" w14:textId="4F1B5187" w:rsidR="006E2D25" w:rsidRDefault="006E2D25">
      <w:r>
        <w:t>Rhestr gyfeirnodi:</w:t>
      </w:r>
    </w:p>
    <w:p w14:paraId="38725FF8" w14:textId="77777777" w:rsidR="006E2D25" w:rsidRDefault="006E2D25" w:rsidP="0064398A">
      <w:pPr>
        <w:spacing w:before="240"/>
      </w:pPr>
      <w:r>
        <w:t xml:space="preserve">Azevedo (2012), </w:t>
      </w:r>
      <w:r w:rsidRPr="008E1822">
        <w:t>The Tailored Practice of Hobbies and Its Implication for the Design of Interest-Driven Learning Environments</w:t>
      </w:r>
      <w:r>
        <w:t xml:space="preserve"> (ar lein), ar gael yn: </w:t>
      </w:r>
      <w:r>
        <w:fldChar w:fldCharType="begin"/>
      </w:r>
      <w:r>
        <w:instrText>HYPERLINK "https://www.tandfonline.com/doi/full/10.1080/10508406.2012.730082"</w:instrText>
      </w:r>
      <w:r>
        <w:fldChar w:fldCharType="separate"/>
      </w:r>
      <w:r>
        <w:rPr>
          <w:rStyle w:val="Hyperlink"/>
        </w:rPr>
        <w:t>Full article: The Tailored Practice of Hobbies and Its Implication for the Design of Interest-Driven Learning Environments (tandfonline.com)</w:t>
      </w:r>
      <w:r>
        <w:fldChar w:fldCharType="end"/>
      </w:r>
      <w:r>
        <w:t xml:space="preserve"> (cyrchwyd: 02/01/2024)</w:t>
      </w:r>
    </w:p>
    <w:p w14:paraId="16D87374" w14:textId="77777777" w:rsidR="006E2D25" w:rsidRDefault="006E2D25" w:rsidP="0064398A">
      <w:pPr>
        <w:spacing w:before="240"/>
      </w:pPr>
      <w:r>
        <w:t xml:space="preserve">Baker (2008), Positive stratergies for managing and preventing out of control behaviours (ar lein), ar gael yn: </w:t>
      </w:r>
      <w:hyperlink r:id="rId6" w:anchor="v=onepage&amp;q=preventing%20autistic%20meltdowns&amp;f=false" w:history="1">
        <w:r w:rsidRPr="00A14C5C">
          <w:rPr>
            <w:color w:val="0000FF"/>
            <w:u w:val="single"/>
          </w:rPr>
          <w:t>No More Meltdowns: Positive Strategies for Managing and Preventing Out-Of ... - Jed Baker - Google Books</w:t>
        </w:r>
      </w:hyperlink>
      <w:r>
        <w:t xml:space="preserve"> (Cyrchwyd: 02/01/2024)</w:t>
      </w:r>
    </w:p>
    <w:p w14:paraId="08D1F220" w14:textId="77777777" w:rsidR="006E2D25" w:rsidRDefault="006E2D25" w:rsidP="00C30A49">
      <w:r>
        <w:t xml:space="preserve">BERA (2018), ETHICAL GUIDELINES FOR EDUCATIONAL RESEARCH, fourth edition, London (ar lein), ar gael yn: </w:t>
      </w:r>
      <w:r>
        <w:fldChar w:fldCharType="begin"/>
      </w:r>
      <w:r>
        <w:instrText>HYPERLINK "file:///C:\\Users\\mared\\Downloads\\BERA-Ethical-Guidelines-for-Educational-Research_4thEdn_2018.pdf"</w:instrText>
      </w:r>
      <w:r>
        <w:fldChar w:fldCharType="separate"/>
      </w:r>
      <w:r w:rsidRPr="00AF538B">
        <w:rPr>
          <w:color w:val="0000FF"/>
          <w:u w:val="single"/>
        </w:rPr>
        <w:t>BERA-Ethical-Guidelines-for-Educational-Research_4thEdn_2018.pdf</w:t>
      </w:r>
      <w:r>
        <w:rPr>
          <w:color w:val="0000FF"/>
          <w:u w:val="single"/>
        </w:rPr>
        <w:fldChar w:fldCharType="end"/>
      </w:r>
      <w:r>
        <w:t xml:space="preserve"> (cyrchwyd: 23/12/23)</w:t>
      </w:r>
    </w:p>
    <w:p w14:paraId="794265F3" w14:textId="77777777" w:rsidR="006E2D25" w:rsidRDefault="006E2D25" w:rsidP="00061514">
      <w:pPr>
        <w:spacing w:before="240"/>
      </w:pPr>
      <w:r>
        <w:t xml:space="preserve">BERA (2018), </w:t>
      </w:r>
      <w:r w:rsidRPr="006B5959">
        <w:t>Ethical Guidelines for Educational Research, fourth edition</w:t>
      </w:r>
      <w:r>
        <w:t xml:space="preserve"> (Ar lein), ar gael yn: </w:t>
      </w:r>
      <w:hyperlink r:id="rId7" w:history="1">
        <w:r>
          <w:rPr>
            <w:rStyle w:val="Hyperlink"/>
          </w:rPr>
          <w:t>Ethical Guidelines for Educational Research, fourth edition (2018) | BERA</w:t>
        </w:r>
      </w:hyperlink>
      <w:r>
        <w:t xml:space="preserve"> (cyrchwyd: 03/01/2024) </w:t>
      </w:r>
    </w:p>
    <w:p w14:paraId="034E218E" w14:textId="77777777" w:rsidR="006E2D25" w:rsidRDefault="006E2D25" w:rsidP="00061514">
      <w:pPr>
        <w:spacing w:before="240"/>
      </w:pPr>
      <w:r>
        <w:t xml:space="preserve">Bloom &amp; Crabtree (2006), </w:t>
      </w:r>
      <w:r w:rsidRPr="000F75C2">
        <w:t>The qualitative research interview</w:t>
      </w:r>
      <w:r>
        <w:t xml:space="preserve"> (ar lein), ar gael yn: </w:t>
      </w:r>
      <w:r>
        <w:fldChar w:fldCharType="begin"/>
      </w:r>
      <w:r>
        <w:instrText>HYPERLINK "https://asmepublications.onlinelibrary.wiley.com/doi/full/10.1111/j.1365-2929.2006.02418.x"</w:instrText>
      </w:r>
      <w:r>
        <w:fldChar w:fldCharType="separate"/>
      </w:r>
      <w:r>
        <w:rPr>
          <w:rStyle w:val="Hyperlink"/>
        </w:rPr>
        <w:t>The qualitative research interview - DiCicco‐Bloom - 2006 - Medical Education - Wiley Online Library</w:t>
      </w:r>
      <w:r>
        <w:fldChar w:fldCharType="end"/>
      </w:r>
      <w:r>
        <w:t xml:space="preserve"> (cyrchwyd: 03/01/2024)</w:t>
      </w:r>
    </w:p>
    <w:p w14:paraId="6769E4E1" w14:textId="77777777" w:rsidR="006E2D25" w:rsidRPr="00D32491" w:rsidRDefault="006E2D25" w:rsidP="00D32491">
      <w:pPr>
        <w:spacing w:before="240"/>
        <w:rPr>
          <w:lang w:val="en-GB"/>
        </w:rPr>
      </w:pPr>
      <w:r>
        <w:t xml:space="preserve">Boddy (2016), </w:t>
      </w:r>
      <w:r w:rsidRPr="00D32491">
        <w:rPr>
          <w:lang w:val="en-GB"/>
        </w:rPr>
        <w:t>Sample size for qualitative research</w:t>
      </w:r>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8" w:history="1">
        <w:r>
          <w:rPr>
            <w:rStyle w:val="Hyperlink"/>
          </w:rPr>
          <w:t>Sample size for qualitative research | Emerald Insight</w:t>
        </w:r>
      </w:hyperlink>
      <w:r>
        <w:t xml:space="preserve"> (cyrchwyd: 02/01/2024)</w:t>
      </w:r>
    </w:p>
    <w:p w14:paraId="647E7098" w14:textId="77777777" w:rsidR="006E2D25" w:rsidRDefault="006E2D25" w:rsidP="0064398A">
      <w:pPr>
        <w:spacing w:before="240"/>
      </w:pPr>
      <w:r>
        <w:t xml:space="preserve">Bourke (2014), </w:t>
      </w:r>
      <w:r w:rsidRPr="006C3098">
        <w:t>Positionality: Reflecting on the Research Process</w:t>
      </w:r>
      <w:r>
        <w:t xml:space="preserve">, </w:t>
      </w:r>
      <w:r w:rsidRPr="00D02209">
        <w:t>Murray State University</w:t>
      </w:r>
      <w:r>
        <w:t xml:space="preserve"> (ar lein), ar gael yn: </w:t>
      </w:r>
      <w:hyperlink r:id="rId9" w:history="1">
        <w:r>
          <w:rPr>
            <w:rStyle w:val="Hyperlink"/>
          </w:rPr>
          <w:t>Positionality: Reflecting on the Research Process (core.ac.uk)</w:t>
        </w:r>
      </w:hyperlink>
      <w:r>
        <w:t xml:space="preserve"> (cyrchwyd: 03/01/2024)</w:t>
      </w:r>
    </w:p>
    <w:p w14:paraId="61B2546E" w14:textId="77777777" w:rsidR="006E2D25" w:rsidRDefault="006E2D25" w:rsidP="00C30A49">
      <w:r>
        <w:t xml:space="preserve">Bringell et al (2018), </w:t>
      </w:r>
      <w:r w:rsidRPr="000D05AB">
        <w:t>Communication interventions for autism spectrum disorder in minimally verbal children</w:t>
      </w:r>
      <w:r>
        <w:t xml:space="preserve"> (ar lein), ar gael yn: </w:t>
      </w:r>
      <w:r>
        <w:fldChar w:fldCharType="begin"/>
      </w:r>
      <w:r>
        <w:instrText>HYPERLINK "https://www.cochranelibrary.com/cdsr/doi/10.1002/14651858.CD012324.pub2/full"</w:instrText>
      </w:r>
      <w:r>
        <w:fldChar w:fldCharType="separate"/>
      </w:r>
      <w:r>
        <w:rPr>
          <w:rStyle w:val="Hyperlink"/>
        </w:rPr>
        <w:t>Communication interventions for autism spectrum disorder in minimally verbal children - Brignell, A - 2018 | Cochrane Library</w:t>
      </w:r>
      <w:r>
        <w:rPr>
          <w:rStyle w:val="Hyperlink"/>
        </w:rPr>
        <w:fldChar w:fldCharType="end"/>
      </w:r>
      <w:r>
        <w:t xml:space="preserve"> (cyrchwyd: 23/12/23) </w:t>
      </w:r>
    </w:p>
    <w:p w14:paraId="115DD84E" w14:textId="77777777" w:rsidR="006E2D25" w:rsidRDefault="006E2D25" w:rsidP="00061514">
      <w:pPr>
        <w:spacing w:before="240"/>
      </w:pPr>
      <w:r>
        <w:t xml:space="preserve">Brinkmann (2014), The Oxford Handbook of Qualitative Research (ar lein), ar gael yn: </w:t>
      </w:r>
      <w:r>
        <w:fldChar w:fldCharType="begin"/>
      </w:r>
      <w:r>
        <w:instrText>HYPERLINK "https://books.google.co.uk/books?hl=en&amp;lr=&amp;id=n771DwAAQBAJ&amp;oi=fnd&amp;pg=PA424&amp;dq=advantages+and+disadvantages+of+semi+structured+interviews&amp;ots=nRGslSru9D&amp;sig=ROmRgzKcxhI1_26gy4LNsfyIXKU" \l "v=onepage&amp;q&amp;f=false"</w:instrText>
      </w:r>
      <w:r>
        <w:fldChar w:fldCharType="separate"/>
      </w:r>
      <w:r>
        <w:rPr>
          <w:rStyle w:val="Hyperlink"/>
        </w:rPr>
        <w:t>The Oxford Handbook of Qualitative Research - Patricia Leavy - Google Books</w:t>
      </w:r>
      <w:r>
        <w:rPr>
          <w:rStyle w:val="Hyperlink"/>
        </w:rPr>
        <w:fldChar w:fldCharType="end"/>
      </w:r>
      <w:r>
        <w:t xml:space="preserve"> (cyrchwyd: 03/01/24)</w:t>
      </w:r>
    </w:p>
    <w:p w14:paraId="583FE1BB" w14:textId="77777777" w:rsidR="006E2D25" w:rsidRDefault="006E2D25" w:rsidP="009613DF">
      <w:pPr>
        <w:spacing w:before="240"/>
      </w:pPr>
      <w:r>
        <w:t xml:space="preserve">Brock et al (2010), ADHD: Classroom interventions, California State University (ar lein), ar gael yn: </w:t>
      </w:r>
      <w:r>
        <w:fldChar w:fldCharType="begin"/>
      </w:r>
      <w:r>
        <w:instrText>HYPERLINK "https://www.miottawa.org/health/cmh/pdf/brains/Attention%20and%20Executive%20Function/ADHD%20Resources/ADHD%20Classroom%20Interventions.pdf"</w:instrText>
      </w:r>
      <w:r>
        <w:fldChar w:fldCharType="separate"/>
      </w:r>
      <w:r w:rsidRPr="009613DF">
        <w:rPr>
          <w:rStyle w:val="Hyperlink"/>
        </w:rPr>
        <w:t>ADHD Classroom Interventions.pdf (miottawa.org)</w:t>
      </w:r>
      <w:r>
        <w:rPr>
          <w:rStyle w:val="Hyperlink"/>
        </w:rPr>
        <w:fldChar w:fldCharType="end"/>
      </w:r>
      <w:r>
        <w:t xml:space="preserve"> (cyrchwyd: 14/11/23)</w:t>
      </w:r>
    </w:p>
    <w:p w14:paraId="25C3A205" w14:textId="77777777" w:rsidR="006E2D25" w:rsidRDefault="006E2D25" w:rsidP="00061514">
      <w:pPr>
        <w:spacing w:before="240"/>
      </w:pPr>
      <w:r>
        <w:t xml:space="preserve">Brown &amp; Danaher (2017), </w:t>
      </w:r>
      <w:r w:rsidRPr="00DF181E">
        <w:t>CHE Principles: facilitating authentic and dialogical semi-structured interviews in educational research</w:t>
      </w:r>
      <w:r>
        <w:t xml:space="preserve"> (ar lein), ar gael yn: </w:t>
      </w:r>
      <w:r>
        <w:fldChar w:fldCharType="begin"/>
      </w:r>
      <w:r>
        <w:instrText>HYPERLINK "https://www.tandfonline.com/doi/full/10.1080/1743727X.2017.1379987?scroll=top&amp;needAccess=true"</w:instrText>
      </w:r>
      <w:r>
        <w:fldChar w:fldCharType="separate"/>
      </w:r>
      <w:r>
        <w:rPr>
          <w:rStyle w:val="Hyperlink"/>
        </w:rPr>
        <w:t>Full article: CHE Principles: facilitating authentic and dialogical semi-structured interviews in educational research (tandfonline.com)</w:t>
      </w:r>
      <w:r>
        <w:rPr>
          <w:rStyle w:val="Hyperlink"/>
        </w:rPr>
        <w:fldChar w:fldCharType="end"/>
      </w:r>
      <w:r>
        <w:t xml:space="preserve"> (cyrchwyd: 03/01/24)</w:t>
      </w:r>
    </w:p>
    <w:p w14:paraId="5D2B608C" w14:textId="77777777" w:rsidR="006E2D25" w:rsidRDefault="006E2D25">
      <w:r>
        <w:t xml:space="preserve">Comisiynydd Plant Cymru (2013), Hawliau plant, ar gael yn: </w:t>
      </w:r>
      <w:r>
        <w:fldChar w:fldCharType="begin"/>
      </w:r>
      <w:r>
        <w:instrText>HYPERLINK "https://www.complantcymru.org.uk/ccuhp-hawliau-plant/ccuhp/"</w:instrText>
      </w:r>
      <w:r>
        <w:fldChar w:fldCharType="separate"/>
      </w:r>
      <w:r>
        <w:rPr>
          <w:rStyle w:val="Hyperlink"/>
        </w:rPr>
        <w:t>CCUHP - Children’s Commissioner for Wales (complantcymru.org.uk)</w:t>
      </w:r>
      <w:r>
        <w:rPr>
          <w:rStyle w:val="Hyperlink"/>
        </w:rPr>
        <w:fldChar w:fldCharType="end"/>
      </w:r>
      <w:r>
        <w:t xml:space="preserve"> (cyrchwyd:15/11/23)</w:t>
      </w:r>
    </w:p>
    <w:p w14:paraId="6423C6AE" w14:textId="77777777" w:rsidR="006E2D25" w:rsidRDefault="006E2D25" w:rsidP="00C30A49">
      <w:r>
        <w:t xml:space="preserve">Estyn (2023), A report on </w:t>
      </w:r>
      <w:r w:rsidRPr="001818C3">
        <w:rPr>
          <w:color w:val="000000" w:themeColor="text1"/>
          <w:highlight w:val="black"/>
        </w:rPr>
        <w:t>Ysgol Gynradd Penparc</w:t>
      </w:r>
      <w:r w:rsidRPr="001818C3">
        <w:rPr>
          <w:color w:val="000000" w:themeColor="text1"/>
        </w:rPr>
        <w:t xml:space="preserve"> </w:t>
      </w:r>
      <w:r>
        <w:t xml:space="preserve">(ar lein), ar gael yn: </w:t>
      </w:r>
      <w:r>
        <w:fldChar w:fldCharType="begin"/>
      </w:r>
      <w:r>
        <w:instrText>HYPERLINK "https://www.estyn.gov.wales/system/files/2023-05/Inspection%20report%20Ysgol%20Gynradd%20Penparc%202023_0.pdf"</w:instrText>
      </w:r>
      <w:r>
        <w:fldChar w:fldCharType="separate"/>
      </w:r>
      <w:r w:rsidRPr="00D8364F">
        <w:rPr>
          <w:color w:val="0000FF"/>
          <w:u w:val="single"/>
        </w:rPr>
        <w:t xml:space="preserve">Inspection report </w:t>
      </w:r>
      <w:r w:rsidRPr="00D8364F">
        <w:rPr>
          <w:color w:val="000000" w:themeColor="text1"/>
          <w:highlight w:val="black"/>
          <w:u w:val="single"/>
        </w:rPr>
        <w:t>Ysgol Gynradd</w:t>
      </w:r>
      <w:r w:rsidRPr="00D8364F">
        <w:rPr>
          <w:color w:val="0000FF"/>
          <w:u w:val="single"/>
        </w:rPr>
        <w:t xml:space="preserve"> </w:t>
      </w:r>
      <w:r w:rsidRPr="00D8364F">
        <w:rPr>
          <w:color w:val="000000" w:themeColor="text1"/>
          <w:highlight w:val="black"/>
          <w:u w:val="single"/>
        </w:rPr>
        <w:t>Penparc</w:t>
      </w:r>
      <w:r w:rsidRPr="00D8364F">
        <w:rPr>
          <w:color w:val="0000FF"/>
          <w:u w:val="single"/>
        </w:rPr>
        <w:t xml:space="preserve"> 2023 (gov.wales)</w:t>
      </w:r>
      <w:r>
        <w:rPr>
          <w:color w:val="0000FF"/>
          <w:u w:val="single"/>
        </w:rPr>
        <w:fldChar w:fldCharType="end"/>
      </w:r>
      <w:r>
        <w:t xml:space="preserve"> (cyrchwyd: 23/12/23)</w:t>
      </w:r>
    </w:p>
    <w:p w14:paraId="4B89E9A9" w14:textId="77777777" w:rsidR="006E2D25" w:rsidRDefault="006E2D25" w:rsidP="00C30A49">
      <w:r>
        <w:lastRenderedPageBreak/>
        <w:t xml:space="preserve">Flyvbjerg (2011), The Sage Handbook of Qualitive Research, Case Study (Ar lein), ar gael yn: </w:t>
      </w:r>
      <w:r>
        <w:fldChar w:fldCharType="begin"/>
      </w:r>
      <w:r>
        <w:instrText>HYPERLINK "https://books.google.co.uk/books?hl=en&amp;lr=&amp;id=AIRpMHgBYqIC&amp;oi=fnd&amp;pg=PA301&amp;dq=what+is+a+case+study&amp;ots=kqzOBGctk9&amp;sig=QfdmCM8FA6fZ0mjwI58SBvdYYSE" \l "v=onepage&amp;q=what%20is%20a%20case%20study&amp;f=false"</w:instrText>
      </w:r>
      <w:r>
        <w:fldChar w:fldCharType="separate"/>
      </w:r>
      <w:r>
        <w:rPr>
          <w:rStyle w:val="Hyperlink"/>
        </w:rPr>
        <w:t>The SAGE Handbook of Qualitative Research - Google Books</w:t>
      </w:r>
      <w:r>
        <w:rPr>
          <w:rStyle w:val="Hyperlink"/>
        </w:rPr>
        <w:fldChar w:fldCharType="end"/>
      </w:r>
      <w:r>
        <w:t xml:space="preserve"> (cyrchwyd: 3/01/24)</w:t>
      </w:r>
    </w:p>
    <w:p w14:paraId="04D5DA2E" w14:textId="77777777" w:rsidR="006E2D25" w:rsidRDefault="006E2D25" w:rsidP="0064398A">
      <w:pPr>
        <w:spacing w:before="240"/>
      </w:pPr>
      <w:r>
        <w:t xml:space="preserve">Francis (2008), </w:t>
      </w:r>
      <w:r w:rsidRPr="00993BA2">
        <w:t>Privacy and Confidentiality: The Importance of Context</w:t>
      </w:r>
      <w:r>
        <w:t xml:space="preserve">, Oxord university press (ar lein), ar gael yn: </w:t>
      </w:r>
      <w:hyperlink r:id="rId10" w:history="1">
        <w:r>
          <w:rPr>
            <w:rStyle w:val="Hyperlink"/>
          </w:rPr>
          <w:t>Privacy and Confidentiality: The Importance of Context on JSTOR</w:t>
        </w:r>
      </w:hyperlink>
      <w:r>
        <w:t xml:space="preserve"> (cyrchwyd: 02/01/2024)</w:t>
      </w:r>
    </w:p>
    <w:p w14:paraId="1B1FCBC3" w14:textId="77777777" w:rsidR="006E2D25" w:rsidRDefault="006E2D25" w:rsidP="00C30A49">
      <w:r>
        <w:t xml:space="preserve">Gerring (2004), </w:t>
      </w:r>
      <w:r w:rsidRPr="00AF52DE">
        <w:t>What Is a Case Study and What Is It Good for?</w:t>
      </w:r>
      <w:r>
        <w:t xml:space="preserve">, Cambridge University (Ar lein), ar gael yn: </w:t>
      </w:r>
      <w:r>
        <w:fldChar w:fldCharType="begin"/>
      </w:r>
      <w:r>
        <w:instrText>HYPERLINK "https://www.cambridge.org/core/journals/american-political-science-review/article/what-is-a-case-study-and-what-is-it-good-for/C5B2D9930B94600EC0DAC93EB2361863"</w:instrText>
      </w:r>
      <w:r>
        <w:fldChar w:fldCharType="separate"/>
      </w:r>
      <w:r w:rsidRPr="008E1BEB">
        <w:rPr>
          <w:color w:val="0000FF"/>
          <w:u w:val="single"/>
        </w:rPr>
        <w:t>What Is a Case Study and What Is It Good for? | American Political Science Review | Cambridge Core</w:t>
      </w:r>
      <w:r>
        <w:rPr>
          <w:color w:val="0000FF"/>
          <w:u w:val="single"/>
        </w:rPr>
        <w:fldChar w:fldCharType="end"/>
      </w:r>
      <w:r>
        <w:t xml:space="preserve"> (cyrchwyd: 03/01/24)</w:t>
      </w:r>
    </w:p>
    <w:p w14:paraId="2DD8C265" w14:textId="77777777" w:rsidR="006E2D25" w:rsidRDefault="006E2D25" w:rsidP="0064398A">
      <w:pPr>
        <w:spacing w:before="240"/>
      </w:pPr>
      <w:r>
        <w:t xml:space="preserve">Gordon et al (2011),  </w:t>
      </w:r>
      <w:r>
        <w:t>Communication-Based Intervention for Nonverbal Children With Autism: What Changes? Who Benefits?</w:t>
      </w:r>
      <w:r>
        <w:t xml:space="preserve"> (ar lein), ar gael yn: </w:t>
      </w:r>
      <w:r>
        <w:fldChar w:fldCharType="begin"/>
      </w:r>
      <w:r>
        <w:instrText>HYPERLINK "https://web-p-ebscohost-com.ezproxy.uwtsd.ac.uk/ehost/pdfviewer/pdfviewer?vid=0&amp;sid=79c33900-81ff-4592-8a04-d3bc8d3acb76%40redis"</w:instrText>
      </w:r>
      <w:r>
        <w:fldChar w:fldCharType="separate"/>
      </w:r>
      <w:r>
        <w:rPr>
          <w:rStyle w:val="Hyperlink"/>
        </w:rPr>
        <w:t>A communication-based intervention for nonverbal children with autism: What...: EBSCOhost (uwtsd.ac.uk)</w:t>
      </w:r>
      <w:r>
        <w:fldChar w:fldCharType="end"/>
      </w:r>
      <w:r>
        <w:t xml:space="preserve"> (02/01/2024)</w:t>
      </w:r>
    </w:p>
    <w:p w14:paraId="6FA66C43" w14:textId="77777777" w:rsidR="006E2D25" w:rsidRDefault="006E2D25" w:rsidP="00C30A49">
      <w:r>
        <w:t xml:space="preserve">Gunn &amp; Butt (2016), </w:t>
      </w:r>
      <w:r w:rsidRPr="001E7FFD">
        <w:t>Teaching Children With Autism Spectrum Disorder With Restricted Interests: A Review of Evidence for Best Practice</w:t>
      </w:r>
      <w:r>
        <w:t xml:space="preserve">, Sage Journals (ar lein), ar gael yn: </w:t>
      </w:r>
      <w:r>
        <w:fldChar w:fldCharType="begin"/>
      </w:r>
      <w:r>
        <w:instrText>HYPERLINK "https://journals.sagepub.com/doi/full/10.3102/0034654315604027?casa_token=jGkZfKfTis4AAAAA%3A9hkjebli7mkjopH_FYWfEK6eWwIb0x4ZngHFj2Fk_lERm9w8swk57jD6IKRSR1YGXpLWO6DPssKwdw"</w:instrText>
      </w:r>
      <w:r>
        <w:fldChar w:fldCharType="separate"/>
      </w:r>
      <w:r>
        <w:rPr>
          <w:rStyle w:val="Hyperlink"/>
        </w:rPr>
        <w:t>Teaching Children With Autism Spectrum Disorder With Restricted Interests: A Review of Evidence for Best Practice - Kerry C. M. Gunn, Jonathan T. Delafield-Butt, 2016 (sagepub.com)</w:t>
      </w:r>
      <w:r>
        <w:rPr>
          <w:rStyle w:val="Hyperlink"/>
        </w:rPr>
        <w:fldChar w:fldCharType="end"/>
      </w:r>
      <w:r>
        <w:t xml:space="preserve"> (cyrchwyd: 23/12/23)</w:t>
      </w:r>
    </w:p>
    <w:p w14:paraId="5E9442CB" w14:textId="77777777" w:rsidR="006E2D25" w:rsidRDefault="006E2D25" w:rsidP="00C30A49">
      <w:r>
        <w:t xml:space="preserve">Heale &amp; Twycross (2017), What is a Case Study, Evidence based nursing, BMJ Journals (ar lein), ar gael yn: </w:t>
      </w:r>
      <w:r>
        <w:fldChar w:fldCharType="begin"/>
      </w:r>
      <w:r>
        <w:instrText>HYPERLINK "https://ebn.bmj.com/content/early/2017/11/16/eb-2017-102845?versioned=true"</w:instrText>
      </w:r>
      <w:r>
        <w:fldChar w:fldCharType="separate"/>
      </w:r>
      <w:r>
        <w:rPr>
          <w:rStyle w:val="Hyperlink"/>
        </w:rPr>
        <w:t>What is a case study? | Evidence-Based Nursing (bmj.com)</w:t>
      </w:r>
      <w:r>
        <w:rPr>
          <w:rStyle w:val="Hyperlink"/>
        </w:rPr>
        <w:fldChar w:fldCharType="end"/>
      </w:r>
      <w:r>
        <w:t xml:space="preserve"> (cyrchwyd: 3/01/24)</w:t>
      </w:r>
    </w:p>
    <w:p w14:paraId="78D35AB5" w14:textId="77777777" w:rsidR="006E2D25" w:rsidRDefault="006E2D25" w:rsidP="0064398A">
      <w:pPr>
        <w:spacing w:before="240"/>
      </w:pPr>
      <w:r>
        <w:t>Jones &amp; Carr (2004), J</w:t>
      </w:r>
      <w:r w:rsidRPr="005663DD">
        <w:t>oint Attention in Children with Autism:Theory and Intervention</w:t>
      </w:r>
      <w:r>
        <w:t xml:space="preserve"> (ar lein), ar gael yn: </w:t>
      </w:r>
      <w:r>
        <w:fldChar w:fldCharType="begin"/>
      </w:r>
      <w:r>
        <w:instrText>HYPERLINK "https://journals.sagepub.com/doi/epdf/10.1177/10883576040190010301"</w:instrText>
      </w:r>
      <w:r>
        <w:fldChar w:fldCharType="separate"/>
      </w:r>
      <w:r>
        <w:rPr>
          <w:rStyle w:val="Hyperlink"/>
        </w:rPr>
        <w:t>Joint Attention in Children With Autism (sagepub.com)</w:t>
      </w:r>
      <w:r>
        <w:fldChar w:fldCharType="end"/>
      </w:r>
      <w:r>
        <w:t xml:space="preserve"> (cyrchwyd: 02/01/2024)</w:t>
      </w:r>
    </w:p>
    <w:p w14:paraId="5F4BC059" w14:textId="77777777" w:rsidR="006E2D25" w:rsidRPr="00DC6F95" w:rsidRDefault="006E2D25" w:rsidP="00DC6F95">
      <w:pPr>
        <w:spacing w:before="240"/>
        <w:rPr>
          <w:lang w:val="en-GB"/>
        </w:rPr>
      </w:pPr>
      <w:r>
        <w:t xml:space="preserve">Karimi et al (2010), </w:t>
      </w:r>
      <w:r w:rsidRPr="00DC6F95">
        <w:rPr>
          <w:lang w:val="en-GB"/>
        </w:rPr>
        <w:t>Note-taking Strategies and Academic Achievement</w:t>
      </w:r>
      <w:r>
        <w:rPr>
          <w:lang w:val="en-GB"/>
        </w:rPr>
        <w:t xml:space="preserve"> (</w:t>
      </w:r>
      <w:proofErr w:type="spellStart"/>
      <w:r>
        <w:rPr>
          <w:lang w:val="en-GB"/>
        </w:rPr>
        <w:t>ar</w:t>
      </w:r>
      <w:proofErr w:type="spellEnd"/>
      <w:r>
        <w:rPr>
          <w:lang w:val="en-GB"/>
        </w:rPr>
        <w:t xml:space="preserve"> </w:t>
      </w:r>
      <w:proofErr w:type="spellStart"/>
      <w:r>
        <w:rPr>
          <w:lang w:val="en-GB"/>
        </w:rPr>
        <w:t>lein</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 xml:space="preserve">: </w:t>
      </w:r>
      <w:hyperlink r:id="rId11" w:history="1">
        <w:r>
          <w:rPr>
            <w:rStyle w:val="Hyperlink"/>
          </w:rPr>
          <w:t>Journal of Language and Linguistic Studies » Submission » Note-taking Strategies and Academic Achievement (dergipark.org.tr)</w:t>
        </w:r>
      </w:hyperlink>
      <w:r>
        <w:t xml:space="preserve"> (cyrchwyd: 03/01/2024)</w:t>
      </w:r>
    </w:p>
    <w:p w14:paraId="781EF410" w14:textId="77777777" w:rsidR="006E2D25" w:rsidRDefault="006E2D25" w:rsidP="00C30A49">
      <w:r>
        <w:t xml:space="preserve">Kern et al (1982), </w:t>
      </w:r>
      <w:r w:rsidRPr="0064707B">
        <w:t>The effects of physical exercise on self-stimulation and appropriate responding in autistic children</w:t>
      </w:r>
      <w:r>
        <w:t xml:space="preserve"> (ar lein), ar gael yn: </w:t>
      </w:r>
      <w:hyperlink r:id="rId12" w:history="1">
        <w:r>
          <w:rPr>
            <w:rStyle w:val="Hyperlink"/>
          </w:rPr>
          <w:t>The effects of physical exercise on self-stimulation and appropriate responding in autistic children | Journal of Autism and Developmental Disorders (springer.com)</w:t>
        </w:r>
      </w:hyperlink>
      <w:r>
        <w:t xml:space="preserve"> (cyrchwyd: 3/01/24)</w:t>
      </w:r>
    </w:p>
    <w:p w14:paraId="568612EE" w14:textId="77777777" w:rsidR="006E2D25" w:rsidRDefault="006E2D25" w:rsidP="0064398A">
      <w:pPr>
        <w:spacing w:before="240"/>
      </w:pPr>
      <w:r>
        <w:t xml:space="preserve">Khan (2016), Ethical Considerations in an Educational Research: A Critical Analysis, British Journal of Education, Society &amp; Behavioural Science (Ar lein), ar gael yn: </w:t>
      </w:r>
      <w:hyperlink r:id="rId13" w:history="1">
        <w:r>
          <w:rPr>
            <w:rStyle w:val="Hyperlink"/>
          </w:rPr>
          <w:t>Microsoft Word - Khan1322015BJESBS21821 (researchgate.net)</w:t>
        </w:r>
      </w:hyperlink>
      <w:r>
        <w:t xml:space="preserve"> (cyrchwyd: 03/01/2024)</w:t>
      </w:r>
    </w:p>
    <w:p w14:paraId="70911DE2" w14:textId="77777777" w:rsidR="006E2D25" w:rsidRDefault="006E2D25" w:rsidP="00C30A49">
      <w:r>
        <w:t xml:space="preserve">Krusenvik (2016), </w:t>
      </w:r>
      <w:r w:rsidRPr="00950414">
        <w:t>Using Case Studies as a Scientific Method: Advantages and Disadvantages</w:t>
      </w:r>
      <w:r>
        <w:t xml:space="preserve">, Halmstad University, Sweden (Ar lein), ar gael yn: </w:t>
      </w:r>
      <w:hyperlink r:id="rId14" w:history="1">
        <w:r>
          <w:rPr>
            <w:rStyle w:val="Hyperlink"/>
          </w:rPr>
          <w:t>FULLTEXT01.pdf (diva-portal.org)</w:t>
        </w:r>
      </w:hyperlink>
      <w:r>
        <w:t xml:space="preserve"> (cyrchwyd: 03/01/24)</w:t>
      </w:r>
    </w:p>
    <w:p w14:paraId="0A3456C0" w14:textId="77777777" w:rsidR="006E2D25" w:rsidRDefault="006E2D25" w:rsidP="00C30A49">
      <w:r>
        <w:t xml:space="preserve">Llywodraeth Cymru (2018), Rhaglen trawsnewid system anghenion dysgu ychwanegol (ADY), ar gael yn: </w:t>
      </w:r>
      <w:hyperlink r:id="rId15" w:history="1">
        <w:r w:rsidRPr="00354BA1">
          <w:rPr>
            <w:rStyle w:val="Hyperlink"/>
          </w:rPr>
          <w:t>https://www.llyw.cymru/sites/default/files/publications/2018-09/rhaglen-trawsnewid-system-anghenion-dysgu-ychwanegol-ady-v2.pdf</w:t>
        </w:r>
      </w:hyperlink>
      <w:r>
        <w:t xml:space="preserve"> (cyrchwyd: 10/11/23)</w:t>
      </w:r>
    </w:p>
    <w:p w14:paraId="14F0A9BE" w14:textId="77777777" w:rsidR="006E2D25" w:rsidRDefault="006E2D25" w:rsidP="0064398A">
      <w:pPr>
        <w:spacing w:before="240"/>
      </w:pPr>
      <w:r>
        <w:t xml:space="preserve">Llywodraeth Cymry (2021), </w:t>
      </w:r>
      <w:r w:rsidRPr="00E357E2">
        <w:t>Cod Anghenion Dysgu Ychwanegol Cymru 2021</w:t>
      </w:r>
      <w:r>
        <w:t xml:space="preserve"> (ar lein), ar gael yn: </w:t>
      </w:r>
      <w:hyperlink r:id="rId16" w:history="1">
        <w:r>
          <w:rPr>
            <w:rStyle w:val="Hyperlink"/>
          </w:rPr>
          <w:t>220622-cod-anghenion-dysgu-ychwanegol-cymru-2021.pdf (llyw.cymru)</w:t>
        </w:r>
      </w:hyperlink>
      <w:r>
        <w:t xml:space="preserve"> (cyrchwyd: 02/01/2024)</w:t>
      </w:r>
    </w:p>
    <w:p w14:paraId="6FAC9505" w14:textId="77777777" w:rsidR="006E2D25" w:rsidRDefault="006E2D25" w:rsidP="00061514">
      <w:pPr>
        <w:spacing w:before="240"/>
      </w:pPr>
      <w:r>
        <w:lastRenderedPageBreak/>
        <w:t>MacRae &amp; Jones (2023),</w:t>
      </w:r>
      <w:r w:rsidRPr="0094456F">
        <w:t xml:space="preserve"> A philosophical reflection on the“Leuven Scale”and youngchildren’s expressions of involvement</w:t>
      </w:r>
      <w:r>
        <w:t xml:space="preserve"> (ar lein), ar gael yn: </w:t>
      </w:r>
      <w:hyperlink r:id="rId17" w:history="1">
        <w:r>
          <w:rPr>
            <w:rStyle w:val="Hyperlink"/>
          </w:rPr>
          <w:t>A philosophical reflection on the “Leuven Scale” and young children’s expressions of involvement (tandfonline.com)</w:t>
        </w:r>
      </w:hyperlink>
      <w:r>
        <w:t xml:space="preserve"> (cyrchwyd: 03/01/2024) </w:t>
      </w:r>
    </w:p>
    <w:p w14:paraId="4ADDC718" w14:textId="77777777" w:rsidR="006E2D25" w:rsidRDefault="006E2D25">
      <w:r>
        <w:t xml:space="preserve">McDougal et al (2023), </w:t>
      </w:r>
      <w:r w:rsidRPr="00D4235E">
        <w:t>Understanding and Supporting Attention Deficit Hyperactivity Disorder (ADHD) in the Primary School Classroom: Perspectives of Children with ADHD and their Teachers</w:t>
      </w:r>
      <w:r>
        <w:t xml:space="preserve">, ar gael yn: </w:t>
      </w:r>
      <w:hyperlink r:id="rId18" w:history="1">
        <w:r>
          <w:rPr>
            <w:rStyle w:val="Hyperlink"/>
          </w:rPr>
          <w:t>Understanding and Supporting Attention Deficit Hyperactivity Disorder (ADHD) in the Primary School Classroom: Perspectives of Children with ADHD and their Teachers | Journal of Autism and Developmental Disorders (springer.com)</w:t>
        </w:r>
      </w:hyperlink>
      <w:r>
        <w:t xml:space="preserve"> (10/11/23)</w:t>
      </w:r>
    </w:p>
    <w:p w14:paraId="392BBB50" w14:textId="77777777" w:rsidR="006E2D25" w:rsidRDefault="006E2D25" w:rsidP="00061514">
      <w:pPr>
        <w:spacing w:before="240"/>
      </w:pPr>
      <w:r>
        <w:t xml:space="preserve">Muswazi &amp; Nhamo (2013), </w:t>
      </w:r>
      <w:r w:rsidRPr="007427A0">
        <w:t>Note taking: A lesson for Novice Qualitative Researchers</w:t>
      </w:r>
      <w:r>
        <w:t xml:space="preserve"> (ar lein), ar gael yn: </w:t>
      </w:r>
      <w:hyperlink r:id="rId19" w:history="1">
        <w:r>
          <w:rPr>
            <w:rStyle w:val="Hyperlink"/>
          </w:rPr>
          <w:t>C0231317-libre.pdf (d1wqtxts1xzle7.cloudfront.net)</w:t>
        </w:r>
      </w:hyperlink>
      <w:r>
        <w:t xml:space="preserve"> (cyrchwyd: 03/01/2024)</w:t>
      </w:r>
    </w:p>
    <w:p w14:paraId="5DBDAC80" w14:textId="77777777" w:rsidR="006E2D25" w:rsidRDefault="006E2D25" w:rsidP="00C30A49">
      <w:r>
        <w:t xml:space="preserve">National Autism Society (2024), What is Autism? (Ar lein), ar gael yn: </w:t>
      </w:r>
      <w:hyperlink r:id="rId20" w:history="1">
        <w:r>
          <w:rPr>
            <w:rStyle w:val="Hyperlink"/>
          </w:rPr>
          <w:t>What is autism</w:t>
        </w:r>
      </w:hyperlink>
      <w:r>
        <w:t xml:space="preserve"> (cyrchwyd: 23/12/23)</w:t>
      </w:r>
    </w:p>
    <w:p w14:paraId="508F8C6E" w14:textId="77777777" w:rsidR="006E2D25" w:rsidRDefault="006E2D25" w:rsidP="00061514">
      <w:pPr>
        <w:spacing w:before="240"/>
      </w:pPr>
      <w:r>
        <w:t xml:space="preserve">Nordstorm (2015), </w:t>
      </w:r>
      <w:r w:rsidRPr="0088687B">
        <w:t>Not So Innocent Anymore: Making Recording Devices Matter in Qualitative Interviews</w:t>
      </w:r>
      <w:r>
        <w:t xml:space="preserve">, Sage Journals (ar lein), ar gael yn: </w:t>
      </w:r>
      <w:hyperlink r:id="rId21" w:history="1">
        <w:r w:rsidRPr="00D10547">
          <w:rPr>
            <w:rStyle w:val="Hyperlink"/>
          </w:rPr>
          <w:t>https://journals.sagepub.com/doi/epub/10.1177/1077800414563804</w:t>
        </w:r>
      </w:hyperlink>
      <w:r>
        <w:t xml:space="preserve"> (cyrchwyd: 02/01/2024)</w:t>
      </w:r>
    </w:p>
    <w:p w14:paraId="2E0B4150" w14:textId="77777777" w:rsidR="006E2D25" w:rsidRDefault="006E2D25" w:rsidP="0064398A">
      <w:pPr>
        <w:spacing w:before="240"/>
      </w:pPr>
      <w:r>
        <w:t xml:space="preserve">Nye et al (2016), </w:t>
      </w:r>
      <w:r w:rsidRPr="00A25692">
        <w:t>Joint attention interventions for children with autism spectrum disorder: a systematic review and meta-analysis</w:t>
      </w:r>
      <w:r>
        <w:t xml:space="preserve"> (ar lein), ar gael yn: </w:t>
      </w:r>
      <w:hyperlink r:id="rId22" w:history="1">
        <w:r>
          <w:rPr>
            <w:rStyle w:val="Hyperlink"/>
          </w:rPr>
          <w:t>Joint attention interventions for children with autism spectrum disorder: a systematic review and meta‐analysis - Murza - 2016 - International Journal of Language &amp; Communication Disorders - Wiley Online Library</w:t>
        </w:r>
      </w:hyperlink>
      <w:r>
        <w:t xml:space="preserve"> (cyrchwyd: 02/01/2024)</w:t>
      </w:r>
    </w:p>
    <w:p w14:paraId="00D55C61" w14:textId="77777777" w:rsidR="006E2D25" w:rsidRDefault="006E2D25" w:rsidP="00061514">
      <w:pPr>
        <w:spacing w:before="240"/>
      </w:pPr>
      <w:r>
        <w:t xml:space="preserve">Rabionet (2011), </w:t>
      </w:r>
      <w:r w:rsidRPr="00F15433">
        <w:t>How I Learned to Design and Conduct Semi-structured Interviews: An Ongoing and Continuous Journey</w:t>
      </w:r>
      <w:r>
        <w:t xml:space="preserve">, Florida, USA (ar lein), ar gael yn: </w:t>
      </w:r>
      <w:hyperlink r:id="rId23" w:history="1">
        <w:r>
          <w:rPr>
            <w:rStyle w:val="Hyperlink"/>
          </w:rPr>
          <w:t>Personal, Thorough, and Accessible: A Review of Carla Willig’s Introducing Qualitative Research in Psychology (ed.gov)</w:t>
        </w:r>
      </w:hyperlink>
      <w:r>
        <w:t xml:space="preserve"> (cyrchwyd: 03/01/24)</w:t>
      </w:r>
    </w:p>
    <w:p w14:paraId="14459F33" w14:textId="77777777" w:rsidR="006E2D25" w:rsidRDefault="006E2D25" w:rsidP="00C30A49">
      <w:r>
        <w:t xml:space="preserve">Raworth (2012), Conducting Semi-structured interviews (ar lein), ar gael yn: </w:t>
      </w:r>
      <w:hyperlink r:id="rId24" w:anchor="v=onepage&amp;q=semi%20structured%20interviews&amp;f=false" w:history="1">
        <w:r>
          <w:rPr>
            <w:rStyle w:val="Hyperlink"/>
          </w:rPr>
          <w:t>Conducting Semi-structured Interviews - Kate Raworth, Caroline Sweetman, Swati Narayan, Jo Rowlands, Adrienne Hopkins - Google Books</w:t>
        </w:r>
      </w:hyperlink>
      <w:r>
        <w:t xml:space="preserve"> (cyrchwyd: 03/01/24)</w:t>
      </w:r>
    </w:p>
    <w:p w14:paraId="4DF93694" w14:textId="77777777" w:rsidR="006E2D25" w:rsidRDefault="006E2D25" w:rsidP="0064398A">
      <w:pPr>
        <w:spacing w:before="240"/>
      </w:pPr>
      <w:r>
        <w:t xml:space="preserve">Rehman et al (2017), </w:t>
      </w:r>
      <w:r w:rsidRPr="00AC0B97">
        <w:t>Classical Conditioning</w:t>
      </w:r>
      <w:r>
        <w:t xml:space="preserve"> (ar lein), ar gael yn: </w:t>
      </w:r>
      <w:hyperlink r:id="rId25" w:history="1">
        <w:r>
          <w:rPr>
            <w:rStyle w:val="Hyperlink"/>
          </w:rPr>
          <w:t>Classical Conditioning - Abstract - Europe PMC</w:t>
        </w:r>
      </w:hyperlink>
      <w:r>
        <w:t xml:space="preserve"> (cyrchwyd: 02/01/2024)</w:t>
      </w:r>
    </w:p>
    <w:p w14:paraId="6CAFA2F1" w14:textId="77777777" w:rsidR="006E2D25" w:rsidRDefault="006E2D25">
      <w:r>
        <w:t xml:space="preserve">Reid &amp; Morgan (2014), Tackling Behaviour in your Primary School (ar lein), ar gael yn: </w:t>
      </w:r>
      <w:hyperlink r:id="rId26" w:history="1">
        <w:r>
          <w:rPr>
            <w:rStyle w:val="Hyperlink"/>
          </w:rPr>
          <w:t>9780203119853_googlepreview.pdf</w:t>
        </w:r>
      </w:hyperlink>
      <w:r>
        <w:t xml:space="preserve"> (cyrchwyd: 10/11/23)</w:t>
      </w:r>
    </w:p>
    <w:p w14:paraId="290AF189" w14:textId="77777777" w:rsidR="006E2D25" w:rsidRDefault="006E2D25" w:rsidP="00061514">
      <w:pPr>
        <w:spacing w:before="240"/>
      </w:pPr>
      <w:r>
        <w:t xml:space="preserve">Reja (2003), Open-ended vs. Close-ended Questions (ar lein), ar gael yn: </w:t>
      </w:r>
      <w:hyperlink r:id="rId27" w:history="1">
        <w:r>
          <w:rPr>
            <w:rStyle w:val="Hyperlink"/>
          </w:rPr>
          <w:t>Microsoft Word - Reja.doc (begrijpelijkeformulieren.org)</w:t>
        </w:r>
      </w:hyperlink>
      <w:r>
        <w:t xml:space="preserve"> (cyrchwyd: 03/01/24)</w:t>
      </w:r>
    </w:p>
    <w:p w14:paraId="23E0E385" w14:textId="77777777" w:rsidR="006E2D25" w:rsidRDefault="006E2D25" w:rsidP="0064398A">
      <w:pPr>
        <w:spacing w:before="240"/>
      </w:pPr>
      <w:r>
        <w:t xml:space="preserve">Rios &amp; Patel (2022), </w:t>
      </w:r>
      <w:r w:rsidRPr="007530BD">
        <w:t>Positions, positionality, and relationality in educational research</w:t>
      </w:r>
      <w:r>
        <w:t xml:space="preserve"> (ar lein), ar gael yn: </w:t>
      </w:r>
      <w:hyperlink r:id="rId28" w:history="1">
        <w:r>
          <w:rPr>
            <w:rStyle w:val="Hyperlink"/>
          </w:rPr>
          <w:t>Full article: Positions, positionality, and relationality in educational research (tandfonline.com)</w:t>
        </w:r>
      </w:hyperlink>
      <w:r>
        <w:t xml:space="preserve"> (cyrchwyd: 04/01/2024)</w:t>
      </w:r>
    </w:p>
    <w:p w14:paraId="05853B7D" w14:textId="77777777" w:rsidR="006E2D25" w:rsidRDefault="006E2D25" w:rsidP="00061514">
      <w:pPr>
        <w:spacing w:before="240"/>
      </w:pPr>
      <w:r>
        <w:t xml:space="preserve">Roulston &amp; Choi (2018), The Sage Handbook of Qualitative Data Collection (ar lein), ar gael yn: </w:t>
      </w:r>
      <w:hyperlink r:id="rId29" w:anchor="page=262" w:history="1">
        <w:r>
          <w:rPr>
            <w:rStyle w:val="Hyperlink"/>
          </w:rPr>
          <w:t>The SAGE Handbook of Qualitative Data Collection - Flick, Uwe. - SAGE Publications Ltd - Torrossa</w:t>
        </w:r>
      </w:hyperlink>
      <w:r>
        <w:t xml:space="preserve"> (cyrchwyd: 03/01/24)</w:t>
      </w:r>
    </w:p>
    <w:p w14:paraId="6347D98A" w14:textId="77777777" w:rsidR="006E2D25" w:rsidRDefault="006E2D25">
      <w:r>
        <w:lastRenderedPageBreak/>
        <w:t>Ryder (2013), Yr ABC i Anghenion Ychwanegol, Canolfan Peniarth, Prifysgol Cymru y Drindod Dewi Sant (cyrchwyd: 10/11/23)</w:t>
      </w:r>
    </w:p>
    <w:p w14:paraId="567166A3" w14:textId="77777777" w:rsidR="006E2D25" w:rsidRDefault="006E2D25">
      <w:r>
        <w:t xml:space="preserve">Skinner et al (2019), </w:t>
      </w:r>
      <w:r w:rsidRPr="00265FF3">
        <w:t>Classroom Management in Self-Contained Classrooms for Children with Autism: Extending Research on the Color Wheel System</w:t>
      </w:r>
      <w:r>
        <w:t xml:space="preserve">, ar gael yn: </w:t>
      </w:r>
      <w:hyperlink r:id="rId30" w:history="1">
        <w:r>
          <w:rPr>
            <w:rStyle w:val="Hyperlink"/>
          </w:rPr>
          <w:t>Classroom Management in Self-Contained Classrooms for Children with Autism: Extending Research on the Color Wheel System | SpringerLink</w:t>
        </w:r>
      </w:hyperlink>
      <w:r>
        <w:t xml:space="preserve"> (cyrchwyd: 10/11/23)</w:t>
      </w:r>
    </w:p>
    <w:p w14:paraId="577B5D72" w14:textId="77777777" w:rsidR="006E2D25" w:rsidRDefault="006E2D25" w:rsidP="0064398A">
      <w:pPr>
        <w:spacing w:before="240"/>
      </w:pPr>
      <w:r>
        <w:t>Soenens &amp; Vansteenkiste</w:t>
      </w:r>
      <w:r>
        <w:t xml:space="preserve"> </w:t>
      </w:r>
      <w:r>
        <w:t xml:space="preserve"> </w:t>
      </w:r>
      <w:r>
        <w:t>(</w:t>
      </w:r>
      <w:r>
        <w:t>2020</w:t>
      </w:r>
      <w:r>
        <w:t xml:space="preserve">), </w:t>
      </w:r>
      <w:r w:rsidRPr="001E3405">
        <w:t>Understanding the complexity of praise through the lens of self-determination theory</w:t>
      </w:r>
      <w:r>
        <w:t xml:space="preserve"> (ar lein), ar gael yn: </w:t>
      </w:r>
      <w:hyperlink r:id="rId31" w:history="1">
        <w:r>
          <w:rPr>
            <w:rStyle w:val="Hyperlink"/>
          </w:rPr>
          <w:t>Understanding the complexity of praise through the lens of self-determ (taylorfrancis.com)</w:t>
        </w:r>
      </w:hyperlink>
      <w:r>
        <w:t xml:space="preserve"> (cyrchwyd: 02/01/2024)</w:t>
      </w:r>
    </w:p>
    <w:p w14:paraId="32BCBD46" w14:textId="77777777" w:rsidR="006E2D25" w:rsidRDefault="006E2D25" w:rsidP="00C30A49">
      <w:r>
        <w:t xml:space="preserve">Starman (2013), </w:t>
      </w:r>
      <w:r w:rsidRPr="007D6C5C">
        <w:t>The case study as a type of qualitative research</w:t>
      </w:r>
      <w:r>
        <w:t xml:space="preserve">, JOURNAL OF CONTEMPORARY EDUCATIONAL STUDIES (ar lein), ar gael yn: </w:t>
      </w:r>
      <w:hyperlink r:id="rId32" w:history="1">
        <w:r>
          <w:rPr>
            <w:rStyle w:val="Hyperlink"/>
          </w:rPr>
          <w:t>The-case-study-as-a-type-of-qualitative-research.pdf (researchgate.net)</w:t>
        </w:r>
      </w:hyperlink>
      <w:r>
        <w:t xml:space="preserve"> (cyrchwyd: 04/01/24)</w:t>
      </w:r>
    </w:p>
    <w:p w14:paraId="0DB5FEA0" w14:textId="77777777" w:rsidR="006E2D25" w:rsidRDefault="006E2D25" w:rsidP="00061514">
      <w:pPr>
        <w:spacing w:before="240"/>
      </w:pPr>
      <w:r>
        <w:t xml:space="preserve">Stokes &amp; Cotton (2010), </w:t>
      </w:r>
      <w:r w:rsidRPr="00EA25AF">
        <w:t>Using Observational Methods to Research the Student Experience</w:t>
      </w:r>
      <w:r>
        <w:t xml:space="preserve"> (ar lein), ar gael yn: </w:t>
      </w:r>
      <w:hyperlink r:id="rId33" w:history="1">
        <w:r>
          <w:rPr>
            <w:rStyle w:val="Hyperlink"/>
          </w:rPr>
          <w:t>Full article: Using Observational Methods to Research the Student Experience (tandfonline.com)</w:t>
        </w:r>
      </w:hyperlink>
      <w:r>
        <w:t xml:space="preserve"> (cyrchwyd: 03/01/24)</w:t>
      </w:r>
    </w:p>
    <w:p w14:paraId="4D69B97A" w14:textId="77777777" w:rsidR="00710D38" w:rsidRDefault="00710D38" w:rsidP="0064398A">
      <w:pPr>
        <w:spacing w:before="240"/>
      </w:pPr>
    </w:p>
    <w:p w14:paraId="6F92C23F" w14:textId="77916D30" w:rsidR="00710D38" w:rsidRDefault="00710D38" w:rsidP="0064398A">
      <w:pPr>
        <w:spacing w:before="240"/>
      </w:pPr>
    </w:p>
    <w:sectPr w:rsidR="00710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F2D45"/>
    <w:multiLevelType w:val="hybridMultilevel"/>
    <w:tmpl w:val="D69832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1A92A79"/>
    <w:multiLevelType w:val="hybridMultilevel"/>
    <w:tmpl w:val="45C89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6298574">
    <w:abstractNumId w:val="1"/>
  </w:num>
  <w:num w:numId="2" w16cid:durableId="31343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475"/>
    <w:rsid w:val="00006CED"/>
    <w:rsid w:val="000122C3"/>
    <w:rsid w:val="00023641"/>
    <w:rsid w:val="000265AB"/>
    <w:rsid w:val="000272C9"/>
    <w:rsid w:val="00033F50"/>
    <w:rsid w:val="00036FC1"/>
    <w:rsid w:val="00041DB6"/>
    <w:rsid w:val="00043111"/>
    <w:rsid w:val="00050845"/>
    <w:rsid w:val="00052A71"/>
    <w:rsid w:val="000538A6"/>
    <w:rsid w:val="00054126"/>
    <w:rsid w:val="000560CC"/>
    <w:rsid w:val="00061514"/>
    <w:rsid w:val="00064703"/>
    <w:rsid w:val="00066E8A"/>
    <w:rsid w:val="00071E7E"/>
    <w:rsid w:val="000741B3"/>
    <w:rsid w:val="00076E94"/>
    <w:rsid w:val="00086610"/>
    <w:rsid w:val="00086F7E"/>
    <w:rsid w:val="000956D2"/>
    <w:rsid w:val="000A1995"/>
    <w:rsid w:val="000B13EB"/>
    <w:rsid w:val="000B2234"/>
    <w:rsid w:val="000B52AF"/>
    <w:rsid w:val="000C7DEB"/>
    <w:rsid w:val="000D05AB"/>
    <w:rsid w:val="000E1FAD"/>
    <w:rsid w:val="000E4D01"/>
    <w:rsid w:val="000E7F3B"/>
    <w:rsid w:val="000F4E04"/>
    <w:rsid w:val="000F5317"/>
    <w:rsid w:val="000F75C2"/>
    <w:rsid w:val="00100F52"/>
    <w:rsid w:val="001050FA"/>
    <w:rsid w:val="00106647"/>
    <w:rsid w:val="00111114"/>
    <w:rsid w:val="0011302B"/>
    <w:rsid w:val="00115FF7"/>
    <w:rsid w:val="001215CB"/>
    <w:rsid w:val="0012292C"/>
    <w:rsid w:val="00123EB3"/>
    <w:rsid w:val="00126335"/>
    <w:rsid w:val="00131792"/>
    <w:rsid w:val="00134B4D"/>
    <w:rsid w:val="00142910"/>
    <w:rsid w:val="00145F39"/>
    <w:rsid w:val="00146AC7"/>
    <w:rsid w:val="001510A2"/>
    <w:rsid w:val="00162709"/>
    <w:rsid w:val="00165227"/>
    <w:rsid w:val="00167E5F"/>
    <w:rsid w:val="00170B05"/>
    <w:rsid w:val="00171540"/>
    <w:rsid w:val="00177F8E"/>
    <w:rsid w:val="001818C3"/>
    <w:rsid w:val="00182049"/>
    <w:rsid w:val="0019024C"/>
    <w:rsid w:val="001A2631"/>
    <w:rsid w:val="001A455E"/>
    <w:rsid w:val="001A4A1D"/>
    <w:rsid w:val="001A6C01"/>
    <w:rsid w:val="001A78A2"/>
    <w:rsid w:val="001B58AA"/>
    <w:rsid w:val="001C375F"/>
    <w:rsid w:val="001C3BC2"/>
    <w:rsid w:val="001C5E39"/>
    <w:rsid w:val="001E0AB2"/>
    <w:rsid w:val="001E3405"/>
    <w:rsid w:val="001E4C4A"/>
    <w:rsid w:val="001E7445"/>
    <w:rsid w:val="001E7B9E"/>
    <w:rsid w:val="001E7FFD"/>
    <w:rsid w:val="001F188D"/>
    <w:rsid w:val="001F4EF0"/>
    <w:rsid w:val="0020222D"/>
    <w:rsid w:val="00204BF7"/>
    <w:rsid w:val="0020573C"/>
    <w:rsid w:val="00207BCF"/>
    <w:rsid w:val="00211FED"/>
    <w:rsid w:val="00212644"/>
    <w:rsid w:val="00214800"/>
    <w:rsid w:val="0021496D"/>
    <w:rsid w:val="00214F2F"/>
    <w:rsid w:val="00215FDE"/>
    <w:rsid w:val="002201B6"/>
    <w:rsid w:val="0022066D"/>
    <w:rsid w:val="0022368B"/>
    <w:rsid w:val="002243E8"/>
    <w:rsid w:val="00225A4D"/>
    <w:rsid w:val="00230981"/>
    <w:rsid w:val="0023270E"/>
    <w:rsid w:val="00234608"/>
    <w:rsid w:val="00234DEB"/>
    <w:rsid w:val="00236D47"/>
    <w:rsid w:val="0024089D"/>
    <w:rsid w:val="00241001"/>
    <w:rsid w:val="0024313E"/>
    <w:rsid w:val="0024324E"/>
    <w:rsid w:val="0024330C"/>
    <w:rsid w:val="00246E8A"/>
    <w:rsid w:val="00252773"/>
    <w:rsid w:val="00252865"/>
    <w:rsid w:val="00254736"/>
    <w:rsid w:val="00255E5C"/>
    <w:rsid w:val="00260526"/>
    <w:rsid w:val="00264D5F"/>
    <w:rsid w:val="00265FF3"/>
    <w:rsid w:val="0026722F"/>
    <w:rsid w:val="00270812"/>
    <w:rsid w:val="00273DA8"/>
    <w:rsid w:val="00275A37"/>
    <w:rsid w:val="002834C2"/>
    <w:rsid w:val="00283E97"/>
    <w:rsid w:val="0028728B"/>
    <w:rsid w:val="002873B9"/>
    <w:rsid w:val="0029225E"/>
    <w:rsid w:val="00294BA5"/>
    <w:rsid w:val="002A41CF"/>
    <w:rsid w:val="002A4691"/>
    <w:rsid w:val="002A635D"/>
    <w:rsid w:val="002B033E"/>
    <w:rsid w:val="002B0DEC"/>
    <w:rsid w:val="002B1364"/>
    <w:rsid w:val="002B37C0"/>
    <w:rsid w:val="002C4A3F"/>
    <w:rsid w:val="002D270C"/>
    <w:rsid w:val="002D3DED"/>
    <w:rsid w:val="002D5529"/>
    <w:rsid w:val="002E1AE7"/>
    <w:rsid w:val="002F256C"/>
    <w:rsid w:val="002F401F"/>
    <w:rsid w:val="0030455E"/>
    <w:rsid w:val="00304784"/>
    <w:rsid w:val="00305A19"/>
    <w:rsid w:val="0031124F"/>
    <w:rsid w:val="003118B9"/>
    <w:rsid w:val="00314324"/>
    <w:rsid w:val="00314DDC"/>
    <w:rsid w:val="00316CD0"/>
    <w:rsid w:val="00322C83"/>
    <w:rsid w:val="003259AA"/>
    <w:rsid w:val="00326044"/>
    <w:rsid w:val="00327F96"/>
    <w:rsid w:val="00331B8B"/>
    <w:rsid w:val="003325D8"/>
    <w:rsid w:val="00332E2E"/>
    <w:rsid w:val="003335B8"/>
    <w:rsid w:val="00337C6F"/>
    <w:rsid w:val="00343ACF"/>
    <w:rsid w:val="00344F6E"/>
    <w:rsid w:val="0035233E"/>
    <w:rsid w:val="00353A2A"/>
    <w:rsid w:val="0035676D"/>
    <w:rsid w:val="003638C2"/>
    <w:rsid w:val="0036649D"/>
    <w:rsid w:val="0037160C"/>
    <w:rsid w:val="00372D33"/>
    <w:rsid w:val="00373147"/>
    <w:rsid w:val="003733E4"/>
    <w:rsid w:val="00376078"/>
    <w:rsid w:val="00381E9E"/>
    <w:rsid w:val="00393930"/>
    <w:rsid w:val="00397BDA"/>
    <w:rsid w:val="003A3404"/>
    <w:rsid w:val="003A3500"/>
    <w:rsid w:val="003A3CF6"/>
    <w:rsid w:val="003B2127"/>
    <w:rsid w:val="003B505E"/>
    <w:rsid w:val="003C1748"/>
    <w:rsid w:val="003C28A3"/>
    <w:rsid w:val="003D059C"/>
    <w:rsid w:val="003D273C"/>
    <w:rsid w:val="003D3921"/>
    <w:rsid w:val="003D7789"/>
    <w:rsid w:val="003F3D3E"/>
    <w:rsid w:val="003F5ED5"/>
    <w:rsid w:val="004007DD"/>
    <w:rsid w:val="00405D26"/>
    <w:rsid w:val="004063A6"/>
    <w:rsid w:val="0040797D"/>
    <w:rsid w:val="00411A1D"/>
    <w:rsid w:val="004120BF"/>
    <w:rsid w:val="00412675"/>
    <w:rsid w:val="00414E0D"/>
    <w:rsid w:val="00415DEA"/>
    <w:rsid w:val="00416735"/>
    <w:rsid w:val="00416A3E"/>
    <w:rsid w:val="00425CB9"/>
    <w:rsid w:val="004300B7"/>
    <w:rsid w:val="0043143A"/>
    <w:rsid w:val="004321A7"/>
    <w:rsid w:val="00432725"/>
    <w:rsid w:val="0045538F"/>
    <w:rsid w:val="00466553"/>
    <w:rsid w:val="00466B0B"/>
    <w:rsid w:val="00470E2C"/>
    <w:rsid w:val="004719A1"/>
    <w:rsid w:val="00473A7B"/>
    <w:rsid w:val="00474F3C"/>
    <w:rsid w:val="00476784"/>
    <w:rsid w:val="00484338"/>
    <w:rsid w:val="004847D7"/>
    <w:rsid w:val="004858CE"/>
    <w:rsid w:val="004861AA"/>
    <w:rsid w:val="00486F4E"/>
    <w:rsid w:val="00490192"/>
    <w:rsid w:val="00490773"/>
    <w:rsid w:val="004907F8"/>
    <w:rsid w:val="00492937"/>
    <w:rsid w:val="004A21F7"/>
    <w:rsid w:val="004A44B7"/>
    <w:rsid w:val="004A6422"/>
    <w:rsid w:val="004B168C"/>
    <w:rsid w:val="004B456F"/>
    <w:rsid w:val="004B785D"/>
    <w:rsid w:val="004B7BC0"/>
    <w:rsid w:val="004C1E66"/>
    <w:rsid w:val="004C752D"/>
    <w:rsid w:val="004D0640"/>
    <w:rsid w:val="004D0B8C"/>
    <w:rsid w:val="004D222E"/>
    <w:rsid w:val="004D256C"/>
    <w:rsid w:val="004D3037"/>
    <w:rsid w:val="004E0E96"/>
    <w:rsid w:val="004E3648"/>
    <w:rsid w:val="004E4254"/>
    <w:rsid w:val="004E5220"/>
    <w:rsid w:val="004E579F"/>
    <w:rsid w:val="004F14AD"/>
    <w:rsid w:val="004F535D"/>
    <w:rsid w:val="00501227"/>
    <w:rsid w:val="00511F67"/>
    <w:rsid w:val="00515037"/>
    <w:rsid w:val="0052278C"/>
    <w:rsid w:val="00524D93"/>
    <w:rsid w:val="00531794"/>
    <w:rsid w:val="0053255F"/>
    <w:rsid w:val="005353EE"/>
    <w:rsid w:val="00535401"/>
    <w:rsid w:val="00535BCC"/>
    <w:rsid w:val="00536BC1"/>
    <w:rsid w:val="00537484"/>
    <w:rsid w:val="00542CD7"/>
    <w:rsid w:val="005448FD"/>
    <w:rsid w:val="005508AB"/>
    <w:rsid w:val="00554A60"/>
    <w:rsid w:val="00561194"/>
    <w:rsid w:val="005663DD"/>
    <w:rsid w:val="00567075"/>
    <w:rsid w:val="0057592F"/>
    <w:rsid w:val="005836F7"/>
    <w:rsid w:val="00590374"/>
    <w:rsid w:val="00591F41"/>
    <w:rsid w:val="005936AE"/>
    <w:rsid w:val="00593735"/>
    <w:rsid w:val="005A02E5"/>
    <w:rsid w:val="005B093D"/>
    <w:rsid w:val="005C5EAE"/>
    <w:rsid w:val="005D2767"/>
    <w:rsid w:val="005D76D6"/>
    <w:rsid w:val="005E04FE"/>
    <w:rsid w:val="005E0C23"/>
    <w:rsid w:val="005E2F56"/>
    <w:rsid w:val="005E3FFE"/>
    <w:rsid w:val="005E5C07"/>
    <w:rsid w:val="005F0179"/>
    <w:rsid w:val="005F2E00"/>
    <w:rsid w:val="005F305D"/>
    <w:rsid w:val="0060078D"/>
    <w:rsid w:val="00604C03"/>
    <w:rsid w:val="00606008"/>
    <w:rsid w:val="00612A2E"/>
    <w:rsid w:val="00613F1C"/>
    <w:rsid w:val="006145E6"/>
    <w:rsid w:val="00614E50"/>
    <w:rsid w:val="00617133"/>
    <w:rsid w:val="00623B0C"/>
    <w:rsid w:val="00625753"/>
    <w:rsid w:val="00633D2B"/>
    <w:rsid w:val="00636C6C"/>
    <w:rsid w:val="00637E5B"/>
    <w:rsid w:val="00640897"/>
    <w:rsid w:val="0064398A"/>
    <w:rsid w:val="0064707B"/>
    <w:rsid w:val="00650E0F"/>
    <w:rsid w:val="006719D1"/>
    <w:rsid w:val="006729EB"/>
    <w:rsid w:val="006733B5"/>
    <w:rsid w:val="006843C4"/>
    <w:rsid w:val="0069213A"/>
    <w:rsid w:val="00692205"/>
    <w:rsid w:val="00692D6D"/>
    <w:rsid w:val="0069754C"/>
    <w:rsid w:val="006A030D"/>
    <w:rsid w:val="006A1821"/>
    <w:rsid w:val="006A3E87"/>
    <w:rsid w:val="006A6A24"/>
    <w:rsid w:val="006A6AA0"/>
    <w:rsid w:val="006A726E"/>
    <w:rsid w:val="006B0875"/>
    <w:rsid w:val="006B0C70"/>
    <w:rsid w:val="006B5959"/>
    <w:rsid w:val="006C3098"/>
    <w:rsid w:val="006C425E"/>
    <w:rsid w:val="006D309F"/>
    <w:rsid w:val="006E2D25"/>
    <w:rsid w:val="006F0281"/>
    <w:rsid w:val="006F1DAD"/>
    <w:rsid w:val="007001FB"/>
    <w:rsid w:val="0070250D"/>
    <w:rsid w:val="00702D2D"/>
    <w:rsid w:val="00703B29"/>
    <w:rsid w:val="0070451C"/>
    <w:rsid w:val="00705771"/>
    <w:rsid w:val="00710B59"/>
    <w:rsid w:val="00710D38"/>
    <w:rsid w:val="0071286A"/>
    <w:rsid w:val="00731634"/>
    <w:rsid w:val="007427A0"/>
    <w:rsid w:val="00744128"/>
    <w:rsid w:val="007530BD"/>
    <w:rsid w:val="00756C29"/>
    <w:rsid w:val="00757014"/>
    <w:rsid w:val="0075730E"/>
    <w:rsid w:val="007578CE"/>
    <w:rsid w:val="00760179"/>
    <w:rsid w:val="007615DB"/>
    <w:rsid w:val="00764526"/>
    <w:rsid w:val="00765146"/>
    <w:rsid w:val="00771B5E"/>
    <w:rsid w:val="00773974"/>
    <w:rsid w:val="00774E6F"/>
    <w:rsid w:val="00775421"/>
    <w:rsid w:val="007762D5"/>
    <w:rsid w:val="00784B9B"/>
    <w:rsid w:val="0078738F"/>
    <w:rsid w:val="0079584C"/>
    <w:rsid w:val="00795D5D"/>
    <w:rsid w:val="00797408"/>
    <w:rsid w:val="00797C41"/>
    <w:rsid w:val="007A1FE6"/>
    <w:rsid w:val="007A3B96"/>
    <w:rsid w:val="007A4F52"/>
    <w:rsid w:val="007A67A9"/>
    <w:rsid w:val="007A7B30"/>
    <w:rsid w:val="007C153E"/>
    <w:rsid w:val="007C1C71"/>
    <w:rsid w:val="007C33E5"/>
    <w:rsid w:val="007C37FE"/>
    <w:rsid w:val="007D1801"/>
    <w:rsid w:val="007D4657"/>
    <w:rsid w:val="007D5170"/>
    <w:rsid w:val="007D6C5C"/>
    <w:rsid w:val="007D7A78"/>
    <w:rsid w:val="007D7F90"/>
    <w:rsid w:val="007E09BA"/>
    <w:rsid w:val="007E2E7C"/>
    <w:rsid w:val="007E4E74"/>
    <w:rsid w:val="0081273E"/>
    <w:rsid w:val="00815CBC"/>
    <w:rsid w:val="00820D54"/>
    <w:rsid w:val="0083097A"/>
    <w:rsid w:val="00831475"/>
    <w:rsid w:val="00831BEA"/>
    <w:rsid w:val="00833063"/>
    <w:rsid w:val="00833D50"/>
    <w:rsid w:val="0083442F"/>
    <w:rsid w:val="00835524"/>
    <w:rsid w:val="00841F6F"/>
    <w:rsid w:val="008436E8"/>
    <w:rsid w:val="008468AE"/>
    <w:rsid w:val="00853DDE"/>
    <w:rsid w:val="00854B27"/>
    <w:rsid w:val="00856764"/>
    <w:rsid w:val="008571E3"/>
    <w:rsid w:val="00862A55"/>
    <w:rsid w:val="00864E8A"/>
    <w:rsid w:val="00865145"/>
    <w:rsid w:val="0086534A"/>
    <w:rsid w:val="0086562D"/>
    <w:rsid w:val="0087199C"/>
    <w:rsid w:val="0087236B"/>
    <w:rsid w:val="0087601E"/>
    <w:rsid w:val="00877260"/>
    <w:rsid w:val="00881907"/>
    <w:rsid w:val="008853F3"/>
    <w:rsid w:val="0088687B"/>
    <w:rsid w:val="0089389F"/>
    <w:rsid w:val="00895315"/>
    <w:rsid w:val="00895479"/>
    <w:rsid w:val="008A1478"/>
    <w:rsid w:val="008A2FBE"/>
    <w:rsid w:val="008A420B"/>
    <w:rsid w:val="008A50E9"/>
    <w:rsid w:val="008A73E1"/>
    <w:rsid w:val="008B190E"/>
    <w:rsid w:val="008B1DB1"/>
    <w:rsid w:val="008B4FE3"/>
    <w:rsid w:val="008B77C6"/>
    <w:rsid w:val="008C1CC9"/>
    <w:rsid w:val="008C2A1D"/>
    <w:rsid w:val="008D320A"/>
    <w:rsid w:val="008D6C10"/>
    <w:rsid w:val="008E0E9E"/>
    <w:rsid w:val="008E1822"/>
    <w:rsid w:val="008E1BEB"/>
    <w:rsid w:val="008E68AC"/>
    <w:rsid w:val="008E6C53"/>
    <w:rsid w:val="008F0818"/>
    <w:rsid w:val="008F5983"/>
    <w:rsid w:val="008F6709"/>
    <w:rsid w:val="00900382"/>
    <w:rsid w:val="00906024"/>
    <w:rsid w:val="0091116E"/>
    <w:rsid w:val="009122C4"/>
    <w:rsid w:val="009160F3"/>
    <w:rsid w:val="00925493"/>
    <w:rsid w:val="00932C47"/>
    <w:rsid w:val="00933232"/>
    <w:rsid w:val="0094456F"/>
    <w:rsid w:val="00944647"/>
    <w:rsid w:val="00944A1A"/>
    <w:rsid w:val="00950414"/>
    <w:rsid w:val="00954C56"/>
    <w:rsid w:val="009613DF"/>
    <w:rsid w:val="00976269"/>
    <w:rsid w:val="009801BB"/>
    <w:rsid w:val="00982CE6"/>
    <w:rsid w:val="009868A8"/>
    <w:rsid w:val="00993BA2"/>
    <w:rsid w:val="009A65FD"/>
    <w:rsid w:val="009A77E5"/>
    <w:rsid w:val="009B1218"/>
    <w:rsid w:val="009B38C8"/>
    <w:rsid w:val="009B645D"/>
    <w:rsid w:val="009C10C5"/>
    <w:rsid w:val="009C2207"/>
    <w:rsid w:val="009C6B22"/>
    <w:rsid w:val="009D338D"/>
    <w:rsid w:val="009E6802"/>
    <w:rsid w:val="00A0330B"/>
    <w:rsid w:val="00A04835"/>
    <w:rsid w:val="00A11CDA"/>
    <w:rsid w:val="00A14C5C"/>
    <w:rsid w:val="00A23117"/>
    <w:rsid w:val="00A25692"/>
    <w:rsid w:val="00A302CF"/>
    <w:rsid w:val="00A3178F"/>
    <w:rsid w:val="00A35AC5"/>
    <w:rsid w:val="00A40629"/>
    <w:rsid w:val="00A417AE"/>
    <w:rsid w:val="00A51137"/>
    <w:rsid w:val="00A542BC"/>
    <w:rsid w:val="00A65BE9"/>
    <w:rsid w:val="00A80053"/>
    <w:rsid w:val="00A80B9F"/>
    <w:rsid w:val="00A80C54"/>
    <w:rsid w:val="00A83164"/>
    <w:rsid w:val="00A869BC"/>
    <w:rsid w:val="00A9281F"/>
    <w:rsid w:val="00A958B6"/>
    <w:rsid w:val="00AA23B5"/>
    <w:rsid w:val="00AA3489"/>
    <w:rsid w:val="00AA778F"/>
    <w:rsid w:val="00AA7C27"/>
    <w:rsid w:val="00AB10FF"/>
    <w:rsid w:val="00AB2E1A"/>
    <w:rsid w:val="00AC0B97"/>
    <w:rsid w:val="00AC3A7B"/>
    <w:rsid w:val="00AC714F"/>
    <w:rsid w:val="00AD328C"/>
    <w:rsid w:val="00AD645A"/>
    <w:rsid w:val="00AD7A3A"/>
    <w:rsid w:val="00AD7D70"/>
    <w:rsid w:val="00AE64D8"/>
    <w:rsid w:val="00AF52DE"/>
    <w:rsid w:val="00AF538B"/>
    <w:rsid w:val="00AF65E3"/>
    <w:rsid w:val="00B0521D"/>
    <w:rsid w:val="00B05C22"/>
    <w:rsid w:val="00B0783C"/>
    <w:rsid w:val="00B106A3"/>
    <w:rsid w:val="00B146AB"/>
    <w:rsid w:val="00B20A49"/>
    <w:rsid w:val="00B20BA0"/>
    <w:rsid w:val="00B2267B"/>
    <w:rsid w:val="00B24746"/>
    <w:rsid w:val="00B26811"/>
    <w:rsid w:val="00B26BBB"/>
    <w:rsid w:val="00B310C8"/>
    <w:rsid w:val="00B325EF"/>
    <w:rsid w:val="00B34953"/>
    <w:rsid w:val="00B36B2A"/>
    <w:rsid w:val="00B4360A"/>
    <w:rsid w:val="00B43A74"/>
    <w:rsid w:val="00B46420"/>
    <w:rsid w:val="00B47FEF"/>
    <w:rsid w:val="00B50370"/>
    <w:rsid w:val="00B534AE"/>
    <w:rsid w:val="00B5419C"/>
    <w:rsid w:val="00B564AB"/>
    <w:rsid w:val="00B5793D"/>
    <w:rsid w:val="00B60727"/>
    <w:rsid w:val="00B64E3F"/>
    <w:rsid w:val="00B656EA"/>
    <w:rsid w:val="00B76E2E"/>
    <w:rsid w:val="00B802FD"/>
    <w:rsid w:val="00B8038A"/>
    <w:rsid w:val="00B83BEA"/>
    <w:rsid w:val="00B86A51"/>
    <w:rsid w:val="00B87DC2"/>
    <w:rsid w:val="00B9286F"/>
    <w:rsid w:val="00B95A87"/>
    <w:rsid w:val="00B97638"/>
    <w:rsid w:val="00BA1DA6"/>
    <w:rsid w:val="00BA459F"/>
    <w:rsid w:val="00BB261A"/>
    <w:rsid w:val="00BC6B7E"/>
    <w:rsid w:val="00BD2953"/>
    <w:rsid w:val="00BD5F14"/>
    <w:rsid w:val="00BE48FE"/>
    <w:rsid w:val="00BE5BDA"/>
    <w:rsid w:val="00BF5203"/>
    <w:rsid w:val="00C01C0C"/>
    <w:rsid w:val="00C02E50"/>
    <w:rsid w:val="00C202F9"/>
    <w:rsid w:val="00C21120"/>
    <w:rsid w:val="00C2125A"/>
    <w:rsid w:val="00C23808"/>
    <w:rsid w:val="00C26709"/>
    <w:rsid w:val="00C30A49"/>
    <w:rsid w:val="00C314FF"/>
    <w:rsid w:val="00C34EFB"/>
    <w:rsid w:val="00C35521"/>
    <w:rsid w:val="00C35A8B"/>
    <w:rsid w:val="00C36A0A"/>
    <w:rsid w:val="00C40A60"/>
    <w:rsid w:val="00C410F5"/>
    <w:rsid w:val="00C45C5B"/>
    <w:rsid w:val="00C46D07"/>
    <w:rsid w:val="00C571FA"/>
    <w:rsid w:val="00C73739"/>
    <w:rsid w:val="00C74638"/>
    <w:rsid w:val="00C80D6B"/>
    <w:rsid w:val="00C82CD8"/>
    <w:rsid w:val="00C8604B"/>
    <w:rsid w:val="00C8788D"/>
    <w:rsid w:val="00C91933"/>
    <w:rsid w:val="00C927D8"/>
    <w:rsid w:val="00CA0095"/>
    <w:rsid w:val="00CA6650"/>
    <w:rsid w:val="00CA6A5A"/>
    <w:rsid w:val="00CB0F79"/>
    <w:rsid w:val="00CB27C0"/>
    <w:rsid w:val="00CB3F60"/>
    <w:rsid w:val="00CB731A"/>
    <w:rsid w:val="00CB7570"/>
    <w:rsid w:val="00CB7B9A"/>
    <w:rsid w:val="00CC1923"/>
    <w:rsid w:val="00CC42AA"/>
    <w:rsid w:val="00CC5151"/>
    <w:rsid w:val="00CC7F36"/>
    <w:rsid w:val="00CD010B"/>
    <w:rsid w:val="00CE103E"/>
    <w:rsid w:val="00CE1300"/>
    <w:rsid w:val="00CE1EF6"/>
    <w:rsid w:val="00CE2B4A"/>
    <w:rsid w:val="00CE4235"/>
    <w:rsid w:val="00CE6424"/>
    <w:rsid w:val="00CF0A34"/>
    <w:rsid w:val="00CF0FAD"/>
    <w:rsid w:val="00CF5049"/>
    <w:rsid w:val="00CF7733"/>
    <w:rsid w:val="00D001F0"/>
    <w:rsid w:val="00D01629"/>
    <w:rsid w:val="00D02209"/>
    <w:rsid w:val="00D02E07"/>
    <w:rsid w:val="00D05493"/>
    <w:rsid w:val="00D12683"/>
    <w:rsid w:val="00D12F69"/>
    <w:rsid w:val="00D16516"/>
    <w:rsid w:val="00D17F1B"/>
    <w:rsid w:val="00D22C6A"/>
    <w:rsid w:val="00D23B30"/>
    <w:rsid w:val="00D23F5A"/>
    <w:rsid w:val="00D27F53"/>
    <w:rsid w:val="00D3073E"/>
    <w:rsid w:val="00D31340"/>
    <w:rsid w:val="00D32491"/>
    <w:rsid w:val="00D407C0"/>
    <w:rsid w:val="00D4235E"/>
    <w:rsid w:val="00D42858"/>
    <w:rsid w:val="00D47C8D"/>
    <w:rsid w:val="00D62EC8"/>
    <w:rsid w:val="00D6719D"/>
    <w:rsid w:val="00D6780D"/>
    <w:rsid w:val="00D70861"/>
    <w:rsid w:val="00D7195D"/>
    <w:rsid w:val="00D7220F"/>
    <w:rsid w:val="00D739D7"/>
    <w:rsid w:val="00D73AC8"/>
    <w:rsid w:val="00D82F18"/>
    <w:rsid w:val="00D8364F"/>
    <w:rsid w:val="00D905B2"/>
    <w:rsid w:val="00D92BDB"/>
    <w:rsid w:val="00D952EE"/>
    <w:rsid w:val="00D95695"/>
    <w:rsid w:val="00D96936"/>
    <w:rsid w:val="00DA61D7"/>
    <w:rsid w:val="00DA67DE"/>
    <w:rsid w:val="00DB1B76"/>
    <w:rsid w:val="00DC179C"/>
    <w:rsid w:val="00DC6D99"/>
    <w:rsid w:val="00DC6F95"/>
    <w:rsid w:val="00DD3752"/>
    <w:rsid w:val="00DE66BE"/>
    <w:rsid w:val="00DF181E"/>
    <w:rsid w:val="00E00B66"/>
    <w:rsid w:val="00E03066"/>
    <w:rsid w:val="00E04E7A"/>
    <w:rsid w:val="00E07E86"/>
    <w:rsid w:val="00E117E0"/>
    <w:rsid w:val="00E12964"/>
    <w:rsid w:val="00E155E8"/>
    <w:rsid w:val="00E16FCC"/>
    <w:rsid w:val="00E20BD6"/>
    <w:rsid w:val="00E34EE7"/>
    <w:rsid w:val="00E357E2"/>
    <w:rsid w:val="00E41C9B"/>
    <w:rsid w:val="00E42865"/>
    <w:rsid w:val="00E435BD"/>
    <w:rsid w:val="00E446F6"/>
    <w:rsid w:val="00E45DE2"/>
    <w:rsid w:val="00E47FB5"/>
    <w:rsid w:val="00E52585"/>
    <w:rsid w:val="00E52A43"/>
    <w:rsid w:val="00E52E86"/>
    <w:rsid w:val="00E52FF9"/>
    <w:rsid w:val="00E532D4"/>
    <w:rsid w:val="00E62225"/>
    <w:rsid w:val="00E63898"/>
    <w:rsid w:val="00E63F6E"/>
    <w:rsid w:val="00E6405F"/>
    <w:rsid w:val="00E73921"/>
    <w:rsid w:val="00E749FF"/>
    <w:rsid w:val="00E82958"/>
    <w:rsid w:val="00E835A1"/>
    <w:rsid w:val="00E84475"/>
    <w:rsid w:val="00E90AD6"/>
    <w:rsid w:val="00E943A9"/>
    <w:rsid w:val="00E967F5"/>
    <w:rsid w:val="00E97666"/>
    <w:rsid w:val="00EA16E5"/>
    <w:rsid w:val="00EA25AF"/>
    <w:rsid w:val="00EA2E2F"/>
    <w:rsid w:val="00EA4874"/>
    <w:rsid w:val="00EA6FEF"/>
    <w:rsid w:val="00EB1EEC"/>
    <w:rsid w:val="00EB23AD"/>
    <w:rsid w:val="00EB2C4A"/>
    <w:rsid w:val="00EC4386"/>
    <w:rsid w:val="00EC4A53"/>
    <w:rsid w:val="00EC62D1"/>
    <w:rsid w:val="00ED0C6C"/>
    <w:rsid w:val="00ED3B49"/>
    <w:rsid w:val="00ED3BFE"/>
    <w:rsid w:val="00ED5AF1"/>
    <w:rsid w:val="00ED789E"/>
    <w:rsid w:val="00ED7A93"/>
    <w:rsid w:val="00EE3A14"/>
    <w:rsid w:val="00EE5788"/>
    <w:rsid w:val="00EE5A06"/>
    <w:rsid w:val="00F05125"/>
    <w:rsid w:val="00F14020"/>
    <w:rsid w:val="00F14E10"/>
    <w:rsid w:val="00F15433"/>
    <w:rsid w:val="00F20202"/>
    <w:rsid w:val="00F2598C"/>
    <w:rsid w:val="00F27B2A"/>
    <w:rsid w:val="00F33FA0"/>
    <w:rsid w:val="00F359A3"/>
    <w:rsid w:val="00F41FEF"/>
    <w:rsid w:val="00F420DD"/>
    <w:rsid w:val="00F43B81"/>
    <w:rsid w:val="00F4691E"/>
    <w:rsid w:val="00F532F1"/>
    <w:rsid w:val="00F60C7E"/>
    <w:rsid w:val="00F64EE2"/>
    <w:rsid w:val="00F7109F"/>
    <w:rsid w:val="00F72188"/>
    <w:rsid w:val="00F74443"/>
    <w:rsid w:val="00F85B28"/>
    <w:rsid w:val="00F93180"/>
    <w:rsid w:val="00FB0210"/>
    <w:rsid w:val="00FB5234"/>
    <w:rsid w:val="00FC50B0"/>
    <w:rsid w:val="00FD06CB"/>
    <w:rsid w:val="00FD22B8"/>
    <w:rsid w:val="00FD6A2F"/>
    <w:rsid w:val="00FE52C6"/>
    <w:rsid w:val="00FF0BF6"/>
    <w:rsid w:val="00FF2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5058"/>
  <w15:chartTrackingRefBased/>
  <w15:docId w15:val="{DF409E01-E282-46B8-ACF5-56E74E0F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D324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C6F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5FF3"/>
    <w:rPr>
      <w:color w:val="0000FF"/>
      <w:u w:val="single"/>
    </w:rPr>
  </w:style>
  <w:style w:type="character" w:styleId="UnresolvedMention">
    <w:name w:val="Unresolved Mention"/>
    <w:basedOn w:val="DefaultParagraphFont"/>
    <w:uiPriority w:val="99"/>
    <w:semiHidden/>
    <w:unhideWhenUsed/>
    <w:rsid w:val="000560CC"/>
    <w:rPr>
      <w:color w:val="605E5C"/>
      <w:shd w:val="clear" w:color="auto" w:fill="E1DFDD"/>
    </w:rPr>
  </w:style>
  <w:style w:type="paragraph" w:styleId="ListParagraph">
    <w:name w:val="List Paragraph"/>
    <w:basedOn w:val="Normal"/>
    <w:uiPriority w:val="34"/>
    <w:qFormat/>
    <w:rsid w:val="00486F4E"/>
    <w:pPr>
      <w:ind w:left="720"/>
      <w:contextualSpacing/>
    </w:pPr>
  </w:style>
  <w:style w:type="character" w:customStyle="1" w:styleId="Heading3Char">
    <w:name w:val="Heading 3 Char"/>
    <w:basedOn w:val="DefaultParagraphFont"/>
    <w:link w:val="Heading3"/>
    <w:uiPriority w:val="9"/>
    <w:rsid w:val="00DC6F95"/>
    <w:rPr>
      <w:rFonts w:asciiTheme="majorHAnsi" w:eastAsiaTheme="majorEastAsia" w:hAnsiTheme="majorHAnsi" w:cstheme="majorBidi"/>
      <w:color w:val="1F3763" w:themeColor="accent1" w:themeShade="7F"/>
      <w:sz w:val="24"/>
      <w:szCs w:val="24"/>
      <w:lang w:val="cy-GB"/>
    </w:rPr>
  </w:style>
  <w:style w:type="character" w:customStyle="1" w:styleId="Heading1Char">
    <w:name w:val="Heading 1 Char"/>
    <w:basedOn w:val="DefaultParagraphFont"/>
    <w:link w:val="Heading1"/>
    <w:uiPriority w:val="9"/>
    <w:rsid w:val="00D32491"/>
    <w:rPr>
      <w:rFonts w:asciiTheme="majorHAnsi" w:eastAsiaTheme="majorEastAsia" w:hAnsiTheme="majorHAnsi" w:cstheme="majorBidi"/>
      <w:color w:val="2F5496" w:themeColor="accent1" w:themeShade="BF"/>
      <w:sz w:val="32"/>
      <w:szCs w:val="32"/>
      <w:lang w:val="cy-GB"/>
    </w:rPr>
  </w:style>
  <w:style w:type="character" w:customStyle="1" w:styleId="AssignBodyChar">
    <w:name w:val="AssignBody Char"/>
    <w:basedOn w:val="DefaultParagraphFont"/>
    <w:link w:val="AssignBody"/>
    <w:locked/>
    <w:rsid w:val="00CE1300"/>
    <w:rPr>
      <w:rFonts w:ascii="Arial" w:hAnsi="Arial" w:cs="Arial"/>
    </w:rPr>
  </w:style>
  <w:style w:type="paragraph" w:customStyle="1" w:styleId="AssignBody">
    <w:name w:val="AssignBody"/>
    <w:basedOn w:val="Normal"/>
    <w:link w:val="AssignBodyChar"/>
    <w:qFormat/>
    <w:rsid w:val="00CE1300"/>
    <w:pPr>
      <w:spacing w:after="0" w:line="360" w:lineRule="auto"/>
    </w:pPr>
    <w:rPr>
      <w:rFonts w:ascii="Arial" w:hAnsi="Arial" w:cs="Arial"/>
      <w:lang w:val="en-GB"/>
    </w:rPr>
  </w:style>
  <w:style w:type="table" w:styleId="TableGrid">
    <w:name w:val="Table Grid"/>
    <w:basedOn w:val="TableNormal"/>
    <w:uiPriority w:val="39"/>
    <w:rsid w:val="00CE130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386978">
      <w:bodyDiv w:val="1"/>
      <w:marLeft w:val="0"/>
      <w:marRight w:val="0"/>
      <w:marTop w:val="0"/>
      <w:marBottom w:val="0"/>
      <w:divBdr>
        <w:top w:val="none" w:sz="0" w:space="0" w:color="auto"/>
        <w:left w:val="none" w:sz="0" w:space="0" w:color="auto"/>
        <w:bottom w:val="none" w:sz="0" w:space="0" w:color="auto"/>
        <w:right w:val="none" w:sz="0" w:space="0" w:color="auto"/>
      </w:divBdr>
    </w:div>
    <w:div w:id="492914386">
      <w:bodyDiv w:val="1"/>
      <w:marLeft w:val="0"/>
      <w:marRight w:val="0"/>
      <w:marTop w:val="0"/>
      <w:marBottom w:val="0"/>
      <w:divBdr>
        <w:top w:val="none" w:sz="0" w:space="0" w:color="auto"/>
        <w:left w:val="none" w:sz="0" w:space="0" w:color="auto"/>
        <w:bottom w:val="none" w:sz="0" w:space="0" w:color="auto"/>
        <w:right w:val="none" w:sz="0" w:space="0" w:color="auto"/>
      </w:divBdr>
    </w:div>
    <w:div w:id="568881462">
      <w:bodyDiv w:val="1"/>
      <w:marLeft w:val="0"/>
      <w:marRight w:val="0"/>
      <w:marTop w:val="0"/>
      <w:marBottom w:val="0"/>
      <w:divBdr>
        <w:top w:val="none" w:sz="0" w:space="0" w:color="auto"/>
        <w:left w:val="none" w:sz="0" w:space="0" w:color="auto"/>
        <w:bottom w:val="none" w:sz="0" w:space="0" w:color="auto"/>
        <w:right w:val="none" w:sz="0" w:space="0" w:color="auto"/>
      </w:divBdr>
    </w:div>
    <w:div w:id="714433016">
      <w:bodyDiv w:val="1"/>
      <w:marLeft w:val="0"/>
      <w:marRight w:val="0"/>
      <w:marTop w:val="0"/>
      <w:marBottom w:val="0"/>
      <w:divBdr>
        <w:top w:val="none" w:sz="0" w:space="0" w:color="auto"/>
        <w:left w:val="none" w:sz="0" w:space="0" w:color="auto"/>
        <w:bottom w:val="none" w:sz="0" w:space="0" w:color="auto"/>
        <w:right w:val="none" w:sz="0" w:space="0" w:color="auto"/>
      </w:divBdr>
    </w:div>
    <w:div w:id="1005130372">
      <w:bodyDiv w:val="1"/>
      <w:marLeft w:val="0"/>
      <w:marRight w:val="0"/>
      <w:marTop w:val="0"/>
      <w:marBottom w:val="0"/>
      <w:divBdr>
        <w:top w:val="none" w:sz="0" w:space="0" w:color="auto"/>
        <w:left w:val="none" w:sz="0" w:space="0" w:color="auto"/>
        <w:bottom w:val="none" w:sz="0" w:space="0" w:color="auto"/>
        <w:right w:val="none" w:sz="0" w:space="0" w:color="auto"/>
      </w:divBdr>
    </w:div>
    <w:div w:id="1111317972">
      <w:bodyDiv w:val="1"/>
      <w:marLeft w:val="0"/>
      <w:marRight w:val="0"/>
      <w:marTop w:val="0"/>
      <w:marBottom w:val="0"/>
      <w:divBdr>
        <w:top w:val="none" w:sz="0" w:space="0" w:color="auto"/>
        <w:left w:val="none" w:sz="0" w:space="0" w:color="auto"/>
        <w:bottom w:val="none" w:sz="0" w:space="0" w:color="auto"/>
        <w:right w:val="none" w:sz="0" w:space="0" w:color="auto"/>
      </w:divBdr>
    </w:div>
    <w:div w:id="1269049802">
      <w:bodyDiv w:val="1"/>
      <w:marLeft w:val="0"/>
      <w:marRight w:val="0"/>
      <w:marTop w:val="0"/>
      <w:marBottom w:val="0"/>
      <w:divBdr>
        <w:top w:val="none" w:sz="0" w:space="0" w:color="auto"/>
        <w:left w:val="none" w:sz="0" w:space="0" w:color="auto"/>
        <w:bottom w:val="none" w:sz="0" w:space="0" w:color="auto"/>
        <w:right w:val="none" w:sz="0" w:space="0" w:color="auto"/>
      </w:divBdr>
    </w:div>
    <w:div w:id="1298951504">
      <w:bodyDiv w:val="1"/>
      <w:marLeft w:val="0"/>
      <w:marRight w:val="0"/>
      <w:marTop w:val="0"/>
      <w:marBottom w:val="0"/>
      <w:divBdr>
        <w:top w:val="none" w:sz="0" w:space="0" w:color="auto"/>
        <w:left w:val="none" w:sz="0" w:space="0" w:color="auto"/>
        <w:bottom w:val="none" w:sz="0" w:space="0" w:color="auto"/>
        <w:right w:val="none" w:sz="0" w:space="0" w:color="auto"/>
      </w:divBdr>
    </w:div>
    <w:div w:id="150512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Intakhab-Khan-2/publication/284178836_Ethical_Considerations_in_an_Educational_Research_A_Critical_Analysis/links/602d95fa92851c4ed57bf4a3/Ethical-Considerations-in-an-Educational-Research-A-Critical-Analysis.pdf" TargetMode="External"/><Relationship Id="rId18" Type="http://schemas.openxmlformats.org/officeDocument/2006/relationships/hyperlink" Target="https://link.springer.com/article/10.1007/s10803-022-05639-3" TargetMode="External"/><Relationship Id="rId26" Type="http://schemas.openxmlformats.org/officeDocument/2006/relationships/hyperlink" Target="file:///C:\Users\mared\Downloads\9780203119853_googlepreview.pdf" TargetMode="External"/><Relationship Id="rId3" Type="http://schemas.openxmlformats.org/officeDocument/2006/relationships/styles" Target="styles.xml"/><Relationship Id="rId21" Type="http://schemas.openxmlformats.org/officeDocument/2006/relationships/hyperlink" Target="https://journals.sagepub.com/doi/epub/10.1177/1077800414563804" TargetMode="External"/><Relationship Id="rId34" Type="http://schemas.openxmlformats.org/officeDocument/2006/relationships/fontTable" Target="fontTable.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link.springer.com/article/10.1007/BF01538327" TargetMode="External"/><Relationship Id="rId17" Type="http://schemas.openxmlformats.org/officeDocument/2006/relationships/hyperlink" Target="https://www.tandfonline.com/doi/epdf/10.1080/09518398.2020.1828650?needAccess=true" TargetMode="External"/><Relationship Id="rId25" Type="http://schemas.openxmlformats.org/officeDocument/2006/relationships/hyperlink" Target="https://europepmc.org/article/nbk/nbk470326" TargetMode="External"/><Relationship Id="rId33" Type="http://schemas.openxmlformats.org/officeDocument/2006/relationships/hyperlink" Target="https://www.tandfonline.com/doi/full/10.1080/03098265.2010.501541?scroll=top&amp;needAccess=true" TargetMode="External"/><Relationship Id="rId2" Type="http://schemas.openxmlformats.org/officeDocument/2006/relationships/numbering" Target="numbering.xml"/><Relationship Id="rId16" Type="http://schemas.openxmlformats.org/officeDocument/2006/relationships/hyperlink" Target="https://www.llyw.cymru/sites/default/files/publications/2022-06/220622-cod-anghenion-dysgu-ychwanegol-cymru-2021.pdf" TargetMode="External"/><Relationship Id="rId20" Type="http://schemas.openxmlformats.org/officeDocument/2006/relationships/hyperlink" Target="https://www.autism.org.uk/advice-and-guidance/what-is-autism" TargetMode="External"/><Relationship Id="rId29" Type="http://schemas.openxmlformats.org/officeDocument/2006/relationships/hyperlink" Target="https://www.torrossa.com/en/resources/an/5018779" TargetMode="External"/><Relationship Id="rId1" Type="http://schemas.openxmlformats.org/officeDocument/2006/relationships/customXml" Target="../customXml/item1.xml"/><Relationship Id="rId6" Type="http://schemas.openxmlformats.org/officeDocument/2006/relationships/hyperlink" Target="https://books.google.co.uk/books?hl=en&amp;lr=&amp;id=j9IF6vPwkKQC&amp;oi=fnd&amp;pg=PP1&amp;dq=preventing+autistic+meltdowns&amp;ots=MJmbXWtMT-&amp;sig=4q6BI4b0t8Mywoh217QDo1V8Rrc" TargetMode="External"/><Relationship Id="rId11" Type="http://schemas.openxmlformats.org/officeDocument/2006/relationships/hyperlink" Target="https://dergipark.org.tr/en/pub/jlls/issue/9931/122886" TargetMode="External"/><Relationship Id="rId24" Type="http://schemas.openxmlformats.org/officeDocument/2006/relationships/hyperlink" Target="https://books.google.co.uk/books?hl=en&amp;lr=&amp;id=-dHtAQAAQBAJ&amp;oi=fnd&amp;pg=PP5&amp;dq=semi+structured+interviews&amp;ots=1CNsF3Yxg5&amp;sig=wLWSuRzYdE0ip_6dmcprPFJpI5U" TargetMode="External"/><Relationship Id="rId32" Type="http://schemas.openxmlformats.org/officeDocument/2006/relationships/hyperlink" Target="https://www.researchgate.net/profile/A-Biba-Rebolj-2/publication/265682891_The_case_study_as_a_type_of_qualitative_research/links/54183f560cf25ebee988104c/The-case-study-as-a-type-of-qualitative-research.pdf" TargetMode="External"/><Relationship Id="rId5" Type="http://schemas.openxmlformats.org/officeDocument/2006/relationships/webSettings" Target="webSettings.xml"/><Relationship Id="rId15" Type="http://schemas.openxmlformats.org/officeDocument/2006/relationships/hyperlink" Target="https://www.llyw.cymru/sites/default/files/publications/2018-09/rhaglen-trawsnewid-system-anghenion-dysgu-ychwanegol-ady-v2.pdf" TargetMode="External"/><Relationship Id="rId23" Type="http://schemas.openxmlformats.org/officeDocument/2006/relationships/hyperlink" Target="https://files.eric.ed.gov/fulltext/EJ926305.pdf" TargetMode="External"/><Relationship Id="rId28" Type="http://schemas.openxmlformats.org/officeDocument/2006/relationships/hyperlink" Target="https://www.tandfonline.com/doi/full/10.1080/09518398.2023.2268036" TargetMode="External"/><Relationship Id="rId10" Type="http://schemas.openxmlformats.org/officeDocument/2006/relationships/hyperlink" Target="https://www.jstor.org/stable/27904065" TargetMode="External"/><Relationship Id="rId19" Type="http://schemas.openxmlformats.org/officeDocument/2006/relationships/hyperlink" Target="https://d1wqtxts1xzle7.cloudfront.net/32474773/C0231317-libre.pdf?1391599348=&amp;response-content-disposition=inline%3B+filename%3DNote_taking_A_lesson_for_Novice_Qualitat.pdf&amp;Expires=1704741944&amp;Signature=PEXB6NqIrV~VKnpyPi37nPFcA9QBdGoNVZvavzT0M9o4QomvTVc51MEtZ5~GWXnNONWixnGXHm4C-ZL1jQ3DRXN0dxyvkPyjEsa7eKewLwS2UUFl92HwTpQHrUWN-GiI1iaQ2GceoExRYBpbiJPdnPyJZm2QqVGI8bz-9geNXMy0ubPNb4jRAkuaNSzPnC52n33bUPIBXKzoL3fKm7GuQ734mqfm4jbSeMnrF9rPpA7dnVPbM-ZpiWWoUAde~qiP6nchvL9y53K08uP7zvHr7b-nTXeHDiL~MyxmYG25I-LHWQScbBbbieFBm-SmIhe4kPXR75Q~TsMqB~qpMhuedg__&amp;Key-Pair-Id=APKAJLOHF5GGSLRBV4ZA" TargetMode="External"/><Relationship Id="rId31" Type="http://schemas.openxmlformats.org/officeDocument/2006/relationships/hyperlink" Target="https://www.taylorfrancis.com/chapters/edit/10.4324/9780429327667-5/understanding-complexity-praise-lens-self-determination-theory-bart-soenens-maarten-vansteenkiste" TargetMode="External"/><Relationship Id="rId4" Type="http://schemas.openxmlformats.org/officeDocument/2006/relationships/settings" Target="settings.xml"/><Relationship Id="rId9" Type="http://schemas.openxmlformats.org/officeDocument/2006/relationships/hyperlink" Target="https://core.ac.uk/download/pdf/51087095.pdf" TargetMode="External"/><Relationship Id="rId14" Type="http://schemas.openxmlformats.org/officeDocument/2006/relationships/hyperlink" Target="https://www.diva-portal.org/smash/get/diva2:1054643/FULLTEXT01.pdf" TargetMode="External"/><Relationship Id="rId22" Type="http://schemas.openxmlformats.org/officeDocument/2006/relationships/hyperlink" Target="https://onlinelibrary.wiley.com/doi/full/10.1111/1460-6984.12212" TargetMode="External"/><Relationship Id="rId27" Type="http://schemas.openxmlformats.org/officeDocument/2006/relationships/hyperlink" Target="https://begrijpelijkeformulieren.org/sites/begrijpelijkeformulieren/files/Reja_e.a._Open-ended_vs._Close-ended_Questions_in_Web.pdf" TargetMode="External"/><Relationship Id="rId30" Type="http://schemas.openxmlformats.org/officeDocument/2006/relationships/hyperlink" Target="https://link.springer.com/article/10.1007/s40617-018-0264-6" TargetMode="External"/><Relationship Id="rId35" Type="http://schemas.openxmlformats.org/officeDocument/2006/relationships/theme" Target="theme/theme1.xml"/><Relationship Id="rId8" Type="http://schemas.openxmlformats.org/officeDocument/2006/relationships/hyperlink" Target="https://www.emerald.com/insight/content/doi/10.1108/qmr-06-2016-0053/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CEE8A-9F66-4178-9816-132DD905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6832</Words>
  <Characters>38947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Mared Jones</dc:creator>
  <cp:keywords/>
  <dc:description/>
  <cp:lastModifiedBy>Mared Jones</cp:lastModifiedBy>
  <cp:revision>9</cp:revision>
  <dcterms:created xsi:type="dcterms:W3CDTF">2024-01-09T21:21:00Z</dcterms:created>
  <dcterms:modified xsi:type="dcterms:W3CDTF">2024-01-09T22:06:00Z</dcterms:modified>
</cp:coreProperties>
</file>