
<file path=[Content_Types].xml><?xml version="1.0" encoding="utf-8"?>
<Types xmlns="http://schemas.openxmlformats.org/package/2006/content-types">
  <Default Extension="png" ContentType="image/png"/>
  <Default Extension="emf" ContentType="image/x-emf"/>
  <Default Extension="rels" ContentType="application/vnd.openxmlformats-package.relationships+xml"/>
  <Default Extension="xml" ContentType="application/xml"/>
  <Default Extension="xlsx" ContentType="application/vnd.openxmlformats-officedocument.spreadsheetml.sheet"/>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76CC53E0" w14:textId="7F3D870B" w:rsidR="00374073" w:rsidRDefault="00374073">
      <w:pPr>
        <w:rPr>
          <w:b/>
          <w:u w:val="single"/>
        </w:rPr>
      </w:pPr>
      <w:r>
        <w:rPr>
          <w:b/>
          <w:noProof/>
          <w:u w:val="single"/>
          <w:lang w:eastAsia="en-GB"/>
        </w:rPr>
        <w:drawing>
          <wp:inline distT="0" distB="0" distL="0" distR="0" wp14:anchorId="4A6F54FA" wp14:editId="2C1BCB98">
            <wp:extent cx="6096635" cy="3429635"/>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6096635" cy="3429635"/>
                    </a:xfrm>
                    <a:prstGeom prst="rect">
                      <a:avLst/>
                    </a:prstGeom>
                    <a:noFill/>
                  </pic:spPr>
                </pic:pic>
              </a:graphicData>
            </a:graphic>
          </wp:inline>
        </w:drawing>
      </w:r>
    </w:p>
    <w:p w14:paraId="7672B3E5" w14:textId="45481623" w:rsidR="0070776E" w:rsidRPr="0070776E" w:rsidRDefault="0070776E">
      <w:r>
        <w:t xml:space="preserve">Welcome to today’s presentation on “The Principles of Analytics and Evidence-Based Practice”.  At the end of the presentation there will be an opportunity to ask any </w:t>
      </w:r>
      <w:r w:rsidR="00F4182C">
        <w:t>questions.  All reading /</w:t>
      </w:r>
      <w:r w:rsidR="00D04CD0">
        <w:t xml:space="preserve"> further </w:t>
      </w:r>
      <w:r>
        <w:t xml:space="preserve">links can be found on the final slide.  </w:t>
      </w:r>
    </w:p>
    <w:p w14:paraId="17BABCED" w14:textId="77777777" w:rsidR="00374073" w:rsidRDefault="00374073">
      <w:pPr>
        <w:rPr>
          <w:b/>
          <w:u w:val="single"/>
        </w:rPr>
      </w:pPr>
      <w:r>
        <w:rPr>
          <w:b/>
          <w:noProof/>
          <w:u w:val="single"/>
          <w:lang w:eastAsia="en-GB"/>
        </w:rPr>
        <w:drawing>
          <wp:inline distT="0" distB="0" distL="0" distR="0" wp14:anchorId="415E58B7" wp14:editId="5B7E3DCB">
            <wp:extent cx="6096635" cy="3429635"/>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6096635" cy="3429635"/>
                    </a:xfrm>
                    <a:prstGeom prst="rect">
                      <a:avLst/>
                    </a:prstGeom>
                    <a:noFill/>
                  </pic:spPr>
                </pic:pic>
              </a:graphicData>
            </a:graphic>
          </wp:inline>
        </w:drawing>
      </w:r>
    </w:p>
    <w:p w14:paraId="71EE9002" w14:textId="69923A36" w:rsidR="00374073" w:rsidRDefault="004F6FB2">
      <w:pPr>
        <w:rPr>
          <w:b/>
          <w:u w:val="single"/>
        </w:rPr>
      </w:pPr>
      <w:r w:rsidRPr="004F6FB2">
        <w:rPr>
          <w:b/>
          <w:u w:val="single"/>
        </w:rPr>
        <w:lastRenderedPageBreak/>
        <w:drawing>
          <wp:inline distT="0" distB="0" distL="0" distR="0" wp14:anchorId="29D024A7" wp14:editId="0DFFE4C3">
            <wp:extent cx="5731510" cy="3223895"/>
            <wp:effectExtent l="0" t="0" r="254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731510" cy="3223895"/>
                    </a:xfrm>
                    <a:prstGeom prst="rect">
                      <a:avLst/>
                    </a:prstGeom>
                  </pic:spPr>
                </pic:pic>
              </a:graphicData>
            </a:graphic>
          </wp:inline>
        </w:drawing>
      </w:r>
    </w:p>
    <w:p w14:paraId="6C930C24" w14:textId="77777777" w:rsidR="00374073" w:rsidRDefault="00374073" w:rsidP="00F314BE">
      <w:pPr>
        <w:pStyle w:val="ListParagraph"/>
        <w:spacing w:after="0"/>
        <w:ind w:left="0"/>
        <w:jc w:val="both"/>
      </w:pPr>
    </w:p>
    <w:p w14:paraId="6045A721" w14:textId="02BB638E" w:rsidR="00374073" w:rsidRDefault="00F6642B" w:rsidP="00F314BE">
      <w:pPr>
        <w:pStyle w:val="ListParagraph"/>
        <w:spacing w:after="0"/>
        <w:ind w:left="0"/>
        <w:jc w:val="both"/>
        <w:rPr>
          <w:i/>
        </w:rPr>
      </w:pPr>
      <w:r>
        <w:t>Young (2022b</w:t>
      </w:r>
      <w:r w:rsidR="00374073">
        <w:t xml:space="preserve">) states </w:t>
      </w:r>
      <w:r w:rsidR="002D0E3D">
        <w:t>“</w:t>
      </w:r>
      <w:r w:rsidR="00374073">
        <w:t>that at the heart of evidence-based practice is the idea that good decision-making is achieved through critical thinking and draw</w:t>
      </w:r>
      <w:r w:rsidR="002D0E3D">
        <w:t>ing on best available evidence”.</w:t>
      </w:r>
      <w:r w:rsidR="00374073">
        <w:t xml:space="preserve"> </w:t>
      </w:r>
    </w:p>
    <w:p w14:paraId="6B29861C" w14:textId="77777777" w:rsidR="00374073" w:rsidRDefault="00374073" w:rsidP="00F314BE">
      <w:pPr>
        <w:pStyle w:val="ListParagraph"/>
        <w:spacing w:after="0"/>
        <w:ind w:left="0"/>
        <w:jc w:val="both"/>
        <w:rPr>
          <w:i/>
        </w:rPr>
      </w:pPr>
    </w:p>
    <w:p w14:paraId="330ADA4E" w14:textId="4B74E938" w:rsidR="00374073" w:rsidRPr="0098547E" w:rsidRDefault="00374073" w:rsidP="00F314BE">
      <w:pPr>
        <w:pStyle w:val="ListParagraph"/>
        <w:spacing w:after="0"/>
        <w:ind w:left="0"/>
        <w:jc w:val="both"/>
      </w:pPr>
      <w:r>
        <w:t xml:space="preserve">The CIPD professions map sets the international benchmark for People Professionals to make principle led judgements for the organisation.  </w:t>
      </w:r>
      <w:r w:rsidR="00A723CD">
        <w:t xml:space="preserve">A profession map as stated by </w:t>
      </w:r>
      <w:r w:rsidR="00F6642B">
        <w:t>Young (2022c</w:t>
      </w:r>
      <w:r>
        <w:t xml:space="preserve">) </w:t>
      </w:r>
      <w:r w:rsidR="00A723CD">
        <w:t xml:space="preserve">outlines </w:t>
      </w:r>
      <w:r>
        <w:t>the knowledge, behaviou</w:t>
      </w:r>
      <w:r w:rsidR="00A723CD">
        <w:t xml:space="preserve">rs and </w:t>
      </w:r>
      <w:r w:rsidR="00C34BC7">
        <w:t>values, which</w:t>
      </w:r>
      <w:r w:rsidR="00A723CD">
        <w:t xml:space="preserve"> </w:t>
      </w:r>
      <w:r w:rsidR="00CB6DC4">
        <w:t xml:space="preserve">are the foundation for </w:t>
      </w:r>
      <w:r>
        <w:t xml:space="preserve">today’s people profession.  </w:t>
      </w:r>
    </w:p>
    <w:p w14:paraId="4265BF2C" w14:textId="77777777" w:rsidR="00374073" w:rsidRDefault="00374073" w:rsidP="00F314BE">
      <w:pPr>
        <w:pStyle w:val="ListParagraph"/>
        <w:spacing w:after="0"/>
        <w:ind w:left="0"/>
        <w:jc w:val="both"/>
        <w:rPr>
          <w:i/>
        </w:rPr>
      </w:pPr>
    </w:p>
    <w:p w14:paraId="5463D6D8" w14:textId="06775DF1" w:rsidR="00374073" w:rsidRDefault="00C50FAF" w:rsidP="00F314BE">
      <w:pPr>
        <w:spacing w:after="0"/>
        <w:jc w:val="both"/>
      </w:pPr>
      <w:r>
        <w:t xml:space="preserve">Three examples of evidence-based practice are; </w:t>
      </w:r>
    </w:p>
    <w:p w14:paraId="153610D6" w14:textId="77777777" w:rsidR="00374073" w:rsidRDefault="00374073" w:rsidP="00F314BE">
      <w:pPr>
        <w:spacing w:after="0"/>
        <w:jc w:val="both"/>
      </w:pPr>
    </w:p>
    <w:p w14:paraId="2F4CAAEC" w14:textId="1B0184D8" w:rsidR="00374073" w:rsidRDefault="00374073" w:rsidP="00F314BE">
      <w:pPr>
        <w:spacing w:after="0"/>
        <w:jc w:val="both"/>
      </w:pPr>
      <w:r w:rsidRPr="00C50EBF">
        <w:rPr>
          <w:b/>
          <w:i/>
        </w:rPr>
        <w:t>Organisational data</w:t>
      </w:r>
      <w:r>
        <w:t xml:space="preserve"> such as staff surveys</w:t>
      </w:r>
      <w:r w:rsidR="00FD4AD6">
        <w:t xml:space="preserve"> which</w:t>
      </w:r>
      <w:r>
        <w:t xml:space="preserve"> can be used to get to know the Workforce</w:t>
      </w:r>
      <w:r w:rsidR="00CB1491">
        <w:t xml:space="preserve">.  It can </w:t>
      </w:r>
      <w:r>
        <w:t>help to identify any skill gaps or areas of expertise</w:t>
      </w:r>
      <w:r w:rsidR="00C50EBF">
        <w:t xml:space="preserve"> and </w:t>
      </w:r>
      <w:r w:rsidR="00CB1491">
        <w:t xml:space="preserve">give </w:t>
      </w:r>
      <w:r>
        <w:t>u</w:t>
      </w:r>
      <w:r w:rsidR="00352FF4">
        <w:t>s an insight into employee well</w:t>
      </w:r>
      <w:r>
        <w:t>being and engagement</w:t>
      </w:r>
      <w:r w:rsidR="00C50EBF">
        <w:t>.  Exit</w:t>
      </w:r>
      <w:r>
        <w:t xml:space="preserve"> interviews</w:t>
      </w:r>
      <w:r w:rsidR="00354889">
        <w:t xml:space="preserve"> </w:t>
      </w:r>
      <w:r w:rsidR="00EC28A4">
        <w:t xml:space="preserve">(HDUHB </w:t>
      </w:r>
      <w:r w:rsidR="00354889" w:rsidRPr="002D18BD">
        <w:t>202</w:t>
      </w:r>
      <w:r w:rsidR="00354889">
        <w:t>2a</w:t>
      </w:r>
      <w:r w:rsidR="00354889" w:rsidRPr="002D18BD">
        <w:t>)</w:t>
      </w:r>
      <w:r w:rsidR="00C50EBF">
        <w:t xml:space="preserve"> can also be used and</w:t>
      </w:r>
      <w:r w:rsidR="0070776E">
        <w:t xml:space="preserve"> w</w:t>
      </w:r>
      <w:r>
        <w:t>e have recently promoted</w:t>
      </w:r>
      <w:r w:rsidR="00CB1491">
        <w:t xml:space="preserve"> </w:t>
      </w:r>
      <w:r w:rsidR="00C50EBF">
        <w:t xml:space="preserve">a new exit interview strategy to hopefully </w:t>
      </w:r>
      <w:r w:rsidR="00C50FAF">
        <w:t>engage</w:t>
      </w:r>
      <w:r w:rsidR="00C50EBF">
        <w:t xml:space="preserve"> more members of staff and delve deeper into why certain </w:t>
      </w:r>
      <w:r w:rsidR="00D6290E">
        <w:t>d</w:t>
      </w:r>
      <w:r w:rsidR="00C50EBF">
        <w:t>epartments h</w:t>
      </w:r>
      <w:r w:rsidR="00D6290E">
        <w:t>ave a high number of turnover</w:t>
      </w:r>
      <w:r w:rsidR="00C50EBF">
        <w:t xml:space="preserve">.  </w:t>
      </w:r>
    </w:p>
    <w:p w14:paraId="2B45FED2" w14:textId="77777777" w:rsidR="00374073" w:rsidRDefault="00374073" w:rsidP="00F314BE">
      <w:pPr>
        <w:pStyle w:val="ListParagraph"/>
        <w:spacing w:after="0"/>
        <w:ind w:left="0"/>
        <w:jc w:val="both"/>
        <w:rPr>
          <w:i/>
        </w:rPr>
      </w:pPr>
    </w:p>
    <w:p w14:paraId="374D8506" w14:textId="7EEB295D" w:rsidR="00374073" w:rsidRDefault="00374073" w:rsidP="00F314BE">
      <w:pPr>
        <w:pStyle w:val="ListParagraph"/>
        <w:spacing w:after="0"/>
        <w:ind w:left="0"/>
        <w:jc w:val="both"/>
      </w:pPr>
      <w:r w:rsidRPr="00623A14">
        <w:rPr>
          <w:b/>
          <w:i/>
        </w:rPr>
        <w:t>Behavioural science</w:t>
      </w:r>
      <w:r>
        <w:t xml:space="preserve"> such as </w:t>
      </w:r>
      <w:r w:rsidR="008F538E">
        <w:t>Kotter’s</w:t>
      </w:r>
      <w:r>
        <w:t xml:space="preserve"> </w:t>
      </w:r>
      <w:r w:rsidR="007030FD">
        <w:t>8-step</w:t>
      </w:r>
      <w:r>
        <w:t xml:space="preserve"> change model is a tool to help implement change successfully.  </w:t>
      </w:r>
      <w:r w:rsidRPr="001A05B4">
        <w:t xml:space="preserve">Kotter </w:t>
      </w:r>
      <w:r>
        <w:t xml:space="preserve">(1995) </w:t>
      </w:r>
      <w:r w:rsidRPr="001A05B4">
        <w:t>suggests that for change to be successful, 75</w:t>
      </w:r>
      <w:r>
        <w:t xml:space="preserve">% of a </w:t>
      </w:r>
      <w:r w:rsidRPr="001A05B4">
        <w:t>company's management needs to "buy into" the change</w:t>
      </w:r>
      <w:r>
        <w:t>.</w:t>
      </w:r>
    </w:p>
    <w:p w14:paraId="33F4FCA4" w14:textId="77777777" w:rsidR="00374073" w:rsidRDefault="00374073" w:rsidP="00F314BE">
      <w:pPr>
        <w:pStyle w:val="ListParagraph"/>
        <w:spacing w:after="0"/>
        <w:ind w:left="0"/>
        <w:jc w:val="both"/>
      </w:pPr>
    </w:p>
    <w:p w14:paraId="588CE1AA" w14:textId="441F0ED3" w:rsidR="00374073" w:rsidRDefault="00374073" w:rsidP="00F314BE">
      <w:pPr>
        <w:pStyle w:val="ListParagraph"/>
        <w:spacing w:after="0"/>
        <w:ind w:left="0"/>
        <w:jc w:val="both"/>
      </w:pPr>
      <w:r w:rsidRPr="00F00369">
        <w:rPr>
          <w:b/>
          <w:i/>
        </w:rPr>
        <w:t>Stakeholder concerns</w:t>
      </w:r>
      <w:r>
        <w:t xml:space="preserve"> help People Professionals to establish where bias is arising from and if it is causing a negative impact on an Organisation.  It is also critical as Professionals we observe our </w:t>
      </w:r>
      <w:r w:rsidR="00F00369">
        <w:t>organisational culture</w:t>
      </w:r>
      <w:r>
        <w:t xml:space="preserve"> </w:t>
      </w:r>
      <w:r w:rsidR="00CB1491">
        <w:t xml:space="preserve">to enable us to understand it.  Positive employee engagement will contribute towards business success, performance and </w:t>
      </w:r>
      <w:r w:rsidR="00C06C66">
        <w:t>productivity</w:t>
      </w:r>
      <w:r w:rsidR="00CB1491">
        <w:t xml:space="preserve"> (Engage for </w:t>
      </w:r>
      <w:r w:rsidR="00991872">
        <w:t>Success</w:t>
      </w:r>
      <w:r w:rsidR="00CB1491">
        <w:t xml:space="preserve"> 2014).  </w:t>
      </w:r>
    </w:p>
    <w:p w14:paraId="2FBA188A" w14:textId="77777777" w:rsidR="00374073" w:rsidRDefault="00374073" w:rsidP="00F314BE">
      <w:pPr>
        <w:pStyle w:val="ListParagraph"/>
        <w:spacing w:after="0"/>
        <w:ind w:left="0"/>
        <w:jc w:val="both"/>
      </w:pPr>
    </w:p>
    <w:p w14:paraId="114C418C" w14:textId="43E83F1B" w:rsidR="00374073" w:rsidRDefault="00374073" w:rsidP="00F314BE">
      <w:pPr>
        <w:pStyle w:val="ListParagraph"/>
        <w:spacing w:after="0"/>
        <w:ind w:left="0"/>
        <w:jc w:val="both"/>
      </w:pPr>
      <w:r>
        <w:t xml:space="preserve">A great example of </w:t>
      </w:r>
      <w:r w:rsidR="00CE3F6B">
        <w:t xml:space="preserve">this is the current plans for the new </w:t>
      </w:r>
      <w:r w:rsidR="00CE3F6B" w:rsidRPr="00A61967">
        <w:t>Urgent and Planned Care Hospita</w:t>
      </w:r>
      <w:r w:rsidR="004340F1">
        <w:t xml:space="preserve">l the location of which </w:t>
      </w:r>
      <w:r w:rsidR="00CE3F6B">
        <w:t xml:space="preserve">is still undecided.  This will be somewhere between and including the zone of St Clears to </w:t>
      </w:r>
      <w:proofErr w:type="spellStart"/>
      <w:r w:rsidR="00CE3F6B">
        <w:t>Narbeth</w:t>
      </w:r>
      <w:proofErr w:type="spellEnd"/>
      <w:r w:rsidR="00CE3F6B">
        <w:t xml:space="preserve">.  </w:t>
      </w:r>
      <w:r>
        <w:t>A</w:t>
      </w:r>
      <w:r w:rsidR="00C05FA9">
        <w:t xml:space="preserve">n appraisal group has </w:t>
      </w:r>
      <w:r>
        <w:t xml:space="preserve">been setup for members of the public to </w:t>
      </w:r>
      <w:r w:rsidR="00BC62A6">
        <w:t xml:space="preserve">attend </w:t>
      </w:r>
      <w:r w:rsidR="004340F1">
        <w:t xml:space="preserve">to have their say and air any concerns </w:t>
      </w:r>
      <w:r>
        <w:t>(HDUHB 2022</w:t>
      </w:r>
      <w:r w:rsidR="000F4789">
        <w:t>b</w:t>
      </w:r>
      <w:r>
        <w:t>).</w:t>
      </w:r>
    </w:p>
    <w:p w14:paraId="357B626A" w14:textId="77777777" w:rsidR="007F026D" w:rsidRDefault="007F026D" w:rsidP="00374073">
      <w:pPr>
        <w:pStyle w:val="ListParagraph"/>
        <w:spacing w:after="0"/>
        <w:ind w:left="0"/>
      </w:pPr>
    </w:p>
    <w:p w14:paraId="597B4C15" w14:textId="22FB8297" w:rsidR="007F026D" w:rsidRDefault="00087F8C" w:rsidP="00374073">
      <w:pPr>
        <w:pStyle w:val="ListParagraph"/>
        <w:spacing w:after="0"/>
        <w:ind w:left="0"/>
      </w:pPr>
      <w:r w:rsidRPr="00087F8C">
        <w:rPr>
          <w:noProof/>
          <w:lang w:eastAsia="en-GB"/>
        </w:rPr>
        <w:drawing>
          <wp:inline distT="0" distB="0" distL="0" distR="0" wp14:anchorId="25CD8CD6" wp14:editId="19F8E1B8">
            <wp:extent cx="5731510" cy="3223895"/>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731510" cy="3223895"/>
                    </a:xfrm>
                    <a:prstGeom prst="rect">
                      <a:avLst/>
                    </a:prstGeom>
                  </pic:spPr>
                </pic:pic>
              </a:graphicData>
            </a:graphic>
          </wp:inline>
        </w:drawing>
      </w:r>
    </w:p>
    <w:p w14:paraId="6A2297B8" w14:textId="77777777" w:rsidR="007F026D" w:rsidRDefault="007F026D" w:rsidP="00374073">
      <w:pPr>
        <w:pStyle w:val="ListParagraph"/>
        <w:spacing w:after="0"/>
        <w:ind w:left="0"/>
      </w:pPr>
    </w:p>
    <w:p w14:paraId="4C2362BB" w14:textId="455C2F19" w:rsidR="007F026D" w:rsidRDefault="007F026D" w:rsidP="00F314BE">
      <w:pPr>
        <w:spacing w:after="0"/>
        <w:jc w:val="both"/>
      </w:pPr>
      <w:r>
        <w:t>Collecting data, whether that be quantitative or qualitative, can help assist in organisation improvements to ensure we form a strategic decision based on reliable, sound evidence.  It is important to</w:t>
      </w:r>
      <w:r w:rsidR="00470C96">
        <w:t xml:space="preserve"> use up-to-date data to ensure t</w:t>
      </w:r>
      <w:r>
        <w:t xml:space="preserve">hat we not only follow new legal regulations (if any) but to also ensure we make the best decision possible using valid information.  </w:t>
      </w:r>
    </w:p>
    <w:p w14:paraId="048F8790" w14:textId="77777777" w:rsidR="007F026D" w:rsidRDefault="007F026D" w:rsidP="00F314BE">
      <w:pPr>
        <w:spacing w:after="0"/>
        <w:jc w:val="both"/>
      </w:pPr>
    </w:p>
    <w:p w14:paraId="3825B338" w14:textId="0AC0C308" w:rsidR="00996B04" w:rsidRDefault="00996B04" w:rsidP="00F314BE">
      <w:pPr>
        <w:spacing w:after="0"/>
        <w:jc w:val="both"/>
      </w:pPr>
      <w:r>
        <w:t>Following the 5 steps of evidence-based practice ensures our data is valid, ethical and accurate.</w:t>
      </w:r>
      <w:r w:rsidR="0032708F">
        <w:t xml:space="preserve">  As stated by Sheri and Mike (2012) “</w:t>
      </w:r>
      <w:r w:rsidR="0032708F" w:rsidRPr="007845AB">
        <w:t>the 5 “A”s form a scaff</w:t>
      </w:r>
      <w:r w:rsidR="0032708F">
        <w:t>olding for us to use in doing evidence-based</w:t>
      </w:r>
      <w:r w:rsidR="0032708F" w:rsidRPr="007845AB">
        <w:t xml:space="preserve"> quality improvement work of many types</w:t>
      </w:r>
      <w:r w:rsidR="0032708F">
        <w:t xml:space="preserve">”.  </w:t>
      </w:r>
      <w:r>
        <w:t xml:space="preserve">  </w:t>
      </w:r>
    </w:p>
    <w:p w14:paraId="52B87337" w14:textId="77777777" w:rsidR="007F026D" w:rsidRDefault="007F026D" w:rsidP="00F314BE">
      <w:pPr>
        <w:spacing w:after="0"/>
        <w:jc w:val="both"/>
      </w:pPr>
    </w:p>
    <w:p w14:paraId="0928F1C8" w14:textId="2EB6BB3F" w:rsidR="007F026D" w:rsidRDefault="007F026D" w:rsidP="00F314BE">
      <w:pPr>
        <w:spacing w:after="0"/>
        <w:jc w:val="both"/>
      </w:pPr>
      <w:r>
        <w:t>According to CIPD research (</w:t>
      </w:r>
      <w:r w:rsidR="007845AB">
        <w:t>2022),</w:t>
      </w:r>
      <w:r w:rsidR="0062768D">
        <w:t xml:space="preserve"> only 36% of finance </w:t>
      </w:r>
      <w:r w:rsidR="003B409F">
        <w:t xml:space="preserve">professionals believe their HR function has </w:t>
      </w:r>
      <w:r w:rsidR="00E3583A">
        <w:t>demonstrable</w:t>
      </w:r>
      <w:r w:rsidR="003B409F">
        <w:t xml:space="preserve"> numerical and statistical skills, and 37% believe their HR function demonstrates these skills.  </w:t>
      </w:r>
      <w:r w:rsidR="003E432F">
        <w:t>This could be damaging to an organisation when collecting data as if it has not been done correctly the wrong decis</w:t>
      </w:r>
      <w:r w:rsidR="00A84109">
        <w:t>ion could be made resulting in loss of profit and ruining a reputation.</w:t>
      </w:r>
    </w:p>
    <w:p w14:paraId="549C1167" w14:textId="02547357" w:rsidR="007B1A89" w:rsidRDefault="007B1A89" w:rsidP="00F314BE">
      <w:pPr>
        <w:spacing w:after="0"/>
        <w:jc w:val="both"/>
      </w:pPr>
    </w:p>
    <w:p w14:paraId="7CD978B0" w14:textId="0C8DFCAE" w:rsidR="007B1A89" w:rsidRDefault="007B1A89" w:rsidP="00F314BE">
      <w:pPr>
        <w:spacing w:after="0"/>
        <w:jc w:val="both"/>
      </w:pPr>
      <w:r>
        <w:t>We naturally create our</w:t>
      </w:r>
      <w:r w:rsidRPr="007B1A89">
        <w:t xml:space="preserve"> own bias however</w:t>
      </w:r>
      <w:r>
        <w:t>,</w:t>
      </w:r>
      <w:r w:rsidRPr="007B1A89">
        <w:t xml:space="preserve"> this can deter from progress when we mechanically inherit behaviours. As </w:t>
      </w:r>
      <w:r w:rsidR="0061544C">
        <w:t xml:space="preserve">stated </w:t>
      </w:r>
      <w:r w:rsidR="009872B4">
        <w:t>by Paul Sills (2019) c</w:t>
      </w:r>
      <w:r w:rsidRPr="007B1A89">
        <w:t xml:space="preserve">ognitive biases </w:t>
      </w:r>
      <w:r>
        <w:t xml:space="preserve">can </w:t>
      </w:r>
      <w:r w:rsidRPr="007B1A89">
        <w:t>have an effect on</w:t>
      </w:r>
      <w:r>
        <w:t xml:space="preserve"> ethical decision-</w:t>
      </w:r>
      <w:r w:rsidR="00CE36FD">
        <w:t>making, which</w:t>
      </w:r>
      <w:r w:rsidR="009872B4">
        <w:t xml:space="preserve"> can sometimes account for </w:t>
      </w:r>
      <w:r>
        <w:t xml:space="preserve">why good people make poor </w:t>
      </w:r>
      <w:r w:rsidR="0061544C">
        <w:t>decisions</w:t>
      </w:r>
      <w:r>
        <w:t xml:space="preserve">.  </w:t>
      </w:r>
    </w:p>
    <w:p w14:paraId="338EE901" w14:textId="77777777" w:rsidR="007F026D" w:rsidRDefault="007F026D" w:rsidP="00F314BE">
      <w:pPr>
        <w:pStyle w:val="ListParagraph"/>
        <w:spacing w:after="0"/>
        <w:ind w:left="0"/>
        <w:jc w:val="both"/>
      </w:pPr>
    </w:p>
    <w:p w14:paraId="0C8DA57F" w14:textId="6787B4AA" w:rsidR="00374073" w:rsidRDefault="00007877" w:rsidP="00374073">
      <w:r w:rsidRPr="00007877">
        <w:rPr>
          <w:noProof/>
          <w:lang w:eastAsia="en-GB"/>
        </w:rPr>
        <w:lastRenderedPageBreak/>
        <w:drawing>
          <wp:inline distT="0" distB="0" distL="0" distR="0" wp14:anchorId="5C2AB99E" wp14:editId="59A97892">
            <wp:extent cx="5731510" cy="3223895"/>
            <wp:effectExtent l="0" t="0" r="254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731510" cy="3223895"/>
                    </a:xfrm>
                    <a:prstGeom prst="rect">
                      <a:avLst/>
                    </a:prstGeom>
                  </pic:spPr>
                </pic:pic>
              </a:graphicData>
            </a:graphic>
          </wp:inline>
        </w:drawing>
      </w:r>
    </w:p>
    <w:p w14:paraId="226E99A4" w14:textId="3E243F5C" w:rsidR="001423B6" w:rsidRDefault="00C90F20" w:rsidP="002F6D54">
      <w:pPr>
        <w:spacing w:after="0"/>
        <w:jc w:val="both"/>
      </w:pPr>
      <w:r>
        <w:t>There are two types of</w:t>
      </w:r>
      <w:r w:rsidR="001423B6">
        <w:t xml:space="preserve"> measurements </w:t>
      </w:r>
      <w:r>
        <w:t>regularly used when collecting data</w:t>
      </w:r>
      <w:r w:rsidR="001423B6">
        <w:t xml:space="preserve">.  These are quantitative </w:t>
      </w:r>
      <w:r w:rsidR="001423B6" w:rsidRPr="007D0B40">
        <w:t>and</w:t>
      </w:r>
      <w:r w:rsidR="007660FD">
        <w:t xml:space="preserve"> qualitative.  </w:t>
      </w:r>
      <w:r w:rsidR="001423B6">
        <w:t xml:space="preserve">Quantitative data is statistical or numerical variables </w:t>
      </w:r>
      <w:r w:rsidR="00DF24F4">
        <w:t>whereas</w:t>
      </w:r>
      <w:r w:rsidR="001423B6">
        <w:t xml:space="preserve"> qualitative data is qualities or </w:t>
      </w:r>
      <w:r w:rsidR="00107D79">
        <w:t>characteristics, which</w:t>
      </w:r>
      <w:r w:rsidR="001423B6">
        <w:t xml:space="preserve"> can be collected via surveys, interviews, case studies </w:t>
      </w:r>
      <w:r w:rsidR="00107D79">
        <w:t xml:space="preserve">etc., </w:t>
      </w:r>
      <w:r w:rsidR="001423B6">
        <w:t xml:space="preserve">and captures the views of </w:t>
      </w:r>
      <w:r w:rsidR="007660FD">
        <w:t xml:space="preserve">the individuals participating </w:t>
      </w:r>
      <w:r w:rsidR="00B320A9">
        <w:t xml:space="preserve">(Hoover </w:t>
      </w:r>
      <w:r w:rsidR="007660FD">
        <w:t xml:space="preserve">2021). </w:t>
      </w:r>
    </w:p>
    <w:p w14:paraId="0808E6BC" w14:textId="77777777" w:rsidR="001423B6" w:rsidRDefault="001423B6" w:rsidP="002F6D54">
      <w:pPr>
        <w:spacing w:after="0"/>
        <w:jc w:val="both"/>
      </w:pPr>
    </w:p>
    <w:p w14:paraId="58887454" w14:textId="088ED629" w:rsidR="001423B6" w:rsidRDefault="001423B6" w:rsidP="002F6D54">
      <w:pPr>
        <w:spacing w:after="0"/>
        <w:jc w:val="both"/>
      </w:pPr>
      <w:r>
        <w:t>An example of quantitative data col</w:t>
      </w:r>
      <w:r w:rsidR="00C90F20">
        <w:t xml:space="preserve">lected within the Health Board </w:t>
      </w:r>
      <w:r>
        <w:t>would be sickness reports and staff turnover reports.  This can identify any hot spot areas that may require</w:t>
      </w:r>
      <w:r w:rsidR="00CF5BDB">
        <w:t xml:space="preserve"> further help.  </w:t>
      </w:r>
    </w:p>
    <w:p w14:paraId="05E39B4A" w14:textId="77777777" w:rsidR="001423B6" w:rsidRDefault="001423B6" w:rsidP="002F6D54">
      <w:pPr>
        <w:spacing w:after="0"/>
        <w:jc w:val="both"/>
      </w:pPr>
    </w:p>
    <w:p w14:paraId="07C91CBC" w14:textId="5B9A12E2" w:rsidR="001423B6" w:rsidRDefault="001423B6" w:rsidP="002F6D54">
      <w:pPr>
        <w:spacing w:after="0"/>
        <w:jc w:val="both"/>
      </w:pPr>
      <w:r>
        <w:t>Qualitative data would be collected through exit interviews</w:t>
      </w:r>
      <w:r w:rsidR="00FD4AD6">
        <w:t xml:space="preserve">, previous discussed </w:t>
      </w:r>
      <w:r w:rsidR="00FD4AD6">
        <w:t xml:space="preserve">(HDUHB </w:t>
      </w:r>
      <w:r w:rsidR="00FD4AD6" w:rsidRPr="002D18BD">
        <w:t>202</w:t>
      </w:r>
      <w:r w:rsidR="00FD4AD6">
        <w:t>2a</w:t>
      </w:r>
      <w:r w:rsidR="00FD4AD6" w:rsidRPr="002D18BD">
        <w:t>)</w:t>
      </w:r>
      <w:r w:rsidR="00FD4AD6">
        <w:t xml:space="preserve"> </w:t>
      </w:r>
      <w:r>
        <w:t>which are held when a</w:t>
      </w:r>
      <w:r w:rsidR="003E432F">
        <w:t xml:space="preserve"> staff member leaves a D</w:t>
      </w:r>
      <w:r>
        <w:t xml:space="preserve">epartment or the Health Board all together.  This can be used in conjunction with the turnover reports to identify any hotspot areas and elaborate in further detail why we have a high number of turnover of staff.  This could then lead onto further </w:t>
      </w:r>
      <w:r w:rsidR="00514A8F">
        <w:t>training, learning, and d</w:t>
      </w:r>
      <w:r>
        <w:t>evelopment in areas to help overcome this problem.</w:t>
      </w:r>
    </w:p>
    <w:p w14:paraId="49600A46" w14:textId="77777777" w:rsidR="001423B6" w:rsidRDefault="001423B6" w:rsidP="001423B6">
      <w:pPr>
        <w:spacing w:after="0"/>
      </w:pPr>
    </w:p>
    <w:p w14:paraId="6428B385" w14:textId="77777777" w:rsidR="001423B6" w:rsidRDefault="001423B6" w:rsidP="001423B6">
      <w:pPr>
        <w:spacing w:after="0"/>
      </w:pPr>
    </w:p>
    <w:p w14:paraId="087BE26A" w14:textId="77777777" w:rsidR="00374073" w:rsidRDefault="00910550">
      <w:pPr>
        <w:rPr>
          <w:b/>
          <w:u w:val="single"/>
        </w:rPr>
      </w:pPr>
      <w:r w:rsidRPr="00910550">
        <w:rPr>
          <w:b/>
          <w:noProof/>
          <w:u w:val="single"/>
          <w:lang w:eastAsia="en-GB"/>
        </w:rPr>
        <w:lastRenderedPageBreak/>
        <w:drawing>
          <wp:inline distT="0" distB="0" distL="0" distR="0" wp14:anchorId="11652DF4" wp14:editId="71A094B9">
            <wp:extent cx="5731510" cy="3223895"/>
            <wp:effectExtent l="0" t="0" r="254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731510" cy="3223895"/>
                    </a:xfrm>
                    <a:prstGeom prst="rect">
                      <a:avLst/>
                    </a:prstGeom>
                  </pic:spPr>
                </pic:pic>
              </a:graphicData>
            </a:graphic>
          </wp:inline>
        </w:drawing>
      </w:r>
    </w:p>
    <w:p w14:paraId="6163D1A9" w14:textId="77777777" w:rsidR="00BB6354" w:rsidRDefault="00BB6354" w:rsidP="00BB6354">
      <w:pPr>
        <w:pStyle w:val="ListParagraph"/>
        <w:spacing w:after="0"/>
        <w:ind w:left="0"/>
        <w:jc w:val="both"/>
      </w:pPr>
      <w:r>
        <w:t xml:space="preserve">Policies are put in place to protect the workforce and stakeholders.  In order for polices to be effective they not only have to be embedded into the Team but also understood as this adds value.  As reported by Gifford (2015) the role of People Professionals is to understand human behaviour and in doing so we can ensure policies are designed and implemented with the employees best interests at heart.  </w:t>
      </w:r>
    </w:p>
    <w:p w14:paraId="150AFB9F" w14:textId="77777777" w:rsidR="00BB6354" w:rsidRDefault="00BB6354" w:rsidP="00AA2FA9">
      <w:pPr>
        <w:spacing w:after="0"/>
        <w:jc w:val="both"/>
      </w:pPr>
    </w:p>
    <w:p w14:paraId="161E14BE" w14:textId="1C239059" w:rsidR="00680C64" w:rsidRDefault="00405CCD" w:rsidP="00AA2FA9">
      <w:pPr>
        <w:spacing w:after="0"/>
        <w:jc w:val="both"/>
      </w:pPr>
      <w:r>
        <w:t>A</w:t>
      </w:r>
      <w:r w:rsidR="00465914">
        <w:t xml:space="preserve"> policy that we use </w:t>
      </w:r>
      <w:r w:rsidR="00910550">
        <w:t>on a regular basis is the Managing Atte</w:t>
      </w:r>
      <w:r w:rsidR="007858AC">
        <w:t>ndance at Work All Wales Policy (HDUHB 2022</w:t>
      </w:r>
      <w:r w:rsidR="00BF24A7">
        <w:t>c</w:t>
      </w:r>
      <w:r w:rsidR="007858AC">
        <w:t xml:space="preserve">).  </w:t>
      </w:r>
      <w:r w:rsidR="00910550">
        <w:t>This is to</w:t>
      </w:r>
      <w:r w:rsidR="0094278F">
        <w:t xml:space="preserve"> ensure that appropriate decisions</w:t>
      </w:r>
      <w:r w:rsidR="00910550">
        <w:t xml:space="preserve"> are being made in supporting </w:t>
      </w:r>
      <w:r w:rsidR="00C03189">
        <w:t>employees</w:t>
      </w:r>
      <w:r w:rsidR="00910550">
        <w:t xml:space="preserve"> while off sick and what procedures need to be followed ensuring all </w:t>
      </w:r>
      <w:r w:rsidR="001C0CA4">
        <w:t xml:space="preserve">employees </w:t>
      </w:r>
      <w:r w:rsidR="00910550">
        <w:t xml:space="preserve">are treated fairly and equally.  </w:t>
      </w:r>
    </w:p>
    <w:p w14:paraId="02D7AE4C" w14:textId="77777777" w:rsidR="00680C64" w:rsidRDefault="00680C64">
      <w:r>
        <w:br w:type="page"/>
      </w:r>
    </w:p>
    <w:p w14:paraId="037D1278" w14:textId="77777777" w:rsidR="00910550" w:rsidRDefault="00910550" w:rsidP="00AA2FA9">
      <w:pPr>
        <w:spacing w:after="0"/>
        <w:jc w:val="both"/>
      </w:pPr>
    </w:p>
    <w:p w14:paraId="4A58C44B" w14:textId="73F5CEA8" w:rsidR="00910550" w:rsidRDefault="00910550">
      <w:pPr>
        <w:rPr>
          <w:b/>
          <w:u w:val="single"/>
        </w:rPr>
      </w:pPr>
    </w:p>
    <w:p w14:paraId="3DA8304D" w14:textId="11C4E745" w:rsidR="004C1927" w:rsidRDefault="00963B72">
      <w:pPr>
        <w:rPr>
          <w:b/>
          <w:u w:val="single"/>
        </w:rPr>
      </w:pPr>
      <w:r w:rsidRPr="00963B72">
        <w:rPr>
          <w:b/>
          <w:u w:val="single"/>
        </w:rPr>
        <w:drawing>
          <wp:inline distT="0" distB="0" distL="0" distR="0" wp14:anchorId="49E8FBD6" wp14:editId="5DF65D2C">
            <wp:extent cx="5731510" cy="3223895"/>
            <wp:effectExtent l="0" t="0" r="254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731510" cy="3223895"/>
                    </a:xfrm>
                    <a:prstGeom prst="rect">
                      <a:avLst/>
                    </a:prstGeom>
                  </pic:spPr>
                </pic:pic>
              </a:graphicData>
            </a:graphic>
          </wp:inline>
        </w:drawing>
      </w:r>
    </w:p>
    <w:p w14:paraId="0327E12D" w14:textId="2C148FF9" w:rsidR="004C1927" w:rsidRDefault="004C1927">
      <w:pPr>
        <w:rPr>
          <w:b/>
          <w:u w:val="single"/>
        </w:rPr>
      </w:pPr>
    </w:p>
    <w:p w14:paraId="44CA7CC6" w14:textId="1283F88B" w:rsidR="004C1927" w:rsidRDefault="00B535C7" w:rsidP="00DE0660">
      <w:pPr>
        <w:spacing w:after="0"/>
        <w:jc w:val="both"/>
        <w:rPr>
          <w:bCs/>
        </w:rPr>
      </w:pPr>
      <w:r>
        <w:rPr>
          <w:bCs/>
        </w:rPr>
        <w:t xml:space="preserve">HR </w:t>
      </w:r>
      <w:r w:rsidR="004C1927">
        <w:rPr>
          <w:bCs/>
        </w:rPr>
        <w:t xml:space="preserve">People Professionals assist in ensuring the Workforce are treated equally and fairly.  While they have a big influence on stakeholder fulfilment it is also vital that this is embedded to the Team as a whole so a positive culture flows through an organisation.   </w:t>
      </w:r>
    </w:p>
    <w:p w14:paraId="2DAAE012" w14:textId="77777777" w:rsidR="004C1927" w:rsidRDefault="004C1927" w:rsidP="00DE0660">
      <w:pPr>
        <w:pStyle w:val="ListParagraph"/>
        <w:spacing w:after="0"/>
        <w:ind w:left="0"/>
        <w:jc w:val="both"/>
      </w:pPr>
    </w:p>
    <w:p w14:paraId="0F62E1BE" w14:textId="30F14CD2" w:rsidR="004C1927" w:rsidRDefault="004C1927" w:rsidP="00DE0660">
      <w:pPr>
        <w:pStyle w:val="ListParagraph"/>
        <w:spacing w:after="0"/>
        <w:ind w:left="0"/>
        <w:jc w:val="both"/>
      </w:pPr>
      <w:r>
        <w:t xml:space="preserve">Due to COVID affecting staffing levels and service demands a Recovery in Nature: Eco therapy Retreats for Hywel Dda Staff was developed </w:t>
      </w:r>
      <w:r w:rsidR="007F36E8">
        <w:t xml:space="preserve">by the Staff Wellbeing Service </w:t>
      </w:r>
      <w:r>
        <w:t xml:space="preserve">to help support staff at risk of burnout and who are already on sick leave for these reasons.  </w:t>
      </w:r>
      <w:r w:rsidR="007F36E8">
        <w:t>A</w:t>
      </w:r>
      <w:r w:rsidR="00E5356D">
        <w:t>ll retreats would be evaluated by asking e</w:t>
      </w:r>
      <w:r w:rsidRPr="007A2776">
        <w:t xml:space="preserve">ach participant </w:t>
      </w:r>
      <w:r w:rsidR="007F36E8">
        <w:t xml:space="preserve">to take </w:t>
      </w:r>
      <w:r w:rsidRPr="007A2776">
        <w:t xml:space="preserve">part in </w:t>
      </w:r>
      <w:r w:rsidR="00E5356D">
        <w:t xml:space="preserve">a questionnaire at the end of the retreats to </w:t>
      </w:r>
      <w:r w:rsidRPr="007A2776">
        <w:t xml:space="preserve">assess how effective the </w:t>
      </w:r>
      <w:r w:rsidR="007F36E8">
        <w:t xml:space="preserve">they </w:t>
      </w:r>
      <w:r w:rsidRPr="007A2776">
        <w:t xml:space="preserve">are and </w:t>
      </w:r>
      <w:r w:rsidR="007F36E8">
        <w:t xml:space="preserve">enable us to </w:t>
      </w:r>
      <w:r w:rsidRPr="007A2776">
        <w:t>m</w:t>
      </w:r>
      <w:r w:rsidR="008139E9">
        <w:t xml:space="preserve">ake changes </w:t>
      </w:r>
      <w:r w:rsidR="007F36E8">
        <w:t xml:space="preserve">moving </w:t>
      </w:r>
      <w:r w:rsidR="008139E9">
        <w:t>forwards (HDUHB 2022</w:t>
      </w:r>
      <w:r w:rsidR="00884FDA">
        <w:t>e</w:t>
      </w:r>
      <w:r w:rsidR="008139E9">
        <w:t xml:space="preserve">).  </w:t>
      </w:r>
    </w:p>
    <w:p w14:paraId="36AF1FE0" w14:textId="77777777" w:rsidR="00DE0660" w:rsidRDefault="00DE0660" w:rsidP="00DE0660">
      <w:pPr>
        <w:pStyle w:val="ListParagraph"/>
        <w:spacing w:after="0"/>
        <w:ind w:left="0"/>
        <w:jc w:val="both"/>
      </w:pPr>
    </w:p>
    <w:p w14:paraId="5F7AE946" w14:textId="77777777" w:rsidR="004C1927" w:rsidRDefault="004C1927" w:rsidP="004C1927">
      <w:pPr>
        <w:spacing w:after="0"/>
        <w:rPr>
          <w:rFonts w:ascii="Segoe UI" w:hAnsi="Segoe UI" w:cs="Segoe UI"/>
          <w:color w:val="242424"/>
          <w:shd w:val="clear" w:color="auto" w:fill="E8EBFA"/>
        </w:rPr>
      </w:pPr>
    </w:p>
    <w:p w14:paraId="2BE419A0" w14:textId="5D62B1AE" w:rsidR="004C1927" w:rsidRDefault="00785CC2">
      <w:pPr>
        <w:rPr>
          <w:b/>
          <w:u w:val="single"/>
        </w:rPr>
      </w:pPr>
      <w:r w:rsidRPr="00785CC2">
        <w:rPr>
          <w:b/>
          <w:noProof/>
          <w:u w:val="single"/>
          <w:lang w:eastAsia="en-GB"/>
        </w:rPr>
        <w:lastRenderedPageBreak/>
        <w:drawing>
          <wp:inline distT="0" distB="0" distL="0" distR="0" wp14:anchorId="2E4738C7" wp14:editId="2047A11E">
            <wp:extent cx="5731510" cy="3223895"/>
            <wp:effectExtent l="0" t="0" r="254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731510" cy="3223895"/>
                    </a:xfrm>
                    <a:prstGeom prst="rect">
                      <a:avLst/>
                    </a:prstGeom>
                  </pic:spPr>
                </pic:pic>
              </a:graphicData>
            </a:graphic>
          </wp:inline>
        </w:drawing>
      </w:r>
    </w:p>
    <w:p w14:paraId="6A466344" w14:textId="295B2356" w:rsidR="00372C67" w:rsidRDefault="00372C67">
      <w:pPr>
        <w:rPr>
          <w:b/>
          <w:u w:val="single"/>
        </w:rPr>
      </w:pPr>
    </w:p>
    <w:p w14:paraId="33C165E0" w14:textId="2F5F2D48" w:rsidR="00372C67" w:rsidRPr="00372C67" w:rsidRDefault="00372C67" w:rsidP="00372C67">
      <w:r w:rsidRPr="00372C67">
        <w:t>The aim of an organisation is to create value, this is often assisted by the People Professional body.  Creating value for the stakeholders enhance</w:t>
      </w:r>
      <w:r w:rsidR="007F457A">
        <w:t>s</w:t>
      </w:r>
      <w:r w:rsidRPr="00372C67">
        <w:t xml:space="preserve"> in the hiring of employees and </w:t>
      </w:r>
      <w:r w:rsidR="00DE0660">
        <w:t xml:space="preserve">helps to </w:t>
      </w:r>
      <w:r w:rsidRPr="00372C67">
        <w:t>ensure we keep our staff engaged.  By keeping staff engaged</w:t>
      </w:r>
      <w:r w:rsidR="00DE0660">
        <w:t xml:space="preserve"> and offering growth </w:t>
      </w:r>
      <w:r w:rsidR="00AA69FB">
        <w:t>opportunities,</w:t>
      </w:r>
      <w:r w:rsidR="00DE0660">
        <w:t xml:space="preserve"> this </w:t>
      </w:r>
      <w:r w:rsidRPr="00372C67">
        <w:t>could i</w:t>
      </w:r>
      <w:r w:rsidR="00DE0660">
        <w:t xml:space="preserve">mprove </w:t>
      </w:r>
      <w:r w:rsidRPr="00372C67">
        <w:t>retention</w:t>
      </w:r>
      <w:r w:rsidR="00DE0660">
        <w:t xml:space="preserve"> rates and lower staff turnover </w:t>
      </w:r>
      <w:r w:rsidR="00657167">
        <w:t>(</w:t>
      </w:r>
      <w:proofErr w:type="spellStart"/>
      <w:r w:rsidR="00657167">
        <w:t>Fuscaldo</w:t>
      </w:r>
      <w:proofErr w:type="spellEnd"/>
      <w:r w:rsidR="00657167">
        <w:t xml:space="preserve"> 2022)</w:t>
      </w:r>
      <w:r w:rsidR="00456268">
        <w:t xml:space="preserve">.  </w:t>
      </w:r>
      <w:r w:rsidRPr="00372C67">
        <w:t>A positive culture creates relationships that are more impactful and keeping staff engaged is key</w:t>
      </w:r>
      <w:r w:rsidR="00DE0660">
        <w:t xml:space="preserve"> to keeping productivity high</w:t>
      </w:r>
      <w:r w:rsidR="00456268">
        <w:t xml:space="preserve"> – a company is as only as good as </w:t>
      </w:r>
      <w:r w:rsidR="00AA69FB">
        <w:t>its</w:t>
      </w:r>
      <w:r w:rsidR="00456268">
        <w:t xml:space="preserve"> employees.  </w:t>
      </w:r>
    </w:p>
    <w:p w14:paraId="286768D8" w14:textId="57CB1AE8" w:rsidR="00372C67" w:rsidRDefault="00372C67" w:rsidP="00372C67">
      <w:r w:rsidRPr="00372C67">
        <w:t>C</w:t>
      </w:r>
      <w:r w:rsidR="00BB6354">
        <w:t xml:space="preserve">reating value to our </w:t>
      </w:r>
      <w:r w:rsidRPr="00372C67">
        <w:t>service users is imperative to our organisation.  HDUHB (2020</w:t>
      </w:r>
      <w:r w:rsidR="0055627A">
        <w:t>f</w:t>
      </w:r>
      <w:r w:rsidR="00641694">
        <w:t>)</w:t>
      </w:r>
      <w:r w:rsidRPr="00372C67">
        <w:t xml:space="preserve"> is committed to openness and transparency, and</w:t>
      </w:r>
      <w:r w:rsidR="009A5CCA">
        <w:t xml:space="preserve"> therefore</w:t>
      </w:r>
      <w:r w:rsidRPr="00372C67">
        <w:t xml:space="preserve"> conducts as much of its business as possible in a session that members of the public are welcome to attend and observe.  </w:t>
      </w:r>
      <w:r w:rsidR="009A5CCA">
        <w:t xml:space="preserve">All Board Meeting dates can be found on our Website.  </w:t>
      </w:r>
    </w:p>
    <w:p w14:paraId="2BB8C081" w14:textId="69BDE0C3" w:rsidR="003913C2" w:rsidRDefault="003913C2" w:rsidP="00372C67"/>
    <w:p w14:paraId="3464991E" w14:textId="77777777" w:rsidR="003913C2" w:rsidRDefault="003913C2" w:rsidP="00372C67"/>
    <w:p w14:paraId="62721F43" w14:textId="77777777" w:rsidR="00753C2A" w:rsidRDefault="00753C2A" w:rsidP="00372C67"/>
    <w:p w14:paraId="4CEB221C" w14:textId="5A58188F" w:rsidR="00753C2A" w:rsidRDefault="00753C2A" w:rsidP="00372C67">
      <w:r w:rsidRPr="00753C2A">
        <w:rPr>
          <w:noProof/>
          <w:lang w:eastAsia="en-GB"/>
        </w:rPr>
        <w:lastRenderedPageBreak/>
        <w:drawing>
          <wp:inline distT="0" distB="0" distL="0" distR="0" wp14:anchorId="00B2FE5E" wp14:editId="096C18B0">
            <wp:extent cx="5731510" cy="3223895"/>
            <wp:effectExtent l="0" t="0" r="254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731510" cy="3223895"/>
                    </a:xfrm>
                    <a:prstGeom prst="rect">
                      <a:avLst/>
                    </a:prstGeom>
                  </pic:spPr>
                </pic:pic>
              </a:graphicData>
            </a:graphic>
          </wp:inline>
        </w:drawing>
      </w:r>
    </w:p>
    <w:p w14:paraId="7FC7596B" w14:textId="1DBE5F59" w:rsidR="0040256E" w:rsidRDefault="0040256E" w:rsidP="00372C67"/>
    <w:p w14:paraId="6859A079" w14:textId="4F114EF3" w:rsidR="00753C2A" w:rsidRDefault="00753C2A" w:rsidP="00753C2A">
      <w:pPr>
        <w:spacing w:after="0"/>
      </w:pPr>
      <w:r>
        <w:t>The Social Medial Policy used by the Health Board is an “All Wales” policy</w:t>
      </w:r>
      <w:r w:rsidR="0090465E">
        <w:t xml:space="preserve"> (HDUHB 2022</w:t>
      </w:r>
      <w:r w:rsidR="000730A4">
        <w:t>g</w:t>
      </w:r>
      <w:r w:rsidR="0090465E">
        <w:t>).</w:t>
      </w:r>
      <w:r>
        <w:t xml:space="preserve">  This means that Health Boards across Wales adhere to the same policy and it applies to all NHS staff, permanent or temporary.  </w:t>
      </w:r>
    </w:p>
    <w:p w14:paraId="0CB500EB" w14:textId="77777777" w:rsidR="00641694" w:rsidRDefault="00641694" w:rsidP="00753C2A">
      <w:pPr>
        <w:spacing w:after="0"/>
      </w:pPr>
    </w:p>
    <w:p w14:paraId="516E2862" w14:textId="36B0B8E0" w:rsidR="00753C2A" w:rsidRDefault="00734BCE" w:rsidP="00753C2A">
      <w:pPr>
        <w:spacing w:after="0"/>
      </w:pPr>
      <w:r>
        <w:t>As you can see</w:t>
      </w:r>
      <w:r w:rsidR="00753C2A">
        <w:t>, social media, if used within the right context, can be a great tool to help with staff engagement, job advertisement and making the wo</w:t>
      </w:r>
      <w:r w:rsidR="00E77653">
        <w:t>rkforce aware of the staff well</w:t>
      </w:r>
      <w:r w:rsidR="00753C2A">
        <w:t>being and rewards available to them.  It does however also come with its disadvantag</w:t>
      </w:r>
      <w:r w:rsidR="00E77653">
        <w:t xml:space="preserve">es if not used correctly </w:t>
      </w:r>
      <w:r w:rsidR="00753C2A">
        <w:t>can be profoundly damaging to a</w:t>
      </w:r>
      <w:r w:rsidR="00E77653">
        <w:t>n o</w:t>
      </w:r>
      <w:r w:rsidR="00222C12">
        <w:t>rganisation.</w:t>
      </w:r>
      <w:r w:rsidR="00753C2A">
        <w:t xml:space="preserve"> </w:t>
      </w:r>
    </w:p>
    <w:p w14:paraId="0A101D0F" w14:textId="77777777" w:rsidR="00753C2A" w:rsidRDefault="00753C2A" w:rsidP="00753C2A">
      <w:pPr>
        <w:spacing w:after="0"/>
      </w:pPr>
    </w:p>
    <w:p w14:paraId="273779AE" w14:textId="721581D5" w:rsidR="00753C2A" w:rsidRDefault="00753C2A" w:rsidP="00753C2A">
      <w:pPr>
        <w:spacing w:after="0"/>
      </w:pPr>
      <w:r>
        <w:t>As reported by Robinson (2</w:t>
      </w:r>
      <w:r w:rsidR="00AD79D3">
        <w:t xml:space="preserve">020) The 2013 Boston Marathon was a historical moment in </w:t>
      </w:r>
      <w:r>
        <w:t xml:space="preserve">history due to the terrorist </w:t>
      </w:r>
      <w:r w:rsidR="00F45B3A">
        <w:t xml:space="preserve">attack </w:t>
      </w:r>
      <w:r>
        <w:t xml:space="preserve">that </w:t>
      </w:r>
      <w:r w:rsidR="00F45B3A">
        <w:t xml:space="preserve">occurred </w:t>
      </w:r>
      <w:r>
        <w:t>during the race.  Two homemade bombs detonated</w:t>
      </w:r>
      <w:r w:rsidR="00AD79D3">
        <w:t xml:space="preserve"> 14 seconds apart, killing 3 people and injuring hundreds of others; 16 of which </w:t>
      </w:r>
      <w:r w:rsidR="00F45B3A">
        <w:t xml:space="preserve">lost limbs.  In </w:t>
      </w:r>
      <w:r w:rsidR="009D25C4">
        <w:t>2017,</w:t>
      </w:r>
      <w:r w:rsidR="00F45B3A">
        <w:t xml:space="preserve"> Adidas then proceeded to send an </w:t>
      </w:r>
      <w:r w:rsidR="00B50D58">
        <w:t>email-praising</w:t>
      </w:r>
      <w:r w:rsidR="00F45B3A">
        <w:t xml:space="preserve"> runners who had</w:t>
      </w:r>
      <w:r w:rsidR="00680C64">
        <w:t xml:space="preserve"> participated and</w:t>
      </w:r>
      <w:r w:rsidR="00F45B3A">
        <w:t xml:space="preserve"> “survived” the Boston Marathon.  </w:t>
      </w:r>
      <w:r w:rsidR="009D25C4">
        <w:t xml:space="preserve">The sportswear giant admitted their choice of words had been insensitive and said they were </w:t>
      </w:r>
      <w:r w:rsidR="00016A92">
        <w:t>incredibly</w:t>
      </w:r>
      <w:r w:rsidR="009D25C4">
        <w:t xml:space="preserve"> sorry.  </w:t>
      </w:r>
    </w:p>
    <w:p w14:paraId="48981186" w14:textId="0CE5160D" w:rsidR="00186B06" w:rsidRDefault="00186B06" w:rsidP="00753C2A">
      <w:pPr>
        <w:spacing w:after="0"/>
      </w:pPr>
    </w:p>
    <w:p w14:paraId="4B8BB86E" w14:textId="6F8FB879" w:rsidR="00186B06" w:rsidRDefault="00262437" w:rsidP="00753C2A">
      <w:pPr>
        <w:spacing w:after="0"/>
      </w:pPr>
      <w:r w:rsidRPr="00262437">
        <w:rPr>
          <w:noProof/>
          <w:lang w:eastAsia="en-GB"/>
        </w:rPr>
        <w:lastRenderedPageBreak/>
        <w:drawing>
          <wp:inline distT="0" distB="0" distL="0" distR="0" wp14:anchorId="77A4E062" wp14:editId="69BC5C54">
            <wp:extent cx="5731510" cy="3223895"/>
            <wp:effectExtent l="0" t="0" r="254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731510" cy="3223895"/>
                    </a:xfrm>
                    <a:prstGeom prst="rect">
                      <a:avLst/>
                    </a:prstGeom>
                  </pic:spPr>
                </pic:pic>
              </a:graphicData>
            </a:graphic>
          </wp:inline>
        </w:drawing>
      </w:r>
    </w:p>
    <w:p w14:paraId="6C4453DB" w14:textId="77777777" w:rsidR="00186B06" w:rsidRDefault="00186B06" w:rsidP="00186B06">
      <w:pPr>
        <w:spacing w:after="0"/>
      </w:pPr>
    </w:p>
    <w:p w14:paraId="227FB8A6" w14:textId="59DBB2C9" w:rsidR="00186B06" w:rsidRDefault="00186B06" w:rsidP="00186B06">
      <w:pPr>
        <w:spacing w:after="0"/>
      </w:pPr>
      <w:r>
        <w:t xml:space="preserve">When good people practice is performed </w:t>
      </w:r>
      <w:r w:rsidR="00955871">
        <w:t>with</w:t>
      </w:r>
      <w:r>
        <w:t>in an organisation supporting diversity and inclusion this can benefit the businesses talent and corporate reputation</w:t>
      </w:r>
      <w:r w:rsidR="00B50D58">
        <w:t>,</w:t>
      </w:r>
      <w:r>
        <w:t xml:space="preserve"> not only enhanci</w:t>
      </w:r>
      <w:r w:rsidR="00B50D58">
        <w:t>ng job appeal but also</w:t>
      </w:r>
      <w:r>
        <w:t xml:space="preserve"> engagement amongst staff.  </w:t>
      </w:r>
    </w:p>
    <w:p w14:paraId="18DB7C0B" w14:textId="77777777" w:rsidR="00186B06" w:rsidRDefault="00186B06" w:rsidP="00186B06">
      <w:pPr>
        <w:spacing w:after="0"/>
      </w:pPr>
    </w:p>
    <w:p w14:paraId="37326D44" w14:textId="4ACB7ED8" w:rsidR="00186B06" w:rsidRDefault="00186B06" w:rsidP="00186B06">
      <w:pPr>
        <w:spacing w:after="0"/>
      </w:pPr>
      <w:r>
        <w:t xml:space="preserve">As reported by Ali and Green (2021) </w:t>
      </w:r>
      <w:r w:rsidR="00513500">
        <w:t>“</w:t>
      </w:r>
      <w:r w:rsidRPr="00B057AA">
        <w:t>While UK legislation – covering age, disability, race, religion, sex and sexual orientation among others – sets minimum standards, an effective inclusion and diversity strategy goes beyond legal compliance and seeks to add value to an organisation, contributing to employee wellbeing and engagement</w:t>
      </w:r>
      <w:r w:rsidR="00513500">
        <w:t>”</w:t>
      </w:r>
      <w:r w:rsidRPr="00B057AA">
        <w:t>.</w:t>
      </w:r>
      <w:r>
        <w:t xml:space="preserve">  </w:t>
      </w:r>
    </w:p>
    <w:p w14:paraId="2496972E" w14:textId="77777777" w:rsidR="00186B06" w:rsidRDefault="00186B06" w:rsidP="00186B06">
      <w:pPr>
        <w:spacing w:after="0"/>
      </w:pPr>
    </w:p>
    <w:p w14:paraId="40329282" w14:textId="50AE97B1" w:rsidR="00186B06" w:rsidRDefault="00186B06" w:rsidP="00186B06">
      <w:pPr>
        <w:spacing w:after="0"/>
      </w:pPr>
      <w:r>
        <w:t xml:space="preserve">Although </w:t>
      </w:r>
      <w:r w:rsidR="00A82624">
        <w:t xml:space="preserve">the People Profession essentially produces good people </w:t>
      </w:r>
      <w:r w:rsidR="00AE2105">
        <w:t>practice,</w:t>
      </w:r>
      <w:r>
        <w:t xml:space="preserve"> it is up to us as champions to embed the knowledge throughout the workforce providing managers with the knowledge and capability of how to treat staff members.  We do this by following our Health Boards Standards of Behaviour Policy (HDUHB 2020</w:t>
      </w:r>
      <w:r w:rsidR="00B201CC">
        <w:t>h</w:t>
      </w:r>
      <w:r>
        <w:t xml:space="preserve">).  </w:t>
      </w:r>
    </w:p>
    <w:p w14:paraId="2E7FA8AF" w14:textId="28EB7CF3" w:rsidR="000A5EAD" w:rsidRDefault="0046693B" w:rsidP="00186B06">
      <w:pPr>
        <w:spacing w:after="0"/>
      </w:pPr>
      <w:r w:rsidRPr="0046693B">
        <w:rPr>
          <w:noProof/>
          <w:lang w:eastAsia="en-GB"/>
        </w:rPr>
        <w:lastRenderedPageBreak/>
        <w:drawing>
          <wp:inline distT="0" distB="0" distL="0" distR="0" wp14:anchorId="6D253271" wp14:editId="3D8676D9">
            <wp:extent cx="5731510" cy="3223895"/>
            <wp:effectExtent l="0" t="0" r="254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731510" cy="3223895"/>
                    </a:xfrm>
                    <a:prstGeom prst="rect">
                      <a:avLst/>
                    </a:prstGeom>
                  </pic:spPr>
                </pic:pic>
              </a:graphicData>
            </a:graphic>
          </wp:inline>
        </w:drawing>
      </w:r>
    </w:p>
    <w:p w14:paraId="2B5CAE61" w14:textId="3C74D74A" w:rsidR="0040256E" w:rsidRDefault="0040256E" w:rsidP="00372C67"/>
    <w:p w14:paraId="7F4DD9FF" w14:textId="2E05FCC0" w:rsidR="0090465E" w:rsidRDefault="008F5F83" w:rsidP="00685086">
      <w:pPr>
        <w:spacing w:after="0"/>
        <w:jc w:val="both"/>
      </w:pPr>
      <w:r>
        <w:t xml:space="preserve">The </w:t>
      </w:r>
      <w:r w:rsidR="0090465E">
        <w:t xml:space="preserve">HDUHB logo </w:t>
      </w:r>
      <w:r>
        <w:t xml:space="preserve">demonstrates </w:t>
      </w:r>
      <w:r w:rsidR="0090465E">
        <w:t>the organisation values that we are committed to</w:t>
      </w:r>
      <w:r w:rsidR="00955871">
        <w:t>o</w:t>
      </w:r>
      <w:r w:rsidR="0090465E">
        <w:t xml:space="preserve">.  </w:t>
      </w:r>
    </w:p>
    <w:p w14:paraId="5B4EF65B" w14:textId="77777777" w:rsidR="0090465E" w:rsidRDefault="0090465E" w:rsidP="00685086">
      <w:pPr>
        <w:spacing w:after="0"/>
        <w:jc w:val="both"/>
      </w:pPr>
    </w:p>
    <w:p w14:paraId="36ED2286" w14:textId="290FFBB1" w:rsidR="000A5EAD" w:rsidRDefault="000A5EAD" w:rsidP="00685086">
      <w:pPr>
        <w:spacing w:after="0"/>
        <w:jc w:val="both"/>
      </w:pPr>
      <w:r>
        <w:t>To ensure we continue to provide a customer focused attitude we, as a Health Board, have developed a “Values and Behaviours Framework Staff Information Booklet”</w:t>
      </w:r>
      <w:r w:rsidR="009523AE">
        <w:t xml:space="preserve"> (HDUHB no </w:t>
      </w:r>
      <w:proofErr w:type="spellStart"/>
      <w:r w:rsidR="009523AE">
        <w:t>date</w:t>
      </w:r>
      <w:r w:rsidR="0046693B">
        <w:t>j</w:t>
      </w:r>
      <w:proofErr w:type="spellEnd"/>
      <w:r w:rsidR="0046693B">
        <w:t>)</w:t>
      </w:r>
      <w:r w:rsidR="00685086">
        <w:t xml:space="preserve">.  </w:t>
      </w:r>
      <w:r>
        <w:t xml:space="preserve">Our organisational values help to shape our organisation and offer guidance to our employees.  When staff feel valued at work this has a positive impact on our patients leading to a better service being provided.  </w:t>
      </w:r>
    </w:p>
    <w:p w14:paraId="42523BC8" w14:textId="77777777" w:rsidR="000A5EAD" w:rsidRDefault="000A5EAD" w:rsidP="00685086">
      <w:pPr>
        <w:spacing w:after="0"/>
        <w:jc w:val="both"/>
      </w:pPr>
    </w:p>
    <w:p w14:paraId="67CC3DF9" w14:textId="4ABF4107" w:rsidR="000A5EAD" w:rsidRDefault="00955871" w:rsidP="00685086">
      <w:pPr>
        <w:spacing w:after="0"/>
        <w:jc w:val="both"/>
      </w:pPr>
      <w:r>
        <w:t xml:space="preserve">We </w:t>
      </w:r>
      <w:r w:rsidR="000A5EAD">
        <w:t>offer a Patient Support Service which provides patients with the appropriate support shoul</w:t>
      </w:r>
      <w:r>
        <w:t>d they wish to make a complaint</w:t>
      </w:r>
      <w:r w:rsidR="000A5EAD">
        <w:t xml:space="preserve">.  </w:t>
      </w:r>
      <w:r>
        <w:t xml:space="preserve">Patients are also encouraged to take part in </w:t>
      </w:r>
      <w:r w:rsidR="000A5EAD">
        <w:t>surveys to help gather and collate data</w:t>
      </w:r>
      <w:r>
        <w:t xml:space="preserve"> so we can i</w:t>
      </w:r>
      <w:r w:rsidR="000A5EAD">
        <w:t>mprove services where required.  There is also an opportunity for patients to give recognition to a staff member or service if they were plea</w:t>
      </w:r>
      <w:r w:rsidR="00494305">
        <w:t>sed with the</w:t>
      </w:r>
      <w:r w:rsidR="009F7771">
        <w:t xml:space="preserve"> treatment received (HDUHB 2022</w:t>
      </w:r>
      <w:r w:rsidR="00C131DC">
        <w:t>j</w:t>
      </w:r>
      <w:r w:rsidR="00494305">
        <w:t xml:space="preserve">).  </w:t>
      </w:r>
      <w:r w:rsidR="000A5EAD">
        <w:t xml:space="preserve">  </w:t>
      </w:r>
    </w:p>
    <w:p w14:paraId="69741802" w14:textId="41DFACC1" w:rsidR="000A5EAD" w:rsidRDefault="000A5EAD" w:rsidP="00372C67"/>
    <w:p w14:paraId="3CF33FB4" w14:textId="65B9E96F" w:rsidR="001A3F72" w:rsidRDefault="00E056EE" w:rsidP="00372C67">
      <w:r w:rsidRPr="00E056EE">
        <w:lastRenderedPageBreak/>
        <w:drawing>
          <wp:inline distT="0" distB="0" distL="0" distR="0" wp14:anchorId="283D33AC" wp14:editId="22041422">
            <wp:extent cx="5731510" cy="3223895"/>
            <wp:effectExtent l="0" t="0" r="254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5731510" cy="3223895"/>
                    </a:xfrm>
                    <a:prstGeom prst="rect">
                      <a:avLst/>
                    </a:prstGeom>
                  </pic:spPr>
                </pic:pic>
              </a:graphicData>
            </a:graphic>
          </wp:inline>
        </w:drawing>
      </w:r>
    </w:p>
    <w:p w14:paraId="59C4A038" w14:textId="674364C6" w:rsidR="00E3621D" w:rsidRDefault="00E3621D" w:rsidP="00372C67"/>
    <w:p w14:paraId="7E78439C" w14:textId="4FE3EC92" w:rsidR="0020576C" w:rsidRDefault="0020576C" w:rsidP="0020576C">
      <w:pPr>
        <w:rPr>
          <w:b/>
          <w:u w:val="single"/>
        </w:rPr>
      </w:pPr>
      <w:r>
        <w:rPr>
          <w:b/>
          <w:u w:val="single"/>
        </w:rPr>
        <w:t>References</w:t>
      </w:r>
    </w:p>
    <w:p w14:paraId="66C6ADFB" w14:textId="77777777" w:rsidR="0020576C" w:rsidRDefault="0020576C" w:rsidP="0020576C">
      <w:pPr>
        <w:spacing w:after="0"/>
      </w:pPr>
    </w:p>
    <w:p w14:paraId="6F0D6F31" w14:textId="77777777" w:rsidR="0020576C" w:rsidRDefault="0020576C" w:rsidP="0020576C">
      <w:pPr>
        <w:spacing w:after="0"/>
      </w:pPr>
      <w:proofErr w:type="spellStart"/>
      <w:r>
        <w:t>Ali,L</w:t>
      </w:r>
      <w:proofErr w:type="spellEnd"/>
      <w:r>
        <w:t xml:space="preserve">., Green M (2021) </w:t>
      </w:r>
      <w:r>
        <w:rPr>
          <w:i/>
        </w:rPr>
        <w:t xml:space="preserve">Inclusion and diversity in the workplace  </w:t>
      </w:r>
      <w:r>
        <w:t xml:space="preserve">Available at: </w:t>
      </w:r>
      <w:hyperlink r:id="rId18" w:anchor="6428" w:history="1">
        <w:r w:rsidRPr="00631906">
          <w:rPr>
            <w:rStyle w:val="Hyperlink"/>
          </w:rPr>
          <w:t>https://www.cipd.co.uk/knowledge/fundamentals/relations/diversity/factsheet?_gl=1*16ewbgs*_ga*MzA3OTQ1NjkzLjE2NDkxOTAwNTk.*_ga_D9HN5GYHYY*MTY1NDYyODIxOS4xOS4wLjE2NTQ2MjgyMTkuMA..#6428</w:t>
        </w:r>
      </w:hyperlink>
      <w:r>
        <w:t xml:space="preserve"> (accessed 7</w:t>
      </w:r>
      <w:r w:rsidRPr="006F44B8">
        <w:rPr>
          <w:vertAlign w:val="superscript"/>
        </w:rPr>
        <w:t>th</w:t>
      </w:r>
      <w:r>
        <w:t xml:space="preserve"> June 2022) </w:t>
      </w:r>
    </w:p>
    <w:p w14:paraId="716F920D" w14:textId="77777777" w:rsidR="0020576C" w:rsidRDefault="0020576C" w:rsidP="0020576C">
      <w:pPr>
        <w:spacing w:after="0"/>
      </w:pPr>
    </w:p>
    <w:p w14:paraId="6042E240" w14:textId="77777777" w:rsidR="0020576C" w:rsidRPr="00AC198E" w:rsidRDefault="0020576C" w:rsidP="0020576C">
      <w:pPr>
        <w:spacing w:after="0"/>
      </w:pPr>
      <w:r>
        <w:t xml:space="preserve">Burnette, K (2019) </w:t>
      </w:r>
      <w:r w:rsidRPr="00AC198E">
        <w:rPr>
          <w:i/>
        </w:rPr>
        <w:t>Belonging: A Conversation about Equity, Diversity, and Inclusion</w:t>
      </w:r>
      <w:r>
        <w:rPr>
          <w:i/>
        </w:rPr>
        <w:t xml:space="preserve"> </w:t>
      </w:r>
      <w:r>
        <w:t xml:space="preserve">Available at:  </w:t>
      </w:r>
      <w:hyperlink r:id="rId19" w:history="1">
        <w:r w:rsidRPr="00631906">
          <w:rPr>
            <w:rStyle w:val="Hyperlink"/>
          </w:rPr>
          <w:t>https://medium.com/@krysburnette/its-2019-and-we-are-still-talking-about-equity-diversity-and-inclusion-dd00c9a66113</w:t>
        </w:r>
      </w:hyperlink>
      <w:r>
        <w:t xml:space="preserve"> (accessed 7</w:t>
      </w:r>
      <w:r w:rsidRPr="006F44B8">
        <w:rPr>
          <w:vertAlign w:val="superscript"/>
        </w:rPr>
        <w:t>th</w:t>
      </w:r>
      <w:r>
        <w:t xml:space="preserve"> June 2022)</w:t>
      </w:r>
    </w:p>
    <w:p w14:paraId="00EE8FE3" w14:textId="77777777" w:rsidR="0020576C" w:rsidRDefault="0020576C" w:rsidP="0020576C">
      <w:pPr>
        <w:spacing w:after="0"/>
      </w:pPr>
    </w:p>
    <w:p w14:paraId="5B12BAC0" w14:textId="77777777" w:rsidR="0020576C" w:rsidRDefault="0020576C" w:rsidP="0020576C">
      <w:pPr>
        <w:spacing w:after="0"/>
      </w:pPr>
      <w:proofErr w:type="spellStart"/>
      <w:r>
        <w:t>Center</w:t>
      </w:r>
      <w:proofErr w:type="spellEnd"/>
      <w:r>
        <w:t xml:space="preserve"> for Creative Leadership (2020) </w:t>
      </w:r>
      <w:r>
        <w:rPr>
          <w:i/>
        </w:rPr>
        <w:t xml:space="preserve">4 Ways To Strengthen Your Ability To Influence Others </w:t>
      </w:r>
      <w:r>
        <w:t xml:space="preserve">Available at:  </w:t>
      </w:r>
      <w:hyperlink r:id="rId20" w:history="1">
        <w:r w:rsidRPr="00631906">
          <w:rPr>
            <w:rStyle w:val="Hyperlink"/>
          </w:rPr>
          <w:t>https://www.ccl.org/articles/leading-effectively-articles/4-keys-strengthen-ability-influence-others/</w:t>
        </w:r>
      </w:hyperlink>
      <w:r>
        <w:t xml:space="preserve"> (accessed 7</w:t>
      </w:r>
      <w:r w:rsidRPr="00FF18C9">
        <w:rPr>
          <w:vertAlign w:val="superscript"/>
        </w:rPr>
        <w:t>th</w:t>
      </w:r>
      <w:r>
        <w:t xml:space="preserve"> June 2022) </w:t>
      </w:r>
    </w:p>
    <w:p w14:paraId="789335EF" w14:textId="77777777" w:rsidR="0020576C" w:rsidRDefault="0020576C" w:rsidP="0020576C">
      <w:pPr>
        <w:spacing w:after="0"/>
      </w:pPr>
    </w:p>
    <w:p w14:paraId="4289037E" w14:textId="77777777" w:rsidR="0020576C" w:rsidRPr="0079587F" w:rsidRDefault="0020576C" w:rsidP="0020576C">
      <w:pPr>
        <w:spacing w:after="0"/>
      </w:pPr>
      <w:r>
        <w:t xml:space="preserve">CIPD (2021) </w:t>
      </w:r>
      <w:r w:rsidRPr="0079587F">
        <w:rPr>
          <w:i/>
        </w:rPr>
        <w:t>Evidence-based practice for effective decision making</w:t>
      </w:r>
      <w:r>
        <w:rPr>
          <w:i/>
        </w:rPr>
        <w:t xml:space="preserve"> </w:t>
      </w:r>
      <w:r>
        <w:t xml:space="preserve">Available at:  </w:t>
      </w:r>
      <w:hyperlink r:id="rId21" w:anchor="gref" w:history="1">
        <w:r w:rsidRPr="00A41624">
          <w:rPr>
            <w:rStyle w:val="Hyperlink"/>
          </w:rPr>
          <w:t>https://www.cipd.co.uk/knowledge/strategy/analytics/evidence-based-practice-factsheet#gref</w:t>
        </w:r>
      </w:hyperlink>
      <w:r>
        <w:t xml:space="preserve"> (accessed 9</w:t>
      </w:r>
      <w:r w:rsidRPr="0079587F">
        <w:rPr>
          <w:vertAlign w:val="superscript"/>
        </w:rPr>
        <w:t>th</w:t>
      </w:r>
      <w:r>
        <w:t xml:space="preserve"> June 2022)</w:t>
      </w:r>
    </w:p>
    <w:p w14:paraId="1D57C162" w14:textId="77777777" w:rsidR="0020576C" w:rsidRPr="00325BB5" w:rsidRDefault="0020576C" w:rsidP="0020576C">
      <w:pPr>
        <w:spacing w:after="0"/>
        <w:rPr>
          <w:i/>
        </w:rPr>
      </w:pPr>
    </w:p>
    <w:p w14:paraId="4AA28074" w14:textId="31CD7C00" w:rsidR="0020576C" w:rsidRDefault="0020576C" w:rsidP="0020576C">
      <w:pPr>
        <w:spacing w:after="0"/>
      </w:pPr>
      <w:r>
        <w:t xml:space="preserve">Deloitte (2009) </w:t>
      </w:r>
      <w:r>
        <w:rPr>
          <w:i/>
        </w:rPr>
        <w:t xml:space="preserve">Creating Value Through HR, HR Strategy </w:t>
      </w:r>
      <w:r>
        <w:t xml:space="preserve">Available at: </w:t>
      </w:r>
      <w:hyperlink r:id="rId22" w:history="1">
        <w:r w:rsidRPr="009E42B5">
          <w:rPr>
            <w:rStyle w:val="Hyperlink"/>
          </w:rPr>
          <w:t>https://www2.deloitte.com/content/dam/Deloitte/de/Documents/human-capital/creating-value-through-hr.pdf</w:t>
        </w:r>
      </w:hyperlink>
      <w:r>
        <w:t xml:space="preserve"> (accessed: 6</w:t>
      </w:r>
      <w:r w:rsidRPr="00BE1AC1">
        <w:rPr>
          <w:vertAlign w:val="superscript"/>
        </w:rPr>
        <w:t>th</w:t>
      </w:r>
      <w:r>
        <w:t xml:space="preserve"> June 2022)</w:t>
      </w:r>
    </w:p>
    <w:p w14:paraId="331AD7AE" w14:textId="27D0F339" w:rsidR="00206645" w:rsidRDefault="00206645" w:rsidP="0020576C">
      <w:pPr>
        <w:spacing w:after="0"/>
      </w:pPr>
    </w:p>
    <w:p w14:paraId="160F905A" w14:textId="17F22BA8" w:rsidR="00206645" w:rsidRPr="00206645" w:rsidRDefault="00206645" w:rsidP="0020576C">
      <w:pPr>
        <w:spacing w:after="0"/>
      </w:pPr>
      <w:proofErr w:type="spellStart"/>
      <w:r>
        <w:t>Fuscaldo</w:t>
      </w:r>
      <w:proofErr w:type="spellEnd"/>
      <w:r>
        <w:t xml:space="preserve">, D. (2022) </w:t>
      </w:r>
      <w:r>
        <w:rPr>
          <w:i/>
        </w:rPr>
        <w:t xml:space="preserve">How to manage and improve employee retention </w:t>
      </w:r>
      <w:r>
        <w:t xml:space="preserve">Available at:  </w:t>
      </w:r>
      <w:hyperlink r:id="rId23" w:history="1">
        <w:r w:rsidR="0043509D" w:rsidRPr="004826AB">
          <w:rPr>
            <w:rStyle w:val="Hyperlink"/>
          </w:rPr>
          <w:t>https://www.businessnewsdaily.com/15878-employee-retention-rate.html</w:t>
        </w:r>
      </w:hyperlink>
      <w:r w:rsidR="0043509D">
        <w:t xml:space="preserve"> (accessed: 16</w:t>
      </w:r>
      <w:r w:rsidR="0043509D" w:rsidRPr="00BE1AC1">
        <w:rPr>
          <w:vertAlign w:val="superscript"/>
        </w:rPr>
        <w:t>th</w:t>
      </w:r>
      <w:r w:rsidR="0043509D">
        <w:t xml:space="preserve"> June 2022) </w:t>
      </w:r>
    </w:p>
    <w:p w14:paraId="5726B04A" w14:textId="77777777" w:rsidR="0020576C" w:rsidRDefault="0020576C" w:rsidP="0020576C">
      <w:pPr>
        <w:spacing w:after="0"/>
      </w:pPr>
    </w:p>
    <w:p w14:paraId="0245F209" w14:textId="77777777" w:rsidR="0020576C" w:rsidRPr="00D96DB2" w:rsidRDefault="0020576C" w:rsidP="0020576C">
      <w:pPr>
        <w:spacing w:after="0"/>
      </w:pPr>
      <w:r>
        <w:lastRenderedPageBreak/>
        <w:t xml:space="preserve">Gifford, J (2015) </w:t>
      </w:r>
      <w:r w:rsidRPr="00D96DB2">
        <w:rPr>
          <w:i/>
        </w:rPr>
        <w:t>A head for hiring:</w:t>
      </w:r>
      <w:r>
        <w:rPr>
          <w:i/>
        </w:rPr>
        <w:t xml:space="preserve">  T</w:t>
      </w:r>
      <w:r w:rsidRPr="00D96DB2">
        <w:rPr>
          <w:i/>
        </w:rPr>
        <w:t>he behavioural science of recruitment and selection</w:t>
      </w:r>
      <w:r>
        <w:rPr>
          <w:i/>
        </w:rPr>
        <w:t xml:space="preserve"> </w:t>
      </w:r>
      <w:r>
        <w:t xml:space="preserve">Available at:  </w:t>
      </w:r>
      <w:hyperlink r:id="rId24" w:history="1">
        <w:r w:rsidRPr="004826AB">
          <w:rPr>
            <w:rStyle w:val="Hyperlink"/>
          </w:rPr>
          <w:t>https://www.cipd.co.uk/Images/a-head-for-hiring_2015-behavioural-science-of-recruitment-and-selection_tcm18-9557.pdf</w:t>
        </w:r>
      </w:hyperlink>
      <w:r>
        <w:t xml:space="preserve"> (accessed: 16</w:t>
      </w:r>
      <w:r w:rsidRPr="00BE1AC1">
        <w:rPr>
          <w:vertAlign w:val="superscript"/>
        </w:rPr>
        <w:t>th</w:t>
      </w:r>
      <w:r>
        <w:t xml:space="preserve"> June 2022)</w:t>
      </w:r>
    </w:p>
    <w:p w14:paraId="5062ED01" w14:textId="77777777" w:rsidR="0020576C" w:rsidRDefault="0020576C" w:rsidP="0020576C">
      <w:pPr>
        <w:spacing w:after="0"/>
      </w:pPr>
    </w:p>
    <w:p w14:paraId="7E2B1FDF" w14:textId="77777777" w:rsidR="0020576C" w:rsidRDefault="0020576C" w:rsidP="0020576C">
      <w:r>
        <w:t>HDUHB (</w:t>
      </w:r>
      <w:r w:rsidRPr="002D18BD">
        <w:t>202</w:t>
      </w:r>
      <w:r>
        <w:t>2a</w:t>
      </w:r>
      <w:r w:rsidRPr="002D18BD">
        <w:t>)</w:t>
      </w:r>
      <w:r>
        <w:t xml:space="preserve"> </w:t>
      </w:r>
      <w:r>
        <w:rPr>
          <w:i/>
        </w:rPr>
        <w:t xml:space="preserve">Exit Interview </w:t>
      </w:r>
      <w:r>
        <w:t>Hywel Dda University Health Board Unpublished</w:t>
      </w:r>
    </w:p>
    <w:p w14:paraId="57729D0E" w14:textId="77777777" w:rsidR="0020576C" w:rsidRDefault="0020576C" w:rsidP="0020576C">
      <w:pPr>
        <w:spacing w:after="0"/>
      </w:pPr>
      <w:r>
        <w:t xml:space="preserve">HDUHB (2022b) </w:t>
      </w:r>
      <w:r w:rsidRPr="00BE1AC1">
        <w:rPr>
          <w:i/>
        </w:rPr>
        <w:t>Appraisal group for new hospital site set to meet</w:t>
      </w:r>
      <w:r>
        <w:rPr>
          <w:i/>
        </w:rPr>
        <w:t xml:space="preserve"> </w:t>
      </w:r>
      <w:r>
        <w:t xml:space="preserve">Available at: </w:t>
      </w:r>
      <w:hyperlink r:id="rId25" w:history="1">
        <w:r w:rsidRPr="009E42B5">
          <w:rPr>
            <w:rStyle w:val="Hyperlink"/>
          </w:rPr>
          <w:t>https://hduhb.nhs.wales/news/press-releases/appraisal-group-for-new-hospital-site-set-to-meet/</w:t>
        </w:r>
      </w:hyperlink>
      <w:r>
        <w:t xml:space="preserve"> (accessed: 6</w:t>
      </w:r>
      <w:r w:rsidRPr="00BE1AC1">
        <w:rPr>
          <w:vertAlign w:val="superscript"/>
        </w:rPr>
        <w:t>th</w:t>
      </w:r>
      <w:r>
        <w:t xml:space="preserve"> June 2022) </w:t>
      </w:r>
    </w:p>
    <w:p w14:paraId="6300036A" w14:textId="77777777" w:rsidR="0020576C" w:rsidRDefault="0020576C" w:rsidP="0020576C">
      <w:pPr>
        <w:spacing w:after="0"/>
      </w:pPr>
    </w:p>
    <w:p w14:paraId="7210AD3A" w14:textId="6CA709FB" w:rsidR="00BF24A7" w:rsidRDefault="00BF24A7" w:rsidP="00BF24A7">
      <w:pPr>
        <w:spacing w:after="0"/>
      </w:pPr>
      <w:r>
        <w:t xml:space="preserve">HDUHB (2022c) </w:t>
      </w:r>
      <w:r>
        <w:rPr>
          <w:i/>
          <w:iCs/>
        </w:rPr>
        <w:t xml:space="preserve">Managing Attendance at Work All Wales Policy </w:t>
      </w:r>
      <w:r>
        <w:t xml:space="preserve">available at:  </w:t>
      </w:r>
      <w:hyperlink r:id="rId26" w:history="1">
        <w:r w:rsidRPr="00D1249F">
          <w:rPr>
            <w:rStyle w:val="Hyperlink"/>
          </w:rPr>
          <w:t>https://hduhb.nhs.wales/about-us/governance-arrangements/policies-and-written-control-documents/policies/managing-attendance-at-work-policy/</w:t>
        </w:r>
      </w:hyperlink>
      <w:r>
        <w:t xml:space="preserve"> (accessed: 7</w:t>
      </w:r>
      <w:r w:rsidRPr="00BE1AC1">
        <w:rPr>
          <w:vertAlign w:val="superscript"/>
        </w:rPr>
        <w:t>th</w:t>
      </w:r>
      <w:r>
        <w:t xml:space="preserve"> June 2022)</w:t>
      </w:r>
    </w:p>
    <w:p w14:paraId="5F36DF63" w14:textId="390FE151" w:rsidR="00762988" w:rsidRDefault="00762988" w:rsidP="00BF24A7">
      <w:pPr>
        <w:spacing w:after="0"/>
      </w:pPr>
    </w:p>
    <w:p w14:paraId="0A5CA1C6" w14:textId="4C8A7E70" w:rsidR="00762988" w:rsidRDefault="00762988" w:rsidP="00762988">
      <w:pPr>
        <w:spacing w:after="0"/>
      </w:pPr>
      <w:r>
        <w:t>HDUHB (2018-202</w:t>
      </w:r>
      <w:r w:rsidR="00DB7292">
        <w:t>1</w:t>
      </w:r>
      <w:r>
        <w:t xml:space="preserve">d) </w:t>
      </w:r>
      <w:r>
        <w:rPr>
          <w:i/>
        </w:rPr>
        <w:t xml:space="preserve">Quality Improvement Strategic Framework (QISF) Quality Improving Supporting Frontline </w:t>
      </w:r>
      <w:r>
        <w:t xml:space="preserve">Available at:  </w:t>
      </w:r>
      <w:hyperlink r:id="rId27" w:history="1">
        <w:r w:rsidRPr="009E42B5">
          <w:rPr>
            <w:rStyle w:val="Hyperlink"/>
          </w:rPr>
          <w:t>https://hduhb.nhs.wales/about-us/performance-targets/performance-documents/quality-improvement-strategic-framework-pdf/</w:t>
        </w:r>
      </w:hyperlink>
      <w:r>
        <w:t xml:space="preserve"> (accessed: 6</w:t>
      </w:r>
      <w:r w:rsidRPr="00BE1AC1">
        <w:rPr>
          <w:vertAlign w:val="superscript"/>
        </w:rPr>
        <w:t>th</w:t>
      </w:r>
      <w:r>
        <w:t xml:space="preserve"> June 2022)</w:t>
      </w:r>
    </w:p>
    <w:p w14:paraId="0615B095" w14:textId="36A802AC" w:rsidR="0020576C" w:rsidRDefault="0020576C" w:rsidP="0020576C">
      <w:pPr>
        <w:spacing w:after="0"/>
      </w:pPr>
    </w:p>
    <w:p w14:paraId="1BA789CF" w14:textId="77777777" w:rsidR="00543327" w:rsidRDefault="00543327" w:rsidP="00543327">
      <w:pPr>
        <w:spacing w:after="0"/>
      </w:pPr>
      <w:r>
        <w:t xml:space="preserve">HDUHB (2022e) </w:t>
      </w:r>
      <w:r>
        <w:rPr>
          <w:i/>
        </w:rPr>
        <w:t xml:space="preserve">Recovery In Nature: </w:t>
      </w:r>
      <w:proofErr w:type="spellStart"/>
      <w:r>
        <w:rPr>
          <w:i/>
        </w:rPr>
        <w:t>Ecotherapy</w:t>
      </w:r>
      <w:proofErr w:type="spellEnd"/>
      <w:r>
        <w:rPr>
          <w:i/>
        </w:rPr>
        <w:t xml:space="preserve"> Retreats for Hywel Dda Staff </w:t>
      </w:r>
      <w:r>
        <w:t>Hywel Dda University Health Board Unpublished</w:t>
      </w:r>
    </w:p>
    <w:p w14:paraId="20574D03" w14:textId="055E846C" w:rsidR="00884FDA" w:rsidRDefault="00884FDA" w:rsidP="0020576C">
      <w:pPr>
        <w:spacing w:after="0"/>
      </w:pPr>
    </w:p>
    <w:p w14:paraId="30554CF0" w14:textId="24D0D935" w:rsidR="0055627A" w:rsidRDefault="0055627A" w:rsidP="0055627A">
      <w:pPr>
        <w:spacing w:after="0"/>
      </w:pPr>
      <w:r w:rsidRPr="00940264">
        <w:t>HDUHB (2022</w:t>
      </w:r>
      <w:r>
        <w:t>f</w:t>
      </w:r>
      <w:r w:rsidRPr="00940264">
        <w:t>)</w:t>
      </w:r>
      <w:r w:rsidRPr="00940264">
        <w:rPr>
          <w:i/>
        </w:rPr>
        <w:t xml:space="preserve"> Board Meetings 2022</w:t>
      </w:r>
      <w:r w:rsidRPr="00940264">
        <w:t xml:space="preserve"> Available at:  </w:t>
      </w:r>
      <w:hyperlink r:id="rId28" w:history="1">
        <w:r w:rsidRPr="00940264">
          <w:rPr>
            <w:rStyle w:val="Hyperlink"/>
          </w:rPr>
          <w:t>https://hduhb.nhs.wales/about-us/your-health-board/board-meetings-2022/</w:t>
        </w:r>
      </w:hyperlink>
      <w:r w:rsidRPr="00940264">
        <w:t xml:space="preserve"> (accessed: 6</w:t>
      </w:r>
      <w:r w:rsidRPr="00940264">
        <w:rPr>
          <w:vertAlign w:val="superscript"/>
        </w:rPr>
        <w:t>th</w:t>
      </w:r>
      <w:r w:rsidRPr="00940264">
        <w:t xml:space="preserve"> June 2022)</w:t>
      </w:r>
    </w:p>
    <w:p w14:paraId="7B297D9F" w14:textId="01C545E2" w:rsidR="000730A4" w:rsidRDefault="000730A4" w:rsidP="0055627A">
      <w:pPr>
        <w:spacing w:after="0"/>
      </w:pPr>
    </w:p>
    <w:p w14:paraId="69BDBE8A" w14:textId="2FE85B8D" w:rsidR="000730A4" w:rsidRDefault="000730A4" w:rsidP="000730A4">
      <w:pPr>
        <w:spacing w:after="0"/>
      </w:pPr>
      <w:r>
        <w:t xml:space="preserve">HDUHB (2020g) </w:t>
      </w:r>
      <w:r>
        <w:rPr>
          <w:i/>
        </w:rPr>
        <w:t xml:space="preserve">AW Social Media Policy </w:t>
      </w:r>
      <w:r>
        <w:t xml:space="preserve">Available at:  </w:t>
      </w:r>
      <w:hyperlink r:id="rId29" w:history="1">
        <w:r w:rsidRPr="00631906">
          <w:rPr>
            <w:rStyle w:val="Hyperlink"/>
          </w:rPr>
          <w:t>https://hduhb.nhs.wales/about-us/governance-arrangements/policies-and-written-control-documents/policies/all-wales-social-media-policy1/</w:t>
        </w:r>
      </w:hyperlink>
      <w:r>
        <w:t xml:space="preserve">  (accessed: 7</w:t>
      </w:r>
      <w:r w:rsidRPr="00BE1AC1">
        <w:rPr>
          <w:vertAlign w:val="superscript"/>
        </w:rPr>
        <w:t>th</w:t>
      </w:r>
      <w:r>
        <w:t xml:space="preserve"> June 2022)</w:t>
      </w:r>
    </w:p>
    <w:p w14:paraId="000CF430" w14:textId="0C007F40" w:rsidR="00B201CC" w:rsidRDefault="00B201CC" w:rsidP="000730A4">
      <w:pPr>
        <w:spacing w:after="0"/>
      </w:pPr>
    </w:p>
    <w:p w14:paraId="4E6F805C" w14:textId="54B0679A" w:rsidR="00B201CC" w:rsidRDefault="00B201CC" w:rsidP="00B201CC">
      <w:r>
        <w:t xml:space="preserve">HDUHB (2021h) </w:t>
      </w:r>
      <w:r>
        <w:rPr>
          <w:i/>
        </w:rPr>
        <w:t xml:space="preserve">Standards of Behaviour Policy 2020 </w:t>
      </w:r>
      <w:r>
        <w:t>Hywel Dda University Health Board Unpublished</w:t>
      </w:r>
    </w:p>
    <w:p w14:paraId="2839D499" w14:textId="77777777" w:rsidR="004E744D" w:rsidRDefault="004E744D" w:rsidP="004E744D">
      <w:pPr>
        <w:spacing w:after="0"/>
      </w:pPr>
    </w:p>
    <w:p w14:paraId="4D9DB205" w14:textId="77777777" w:rsidR="004E744D" w:rsidRDefault="004E744D" w:rsidP="004E744D">
      <w:r>
        <w:t xml:space="preserve">HDUHB (2021i) </w:t>
      </w:r>
      <w:r>
        <w:rPr>
          <w:i/>
        </w:rPr>
        <w:t xml:space="preserve">Values and Behaviours Framework Staff Information Booklet </w:t>
      </w:r>
      <w:r>
        <w:t>Unpublished</w:t>
      </w:r>
    </w:p>
    <w:p w14:paraId="05E91435" w14:textId="77777777" w:rsidR="00237781" w:rsidRDefault="00237781" w:rsidP="00237781">
      <w:pPr>
        <w:spacing w:after="0"/>
      </w:pPr>
    </w:p>
    <w:p w14:paraId="59B8EFC6" w14:textId="77777777" w:rsidR="00237781" w:rsidRDefault="00237781" w:rsidP="00237781">
      <w:pPr>
        <w:spacing w:after="0"/>
      </w:pPr>
      <w:r>
        <w:t xml:space="preserve">HDUHB (2022j) </w:t>
      </w:r>
      <w:r w:rsidRPr="004963A0">
        <w:rPr>
          <w:i/>
        </w:rPr>
        <w:t>Patient</w:t>
      </w:r>
      <w:r w:rsidRPr="00AA6F45">
        <w:rPr>
          <w:i/>
        </w:rPr>
        <w:t xml:space="preserve"> </w:t>
      </w:r>
      <w:r>
        <w:rPr>
          <w:i/>
        </w:rPr>
        <w:t>S</w:t>
      </w:r>
      <w:r w:rsidRPr="00AA6F45">
        <w:rPr>
          <w:i/>
        </w:rPr>
        <w:t xml:space="preserve">upport </w:t>
      </w:r>
      <w:r>
        <w:rPr>
          <w:i/>
        </w:rPr>
        <w:t>S</w:t>
      </w:r>
      <w:r w:rsidRPr="00AA6F45">
        <w:rPr>
          <w:i/>
        </w:rPr>
        <w:t xml:space="preserve">ervices (feedback and complaints) </w:t>
      </w:r>
      <w:r>
        <w:t xml:space="preserve">Available at: </w:t>
      </w:r>
      <w:hyperlink r:id="rId30" w:history="1">
        <w:r w:rsidRPr="009E42B5">
          <w:rPr>
            <w:rStyle w:val="Hyperlink"/>
          </w:rPr>
          <w:t>https://hduhb.nhs.wales/healthcare/services-and-teams/patient-support-services-complaints-feedback/</w:t>
        </w:r>
      </w:hyperlink>
      <w:r>
        <w:t xml:space="preserve"> (accessed: 6</w:t>
      </w:r>
      <w:r w:rsidRPr="00BE1AC1">
        <w:rPr>
          <w:vertAlign w:val="superscript"/>
        </w:rPr>
        <w:t>th</w:t>
      </w:r>
      <w:r>
        <w:t xml:space="preserve"> June 2022)</w:t>
      </w:r>
    </w:p>
    <w:p w14:paraId="1DA00A3B" w14:textId="77777777" w:rsidR="00543327" w:rsidRDefault="00543327" w:rsidP="0020576C">
      <w:pPr>
        <w:spacing w:after="0"/>
      </w:pPr>
    </w:p>
    <w:p w14:paraId="0923E793" w14:textId="77777777" w:rsidR="0020576C" w:rsidRPr="00011321" w:rsidRDefault="0020576C" w:rsidP="0020576C">
      <w:pPr>
        <w:spacing w:after="0"/>
      </w:pPr>
      <w:r>
        <w:t xml:space="preserve">Hoover, L. (2021) </w:t>
      </w:r>
      <w:r>
        <w:rPr>
          <w:i/>
        </w:rPr>
        <w:t xml:space="preserve">What is qualitative vs quantitative study </w:t>
      </w:r>
      <w:r>
        <w:t xml:space="preserve">Available at:  </w:t>
      </w:r>
      <w:hyperlink r:id="rId31" w:anchor=":~:text=As%20qualitative%20and%20quantitative%20studies%20collect%20different%20data%2C,detail%20how%20people%20think%20or%20respond%20within%20society" w:history="1">
        <w:r w:rsidRPr="00A41624">
          <w:rPr>
            <w:rStyle w:val="Hyperlink"/>
          </w:rPr>
          <w:t>https://www.gcu.edu/blog/doctoral-journey/what-qualitative-vs-quantitative-study#:~:text=As%20qualitative%20and%20quantitative%20studies%20collect%20different%20data%2C,detail%20how%20people%20think%20or%20respond%20within%20society</w:t>
        </w:r>
      </w:hyperlink>
      <w:r w:rsidRPr="00011321">
        <w:t>.</w:t>
      </w:r>
      <w:r>
        <w:t xml:space="preserve"> (accessed 9</w:t>
      </w:r>
      <w:r w:rsidRPr="00011321">
        <w:rPr>
          <w:vertAlign w:val="superscript"/>
        </w:rPr>
        <w:t>th</w:t>
      </w:r>
      <w:r>
        <w:t xml:space="preserve"> June 2022)</w:t>
      </w:r>
    </w:p>
    <w:p w14:paraId="4177A2A8" w14:textId="77777777" w:rsidR="0020576C" w:rsidRDefault="0020576C" w:rsidP="0020576C">
      <w:pPr>
        <w:spacing w:after="0"/>
      </w:pPr>
    </w:p>
    <w:p w14:paraId="25A7DFF9" w14:textId="77777777" w:rsidR="0020576C" w:rsidRDefault="0020576C" w:rsidP="0020576C">
      <w:proofErr w:type="spellStart"/>
      <w:r>
        <w:t>HywelDda-ItsInOurDNA</w:t>
      </w:r>
      <w:proofErr w:type="spellEnd"/>
      <w:r>
        <w:t xml:space="preserve"> (2022) [</w:t>
      </w:r>
      <w:r w:rsidRPr="00C36903">
        <w:rPr>
          <w:i/>
        </w:rPr>
        <w:t>Twitter</w:t>
      </w:r>
      <w:r>
        <w:t xml:space="preserve">] Available at:  </w:t>
      </w:r>
      <w:hyperlink r:id="rId32" w:history="1">
        <w:r w:rsidRPr="00A41624">
          <w:rPr>
            <w:rStyle w:val="Hyperlink"/>
          </w:rPr>
          <w:t>https://twitter.com/HywelDda_values</w:t>
        </w:r>
      </w:hyperlink>
      <w:r>
        <w:t xml:space="preserve"> (accessed: 9</w:t>
      </w:r>
      <w:r w:rsidRPr="00BE1AC1">
        <w:rPr>
          <w:vertAlign w:val="superscript"/>
        </w:rPr>
        <w:t>th</w:t>
      </w:r>
      <w:r>
        <w:t xml:space="preserve"> June 2022)</w:t>
      </w:r>
    </w:p>
    <w:p w14:paraId="34481E3D" w14:textId="77777777" w:rsidR="0020576C" w:rsidRPr="0071074E" w:rsidRDefault="0020576C" w:rsidP="0020576C">
      <w:pPr>
        <w:spacing w:after="0"/>
      </w:pPr>
    </w:p>
    <w:p w14:paraId="4DBCC846" w14:textId="77777777" w:rsidR="0020576C" w:rsidRDefault="0020576C" w:rsidP="0020576C">
      <w:pPr>
        <w:spacing w:after="0"/>
      </w:pPr>
      <w:r>
        <w:lastRenderedPageBreak/>
        <w:t xml:space="preserve">Kotter, J (1995) </w:t>
      </w:r>
      <w:r w:rsidRPr="0034050B">
        <w:rPr>
          <w:i/>
        </w:rPr>
        <w:t>Kotter's 8-Step Change Model Implementing Change Powerfully and Successfully</w:t>
      </w:r>
      <w:r>
        <w:t xml:space="preserve"> Available at:  </w:t>
      </w:r>
      <w:hyperlink r:id="rId33" w:history="1">
        <w:r w:rsidRPr="00862C79">
          <w:rPr>
            <w:rStyle w:val="Hyperlink"/>
          </w:rPr>
          <w:t>https://www.mindtools.com/pages/article/newPPM_82.htm</w:t>
        </w:r>
      </w:hyperlink>
      <w:r>
        <w:t xml:space="preserve"> (accessed:  6</w:t>
      </w:r>
      <w:r w:rsidRPr="00311ABA">
        <w:rPr>
          <w:vertAlign w:val="superscript"/>
        </w:rPr>
        <w:t>th</w:t>
      </w:r>
      <w:r>
        <w:t xml:space="preserve"> June 2022)</w:t>
      </w:r>
    </w:p>
    <w:p w14:paraId="5E5C1585" w14:textId="77777777" w:rsidR="0020576C" w:rsidRDefault="0020576C" w:rsidP="0020576C">
      <w:pPr>
        <w:spacing w:after="0"/>
      </w:pPr>
    </w:p>
    <w:p w14:paraId="0DB28555" w14:textId="77777777" w:rsidR="0020576C" w:rsidRPr="00B23431" w:rsidRDefault="0020576C" w:rsidP="0020576C">
      <w:pPr>
        <w:spacing w:after="0"/>
      </w:pPr>
      <w:r>
        <w:t xml:space="preserve">Mullins, L.J. (2007) </w:t>
      </w:r>
      <w:r>
        <w:rPr>
          <w:i/>
        </w:rPr>
        <w:t xml:space="preserve">Management and Organisational Behaviour. </w:t>
      </w:r>
      <w:r>
        <w:t xml:space="preserve">Eighth edition. Great Britain: Financial Times Prentice Hall </w:t>
      </w:r>
    </w:p>
    <w:p w14:paraId="14B1C494" w14:textId="77777777" w:rsidR="0020576C" w:rsidRDefault="0020576C" w:rsidP="0020576C">
      <w:pPr>
        <w:spacing w:after="0"/>
      </w:pPr>
    </w:p>
    <w:p w14:paraId="02CF2C2C" w14:textId="77777777" w:rsidR="0020576C" w:rsidRDefault="0020576C" w:rsidP="0020576C">
      <w:pPr>
        <w:spacing w:after="0"/>
        <w:rPr>
          <w:rFonts w:cstheme="minorHAnsi"/>
        </w:rPr>
      </w:pPr>
      <w:r w:rsidRPr="0050348B">
        <w:rPr>
          <w:rFonts w:cstheme="minorHAnsi"/>
        </w:rPr>
        <w:t xml:space="preserve">Robinson, M (2020) </w:t>
      </w:r>
      <w:r w:rsidRPr="0050348B">
        <w:rPr>
          <w:rFonts w:cstheme="minorHAnsi"/>
          <w:lang w:val="en-US"/>
        </w:rPr>
        <w:t>To</w:t>
      </w:r>
      <w:r w:rsidRPr="0050348B">
        <w:rPr>
          <w:rFonts w:cstheme="minorHAnsi"/>
          <w:i/>
          <w:lang w:val="en-US"/>
        </w:rPr>
        <w:t xml:space="preserve">p 25 Social Media Fails: The Worst Offenses on the Internet </w:t>
      </w:r>
      <w:r w:rsidRPr="0050348B">
        <w:rPr>
          <w:rFonts w:cstheme="minorHAnsi"/>
          <w:i/>
        </w:rPr>
        <w:t>A</w:t>
      </w:r>
      <w:r w:rsidRPr="0050348B">
        <w:rPr>
          <w:rFonts w:cstheme="minorHAnsi"/>
        </w:rPr>
        <w:t>vailable</w:t>
      </w:r>
      <w:r w:rsidRPr="0050348B">
        <w:rPr>
          <w:rFonts w:cstheme="minorHAnsi"/>
          <w:i/>
        </w:rPr>
        <w:t xml:space="preserve"> </w:t>
      </w:r>
      <w:r>
        <w:rPr>
          <w:rFonts w:cstheme="minorHAnsi"/>
        </w:rPr>
        <w:t xml:space="preserve">at: </w:t>
      </w:r>
      <w:hyperlink r:id="rId34" w:history="1">
        <w:r w:rsidRPr="0050348B">
          <w:rPr>
            <w:rStyle w:val="Hyperlink"/>
            <w:rFonts w:cstheme="minorHAnsi"/>
          </w:rPr>
          <w:t>https://howsociable.com/blog/social-media-fails/</w:t>
        </w:r>
      </w:hyperlink>
      <w:r w:rsidRPr="0050348B">
        <w:rPr>
          <w:rFonts w:cstheme="minorHAnsi"/>
        </w:rPr>
        <w:t xml:space="preserve"> (accessed: 25</w:t>
      </w:r>
      <w:r w:rsidRPr="0050348B">
        <w:rPr>
          <w:rFonts w:cstheme="minorHAnsi"/>
          <w:vertAlign w:val="superscript"/>
        </w:rPr>
        <w:t>th</w:t>
      </w:r>
      <w:r w:rsidRPr="0050348B">
        <w:rPr>
          <w:rFonts w:cstheme="minorHAnsi"/>
        </w:rPr>
        <w:t xml:space="preserve"> May 2022) </w:t>
      </w:r>
    </w:p>
    <w:p w14:paraId="60DE559F" w14:textId="77777777" w:rsidR="0020576C" w:rsidRDefault="0020576C" w:rsidP="0020576C">
      <w:pPr>
        <w:spacing w:after="0"/>
        <w:rPr>
          <w:rFonts w:cstheme="minorHAnsi"/>
        </w:rPr>
      </w:pPr>
    </w:p>
    <w:p w14:paraId="4C879319" w14:textId="77777777" w:rsidR="0020576C" w:rsidRDefault="0020576C" w:rsidP="0020576C">
      <w:pPr>
        <w:spacing w:after="0"/>
        <w:rPr>
          <w:rFonts w:cstheme="minorHAnsi"/>
        </w:rPr>
      </w:pPr>
      <w:r>
        <w:rPr>
          <w:rFonts w:cstheme="minorHAnsi"/>
        </w:rPr>
        <w:t xml:space="preserve">Sheri &amp; Mike (2012) </w:t>
      </w:r>
      <w:r>
        <w:rPr>
          <w:rFonts w:cstheme="minorHAnsi"/>
          <w:i/>
        </w:rPr>
        <w:t>Authors of Basics for Evaluating Medical Research Studies</w:t>
      </w:r>
      <w:r>
        <w:rPr>
          <w:rFonts w:cstheme="minorHAnsi"/>
        </w:rPr>
        <w:t xml:space="preserve"> Available at:  </w:t>
      </w:r>
      <w:hyperlink r:id="rId35" w:history="1">
        <w:r w:rsidRPr="00A41624">
          <w:rPr>
            <w:rStyle w:val="Hyperlink"/>
            <w:rFonts w:cstheme="minorHAnsi"/>
          </w:rPr>
          <w:t>https://delfini.org/blog/?p=416</w:t>
        </w:r>
      </w:hyperlink>
      <w:r>
        <w:rPr>
          <w:rFonts w:cstheme="minorHAnsi"/>
        </w:rPr>
        <w:t xml:space="preserve"> (accessed 9</w:t>
      </w:r>
      <w:r w:rsidRPr="004550BD">
        <w:rPr>
          <w:rFonts w:cstheme="minorHAnsi"/>
          <w:vertAlign w:val="superscript"/>
        </w:rPr>
        <w:t>th</w:t>
      </w:r>
      <w:r>
        <w:rPr>
          <w:rFonts w:cstheme="minorHAnsi"/>
        </w:rPr>
        <w:t xml:space="preserve"> June 2022) </w:t>
      </w:r>
    </w:p>
    <w:p w14:paraId="08230ADD" w14:textId="77777777" w:rsidR="0020576C" w:rsidRDefault="0020576C" w:rsidP="0020576C">
      <w:pPr>
        <w:spacing w:after="0"/>
        <w:rPr>
          <w:rFonts w:cstheme="minorHAnsi"/>
        </w:rPr>
      </w:pPr>
    </w:p>
    <w:p w14:paraId="43647F86" w14:textId="77777777" w:rsidR="0020576C" w:rsidRPr="00560F6D" w:rsidRDefault="0020576C" w:rsidP="0020576C">
      <w:pPr>
        <w:spacing w:after="0"/>
        <w:rPr>
          <w:rFonts w:cstheme="minorHAnsi"/>
        </w:rPr>
      </w:pPr>
      <w:r>
        <w:rPr>
          <w:rFonts w:cstheme="minorHAnsi"/>
        </w:rPr>
        <w:t xml:space="preserve">Sills, P (2019) </w:t>
      </w:r>
      <w:r>
        <w:rPr>
          <w:rFonts w:cstheme="minorHAnsi"/>
          <w:i/>
        </w:rPr>
        <w:t xml:space="preserve">Cognitive Bias in Ethical Decision Making </w:t>
      </w:r>
      <w:r>
        <w:rPr>
          <w:rFonts w:cstheme="minorHAnsi"/>
        </w:rPr>
        <w:t xml:space="preserve">Available at:  </w:t>
      </w:r>
      <w:hyperlink r:id="rId36" w:history="1">
        <w:r w:rsidRPr="00A41624">
          <w:rPr>
            <w:rStyle w:val="Hyperlink"/>
            <w:rFonts w:cstheme="minorHAnsi"/>
          </w:rPr>
          <w:t>https://legalwiseseminars.com.au/nz/insights/cognitive-bias-in-ethical-decision-making/</w:t>
        </w:r>
      </w:hyperlink>
      <w:r>
        <w:rPr>
          <w:rFonts w:cstheme="minorHAnsi"/>
        </w:rPr>
        <w:t xml:space="preserve"> (accessed 9</w:t>
      </w:r>
      <w:r w:rsidRPr="00560F6D">
        <w:rPr>
          <w:rFonts w:cstheme="minorHAnsi"/>
          <w:vertAlign w:val="superscript"/>
        </w:rPr>
        <w:t>th</w:t>
      </w:r>
      <w:r>
        <w:rPr>
          <w:rFonts w:cstheme="minorHAnsi"/>
        </w:rPr>
        <w:t xml:space="preserve"> June 2022) </w:t>
      </w:r>
    </w:p>
    <w:p w14:paraId="017D1D36" w14:textId="77777777" w:rsidR="0020576C" w:rsidRDefault="0020576C" w:rsidP="0020576C">
      <w:pPr>
        <w:spacing w:after="0"/>
        <w:rPr>
          <w:rFonts w:cstheme="minorHAnsi"/>
        </w:rPr>
      </w:pPr>
    </w:p>
    <w:p w14:paraId="37D658D0" w14:textId="77777777" w:rsidR="0020576C" w:rsidRDefault="0020576C" w:rsidP="0020576C">
      <w:pPr>
        <w:spacing w:after="0"/>
      </w:pPr>
      <w:r>
        <w:t xml:space="preserve">Stevens, L (2020) </w:t>
      </w:r>
      <w:r>
        <w:rPr>
          <w:i/>
        </w:rPr>
        <w:t xml:space="preserve">Employee Engagement </w:t>
      </w:r>
      <w:r>
        <w:t xml:space="preserve">Available at:  </w:t>
      </w:r>
      <w:hyperlink r:id="rId37" w:history="1">
        <w:r w:rsidRPr="00631906">
          <w:rPr>
            <w:rStyle w:val="Hyperlink"/>
          </w:rPr>
          <w:t>https://landiestevens.com/index.php/resources/helpful-articles/84-employee-engagement</w:t>
        </w:r>
      </w:hyperlink>
      <w:r>
        <w:t xml:space="preserve"> (accessed:  7</w:t>
      </w:r>
      <w:r w:rsidRPr="00311ABA">
        <w:rPr>
          <w:vertAlign w:val="superscript"/>
        </w:rPr>
        <w:t>th</w:t>
      </w:r>
      <w:r>
        <w:t xml:space="preserve"> June 2022)</w:t>
      </w:r>
    </w:p>
    <w:p w14:paraId="351A063F" w14:textId="77777777" w:rsidR="0020576C" w:rsidRPr="0050348B" w:rsidRDefault="0020576C" w:rsidP="0020576C">
      <w:pPr>
        <w:spacing w:after="0"/>
        <w:rPr>
          <w:rFonts w:cstheme="minorHAnsi"/>
        </w:rPr>
      </w:pPr>
    </w:p>
    <w:p w14:paraId="426E664B" w14:textId="77777777" w:rsidR="0020576C" w:rsidRDefault="0020576C" w:rsidP="0020576C">
      <w:pPr>
        <w:spacing w:after="0"/>
      </w:pPr>
      <w:proofErr w:type="spellStart"/>
      <w:r>
        <w:t>Streefkerk</w:t>
      </w:r>
      <w:proofErr w:type="spellEnd"/>
      <w:r>
        <w:t xml:space="preserve">, R (2022) </w:t>
      </w:r>
      <w:r w:rsidRPr="000000C2">
        <w:rPr>
          <w:i/>
        </w:rPr>
        <w:t>Qualitative vs. Quantitative Research | Differences, Examples &amp; Methods</w:t>
      </w:r>
      <w:r>
        <w:rPr>
          <w:i/>
        </w:rPr>
        <w:t xml:space="preserve"> </w:t>
      </w:r>
      <w:r>
        <w:t xml:space="preserve">Available at:  </w:t>
      </w:r>
      <w:hyperlink r:id="rId38" w:history="1">
        <w:r w:rsidRPr="00862C79">
          <w:rPr>
            <w:rStyle w:val="Hyperlink"/>
          </w:rPr>
          <w:t>https://www.scribbr.com/methodology/qualitative-quantitative-research/</w:t>
        </w:r>
      </w:hyperlink>
      <w:r>
        <w:t xml:space="preserve"> (accessed:  6</w:t>
      </w:r>
      <w:r w:rsidRPr="000000C2">
        <w:rPr>
          <w:vertAlign w:val="superscript"/>
        </w:rPr>
        <w:t>th</w:t>
      </w:r>
      <w:r>
        <w:t xml:space="preserve"> June 2022) </w:t>
      </w:r>
    </w:p>
    <w:p w14:paraId="2057290F" w14:textId="77777777" w:rsidR="0020576C" w:rsidRDefault="0020576C" w:rsidP="0020576C">
      <w:pPr>
        <w:spacing w:after="0"/>
      </w:pPr>
    </w:p>
    <w:p w14:paraId="4ACEE7CF" w14:textId="77777777" w:rsidR="0020576C" w:rsidRDefault="0020576C" w:rsidP="0020576C">
      <w:pPr>
        <w:spacing w:after="0"/>
      </w:pPr>
      <w:r w:rsidRPr="00A41D45">
        <w:t xml:space="preserve">Waite, K </w:t>
      </w:r>
      <w:r w:rsidRPr="00A41D45">
        <w:rPr>
          <w:i/>
          <w:iCs/>
        </w:rPr>
        <w:t>et al.</w:t>
      </w:r>
      <w:r>
        <w:t xml:space="preserve"> (2021</w:t>
      </w:r>
      <w:r w:rsidRPr="00A41D45">
        <w:t xml:space="preserve">) </w:t>
      </w:r>
      <w:r w:rsidRPr="00A41D45">
        <w:rPr>
          <w:i/>
          <w:iCs/>
        </w:rPr>
        <w:t>People Practice A Complete Guide</w:t>
      </w:r>
      <w:r w:rsidRPr="00A41D45">
        <w:t xml:space="preserve"> Great Britain: </w:t>
      </w:r>
      <w:proofErr w:type="spellStart"/>
      <w:r w:rsidRPr="00A41D45">
        <w:t>Kogan</w:t>
      </w:r>
      <w:proofErr w:type="spellEnd"/>
      <w:r w:rsidRPr="00A41D45">
        <w:t xml:space="preserve"> Page Limited</w:t>
      </w:r>
      <w:r>
        <w:t xml:space="preserve"> </w:t>
      </w:r>
    </w:p>
    <w:p w14:paraId="7E9FD559" w14:textId="77777777" w:rsidR="0020576C" w:rsidRDefault="0020576C" w:rsidP="0020576C">
      <w:pPr>
        <w:spacing w:after="0"/>
      </w:pPr>
    </w:p>
    <w:p w14:paraId="3472064B" w14:textId="77777777" w:rsidR="0020576C" w:rsidRDefault="0020576C" w:rsidP="0020576C">
      <w:pPr>
        <w:spacing w:after="0"/>
      </w:pPr>
      <w:r>
        <w:t xml:space="preserve">Young, J (2022a) </w:t>
      </w:r>
      <w:r w:rsidRPr="003E6765">
        <w:rPr>
          <w:i/>
        </w:rPr>
        <w:t>People analytics - Explore the CIPD’s point of view on people analytics, including actions for Government and recommendations for employers</w:t>
      </w:r>
      <w:r>
        <w:rPr>
          <w:i/>
        </w:rPr>
        <w:t xml:space="preserve"> </w:t>
      </w:r>
      <w:r>
        <w:t xml:space="preserve">Available at: </w:t>
      </w:r>
      <w:hyperlink r:id="rId39" w:history="1">
        <w:r w:rsidRPr="009E42B5">
          <w:rPr>
            <w:rStyle w:val="Hyperlink"/>
          </w:rPr>
          <w:t>https://www.cipd.co.uk/news-views/viewpoint/people-analytics</w:t>
        </w:r>
      </w:hyperlink>
      <w:r>
        <w:t xml:space="preserve"> (accessed: 6</w:t>
      </w:r>
      <w:r w:rsidRPr="00BE1AC1">
        <w:rPr>
          <w:vertAlign w:val="superscript"/>
        </w:rPr>
        <w:t>th</w:t>
      </w:r>
      <w:r>
        <w:t xml:space="preserve"> June 2022)</w:t>
      </w:r>
    </w:p>
    <w:p w14:paraId="15682C49" w14:textId="77777777" w:rsidR="0020576C" w:rsidRDefault="0020576C" w:rsidP="0020576C">
      <w:pPr>
        <w:spacing w:after="0"/>
      </w:pPr>
    </w:p>
    <w:p w14:paraId="5877B978" w14:textId="77777777" w:rsidR="0020576C" w:rsidRDefault="0020576C" w:rsidP="0020576C">
      <w:pPr>
        <w:spacing w:after="0"/>
      </w:pPr>
    </w:p>
    <w:p w14:paraId="04131F57" w14:textId="77777777" w:rsidR="0020576C" w:rsidRDefault="0020576C" w:rsidP="0020576C">
      <w:pPr>
        <w:spacing w:after="0"/>
      </w:pPr>
      <w:r>
        <w:t xml:space="preserve">Young, J (2022b) </w:t>
      </w:r>
      <w:r w:rsidRPr="009A247B">
        <w:rPr>
          <w:i/>
        </w:rPr>
        <w:t>Evidence-based practice for effective decision-making</w:t>
      </w:r>
      <w:r>
        <w:rPr>
          <w:i/>
        </w:rPr>
        <w:t xml:space="preserve"> </w:t>
      </w:r>
      <w:r>
        <w:t xml:space="preserve">Available at:   </w:t>
      </w:r>
      <w:hyperlink r:id="rId40" w:history="1">
        <w:r w:rsidRPr="009E42B5">
          <w:rPr>
            <w:rStyle w:val="Hyperlink"/>
          </w:rPr>
          <w:t>https://www.cipd.co.uk/knowledge/strategy/analytics/evidence-based-practice-factsheet</w:t>
        </w:r>
      </w:hyperlink>
      <w:r>
        <w:t xml:space="preserve"> (accessed: 6</w:t>
      </w:r>
      <w:r w:rsidRPr="009A247B">
        <w:rPr>
          <w:vertAlign w:val="superscript"/>
        </w:rPr>
        <w:t>th</w:t>
      </w:r>
      <w:r>
        <w:t xml:space="preserve"> June 2022) </w:t>
      </w:r>
    </w:p>
    <w:p w14:paraId="6CA611E9" w14:textId="77777777" w:rsidR="0020576C" w:rsidRDefault="0020576C" w:rsidP="0020576C">
      <w:pPr>
        <w:spacing w:after="0"/>
      </w:pPr>
    </w:p>
    <w:p w14:paraId="3A0A1886" w14:textId="5E089E95" w:rsidR="00865A6C" w:rsidRDefault="0020576C" w:rsidP="0020576C">
      <w:pPr>
        <w:spacing w:after="0"/>
      </w:pPr>
      <w:r>
        <w:t xml:space="preserve">Young, J (2022c) </w:t>
      </w:r>
      <w:r w:rsidRPr="009A247B">
        <w:rPr>
          <w:i/>
        </w:rPr>
        <w:t>Evidence-based practice for effective decision-making</w:t>
      </w:r>
      <w:r>
        <w:rPr>
          <w:i/>
        </w:rPr>
        <w:t xml:space="preserve"> </w:t>
      </w:r>
      <w:r>
        <w:t xml:space="preserve">Available at:  </w:t>
      </w:r>
      <w:hyperlink r:id="rId41" w:history="1">
        <w:r w:rsidRPr="009E42B5">
          <w:rPr>
            <w:rStyle w:val="Hyperlink"/>
          </w:rPr>
          <w:t>https://www.cipd.co.uk/knowledge/strategy/analytics/evidence-based-practice-factsheet</w:t>
        </w:r>
      </w:hyperlink>
      <w:r>
        <w:t xml:space="preserve"> (accessed: 6</w:t>
      </w:r>
      <w:r w:rsidRPr="009A247B">
        <w:rPr>
          <w:vertAlign w:val="superscript"/>
        </w:rPr>
        <w:t>th</w:t>
      </w:r>
      <w:r>
        <w:t xml:space="preserve"> June 2022) </w:t>
      </w:r>
    </w:p>
    <w:p w14:paraId="0BB893AC" w14:textId="77777777" w:rsidR="00865A6C" w:rsidRDefault="00865A6C">
      <w:r>
        <w:br w:type="page"/>
      </w:r>
    </w:p>
    <w:p w14:paraId="4305E348" w14:textId="3558EE3A" w:rsidR="00865A6C" w:rsidRPr="00656E50" w:rsidRDefault="00E5781D" w:rsidP="00865A6C">
      <w:pPr>
        <w:rPr>
          <w:b/>
          <w:i/>
          <w:u w:val="single"/>
        </w:rPr>
      </w:pPr>
      <w:r>
        <w:rPr>
          <w:b/>
          <w:u w:val="single"/>
        </w:rPr>
        <w:lastRenderedPageBreak/>
        <w:t xml:space="preserve">Analysis </w:t>
      </w:r>
      <w:r w:rsidR="00865A6C">
        <w:rPr>
          <w:b/>
          <w:u w:val="single"/>
        </w:rPr>
        <w:t>of data to inform practice</w:t>
      </w:r>
      <w:bookmarkStart w:id="0" w:name="_GoBack"/>
      <w:bookmarkEnd w:id="0"/>
    </w:p>
    <w:p w14:paraId="53ED2B07" w14:textId="77777777" w:rsidR="00865A6C" w:rsidRDefault="00865A6C" w:rsidP="00865A6C">
      <w:pPr>
        <w:spacing w:after="0"/>
      </w:pPr>
    </w:p>
    <w:p w14:paraId="4C989EA2" w14:textId="77777777" w:rsidR="00865A6C" w:rsidRDefault="00865A6C" w:rsidP="00865A6C">
      <w:pPr>
        <w:spacing w:after="0"/>
        <w:rPr>
          <w:b/>
        </w:rPr>
      </w:pPr>
      <w:r>
        <w:rPr>
          <w:b/>
        </w:rPr>
        <w:t>Research and Design:</w:t>
      </w:r>
    </w:p>
    <w:p w14:paraId="160A86B2" w14:textId="77777777" w:rsidR="00865A6C" w:rsidRDefault="00865A6C" w:rsidP="00865A6C">
      <w:pPr>
        <w:spacing w:after="0"/>
        <w:jc w:val="both"/>
      </w:pPr>
      <w:r>
        <w:t xml:space="preserve">It is evident from the survey that Research and Design have a positive workplace culture.  The majority of staff feel valued and secure in their jobs whilst being able to use their own initiative.  </w:t>
      </w:r>
      <w:r w:rsidRPr="00616BD6">
        <w:t>A</w:t>
      </w:r>
      <w:r>
        <w:t>s stated by Agarwal (2018) “po</w:t>
      </w:r>
      <w:r w:rsidRPr="00616BD6">
        <w:t>sitive workplace culture improves teamwork, raises the morale, increases productivity and efficiency, and enhances retention of the workforce. Job satisfaction, collaboration, and work performance are all enhanced. And, most importantly, a positive workplace environment reduces stress in employees.</w:t>
      </w:r>
      <w:r>
        <w:t xml:space="preserve">”  </w:t>
      </w:r>
    </w:p>
    <w:p w14:paraId="2CDE05F9" w14:textId="77777777" w:rsidR="00865A6C" w:rsidRDefault="00865A6C" w:rsidP="00865A6C">
      <w:pPr>
        <w:spacing w:after="0"/>
        <w:jc w:val="both"/>
      </w:pPr>
    </w:p>
    <w:p w14:paraId="5C97FAD8" w14:textId="77777777" w:rsidR="00865A6C" w:rsidRDefault="00865A6C" w:rsidP="00865A6C">
      <w:pPr>
        <w:spacing w:after="0"/>
        <w:jc w:val="both"/>
        <w:rPr>
          <w:b/>
        </w:rPr>
      </w:pPr>
      <w:r>
        <w:rPr>
          <w:b/>
        </w:rPr>
        <w:t>Administration:</w:t>
      </w:r>
    </w:p>
    <w:p w14:paraId="4D7F250F" w14:textId="77777777" w:rsidR="00865A6C" w:rsidRDefault="00865A6C" w:rsidP="00865A6C">
      <w:pPr>
        <w:spacing w:after="0"/>
        <w:jc w:val="both"/>
      </w:pPr>
      <w:r>
        <w:t>The Administration Team appear to be unhappy within their Department resulting in them not feeling valued, this could lead to disengagement and explain why they have the lowest response rate (</w:t>
      </w:r>
      <w:proofErr w:type="spellStart"/>
      <w:r>
        <w:t>Keka</w:t>
      </w:r>
      <w:proofErr w:type="spellEnd"/>
      <w:r>
        <w:t xml:space="preserve">, 2022).  They are also not allowed to work from home and a high percentage state they are not allowed to work flexibly which could also have an impact on staff wellbeing and sickness rates.  Flexible working enables staff to have a better work / life balance and avoid burn out resulting in less employees going off sick; happy employees are more productive (Beattie, 2019). </w:t>
      </w:r>
    </w:p>
    <w:p w14:paraId="21BD7C34" w14:textId="77777777" w:rsidR="00865A6C" w:rsidRDefault="00865A6C" w:rsidP="00865A6C">
      <w:pPr>
        <w:spacing w:after="0"/>
        <w:jc w:val="both"/>
      </w:pPr>
    </w:p>
    <w:p w14:paraId="7D52A2DD" w14:textId="77777777" w:rsidR="00865A6C" w:rsidRDefault="00865A6C" w:rsidP="00865A6C">
      <w:pPr>
        <w:spacing w:after="0"/>
        <w:jc w:val="both"/>
        <w:rPr>
          <w:b/>
        </w:rPr>
      </w:pPr>
      <w:r>
        <w:rPr>
          <w:b/>
        </w:rPr>
        <w:t>Marketing:</w:t>
      </w:r>
    </w:p>
    <w:p w14:paraId="663EFF87" w14:textId="77777777" w:rsidR="00865A6C" w:rsidRDefault="00865A6C" w:rsidP="00865A6C">
      <w:pPr>
        <w:spacing w:after="0"/>
        <w:jc w:val="both"/>
      </w:pPr>
      <w:r>
        <w:t xml:space="preserve">The Marketing Team is a much smaller Team when in comparison with Research and Design and Administration.  Therefore, the results of the survey may not be as accurate as the other two Departments.  This is because it is believed that when undertaking a survey, the larger the sample size the more accurate the results are (Cleave, 2021).  </w:t>
      </w:r>
    </w:p>
    <w:p w14:paraId="19DDD901" w14:textId="77777777" w:rsidR="00865A6C" w:rsidRDefault="00865A6C" w:rsidP="00865A6C">
      <w:pPr>
        <w:spacing w:after="0"/>
        <w:jc w:val="both"/>
      </w:pPr>
    </w:p>
    <w:p w14:paraId="6EDAB19C" w14:textId="77777777" w:rsidR="00865A6C" w:rsidRDefault="00865A6C" w:rsidP="00865A6C">
      <w:pPr>
        <w:spacing w:after="0"/>
        <w:jc w:val="both"/>
      </w:pPr>
      <w:r>
        <w:t xml:space="preserve">That being said; almost a third of employees believed their Line Manager values the work they do and nearly all the staff believe they have a low sickness rate in the Department combined with a 100% response rate; this proves good staff engagement.  There is clear data to suggest that Trusts with good engagement levels have lower absence rates (Dawson and West, 2018).  </w:t>
      </w:r>
    </w:p>
    <w:p w14:paraId="56DC9AFE" w14:textId="77777777" w:rsidR="00865A6C" w:rsidRDefault="00865A6C" w:rsidP="00865A6C">
      <w:pPr>
        <w:spacing w:after="0"/>
        <w:jc w:val="both"/>
      </w:pPr>
    </w:p>
    <w:p w14:paraId="6832DCB6" w14:textId="77777777" w:rsidR="00865A6C" w:rsidRDefault="00865A6C" w:rsidP="00865A6C">
      <w:pPr>
        <w:spacing w:after="0"/>
        <w:jc w:val="both"/>
        <w:rPr>
          <w:b/>
        </w:rPr>
      </w:pPr>
      <w:r>
        <w:rPr>
          <w:b/>
        </w:rPr>
        <w:t>Non-respondents:</w:t>
      </w:r>
    </w:p>
    <w:p w14:paraId="024A152D" w14:textId="77777777" w:rsidR="00865A6C" w:rsidRDefault="00865A6C" w:rsidP="00865A6C">
      <w:pPr>
        <w:spacing w:after="0"/>
        <w:jc w:val="both"/>
      </w:pPr>
      <w:r>
        <w:t>Out of the three Departments we surveyed only one had a 100% response rate – Marketing.  Non-response could be due to various reasons for example distrust from lack of action in previous surveys being carried out.  If employees do not believe that their opinion will have a direct impact on their organisations policies or procedures it is likely they won’t participate (</w:t>
      </w:r>
      <w:proofErr w:type="spellStart"/>
      <w:r>
        <w:t>Betterworks</w:t>
      </w:r>
      <w:proofErr w:type="spellEnd"/>
      <w:r>
        <w:t xml:space="preserve"> 2022).  Although 100% participation isn’t required, the more respondents participating is more likely to give a true representative of a department (McPherson, 2022).  </w:t>
      </w:r>
    </w:p>
    <w:p w14:paraId="6F1B17C4" w14:textId="77777777" w:rsidR="00865A6C" w:rsidRDefault="00865A6C" w:rsidP="00865A6C">
      <w:pPr>
        <w:spacing w:after="0"/>
        <w:jc w:val="both"/>
      </w:pPr>
    </w:p>
    <w:p w14:paraId="7D6BB1CA" w14:textId="77777777" w:rsidR="00865A6C" w:rsidRDefault="00865A6C" w:rsidP="00865A6C">
      <w:pPr>
        <w:spacing w:after="0"/>
        <w:jc w:val="both"/>
      </w:pPr>
      <w:r>
        <w:t xml:space="preserve">The organisation needs to listen to the responses of the survey and try and find the key issues as to what is causing low engagement within the Departments.  </w:t>
      </w:r>
      <w:proofErr w:type="spellStart"/>
      <w:r>
        <w:t>Suff</w:t>
      </w:r>
      <w:proofErr w:type="spellEnd"/>
      <w:r>
        <w:t xml:space="preserve"> (2022) points out this could be looking further into staff well-being as this can be a major factor attributed to employee engagement and organisational performance.  She also states that for an organisation to reap the benefits of staff well-being e.g. increased employee engagement, reduced sickness etc. this needs to be embedded into the organisations culture and passed down through Leadership and Management.   </w:t>
      </w:r>
    </w:p>
    <w:p w14:paraId="27907F68" w14:textId="77777777" w:rsidR="00865A6C" w:rsidRDefault="00865A6C" w:rsidP="00865A6C">
      <w:pPr>
        <w:spacing w:after="0"/>
        <w:jc w:val="both"/>
      </w:pPr>
    </w:p>
    <w:p w14:paraId="6D747758" w14:textId="77777777" w:rsidR="00865A6C" w:rsidRDefault="00865A6C" w:rsidP="00865A6C"/>
    <w:p w14:paraId="28135E83" w14:textId="77777777" w:rsidR="00865A6C" w:rsidRDefault="00865A6C" w:rsidP="00865A6C"/>
    <w:p w14:paraId="0A1D7EAA" w14:textId="77777777" w:rsidR="00865A6C" w:rsidRDefault="00865A6C" w:rsidP="00865A6C">
      <w:pPr>
        <w:spacing w:after="0"/>
        <w:jc w:val="both"/>
      </w:pPr>
      <w:r w:rsidRPr="00B94053">
        <w:rPr>
          <w:noProof/>
          <w:lang w:eastAsia="en-GB"/>
        </w:rPr>
        <w:lastRenderedPageBreak/>
        <w:drawing>
          <wp:inline distT="0" distB="0" distL="0" distR="0" wp14:anchorId="2095D18F" wp14:editId="2E951984">
            <wp:extent cx="5731510" cy="2451100"/>
            <wp:effectExtent l="0" t="0" r="2540" b="635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42" cstate="print">
                      <a:extLst>
                        <a:ext uri="{28A0092B-C50C-407E-A947-70E740481C1C}">
                          <a14:useLocalDpi xmlns:a14="http://schemas.microsoft.com/office/drawing/2010/main" val="0"/>
                        </a:ext>
                      </a:extLst>
                    </a:blip>
                    <a:srcRect/>
                    <a:stretch>
                      <a:fillRect/>
                    </a:stretch>
                  </pic:blipFill>
                  <pic:spPr bwMode="auto">
                    <a:xfrm>
                      <a:off x="0" y="0"/>
                      <a:ext cx="5731510" cy="2451100"/>
                    </a:xfrm>
                    <a:prstGeom prst="rect">
                      <a:avLst/>
                    </a:prstGeom>
                    <a:noFill/>
                    <a:ln>
                      <a:noFill/>
                    </a:ln>
                  </pic:spPr>
                </pic:pic>
              </a:graphicData>
            </a:graphic>
          </wp:inline>
        </w:drawing>
      </w:r>
    </w:p>
    <w:p w14:paraId="289106A4" w14:textId="77777777" w:rsidR="00865A6C" w:rsidRDefault="00865A6C" w:rsidP="00865A6C">
      <w:pPr>
        <w:spacing w:after="0"/>
        <w:jc w:val="both"/>
      </w:pPr>
      <w:r w:rsidRPr="00B94053">
        <w:rPr>
          <w:noProof/>
          <w:lang w:eastAsia="en-GB"/>
        </w:rPr>
        <w:drawing>
          <wp:inline distT="0" distB="0" distL="0" distR="0" wp14:anchorId="2900AA22" wp14:editId="198B9147">
            <wp:extent cx="5731510" cy="2691130"/>
            <wp:effectExtent l="0" t="0" r="2540" b="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43" cstate="print">
                      <a:extLst>
                        <a:ext uri="{28A0092B-C50C-407E-A947-70E740481C1C}">
                          <a14:useLocalDpi xmlns:a14="http://schemas.microsoft.com/office/drawing/2010/main" val="0"/>
                        </a:ext>
                      </a:extLst>
                    </a:blip>
                    <a:srcRect/>
                    <a:stretch>
                      <a:fillRect/>
                    </a:stretch>
                  </pic:blipFill>
                  <pic:spPr bwMode="auto">
                    <a:xfrm>
                      <a:off x="0" y="0"/>
                      <a:ext cx="5731510" cy="2691130"/>
                    </a:xfrm>
                    <a:prstGeom prst="rect">
                      <a:avLst/>
                    </a:prstGeom>
                    <a:noFill/>
                    <a:ln>
                      <a:noFill/>
                    </a:ln>
                  </pic:spPr>
                </pic:pic>
              </a:graphicData>
            </a:graphic>
          </wp:inline>
        </w:drawing>
      </w:r>
    </w:p>
    <w:p w14:paraId="5EB894F9" w14:textId="77777777" w:rsidR="00865A6C" w:rsidRDefault="00865A6C" w:rsidP="00865A6C">
      <w:pPr>
        <w:spacing w:after="0"/>
        <w:jc w:val="both"/>
      </w:pPr>
      <w:r w:rsidRPr="00B94053">
        <w:rPr>
          <w:noProof/>
          <w:lang w:eastAsia="en-GB"/>
        </w:rPr>
        <w:drawing>
          <wp:inline distT="0" distB="0" distL="0" distR="0" wp14:anchorId="1A5109BE" wp14:editId="31EF734C">
            <wp:extent cx="5731510" cy="2262505"/>
            <wp:effectExtent l="0" t="0" r="2540" b="4445"/>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44" cstate="print">
                      <a:extLst>
                        <a:ext uri="{28A0092B-C50C-407E-A947-70E740481C1C}">
                          <a14:useLocalDpi xmlns:a14="http://schemas.microsoft.com/office/drawing/2010/main" val="0"/>
                        </a:ext>
                      </a:extLst>
                    </a:blip>
                    <a:srcRect/>
                    <a:stretch>
                      <a:fillRect/>
                    </a:stretch>
                  </pic:blipFill>
                  <pic:spPr bwMode="auto">
                    <a:xfrm>
                      <a:off x="0" y="0"/>
                      <a:ext cx="5731510" cy="2262505"/>
                    </a:xfrm>
                    <a:prstGeom prst="rect">
                      <a:avLst/>
                    </a:prstGeom>
                    <a:noFill/>
                    <a:ln>
                      <a:noFill/>
                    </a:ln>
                  </pic:spPr>
                </pic:pic>
              </a:graphicData>
            </a:graphic>
          </wp:inline>
        </w:drawing>
      </w:r>
    </w:p>
    <w:p w14:paraId="6A37F4AA" w14:textId="77777777" w:rsidR="00865A6C" w:rsidRDefault="00865A6C" w:rsidP="00865A6C">
      <w:pPr>
        <w:spacing w:after="0"/>
        <w:jc w:val="both"/>
      </w:pPr>
      <w:r w:rsidRPr="00B94053">
        <w:rPr>
          <w:noProof/>
          <w:lang w:eastAsia="en-GB"/>
        </w:rPr>
        <w:lastRenderedPageBreak/>
        <w:drawing>
          <wp:inline distT="0" distB="0" distL="0" distR="0" wp14:anchorId="4A270A11" wp14:editId="56BA17C0">
            <wp:extent cx="5731510" cy="2691130"/>
            <wp:effectExtent l="0" t="0" r="254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45" cstate="print">
                      <a:extLst>
                        <a:ext uri="{28A0092B-C50C-407E-A947-70E740481C1C}">
                          <a14:useLocalDpi xmlns:a14="http://schemas.microsoft.com/office/drawing/2010/main" val="0"/>
                        </a:ext>
                      </a:extLst>
                    </a:blip>
                    <a:srcRect/>
                    <a:stretch>
                      <a:fillRect/>
                    </a:stretch>
                  </pic:blipFill>
                  <pic:spPr bwMode="auto">
                    <a:xfrm>
                      <a:off x="0" y="0"/>
                      <a:ext cx="5731510" cy="2691130"/>
                    </a:xfrm>
                    <a:prstGeom prst="rect">
                      <a:avLst/>
                    </a:prstGeom>
                    <a:noFill/>
                    <a:ln>
                      <a:noFill/>
                    </a:ln>
                  </pic:spPr>
                </pic:pic>
              </a:graphicData>
            </a:graphic>
          </wp:inline>
        </w:drawing>
      </w:r>
    </w:p>
    <w:p w14:paraId="7FB20049" w14:textId="77777777" w:rsidR="00865A6C" w:rsidRDefault="00865A6C" w:rsidP="00865A6C">
      <w:pPr>
        <w:spacing w:after="0"/>
        <w:jc w:val="both"/>
      </w:pPr>
      <w:r w:rsidRPr="00B94053">
        <w:rPr>
          <w:noProof/>
          <w:lang w:eastAsia="en-GB"/>
        </w:rPr>
        <w:drawing>
          <wp:inline distT="0" distB="0" distL="0" distR="0" wp14:anchorId="3C2DF7F8" wp14:editId="4A8EA90E">
            <wp:extent cx="5731510" cy="2517775"/>
            <wp:effectExtent l="0" t="0" r="254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46" cstate="print">
                      <a:extLst>
                        <a:ext uri="{28A0092B-C50C-407E-A947-70E740481C1C}">
                          <a14:useLocalDpi xmlns:a14="http://schemas.microsoft.com/office/drawing/2010/main" val="0"/>
                        </a:ext>
                      </a:extLst>
                    </a:blip>
                    <a:srcRect/>
                    <a:stretch>
                      <a:fillRect/>
                    </a:stretch>
                  </pic:blipFill>
                  <pic:spPr bwMode="auto">
                    <a:xfrm>
                      <a:off x="0" y="0"/>
                      <a:ext cx="5731510" cy="2517775"/>
                    </a:xfrm>
                    <a:prstGeom prst="rect">
                      <a:avLst/>
                    </a:prstGeom>
                    <a:noFill/>
                    <a:ln>
                      <a:noFill/>
                    </a:ln>
                  </pic:spPr>
                </pic:pic>
              </a:graphicData>
            </a:graphic>
          </wp:inline>
        </w:drawing>
      </w:r>
    </w:p>
    <w:p w14:paraId="6AC1EB40" w14:textId="77777777" w:rsidR="00865A6C" w:rsidRDefault="00865A6C" w:rsidP="00865A6C">
      <w:pPr>
        <w:spacing w:after="0"/>
        <w:jc w:val="both"/>
      </w:pPr>
      <w:r w:rsidRPr="00B94053">
        <w:rPr>
          <w:noProof/>
          <w:lang w:eastAsia="en-GB"/>
        </w:rPr>
        <w:drawing>
          <wp:inline distT="0" distB="0" distL="0" distR="0" wp14:anchorId="5DF84E42" wp14:editId="19DF2175">
            <wp:extent cx="5731510" cy="2516505"/>
            <wp:effectExtent l="0" t="0" r="2540"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47" cstate="print">
                      <a:extLst>
                        <a:ext uri="{28A0092B-C50C-407E-A947-70E740481C1C}">
                          <a14:useLocalDpi xmlns:a14="http://schemas.microsoft.com/office/drawing/2010/main" val="0"/>
                        </a:ext>
                      </a:extLst>
                    </a:blip>
                    <a:srcRect/>
                    <a:stretch>
                      <a:fillRect/>
                    </a:stretch>
                  </pic:blipFill>
                  <pic:spPr bwMode="auto">
                    <a:xfrm>
                      <a:off x="0" y="0"/>
                      <a:ext cx="5731510" cy="2516505"/>
                    </a:xfrm>
                    <a:prstGeom prst="rect">
                      <a:avLst/>
                    </a:prstGeom>
                    <a:noFill/>
                    <a:ln>
                      <a:noFill/>
                    </a:ln>
                  </pic:spPr>
                </pic:pic>
              </a:graphicData>
            </a:graphic>
          </wp:inline>
        </w:drawing>
      </w:r>
    </w:p>
    <w:p w14:paraId="2C6AE479" w14:textId="77777777" w:rsidR="00865A6C" w:rsidRDefault="00865A6C" w:rsidP="00865A6C">
      <w:pPr>
        <w:spacing w:after="0"/>
        <w:jc w:val="both"/>
      </w:pPr>
      <w:r w:rsidRPr="00B94053">
        <w:rPr>
          <w:noProof/>
          <w:lang w:eastAsia="en-GB"/>
        </w:rPr>
        <w:lastRenderedPageBreak/>
        <w:drawing>
          <wp:inline distT="0" distB="0" distL="0" distR="0" wp14:anchorId="20133310" wp14:editId="1B9AB113">
            <wp:extent cx="5731510" cy="2199640"/>
            <wp:effectExtent l="0" t="0" r="2540"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48" cstate="print">
                      <a:extLst>
                        <a:ext uri="{28A0092B-C50C-407E-A947-70E740481C1C}">
                          <a14:useLocalDpi xmlns:a14="http://schemas.microsoft.com/office/drawing/2010/main" val="0"/>
                        </a:ext>
                      </a:extLst>
                    </a:blip>
                    <a:srcRect/>
                    <a:stretch>
                      <a:fillRect/>
                    </a:stretch>
                  </pic:blipFill>
                  <pic:spPr bwMode="auto">
                    <a:xfrm>
                      <a:off x="0" y="0"/>
                      <a:ext cx="5731510" cy="2199640"/>
                    </a:xfrm>
                    <a:prstGeom prst="rect">
                      <a:avLst/>
                    </a:prstGeom>
                    <a:noFill/>
                    <a:ln>
                      <a:noFill/>
                    </a:ln>
                  </pic:spPr>
                </pic:pic>
              </a:graphicData>
            </a:graphic>
          </wp:inline>
        </w:drawing>
      </w:r>
      <w:r w:rsidRPr="00B94053">
        <w:rPr>
          <w:noProof/>
          <w:lang w:eastAsia="en-GB"/>
        </w:rPr>
        <w:drawing>
          <wp:inline distT="0" distB="0" distL="0" distR="0" wp14:anchorId="1887EB97" wp14:editId="3165B07C">
            <wp:extent cx="5731510" cy="2411095"/>
            <wp:effectExtent l="0" t="0" r="2540" b="8255"/>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49" cstate="print">
                      <a:extLst>
                        <a:ext uri="{28A0092B-C50C-407E-A947-70E740481C1C}">
                          <a14:useLocalDpi xmlns:a14="http://schemas.microsoft.com/office/drawing/2010/main" val="0"/>
                        </a:ext>
                      </a:extLst>
                    </a:blip>
                    <a:srcRect/>
                    <a:stretch>
                      <a:fillRect/>
                    </a:stretch>
                  </pic:blipFill>
                  <pic:spPr bwMode="auto">
                    <a:xfrm>
                      <a:off x="0" y="0"/>
                      <a:ext cx="5731510" cy="2411095"/>
                    </a:xfrm>
                    <a:prstGeom prst="rect">
                      <a:avLst/>
                    </a:prstGeom>
                    <a:noFill/>
                    <a:ln>
                      <a:noFill/>
                    </a:ln>
                  </pic:spPr>
                </pic:pic>
              </a:graphicData>
            </a:graphic>
          </wp:inline>
        </w:drawing>
      </w:r>
    </w:p>
    <w:p w14:paraId="1BCBB0DA" w14:textId="77777777" w:rsidR="00865A6C" w:rsidRDefault="00865A6C" w:rsidP="00865A6C">
      <w:pPr>
        <w:spacing w:after="0"/>
        <w:jc w:val="both"/>
      </w:pPr>
      <w:r w:rsidRPr="002876FE">
        <w:rPr>
          <w:noProof/>
          <w:lang w:eastAsia="en-GB"/>
        </w:rPr>
        <w:drawing>
          <wp:inline distT="0" distB="0" distL="0" distR="0" wp14:anchorId="25305A78" wp14:editId="4B0B63C4">
            <wp:extent cx="5731510" cy="2533650"/>
            <wp:effectExtent l="0" t="0" r="2540" b="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50" cstate="print">
                      <a:extLst>
                        <a:ext uri="{28A0092B-C50C-407E-A947-70E740481C1C}">
                          <a14:useLocalDpi xmlns:a14="http://schemas.microsoft.com/office/drawing/2010/main" val="0"/>
                        </a:ext>
                      </a:extLst>
                    </a:blip>
                    <a:srcRect/>
                    <a:stretch>
                      <a:fillRect/>
                    </a:stretch>
                  </pic:blipFill>
                  <pic:spPr bwMode="auto">
                    <a:xfrm>
                      <a:off x="0" y="0"/>
                      <a:ext cx="5731510" cy="2533650"/>
                    </a:xfrm>
                    <a:prstGeom prst="rect">
                      <a:avLst/>
                    </a:prstGeom>
                    <a:noFill/>
                    <a:ln>
                      <a:noFill/>
                    </a:ln>
                  </pic:spPr>
                </pic:pic>
              </a:graphicData>
            </a:graphic>
          </wp:inline>
        </w:drawing>
      </w:r>
    </w:p>
    <w:p w14:paraId="704C6C31" w14:textId="77777777" w:rsidR="00865A6C" w:rsidRDefault="00865A6C" w:rsidP="00865A6C">
      <w:pPr>
        <w:spacing w:after="0"/>
        <w:jc w:val="both"/>
      </w:pPr>
    </w:p>
    <w:p w14:paraId="3EDF7B34" w14:textId="77777777" w:rsidR="00865A6C" w:rsidRDefault="00865A6C" w:rsidP="00865A6C">
      <w:pPr>
        <w:spacing w:after="0"/>
        <w:jc w:val="both"/>
      </w:pPr>
      <w:r w:rsidRPr="002876FE">
        <w:rPr>
          <w:noProof/>
          <w:lang w:eastAsia="en-GB"/>
        </w:rPr>
        <w:lastRenderedPageBreak/>
        <w:drawing>
          <wp:inline distT="0" distB="0" distL="0" distR="0" wp14:anchorId="0EFF3C8F" wp14:editId="70C2F211">
            <wp:extent cx="5731510" cy="2533650"/>
            <wp:effectExtent l="0" t="0" r="2540" b="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50" cstate="print">
                      <a:extLst>
                        <a:ext uri="{28A0092B-C50C-407E-A947-70E740481C1C}">
                          <a14:useLocalDpi xmlns:a14="http://schemas.microsoft.com/office/drawing/2010/main" val="0"/>
                        </a:ext>
                      </a:extLst>
                    </a:blip>
                    <a:srcRect/>
                    <a:stretch>
                      <a:fillRect/>
                    </a:stretch>
                  </pic:blipFill>
                  <pic:spPr bwMode="auto">
                    <a:xfrm>
                      <a:off x="0" y="0"/>
                      <a:ext cx="5731510" cy="2533650"/>
                    </a:xfrm>
                    <a:prstGeom prst="rect">
                      <a:avLst/>
                    </a:prstGeom>
                    <a:noFill/>
                    <a:ln>
                      <a:noFill/>
                    </a:ln>
                  </pic:spPr>
                </pic:pic>
              </a:graphicData>
            </a:graphic>
          </wp:inline>
        </w:drawing>
      </w:r>
    </w:p>
    <w:p w14:paraId="1E8646D8" w14:textId="77777777" w:rsidR="00865A6C" w:rsidRDefault="00865A6C" w:rsidP="00865A6C">
      <w:pPr>
        <w:spacing w:after="0"/>
        <w:jc w:val="both"/>
      </w:pPr>
    </w:p>
    <w:p w14:paraId="205894DA" w14:textId="77777777" w:rsidR="00865A6C" w:rsidRDefault="00865A6C" w:rsidP="00865A6C">
      <w:r>
        <w:br w:type="page"/>
      </w:r>
    </w:p>
    <w:p w14:paraId="01533482" w14:textId="77777777" w:rsidR="00865A6C" w:rsidRDefault="00865A6C" w:rsidP="00865A6C">
      <w:pPr>
        <w:spacing w:after="0"/>
        <w:jc w:val="both"/>
      </w:pPr>
    </w:p>
    <w:p w14:paraId="70121360" w14:textId="77777777" w:rsidR="00865A6C" w:rsidRDefault="00865A6C" w:rsidP="00865A6C">
      <w:pPr>
        <w:spacing w:after="0"/>
        <w:jc w:val="both"/>
      </w:pPr>
    </w:p>
    <w:p w14:paraId="007E33E7" w14:textId="77777777" w:rsidR="00865A6C" w:rsidRDefault="00865A6C" w:rsidP="00865A6C">
      <w:r>
        <w:rPr>
          <w:noProof/>
          <w:lang w:eastAsia="en-GB"/>
        </w:rPr>
        <w:drawing>
          <wp:inline distT="0" distB="0" distL="0" distR="0" wp14:anchorId="01CD7841" wp14:editId="428B15AD">
            <wp:extent cx="5486400" cy="3200400"/>
            <wp:effectExtent l="0" t="0" r="0" b="0"/>
            <wp:docPr id="25" name="Chart 25"/>
            <wp:cNvGraphicFramePr/>
            <a:graphic xmlns:a="http://schemas.openxmlformats.org/drawingml/2006/main">
              <a:graphicData uri="http://schemas.openxmlformats.org/drawingml/2006/chart">
                <c:chart xmlns:c="http://schemas.openxmlformats.org/drawingml/2006/chart" xmlns:r="http://schemas.openxmlformats.org/officeDocument/2006/relationships" r:id="rId51"/>
              </a:graphicData>
            </a:graphic>
          </wp:inline>
        </w:drawing>
      </w:r>
    </w:p>
    <w:p w14:paraId="0499E4D6" w14:textId="77777777" w:rsidR="00865A6C" w:rsidRDefault="00865A6C" w:rsidP="00865A6C"/>
    <w:p w14:paraId="1EEC96E6" w14:textId="77777777" w:rsidR="00865A6C" w:rsidRDefault="00865A6C" w:rsidP="00865A6C"/>
    <w:p w14:paraId="7565BA85" w14:textId="77777777" w:rsidR="00865A6C" w:rsidRDefault="00865A6C" w:rsidP="00865A6C"/>
    <w:p w14:paraId="5AB16D60" w14:textId="77777777" w:rsidR="00865A6C" w:rsidRDefault="00865A6C" w:rsidP="00865A6C"/>
    <w:p w14:paraId="63BDD111" w14:textId="77777777" w:rsidR="00865A6C" w:rsidRDefault="00865A6C" w:rsidP="00865A6C"/>
    <w:p w14:paraId="040A672D" w14:textId="77777777" w:rsidR="00865A6C" w:rsidRDefault="00865A6C" w:rsidP="00865A6C"/>
    <w:p w14:paraId="1E24CF57" w14:textId="77777777" w:rsidR="00865A6C" w:rsidRDefault="00865A6C" w:rsidP="00865A6C"/>
    <w:p w14:paraId="0532F39B" w14:textId="77777777" w:rsidR="00865A6C" w:rsidRDefault="00865A6C" w:rsidP="00865A6C"/>
    <w:p w14:paraId="0EB8413A" w14:textId="77777777" w:rsidR="00865A6C" w:rsidRDefault="00865A6C" w:rsidP="00865A6C"/>
    <w:p w14:paraId="4DAAFF39" w14:textId="77777777" w:rsidR="00865A6C" w:rsidRDefault="00865A6C" w:rsidP="00865A6C"/>
    <w:p w14:paraId="340E0D8B" w14:textId="77777777" w:rsidR="00865A6C" w:rsidRDefault="00865A6C" w:rsidP="00865A6C">
      <w:r>
        <w:rPr>
          <w:noProof/>
          <w:lang w:eastAsia="en-GB"/>
        </w:rPr>
        <w:lastRenderedPageBreak/>
        <w:drawing>
          <wp:inline distT="0" distB="0" distL="0" distR="0" wp14:anchorId="6CCB734D" wp14:editId="54133F91">
            <wp:extent cx="5486400" cy="3200400"/>
            <wp:effectExtent l="0" t="0" r="0" b="0"/>
            <wp:docPr id="26" name="Chart 26"/>
            <wp:cNvGraphicFramePr/>
            <a:graphic xmlns:a="http://schemas.openxmlformats.org/drawingml/2006/main">
              <a:graphicData uri="http://schemas.openxmlformats.org/drawingml/2006/chart">
                <c:chart xmlns:c="http://schemas.openxmlformats.org/drawingml/2006/chart" xmlns:r="http://schemas.openxmlformats.org/officeDocument/2006/relationships" r:id="rId52"/>
              </a:graphicData>
            </a:graphic>
          </wp:inline>
        </w:drawing>
      </w:r>
    </w:p>
    <w:p w14:paraId="1A2A4D30" w14:textId="77777777" w:rsidR="00865A6C" w:rsidRDefault="00865A6C" w:rsidP="00865A6C"/>
    <w:p w14:paraId="63DFED0C" w14:textId="77777777" w:rsidR="00865A6C" w:rsidRDefault="00865A6C" w:rsidP="00865A6C">
      <w:r>
        <w:rPr>
          <w:noProof/>
          <w:lang w:eastAsia="en-GB"/>
        </w:rPr>
        <w:drawing>
          <wp:inline distT="0" distB="0" distL="0" distR="0" wp14:anchorId="017A7B6A" wp14:editId="52DD4DE6">
            <wp:extent cx="5486400" cy="3200400"/>
            <wp:effectExtent l="0" t="0" r="0" b="0"/>
            <wp:docPr id="27" name="Chart 27"/>
            <wp:cNvGraphicFramePr/>
            <a:graphic xmlns:a="http://schemas.openxmlformats.org/drawingml/2006/main">
              <a:graphicData uri="http://schemas.openxmlformats.org/drawingml/2006/chart">
                <c:chart xmlns:c="http://schemas.openxmlformats.org/drawingml/2006/chart" xmlns:r="http://schemas.openxmlformats.org/officeDocument/2006/relationships" r:id="rId53"/>
              </a:graphicData>
            </a:graphic>
          </wp:inline>
        </w:drawing>
      </w:r>
    </w:p>
    <w:p w14:paraId="64FD21DA" w14:textId="77777777" w:rsidR="0020576C" w:rsidRDefault="0020576C" w:rsidP="0020576C">
      <w:pPr>
        <w:spacing w:after="0"/>
      </w:pPr>
    </w:p>
    <w:p w14:paraId="2E9F66B4" w14:textId="605D8305" w:rsidR="00E3621D" w:rsidRPr="00372C67" w:rsidRDefault="00E3621D" w:rsidP="00372C67"/>
    <w:sectPr w:rsidR="00E3621D" w:rsidRPr="00372C6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616073DE"/>
    <w:multiLevelType w:val="hybridMultilevel"/>
    <w:tmpl w:val="94D652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9251B"/>
    <w:rsid w:val="00007877"/>
    <w:rsid w:val="00016A92"/>
    <w:rsid w:val="000730A4"/>
    <w:rsid w:val="00087F8C"/>
    <w:rsid w:val="000A5EAD"/>
    <w:rsid w:val="000D6989"/>
    <w:rsid w:val="000E519E"/>
    <w:rsid w:val="000F4789"/>
    <w:rsid w:val="00100F11"/>
    <w:rsid w:val="00107D79"/>
    <w:rsid w:val="001148F9"/>
    <w:rsid w:val="001423B6"/>
    <w:rsid w:val="00186627"/>
    <w:rsid w:val="00186B06"/>
    <w:rsid w:val="001A3F72"/>
    <w:rsid w:val="001C0CA4"/>
    <w:rsid w:val="001D57C5"/>
    <w:rsid w:val="0020576C"/>
    <w:rsid w:val="00206645"/>
    <w:rsid w:val="00222C12"/>
    <w:rsid w:val="00233953"/>
    <w:rsid w:val="00237781"/>
    <w:rsid w:val="00250CFC"/>
    <w:rsid w:val="00262437"/>
    <w:rsid w:val="00264857"/>
    <w:rsid w:val="002809A6"/>
    <w:rsid w:val="002C1102"/>
    <w:rsid w:val="002D0E3D"/>
    <w:rsid w:val="002D3843"/>
    <w:rsid w:val="002F6D54"/>
    <w:rsid w:val="00302CB5"/>
    <w:rsid w:val="00315CA6"/>
    <w:rsid w:val="0032708F"/>
    <w:rsid w:val="00327F7B"/>
    <w:rsid w:val="00352FF4"/>
    <w:rsid w:val="00354889"/>
    <w:rsid w:val="00356239"/>
    <w:rsid w:val="00357048"/>
    <w:rsid w:val="00372C67"/>
    <w:rsid w:val="00374073"/>
    <w:rsid w:val="003913C2"/>
    <w:rsid w:val="0039251B"/>
    <w:rsid w:val="003B409F"/>
    <w:rsid w:val="003E432F"/>
    <w:rsid w:val="003F7D68"/>
    <w:rsid w:val="00400D07"/>
    <w:rsid w:val="0040256E"/>
    <w:rsid w:val="00405CCD"/>
    <w:rsid w:val="004340F1"/>
    <w:rsid w:val="0043509D"/>
    <w:rsid w:val="00452F17"/>
    <w:rsid w:val="00456268"/>
    <w:rsid w:val="00465914"/>
    <w:rsid w:val="0046693B"/>
    <w:rsid w:val="00470C96"/>
    <w:rsid w:val="004731EC"/>
    <w:rsid w:val="00494305"/>
    <w:rsid w:val="004C1927"/>
    <w:rsid w:val="004D50FE"/>
    <w:rsid w:val="004E744D"/>
    <w:rsid w:val="004F6FB2"/>
    <w:rsid w:val="00504B30"/>
    <w:rsid w:val="0050505B"/>
    <w:rsid w:val="00513500"/>
    <w:rsid w:val="00514A8F"/>
    <w:rsid w:val="005224A9"/>
    <w:rsid w:val="00543327"/>
    <w:rsid w:val="0055627A"/>
    <w:rsid w:val="00613F84"/>
    <w:rsid w:val="0061544C"/>
    <w:rsid w:val="00623A14"/>
    <w:rsid w:val="0062768D"/>
    <w:rsid w:val="00641694"/>
    <w:rsid w:val="006505C1"/>
    <w:rsid w:val="00657167"/>
    <w:rsid w:val="00657938"/>
    <w:rsid w:val="00675465"/>
    <w:rsid w:val="00680C64"/>
    <w:rsid w:val="00685086"/>
    <w:rsid w:val="006B23E6"/>
    <w:rsid w:val="007030FD"/>
    <w:rsid w:val="0070776E"/>
    <w:rsid w:val="00734BCE"/>
    <w:rsid w:val="00753C2A"/>
    <w:rsid w:val="00762988"/>
    <w:rsid w:val="007660FD"/>
    <w:rsid w:val="0077434E"/>
    <w:rsid w:val="007845AB"/>
    <w:rsid w:val="007858AC"/>
    <w:rsid w:val="00785CC2"/>
    <w:rsid w:val="007B1A89"/>
    <w:rsid w:val="007D0C13"/>
    <w:rsid w:val="007F026D"/>
    <w:rsid w:val="007F36E8"/>
    <w:rsid w:val="007F457A"/>
    <w:rsid w:val="008139E9"/>
    <w:rsid w:val="00846C3C"/>
    <w:rsid w:val="00865A6C"/>
    <w:rsid w:val="00884FDA"/>
    <w:rsid w:val="00885BBF"/>
    <w:rsid w:val="00896FBA"/>
    <w:rsid w:val="008A4E9D"/>
    <w:rsid w:val="008C0EE2"/>
    <w:rsid w:val="008F538E"/>
    <w:rsid w:val="008F5F83"/>
    <w:rsid w:val="0090465E"/>
    <w:rsid w:val="00910550"/>
    <w:rsid w:val="00932B38"/>
    <w:rsid w:val="0094278F"/>
    <w:rsid w:val="009477A5"/>
    <w:rsid w:val="009523AE"/>
    <w:rsid w:val="00955871"/>
    <w:rsid w:val="00963B72"/>
    <w:rsid w:val="0098444A"/>
    <w:rsid w:val="00985736"/>
    <w:rsid w:val="009872B4"/>
    <w:rsid w:val="00991872"/>
    <w:rsid w:val="00996B04"/>
    <w:rsid w:val="009A5CCA"/>
    <w:rsid w:val="009B437B"/>
    <w:rsid w:val="009D25C4"/>
    <w:rsid w:val="009F0318"/>
    <w:rsid w:val="009F7771"/>
    <w:rsid w:val="00A723CD"/>
    <w:rsid w:val="00A75C66"/>
    <w:rsid w:val="00A82624"/>
    <w:rsid w:val="00A84109"/>
    <w:rsid w:val="00AA2FA9"/>
    <w:rsid w:val="00AA69FB"/>
    <w:rsid w:val="00AD79D3"/>
    <w:rsid w:val="00AE2105"/>
    <w:rsid w:val="00B201CC"/>
    <w:rsid w:val="00B320A9"/>
    <w:rsid w:val="00B50D58"/>
    <w:rsid w:val="00B535C7"/>
    <w:rsid w:val="00B87ABC"/>
    <w:rsid w:val="00BB6354"/>
    <w:rsid w:val="00BC616F"/>
    <w:rsid w:val="00BC62A6"/>
    <w:rsid w:val="00BF24A7"/>
    <w:rsid w:val="00C03189"/>
    <w:rsid w:val="00C05FA9"/>
    <w:rsid w:val="00C06C66"/>
    <w:rsid w:val="00C131DC"/>
    <w:rsid w:val="00C27DC5"/>
    <w:rsid w:val="00C34BC7"/>
    <w:rsid w:val="00C50EBF"/>
    <w:rsid w:val="00C50FAF"/>
    <w:rsid w:val="00C61158"/>
    <w:rsid w:val="00C90F20"/>
    <w:rsid w:val="00CB1491"/>
    <w:rsid w:val="00CB6BA1"/>
    <w:rsid w:val="00CB6DC4"/>
    <w:rsid w:val="00CD1076"/>
    <w:rsid w:val="00CE36FD"/>
    <w:rsid w:val="00CE3F6B"/>
    <w:rsid w:val="00CF0C86"/>
    <w:rsid w:val="00CF5BDB"/>
    <w:rsid w:val="00D04CD0"/>
    <w:rsid w:val="00D17236"/>
    <w:rsid w:val="00D21967"/>
    <w:rsid w:val="00D4725B"/>
    <w:rsid w:val="00D6290E"/>
    <w:rsid w:val="00D70E99"/>
    <w:rsid w:val="00DB7292"/>
    <w:rsid w:val="00DE0660"/>
    <w:rsid w:val="00DF24F4"/>
    <w:rsid w:val="00E056EE"/>
    <w:rsid w:val="00E3583A"/>
    <w:rsid w:val="00E3621D"/>
    <w:rsid w:val="00E50AAF"/>
    <w:rsid w:val="00E5356D"/>
    <w:rsid w:val="00E5781D"/>
    <w:rsid w:val="00E77653"/>
    <w:rsid w:val="00EC28A4"/>
    <w:rsid w:val="00EE2B51"/>
    <w:rsid w:val="00EF2B20"/>
    <w:rsid w:val="00EF548A"/>
    <w:rsid w:val="00F00369"/>
    <w:rsid w:val="00F10A29"/>
    <w:rsid w:val="00F314BE"/>
    <w:rsid w:val="00F4182C"/>
    <w:rsid w:val="00F45B3A"/>
    <w:rsid w:val="00F6642B"/>
    <w:rsid w:val="00FA215D"/>
    <w:rsid w:val="00FD4AD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F54B840"/>
  <w15:chartTrackingRefBased/>
  <w15:docId w15:val="{04D61E17-C7CF-4A99-9E4A-C24508B0F3F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374073"/>
    <w:pPr>
      <w:ind w:left="720"/>
      <w:contextualSpacing/>
    </w:pPr>
  </w:style>
  <w:style w:type="character" w:styleId="Hyperlink">
    <w:name w:val="Hyperlink"/>
    <w:basedOn w:val="DefaultParagraphFont"/>
    <w:uiPriority w:val="99"/>
    <w:unhideWhenUsed/>
    <w:rsid w:val="00374073"/>
    <w:rPr>
      <w:color w:val="0563C1" w:themeColor="hyperlink"/>
      <w:u w:val="single"/>
    </w:rPr>
  </w:style>
  <w:style w:type="character" w:styleId="FollowedHyperlink">
    <w:name w:val="FollowedHyperlink"/>
    <w:basedOn w:val="DefaultParagraphFont"/>
    <w:uiPriority w:val="99"/>
    <w:semiHidden/>
    <w:unhideWhenUsed/>
    <w:rsid w:val="00374073"/>
    <w:rPr>
      <w:color w:val="954F72" w:themeColor="followedHyperlink"/>
      <w:u w:val="single"/>
    </w:rPr>
  </w:style>
  <w:style w:type="character" w:styleId="CommentReference">
    <w:name w:val="annotation reference"/>
    <w:basedOn w:val="DefaultParagraphFont"/>
    <w:uiPriority w:val="99"/>
    <w:semiHidden/>
    <w:unhideWhenUsed/>
    <w:rsid w:val="00315CA6"/>
    <w:rPr>
      <w:sz w:val="16"/>
      <w:szCs w:val="16"/>
    </w:rPr>
  </w:style>
  <w:style w:type="paragraph" w:styleId="CommentText">
    <w:name w:val="annotation text"/>
    <w:basedOn w:val="Normal"/>
    <w:link w:val="CommentTextChar"/>
    <w:uiPriority w:val="99"/>
    <w:semiHidden/>
    <w:unhideWhenUsed/>
    <w:rsid w:val="00315CA6"/>
    <w:pPr>
      <w:spacing w:line="240" w:lineRule="auto"/>
    </w:pPr>
    <w:rPr>
      <w:sz w:val="20"/>
      <w:szCs w:val="20"/>
    </w:rPr>
  </w:style>
  <w:style w:type="character" w:customStyle="1" w:styleId="CommentTextChar">
    <w:name w:val="Comment Text Char"/>
    <w:basedOn w:val="DefaultParagraphFont"/>
    <w:link w:val="CommentText"/>
    <w:uiPriority w:val="99"/>
    <w:semiHidden/>
    <w:rsid w:val="00315CA6"/>
    <w:rPr>
      <w:sz w:val="20"/>
      <w:szCs w:val="20"/>
    </w:rPr>
  </w:style>
  <w:style w:type="paragraph" w:styleId="CommentSubject">
    <w:name w:val="annotation subject"/>
    <w:basedOn w:val="CommentText"/>
    <w:next w:val="CommentText"/>
    <w:link w:val="CommentSubjectChar"/>
    <w:uiPriority w:val="99"/>
    <w:semiHidden/>
    <w:unhideWhenUsed/>
    <w:rsid w:val="00315CA6"/>
    <w:rPr>
      <w:b/>
      <w:bCs/>
    </w:rPr>
  </w:style>
  <w:style w:type="character" w:customStyle="1" w:styleId="CommentSubjectChar">
    <w:name w:val="Comment Subject Char"/>
    <w:basedOn w:val="CommentTextChar"/>
    <w:link w:val="CommentSubject"/>
    <w:uiPriority w:val="99"/>
    <w:semiHidden/>
    <w:rsid w:val="00315CA6"/>
    <w:rPr>
      <w:b/>
      <w:bCs/>
      <w:sz w:val="20"/>
      <w:szCs w:val="20"/>
    </w:rPr>
  </w:style>
  <w:style w:type="paragraph" w:styleId="BalloonText">
    <w:name w:val="Balloon Text"/>
    <w:basedOn w:val="Normal"/>
    <w:link w:val="BalloonTextChar"/>
    <w:uiPriority w:val="99"/>
    <w:semiHidden/>
    <w:unhideWhenUsed/>
    <w:rsid w:val="00315CA6"/>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315CA6"/>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8.png"/><Relationship Id="rId18" Type="http://schemas.openxmlformats.org/officeDocument/2006/relationships/hyperlink" Target="https://www.cipd.co.uk/knowledge/fundamentals/relations/diversity/factsheet?_gl=1*16ewbgs*_ga*MzA3OTQ1NjkzLjE2NDkxOTAwNTk.*_ga_D9HN5GYHYY*MTY1NDYyODIxOS4xOS4wLjE2NTQ2MjgyMTkuMA.." TargetMode="External"/><Relationship Id="rId26" Type="http://schemas.openxmlformats.org/officeDocument/2006/relationships/hyperlink" Target="https://hduhb.nhs.wales/about-us/governance-arrangements/policies-and-written-control-documents/policies/managing-attendance-at-work-policy/" TargetMode="External"/><Relationship Id="rId39" Type="http://schemas.openxmlformats.org/officeDocument/2006/relationships/hyperlink" Target="https://www.cipd.co.uk/news-views/viewpoint/people-analytics" TargetMode="External"/><Relationship Id="rId21" Type="http://schemas.openxmlformats.org/officeDocument/2006/relationships/hyperlink" Target="https://www.cipd.co.uk/knowledge/strategy/analytics/evidence-based-practice-factsheet" TargetMode="External"/><Relationship Id="rId34" Type="http://schemas.openxmlformats.org/officeDocument/2006/relationships/hyperlink" Target="https://howsociable.com/blog/social-media-fails/" TargetMode="External"/><Relationship Id="rId42" Type="http://schemas.openxmlformats.org/officeDocument/2006/relationships/image" Target="media/image13.emf"/><Relationship Id="rId47" Type="http://schemas.openxmlformats.org/officeDocument/2006/relationships/image" Target="media/image18.emf"/><Relationship Id="rId50" Type="http://schemas.openxmlformats.org/officeDocument/2006/relationships/image" Target="media/image21.emf"/><Relationship Id="rId55" Type="http://schemas.openxmlformats.org/officeDocument/2006/relationships/theme" Target="theme/theme1.xml"/><Relationship Id="rId7" Type="http://schemas.openxmlformats.org/officeDocument/2006/relationships/image" Target="media/image2.png"/><Relationship Id="rId12" Type="http://schemas.openxmlformats.org/officeDocument/2006/relationships/image" Target="media/image7.png"/><Relationship Id="rId17" Type="http://schemas.openxmlformats.org/officeDocument/2006/relationships/image" Target="media/image12.png"/><Relationship Id="rId25" Type="http://schemas.openxmlformats.org/officeDocument/2006/relationships/hyperlink" Target="https://hduhb.nhs.wales/news/press-releases/appraisal-group-for-new-hospital-site-set-to-meet/" TargetMode="External"/><Relationship Id="rId33" Type="http://schemas.openxmlformats.org/officeDocument/2006/relationships/hyperlink" Target="https://www.mindtools.com/pages/article/newPPM_82.htm" TargetMode="External"/><Relationship Id="rId38" Type="http://schemas.openxmlformats.org/officeDocument/2006/relationships/hyperlink" Target="https://www.scribbr.com/methodology/qualitative-quantitative-research/" TargetMode="External"/><Relationship Id="rId46" Type="http://schemas.openxmlformats.org/officeDocument/2006/relationships/image" Target="media/image17.emf"/><Relationship Id="rId2" Type="http://schemas.openxmlformats.org/officeDocument/2006/relationships/numbering" Target="numbering.xml"/><Relationship Id="rId16" Type="http://schemas.openxmlformats.org/officeDocument/2006/relationships/image" Target="media/image11.png"/><Relationship Id="rId20" Type="http://schemas.openxmlformats.org/officeDocument/2006/relationships/hyperlink" Target="https://www.ccl.org/articles/leading-effectively-articles/4-keys-strengthen-ability-influence-others/" TargetMode="External"/><Relationship Id="rId29" Type="http://schemas.openxmlformats.org/officeDocument/2006/relationships/hyperlink" Target="https://hduhb.nhs.wales/about-us/governance-arrangements/policies-and-written-control-documents/policies/all-wales-social-media-policy1/" TargetMode="External"/><Relationship Id="rId41" Type="http://schemas.openxmlformats.org/officeDocument/2006/relationships/hyperlink" Target="https://www.cipd.co.uk/knowledge/strategy/analytics/evidence-based-practice-factsheet" TargetMode="External"/><Relationship Id="rId54"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image" Target="media/image6.png"/><Relationship Id="rId24" Type="http://schemas.openxmlformats.org/officeDocument/2006/relationships/hyperlink" Target="https://www.cipd.co.uk/Images/a-head-for-hiring_2015-behavioural-science-of-recruitment-and-selection_tcm18-9557.pdf" TargetMode="External"/><Relationship Id="rId32" Type="http://schemas.openxmlformats.org/officeDocument/2006/relationships/hyperlink" Target="https://twitter.com/HywelDda_values" TargetMode="External"/><Relationship Id="rId37" Type="http://schemas.openxmlformats.org/officeDocument/2006/relationships/hyperlink" Target="https://landiestevens.com/index.php/resources/helpful-articles/84-employee-engagement" TargetMode="External"/><Relationship Id="rId40" Type="http://schemas.openxmlformats.org/officeDocument/2006/relationships/hyperlink" Target="https://www.cipd.co.uk/knowledge/strategy/analytics/evidence-based-practice-factsheet" TargetMode="External"/><Relationship Id="rId45" Type="http://schemas.openxmlformats.org/officeDocument/2006/relationships/image" Target="media/image16.emf"/><Relationship Id="rId53" Type="http://schemas.openxmlformats.org/officeDocument/2006/relationships/chart" Target="charts/chart3.xml"/><Relationship Id="rId5" Type="http://schemas.openxmlformats.org/officeDocument/2006/relationships/webSettings" Target="webSettings.xml"/><Relationship Id="rId15" Type="http://schemas.openxmlformats.org/officeDocument/2006/relationships/image" Target="media/image10.png"/><Relationship Id="rId23" Type="http://schemas.openxmlformats.org/officeDocument/2006/relationships/hyperlink" Target="https://www.businessnewsdaily.com/15878-employee-retention-rate.html" TargetMode="External"/><Relationship Id="rId28" Type="http://schemas.openxmlformats.org/officeDocument/2006/relationships/hyperlink" Target="https://hduhb.nhs.wales/about-us/your-health-board/board-meetings-2022/" TargetMode="External"/><Relationship Id="rId36" Type="http://schemas.openxmlformats.org/officeDocument/2006/relationships/hyperlink" Target="https://legalwiseseminars.com.au/nz/insights/cognitive-bias-in-ethical-decision-making/" TargetMode="External"/><Relationship Id="rId49" Type="http://schemas.openxmlformats.org/officeDocument/2006/relationships/image" Target="media/image20.emf"/><Relationship Id="rId10" Type="http://schemas.openxmlformats.org/officeDocument/2006/relationships/image" Target="media/image5.png"/><Relationship Id="rId19" Type="http://schemas.openxmlformats.org/officeDocument/2006/relationships/hyperlink" Target="https://medium.com/@krysburnette/its-2019-and-we-are-still-talking-about-equity-diversity-and-inclusion-dd00c9a66113" TargetMode="External"/><Relationship Id="rId31" Type="http://schemas.openxmlformats.org/officeDocument/2006/relationships/hyperlink" Target="https://www.gcu.edu/blog/doctoral-journey/what-qualitative-vs-quantitative-study" TargetMode="External"/><Relationship Id="rId44" Type="http://schemas.openxmlformats.org/officeDocument/2006/relationships/image" Target="media/image15.emf"/><Relationship Id="rId52" Type="http://schemas.openxmlformats.org/officeDocument/2006/relationships/chart" Target="charts/chart2.xml"/><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image" Target="media/image9.png"/><Relationship Id="rId22" Type="http://schemas.openxmlformats.org/officeDocument/2006/relationships/hyperlink" Target="https://www2.deloitte.com/content/dam/Deloitte/de/Documents/human-capital/creating-value-through-hr.pdf" TargetMode="External"/><Relationship Id="rId27" Type="http://schemas.openxmlformats.org/officeDocument/2006/relationships/hyperlink" Target="https://hduhb.nhs.wales/about-us/performance-targets/performance-documents/quality-improvement-strategic-framework-pdf/" TargetMode="External"/><Relationship Id="rId30" Type="http://schemas.openxmlformats.org/officeDocument/2006/relationships/hyperlink" Target="https://hduhb.nhs.wales/healthcare/services-and-teams/patient-support-services-complaints-feedback/" TargetMode="External"/><Relationship Id="rId35" Type="http://schemas.openxmlformats.org/officeDocument/2006/relationships/hyperlink" Target="https://delfini.org/blog/?p=416" TargetMode="External"/><Relationship Id="rId43" Type="http://schemas.openxmlformats.org/officeDocument/2006/relationships/image" Target="media/image14.emf"/><Relationship Id="rId48" Type="http://schemas.openxmlformats.org/officeDocument/2006/relationships/image" Target="media/image19.emf"/><Relationship Id="rId8" Type="http://schemas.openxmlformats.org/officeDocument/2006/relationships/image" Target="media/image3.png"/><Relationship Id="rId51" Type="http://schemas.openxmlformats.org/officeDocument/2006/relationships/chart" Target="charts/chart1.xml"/><Relationship Id="rId3" Type="http://schemas.openxmlformats.org/officeDocument/2006/relationships/styles" Target="styles.xm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package" Target="../embeddings/Microsoft_Excel_Worksheet1.xlsx"/><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package" Target="../embeddings/Microsoft_Excel_Worksheet2.xlsx"/><Relationship Id="rId2" Type="http://schemas.microsoft.com/office/2011/relationships/chartColorStyle" Target="colors3.xml"/><Relationship Id="rId1" Type="http://schemas.microsoft.com/office/2011/relationships/chartStyle" Target="style3.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r>
              <a:rPr lang="en-US"/>
              <a:t>Working days lost in a three month period</a:t>
            </a:r>
          </a:p>
        </c:rich>
      </c:tx>
      <c:layout/>
      <c:overlay val="0"/>
      <c:spPr>
        <a:noFill/>
        <a:ln>
          <a:noFill/>
        </a:ln>
        <a:effectLst/>
      </c:spPr>
      <c:txPr>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endParaRPr lang="en-US"/>
        </a:p>
      </c:txPr>
    </c:title>
    <c:autoTitleDeleted val="0"/>
    <c:plotArea>
      <c:layout>
        <c:manualLayout>
          <c:layoutTarget val="inner"/>
          <c:xMode val="edge"/>
          <c:yMode val="edge"/>
          <c:x val="0.22130650335374744"/>
          <c:y val="0.1767063492063492"/>
          <c:w val="0.74897127442403033"/>
          <c:h val="0.75107830271216103"/>
        </c:manualLayout>
      </c:layout>
      <c:barChart>
        <c:barDir val="bar"/>
        <c:grouping val="clustered"/>
        <c:varyColors val="0"/>
        <c:ser>
          <c:idx val="0"/>
          <c:order val="0"/>
          <c:tx>
            <c:strRef>
              <c:f>Sheet1!$B$1</c:f>
              <c:strCache>
                <c:ptCount val="1"/>
                <c:pt idx="0">
                  <c:v>Column1</c:v>
                </c:pt>
              </c:strCache>
            </c:strRef>
          </c:tx>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8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layout/>
                <c15:showLeaderLines val="1"/>
                <c15:leaderLines>
                  <c:spPr>
                    <a:ln w="9525">
                      <a:solidFill>
                        <a:schemeClr val="lt1">
                          <a:lumMod val="95000"/>
                          <a:alpha val="54000"/>
                        </a:schemeClr>
                      </a:solidFill>
                    </a:ln>
                    <a:effectLst/>
                  </c:spPr>
                </c15:leaderLines>
              </c:ext>
            </c:extLst>
          </c:dLbls>
          <c:cat>
            <c:strRef>
              <c:f>Sheet1!$A$2:$A$4</c:f>
              <c:strCache>
                <c:ptCount val="3"/>
                <c:pt idx="0">
                  <c:v>Research and Design</c:v>
                </c:pt>
                <c:pt idx="1">
                  <c:v>Administration</c:v>
                </c:pt>
                <c:pt idx="2">
                  <c:v>Marketing </c:v>
                </c:pt>
              </c:strCache>
            </c:strRef>
          </c:cat>
          <c:val>
            <c:numRef>
              <c:f>Sheet1!$B$2:$B$4</c:f>
              <c:numCache>
                <c:formatCode>General</c:formatCode>
                <c:ptCount val="3"/>
                <c:pt idx="0">
                  <c:v>250.13</c:v>
                </c:pt>
                <c:pt idx="1">
                  <c:v>31.6</c:v>
                </c:pt>
                <c:pt idx="2">
                  <c:v>2.67</c:v>
                </c:pt>
              </c:numCache>
            </c:numRef>
          </c:val>
          <c:extLst>
            <c:ext xmlns:c16="http://schemas.microsoft.com/office/drawing/2014/chart" uri="{C3380CC4-5D6E-409C-BE32-E72D297353CC}">
              <c16:uniqueId val="{00000000-D925-4BFC-B312-42C2FD1EF6C4}"/>
            </c:ext>
          </c:extLst>
        </c:ser>
        <c:dLbls>
          <c:dLblPos val="outEnd"/>
          <c:showLegendKey val="0"/>
          <c:showVal val="1"/>
          <c:showCatName val="0"/>
          <c:showSerName val="0"/>
          <c:showPercent val="0"/>
          <c:showBubbleSize val="0"/>
        </c:dLbls>
        <c:gapWidth val="115"/>
        <c:overlap val="-20"/>
        <c:axId val="379799544"/>
        <c:axId val="379794624"/>
      </c:barChart>
      <c:catAx>
        <c:axId val="379799544"/>
        <c:scaling>
          <c:orientation val="minMax"/>
        </c:scaling>
        <c:delete val="0"/>
        <c:axPos val="l"/>
        <c:numFmt formatCode="General" sourceLinked="1"/>
        <c:majorTickMark val="none"/>
        <c:minorTickMark val="none"/>
        <c:tickLblPos val="nextTo"/>
        <c:spPr>
          <a:noFill/>
          <a:ln w="12700" cap="flat" cmpd="sng" algn="ctr">
            <a:solidFill>
              <a:schemeClr val="lt1">
                <a:lumMod val="95000"/>
                <a:alpha val="54000"/>
              </a:schemeClr>
            </a:solidFill>
            <a:round/>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379794624"/>
        <c:crosses val="autoZero"/>
        <c:auto val="1"/>
        <c:lblAlgn val="ctr"/>
        <c:lblOffset val="100"/>
        <c:noMultiLvlLbl val="0"/>
      </c:catAx>
      <c:valAx>
        <c:axId val="379794624"/>
        <c:scaling>
          <c:orientation val="minMax"/>
        </c:scaling>
        <c:delete val="0"/>
        <c:axPos val="b"/>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379799544"/>
        <c:crosses val="autoZero"/>
        <c:crossBetween val="between"/>
      </c:valAx>
      <c:spPr>
        <a:noFill/>
        <a:ln>
          <a:noFill/>
        </a:ln>
        <a:effectLst/>
      </c:spPr>
    </c:plotArea>
    <c:plotVisOnly val="1"/>
    <c:dispBlanksAs val="gap"/>
    <c:showDLblsOverMax val="0"/>
  </c:chart>
  <c: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a:ln>
      <a:noFill/>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r>
              <a:rPr lang="en-US"/>
              <a:t>Projected average loss of working days </a:t>
            </a:r>
          </a:p>
          <a:p>
            <a:pPr>
              <a:defRPr/>
            </a:pPr>
            <a:r>
              <a:rPr lang="en-US"/>
              <a:t>over a 12 month period</a:t>
            </a:r>
          </a:p>
        </c:rich>
      </c:tx>
      <c:layout/>
      <c:overlay val="0"/>
      <c:spPr>
        <a:noFill/>
        <a:ln>
          <a:noFill/>
        </a:ln>
        <a:effectLst/>
      </c:spPr>
      <c:txPr>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endParaRPr lang="en-US"/>
        </a:p>
      </c:txPr>
    </c:title>
    <c:autoTitleDeleted val="0"/>
    <c:plotArea>
      <c:layout/>
      <c:barChart>
        <c:barDir val="bar"/>
        <c:grouping val="clustered"/>
        <c:varyColors val="0"/>
        <c:ser>
          <c:idx val="0"/>
          <c:order val="0"/>
          <c:tx>
            <c:strRef>
              <c:f>Sheet1!$B$1</c:f>
              <c:strCache>
                <c:ptCount val="1"/>
                <c:pt idx="0">
                  <c:v>Projected average loss of working days over a 12 month period</c:v>
                </c:pt>
              </c:strCache>
            </c:strRef>
          </c:tx>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8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layout/>
                <c15:showLeaderLines val="1"/>
                <c15:leaderLines>
                  <c:spPr>
                    <a:ln w="9525">
                      <a:solidFill>
                        <a:schemeClr val="lt1">
                          <a:lumMod val="95000"/>
                          <a:alpha val="54000"/>
                        </a:schemeClr>
                      </a:solidFill>
                    </a:ln>
                    <a:effectLst/>
                  </c:spPr>
                </c15:leaderLines>
              </c:ext>
            </c:extLst>
          </c:dLbls>
          <c:cat>
            <c:strRef>
              <c:f>Sheet1!$A$2:$A$4</c:f>
              <c:strCache>
                <c:ptCount val="3"/>
                <c:pt idx="0">
                  <c:v>Research and Design</c:v>
                </c:pt>
                <c:pt idx="1">
                  <c:v>Administration</c:v>
                </c:pt>
                <c:pt idx="2">
                  <c:v>Marketing </c:v>
                </c:pt>
              </c:strCache>
            </c:strRef>
          </c:cat>
          <c:val>
            <c:numRef>
              <c:f>Sheet1!$B$2:$B$4</c:f>
              <c:numCache>
                <c:formatCode>General</c:formatCode>
                <c:ptCount val="3"/>
                <c:pt idx="0">
                  <c:v>1000.5</c:v>
                </c:pt>
                <c:pt idx="1">
                  <c:v>126.4</c:v>
                </c:pt>
                <c:pt idx="2">
                  <c:v>10.7</c:v>
                </c:pt>
              </c:numCache>
            </c:numRef>
          </c:val>
          <c:extLst>
            <c:ext xmlns:c16="http://schemas.microsoft.com/office/drawing/2014/chart" uri="{C3380CC4-5D6E-409C-BE32-E72D297353CC}">
              <c16:uniqueId val="{00000000-4B6B-46CA-99D2-319FA462F237}"/>
            </c:ext>
          </c:extLst>
        </c:ser>
        <c:dLbls>
          <c:dLblPos val="outEnd"/>
          <c:showLegendKey val="0"/>
          <c:showVal val="1"/>
          <c:showCatName val="0"/>
          <c:showSerName val="0"/>
          <c:showPercent val="0"/>
          <c:showBubbleSize val="0"/>
        </c:dLbls>
        <c:gapWidth val="115"/>
        <c:overlap val="-20"/>
        <c:axId val="379210488"/>
        <c:axId val="379210816"/>
      </c:barChart>
      <c:catAx>
        <c:axId val="379210488"/>
        <c:scaling>
          <c:orientation val="minMax"/>
        </c:scaling>
        <c:delete val="0"/>
        <c:axPos val="l"/>
        <c:numFmt formatCode="General" sourceLinked="1"/>
        <c:majorTickMark val="none"/>
        <c:minorTickMark val="none"/>
        <c:tickLblPos val="nextTo"/>
        <c:spPr>
          <a:noFill/>
          <a:ln w="12700" cap="flat" cmpd="sng" algn="ctr">
            <a:solidFill>
              <a:schemeClr val="lt1">
                <a:lumMod val="95000"/>
                <a:alpha val="54000"/>
              </a:schemeClr>
            </a:solidFill>
            <a:round/>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379210816"/>
        <c:crosses val="autoZero"/>
        <c:auto val="1"/>
        <c:lblAlgn val="ctr"/>
        <c:lblOffset val="100"/>
        <c:noMultiLvlLbl val="0"/>
      </c:catAx>
      <c:valAx>
        <c:axId val="379210816"/>
        <c:scaling>
          <c:orientation val="minMax"/>
        </c:scaling>
        <c:delete val="0"/>
        <c:axPos val="b"/>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379210488"/>
        <c:crosses val="autoZero"/>
        <c:crossBetween val="between"/>
      </c:valAx>
      <c:spPr>
        <a:noFill/>
        <a:ln>
          <a:noFill/>
        </a:ln>
        <a:effectLst/>
      </c:spPr>
    </c:plotArea>
    <c:plotVisOnly val="1"/>
    <c:dispBlanksAs val="gap"/>
    <c:showDLblsOverMax val="0"/>
  </c:chart>
  <c: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a:ln>
      <a:noFill/>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layout/>
      <c:overlay val="0"/>
      <c:spPr>
        <a:noFill/>
        <a:ln>
          <a:noFill/>
        </a:ln>
        <a:effectLst/>
      </c:spPr>
      <c:txPr>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endParaRPr lang="en-US"/>
        </a:p>
      </c:txPr>
    </c:title>
    <c:autoTitleDeleted val="0"/>
    <c:plotArea>
      <c:layout/>
      <c:barChart>
        <c:barDir val="bar"/>
        <c:grouping val="clustered"/>
        <c:varyColors val="0"/>
        <c:ser>
          <c:idx val="0"/>
          <c:order val="0"/>
          <c:tx>
            <c:strRef>
              <c:f>Sheet1!$B$1</c:f>
              <c:strCache>
                <c:ptCount val="1"/>
                <c:pt idx="0">
                  <c:v>Cost of sick pay over a 3 month period </c:v>
                </c:pt>
              </c:strCache>
            </c:strRef>
          </c:tx>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dLbls>
            <c:numFmt formatCode="&quot;£&quot;#,##0.00" sourceLinked="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8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layout/>
                <c15:showLeaderLines val="1"/>
                <c15:leaderLines>
                  <c:spPr>
                    <a:ln w="9525">
                      <a:solidFill>
                        <a:schemeClr val="lt1">
                          <a:lumMod val="95000"/>
                          <a:alpha val="54000"/>
                        </a:schemeClr>
                      </a:solidFill>
                    </a:ln>
                    <a:effectLst/>
                  </c:spPr>
                </c15:leaderLines>
              </c:ext>
            </c:extLst>
          </c:dLbls>
          <c:cat>
            <c:strRef>
              <c:f>Sheet1!$A$2:$A$4</c:f>
              <c:strCache>
                <c:ptCount val="3"/>
                <c:pt idx="0">
                  <c:v>Research &amp; Design</c:v>
                </c:pt>
                <c:pt idx="1">
                  <c:v>Administration</c:v>
                </c:pt>
                <c:pt idx="2">
                  <c:v>Marketing</c:v>
                </c:pt>
              </c:strCache>
            </c:strRef>
          </c:cat>
          <c:val>
            <c:numRef>
              <c:f>Sheet1!$B$2:$B$4</c:f>
              <c:numCache>
                <c:formatCode>General</c:formatCode>
                <c:ptCount val="3"/>
                <c:pt idx="0" formatCode="#,##0.00">
                  <c:v>65660</c:v>
                </c:pt>
                <c:pt idx="1">
                  <c:v>2962.5</c:v>
                </c:pt>
                <c:pt idx="2">
                  <c:v>560</c:v>
                </c:pt>
              </c:numCache>
            </c:numRef>
          </c:val>
          <c:extLst>
            <c:ext xmlns:c16="http://schemas.microsoft.com/office/drawing/2014/chart" uri="{C3380CC4-5D6E-409C-BE32-E72D297353CC}">
              <c16:uniqueId val="{00000000-B2CA-41AA-8D52-0D1105413B34}"/>
            </c:ext>
          </c:extLst>
        </c:ser>
        <c:dLbls>
          <c:dLblPos val="outEnd"/>
          <c:showLegendKey val="0"/>
          <c:showVal val="1"/>
          <c:showCatName val="0"/>
          <c:showSerName val="0"/>
          <c:showPercent val="0"/>
          <c:showBubbleSize val="0"/>
        </c:dLbls>
        <c:gapWidth val="115"/>
        <c:overlap val="-20"/>
        <c:axId val="281402720"/>
        <c:axId val="281403376"/>
      </c:barChart>
      <c:catAx>
        <c:axId val="281402720"/>
        <c:scaling>
          <c:orientation val="minMax"/>
        </c:scaling>
        <c:delete val="0"/>
        <c:axPos val="l"/>
        <c:numFmt formatCode="General" sourceLinked="1"/>
        <c:majorTickMark val="none"/>
        <c:minorTickMark val="none"/>
        <c:tickLblPos val="nextTo"/>
        <c:spPr>
          <a:noFill/>
          <a:ln w="12700" cap="flat" cmpd="sng" algn="ctr">
            <a:solidFill>
              <a:schemeClr val="lt1">
                <a:lumMod val="95000"/>
                <a:alpha val="54000"/>
              </a:schemeClr>
            </a:solidFill>
            <a:round/>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281403376"/>
        <c:crosses val="autoZero"/>
        <c:auto val="1"/>
        <c:lblAlgn val="ctr"/>
        <c:lblOffset val="100"/>
        <c:noMultiLvlLbl val="0"/>
      </c:catAx>
      <c:valAx>
        <c:axId val="281403376"/>
        <c:scaling>
          <c:orientation val="minMax"/>
        </c:scaling>
        <c:delete val="0"/>
        <c:axPos val="b"/>
        <c:numFmt formatCode="#,##0.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281402720"/>
        <c:crosses val="autoZero"/>
        <c:crossBetween val="between"/>
      </c:valAx>
      <c:spPr>
        <a:noFill/>
        <a:ln>
          <a:noFill/>
        </a:ln>
        <a:effectLst/>
      </c:spPr>
    </c:plotArea>
    <c:plotVisOnly val="1"/>
    <c:dispBlanksAs val="gap"/>
    <c:showDLblsOverMax val="0"/>
  </c:chart>
  <c: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a:ln>
      <a:noFill/>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22">
  <cs:axisTitle>
    <cs:lnRef idx="0"/>
    <cs:fillRef idx="0"/>
    <cs:effectRef idx="0"/>
    <cs:fontRef idx="minor">
      <a:schemeClr val="lt1">
        <a:lumMod val="85000"/>
      </a:schemeClr>
    </cs:fontRef>
    <cs:defRPr sz="900" b="1" kern="1200" cap="all"/>
  </cs:axisTitle>
  <cs:category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categoryAxis>
  <cs:chartArea>
    <cs:lnRef idx="0"/>
    <cs:fillRef idx="0"/>
    <cs:effectRef idx="0"/>
    <cs:fontRef idx="minor">
      <a:schemeClr val="dk1"/>
    </cs:fontRef>
    <cs: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cs:spPr>
    <cs:defRPr sz="1000" kern="1200"/>
  </cs:chartArea>
  <cs:dataLabel>
    <cs:lnRef idx="0"/>
    <cs:fillRef idx="0"/>
    <cs:effectRef idx="0"/>
    <cs:fontRef idx="minor">
      <a:schemeClr val="lt1">
        <a:lumMod val="85000"/>
      </a:schemeClr>
    </cs:fontRef>
    <cs:defRPr sz="900" kern="1200"/>
  </cs:dataLabel>
  <cs:dataLabelCallout>
    <cs:lnRef idx="0"/>
    <cs:fillRef idx="0"/>
    <cs:effectRef idx="0"/>
    <cs:fontRef idx="minor">
      <a:schemeClr val="dk1">
        <a:lumMod val="65000"/>
        <a:lumOff val="35000"/>
      </a:schemeClr>
    </cs:fontRef>
    <cs:spPr>
      <a:solidFill>
        <a:schemeClr val="lt1"/>
      </a:solidFill>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tx1"/>
    </cs:fontRef>
  </cs:dataPoint>
  <cs:dataPoint3D>
    <cs:lnRef idx="0"/>
    <cs:fillRef idx="3">
      <cs:styleClr val="auto"/>
    </cs:fillRef>
    <cs:effectRef idx="3"/>
    <cs:fontRef idx="minor">
      <a:schemeClr val="tx1"/>
    </cs:fontRef>
  </cs:dataPoint3D>
  <cs:dataPointLine>
    <cs:lnRef idx="0">
      <cs:styleClr val="auto"/>
    </cs:lnRef>
    <cs:fillRef idx="3"/>
    <cs:effectRef idx="3"/>
    <cs:fontRef idx="minor">
      <a:schemeClr val="tx1"/>
    </cs:fontRef>
    <cs:spPr>
      <a:ln w="34925" cap="rnd">
        <a:solidFill>
          <a:schemeClr val="phClr"/>
        </a:solidFill>
        <a:round/>
      </a:ln>
    </cs:spPr>
  </cs:dataPointLine>
  <cs:dataPointMarker>
    <cs:lnRef idx="0">
      <cs:styleClr val="auto"/>
    </cs:lnRef>
    <cs:fillRef idx="3">
      <cs:styleClr val="auto"/>
    </cs:fillRef>
    <cs:effectRef idx="3"/>
    <cs:fontRef idx="minor">
      <a:schemeClr val="tx1"/>
    </cs:fontRef>
    <cs:spPr>
      <a:ln w="9525">
        <a:solidFill>
          <a:schemeClr val="phClr"/>
        </a:solidFill>
        <a:round/>
      </a:ln>
    </cs:spPr>
  </cs:dataPointMarker>
  <cs:dataPointMarkerLayout size="5"/>
  <cs:dataPointWireframe>
    <cs:lnRef idx="0">
      <cs:styleClr val="auto"/>
    </cs:lnRef>
    <cs:fillRef idx="3"/>
    <cs:effectRef idx="3"/>
    <cs:fontRef idx="minor">
      <a:schemeClr val="tx1"/>
    </cs:fontRef>
    <cs:spPr>
      <a:ln w="9525" cap="rnd">
        <a:solidFill>
          <a:schemeClr val="phClr"/>
        </a:solidFill>
        <a:round/>
      </a:ln>
    </cs:spPr>
  </cs:dataPointWireframe>
  <cs:dataTable>
    <cs:lnRef idx="0"/>
    <cs:fillRef idx="0"/>
    <cs:effectRef idx="0"/>
    <cs:fontRef idx="minor">
      <a:schemeClr val="lt1">
        <a:lumMod val="85000"/>
      </a:schemeClr>
    </cs:fontRef>
    <cs:spPr>
      <a:ln w="9525">
        <a:solidFill>
          <a:schemeClr val="lt1">
            <a:lumMod val="95000"/>
            <a:alpha val="54000"/>
          </a:schemeClr>
        </a:solidFill>
      </a:ln>
    </cs:spPr>
    <cs:defRPr sz="900" kern="1200"/>
  </cs:dataTable>
  <cs:downBar>
    <cs:lnRef idx="0"/>
    <cs:fillRef idx="0"/>
    <cs:effectRef idx="0"/>
    <cs:fontRef idx="minor">
      <a:schemeClr val="tx1"/>
    </cs:fontRef>
    <cs:spPr>
      <a:solidFill>
        <a:schemeClr val="dk1">
          <a:lumMod val="75000"/>
          <a:lumOff val="25000"/>
        </a:schemeClr>
      </a:solidFill>
      <a:ln w="9525">
        <a:solidFill>
          <a:schemeClr val="lt1">
            <a:lumMod val="95000"/>
            <a:alpha val="54000"/>
          </a:schemeClr>
        </a:solidFill>
      </a:ln>
    </cs:spPr>
  </cs:downBar>
  <cs:dropLine>
    <cs:lnRef idx="0"/>
    <cs:fillRef idx="0"/>
    <cs:effectRef idx="0"/>
    <cs:fontRef idx="minor">
      <a:schemeClr val="tx1"/>
    </cs:fontRef>
    <cs:spPr>
      <a:ln w="9525">
        <a:solidFill>
          <a:schemeClr val="lt1">
            <a:lumMod val="95000"/>
            <a:alpha val="54000"/>
          </a:schemeClr>
        </a:solidFill>
        <a:prstDash val="dash"/>
      </a:ln>
    </cs:spPr>
  </cs:dropLine>
  <cs:errorBar>
    <cs:lnRef idx="0"/>
    <cs:fillRef idx="0"/>
    <cs:effectRef idx="0"/>
    <cs:fontRef idx="minor">
      <a:schemeClr val="tx1"/>
    </cs:fontRef>
    <cs:spPr>
      <a:ln w="9525" cap="flat" cmpd="sng" algn="ctr">
        <a:solidFill>
          <a:schemeClr val="lt1">
            <a:lumMod val="95000"/>
          </a:schemeClr>
        </a:solidFill>
        <a:round/>
      </a:ln>
    </cs:spPr>
  </cs:errorBar>
  <cs:floor>
    <cs:lnRef idx="0"/>
    <cs:fillRef idx="0"/>
    <cs:effectRef idx="0"/>
    <cs:fontRef idx="minor">
      <a:schemeClr val="tx1"/>
    </cs:fontRef>
  </cs:floor>
  <cs:gridlineMajor>
    <cs:lnRef idx="0"/>
    <cs:fillRef idx="0"/>
    <cs:effectRef idx="0"/>
    <cs:fontRef idx="minor">
      <a:schemeClr val="tx1"/>
    </cs:fontRef>
    <cs:spPr>
      <a:ln w="9525" cap="flat" cmpd="sng" algn="ctr">
        <a:solidFill>
          <a:schemeClr val="lt1">
            <a:lumMod val="95000"/>
            <a:alpha val="10000"/>
          </a:schemeClr>
        </a:solidFill>
        <a:round/>
      </a:ln>
    </cs:spPr>
  </cs:gridlineMajor>
  <cs:gridlineMinor>
    <cs:lnRef idx="0"/>
    <cs:fillRef idx="0"/>
    <cs:effectRef idx="0"/>
    <cs:fontRef idx="minor">
      <a:schemeClr val="tx1"/>
    </cs:fontRef>
    <cs:spPr>
      <a:ln>
        <a:solidFill>
          <a:schemeClr val="lt1">
            <a:lumMod val="95000"/>
            <a:alpha val="5000"/>
          </a:schemeClr>
        </a:solidFill>
      </a:ln>
    </cs:spPr>
  </cs:gridlineMinor>
  <cs:hiLoLine>
    <cs:lnRef idx="0"/>
    <cs:fillRef idx="0"/>
    <cs:effectRef idx="0"/>
    <cs:fontRef idx="minor">
      <a:schemeClr val="tx1"/>
    </cs:fontRef>
    <cs:spPr>
      <a:ln w="9525">
        <a:solidFill>
          <a:schemeClr val="lt1">
            <a:lumMod val="95000"/>
            <a:alpha val="54000"/>
          </a:schemeClr>
        </a:solidFill>
        <a:prstDash val="dash"/>
      </a:ln>
    </cs:spPr>
  </cs:hiLoLine>
  <cs:leaderLine>
    <cs:lnRef idx="0"/>
    <cs:fillRef idx="0"/>
    <cs:effectRef idx="0"/>
    <cs:fontRef idx="minor">
      <a:schemeClr val="tx1"/>
    </cs:fontRef>
    <cs:spPr>
      <a:ln w="9525">
        <a:solidFill>
          <a:schemeClr val="lt1">
            <a:lumMod val="95000"/>
            <a:alpha val="54000"/>
          </a:schemeClr>
        </a:solidFill>
      </a:ln>
    </cs:spPr>
  </cs:leaderLine>
  <cs:legend>
    <cs:lnRef idx="0"/>
    <cs:fillRef idx="0"/>
    <cs:effectRef idx="0"/>
    <cs:fontRef idx="minor">
      <a:schemeClr val="lt1">
        <a:lumMod val="85000"/>
      </a:schemeClr>
    </cs:fontRef>
    <cs:defRPr sz="900" kern="1200"/>
  </cs:legend>
  <cs:plotArea>
    <cs:lnRef idx="0"/>
    <cs:fillRef idx="0"/>
    <cs:effectRef idx="0"/>
    <cs:fontRef idx="minor">
      <a:schemeClr val="tx1"/>
    </cs:fontRef>
  </cs:plotArea>
  <cs:plotArea3D>
    <cs:lnRef idx="0"/>
    <cs:fillRef idx="0"/>
    <cs:effectRef idx="0"/>
    <cs:fontRef idx="minor">
      <a:schemeClr val="tx1"/>
    </cs:fontRef>
  </cs:plotArea3D>
  <cs:series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seriesAxis>
  <cs:seriesLine>
    <cs:lnRef idx="0"/>
    <cs:fillRef idx="0"/>
    <cs:effectRef idx="0"/>
    <cs:fontRef idx="minor">
      <a:schemeClr val="lt1"/>
    </cs:fontRef>
    <cs:spPr>
      <a:ln w="9525" cap="flat" cmpd="sng" algn="ctr">
        <a:solidFill>
          <a:schemeClr val="lt1">
            <a:lumMod val="95000"/>
            <a:alpha val="54000"/>
          </a:schemeClr>
        </a:solidFill>
        <a:round/>
      </a:ln>
    </cs:spPr>
  </cs:seriesLine>
  <cs:title>
    <cs:lnRef idx="0"/>
    <cs:fillRef idx="0"/>
    <cs:effectRef idx="0"/>
    <cs:fontRef idx="minor">
      <a:schemeClr val="lt1">
        <a:lumMod val="95000"/>
      </a:schemeClr>
    </cs:fontRef>
    <cs:defRPr sz="1600" b="1" kern="1200" spc="100" baseline="0">
      <a:effectLst>
        <a:outerShdw blurRad="50800" dist="38100" dir="5400000" algn="t" rotWithShape="0">
          <a:prstClr val="black">
            <a:alpha val="40000"/>
          </a:prstClr>
        </a:outerShdw>
      </a:effectLst>
    </cs:defRPr>
  </cs:title>
  <cs:trendline>
    <cs:lnRef idx="0">
      <cs:styleClr val="auto"/>
    </cs:lnRef>
    <cs:fillRef idx="0"/>
    <cs:effectRef idx="0"/>
    <cs:fontRef idx="minor">
      <a:schemeClr val="tx1"/>
    </cs:fontRef>
    <cs:spPr>
      <a:ln w="19050" cap="rnd">
        <a:solidFill>
          <a:schemeClr val="phClr"/>
        </a:solidFill>
      </a:ln>
    </cs:spPr>
  </cs:trendline>
  <cs:trendlineLabel>
    <cs:lnRef idx="0"/>
    <cs:fillRef idx="0"/>
    <cs:effectRef idx="0"/>
    <cs:fontRef idx="minor">
      <a:schemeClr val="lt1">
        <a:lumMod val="85000"/>
      </a:schemeClr>
    </cs:fontRef>
    <cs:defRPr sz="900" kern="1200"/>
  </cs:trendlineLabel>
  <cs:upBar>
    <cs:lnRef idx="0"/>
    <cs:fillRef idx="0"/>
    <cs:effectRef idx="0"/>
    <cs:fontRef idx="minor">
      <a:schemeClr val="tx1"/>
    </cs:fontRef>
    <cs:spPr>
      <a:solidFill>
        <a:schemeClr val="lt1"/>
      </a:solidFill>
      <a:ln w="9525">
        <a:solidFill>
          <a:schemeClr val="lt1">
            <a:lumMod val="95000"/>
            <a:alpha val="54000"/>
          </a:schemeClr>
        </a:solidFill>
      </a:ln>
    </cs:spPr>
  </cs:upBar>
  <cs:valueAxis>
    <cs:lnRef idx="0"/>
    <cs:fillRef idx="0"/>
    <cs:effectRef idx="0"/>
    <cs:fontRef idx="minor">
      <a:schemeClr val="lt1">
        <a:lumMod val="85000"/>
      </a:schemeClr>
    </cs:fontRef>
    <cs:defRPr sz="900" kern="1200"/>
  </cs:valueAxis>
  <cs:wall>
    <cs:lnRef idx="0"/>
    <cs:fillRef idx="0"/>
    <cs:effectRef idx="0"/>
    <cs:fontRef idx="minor">
      <a:schemeClr val="tx1"/>
    </cs:fontRef>
  </cs:wall>
</cs:chartStyle>
</file>

<file path=word/charts/style2.xml><?xml version="1.0" encoding="utf-8"?>
<cs:chartStyle xmlns:cs="http://schemas.microsoft.com/office/drawing/2012/chartStyle" xmlns:a="http://schemas.openxmlformats.org/drawingml/2006/main" id="222">
  <cs:axisTitle>
    <cs:lnRef idx="0"/>
    <cs:fillRef idx="0"/>
    <cs:effectRef idx="0"/>
    <cs:fontRef idx="minor">
      <a:schemeClr val="lt1">
        <a:lumMod val="85000"/>
      </a:schemeClr>
    </cs:fontRef>
    <cs:defRPr sz="900" b="1" kern="1200" cap="all"/>
  </cs:axisTitle>
  <cs:category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categoryAxis>
  <cs:chartArea>
    <cs:lnRef idx="0"/>
    <cs:fillRef idx="0"/>
    <cs:effectRef idx="0"/>
    <cs:fontRef idx="minor">
      <a:schemeClr val="dk1"/>
    </cs:fontRef>
    <cs: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cs:spPr>
    <cs:defRPr sz="1000" kern="1200"/>
  </cs:chartArea>
  <cs:dataLabel>
    <cs:lnRef idx="0"/>
    <cs:fillRef idx="0"/>
    <cs:effectRef idx="0"/>
    <cs:fontRef idx="minor">
      <a:schemeClr val="lt1">
        <a:lumMod val="85000"/>
      </a:schemeClr>
    </cs:fontRef>
    <cs:defRPr sz="900" kern="1200"/>
  </cs:dataLabel>
  <cs:dataLabelCallout>
    <cs:lnRef idx="0"/>
    <cs:fillRef idx="0"/>
    <cs:effectRef idx="0"/>
    <cs:fontRef idx="minor">
      <a:schemeClr val="dk1">
        <a:lumMod val="65000"/>
        <a:lumOff val="35000"/>
      </a:schemeClr>
    </cs:fontRef>
    <cs:spPr>
      <a:solidFill>
        <a:schemeClr val="lt1"/>
      </a:solidFill>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tx1"/>
    </cs:fontRef>
  </cs:dataPoint>
  <cs:dataPoint3D>
    <cs:lnRef idx="0"/>
    <cs:fillRef idx="3">
      <cs:styleClr val="auto"/>
    </cs:fillRef>
    <cs:effectRef idx="3"/>
    <cs:fontRef idx="minor">
      <a:schemeClr val="tx1"/>
    </cs:fontRef>
  </cs:dataPoint3D>
  <cs:dataPointLine>
    <cs:lnRef idx="0">
      <cs:styleClr val="auto"/>
    </cs:lnRef>
    <cs:fillRef idx="3"/>
    <cs:effectRef idx="3"/>
    <cs:fontRef idx="minor">
      <a:schemeClr val="tx1"/>
    </cs:fontRef>
    <cs:spPr>
      <a:ln w="34925" cap="rnd">
        <a:solidFill>
          <a:schemeClr val="phClr"/>
        </a:solidFill>
        <a:round/>
      </a:ln>
    </cs:spPr>
  </cs:dataPointLine>
  <cs:dataPointMarker>
    <cs:lnRef idx="0">
      <cs:styleClr val="auto"/>
    </cs:lnRef>
    <cs:fillRef idx="3">
      <cs:styleClr val="auto"/>
    </cs:fillRef>
    <cs:effectRef idx="3"/>
    <cs:fontRef idx="minor">
      <a:schemeClr val="tx1"/>
    </cs:fontRef>
    <cs:spPr>
      <a:ln w="9525">
        <a:solidFill>
          <a:schemeClr val="phClr"/>
        </a:solidFill>
        <a:round/>
      </a:ln>
    </cs:spPr>
  </cs:dataPointMarker>
  <cs:dataPointMarkerLayout size="5"/>
  <cs:dataPointWireframe>
    <cs:lnRef idx="0">
      <cs:styleClr val="auto"/>
    </cs:lnRef>
    <cs:fillRef idx="3"/>
    <cs:effectRef idx="3"/>
    <cs:fontRef idx="minor">
      <a:schemeClr val="tx1"/>
    </cs:fontRef>
    <cs:spPr>
      <a:ln w="9525" cap="rnd">
        <a:solidFill>
          <a:schemeClr val="phClr"/>
        </a:solidFill>
        <a:round/>
      </a:ln>
    </cs:spPr>
  </cs:dataPointWireframe>
  <cs:dataTable>
    <cs:lnRef idx="0"/>
    <cs:fillRef idx="0"/>
    <cs:effectRef idx="0"/>
    <cs:fontRef idx="minor">
      <a:schemeClr val="lt1">
        <a:lumMod val="85000"/>
      </a:schemeClr>
    </cs:fontRef>
    <cs:spPr>
      <a:ln w="9525">
        <a:solidFill>
          <a:schemeClr val="lt1">
            <a:lumMod val="95000"/>
            <a:alpha val="54000"/>
          </a:schemeClr>
        </a:solidFill>
      </a:ln>
    </cs:spPr>
    <cs:defRPr sz="900" kern="1200"/>
  </cs:dataTable>
  <cs:downBar>
    <cs:lnRef idx="0"/>
    <cs:fillRef idx="0"/>
    <cs:effectRef idx="0"/>
    <cs:fontRef idx="minor">
      <a:schemeClr val="tx1"/>
    </cs:fontRef>
    <cs:spPr>
      <a:solidFill>
        <a:schemeClr val="dk1">
          <a:lumMod val="75000"/>
          <a:lumOff val="25000"/>
        </a:schemeClr>
      </a:solidFill>
      <a:ln w="9525">
        <a:solidFill>
          <a:schemeClr val="lt1">
            <a:lumMod val="95000"/>
            <a:alpha val="54000"/>
          </a:schemeClr>
        </a:solidFill>
      </a:ln>
    </cs:spPr>
  </cs:downBar>
  <cs:dropLine>
    <cs:lnRef idx="0"/>
    <cs:fillRef idx="0"/>
    <cs:effectRef idx="0"/>
    <cs:fontRef idx="minor">
      <a:schemeClr val="tx1"/>
    </cs:fontRef>
    <cs:spPr>
      <a:ln w="9525">
        <a:solidFill>
          <a:schemeClr val="lt1">
            <a:lumMod val="95000"/>
            <a:alpha val="54000"/>
          </a:schemeClr>
        </a:solidFill>
        <a:prstDash val="dash"/>
      </a:ln>
    </cs:spPr>
  </cs:dropLine>
  <cs:errorBar>
    <cs:lnRef idx="0"/>
    <cs:fillRef idx="0"/>
    <cs:effectRef idx="0"/>
    <cs:fontRef idx="minor">
      <a:schemeClr val="tx1"/>
    </cs:fontRef>
    <cs:spPr>
      <a:ln w="9525" cap="flat" cmpd="sng" algn="ctr">
        <a:solidFill>
          <a:schemeClr val="lt1">
            <a:lumMod val="95000"/>
          </a:schemeClr>
        </a:solidFill>
        <a:round/>
      </a:ln>
    </cs:spPr>
  </cs:errorBar>
  <cs:floor>
    <cs:lnRef idx="0"/>
    <cs:fillRef idx="0"/>
    <cs:effectRef idx="0"/>
    <cs:fontRef idx="minor">
      <a:schemeClr val="tx1"/>
    </cs:fontRef>
  </cs:floor>
  <cs:gridlineMajor>
    <cs:lnRef idx="0"/>
    <cs:fillRef idx="0"/>
    <cs:effectRef idx="0"/>
    <cs:fontRef idx="minor">
      <a:schemeClr val="tx1"/>
    </cs:fontRef>
    <cs:spPr>
      <a:ln w="9525" cap="flat" cmpd="sng" algn="ctr">
        <a:solidFill>
          <a:schemeClr val="lt1">
            <a:lumMod val="95000"/>
            <a:alpha val="10000"/>
          </a:schemeClr>
        </a:solidFill>
        <a:round/>
      </a:ln>
    </cs:spPr>
  </cs:gridlineMajor>
  <cs:gridlineMinor>
    <cs:lnRef idx="0"/>
    <cs:fillRef idx="0"/>
    <cs:effectRef idx="0"/>
    <cs:fontRef idx="minor">
      <a:schemeClr val="tx1"/>
    </cs:fontRef>
    <cs:spPr>
      <a:ln>
        <a:solidFill>
          <a:schemeClr val="lt1">
            <a:lumMod val="95000"/>
            <a:alpha val="5000"/>
          </a:schemeClr>
        </a:solidFill>
      </a:ln>
    </cs:spPr>
  </cs:gridlineMinor>
  <cs:hiLoLine>
    <cs:lnRef idx="0"/>
    <cs:fillRef idx="0"/>
    <cs:effectRef idx="0"/>
    <cs:fontRef idx="minor">
      <a:schemeClr val="tx1"/>
    </cs:fontRef>
    <cs:spPr>
      <a:ln w="9525">
        <a:solidFill>
          <a:schemeClr val="lt1">
            <a:lumMod val="95000"/>
            <a:alpha val="54000"/>
          </a:schemeClr>
        </a:solidFill>
        <a:prstDash val="dash"/>
      </a:ln>
    </cs:spPr>
  </cs:hiLoLine>
  <cs:leaderLine>
    <cs:lnRef idx="0"/>
    <cs:fillRef idx="0"/>
    <cs:effectRef idx="0"/>
    <cs:fontRef idx="minor">
      <a:schemeClr val="tx1"/>
    </cs:fontRef>
    <cs:spPr>
      <a:ln w="9525">
        <a:solidFill>
          <a:schemeClr val="lt1">
            <a:lumMod val="95000"/>
            <a:alpha val="54000"/>
          </a:schemeClr>
        </a:solidFill>
      </a:ln>
    </cs:spPr>
  </cs:leaderLine>
  <cs:legend>
    <cs:lnRef idx="0"/>
    <cs:fillRef idx="0"/>
    <cs:effectRef idx="0"/>
    <cs:fontRef idx="minor">
      <a:schemeClr val="lt1">
        <a:lumMod val="85000"/>
      </a:schemeClr>
    </cs:fontRef>
    <cs:defRPr sz="900" kern="1200"/>
  </cs:legend>
  <cs:plotArea>
    <cs:lnRef idx="0"/>
    <cs:fillRef idx="0"/>
    <cs:effectRef idx="0"/>
    <cs:fontRef idx="minor">
      <a:schemeClr val="tx1"/>
    </cs:fontRef>
  </cs:plotArea>
  <cs:plotArea3D>
    <cs:lnRef idx="0"/>
    <cs:fillRef idx="0"/>
    <cs:effectRef idx="0"/>
    <cs:fontRef idx="minor">
      <a:schemeClr val="tx1"/>
    </cs:fontRef>
  </cs:plotArea3D>
  <cs:series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seriesAxis>
  <cs:seriesLine>
    <cs:lnRef idx="0"/>
    <cs:fillRef idx="0"/>
    <cs:effectRef idx="0"/>
    <cs:fontRef idx="minor">
      <a:schemeClr val="lt1"/>
    </cs:fontRef>
    <cs:spPr>
      <a:ln w="9525" cap="flat" cmpd="sng" algn="ctr">
        <a:solidFill>
          <a:schemeClr val="lt1">
            <a:lumMod val="95000"/>
            <a:alpha val="54000"/>
          </a:schemeClr>
        </a:solidFill>
        <a:round/>
      </a:ln>
    </cs:spPr>
  </cs:seriesLine>
  <cs:title>
    <cs:lnRef idx="0"/>
    <cs:fillRef idx="0"/>
    <cs:effectRef idx="0"/>
    <cs:fontRef idx="minor">
      <a:schemeClr val="lt1">
        <a:lumMod val="95000"/>
      </a:schemeClr>
    </cs:fontRef>
    <cs:defRPr sz="1600" b="1" kern="1200" spc="100" baseline="0">
      <a:effectLst>
        <a:outerShdw blurRad="50800" dist="38100" dir="5400000" algn="t" rotWithShape="0">
          <a:prstClr val="black">
            <a:alpha val="40000"/>
          </a:prstClr>
        </a:outerShdw>
      </a:effectLst>
    </cs:defRPr>
  </cs:title>
  <cs:trendline>
    <cs:lnRef idx="0">
      <cs:styleClr val="auto"/>
    </cs:lnRef>
    <cs:fillRef idx="0"/>
    <cs:effectRef idx="0"/>
    <cs:fontRef idx="minor">
      <a:schemeClr val="tx1"/>
    </cs:fontRef>
    <cs:spPr>
      <a:ln w="19050" cap="rnd">
        <a:solidFill>
          <a:schemeClr val="phClr"/>
        </a:solidFill>
      </a:ln>
    </cs:spPr>
  </cs:trendline>
  <cs:trendlineLabel>
    <cs:lnRef idx="0"/>
    <cs:fillRef idx="0"/>
    <cs:effectRef idx="0"/>
    <cs:fontRef idx="minor">
      <a:schemeClr val="lt1">
        <a:lumMod val="85000"/>
      </a:schemeClr>
    </cs:fontRef>
    <cs:defRPr sz="900" kern="1200"/>
  </cs:trendlineLabel>
  <cs:upBar>
    <cs:lnRef idx="0"/>
    <cs:fillRef idx="0"/>
    <cs:effectRef idx="0"/>
    <cs:fontRef idx="minor">
      <a:schemeClr val="tx1"/>
    </cs:fontRef>
    <cs:spPr>
      <a:solidFill>
        <a:schemeClr val="lt1"/>
      </a:solidFill>
      <a:ln w="9525">
        <a:solidFill>
          <a:schemeClr val="lt1">
            <a:lumMod val="95000"/>
            <a:alpha val="54000"/>
          </a:schemeClr>
        </a:solidFill>
      </a:ln>
    </cs:spPr>
  </cs:upBar>
  <cs:valueAxis>
    <cs:lnRef idx="0"/>
    <cs:fillRef idx="0"/>
    <cs:effectRef idx="0"/>
    <cs:fontRef idx="minor">
      <a:schemeClr val="lt1">
        <a:lumMod val="85000"/>
      </a:schemeClr>
    </cs:fontRef>
    <cs:defRPr sz="900" kern="1200"/>
  </cs:valueAxis>
  <cs:wall>
    <cs:lnRef idx="0"/>
    <cs:fillRef idx="0"/>
    <cs:effectRef idx="0"/>
    <cs:fontRef idx="minor">
      <a:schemeClr val="tx1"/>
    </cs:fontRef>
  </cs:wall>
</cs:chartStyle>
</file>

<file path=word/charts/style3.xml><?xml version="1.0" encoding="utf-8"?>
<cs:chartStyle xmlns:cs="http://schemas.microsoft.com/office/drawing/2012/chartStyle" xmlns:a="http://schemas.openxmlformats.org/drawingml/2006/main" id="222">
  <cs:axisTitle>
    <cs:lnRef idx="0"/>
    <cs:fillRef idx="0"/>
    <cs:effectRef idx="0"/>
    <cs:fontRef idx="minor">
      <a:schemeClr val="lt1">
        <a:lumMod val="85000"/>
      </a:schemeClr>
    </cs:fontRef>
    <cs:defRPr sz="900" b="1" kern="1200" cap="all"/>
  </cs:axisTitle>
  <cs:category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categoryAxis>
  <cs:chartArea>
    <cs:lnRef idx="0"/>
    <cs:fillRef idx="0"/>
    <cs:effectRef idx="0"/>
    <cs:fontRef idx="minor">
      <a:schemeClr val="dk1"/>
    </cs:fontRef>
    <cs: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cs:spPr>
    <cs:defRPr sz="1000" kern="1200"/>
  </cs:chartArea>
  <cs:dataLabel>
    <cs:lnRef idx="0"/>
    <cs:fillRef idx="0"/>
    <cs:effectRef idx="0"/>
    <cs:fontRef idx="minor">
      <a:schemeClr val="lt1">
        <a:lumMod val="85000"/>
      </a:schemeClr>
    </cs:fontRef>
    <cs:defRPr sz="900" kern="1200"/>
  </cs:dataLabel>
  <cs:dataLabelCallout>
    <cs:lnRef idx="0"/>
    <cs:fillRef idx="0"/>
    <cs:effectRef idx="0"/>
    <cs:fontRef idx="minor">
      <a:schemeClr val="dk1">
        <a:lumMod val="65000"/>
        <a:lumOff val="35000"/>
      </a:schemeClr>
    </cs:fontRef>
    <cs:spPr>
      <a:solidFill>
        <a:schemeClr val="lt1"/>
      </a:solidFill>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tx1"/>
    </cs:fontRef>
  </cs:dataPoint>
  <cs:dataPoint3D>
    <cs:lnRef idx="0"/>
    <cs:fillRef idx="3">
      <cs:styleClr val="auto"/>
    </cs:fillRef>
    <cs:effectRef idx="3"/>
    <cs:fontRef idx="minor">
      <a:schemeClr val="tx1"/>
    </cs:fontRef>
  </cs:dataPoint3D>
  <cs:dataPointLine>
    <cs:lnRef idx="0">
      <cs:styleClr val="auto"/>
    </cs:lnRef>
    <cs:fillRef idx="3"/>
    <cs:effectRef idx="3"/>
    <cs:fontRef idx="minor">
      <a:schemeClr val="tx1"/>
    </cs:fontRef>
    <cs:spPr>
      <a:ln w="34925" cap="rnd">
        <a:solidFill>
          <a:schemeClr val="phClr"/>
        </a:solidFill>
        <a:round/>
      </a:ln>
    </cs:spPr>
  </cs:dataPointLine>
  <cs:dataPointMarker>
    <cs:lnRef idx="0">
      <cs:styleClr val="auto"/>
    </cs:lnRef>
    <cs:fillRef idx="3">
      <cs:styleClr val="auto"/>
    </cs:fillRef>
    <cs:effectRef idx="3"/>
    <cs:fontRef idx="minor">
      <a:schemeClr val="tx1"/>
    </cs:fontRef>
    <cs:spPr>
      <a:ln w="9525">
        <a:solidFill>
          <a:schemeClr val="phClr"/>
        </a:solidFill>
        <a:round/>
      </a:ln>
    </cs:spPr>
  </cs:dataPointMarker>
  <cs:dataPointMarkerLayout size="5"/>
  <cs:dataPointWireframe>
    <cs:lnRef idx="0">
      <cs:styleClr val="auto"/>
    </cs:lnRef>
    <cs:fillRef idx="3"/>
    <cs:effectRef idx="3"/>
    <cs:fontRef idx="minor">
      <a:schemeClr val="tx1"/>
    </cs:fontRef>
    <cs:spPr>
      <a:ln w="9525" cap="rnd">
        <a:solidFill>
          <a:schemeClr val="phClr"/>
        </a:solidFill>
        <a:round/>
      </a:ln>
    </cs:spPr>
  </cs:dataPointWireframe>
  <cs:dataTable>
    <cs:lnRef idx="0"/>
    <cs:fillRef idx="0"/>
    <cs:effectRef idx="0"/>
    <cs:fontRef idx="minor">
      <a:schemeClr val="lt1">
        <a:lumMod val="85000"/>
      </a:schemeClr>
    </cs:fontRef>
    <cs:spPr>
      <a:ln w="9525">
        <a:solidFill>
          <a:schemeClr val="lt1">
            <a:lumMod val="95000"/>
            <a:alpha val="54000"/>
          </a:schemeClr>
        </a:solidFill>
      </a:ln>
    </cs:spPr>
    <cs:defRPr sz="900" kern="1200"/>
  </cs:dataTable>
  <cs:downBar>
    <cs:lnRef idx="0"/>
    <cs:fillRef idx="0"/>
    <cs:effectRef idx="0"/>
    <cs:fontRef idx="minor">
      <a:schemeClr val="tx1"/>
    </cs:fontRef>
    <cs:spPr>
      <a:solidFill>
        <a:schemeClr val="dk1">
          <a:lumMod val="75000"/>
          <a:lumOff val="25000"/>
        </a:schemeClr>
      </a:solidFill>
      <a:ln w="9525">
        <a:solidFill>
          <a:schemeClr val="lt1">
            <a:lumMod val="95000"/>
            <a:alpha val="54000"/>
          </a:schemeClr>
        </a:solidFill>
      </a:ln>
    </cs:spPr>
  </cs:downBar>
  <cs:dropLine>
    <cs:lnRef idx="0"/>
    <cs:fillRef idx="0"/>
    <cs:effectRef idx="0"/>
    <cs:fontRef idx="minor">
      <a:schemeClr val="tx1"/>
    </cs:fontRef>
    <cs:spPr>
      <a:ln w="9525">
        <a:solidFill>
          <a:schemeClr val="lt1">
            <a:lumMod val="95000"/>
            <a:alpha val="54000"/>
          </a:schemeClr>
        </a:solidFill>
        <a:prstDash val="dash"/>
      </a:ln>
    </cs:spPr>
  </cs:dropLine>
  <cs:errorBar>
    <cs:lnRef idx="0"/>
    <cs:fillRef idx="0"/>
    <cs:effectRef idx="0"/>
    <cs:fontRef idx="minor">
      <a:schemeClr val="tx1"/>
    </cs:fontRef>
    <cs:spPr>
      <a:ln w="9525" cap="flat" cmpd="sng" algn="ctr">
        <a:solidFill>
          <a:schemeClr val="lt1">
            <a:lumMod val="95000"/>
          </a:schemeClr>
        </a:solidFill>
        <a:round/>
      </a:ln>
    </cs:spPr>
  </cs:errorBar>
  <cs:floor>
    <cs:lnRef idx="0"/>
    <cs:fillRef idx="0"/>
    <cs:effectRef idx="0"/>
    <cs:fontRef idx="minor">
      <a:schemeClr val="tx1"/>
    </cs:fontRef>
  </cs:floor>
  <cs:gridlineMajor>
    <cs:lnRef idx="0"/>
    <cs:fillRef idx="0"/>
    <cs:effectRef idx="0"/>
    <cs:fontRef idx="minor">
      <a:schemeClr val="tx1"/>
    </cs:fontRef>
    <cs:spPr>
      <a:ln w="9525" cap="flat" cmpd="sng" algn="ctr">
        <a:solidFill>
          <a:schemeClr val="lt1">
            <a:lumMod val="95000"/>
            <a:alpha val="10000"/>
          </a:schemeClr>
        </a:solidFill>
        <a:round/>
      </a:ln>
    </cs:spPr>
  </cs:gridlineMajor>
  <cs:gridlineMinor>
    <cs:lnRef idx="0"/>
    <cs:fillRef idx="0"/>
    <cs:effectRef idx="0"/>
    <cs:fontRef idx="minor">
      <a:schemeClr val="tx1"/>
    </cs:fontRef>
    <cs:spPr>
      <a:ln>
        <a:solidFill>
          <a:schemeClr val="lt1">
            <a:lumMod val="95000"/>
            <a:alpha val="5000"/>
          </a:schemeClr>
        </a:solidFill>
      </a:ln>
    </cs:spPr>
  </cs:gridlineMinor>
  <cs:hiLoLine>
    <cs:lnRef idx="0"/>
    <cs:fillRef idx="0"/>
    <cs:effectRef idx="0"/>
    <cs:fontRef idx="minor">
      <a:schemeClr val="tx1"/>
    </cs:fontRef>
    <cs:spPr>
      <a:ln w="9525">
        <a:solidFill>
          <a:schemeClr val="lt1">
            <a:lumMod val="95000"/>
            <a:alpha val="54000"/>
          </a:schemeClr>
        </a:solidFill>
        <a:prstDash val="dash"/>
      </a:ln>
    </cs:spPr>
  </cs:hiLoLine>
  <cs:leaderLine>
    <cs:lnRef idx="0"/>
    <cs:fillRef idx="0"/>
    <cs:effectRef idx="0"/>
    <cs:fontRef idx="minor">
      <a:schemeClr val="tx1"/>
    </cs:fontRef>
    <cs:spPr>
      <a:ln w="9525">
        <a:solidFill>
          <a:schemeClr val="lt1">
            <a:lumMod val="95000"/>
            <a:alpha val="54000"/>
          </a:schemeClr>
        </a:solidFill>
      </a:ln>
    </cs:spPr>
  </cs:leaderLine>
  <cs:legend>
    <cs:lnRef idx="0"/>
    <cs:fillRef idx="0"/>
    <cs:effectRef idx="0"/>
    <cs:fontRef idx="minor">
      <a:schemeClr val="lt1">
        <a:lumMod val="85000"/>
      </a:schemeClr>
    </cs:fontRef>
    <cs:defRPr sz="900" kern="1200"/>
  </cs:legend>
  <cs:plotArea>
    <cs:lnRef idx="0"/>
    <cs:fillRef idx="0"/>
    <cs:effectRef idx="0"/>
    <cs:fontRef idx="minor">
      <a:schemeClr val="tx1"/>
    </cs:fontRef>
  </cs:plotArea>
  <cs:plotArea3D>
    <cs:lnRef idx="0"/>
    <cs:fillRef idx="0"/>
    <cs:effectRef idx="0"/>
    <cs:fontRef idx="minor">
      <a:schemeClr val="tx1"/>
    </cs:fontRef>
  </cs:plotArea3D>
  <cs:series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seriesAxis>
  <cs:seriesLine>
    <cs:lnRef idx="0"/>
    <cs:fillRef idx="0"/>
    <cs:effectRef idx="0"/>
    <cs:fontRef idx="minor">
      <a:schemeClr val="lt1"/>
    </cs:fontRef>
    <cs:spPr>
      <a:ln w="9525" cap="flat" cmpd="sng" algn="ctr">
        <a:solidFill>
          <a:schemeClr val="lt1">
            <a:lumMod val="95000"/>
            <a:alpha val="54000"/>
          </a:schemeClr>
        </a:solidFill>
        <a:round/>
      </a:ln>
    </cs:spPr>
  </cs:seriesLine>
  <cs:title>
    <cs:lnRef idx="0"/>
    <cs:fillRef idx="0"/>
    <cs:effectRef idx="0"/>
    <cs:fontRef idx="minor">
      <a:schemeClr val="lt1">
        <a:lumMod val="95000"/>
      </a:schemeClr>
    </cs:fontRef>
    <cs:defRPr sz="1600" b="1" kern="1200" spc="100" baseline="0">
      <a:effectLst>
        <a:outerShdw blurRad="50800" dist="38100" dir="5400000" algn="t" rotWithShape="0">
          <a:prstClr val="black">
            <a:alpha val="40000"/>
          </a:prstClr>
        </a:outerShdw>
      </a:effectLst>
    </cs:defRPr>
  </cs:title>
  <cs:trendline>
    <cs:lnRef idx="0">
      <cs:styleClr val="auto"/>
    </cs:lnRef>
    <cs:fillRef idx="0"/>
    <cs:effectRef idx="0"/>
    <cs:fontRef idx="minor">
      <a:schemeClr val="tx1"/>
    </cs:fontRef>
    <cs:spPr>
      <a:ln w="19050" cap="rnd">
        <a:solidFill>
          <a:schemeClr val="phClr"/>
        </a:solidFill>
      </a:ln>
    </cs:spPr>
  </cs:trendline>
  <cs:trendlineLabel>
    <cs:lnRef idx="0"/>
    <cs:fillRef idx="0"/>
    <cs:effectRef idx="0"/>
    <cs:fontRef idx="minor">
      <a:schemeClr val="lt1">
        <a:lumMod val="85000"/>
      </a:schemeClr>
    </cs:fontRef>
    <cs:defRPr sz="900" kern="1200"/>
  </cs:trendlineLabel>
  <cs:upBar>
    <cs:lnRef idx="0"/>
    <cs:fillRef idx="0"/>
    <cs:effectRef idx="0"/>
    <cs:fontRef idx="minor">
      <a:schemeClr val="tx1"/>
    </cs:fontRef>
    <cs:spPr>
      <a:solidFill>
        <a:schemeClr val="lt1"/>
      </a:solidFill>
      <a:ln w="9525">
        <a:solidFill>
          <a:schemeClr val="lt1">
            <a:lumMod val="95000"/>
            <a:alpha val="54000"/>
          </a:schemeClr>
        </a:solidFill>
      </a:ln>
    </cs:spPr>
  </cs:upBar>
  <cs:valueAxis>
    <cs:lnRef idx="0"/>
    <cs:fillRef idx="0"/>
    <cs:effectRef idx="0"/>
    <cs:fontRef idx="minor">
      <a:schemeClr val="lt1">
        <a:lumMod val="85000"/>
      </a:schemeClr>
    </cs:fontRef>
    <cs:defRPr sz="900" kern="1200"/>
  </cs:valueAxis>
  <cs:wall>
    <cs:lnRef idx="0"/>
    <cs:fillRef idx="0"/>
    <cs:effectRef idx="0"/>
    <cs:fontRef idx="minor">
      <a:schemeClr val="tx1"/>
    </cs:fontRef>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F4AC89C-E460-447F-8DE6-A6ECAFC1387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20</Pages>
  <Words>3164</Words>
  <Characters>18037</Characters>
  <Application>Microsoft Office Word</Application>
  <DocSecurity>0</DocSecurity>
  <Lines>150</Lines>
  <Paragraphs>42</Paragraphs>
  <ScaleCrop>false</ScaleCrop>
  <HeadingPairs>
    <vt:vector size="2" baseType="variant">
      <vt:variant>
        <vt:lpstr>Title</vt:lpstr>
      </vt:variant>
      <vt:variant>
        <vt:i4>1</vt:i4>
      </vt:variant>
    </vt:vector>
  </HeadingPairs>
  <TitlesOfParts>
    <vt:vector size="1" baseType="lpstr">
      <vt:lpstr/>
    </vt:vector>
  </TitlesOfParts>
  <Company>Hywel Dda University Health Board</Company>
  <LinksUpToDate>false</LinksUpToDate>
  <CharactersWithSpaces>21159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Francesca Preece (Hywel Dda UHB - PA to Deputy Director of Workforce &amp; OD)</dc:creator>
  <cp:keywords/>
  <dc:description/>
  <cp:lastModifiedBy>Francesca Preece (Hywel Dda UHB - PA to Deputy Director of Workforce &amp; OD)</cp:lastModifiedBy>
  <cp:revision>3</cp:revision>
  <dcterms:created xsi:type="dcterms:W3CDTF">2022-06-19T19:14:00Z</dcterms:created>
  <dcterms:modified xsi:type="dcterms:W3CDTF">2022-06-19T19:14:00Z</dcterms:modified>
</cp:coreProperties>
</file>