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B1F18" w14:textId="2B03A734" w:rsidR="00AF3778" w:rsidRPr="006D180A" w:rsidRDefault="006D180A" w:rsidP="006D180A">
      <w:pPr>
        <w:pStyle w:val="ListParagraph"/>
        <w:numPr>
          <w:ilvl w:val="0"/>
          <w:numId w:val="3"/>
        </w:numPr>
        <w:rPr>
          <w:lang w:val="en-US"/>
        </w:rPr>
      </w:pPr>
      <w:r w:rsidRPr="006D180A">
        <w:rPr>
          <w:lang w:val="en-US"/>
        </w:rPr>
        <w:t>Cartwright, M. 2012 Ancient History</w:t>
      </w:r>
      <w:r>
        <w:rPr>
          <w:lang w:val="en-US"/>
        </w:rPr>
        <w:t xml:space="preserve"> Encyclopedia: Minoan Pottery. Available from: </w:t>
      </w:r>
      <w:hyperlink r:id="rId7" w:history="1">
        <w:r w:rsidRPr="007B5060">
          <w:rPr>
            <w:rStyle w:val="Hyperlink"/>
            <w:lang w:val="en-US"/>
          </w:rPr>
          <w:t>https://www.ancient.eu/article/391/minoan-pottery/</w:t>
        </w:r>
      </w:hyperlink>
      <w:r>
        <w:rPr>
          <w:lang w:val="en-US"/>
        </w:rPr>
        <w:t xml:space="preserve">  (Accessed on </w:t>
      </w:r>
      <w:r w:rsidR="006604B8">
        <w:rPr>
          <w:lang w:val="en-US"/>
        </w:rPr>
        <w:t>6</w:t>
      </w:r>
      <w:r w:rsidRPr="006D180A">
        <w:rPr>
          <w:vertAlign w:val="superscript"/>
          <w:lang w:val="en-US"/>
        </w:rPr>
        <w:t>th</w:t>
      </w:r>
      <w:r>
        <w:rPr>
          <w:lang w:val="en-US"/>
        </w:rPr>
        <w:t xml:space="preserve"> of April 2020)</w:t>
      </w:r>
    </w:p>
    <w:p w14:paraId="5D47CEB9" w14:textId="1F714E5B" w:rsidR="00DB362E" w:rsidRDefault="009F3B9B" w:rsidP="00C055C9">
      <w:pPr>
        <w:rPr>
          <w:lang w:val="en-US"/>
        </w:rPr>
      </w:pPr>
      <w:r>
        <w:rPr>
          <w:lang w:val="en-US"/>
        </w:rPr>
        <w:t>The author</w:t>
      </w:r>
      <w:r w:rsidR="00F41F7B">
        <w:rPr>
          <w:lang w:val="en-US"/>
        </w:rPr>
        <w:t xml:space="preserve"> </w:t>
      </w:r>
      <w:r>
        <w:rPr>
          <w:lang w:val="en-US"/>
        </w:rPr>
        <w:t xml:space="preserve">observes the main varying trends of Minoan pottery, going through each in </w:t>
      </w:r>
      <w:r w:rsidR="000D3EE4">
        <w:rPr>
          <w:lang w:val="en-US"/>
        </w:rPr>
        <w:t xml:space="preserve">form in </w:t>
      </w:r>
      <w:r w:rsidR="004D7C71">
        <w:rPr>
          <w:lang w:val="en-US"/>
        </w:rPr>
        <w:t>a surprising amount of detail</w:t>
      </w:r>
      <w:r w:rsidR="001463F0">
        <w:rPr>
          <w:lang w:val="en-US"/>
        </w:rPr>
        <w:t xml:space="preserve">, and provides a photograph with each. </w:t>
      </w:r>
      <w:r w:rsidR="00671EB7">
        <w:rPr>
          <w:lang w:val="en-US"/>
        </w:rPr>
        <w:t xml:space="preserve">Cartwright begins with the “Kamares” style, </w:t>
      </w:r>
      <w:r w:rsidR="00B215BF">
        <w:rPr>
          <w:lang w:val="en-US"/>
        </w:rPr>
        <w:t xml:space="preserve">named so after a cave where pottery from the time (estimated to be around </w:t>
      </w:r>
      <w:r w:rsidR="00B215BF" w:rsidRPr="00B215BF">
        <w:rPr>
          <w:lang w:val="en-US"/>
        </w:rPr>
        <w:t>2000 BCE - 1700 BCE</w:t>
      </w:r>
      <w:r w:rsidR="00B215BF">
        <w:rPr>
          <w:lang w:val="en-US"/>
        </w:rPr>
        <w:t xml:space="preserve">) was found. He </w:t>
      </w:r>
      <w:r w:rsidR="00411F0E">
        <w:rPr>
          <w:lang w:val="en-US"/>
        </w:rPr>
        <w:t xml:space="preserve">states </w:t>
      </w:r>
      <w:r w:rsidR="00B215BF">
        <w:rPr>
          <w:lang w:val="en-US"/>
        </w:rPr>
        <w:t xml:space="preserve">that it may have </w:t>
      </w:r>
      <w:r w:rsidR="00B215BF" w:rsidRPr="00B215BF">
        <w:rPr>
          <w:lang w:val="en-US"/>
        </w:rPr>
        <w:t>originat</w:t>
      </w:r>
      <w:r w:rsidR="00B215BF">
        <w:rPr>
          <w:lang w:val="en-US"/>
        </w:rPr>
        <w:t>ed</w:t>
      </w:r>
      <w:r w:rsidR="00B215BF" w:rsidRPr="00B215BF">
        <w:rPr>
          <w:lang w:val="en-US"/>
        </w:rPr>
        <w:t xml:space="preserve"> from </w:t>
      </w:r>
      <w:r w:rsidR="005F5264" w:rsidRPr="00B215BF">
        <w:rPr>
          <w:lang w:val="en-US"/>
        </w:rPr>
        <w:t>Phaistos</w:t>
      </w:r>
      <w:r w:rsidR="00B215BF">
        <w:rPr>
          <w:lang w:val="en-US"/>
        </w:rPr>
        <w:t xml:space="preserve"> </w:t>
      </w:r>
      <w:r w:rsidR="00411F0E">
        <w:rPr>
          <w:lang w:val="en-US"/>
        </w:rPr>
        <w:t xml:space="preserve">(approx. center of Crete) and </w:t>
      </w:r>
      <w:r w:rsidR="00D727EB">
        <w:rPr>
          <w:lang w:val="en-US"/>
        </w:rPr>
        <w:t>correlates to the introduction of the pottery wheel in Crete. He describe</w:t>
      </w:r>
      <w:r w:rsidR="00F41F7B">
        <w:rPr>
          <w:lang w:val="en-US"/>
        </w:rPr>
        <w:t>s</w:t>
      </w:r>
      <w:r w:rsidR="00D727EB">
        <w:rPr>
          <w:lang w:val="en-US"/>
        </w:rPr>
        <w:t xml:space="preserve"> the colours that are prominent for the time, </w:t>
      </w:r>
      <w:r w:rsidR="002A18D8">
        <w:rPr>
          <w:lang w:val="en-US"/>
        </w:rPr>
        <w:t>shapes and</w:t>
      </w:r>
      <w:r w:rsidR="00D727EB">
        <w:rPr>
          <w:lang w:val="en-US"/>
        </w:rPr>
        <w:t xml:space="preserve"> patterns</w:t>
      </w:r>
      <w:r w:rsidR="005C3DDE">
        <w:rPr>
          <w:lang w:val="en-US"/>
        </w:rPr>
        <w:t xml:space="preserve">, </w:t>
      </w:r>
      <w:r w:rsidR="00D727EB">
        <w:rPr>
          <w:lang w:val="en-US"/>
        </w:rPr>
        <w:t>including rosettes, lattices, etc.</w:t>
      </w:r>
      <w:r w:rsidR="005C3DDE">
        <w:rPr>
          <w:lang w:val="en-US"/>
        </w:rPr>
        <w:t xml:space="preserve">, as well as occasionally featuring impressions of </w:t>
      </w:r>
      <w:r w:rsidR="00CB1698">
        <w:rPr>
          <w:lang w:val="en-US"/>
        </w:rPr>
        <w:t xml:space="preserve">aquatic </w:t>
      </w:r>
      <w:r w:rsidR="005C3DDE">
        <w:rPr>
          <w:lang w:val="en-US"/>
        </w:rPr>
        <w:t>life, which, Cartwright speculates, was for</w:t>
      </w:r>
      <w:r w:rsidR="00CB1698">
        <w:rPr>
          <w:lang w:val="en-US"/>
        </w:rPr>
        <w:t>e</w:t>
      </w:r>
      <w:r w:rsidR="005C3DDE">
        <w:rPr>
          <w:lang w:val="en-US"/>
        </w:rPr>
        <w:t xml:space="preserve">telling </w:t>
      </w:r>
      <w:r w:rsidR="00CB1698">
        <w:rPr>
          <w:lang w:val="en-US"/>
        </w:rPr>
        <w:t>the Marine style</w:t>
      </w:r>
      <w:r w:rsidR="00E31F25">
        <w:rPr>
          <w:lang w:val="en-US"/>
        </w:rPr>
        <w:t xml:space="preserve"> (which </w:t>
      </w:r>
      <w:r w:rsidR="00DA0244">
        <w:rPr>
          <w:lang w:val="en-US"/>
        </w:rPr>
        <w:t>may have been the most distinguishing style</w:t>
      </w:r>
      <w:r w:rsidR="00E31F25">
        <w:rPr>
          <w:lang w:val="en-US"/>
        </w:rPr>
        <w:t>)</w:t>
      </w:r>
      <w:r w:rsidR="00CB1698">
        <w:rPr>
          <w:lang w:val="en-US"/>
        </w:rPr>
        <w:t xml:space="preserve">, which came after. </w:t>
      </w:r>
      <w:r w:rsidR="007136DC">
        <w:rPr>
          <w:lang w:val="en-US"/>
        </w:rPr>
        <w:t xml:space="preserve">Cartwright determines that </w:t>
      </w:r>
      <w:r w:rsidR="009B5808">
        <w:rPr>
          <w:lang w:val="en-US"/>
        </w:rPr>
        <w:t>improvements during, what he calls the New Palace</w:t>
      </w:r>
      <w:r w:rsidR="00E903C4">
        <w:rPr>
          <w:lang w:val="en-US"/>
        </w:rPr>
        <w:t xml:space="preserve"> (approx. </w:t>
      </w:r>
      <w:r w:rsidR="00E903C4" w:rsidRPr="00E903C4">
        <w:rPr>
          <w:lang w:val="en-US"/>
        </w:rPr>
        <w:t>1600</w:t>
      </w:r>
      <w:r w:rsidR="00E903C4">
        <w:rPr>
          <w:lang w:val="en-US"/>
        </w:rPr>
        <w:t>-</w:t>
      </w:r>
      <w:r w:rsidR="00E903C4" w:rsidRPr="00E903C4">
        <w:rPr>
          <w:lang w:val="en-US"/>
        </w:rPr>
        <w:t>1450 BCE</w:t>
      </w:r>
      <w:r w:rsidR="00E903C4">
        <w:rPr>
          <w:lang w:val="en-US"/>
        </w:rPr>
        <w:t>)</w:t>
      </w:r>
      <w:r w:rsidR="009B5808">
        <w:rPr>
          <w:lang w:val="en-US"/>
        </w:rPr>
        <w:t xml:space="preserve">, to material, kilns and upgraded pottery wheels, inspired a change in the techniques and </w:t>
      </w:r>
      <w:r w:rsidR="00E903C4">
        <w:rPr>
          <w:lang w:val="en-US"/>
        </w:rPr>
        <w:t xml:space="preserve">decorations. </w:t>
      </w:r>
      <w:r w:rsidR="00CC06F6">
        <w:rPr>
          <w:lang w:val="en-US"/>
        </w:rPr>
        <w:t xml:space="preserve">The shape of the ceramics became </w:t>
      </w:r>
      <w:r w:rsidR="00A90FDC">
        <w:rPr>
          <w:lang w:val="en-US"/>
        </w:rPr>
        <w:t>narrower</w:t>
      </w:r>
      <w:r w:rsidR="00CC06F6">
        <w:rPr>
          <w:lang w:val="en-US"/>
        </w:rPr>
        <w:t xml:space="preserve"> at the lower half and a new trend emerged as the stirrup jar, with two handles.</w:t>
      </w:r>
      <w:r w:rsidR="00CC1592">
        <w:rPr>
          <w:lang w:val="en-US"/>
        </w:rPr>
        <w:t xml:space="preserve"> </w:t>
      </w:r>
      <w:r w:rsidR="00CC654B">
        <w:rPr>
          <w:lang w:val="en-US"/>
        </w:rPr>
        <w:t xml:space="preserve">The impressions are </w:t>
      </w:r>
      <w:r w:rsidR="00247D72">
        <w:rPr>
          <w:lang w:val="en-US"/>
        </w:rPr>
        <w:t>botanic</w:t>
      </w:r>
      <w:r w:rsidR="00F41F7B">
        <w:rPr>
          <w:lang w:val="en-US"/>
        </w:rPr>
        <w:t>al</w:t>
      </w:r>
      <w:r w:rsidR="00247D72">
        <w:rPr>
          <w:lang w:val="en-US"/>
        </w:rPr>
        <w:t xml:space="preserve"> and aquatic based, with the old motives like spirals being left at bases and handles. There’s a noted change in colour;</w:t>
      </w:r>
      <w:r w:rsidR="00A84117">
        <w:rPr>
          <w:lang w:val="en-US"/>
        </w:rPr>
        <w:t xml:space="preserve"> using dark painted impressions on lighter backgrounds</w:t>
      </w:r>
      <w:r w:rsidR="00F41F7B">
        <w:rPr>
          <w:lang w:val="en-US"/>
        </w:rPr>
        <w:t xml:space="preserve">. </w:t>
      </w:r>
      <w:r w:rsidR="00DA0244">
        <w:rPr>
          <w:lang w:val="en-US"/>
        </w:rPr>
        <w:t xml:space="preserve">The third is called the “New Palace” style, when the nature motives became more </w:t>
      </w:r>
      <w:r w:rsidR="00EC4402">
        <w:rPr>
          <w:lang w:val="en-US"/>
        </w:rPr>
        <w:t>“abstract” and the shapes developed into what may have been influenced by other Aegean cultures. On one hand, this source is favorable as it’s a</w:t>
      </w:r>
      <w:r w:rsidR="00F41F7B">
        <w:rPr>
          <w:lang w:val="en-US"/>
        </w:rPr>
        <w:t xml:space="preserve"> respected website and won the EU Web award in 2016, but on the other hand, the information could be slightly outdated as it was published in 2012. </w:t>
      </w:r>
    </w:p>
    <w:p w14:paraId="0A96E080" w14:textId="77777777" w:rsidR="006908F5" w:rsidRPr="00C055C9" w:rsidRDefault="006908F5" w:rsidP="00C055C9">
      <w:pPr>
        <w:rPr>
          <w:lang w:val="en-US"/>
        </w:rPr>
      </w:pPr>
    </w:p>
    <w:p w14:paraId="0DE2D2EB" w14:textId="353EED8E" w:rsidR="00AF3778" w:rsidRPr="00DE14F9" w:rsidRDefault="006604B8" w:rsidP="00DE14F9">
      <w:pPr>
        <w:pStyle w:val="ListParagraph"/>
        <w:numPr>
          <w:ilvl w:val="0"/>
          <w:numId w:val="3"/>
        </w:numPr>
        <w:rPr>
          <w:lang w:val="en-US"/>
        </w:rPr>
      </w:pPr>
      <w:bookmarkStart w:id="0" w:name="_Hlk37327216"/>
      <w:r w:rsidRPr="00DE14F9">
        <w:rPr>
          <w:lang w:val="en-US"/>
        </w:rPr>
        <w:t xml:space="preserve">Popham, M. 1967 </w:t>
      </w:r>
      <w:r w:rsidRPr="00DE14F9">
        <w:rPr>
          <w:lang w:val="en-US"/>
        </w:rPr>
        <w:t>Late Minoan Pottery, a Summary</w:t>
      </w:r>
      <w:r w:rsidR="00DE14F9" w:rsidRPr="00DE14F9">
        <w:rPr>
          <w:lang w:val="en-US"/>
        </w:rPr>
        <w:t xml:space="preserve">. </w:t>
      </w:r>
      <w:r w:rsidR="00DE14F9" w:rsidRPr="00DE14F9">
        <w:rPr>
          <w:lang w:val="en-US"/>
        </w:rPr>
        <w:t>The Annual of the British School at Athens</w:t>
      </w:r>
      <w:r w:rsidR="00DE14F9" w:rsidRPr="00DE14F9">
        <w:rPr>
          <w:lang w:val="en-US"/>
        </w:rPr>
        <w:t xml:space="preserve"> </w:t>
      </w:r>
      <w:r w:rsidR="00DE14F9" w:rsidRPr="00DE14F9">
        <w:rPr>
          <w:lang w:val="en-US"/>
        </w:rPr>
        <w:t>Vol. 62</w:t>
      </w:r>
      <w:r w:rsidR="00DE14F9">
        <w:rPr>
          <w:lang w:val="en-US"/>
        </w:rPr>
        <w:t>. Available at:</w:t>
      </w:r>
      <w:hyperlink r:id="rId8" w:history="1">
        <w:r w:rsidR="00DE14F9" w:rsidRPr="007B5060">
          <w:rPr>
            <w:rStyle w:val="Hyperlink"/>
            <w:lang w:val="en-US"/>
          </w:rPr>
          <w:t>https://www-jstor</w:t>
        </w:r>
        <w:r w:rsidR="00DE14F9" w:rsidRPr="007B5060">
          <w:rPr>
            <w:rStyle w:val="Hyperlink"/>
            <w:lang w:val="en-US"/>
          </w:rPr>
          <w:t>-org.ezproxy.uwtsd</w:t>
        </w:r>
        <w:r w:rsidR="00DE14F9" w:rsidRPr="007B5060">
          <w:rPr>
            <w:rStyle w:val="Hyperlink"/>
            <w:lang w:val="en-US"/>
          </w:rPr>
          <w:t>.</w:t>
        </w:r>
        <w:r w:rsidR="00DE14F9" w:rsidRPr="007B5060">
          <w:rPr>
            <w:rStyle w:val="Hyperlink"/>
            <w:lang w:val="en-US"/>
          </w:rPr>
          <w:t>ac.</w:t>
        </w:r>
        <w:r w:rsidR="00DE14F9" w:rsidRPr="007B5060">
          <w:rPr>
            <w:rStyle w:val="Hyperlink"/>
            <w:lang w:val="en-US"/>
          </w:rPr>
          <w:t>u</w:t>
        </w:r>
        <w:r w:rsidR="00DE14F9" w:rsidRPr="007B5060">
          <w:rPr>
            <w:rStyle w:val="Hyperlink"/>
            <w:lang w:val="en-US"/>
          </w:rPr>
          <w:t>k/stable/3010</w:t>
        </w:r>
        <w:r w:rsidR="00DE14F9" w:rsidRPr="007B5060">
          <w:rPr>
            <w:rStyle w:val="Hyperlink"/>
            <w:lang w:val="en-US"/>
          </w:rPr>
          <w:t>3</w:t>
        </w:r>
        <w:r w:rsidR="00DE14F9" w:rsidRPr="007B5060">
          <w:rPr>
            <w:rStyle w:val="Hyperlink"/>
            <w:lang w:val="en-US"/>
          </w:rPr>
          <w:t>688?seq=1#metadata_info_tab_contents</w:t>
        </w:r>
      </w:hyperlink>
      <w:r w:rsidR="00AF3778" w:rsidRPr="00DE14F9">
        <w:rPr>
          <w:lang w:val="en-US"/>
        </w:rPr>
        <w:t xml:space="preserve"> </w:t>
      </w:r>
      <w:r w:rsidR="00DE14F9">
        <w:rPr>
          <w:lang w:val="en-US"/>
        </w:rPr>
        <w:t>(Accessed on 6</w:t>
      </w:r>
      <w:r w:rsidR="00DE14F9" w:rsidRPr="00DE14F9">
        <w:rPr>
          <w:vertAlign w:val="superscript"/>
          <w:lang w:val="en-US"/>
        </w:rPr>
        <w:t>th</w:t>
      </w:r>
      <w:r w:rsidR="00DE14F9">
        <w:rPr>
          <w:lang w:val="en-US"/>
        </w:rPr>
        <w:t xml:space="preserve"> April 2020)</w:t>
      </w:r>
    </w:p>
    <w:bookmarkEnd w:id="0"/>
    <w:p w14:paraId="64A846AC" w14:textId="6E395CFF" w:rsidR="00AF3778" w:rsidRDefault="006809C0" w:rsidP="00FE5F3F">
      <w:pPr>
        <w:tabs>
          <w:tab w:val="right" w:pos="9360"/>
        </w:tabs>
        <w:rPr>
          <w:lang w:val="en-US"/>
        </w:rPr>
      </w:pPr>
      <w:r>
        <w:rPr>
          <w:lang w:val="en-US"/>
        </w:rPr>
        <w:t>The author quickly acknowledges that the article may contain a “</w:t>
      </w:r>
      <w:r w:rsidRPr="006809C0">
        <w:rPr>
          <w:lang w:val="en-US"/>
        </w:rPr>
        <w:t>Knossian bias</w:t>
      </w:r>
      <w:r>
        <w:rPr>
          <w:lang w:val="en-US"/>
        </w:rPr>
        <w:t>”</w:t>
      </w:r>
      <w:r w:rsidR="00B9038B">
        <w:rPr>
          <w:lang w:val="en-US"/>
        </w:rPr>
        <w:t>. Popha</w:t>
      </w:r>
      <w:r w:rsidR="00C52B8E">
        <w:rPr>
          <w:lang w:val="en-US"/>
        </w:rPr>
        <w:t xml:space="preserve">m believes that </w:t>
      </w:r>
      <w:r w:rsidR="0098578A">
        <w:rPr>
          <w:lang w:val="en-US"/>
        </w:rPr>
        <w:t xml:space="preserve">for the most part, it was Knossos the set the standard for pottery in Crete. </w:t>
      </w:r>
      <w:r w:rsidR="00BC0AAC">
        <w:rPr>
          <w:lang w:val="en-US"/>
        </w:rPr>
        <w:t>He provides a</w:t>
      </w:r>
      <w:r w:rsidR="00FE5F3F">
        <w:rPr>
          <w:lang w:val="en-US"/>
        </w:rPr>
        <w:t xml:space="preserve"> well-informed examination of the different techniques and </w:t>
      </w:r>
      <w:r w:rsidR="00FE5F3F" w:rsidRPr="00FE5F3F">
        <w:t>characterisations</w:t>
      </w:r>
      <w:r w:rsidR="00FE5F3F">
        <w:rPr>
          <w:lang w:val="en-US"/>
        </w:rPr>
        <w:t xml:space="preserve"> of each period of the Minoan culture</w:t>
      </w:r>
      <w:r w:rsidR="00574B89">
        <w:rPr>
          <w:lang w:val="en-US"/>
        </w:rPr>
        <w:t>, including patterns that were found of the pottery, explanations on the periods and identifies similarities and differences between Minoan pottery and other Grecian states and cultures, such as Athenian or Mycenean. Alongside that, the author forms distinctions between pottery on varying parts of Minoan Crete</w:t>
      </w:r>
      <w:r w:rsidR="004F35E4">
        <w:rPr>
          <w:lang w:val="en-US"/>
        </w:rPr>
        <w:t>, even going as far as noting variations between various towns/cities across Minoan Crete</w:t>
      </w:r>
      <w:r w:rsidR="008B3547">
        <w:rPr>
          <w:lang w:val="en-US"/>
        </w:rPr>
        <w:t xml:space="preserve">, </w:t>
      </w:r>
      <w:r w:rsidR="00723C47">
        <w:rPr>
          <w:lang w:val="en-US"/>
        </w:rPr>
        <w:t>observing how and when each section of Crete was leading the fashion of the ceramics</w:t>
      </w:r>
      <w:r w:rsidR="00574B89">
        <w:rPr>
          <w:lang w:val="en-US"/>
        </w:rPr>
        <w:t xml:space="preserve">. </w:t>
      </w:r>
      <w:r w:rsidR="00FE5F3F">
        <w:rPr>
          <w:lang w:val="en-US"/>
        </w:rPr>
        <w:t xml:space="preserve">With each time period, Popham provides sketches of </w:t>
      </w:r>
      <w:r w:rsidR="00EE4F5E">
        <w:rPr>
          <w:lang w:val="en-US"/>
        </w:rPr>
        <w:t>the</w:t>
      </w:r>
      <w:r w:rsidR="00C2402B">
        <w:rPr>
          <w:lang w:val="en-US"/>
        </w:rPr>
        <w:t xml:space="preserve"> array of designs </w:t>
      </w:r>
      <w:r w:rsidR="00EE4F5E">
        <w:rPr>
          <w:lang w:val="en-US"/>
        </w:rPr>
        <w:t xml:space="preserve">that can be found on Minoan pottery. </w:t>
      </w:r>
      <w:r w:rsidR="00DE2095">
        <w:rPr>
          <w:lang w:val="en-US"/>
        </w:rPr>
        <w:t>He states th</w:t>
      </w:r>
      <w:r w:rsidR="00E14D77">
        <w:rPr>
          <w:lang w:val="en-US"/>
        </w:rPr>
        <w:t>at, according to his opinion, the “</w:t>
      </w:r>
      <w:r w:rsidR="00E14D77" w:rsidRPr="00E14D77">
        <w:rPr>
          <w:lang w:val="en-US"/>
        </w:rPr>
        <w:t>pottery of the end of the Middle Minoan period is, in general, dull and uninteresting</w:t>
      </w:r>
      <w:r w:rsidR="00E14D77">
        <w:rPr>
          <w:lang w:val="en-US"/>
        </w:rPr>
        <w:t xml:space="preserve">.” </w:t>
      </w:r>
      <w:r w:rsidR="00610573">
        <w:rPr>
          <w:lang w:val="en-US"/>
        </w:rPr>
        <w:t xml:space="preserve"> </w:t>
      </w:r>
      <w:r w:rsidR="0095514E">
        <w:rPr>
          <w:lang w:val="en-US"/>
        </w:rPr>
        <w:t xml:space="preserve">He also welcomes Evans’ thesis that an earthquake may have occurred during the Late Middle Minoan period, as supposedly </w:t>
      </w:r>
      <w:r w:rsidR="00574B89">
        <w:rPr>
          <w:lang w:val="en-US"/>
        </w:rPr>
        <w:t xml:space="preserve">a lot of pottery remains have been discovered </w:t>
      </w:r>
      <w:r w:rsidR="00260F5E">
        <w:rPr>
          <w:lang w:val="en-US"/>
        </w:rPr>
        <w:t>at Knossos palace, that date back to the period</w:t>
      </w:r>
      <w:r w:rsidR="00260F5E" w:rsidRPr="00FF131E">
        <w:rPr>
          <w:highlight w:val="lightGray"/>
          <w:lang w:val="en-US"/>
        </w:rPr>
        <w:t>.</w:t>
      </w:r>
      <w:r w:rsidR="00260F5E">
        <w:rPr>
          <w:lang w:val="en-US"/>
        </w:rPr>
        <w:t xml:space="preserve"> </w:t>
      </w:r>
      <w:r w:rsidR="009E06E5">
        <w:rPr>
          <w:lang w:val="en-US"/>
        </w:rPr>
        <w:t xml:space="preserve"> </w:t>
      </w:r>
      <w:r w:rsidR="00A033F8">
        <w:rPr>
          <w:lang w:val="en-US"/>
        </w:rPr>
        <w:t>The article is seemingly</w:t>
      </w:r>
      <w:r w:rsidR="009E06E5">
        <w:rPr>
          <w:lang w:val="en-US"/>
        </w:rPr>
        <w:t xml:space="preserve"> </w:t>
      </w:r>
      <w:r w:rsidR="008B3547">
        <w:rPr>
          <w:lang w:val="en-US"/>
        </w:rPr>
        <w:t>positive source, as it was p</w:t>
      </w:r>
      <w:r w:rsidR="008B3547" w:rsidRPr="008B3547">
        <w:rPr>
          <w:lang w:val="en-US"/>
        </w:rPr>
        <w:t>ublished by</w:t>
      </w:r>
      <w:r w:rsidR="008B3547">
        <w:rPr>
          <w:lang w:val="en-US"/>
        </w:rPr>
        <w:t xml:space="preserve"> the</w:t>
      </w:r>
      <w:r w:rsidR="008B3547" w:rsidRPr="008B3547">
        <w:rPr>
          <w:lang w:val="en-US"/>
        </w:rPr>
        <w:t xml:space="preserve"> British School at Athens</w:t>
      </w:r>
      <w:r w:rsidR="00723C47">
        <w:rPr>
          <w:lang w:val="en-US"/>
        </w:rPr>
        <w:t>. However, it’s vital to take into consideration the author’s own warning, that he may have a “Knossian bias”; as such it may be that the article may not be completely accurate, due to the author’s own judgement</w:t>
      </w:r>
      <w:r w:rsidR="006604B8">
        <w:rPr>
          <w:lang w:val="en-US"/>
        </w:rPr>
        <w:t>, and it is likely to be outdated, as it was written in 1967.</w:t>
      </w:r>
      <w:r w:rsidR="009E06E5">
        <w:rPr>
          <w:lang w:val="en-US"/>
        </w:rPr>
        <w:t xml:space="preserve">          </w:t>
      </w:r>
    </w:p>
    <w:p w14:paraId="2B2161A9" w14:textId="3A1090B2" w:rsidR="00DB362E" w:rsidRPr="00277337" w:rsidRDefault="00FF131E" w:rsidP="00FE5F3F">
      <w:pPr>
        <w:tabs>
          <w:tab w:val="right" w:pos="9360"/>
        </w:tabs>
        <w:rPr>
          <w:b/>
          <w:bCs/>
          <w:lang w:val="en-US"/>
        </w:rPr>
      </w:pPr>
      <w:r>
        <w:rPr>
          <w:b/>
          <w:bCs/>
          <w:lang w:val="en-US"/>
        </w:rPr>
        <w:t xml:space="preserve"> </w:t>
      </w:r>
    </w:p>
    <w:p w14:paraId="20EE430C" w14:textId="46B641F1" w:rsidR="001D5CA7" w:rsidRPr="001D5CA7" w:rsidRDefault="001D5CA7" w:rsidP="001D5CA7">
      <w:pPr>
        <w:pStyle w:val="ListParagraph"/>
        <w:numPr>
          <w:ilvl w:val="0"/>
          <w:numId w:val="1"/>
        </w:numPr>
        <w:rPr>
          <w:lang w:val="en-US"/>
        </w:rPr>
      </w:pPr>
      <w:r>
        <w:rPr>
          <w:lang w:val="en-US"/>
        </w:rPr>
        <w:lastRenderedPageBreak/>
        <w:t xml:space="preserve">Shelmerdine, C.W. 2008 </w:t>
      </w:r>
      <w:r w:rsidR="00DB362E" w:rsidRPr="00641ADB">
        <w:rPr>
          <w:i/>
          <w:iCs/>
          <w:lang w:val="en-US"/>
        </w:rPr>
        <w:t>The Cambridge Companion to the Aegean Bronze Age</w:t>
      </w:r>
      <w:r w:rsidR="008A115A" w:rsidRPr="005F5264">
        <w:rPr>
          <w:lang w:val="en-US"/>
        </w:rPr>
        <w:t xml:space="preserve"> (</w:t>
      </w:r>
      <w:proofErr w:type="spellStart"/>
      <w:r w:rsidR="008A115A" w:rsidRPr="005F5264">
        <w:rPr>
          <w:lang w:val="en-US"/>
        </w:rPr>
        <w:t>pg</w:t>
      </w:r>
      <w:proofErr w:type="spellEnd"/>
      <w:r w:rsidR="008A115A" w:rsidRPr="005F5264">
        <w:rPr>
          <w:lang w:val="en-US"/>
        </w:rPr>
        <w:t xml:space="preserve"> 261-266)</w:t>
      </w:r>
    </w:p>
    <w:p w14:paraId="18B9814F" w14:textId="702683C8" w:rsidR="005C045E" w:rsidRDefault="00D334C1" w:rsidP="005C045E">
      <w:pPr>
        <w:rPr>
          <w:lang w:val="en-US"/>
        </w:rPr>
      </w:pPr>
      <w:r>
        <w:rPr>
          <w:lang w:val="en-US"/>
        </w:rPr>
        <w:t xml:space="preserve">The said chapter begins with an overview </w:t>
      </w:r>
      <w:r w:rsidR="00EA21FB">
        <w:rPr>
          <w:lang w:val="en-US"/>
        </w:rPr>
        <w:t>Neopalatial</w:t>
      </w:r>
      <w:r>
        <w:rPr>
          <w:lang w:val="en-US"/>
        </w:rPr>
        <w:t xml:space="preserve"> pottery (period of second palaces of Minoan Crete)</w:t>
      </w:r>
      <w:r w:rsidR="00382A54">
        <w:rPr>
          <w:lang w:val="en-US"/>
        </w:rPr>
        <w:t xml:space="preserve">; how it provides insight into daily life and burial customs as well as presenting </w:t>
      </w:r>
      <w:r w:rsidR="00C31441">
        <w:rPr>
          <w:lang w:val="en-US"/>
        </w:rPr>
        <w:t xml:space="preserve">information on economy and trade. </w:t>
      </w:r>
      <w:r w:rsidR="00E16A53">
        <w:rPr>
          <w:lang w:val="en-US"/>
        </w:rPr>
        <w:t xml:space="preserve">The chapter goes on to the Kamares style pottery, dominant during the </w:t>
      </w:r>
      <w:r w:rsidR="00FE2794">
        <w:rPr>
          <w:lang w:val="en-US"/>
        </w:rPr>
        <w:t>P</w:t>
      </w:r>
      <w:r w:rsidR="00E16A53">
        <w:rPr>
          <w:lang w:val="en-US"/>
        </w:rPr>
        <w:t>rotopalatial period (</w:t>
      </w:r>
      <w:r w:rsidR="00E341C4">
        <w:rPr>
          <w:lang w:val="en-US"/>
        </w:rPr>
        <w:t xml:space="preserve">approx. </w:t>
      </w:r>
      <w:r w:rsidR="00E341C4" w:rsidRPr="00E341C4">
        <w:rPr>
          <w:lang w:val="en-US"/>
        </w:rPr>
        <w:t>1900</w:t>
      </w:r>
      <w:r w:rsidR="00E341C4">
        <w:rPr>
          <w:lang w:val="en-US"/>
        </w:rPr>
        <w:t>-</w:t>
      </w:r>
      <w:r w:rsidR="00E341C4" w:rsidRPr="00E341C4">
        <w:rPr>
          <w:lang w:val="en-US"/>
        </w:rPr>
        <w:t>1750 B.C.E</w:t>
      </w:r>
      <w:r w:rsidR="00E16A53">
        <w:rPr>
          <w:lang w:val="en-US"/>
        </w:rPr>
        <w:t>)</w:t>
      </w:r>
      <w:r w:rsidR="00FE2794">
        <w:rPr>
          <w:lang w:val="en-US"/>
        </w:rPr>
        <w:t>, that came before the Neopalatial period</w:t>
      </w:r>
      <w:r w:rsidR="00E77D85">
        <w:rPr>
          <w:lang w:val="en-US"/>
        </w:rPr>
        <w:t xml:space="preserve">. </w:t>
      </w:r>
      <w:r w:rsidR="00FE2794">
        <w:rPr>
          <w:lang w:val="en-US"/>
        </w:rPr>
        <w:t>The author</w:t>
      </w:r>
      <w:r w:rsidR="001D5CA7">
        <w:rPr>
          <w:lang w:val="en-US"/>
        </w:rPr>
        <w:t xml:space="preserve"> </w:t>
      </w:r>
      <w:r w:rsidR="00FE2794">
        <w:rPr>
          <w:lang w:val="en-US"/>
        </w:rPr>
        <w:t>feel</w:t>
      </w:r>
      <w:r w:rsidR="001D5CA7">
        <w:rPr>
          <w:lang w:val="en-US"/>
        </w:rPr>
        <w:t>s</w:t>
      </w:r>
      <w:r w:rsidR="00FE2794">
        <w:rPr>
          <w:lang w:val="en-US"/>
        </w:rPr>
        <w:t xml:space="preserve"> that t</w:t>
      </w:r>
      <w:r w:rsidR="00E77D85">
        <w:rPr>
          <w:lang w:val="en-US"/>
        </w:rPr>
        <w:t xml:space="preserve">he change from light-on-dark to dark-on-light </w:t>
      </w:r>
      <w:r w:rsidR="00FE2794">
        <w:rPr>
          <w:lang w:val="en-US"/>
        </w:rPr>
        <w:t>is “startling”</w:t>
      </w:r>
      <w:r w:rsidR="00324B51">
        <w:rPr>
          <w:lang w:val="en-US"/>
        </w:rPr>
        <w:t>, however, they do not explain why they think so, instead opting to define the floral</w:t>
      </w:r>
      <w:r w:rsidR="00CB0C34">
        <w:rPr>
          <w:lang w:val="en-US"/>
        </w:rPr>
        <w:t xml:space="preserve"> (grass, flowers and reeds, </w:t>
      </w:r>
      <w:proofErr w:type="spellStart"/>
      <w:r w:rsidR="00CB0C34">
        <w:rPr>
          <w:lang w:val="en-US"/>
        </w:rPr>
        <w:t>ect</w:t>
      </w:r>
      <w:proofErr w:type="spellEnd"/>
      <w:r w:rsidR="00CB0C34">
        <w:rPr>
          <w:lang w:val="en-US"/>
        </w:rPr>
        <w:t>.)</w:t>
      </w:r>
      <w:r w:rsidR="00324B51">
        <w:rPr>
          <w:lang w:val="en-US"/>
        </w:rPr>
        <w:t xml:space="preserve"> and marine</w:t>
      </w:r>
      <w:r w:rsidR="00CB0C34">
        <w:rPr>
          <w:lang w:val="en-US"/>
        </w:rPr>
        <w:t xml:space="preserve"> (</w:t>
      </w:r>
      <w:r w:rsidR="00EB763C">
        <w:rPr>
          <w:lang w:val="en-US"/>
        </w:rPr>
        <w:t>coral,</w:t>
      </w:r>
      <w:r w:rsidR="006C260C">
        <w:rPr>
          <w:lang w:val="en-US"/>
        </w:rPr>
        <w:t xml:space="preserve"> </w:t>
      </w:r>
      <w:r w:rsidR="00504425">
        <w:rPr>
          <w:lang w:val="en-US"/>
        </w:rPr>
        <w:t>ripples, probably to suggest waves, and a variety of marine life, like octopuses and dolphins</w:t>
      </w:r>
      <w:r w:rsidR="00CB0C34">
        <w:rPr>
          <w:lang w:val="en-US"/>
        </w:rPr>
        <w:t>)</w:t>
      </w:r>
      <w:r w:rsidR="00324B51">
        <w:rPr>
          <w:lang w:val="en-US"/>
        </w:rPr>
        <w:t xml:space="preserve"> impressions that were the most prominent at the time. </w:t>
      </w:r>
      <w:r w:rsidR="00CB0C34">
        <w:rPr>
          <w:lang w:val="en-US"/>
        </w:rPr>
        <w:t>Stemming to</w:t>
      </w:r>
      <w:r w:rsidR="00960A13">
        <w:rPr>
          <w:lang w:val="en-US"/>
        </w:rPr>
        <w:t xml:space="preserve"> that, </w:t>
      </w:r>
      <w:r w:rsidR="007A0E86">
        <w:rPr>
          <w:lang w:val="en-US"/>
        </w:rPr>
        <w:t xml:space="preserve">the book </w:t>
      </w:r>
      <w:r w:rsidR="00F37946">
        <w:rPr>
          <w:lang w:val="en-US"/>
        </w:rPr>
        <w:t>broches the subject of how a s</w:t>
      </w:r>
      <w:r w:rsidR="00EC0F6D">
        <w:rPr>
          <w:lang w:val="en-US"/>
        </w:rPr>
        <w:t xml:space="preserve">mall branch of ceramics </w:t>
      </w:r>
      <w:r w:rsidR="00D07CD1">
        <w:rPr>
          <w:lang w:val="en-US"/>
        </w:rPr>
        <w:t>manufactured in the palaces</w:t>
      </w:r>
      <w:r w:rsidR="005C045E">
        <w:rPr>
          <w:lang w:val="en-US"/>
        </w:rPr>
        <w:t xml:space="preserve"> and most often mentioned in published works</w:t>
      </w:r>
      <w:r w:rsidR="00D07CD1">
        <w:rPr>
          <w:lang w:val="en-US"/>
        </w:rPr>
        <w:t xml:space="preserve"> (“Special Palatial Tradition”) would not be used on a day-to-day basis</w:t>
      </w:r>
      <w:r w:rsidR="005C045E">
        <w:rPr>
          <w:lang w:val="en-US"/>
        </w:rPr>
        <w:t xml:space="preserve"> as they were too elaborate. Some of these ceramics or their modified counterparts have been in other parts of the Aegean</w:t>
      </w:r>
      <w:r w:rsidR="00112E34">
        <w:rPr>
          <w:lang w:val="en-US"/>
        </w:rPr>
        <w:t xml:space="preserve"> and the Mediterranean</w:t>
      </w:r>
      <w:r w:rsidR="00504425">
        <w:rPr>
          <w:lang w:val="en-US"/>
        </w:rPr>
        <w:t xml:space="preserve">. </w:t>
      </w:r>
      <w:r w:rsidR="00CA5142">
        <w:rPr>
          <w:lang w:val="en-US"/>
        </w:rPr>
        <w:t xml:space="preserve"> </w:t>
      </w:r>
      <w:r w:rsidR="00715866">
        <w:rPr>
          <w:lang w:val="en-US"/>
        </w:rPr>
        <w:t xml:space="preserve">The section concludes that although the make and décor was often imitated, in reality Minoan ceramics found elsewhere were usually made </w:t>
      </w:r>
      <w:r w:rsidR="00311153">
        <w:rPr>
          <w:lang w:val="en-US"/>
        </w:rPr>
        <w:t>provincially</w:t>
      </w:r>
      <w:r w:rsidR="00715866">
        <w:rPr>
          <w:lang w:val="en-US"/>
        </w:rPr>
        <w:t xml:space="preserve">, rather than being transported there. I think this is a suitable source </w:t>
      </w:r>
      <w:r w:rsidR="00311153">
        <w:rPr>
          <w:lang w:val="en-US"/>
        </w:rPr>
        <w:t xml:space="preserve">as firstly </w:t>
      </w:r>
      <w:r w:rsidR="006908F5">
        <w:rPr>
          <w:lang w:val="en-US"/>
        </w:rPr>
        <w:t>as it has been approved by Cambridge, and secondly because it has been edited by a professor of Classics who has done many archeological and cultural studies of Bronze age Aegean.</w:t>
      </w:r>
    </w:p>
    <w:p w14:paraId="7D65467D" w14:textId="77777777" w:rsidR="005F5264" w:rsidRDefault="005F5264" w:rsidP="005C045E">
      <w:pPr>
        <w:rPr>
          <w:lang w:val="en-US"/>
        </w:rPr>
      </w:pPr>
    </w:p>
    <w:p w14:paraId="1C6F3B9E" w14:textId="53F42C94" w:rsidR="00BE7329" w:rsidRPr="00641ADB" w:rsidRDefault="00641ADB" w:rsidP="00641ADB">
      <w:pPr>
        <w:pStyle w:val="ListParagraph"/>
        <w:numPr>
          <w:ilvl w:val="0"/>
          <w:numId w:val="1"/>
        </w:numPr>
        <w:rPr>
          <w:lang w:val="en-US"/>
        </w:rPr>
      </w:pPr>
      <w:r>
        <w:rPr>
          <w:lang w:val="en-US"/>
        </w:rPr>
        <w:t xml:space="preserve">Panagiotaki, M. </w:t>
      </w:r>
      <w:r w:rsidRPr="00641ADB">
        <w:rPr>
          <w:i/>
          <w:iCs/>
          <w:lang w:val="en-US"/>
        </w:rPr>
        <w:t>1999 The Central Palace Sanctuary at Knossos</w:t>
      </w:r>
      <w:r>
        <w:rPr>
          <w:lang w:val="en-US"/>
        </w:rPr>
        <w:t>, The British School at Athens (</w:t>
      </w:r>
      <w:r w:rsidR="009E06E5" w:rsidRPr="00641ADB">
        <w:rPr>
          <w:lang w:val="en-US"/>
        </w:rPr>
        <w:t xml:space="preserve">pg. </w:t>
      </w:r>
      <w:r>
        <w:rPr>
          <w:lang w:val="en-US"/>
        </w:rPr>
        <w:t xml:space="preserve">9-15) </w:t>
      </w:r>
      <w:bookmarkStart w:id="1" w:name="_GoBack"/>
      <w:bookmarkEnd w:id="1"/>
    </w:p>
    <w:p w14:paraId="28925252" w14:textId="055E6D93" w:rsidR="00AF3778" w:rsidRDefault="00DE7CEE" w:rsidP="00764C5C">
      <w:pPr>
        <w:rPr>
          <w:lang w:val="en-US"/>
        </w:rPr>
      </w:pPr>
      <w:r>
        <w:rPr>
          <w:lang w:val="en-US"/>
        </w:rPr>
        <w:t xml:space="preserve">The author begins the section by giving an account </w:t>
      </w:r>
      <w:r w:rsidRPr="00186A9E">
        <w:rPr>
          <w:lang w:val="en-US"/>
        </w:rPr>
        <w:t>of</w:t>
      </w:r>
      <w:r w:rsidR="00BE7329" w:rsidRPr="00186A9E">
        <w:rPr>
          <w:lang w:val="en-US"/>
        </w:rPr>
        <w:t xml:space="preserve"> how Linear A, the script used in Minoan Crete was used in the pottery as “potter’s marks”</w:t>
      </w:r>
      <w:r w:rsidR="003E790F">
        <w:rPr>
          <w:lang w:val="en-US"/>
        </w:rPr>
        <w:t xml:space="preserve">, which </w:t>
      </w:r>
      <w:r w:rsidR="00442B4F">
        <w:rPr>
          <w:lang w:val="en-US"/>
        </w:rPr>
        <w:t>she</w:t>
      </w:r>
      <w:r w:rsidR="00286B40">
        <w:rPr>
          <w:lang w:val="en-US"/>
        </w:rPr>
        <w:t xml:space="preserve"> </w:t>
      </w:r>
      <w:r w:rsidR="003E790F">
        <w:rPr>
          <w:lang w:val="en-US"/>
        </w:rPr>
        <w:t>speculate</w:t>
      </w:r>
      <w:r w:rsidR="00442B4F">
        <w:rPr>
          <w:lang w:val="en-US"/>
        </w:rPr>
        <w:t>s</w:t>
      </w:r>
      <w:r w:rsidR="003E790F">
        <w:rPr>
          <w:lang w:val="en-US"/>
        </w:rPr>
        <w:t xml:space="preserve"> may hold a religious connotation</w:t>
      </w:r>
      <w:r w:rsidR="00442B4F">
        <w:rPr>
          <w:lang w:val="en-US"/>
        </w:rPr>
        <w:t xml:space="preserve"> and </w:t>
      </w:r>
      <w:r w:rsidR="0092507A">
        <w:rPr>
          <w:lang w:val="en-US"/>
        </w:rPr>
        <w:t>go</w:t>
      </w:r>
      <w:r w:rsidR="00442B4F">
        <w:rPr>
          <w:lang w:val="en-US"/>
        </w:rPr>
        <w:t>es</w:t>
      </w:r>
      <w:r w:rsidR="0092507A">
        <w:rPr>
          <w:lang w:val="en-US"/>
        </w:rPr>
        <w:t xml:space="preserve"> in to some detail about. </w:t>
      </w:r>
      <w:r w:rsidR="000D49AC">
        <w:rPr>
          <w:lang w:val="en-US"/>
        </w:rPr>
        <w:t>She next describes what a few amphoras (to which she provides illustrations to), and presents what the usages of their modern equivalents in the modern world; first she calling attention to the 1950’s, and then to contemporary Crete, where comparable pottery is still in use for oil, water and wine.</w:t>
      </w:r>
      <w:r w:rsidR="00F603B5" w:rsidRPr="00F603B5">
        <w:t xml:space="preserve"> </w:t>
      </w:r>
      <w:r w:rsidR="00F603B5" w:rsidRPr="00F603B5">
        <w:rPr>
          <w:lang w:val="en-US"/>
        </w:rPr>
        <w:t xml:space="preserve">She presupposes that these </w:t>
      </w:r>
      <w:r w:rsidR="00F603B5">
        <w:rPr>
          <w:lang w:val="en-US"/>
        </w:rPr>
        <w:t>were used not just as religious symbols, but also has uses in cult-like rituals.</w:t>
      </w:r>
      <w:r w:rsidR="000D49AC">
        <w:rPr>
          <w:lang w:val="en-US"/>
        </w:rPr>
        <w:t xml:space="preserve"> Panagiotaki then charaterises</w:t>
      </w:r>
      <w:r w:rsidR="00C10D0F">
        <w:rPr>
          <w:lang w:val="en-US"/>
        </w:rPr>
        <w:t xml:space="preserve"> another type of pottery</w:t>
      </w:r>
      <w:r w:rsidR="007F7E75">
        <w:rPr>
          <w:lang w:val="en-US"/>
        </w:rPr>
        <w:t>, a type of jar,</w:t>
      </w:r>
      <w:r w:rsidR="00C10D0F">
        <w:rPr>
          <w:lang w:val="en-US"/>
        </w:rPr>
        <w:t xml:space="preserve"> and outlines their</w:t>
      </w:r>
      <w:r w:rsidR="007F7E75">
        <w:rPr>
          <w:lang w:val="en-US"/>
        </w:rPr>
        <w:t xml:space="preserve"> appearance and their</w:t>
      </w:r>
      <w:r w:rsidR="00C10D0F">
        <w:rPr>
          <w:lang w:val="en-US"/>
        </w:rPr>
        <w:t xml:space="preserve"> purpose</w:t>
      </w:r>
      <w:r w:rsidR="007F7E75">
        <w:rPr>
          <w:lang w:val="en-US"/>
        </w:rPr>
        <w:t>. She extends to illustrates details of the jar’s excavation, how it found and the archeologist’s speculations on what may have occurred.</w:t>
      </w:r>
      <w:r w:rsidR="00F603B5">
        <w:rPr>
          <w:lang w:val="en-US"/>
        </w:rPr>
        <w:t xml:space="preserve"> </w:t>
      </w:r>
      <w:r w:rsidR="007F7E75">
        <w:rPr>
          <w:lang w:val="en-US"/>
        </w:rPr>
        <w:t xml:space="preserve">At the conclusion of the section, Panagiotaki </w:t>
      </w:r>
      <w:r w:rsidR="00F603B5">
        <w:rPr>
          <w:lang w:val="en-US"/>
        </w:rPr>
        <w:t xml:space="preserve">briskly summarises the presentation of three “bowls” and determines that they were also used for domiciliary and religious practices. </w:t>
      </w:r>
      <w:r w:rsidR="00286B40">
        <w:rPr>
          <w:lang w:val="en-US"/>
        </w:rPr>
        <w:t>I found this book lacking in knowledge of Minoan ceramics. Although o</w:t>
      </w:r>
      <w:r w:rsidR="00DA7B9B">
        <w:rPr>
          <w:lang w:val="en-US"/>
        </w:rPr>
        <w:t xml:space="preserve">ne </w:t>
      </w:r>
      <w:r w:rsidR="003C47C6">
        <w:rPr>
          <w:lang w:val="en-US"/>
        </w:rPr>
        <w:t xml:space="preserve">soon detects the </w:t>
      </w:r>
      <w:r w:rsidR="00286B40">
        <w:rPr>
          <w:lang w:val="en-US"/>
        </w:rPr>
        <w:t xml:space="preserve">writer’s </w:t>
      </w:r>
      <w:r w:rsidR="003C47C6">
        <w:rPr>
          <w:lang w:val="en-US"/>
        </w:rPr>
        <w:t>mentions of other authors/researchers/archeologists</w:t>
      </w:r>
      <w:r w:rsidR="00286B40">
        <w:rPr>
          <w:lang w:val="en-US"/>
        </w:rPr>
        <w:t>, there is, u</w:t>
      </w:r>
      <w:r w:rsidR="002802D7">
        <w:rPr>
          <w:lang w:val="en-US"/>
        </w:rPr>
        <w:t>nfortunately</w:t>
      </w:r>
      <w:r w:rsidR="00193C78">
        <w:rPr>
          <w:lang w:val="en-US"/>
        </w:rPr>
        <w:t xml:space="preserve">, </w:t>
      </w:r>
      <w:r w:rsidR="002802D7">
        <w:rPr>
          <w:lang w:val="en-US"/>
        </w:rPr>
        <w:t xml:space="preserve">little </w:t>
      </w:r>
      <w:r w:rsidR="00186A9E">
        <w:rPr>
          <w:lang w:val="en-US"/>
        </w:rPr>
        <w:t xml:space="preserve">explanation given of their labour and </w:t>
      </w:r>
      <w:r w:rsidR="00193C78">
        <w:rPr>
          <w:lang w:val="en-US"/>
        </w:rPr>
        <w:t>no indication</w:t>
      </w:r>
      <w:r w:rsidR="00186A9E">
        <w:rPr>
          <w:lang w:val="en-US"/>
        </w:rPr>
        <w:t xml:space="preserve"> that I could see</w:t>
      </w:r>
      <w:r w:rsidR="00193C78">
        <w:rPr>
          <w:lang w:val="en-US"/>
        </w:rPr>
        <w:t xml:space="preserve"> of where one could find their work</w:t>
      </w:r>
      <w:r w:rsidR="00DA7B9B">
        <w:rPr>
          <w:lang w:val="en-US"/>
        </w:rPr>
        <w:t>.</w:t>
      </w:r>
      <w:r w:rsidR="00186A9E">
        <w:rPr>
          <w:lang w:val="en-US"/>
        </w:rPr>
        <w:t xml:space="preserve"> Despite this, I nevertheless judge this book to be useful overall, if not specifically for the Minoan pottery section</w:t>
      </w:r>
      <w:r w:rsidR="003E790F">
        <w:rPr>
          <w:lang w:val="en-US"/>
        </w:rPr>
        <w:t>.</w:t>
      </w:r>
    </w:p>
    <w:p w14:paraId="3A8F5192" w14:textId="77777777" w:rsidR="00AF3778" w:rsidRDefault="00AF3778" w:rsidP="007F17A4">
      <w:pPr>
        <w:ind w:left="360"/>
        <w:rPr>
          <w:lang w:val="en-US"/>
        </w:rPr>
      </w:pPr>
    </w:p>
    <w:p w14:paraId="00163EF9" w14:textId="129E553B" w:rsidR="007F17A4" w:rsidRPr="007F17A4" w:rsidRDefault="007F17A4" w:rsidP="00E14D77">
      <w:pPr>
        <w:rPr>
          <w:lang w:val="en-US"/>
        </w:rPr>
      </w:pPr>
    </w:p>
    <w:sectPr w:rsidR="007F17A4" w:rsidRPr="007F17A4" w:rsidSect="005A764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A1A66" w14:textId="77777777" w:rsidR="001863A2" w:rsidRDefault="001863A2" w:rsidP="00AA0EA1">
      <w:pPr>
        <w:spacing w:after="0" w:line="240" w:lineRule="auto"/>
      </w:pPr>
      <w:r>
        <w:separator/>
      </w:r>
    </w:p>
  </w:endnote>
  <w:endnote w:type="continuationSeparator" w:id="0">
    <w:p w14:paraId="3EF4272E" w14:textId="77777777" w:rsidR="001863A2" w:rsidRDefault="001863A2" w:rsidP="00AA0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93151" w14:textId="1699ABA4" w:rsidR="00F603B5" w:rsidRDefault="00F603B5">
    <w:pPr>
      <w:pStyle w:val="Footer"/>
    </w:pPr>
  </w:p>
  <w:p w14:paraId="35AA1A40" w14:textId="77777777" w:rsidR="00F603B5" w:rsidRDefault="00F60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26974" w14:textId="77777777" w:rsidR="001863A2" w:rsidRDefault="001863A2" w:rsidP="00AA0EA1">
      <w:pPr>
        <w:spacing w:after="0" w:line="240" w:lineRule="auto"/>
      </w:pPr>
      <w:r>
        <w:separator/>
      </w:r>
    </w:p>
  </w:footnote>
  <w:footnote w:type="continuationSeparator" w:id="0">
    <w:p w14:paraId="3C907514" w14:textId="77777777" w:rsidR="001863A2" w:rsidRDefault="001863A2" w:rsidP="00AA0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23BD6" w14:textId="214C03DE" w:rsidR="001E6D24" w:rsidRPr="00AA0EA1" w:rsidRDefault="001E6D24" w:rsidP="00AA0EA1">
    <w:pPr>
      <w:pStyle w:val="Header"/>
      <w:jc w:val="center"/>
      <w:rPr>
        <w:lang w:val="en-US"/>
      </w:rPr>
    </w:pPr>
    <w:r>
      <w:rPr>
        <w:lang w:val="en-US"/>
      </w:rPr>
      <w:t xml:space="preserve">Annotated bibliography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0069F"/>
    <w:multiLevelType w:val="hybridMultilevel"/>
    <w:tmpl w:val="49C43798"/>
    <w:lvl w:ilvl="0" w:tplc="0809000F">
      <w:start w:val="1"/>
      <w:numFmt w:val="decimal"/>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 w15:restartNumberingAfterBreak="0">
    <w:nsid w:val="1ED33E2D"/>
    <w:multiLevelType w:val="hybridMultilevel"/>
    <w:tmpl w:val="3F446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515A39"/>
    <w:multiLevelType w:val="hybridMultilevel"/>
    <w:tmpl w:val="6186B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EA1"/>
    <w:rsid w:val="00033E64"/>
    <w:rsid w:val="000D3EE4"/>
    <w:rsid w:val="000D49AC"/>
    <w:rsid w:val="00112E34"/>
    <w:rsid w:val="00116AE3"/>
    <w:rsid w:val="001463F0"/>
    <w:rsid w:val="001863A2"/>
    <w:rsid w:val="00186A9E"/>
    <w:rsid w:val="00193C78"/>
    <w:rsid w:val="001D5CA7"/>
    <w:rsid w:val="001E6D24"/>
    <w:rsid w:val="00247D72"/>
    <w:rsid w:val="00260F5E"/>
    <w:rsid w:val="00277337"/>
    <w:rsid w:val="002802D7"/>
    <w:rsid w:val="00286B40"/>
    <w:rsid w:val="002A18D8"/>
    <w:rsid w:val="002D60D9"/>
    <w:rsid w:val="00311153"/>
    <w:rsid w:val="00324B51"/>
    <w:rsid w:val="00382A54"/>
    <w:rsid w:val="003C47C6"/>
    <w:rsid w:val="003E790F"/>
    <w:rsid w:val="00411F0E"/>
    <w:rsid w:val="00442B4F"/>
    <w:rsid w:val="004620F4"/>
    <w:rsid w:val="004D7C71"/>
    <w:rsid w:val="004F35E4"/>
    <w:rsid w:val="00504425"/>
    <w:rsid w:val="00574B89"/>
    <w:rsid w:val="005A764A"/>
    <w:rsid w:val="005C045E"/>
    <w:rsid w:val="005C3DDE"/>
    <w:rsid w:val="005F5264"/>
    <w:rsid w:val="00610573"/>
    <w:rsid w:val="00641ADB"/>
    <w:rsid w:val="0065738E"/>
    <w:rsid w:val="006604B8"/>
    <w:rsid w:val="00671EB7"/>
    <w:rsid w:val="006809C0"/>
    <w:rsid w:val="006908F5"/>
    <w:rsid w:val="00693F43"/>
    <w:rsid w:val="006C260C"/>
    <w:rsid w:val="006D180A"/>
    <w:rsid w:val="007136DC"/>
    <w:rsid w:val="00715866"/>
    <w:rsid w:val="00723C47"/>
    <w:rsid w:val="00764C5C"/>
    <w:rsid w:val="007A0E86"/>
    <w:rsid w:val="007F17A4"/>
    <w:rsid w:val="007F7E75"/>
    <w:rsid w:val="008A115A"/>
    <w:rsid w:val="008B3547"/>
    <w:rsid w:val="0092507A"/>
    <w:rsid w:val="0095514E"/>
    <w:rsid w:val="00960A13"/>
    <w:rsid w:val="0098578A"/>
    <w:rsid w:val="009B5808"/>
    <w:rsid w:val="009E06E5"/>
    <w:rsid w:val="009F3B9B"/>
    <w:rsid w:val="00A033F8"/>
    <w:rsid w:val="00A84117"/>
    <w:rsid w:val="00A90FDC"/>
    <w:rsid w:val="00AA0EA1"/>
    <w:rsid w:val="00AF3778"/>
    <w:rsid w:val="00B215BF"/>
    <w:rsid w:val="00B9038B"/>
    <w:rsid w:val="00BC0AAC"/>
    <w:rsid w:val="00BE7329"/>
    <w:rsid w:val="00BF0408"/>
    <w:rsid w:val="00C055C9"/>
    <w:rsid w:val="00C10D0F"/>
    <w:rsid w:val="00C2402B"/>
    <w:rsid w:val="00C31441"/>
    <w:rsid w:val="00C52B8E"/>
    <w:rsid w:val="00CA5142"/>
    <w:rsid w:val="00CB0C34"/>
    <w:rsid w:val="00CB1698"/>
    <w:rsid w:val="00CC06F6"/>
    <w:rsid w:val="00CC1592"/>
    <w:rsid w:val="00CC654B"/>
    <w:rsid w:val="00D07CD1"/>
    <w:rsid w:val="00D334C1"/>
    <w:rsid w:val="00D727EB"/>
    <w:rsid w:val="00DA0244"/>
    <w:rsid w:val="00DA7B9B"/>
    <w:rsid w:val="00DB362E"/>
    <w:rsid w:val="00DE14F9"/>
    <w:rsid w:val="00DE2095"/>
    <w:rsid w:val="00DE7CEE"/>
    <w:rsid w:val="00E14D77"/>
    <w:rsid w:val="00E16A53"/>
    <w:rsid w:val="00E31F25"/>
    <w:rsid w:val="00E341C4"/>
    <w:rsid w:val="00E731D7"/>
    <w:rsid w:val="00E77D85"/>
    <w:rsid w:val="00E903C4"/>
    <w:rsid w:val="00EA21FB"/>
    <w:rsid w:val="00EB763C"/>
    <w:rsid w:val="00EC0F6D"/>
    <w:rsid w:val="00EC4402"/>
    <w:rsid w:val="00EE4F5E"/>
    <w:rsid w:val="00F23081"/>
    <w:rsid w:val="00F37946"/>
    <w:rsid w:val="00F4099F"/>
    <w:rsid w:val="00F41F7B"/>
    <w:rsid w:val="00F603B5"/>
    <w:rsid w:val="00F80A9B"/>
    <w:rsid w:val="00FE2794"/>
    <w:rsid w:val="00FE5F3F"/>
    <w:rsid w:val="00FF13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297F2"/>
  <w15:chartTrackingRefBased/>
  <w15:docId w15:val="{D9511755-01D2-4CA0-AE46-2CAECC7C2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0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EA1"/>
  </w:style>
  <w:style w:type="paragraph" w:styleId="Footer">
    <w:name w:val="footer"/>
    <w:basedOn w:val="Normal"/>
    <w:link w:val="FooterChar"/>
    <w:uiPriority w:val="99"/>
    <w:unhideWhenUsed/>
    <w:rsid w:val="00AA0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EA1"/>
  </w:style>
  <w:style w:type="paragraph" w:styleId="ListParagraph">
    <w:name w:val="List Paragraph"/>
    <w:basedOn w:val="Normal"/>
    <w:uiPriority w:val="34"/>
    <w:qFormat/>
    <w:rsid w:val="007F17A4"/>
    <w:pPr>
      <w:ind w:left="720"/>
      <w:contextualSpacing/>
    </w:pPr>
  </w:style>
  <w:style w:type="character" w:styleId="Hyperlink">
    <w:name w:val="Hyperlink"/>
    <w:basedOn w:val="DefaultParagraphFont"/>
    <w:uiPriority w:val="99"/>
    <w:unhideWhenUsed/>
    <w:rsid w:val="00AF3778"/>
    <w:rPr>
      <w:color w:val="0563C1" w:themeColor="hyperlink"/>
      <w:u w:val="single"/>
    </w:rPr>
  </w:style>
  <w:style w:type="character" w:styleId="UnresolvedMention">
    <w:name w:val="Unresolved Mention"/>
    <w:basedOn w:val="DefaultParagraphFont"/>
    <w:uiPriority w:val="99"/>
    <w:semiHidden/>
    <w:unhideWhenUsed/>
    <w:rsid w:val="00AF3778"/>
    <w:rPr>
      <w:color w:val="605E5C"/>
      <w:shd w:val="clear" w:color="auto" w:fill="E1DFDD"/>
    </w:rPr>
  </w:style>
  <w:style w:type="character" w:styleId="FollowedHyperlink">
    <w:name w:val="FollowedHyperlink"/>
    <w:basedOn w:val="DefaultParagraphFont"/>
    <w:uiPriority w:val="99"/>
    <w:semiHidden/>
    <w:unhideWhenUsed/>
    <w:rsid w:val="00033E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30103688?seq=1#metadata_info_tab_contents" TargetMode="External"/><Relationship Id="rId3" Type="http://schemas.openxmlformats.org/officeDocument/2006/relationships/settings" Target="settings.xml"/><Relationship Id="rId7" Type="http://schemas.openxmlformats.org/officeDocument/2006/relationships/hyperlink" Target="https://www.ancient.eu/article/391/minoan-potte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6418</TotalTime>
  <Pages>2</Pages>
  <Words>1056</Words>
  <Characters>6023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 Gabriunaite</dc:creator>
  <cp:keywords/>
  <dc:description/>
  <cp:lastModifiedBy>Agne Gabriunaite</cp:lastModifiedBy>
  <cp:revision>2</cp:revision>
  <dcterms:created xsi:type="dcterms:W3CDTF">2020-04-03T17:35:00Z</dcterms:created>
  <dcterms:modified xsi:type="dcterms:W3CDTF">2020-04-09T19:24:00Z</dcterms:modified>
</cp:coreProperties>
</file>