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436B2" w14:textId="77777777" w:rsidR="00E26DD9" w:rsidRDefault="00E26DD9" w:rsidP="00E26DD9">
      <w:pPr>
        <w:spacing w:line="360" w:lineRule="auto"/>
        <w:jc w:val="center"/>
        <w:rPr>
          <w:rFonts w:ascii="Times New Roman" w:hAnsi="Times New Roman" w:cs="Times New Roman"/>
          <w:b/>
          <w:bCs/>
          <w:color w:val="000000"/>
          <w:sz w:val="44"/>
          <w:szCs w:val="44"/>
        </w:rPr>
      </w:pPr>
      <w:r w:rsidRPr="008A4A76">
        <w:rPr>
          <w:rFonts w:ascii="Times New Roman" w:hAnsi="Times New Roman" w:cs="Times New Roman"/>
          <w:b/>
          <w:bCs/>
          <w:color w:val="000000"/>
          <w:sz w:val="44"/>
          <w:szCs w:val="44"/>
        </w:rPr>
        <w:t>Leadership and Management Theory and Practice</w:t>
      </w:r>
    </w:p>
    <w:p w14:paraId="6872FEAA" w14:textId="77777777" w:rsidR="00E26DD9" w:rsidRDefault="00E26DD9" w:rsidP="00E26DD9">
      <w:pPr>
        <w:spacing w:line="360" w:lineRule="auto"/>
        <w:jc w:val="center"/>
        <w:rPr>
          <w:rFonts w:ascii="Times New Roman" w:hAnsi="Times New Roman" w:cs="Times New Roman"/>
          <w:b/>
          <w:bCs/>
          <w:color w:val="000000"/>
          <w:sz w:val="44"/>
          <w:szCs w:val="44"/>
        </w:rPr>
      </w:pPr>
    </w:p>
    <w:p w14:paraId="1EA09BD9" w14:textId="77777777" w:rsidR="00E26DD9" w:rsidRDefault="00E26DD9" w:rsidP="00E26DD9">
      <w:pPr>
        <w:spacing w:line="360" w:lineRule="auto"/>
        <w:jc w:val="center"/>
        <w:rPr>
          <w:rFonts w:ascii="Times New Roman" w:hAnsi="Times New Roman" w:cs="Times New Roman"/>
          <w:b/>
          <w:bCs/>
          <w:color w:val="000000"/>
          <w:sz w:val="44"/>
          <w:szCs w:val="44"/>
        </w:rPr>
      </w:pPr>
    </w:p>
    <w:p w14:paraId="0F5C29AD" w14:textId="77777777" w:rsidR="00E26DD9" w:rsidRDefault="00E26DD9" w:rsidP="00E26DD9">
      <w:pPr>
        <w:spacing w:line="360" w:lineRule="auto"/>
        <w:jc w:val="center"/>
        <w:rPr>
          <w:rStyle w:val="Robust"/>
          <w:rFonts w:ascii="Times New Roman" w:hAnsi="Times New Roman" w:cs="Times New Roman"/>
          <w:color w:val="000000"/>
          <w:sz w:val="28"/>
          <w:szCs w:val="28"/>
        </w:rPr>
      </w:pPr>
    </w:p>
    <w:p w14:paraId="62E983E4" w14:textId="77777777" w:rsidR="00E26DD9" w:rsidRDefault="00E26DD9" w:rsidP="00E26DD9">
      <w:pPr>
        <w:spacing w:line="360" w:lineRule="auto"/>
        <w:jc w:val="center"/>
        <w:rPr>
          <w:rStyle w:val="Robust"/>
          <w:rFonts w:ascii="Times New Roman" w:hAnsi="Times New Roman" w:cs="Times New Roman"/>
          <w:color w:val="000000"/>
          <w:sz w:val="28"/>
          <w:szCs w:val="28"/>
        </w:rPr>
      </w:pPr>
    </w:p>
    <w:p w14:paraId="695965D2" w14:textId="57D094A2" w:rsidR="00196095" w:rsidRDefault="00196095" w:rsidP="00196095">
      <w:pPr>
        <w:jc w:val="both"/>
        <w:rPr>
          <w:rStyle w:val="Accentuat"/>
          <w:rFonts w:ascii="Times New Roman" w:hAnsi="Times New Roman" w:cs="Times New Roman"/>
          <w:i w:val="0"/>
          <w:iCs w:val="0"/>
          <w:color w:val="000000"/>
          <w:sz w:val="28"/>
          <w:szCs w:val="28"/>
        </w:rPr>
      </w:pPr>
      <w:r>
        <w:rPr>
          <w:rStyle w:val="Accentuat"/>
          <w:rFonts w:ascii="Times New Roman" w:hAnsi="Times New Roman" w:cs="Times New Roman"/>
          <w:i w:val="0"/>
          <w:iCs w:val="0"/>
          <w:color w:val="000000"/>
          <w:sz w:val="28"/>
          <w:szCs w:val="28"/>
        </w:rPr>
        <w:t xml:space="preserve">Student name: </w:t>
      </w:r>
      <w:r w:rsidRPr="00196095">
        <w:rPr>
          <w:rStyle w:val="Accentuat"/>
          <w:rFonts w:ascii="Times New Roman" w:hAnsi="Times New Roman" w:cs="Times New Roman"/>
          <w:i w:val="0"/>
          <w:iCs w:val="0"/>
          <w:color w:val="000000"/>
          <w:sz w:val="28"/>
          <w:szCs w:val="28"/>
        </w:rPr>
        <w:t>Mihaela Ruxandra Iancu</w:t>
      </w:r>
    </w:p>
    <w:p w14:paraId="0AB70FB0" w14:textId="77777777" w:rsidR="00196095" w:rsidRPr="00196095" w:rsidRDefault="00196095" w:rsidP="00196095">
      <w:pPr>
        <w:jc w:val="both"/>
        <w:rPr>
          <w:rStyle w:val="Accentuat"/>
          <w:rFonts w:ascii="Times New Roman" w:hAnsi="Times New Roman" w:cs="Times New Roman"/>
          <w:i w:val="0"/>
          <w:iCs w:val="0"/>
          <w:color w:val="000000"/>
          <w:sz w:val="28"/>
          <w:szCs w:val="28"/>
        </w:rPr>
      </w:pPr>
    </w:p>
    <w:p w14:paraId="46260FA6" w14:textId="0D42D420" w:rsidR="00E26DD9" w:rsidRPr="00196095" w:rsidRDefault="00196095" w:rsidP="00196095">
      <w:pPr>
        <w:jc w:val="both"/>
        <w:rPr>
          <w:rStyle w:val="Accentuat"/>
          <w:rFonts w:ascii="Times New Roman" w:hAnsi="Times New Roman" w:cs="Times New Roman"/>
          <w:i w:val="0"/>
          <w:iCs w:val="0"/>
          <w:color w:val="000000"/>
          <w:sz w:val="28"/>
          <w:szCs w:val="28"/>
        </w:rPr>
      </w:pPr>
      <w:r>
        <w:rPr>
          <w:rStyle w:val="Accentuat"/>
          <w:rFonts w:ascii="Times New Roman" w:hAnsi="Times New Roman" w:cs="Times New Roman"/>
          <w:i w:val="0"/>
          <w:iCs w:val="0"/>
          <w:color w:val="000000"/>
          <w:sz w:val="28"/>
          <w:szCs w:val="28"/>
        </w:rPr>
        <w:t xml:space="preserve">Student number: </w:t>
      </w:r>
      <w:r w:rsidRPr="00196095">
        <w:rPr>
          <w:rStyle w:val="Accentuat"/>
          <w:rFonts w:ascii="Times New Roman" w:hAnsi="Times New Roman" w:cs="Times New Roman"/>
          <w:i w:val="0"/>
          <w:iCs w:val="0"/>
          <w:color w:val="000000"/>
          <w:sz w:val="28"/>
          <w:szCs w:val="28"/>
        </w:rPr>
        <w:t>2133740</w:t>
      </w:r>
    </w:p>
    <w:p w14:paraId="5DB780D4" w14:textId="77777777" w:rsidR="00E26DD9" w:rsidRDefault="00E26DD9" w:rsidP="00E26DD9">
      <w:pPr>
        <w:spacing w:line="360" w:lineRule="auto"/>
        <w:jc w:val="center"/>
        <w:rPr>
          <w:rStyle w:val="Accentuat"/>
          <w:rFonts w:ascii="Times New Roman" w:hAnsi="Times New Roman" w:cs="Times New Roman"/>
          <w:color w:val="000000"/>
          <w:sz w:val="28"/>
          <w:szCs w:val="28"/>
        </w:rPr>
      </w:pPr>
    </w:p>
    <w:p w14:paraId="63D61A95" w14:textId="77777777" w:rsidR="00E26DD9" w:rsidRDefault="00E26DD9" w:rsidP="00E26DD9">
      <w:pPr>
        <w:spacing w:line="360" w:lineRule="auto"/>
        <w:jc w:val="center"/>
        <w:rPr>
          <w:rStyle w:val="Accentuat"/>
          <w:rFonts w:ascii="Times New Roman" w:hAnsi="Times New Roman" w:cs="Times New Roman"/>
          <w:color w:val="000000"/>
          <w:sz w:val="28"/>
          <w:szCs w:val="28"/>
        </w:rPr>
      </w:pPr>
    </w:p>
    <w:p w14:paraId="27C6B09B" w14:textId="77777777" w:rsidR="00E26DD9" w:rsidRDefault="00E26DD9" w:rsidP="00E26DD9">
      <w:pPr>
        <w:spacing w:line="360" w:lineRule="auto"/>
        <w:jc w:val="center"/>
        <w:rPr>
          <w:rStyle w:val="Accentuat"/>
          <w:rFonts w:ascii="Times New Roman" w:hAnsi="Times New Roman" w:cs="Times New Roman"/>
          <w:color w:val="000000"/>
          <w:sz w:val="28"/>
          <w:szCs w:val="28"/>
        </w:rPr>
      </w:pPr>
    </w:p>
    <w:p w14:paraId="0C71E20F" w14:textId="77777777" w:rsidR="00E26DD9" w:rsidRDefault="00E26DD9" w:rsidP="00E26DD9">
      <w:pPr>
        <w:spacing w:line="360" w:lineRule="auto"/>
        <w:jc w:val="center"/>
        <w:rPr>
          <w:rStyle w:val="Accentuat"/>
          <w:rFonts w:ascii="Times New Roman" w:hAnsi="Times New Roman" w:cs="Times New Roman"/>
          <w:color w:val="000000"/>
          <w:sz w:val="28"/>
          <w:szCs w:val="28"/>
        </w:rPr>
      </w:pPr>
    </w:p>
    <w:p w14:paraId="07FA1253" w14:textId="7C3D231D" w:rsidR="00E26DD9" w:rsidRDefault="00E26DD9" w:rsidP="00E26DD9">
      <w:pPr>
        <w:spacing w:line="360" w:lineRule="auto"/>
        <w:rPr>
          <w:rStyle w:val="Accentuat"/>
          <w:rFonts w:ascii="Times New Roman" w:hAnsi="Times New Roman" w:cs="Times New Roman"/>
          <w:i w:val="0"/>
          <w:iCs w:val="0"/>
          <w:color w:val="000000"/>
        </w:rPr>
      </w:pPr>
    </w:p>
    <w:p w14:paraId="1F9DA876" w14:textId="77777777" w:rsidR="00E26DD9" w:rsidRDefault="00E26DD9" w:rsidP="00E26DD9">
      <w:pPr>
        <w:spacing w:line="360" w:lineRule="auto"/>
        <w:rPr>
          <w:rStyle w:val="Accentuat"/>
          <w:rFonts w:ascii="Times New Roman" w:hAnsi="Times New Roman" w:cs="Times New Roman"/>
          <w:i w:val="0"/>
          <w:iCs w:val="0"/>
          <w:color w:val="000000"/>
        </w:rPr>
      </w:pPr>
    </w:p>
    <w:p w14:paraId="7E547415" w14:textId="59DE86A9" w:rsidR="00E26DD9" w:rsidRDefault="00E26DD9" w:rsidP="00E26DD9">
      <w:pPr>
        <w:spacing w:line="360" w:lineRule="auto"/>
        <w:rPr>
          <w:rStyle w:val="Accentuat"/>
          <w:rFonts w:ascii="Times New Roman" w:hAnsi="Times New Roman" w:cs="Times New Roman"/>
          <w:i w:val="0"/>
          <w:iCs w:val="0"/>
          <w:color w:val="000000"/>
        </w:rPr>
      </w:pPr>
    </w:p>
    <w:p w14:paraId="08F632D5" w14:textId="77777777" w:rsidR="00E26DD9" w:rsidRDefault="00E26DD9" w:rsidP="00E26DD9">
      <w:pPr>
        <w:spacing w:line="360" w:lineRule="auto"/>
        <w:rPr>
          <w:rStyle w:val="Accentuat"/>
          <w:rFonts w:ascii="Times New Roman" w:hAnsi="Times New Roman" w:cs="Times New Roman"/>
          <w:i w:val="0"/>
          <w:iCs w:val="0"/>
          <w:color w:val="000000"/>
        </w:rPr>
      </w:pPr>
    </w:p>
    <w:p w14:paraId="6808C9C0" w14:textId="77777777" w:rsidR="00E26DD9" w:rsidRDefault="00E26DD9" w:rsidP="00E26DD9">
      <w:pPr>
        <w:spacing w:line="360" w:lineRule="auto"/>
        <w:rPr>
          <w:rStyle w:val="Accentuat"/>
          <w:rFonts w:ascii="Times New Roman" w:hAnsi="Times New Roman" w:cs="Times New Roman"/>
          <w:i w:val="0"/>
          <w:iCs w:val="0"/>
          <w:color w:val="000000"/>
        </w:rPr>
      </w:pPr>
    </w:p>
    <w:p w14:paraId="3430C9AE" w14:textId="77777777" w:rsidR="00E26DD9" w:rsidRDefault="00E26DD9" w:rsidP="00E26DD9">
      <w:pPr>
        <w:spacing w:line="360" w:lineRule="auto"/>
        <w:rPr>
          <w:rStyle w:val="Accentuat"/>
          <w:rFonts w:ascii="Times New Roman" w:hAnsi="Times New Roman" w:cs="Times New Roman"/>
          <w:i w:val="0"/>
          <w:iCs w:val="0"/>
          <w:color w:val="000000"/>
        </w:rPr>
      </w:pPr>
    </w:p>
    <w:p w14:paraId="4EB5E683" w14:textId="77777777" w:rsidR="00E26DD9" w:rsidRDefault="00E26DD9" w:rsidP="00E26DD9">
      <w:pPr>
        <w:spacing w:line="360" w:lineRule="auto"/>
        <w:rPr>
          <w:rStyle w:val="Accentuat"/>
          <w:rFonts w:ascii="Times New Roman" w:hAnsi="Times New Roman" w:cs="Times New Roman"/>
          <w:i w:val="0"/>
          <w:iCs w:val="0"/>
          <w:color w:val="000000"/>
        </w:rPr>
      </w:pPr>
    </w:p>
    <w:p w14:paraId="33590250" w14:textId="77777777" w:rsidR="00E26DD9" w:rsidRDefault="00E26DD9" w:rsidP="00E26DD9">
      <w:pPr>
        <w:spacing w:line="360" w:lineRule="auto"/>
        <w:rPr>
          <w:rStyle w:val="Accentuat"/>
          <w:rFonts w:ascii="Times New Roman" w:hAnsi="Times New Roman" w:cs="Times New Roman"/>
          <w:i w:val="0"/>
          <w:iCs w:val="0"/>
          <w:color w:val="000000"/>
        </w:rPr>
      </w:pPr>
    </w:p>
    <w:p w14:paraId="78BA7EEA" w14:textId="77777777" w:rsidR="00E26DD9" w:rsidRDefault="00E26DD9" w:rsidP="00E26DD9">
      <w:pPr>
        <w:spacing w:line="360" w:lineRule="auto"/>
        <w:rPr>
          <w:rStyle w:val="Accentuat"/>
          <w:rFonts w:ascii="Times New Roman" w:hAnsi="Times New Roman" w:cs="Times New Roman"/>
          <w:i w:val="0"/>
          <w:iCs w:val="0"/>
          <w:color w:val="000000"/>
        </w:rPr>
      </w:pPr>
    </w:p>
    <w:p w14:paraId="25A3DEA1" w14:textId="77777777" w:rsidR="00E26DD9" w:rsidRDefault="00E26DD9" w:rsidP="00E26DD9">
      <w:pPr>
        <w:spacing w:line="360" w:lineRule="auto"/>
        <w:rPr>
          <w:rStyle w:val="Accentuat"/>
          <w:rFonts w:ascii="Times New Roman" w:hAnsi="Times New Roman" w:cs="Times New Roman"/>
          <w:i w:val="0"/>
          <w:iCs w:val="0"/>
          <w:color w:val="000000"/>
        </w:rPr>
      </w:pPr>
    </w:p>
    <w:p w14:paraId="1AA097A3" w14:textId="77777777" w:rsidR="00E26DD9" w:rsidRDefault="00E26DD9" w:rsidP="00E26DD9">
      <w:pPr>
        <w:spacing w:line="360" w:lineRule="auto"/>
        <w:rPr>
          <w:rStyle w:val="Accentuat"/>
          <w:rFonts w:ascii="Times New Roman" w:hAnsi="Times New Roman" w:cs="Times New Roman"/>
          <w:i w:val="0"/>
          <w:iCs w:val="0"/>
          <w:color w:val="000000"/>
        </w:rPr>
      </w:pPr>
    </w:p>
    <w:p w14:paraId="1DE61731" w14:textId="77777777" w:rsidR="00E26DD9" w:rsidRDefault="00E26DD9" w:rsidP="00E26DD9">
      <w:pPr>
        <w:spacing w:line="360" w:lineRule="auto"/>
        <w:rPr>
          <w:rStyle w:val="Accentuat"/>
          <w:rFonts w:ascii="Times New Roman" w:hAnsi="Times New Roman" w:cs="Times New Roman"/>
          <w:i w:val="0"/>
          <w:iCs w:val="0"/>
          <w:color w:val="000000"/>
        </w:rPr>
      </w:pPr>
    </w:p>
    <w:p w14:paraId="1F147783" w14:textId="77777777" w:rsidR="00E26DD9" w:rsidRDefault="00E26DD9" w:rsidP="00E26DD9">
      <w:pPr>
        <w:spacing w:line="360" w:lineRule="auto"/>
        <w:rPr>
          <w:rStyle w:val="Accentuat"/>
          <w:rFonts w:ascii="Times New Roman" w:hAnsi="Times New Roman" w:cs="Times New Roman"/>
          <w:i w:val="0"/>
          <w:iCs w:val="0"/>
          <w:color w:val="000000"/>
        </w:rPr>
      </w:pPr>
    </w:p>
    <w:p w14:paraId="3302C302" w14:textId="77777777" w:rsidR="00E26DD9" w:rsidRDefault="00E26DD9" w:rsidP="00E26DD9">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p>
    <w:p w14:paraId="77C0890F" w14:textId="77777777" w:rsidR="00E26DD9" w:rsidRDefault="00E26DD9" w:rsidP="00E26DD9">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p>
    <w:p w14:paraId="141B3AB3" w14:textId="77777777" w:rsidR="00E26DD9" w:rsidRDefault="00E26DD9" w:rsidP="00E26DD9">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p>
    <w:p w14:paraId="562612DD" w14:textId="77777777" w:rsidR="003212C2"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Incorporating management into the modern world of business is not only a directive process but also a process of developing systems, empowering people, and making sure that the strategic objectives are translated into quantifiable results (Mintzberg, 2019). In the modern era characterised by accelerated change in technology, globalisation, and changing workforce demands, management plays a key role in determining the success of any organisation (Harvard Business Review, 2021). Management is founded on four major functions, namely planning, organising, leading, and controlling (Robbins and Coulter, 2022). All of these functions are interconnected and integrated so that one cannot work without another. Whereas planning is in charge of setting the course, organising is the task to ensure that the resources align, and leading is the role of motivating people to act, it is the controlling aspect that makes everything aligned with organisational goals (Bratton and Gold, 2017).</w:t>
      </w:r>
    </w:p>
    <w:p w14:paraId="3F49A0A8" w14:textId="0DAE89D8" w:rsidR="00E26DD9"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This essay critically examines the controlling role and reasons why it is important in any organisations irrespective of their types. It will start by explaining the four key managerial functions and then start explaining the strategic significance of control in the process of achieving performance, accountability and adaptability. The real world issue that managers encounter in implementing control systems will then be discussed such as resistance, data issue and cultural considerations. Lastly, the essay shall discuss ways that one can alleviate the said challenges by means of ethical leadership and participatory practices coupled with smart use of technology. The point proposed is that despite its underrating or misconception, control is the key to successful, up-to-date management, in particular, its application should be clear and balanced.</w:t>
      </w:r>
    </w:p>
    <w:p w14:paraId="62209DEE" w14:textId="77777777" w:rsidR="003212C2"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Modern organisations are based on the organisation of four functions that are interdependent in terms of effective management: planning, organising, leading, and controlling. These functions, which were first conceptualized by Henri Fayol (1949) are the basis of managerial practice today, but they have changed in terms of application according to the modern-day challenges. Planning entails the establishment of organisational objectives and identification of the most effective way to accomplish these objectives. It is a proactive process that establishes direction, resources, and foresight of the possibilities of risk (Robbins and Coulter, 2022). Organising is the process of organising resources such as human and physical and technological to implement those plans. It incorporates establishing reporting lines, allocating duties, and good coordination (Bratton and Gold, 2017).</w:t>
      </w:r>
    </w:p>
    <w:p w14:paraId="1857A654" w14:textId="77777777" w:rsidR="003212C2"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Leading is influencing, motivating, and directing people and teams towards accomplishment of goals. It includes both formal and informal power and is directly linked with communication, emotional intelligence and organisational culture (Northouse, 2021). Lastly, control is used to make sure the actual performance is within the intended goals. It involves establishing performance standards, gauging results, calculating variances, and a correctional action where it is required (Kaplan and Norton, 2020). Although all functions are fundamental, none of them is self-contained. They are interconnected in a cyclic way and control serves as one of the critical feedback mechanisms.</w:t>
      </w:r>
    </w:p>
    <w:p w14:paraId="7594A972" w14:textId="77777777" w:rsidR="003212C2"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Control enhances planning in that it gives information on whether the goals of the strategic goals are being achieved and thus the managers are able to change their future plans accordingly. Planning is not strategic and is speculative without control. To illustrate, Amazon applies real-time data analytics to its supply chain to track the key performance indicators of the company, including delivery times, inventory turnover, and order accuracy (Amazon Annual Report, 2023). These measures not only guide the day to day activities but also inform long term investment and infrastructure planning.</w:t>
      </w:r>
    </w:p>
    <w:p w14:paraId="63357ECF" w14:textId="77777777" w:rsidR="003212C2"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The organising is also supported through control to identify the areas of inefficiencies when distributing resources. An example of this is when a department fails to perform effectively, the control systems can instigate an audit of the department in terms of structure, staffs, or processes. On the issue of leadership, control assists the managers in determining whether their influence is yielding the desired behaviour effects. Employee performance reviews or engagement surveys may serve as a source of feedback demonstrating that there is a gap in the leadership effectiveness, and corrective measures can be provided, including coaching or a change of roles.</w:t>
      </w:r>
    </w:p>
    <w:p w14:paraId="53B6B262" w14:textId="164EC9E8" w:rsidR="00E26DD9" w:rsidRPr="002A758A" w:rsidRDefault="003212C2"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Finally, the control goes back to every function and provides consistency between managerial activities. It transforms intangible targets into tangible results, fills the performance gaps, and pursues ongoing enhancement. Without good control, organisations are prone to lack coordination between planning and implementation that results in the waste of resources, disengagement of the employees and poor performance.</w:t>
      </w:r>
    </w:p>
    <w:p w14:paraId="6E9BC681"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Control in the modern day organisation is not simply the aspect of performance monitoring it is a strategic task of the organisation to ensure that there is compliance between objectives, activities, and results. Control is the way managers set performance standards, measure actual results and compare them to expectations and take corrective actions where needed (Robbins and Coulter, 2022). It entails feedback mechanisms, key performance indicators (KPIs) and monitoring on a regular basis whether the organisation is on the right track towards the desired objectives.</w:t>
      </w:r>
    </w:p>
    <w:p w14:paraId="691B307B"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This function can be discussed with the help of the cybernetic control model. Cybernetic control, borrowed to the systems theory, involves a feedback loop: input (plans), throughput (execution), output (results) and feedback (adjustments) (Simons, 2019). Both feedback control where the results are assessed after the event and feedforward control where the issues are determined in advance are based on this model. The feedforward systems in particular can be of great importance in dynamic environments where the early identification of failures can save a lot of money.</w:t>
      </w:r>
    </w:p>
    <w:p w14:paraId="531FD4FF"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The Balanced Scorecard, a contemporary control framework that was proposed by Kaplan and Norton (1996), is one of the most popular methods to incorporate both the financial and non-financial performance measures into the sphere of the four dimensions: financial performance, customer satisfaction, internal processes, and learning and growth. The Balanced Scorecard promotes a more comprehensive perception of organisational performance unlike conventional control methods, which tend to concentrate on financial performance only (Kaplan and Norton, 2020).</w:t>
      </w:r>
    </w:p>
    <w:p w14:paraId="073B0D36"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 xml:space="preserve">Toyota is a prime example of the importance of control, as it is the home of the world-known lean manufacturing system, specifically, the concept of </w:t>
      </w:r>
      <w:proofErr w:type="spellStart"/>
      <w:r w:rsidRPr="002A758A">
        <w:rPr>
          <w:rFonts w:ascii="Times New Roman" w:hAnsi="Times New Roman" w:cs="Times New Roman"/>
          <w:lang w:eastAsia="en-GB"/>
        </w:rPr>
        <w:t>jidoka</w:t>
      </w:r>
      <w:proofErr w:type="spellEnd"/>
      <w:r w:rsidRPr="002A758A">
        <w:rPr>
          <w:rFonts w:ascii="Times New Roman" w:hAnsi="Times New Roman" w:cs="Times New Roman"/>
          <w:lang w:eastAsia="en-GB"/>
        </w:rPr>
        <w:t>- or built-in quality. The workers are also empowered to pause the production line in case they notice a defect in the production line and the automated systems also signal anomalies immediately in Toyota. This feedback loop allows taking corrective measures in real-time, which leads to waste reduction and strengthening quality at each level (Toyota Global, 2023). This is not external control or top-down control, but rather, it is part of the workflow.</w:t>
      </w:r>
    </w:p>
    <w:p w14:paraId="7F768A89"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Google does it in a second, yet not less strategic way, which is applying Objectives and Key Results (OKRs) to align employee deliverables with the overall company objectives. OKRs are periodically re-examined after every quarter, and the goals are visionary, whereas the important results are quantifiable and date-specific. This system is transparent and accountable in the cross-team manner and is reviewed often to make corrections to the courses whenever necessary (Doerr, 2018). The OKR system combines both feed forward and feedback control and allows quick innovation without some confusion of purpose.</w:t>
      </w:r>
    </w:p>
    <w:p w14:paraId="7470D74D" w14:textId="01AD9346" w:rsidR="00E26DD9"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In both situations, control is not used to curtail innovation but allow excellence. Considerably used, it is a source of learning, responsiveness, and competitive edge.</w:t>
      </w:r>
    </w:p>
    <w:p w14:paraId="2575D262"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Although control is essential in achieving organisational success, it is easy to note that it is practiced with difficulties that may compromise its efficiency. The reluctance to be tracked is a common problem manifested when the control systems are viewed as means to spy on instead of enhance. A supervisor might be perceived by employees as someone who does not trust them, which can reduce their morale and interest (West and Dawson, 2022). This is further enhanced when the control systems become more of a micromanagement approach than guidance feedback loops.</w:t>
      </w:r>
    </w:p>
    <w:p w14:paraId="3414C55B"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The other issue is the utilization of bad or fraudulent performance data. When KPIs are not defined well, are outdated or are manipulated, they may lead to distorted decision-making. Managers that use inaccurate metrics will either solve irrelevant problems or not identify any major issues. A study of CIPD in 2021 revealed that more than 40 percent of managers in the UK used poor performance data as an obstacle to proper management control (CIPD, 2021).</w:t>
      </w:r>
    </w:p>
    <w:p w14:paraId="1BE4000A"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Creativity and innovation can also be prevented by overcontrol. In the case of control systems being too rigid, the employees can risk being risk-averse and unwilling to propose new ideas, or they are disempowered. This is especially harmful in sectors based on agility and innovation like technology and marketing (Hamel and Zanini, 2020).</w:t>
      </w:r>
    </w:p>
    <w:p w14:paraId="14E23A28"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Control is also made complicated by cultural diversity. What is appropriate in one country may not be appropriate in another. As an example, hierarchical control styles can be accepted in East Asian cultures but not in Scandinavian or Dutch where flat hierarchies and autonomy are appreciated (Hofstede Insights, 2023).</w:t>
      </w:r>
    </w:p>
    <w:p w14:paraId="45DDBEB0"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One of the brightest illustrations of ineffective control is the Wells Fargo scandal, when high sales goals and ineffective KPIs made the employees open millions of fraudulent accounts to achieve the quotas. The control system focused more on the short-term figures than on ethical behaviour which led to reputational damage, lawsuits, and resignations of executives (New York Times, 2019).</w:t>
      </w:r>
    </w:p>
    <w:p w14:paraId="5DE5861F" w14:textId="0CD6C11E" w:rsidR="00E26DD9"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It is based on these challenges that the context-sensitive control systems that are thoughtful, balanced between oversight and autonomy and support are required.</w:t>
      </w:r>
    </w:p>
    <w:p w14:paraId="2C463FEC" w14:textId="1F707593"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To address the intrinsic problems in control, managers need to be flexible, moral and progressive. Participatory goal-setting is one of the time-tested approaches, in which employees take part in setting performance goals. It has been found that workers who are engaged in devising their own targets develop greater sense of ownership, motivation and responsibility (Locke and Latham, 2019). This participatory strategy reduces the chances of opposition and reforms controlling as a mutual responsibility instead of commanding.</w:t>
      </w:r>
    </w:p>
    <w:p w14:paraId="1E0F0A9E"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Open communication is also required. Managers who justify the reason why control systems are necessary and the benefits of the systems, and not those who force the systems, develop trust and decrease the fear of micromanagement. Coherence in terms of expectations and performance standards assists in the establishment of a psychologically secure setting particularly in the times of organisational transition (Edmondson, 2018).</w:t>
      </w:r>
    </w:p>
    <w:p w14:paraId="4217069F"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Installing ethical systems into the control systems would help in ensuring that performance pressure does not supersede the organisational values. Codes of conduct, whistleblower protection, and non-financial KPIs can be regarded as ethical controls to support responsible behaviour (Kaptein, 2021).</w:t>
      </w:r>
    </w:p>
    <w:p w14:paraId="0865D696"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Smarter control is also made possible by modern technology. Such tools as dashboards and real-time analytics enable managers to view performance in their non-persistent mode. These devices are both visible and leave the employees with their freedom and allow correcting a course early (Deloitte, 2023).</w:t>
      </w:r>
    </w:p>
    <w:p w14:paraId="45E5DD48" w14:textId="77777777"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The style of leadership is also a contributing factor. Transformational leaders motivate the employees based on the vision and purpose and control does not feel forced but aligned. Servant leaders support and build trust and accountability by means of empathy and nurturing ethical and effective performance without coercion (Northouse, 2021).</w:t>
      </w:r>
    </w:p>
    <w:p w14:paraId="042652E0" w14:textId="1E66F41E" w:rsidR="00E26DD9"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An actual demonstration of this is Unilever that employs integrated performance metrics to gauge the achievement on sustainability targets like carbon reduction and gender equity. These standards are consistent with the long-term strategy and presented in a transparent manner, justified by the leadership dedication- showing how control does not limit, but can be liberating (Unilever, 2023).</w:t>
      </w:r>
    </w:p>
    <w:p w14:paraId="232A89F2" w14:textId="114F4022"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Control has a critical role to play to help organisations stay on track to its strategic goals. It is a fact that even the best plans, written or unwritten, and motivating leadership may fail in implementation without it. As this essay has proven, control is not merely the issue of keeping outcomes in check, but it is a dynamic process that facilitates planning, informs the leadership and makes continuous improvement. Control helps organisations to remain flexible and responsive to a fast-changing environment using mechanisms such as KPIs, feedback mechanisms, frameworks such as the Balanced Scorecard or OKRs and so forth.</w:t>
      </w:r>
    </w:p>
    <w:p w14:paraId="31FAC648" w14:textId="7CD544DF" w:rsidR="002A758A"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But efficient control must not be hard and lifeless. Unhealthy control may ruin trust, bury creativity and foster unhealthy cultures as is the case of Wells Fargo. In a bid to cut down these risks, managers should embrace balanced, ethical and adaptive control measures. Those are participatory goal setting, open communication, real-time technology application, and participatory leadership styles that strengthen autonomy and responsibility.</w:t>
      </w:r>
    </w:p>
    <w:p w14:paraId="7DCE9687" w14:textId="7C9588ED" w:rsidR="00E26DD9" w:rsidRPr="002A758A" w:rsidRDefault="002A758A" w:rsidP="002A758A">
      <w:pPr>
        <w:spacing w:line="360" w:lineRule="auto"/>
        <w:jc w:val="both"/>
        <w:rPr>
          <w:rFonts w:ascii="Times New Roman" w:hAnsi="Times New Roman" w:cs="Times New Roman"/>
          <w:lang w:eastAsia="en-GB"/>
        </w:rPr>
      </w:pPr>
      <w:r w:rsidRPr="002A758A">
        <w:rPr>
          <w:rFonts w:ascii="Times New Roman" w:hAnsi="Times New Roman" w:cs="Times New Roman"/>
          <w:lang w:eastAsia="en-GB"/>
        </w:rPr>
        <w:t>In conclusion, control is not merely about measures or control but about the development of alignment between individuals, purpose and performance. It determines the organisational culture, assists in making ethical decisions and gives leaders the power to lead their teams positively and transparently. Control is not a limitation, and when tactfully treated, it will be a booster to long-term success.</w:t>
      </w:r>
    </w:p>
    <w:p w14:paraId="45E61EC9" w14:textId="3BCAF845" w:rsidR="006B336C" w:rsidRDefault="002A758A" w:rsidP="002A758A">
      <w:pPr>
        <w:pStyle w:val="Titlu1"/>
      </w:pPr>
      <w:r>
        <w:t>References</w:t>
      </w:r>
    </w:p>
    <w:p w14:paraId="47EBEA9B" w14:textId="77777777" w:rsidR="002A758A" w:rsidRPr="002A758A" w:rsidRDefault="002A758A" w:rsidP="002A758A">
      <w:pPr>
        <w:pStyle w:val="NormalWeb"/>
        <w:spacing w:line="360" w:lineRule="auto"/>
        <w:rPr>
          <w:color w:val="000000" w:themeColor="text1"/>
        </w:rPr>
      </w:pPr>
      <w:r w:rsidRPr="002A758A">
        <w:rPr>
          <w:color w:val="000000" w:themeColor="text1"/>
        </w:rPr>
        <w:t>Amazon (2023)</w:t>
      </w:r>
      <w:r w:rsidRPr="002A758A">
        <w:rPr>
          <w:rStyle w:val="apple-converted-space"/>
          <w:rFonts w:eastAsiaTheme="majorEastAsia"/>
          <w:color w:val="000000" w:themeColor="text1"/>
        </w:rPr>
        <w:t> </w:t>
      </w:r>
      <w:r w:rsidRPr="002A758A">
        <w:rPr>
          <w:rStyle w:val="Accentuat"/>
          <w:rFonts w:eastAsiaTheme="majorEastAsia"/>
          <w:color w:val="000000" w:themeColor="text1"/>
        </w:rPr>
        <w:t>Annual Report and Shareholder Letter</w:t>
      </w:r>
      <w:r w:rsidRPr="002A758A">
        <w:rPr>
          <w:color w:val="000000" w:themeColor="text1"/>
        </w:rPr>
        <w:t>. [Online] Available at:</w:t>
      </w:r>
      <w:r w:rsidRPr="002A758A">
        <w:rPr>
          <w:rStyle w:val="apple-converted-space"/>
          <w:rFonts w:eastAsiaTheme="majorEastAsia"/>
          <w:color w:val="000000" w:themeColor="text1"/>
        </w:rPr>
        <w:t> </w:t>
      </w:r>
      <w:hyperlink r:id="rId7" w:tgtFrame="_new" w:history="1">
        <w:r w:rsidRPr="002A758A">
          <w:rPr>
            <w:rStyle w:val="Hyperlink"/>
            <w:rFonts w:eastAsiaTheme="majorEastAsia"/>
            <w:color w:val="000000" w:themeColor="text1"/>
          </w:rPr>
          <w:t>https://www.amazon.com/ir</w:t>
        </w:r>
      </w:hyperlink>
      <w:r w:rsidRPr="002A758A">
        <w:rPr>
          <w:rStyle w:val="apple-converted-space"/>
          <w:rFonts w:eastAsiaTheme="majorEastAsia"/>
          <w:color w:val="000000" w:themeColor="text1"/>
        </w:rPr>
        <w:t> </w:t>
      </w:r>
      <w:r w:rsidRPr="002A758A">
        <w:rPr>
          <w:color w:val="000000" w:themeColor="text1"/>
        </w:rPr>
        <w:t>[Accessed 11 Nov. 2025].</w:t>
      </w:r>
    </w:p>
    <w:p w14:paraId="40941446" w14:textId="77777777" w:rsidR="002A758A" w:rsidRPr="002A758A" w:rsidRDefault="002A758A" w:rsidP="002A758A">
      <w:pPr>
        <w:pStyle w:val="NormalWeb"/>
        <w:spacing w:line="360" w:lineRule="auto"/>
        <w:rPr>
          <w:color w:val="000000" w:themeColor="text1"/>
        </w:rPr>
      </w:pPr>
      <w:r w:rsidRPr="002A758A">
        <w:rPr>
          <w:color w:val="000000" w:themeColor="text1"/>
        </w:rPr>
        <w:t>Bratton, J. and Gold, J. (2017)</w:t>
      </w:r>
      <w:r w:rsidRPr="002A758A">
        <w:rPr>
          <w:rStyle w:val="apple-converted-space"/>
          <w:rFonts w:eastAsiaTheme="majorEastAsia"/>
          <w:color w:val="000000" w:themeColor="text1"/>
        </w:rPr>
        <w:t> </w:t>
      </w:r>
      <w:r w:rsidRPr="002A758A">
        <w:rPr>
          <w:rStyle w:val="Accentuat"/>
          <w:rFonts w:eastAsiaTheme="majorEastAsia"/>
          <w:color w:val="000000" w:themeColor="text1"/>
        </w:rPr>
        <w:t>Human Resource Management: Theory and Practice</w:t>
      </w:r>
      <w:r w:rsidRPr="002A758A">
        <w:rPr>
          <w:color w:val="000000" w:themeColor="text1"/>
        </w:rPr>
        <w:t xml:space="preserve">. 6th </w:t>
      </w:r>
      <w:proofErr w:type="spellStart"/>
      <w:r w:rsidRPr="002A758A">
        <w:rPr>
          <w:color w:val="000000" w:themeColor="text1"/>
        </w:rPr>
        <w:t>edn</w:t>
      </w:r>
      <w:proofErr w:type="spellEnd"/>
      <w:r w:rsidRPr="002A758A">
        <w:rPr>
          <w:color w:val="000000" w:themeColor="text1"/>
        </w:rPr>
        <w:t>. London: Palgrave.</w:t>
      </w:r>
    </w:p>
    <w:p w14:paraId="0BDAA4B7" w14:textId="77777777" w:rsidR="002A758A" w:rsidRPr="002A758A" w:rsidRDefault="002A758A" w:rsidP="002A758A">
      <w:pPr>
        <w:pStyle w:val="NormalWeb"/>
        <w:spacing w:line="360" w:lineRule="auto"/>
        <w:rPr>
          <w:color w:val="000000" w:themeColor="text1"/>
        </w:rPr>
      </w:pPr>
      <w:r w:rsidRPr="002A758A">
        <w:rPr>
          <w:color w:val="000000" w:themeColor="text1"/>
        </w:rPr>
        <w:t>CIPD (2021)</w:t>
      </w:r>
      <w:r w:rsidRPr="002A758A">
        <w:rPr>
          <w:rStyle w:val="apple-converted-space"/>
          <w:rFonts w:eastAsiaTheme="majorEastAsia"/>
          <w:color w:val="000000" w:themeColor="text1"/>
        </w:rPr>
        <w:t> </w:t>
      </w:r>
      <w:r w:rsidRPr="002A758A">
        <w:rPr>
          <w:rStyle w:val="Accentuat"/>
          <w:rFonts w:eastAsiaTheme="majorEastAsia"/>
          <w:color w:val="000000" w:themeColor="text1"/>
        </w:rPr>
        <w:t>People Management Survey: Performance Metrics in Practice</w:t>
      </w:r>
      <w:r w:rsidRPr="002A758A">
        <w:rPr>
          <w:color w:val="000000" w:themeColor="text1"/>
        </w:rPr>
        <w:t>. [Online] Available at:</w:t>
      </w:r>
      <w:r w:rsidRPr="002A758A">
        <w:rPr>
          <w:rStyle w:val="apple-converted-space"/>
          <w:rFonts w:eastAsiaTheme="majorEastAsia"/>
          <w:color w:val="000000" w:themeColor="text1"/>
        </w:rPr>
        <w:t> </w:t>
      </w:r>
      <w:hyperlink r:id="rId8" w:tgtFrame="_new" w:history="1">
        <w:r w:rsidRPr="002A758A">
          <w:rPr>
            <w:rStyle w:val="Hyperlink"/>
            <w:rFonts w:eastAsiaTheme="majorEastAsia"/>
            <w:color w:val="000000" w:themeColor="text1"/>
          </w:rPr>
          <w:t>https://www.cipd.co.uk</w:t>
        </w:r>
      </w:hyperlink>
      <w:r w:rsidRPr="002A758A">
        <w:rPr>
          <w:rStyle w:val="apple-converted-space"/>
          <w:rFonts w:eastAsiaTheme="majorEastAsia"/>
          <w:color w:val="000000" w:themeColor="text1"/>
        </w:rPr>
        <w:t> </w:t>
      </w:r>
      <w:r w:rsidRPr="002A758A">
        <w:rPr>
          <w:color w:val="000000" w:themeColor="text1"/>
        </w:rPr>
        <w:t>[Accessed 6 Nov. 2025].</w:t>
      </w:r>
    </w:p>
    <w:p w14:paraId="5DEDA771" w14:textId="77777777" w:rsidR="002A758A" w:rsidRPr="002A758A" w:rsidRDefault="002A758A" w:rsidP="002A758A">
      <w:pPr>
        <w:pStyle w:val="NormalWeb"/>
        <w:spacing w:line="360" w:lineRule="auto"/>
        <w:rPr>
          <w:color w:val="000000" w:themeColor="text1"/>
        </w:rPr>
      </w:pPr>
      <w:r w:rsidRPr="002A758A">
        <w:rPr>
          <w:color w:val="000000" w:themeColor="text1"/>
        </w:rPr>
        <w:t>Deloitte (2023)</w:t>
      </w:r>
      <w:r w:rsidRPr="002A758A">
        <w:rPr>
          <w:rStyle w:val="apple-converted-space"/>
          <w:rFonts w:eastAsiaTheme="majorEastAsia"/>
          <w:color w:val="000000" w:themeColor="text1"/>
        </w:rPr>
        <w:t> </w:t>
      </w:r>
      <w:r w:rsidRPr="002A758A">
        <w:rPr>
          <w:rStyle w:val="Accentuat"/>
          <w:rFonts w:eastAsiaTheme="majorEastAsia"/>
          <w:color w:val="000000" w:themeColor="text1"/>
        </w:rPr>
        <w:t>Future of Performance Management: Insights and Trends</w:t>
      </w:r>
      <w:r w:rsidRPr="002A758A">
        <w:rPr>
          <w:color w:val="000000" w:themeColor="text1"/>
        </w:rPr>
        <w:t>. [Online] Available at:</w:t>
      </w:r>
      <w:r w:rsidRPr="002A758A">
        <w:rPr>
          <w:rStyle w:val="apple-converted-space"/>
          <w:rFonts w:eastAsiaTheme="majorEastAsia"/>
          <w:color w:val="000000" w:themeColor="text1"/>
        </w:rPr>
        <w:t> </w:t>
      </w:r>
      <w:hyperlink r:id="rId9" w:tgtFrame="_new" w:history="1">
        <w:r w:rsidRPr="002A758A">
          <w:rPr>
            <w:rStyle w:val="Hyperlink"/>
            <w:rFonts w:eastAsiaTheme="majorEastAsia"/>
            <w:color w:val="000000" w:themeColor="text1"/>
          </w:rPr>
          <w:t>https://www2.deloitte.com</w:t>
        </w:r>
      </w:hyperlink>
      <w:r w:rsidRPr="002A758A">
        <w:rPr>
          <w:rStyle w:val="apple-converted-space"/>
          <w:rFonts w:eastAsiaTheme="majorEastAsia"/>
          <w:color w:val="000000" w:themeColor="text1"/>
        </w:rPr>
        <w:t> </w:t>
      </w:r>
      <w:r w:rsidRPr="002A758A">
        <w:rPr>
          <w:color w:val="000000" w:themeColor="text1"/>
        </w:rPr>
        <w:t>[Accessed 2 Nov. 2025].</w:t>
      </w:r>
    </w:p>
    <w:p w14:paraId="013D8547" w14:textId="77777777" w:rsidR="002A758A" w:rsidRPr="002A758A" w:rsidRDefault="002A758A" w:rsidP="002A758A">
      <w:pPr>
        <w:pStyle w:val="NormalWeb"/>
        <w:spacing w:line="360" w:lineRule="auto"/>
        <w:rPr>
          <w:color w:val="000000" w:themeColor="text1"/>
        </w:rPr>
      </w:pPr>
      <w:r w:rsidRPr="002A758A">
        <w:rPr>
          <w:color w:val="000000" w:themeColor="text1"/>
        </w:rPr>
        <w:t>Doerr, J. (2018)</w:t>
      </w:r>
      <w:r w:rsidRPr="002A758A">
        <w:rPr>
          <w:rStyle w:val="apple-converted-space"/>
          <w:rFonts w:eastAsiaTheme="majorEastAsia"/>
          <w:color w:val="000000" w:themeColor="text1"/>
        </w:rPr>
        <w:t> </w:t>
      </w:r>
      <w:r w:rsidRPr="002A758A">
        <w:rPr>
          <w:rStyle w:val="Accentuat"/>
          <w:rFonts w:eastAsiaTheme="majorEastAsia"/>
          <w:color w:val="000000" w:themeColor="text1"/>
        </w:rPr>
        <w:t>Measure What Matters: OKRs – The Simple Idea That Drives 10x Growth</w:t>
      </w:r>
      <w:r w:rsidRPr="002A758A">
        <w:rPr>
          <w:color w:val="000000" w:themeColor="text1"/>
        </w:rPr>
        <w:t>. New York: Portfolio.</w:t>
      </w:r>
    </w:p>
    <w:p w14:paraId="302EA57F" w14:textId="77777777" w:rsidR="002A758A" w:rsidRPr="002A758A" w:rsidRDefault="002A758A" w:rsidP="002A758A">
      <w:pPr>
        <w:pStyle w:val="NormalWeb"/>
        <w:spacing w:line="360" w:lineRule="auto"/>
        <w:rPr>
          <w:color w:val="000000" w:themeColor="text1"/>
        </w:rPr>
      </w:pPr>
      <w:r w:rsidRPr="002A758A">
        <w:rPr>
          <w:color w:val="000000" w:themeColor="text1"/>
        </w:rPr>
        <w:t>Edmondson, A. (2018)</w:t>
      </w:r>
      <w:r w:rsidRPr="002A758A">
        <w:rPr>
          <w:rStyle w:val="apple-converted-space"/>
          <w:rFonts w:eastAsiaTheme="majorEastAsia"/>
          <w:color w:val="000000" w:themeColor="text1"/>
        </w:rPr>
        <w:t> </w:t>
      </w:r>
      <w:r w:rsidRPr="002A758A">
        <w:rPr>
          <w:rStyle w:val="Accentuat"/>
          <w:rFonts w:eastAsiaTheme="majorEastAsia"/>
          <w:color w:val="000000" w:themeColor="text1"/>
        </w:rPr>
        <w:t>The Fearless Organization: Creating Psychological Safety in the Workplace for Learning, Innovation, and Growth</w:t>
      </w:r>
      <w:r w:rsidRPr="002A758A">
        <w:rPr>
          <w:color w:val="000000" w:themeColor="text1"/>
        </w:rPr>
        <w:t>. Hoboken, NJ: Wiley.</w:t>
      </w:r>
    </w:p>
    <w:p w14:paraId="088FD587" w14:textId="77777777" w:rsidR="002A758A" w:rsidRPr="002A758A" w:rsidRDefault="002A758A" w:rsidP="002A758A">
      <w:pPr>
        <w:pStyle w:val="NormalWeb"/>
        <w:spacing w:line="360" w:lineRule="auto"/>
        <w:rPr>
          <w:color w:val="000000" w:themeColor="text1"/>
        </w:rPr>
      </w:pPr>
      <w:r w:rsidRPr="002A758A">
        <w:rPr>
          <w:color w:val="000000" w:themeColor="text1"/>
        </w:rPr>
        <w:t>Hamel, G. and Zanini, M. (2020)</w:t>
      </w:r>
      <w:r w:rsidRPr="002A758A">
        <w:rPr>
          <w:rStyle w:val="apple-converted-space"/>
          <w:rFonts w:eastAsiaTheme="majorEastAsia"/>
          <w:color w:val="000000" w:themeColor="text1"/>
        </w:rPr>
        <w:t> </w:t>
      </w:r>
      <w:proofErr w:type="spellStart"/>
      <w:r w:rsidRPr="002A758A">
        <w:rPr>
          <w:rStyle w:val="Accentuat"/>
          <w:rFonts w:eastAsiaTheme="majorEastAsia"/>
          <w:color w:val="000000" w:themeColor="text1"/>
        </w:rPr>
        <w:t>Humanocracy</w:t>
      </w:r>
      <w:proofErr w:type="spellEnd"/>
      <w:r w:rsidRPr="002A758A">
        <w:rPr>
          <w:rStyle w:val="Accentuat"/>
          <w:rFonts w:eastAsiaTheme="majorEastAsia"/>
          <w:color w:val="000000" w:themeColor="text1"/>
        </w:rPr>
        <w:t>: Creating Organizations as Amazing as the People Inside Them</w:t>
      </w:r>
      <w:r w:rsidRPr="002A758A">
        <w:rPr>
          <w:color w:val="000000" w:themeColor="text1"/>
        </w:rPr>
        <w:t>. Boston, MA: Harvard Business Review Press.</w:t>
      </w:r>
    </w:p>
    <w:p w14:paraId="10FF599A" w14:textId="77777777" w:rsidR="002A758A" w:rsidRPr="002A758A" w:rsidRDefault="002A758A" w:rsidP="002A758A">
      <w:pPr>
        <w:pStyle w:val="NormalWeb"/>
        <w:spacing w:line="360" w:lineRule="auto"/>
        <w:rPr>
          <w:color w:val="000000" w:themeColor="text1"/>
        </w:rPr>
      </w:pPr>
      <w:r w:rsidRPr="002A758A">
        <w:rPr>
          <w:color w:val="000000" w:themeColor="text1"/>
        </w:rPr>
        <w:t>Harvard Business Review (2021)</w:t>
      </w:r>
      <w:r w:rsidRPr="002A758A">
        <w:rPr>
          <w:rStyle w:val="apple-converted-space"/>
          <w:rFonts w:eastAsiaTheme="majorEastAsia"/>
          <w:color w:val="000000" w:themeColor="text1"/>
        </w:rPr>
        <w:t> </w:t>
      </w:r>
      <w:r w:rsidRPr="002A758A">
        <w:rPr>
          <w:rStyle w:val="Accentuat"/>
          <w:rFonts w:eastAsiaTheme="majorEastAsia"/>
          <w:color w:val="000000" w:themeColor="text1"/>
        </w:rPr>
        <w:t>What Makes a Great Manager in 2021</w:t>
      </w:r>
      <w:r w:rsidRPr="002A758A">
        <w:rPr>
          <w:color w:val="000000" w:themeColor="text1"/>
        </w:rPr>
        <w:t>. [Online] Available at:</w:t>
      </w:r>
      <w:r w:rsidRPr="002A758A">
        <w:rPr>
          <w:rStyle w:val="apple-converted-space"/>
          <w:rFonts w:eastAsiaTheme="majorEastAsia"/>
          <w:color w:val="000000" w:themeColor="text1"/>
        </w:rPr>
        <w:t> </w:t>
      </w:r>
      <w:hyperlink r:id="rId10" w:tgtFrame="_new" w:history="1">
        <w:r w:rsidRPr="002A758A">
          <w:rPr>
            <w:rStyle w:val="Hyperlink"/>
            <w:rFonts w:eastAsiaTheme="majorEastAsia"/>
            <w:color w:val="000000" w:themeColor="text1"/>
          </w:rPr>
          <w:t>https://hbr.org</w:t>
        </w:r>
      </w:hyperlink>
      <w:r w:rsidRPr="002A758A">
        <w:rPr>
          <w:color w:val="000000" w:themeColor="text1"/>
        </w:rPr>
        <w:t>[Accessed 4 Nov. 2025].</w:t>
      </w:r>
    </w:p>
    <w:p w14:paraId="2F1D1198" w14:textId="77777777" w:rsidR="002A758A" w:rsidRPr="002A758A" w:rsidRDefault="002A758A" w:rsidP="002A758A">
      <w:pPr>
        <w:pStyle w:val="NormalWeb"/>
        <w:spacing w:line="360" w:lineRule="auto"/>
        <w:rPr>
          <w:color w:val="000000" w:themeColor="text1"/>
        </w:rPr>
      </w:pPr>
      <w:r w:rsidRPr="002A758A">
        <w:rPr>
          <w:color w:val="000000" w:themeColor="text1"/>
        </w:rPr>
        <w:t>Hofstede Insights (2023)</w:t>
      </w:r>
      <w:r w:rsidRPr="002A758A">
        <w:rPr>
          <w:rStyle w:val="apple-converted-space"/>
          <w:rFonts w:eastAsiaTheme="majorEastAsia"/>
          <w:color w:val="000000" w:themeColor="text1"/>
        </w:rPr>
        <w:t> </w:t>
      </w:r>
      <w:r w:rsidRPr="002A758A">
        <w:rPr>
          <w:rStyle w:val="Accentuat"/>
          <w:rFonts w:eastAsiaTheme="majorEastAsia"/>
          <w:color w:val="000000" w:themeColor="text1"/>
        </w:rPr>
        <w:t>Country Comparison Tool</w:t>
      </w:r>
      <w:r w:rsidRPr="002A758A">
        <w:rPr>
          <w:color w:val="000000" w:themeColor="text1"/>
        </w:rPr>
        <w:t>. [Online] Available at:</w:t>
      </w:r>
      <w:r w:rsidRPr="002A758A">
        <w:rPr>
          <w:rStyle w:val="apple-converted-space"/>
          <w:rFonts w:eastAsiaTheme="majorEastAsia"/>
          <w:color w:val="000000" w:themeColor="text1"/>
        </w:rPr>
        <w:t> </w:t>
      </w:r>
      <w:hyperlink r:id="rId11" w:tgtFrame="_new" w:history="1">
        <w:r w:rsidRPr="002A758A">
          <w:rPr>
            <w:rStyle w:val="Hyperlink"/>
            <w:rFonts w:eastAsiaTheme="majorEastAsia"/>
            <w:color w:val="000000" w:themeColor="text1"/>
          </w:rPr>
          <w:t>https://www.hofstede-insights.com</w:t>
        </w:r>
      </w:hyperlink>
      <w:r w:rsidRPr="002A758A">
        <w:rPr>
          <w:color w:val="000000" w:themeColor="text1"/>
        </w:rPr>
        <w:t>[Accessed 13 Nov. 2025].</w:t>
      </w:r>
    </w:p>
    <w:p w14:paraId="0938CF99" w14:textId="77777777" w:rsidR="002A758A" w:rsidRPr="002A758A" w:rsidRDefault="002A758A" w:rsidP="002A758A">
      <w:pPr>
        <w:pStyle w:val="NormalWeb"/>
        <w:spacing w:line="360" w:lineRule="auto"/>
        <w:rPr>
          <w:color w:val="000000" w:themeColor="text1"/>
        </w:rPr>
      </w:pPr>
      <w:r w:rsidRPr="002A758A">
        <w:rPr>
          <w:color w:val="000000" w:themeColor="text1"/>
        </w:rPr>
        <w:t>Kaplan, R. S. and Norton, D. P. (2020)</w:t>
      </w:r>
      <w:r w:rsidRPr="002A758A">
        <w:rPr>
          <w:rStyle w:val="apple-converted-space"/>
          <w:rFonts w:eastAsiaTheme="majorEastAsia"/>
          <w:color w:val="000000" w:themeColor="text1"/>
        </w:rPr>
        <w:t> </w:t>
      </w:r>
      <w:r w:rsidRPr="002A758A">
        <w:rPr>
          <w:rStyle w:val="Accentuat"/>
          <w:rFonts w:eastAsiaTheme="majorEastAsia"/>
          <w:color w:val="000000" w:themeColor="text1"/>
        </w:rPr>
        <w:t>The Balanced Scorecard: Translating Strategy into Action</w:t>
      </w:r>
      <w:r w:rsidRPr="002A758A">
        <w:rPr>
          <w:color w:val="000000" w:themeColor="text1"/>
        </w:rPr>
        <w:t>. Boston, MA: Harvard Business Review Press.</w:t>
      </w:r>
    </w:p>
    <w:p w14:paraId="6380D478" w14:textId="77777777" w:rsidR="002A758A" w:rsidRPr="002A758A" w:rsidRDefault="002A758A" w:rsidP="002A758A">
      <w:pPr>
        <w:pStyle w:val="NormalWeb"/>
        <w:spacing w:line="360" w:lineRule="auto"/>
        <w:rPr>
          <w:color w:val="000000" w:themeColor="text1"/>
        </w:rPr>
      </w:pPr>
      <w:r w:rsidRPr="002A758A">
        <w:rPr>
          <w:color w:val="000000" w:themeColor="text1"/>
        </w:rPr>
        <w:t>Kaplan, R. S. and Norton, D. P. (2020)</w:t>
      </w:r>
      <w:r w:rsidRPr="002A758A">
        <w:rPr>
          <w:rStyle w:val="apple-converted-space"/>
          <w:rFonts w:eastAsiaTheme="majorEastAsia"/>
          <w:color w:val="000000" w:themeColor="text1"/>
        </w:rPr>
        <w:t> </w:t>
      </w:r>
      <w:r w:rsidRPr="002A758A">
        <w:rPr>
          <w:rStyle w:val="Accentuat"/>
          <w:rFonts w:eastAsiaTheme="majorEastAsia"/>
          <w:color w:val="000000" w:themeColor="text1"/>
        </w:rPr>
        <w:t>The Execution Premium: Linking Strategy to Operations for Competitive Advantage</w:t>
      </w:r>
      <w:r w:rsidRPr="002A758A">
        <w:rPr>
          <w:color w:val="000000" w:themeColor="text1"/>
        </w:rPr>
        <w:t>. Boston, MA: Harvard Business Review Press.</w:t>
      </w:r>
    </w:p>
    <w:p w14:paraId="6063E468" w14:textId="77777777" w:rsidR="002A758A" w:rsidRPr="002A758A" w:rsidRDefault="002A758A" w:rsidP="002A758A">
      <w:pPr>
        <w:pStyle w:val="NormalWeb"/>
        <w:spacing w:line="360" w:lineRule="auto"/>
        <w:rPr>
          <w:color w:val="000000" w:themeColor="text1"/>
        </w:rPr>
      </w:pPr>
      <w:r w:rsidRPr="002A758A">
        <w:rPr>
          <w:color w:val="000000" w:themeColor="text1"/>
        </w:rPr>
        <w:t>Kaptein, M. (2021)</w:t>
      </w:r>
      <w:r w:rsidRPr="002A758A">
        <w:rPr>
          <w:rStyle w:val="apple-converted-space"/>
          <w:rFonts w:eastAsiaTheme="majorEastAsia"/>
          <w:color w:val="000000" w:themeColor="text1"/>
        </w:rPr>
        <w:t> </w:t>
      </w:r>
      <w:r w:rsidRPr="002A758A">
        <w:rPr>
          <w:rStyle w:val="Accentuat"/>
          <w:rFonts w:eastAsiaTheme="majorEastAsia"/>
          <w:color w:val="000000" w:themeColor="text1"/>
        </w:rPr>
        <w:t>Ethics Management: A Pluralistic Approach</w:t>
      </w:r>
      <w:r w:rsidRPr="002A758A">
        <w:rPr>
          <w:color w:val="000000" w:themeColor="text1"/>
        </w:rPr>
        <w:t>. Cham: Springer.</w:t>
      </w:r>
    </w:p>
    <w:p w14:paraId="733E6602" w14:textId="77777777" w:rsidR="002A758A" w:rsidRPr="002A758A" w:rsidRDefault="002A758A" w:rsidP="002A758A">
      <w:pPr>
        <w:pStyle w:val="NormalWeb"/>
        <w:spacing w:line="360" w:lineRule="auto"/>
        <w:rPr>
          <w:color w:val="000000" w:themeColor="text1"/>
        </w:rPr>
      </w:pPr>
      <w:r w:rsidRPr="002A758A">
        <w:rPr>
          <w:color w:val="000000" w:themeColor="text1"/>
        </w:rPr>
        <w:t>Locke, E. A. and Latham, G. P. (2019)</w:t>
      </w:r>
      <w:r w:rsidRPr="002A758A">
        <w:rPr>
          <w:rStyle w:val="apple-converted-space"/>
          <w:rFonts w:eastAsiaTheme="majorEastAsia"/>
          <w:color w:val="000000" w:themeColor="text1"/>
        </w:rPr>
        <w:t> </w:t>
      </w:r>
      <w:r w:rsidRPr="002A758A">
        <w:rPr>
          <w:rStyle w:val="Accentuat"/>
          <w:rFonts w:eastAsiaTheme="majorEastAsia"/>
          <w:color w:val="000000" w:themeColor="text1"/>
        </w:rPr>
        <w:t>New Developments in Goal Setting and Task Performance</w:t>
      </w:r>
      <w:r w:rsidRPr="002A758A">
        <w:rPr>
          <w:color w:val="000000" w:themeColor="text1"/>
        </w:rPr>
        <w:t>. New York: Routledge.</w:t>
      </w:r>
    </w:p>
    <w:p w14:paraId="3BDC6113" w14:textId="77777777" w:rsidR="002A758A" w:rsidRPr="002A758A" w:rsidRDefault="002A758A" w:rsidP="002A758A">
      <w:pPr>
        <w:pStyle w:val="NormalWeb"/>
        <w:spacing w:line="360" w:lineRule="auto"/>
        <w:rPr>
          <w:color w:val="000000" w:themeColor="text1"/>
        </w:rPr>
      </w:pPr>
      <w:r w:rsidRPr="002A758A">
        <w:rPr>
          <w:color w:val="000000" w:themeColor="text1"/>
        </w:rPr>
        <w:t>Mintzberg, H. (2019)</w:t>
      </w:r>
      <w:r w:rsidRPr="002A758A">
        <w:rPr>
          <w:rStyle w:val="apple-converted-space"/>
          <w:rFonts w:eastAsiaTheme="majorEastAsia"/>
          <w:color w:val="000000" w:themeColor="text1"/>
        </w:rPr>
        <w:t> </w:t>
      </w:r>
      <w:r w:rsidRPr="002A758A">
        <w:rPr>
          <w:rStyle w:val="Accentuat"/>
          <w:rFonts w:eastAsiaTheme="majorEastAsia"/>
          <w:color w:val="000000" w:themeColor="text1"/>
        </w:rPr>
        <w:t>Simply Managing: What Managers Do – and Can Do Better</w:t>
      </w:r>
      <w:r w:rsidRPr="002A758A">
        <w:rPr>
          <w:color w:val="000000" w:themeColor="text1"/>
        </w:rPr>
        <w:t xml:space="preserve">. 2nd </w:t>
      </w:r>
      <w:proofErr w:type="spellStart"/>
      <w:r w:rsidRPr="002A758A">
        <w:rPr>
          <w:color w:val="000000" w:themeColor="text1"/>
        </w:rPr>
        <w:t>edn</w:t>
      </w:r>
      <w:proofErr w:type="spellEnd"/>
      <w:r w:rsidRPr="002A758A">
        <w:rPr>
          <w:color w:val="000000" w:themeColor="text1"/>
        </w:rPr>
        <w:t>. Oakland, CA: Berrett-Koehler.</w:t>
      </w:r>
    </w:p>
    <w:p w14:paraId="1084E39B" w14:textId="77777777" w:rsidR="002A758A" w:rsidRPr="002A758A" w:rsidRDefault="002A758A" w:rsidP="002A758A">
      <w:pPr>
        <w:pStyle w:val="NormalWeb"/>
        <w:spacing w:line="360" w:lineRule="auto"/>
        <w:rPr>
          <w:color w:val="000000" w:themeColor="text1"/>
        </w:rPr>
      </w:pPr>
      <w:r w:rsidRPr="002A758A">
        <w:rPr>
          <w:color w:val="000000" w:themeColor="text1"/>
        </w:rPr>
        <w:t>Northouse, P. G. (2021)</w:t>
      </w:r>
      <w:r w:rsidRPr="002A758A">
        <w:rPr>
          <w:rStyle w:val="apple-converted-space"/>
          <w:rFonts w:eastAsiaTheme="majorEastAsia"/>
          <w:color w:val="000000" w:themeColor="text1"/>
        </w:rPr>
        <w:t> </w:t>
      </w:r>
      <w:r w:rsidRPr="002A758A">
        <w:rPr>
          <w:rStyle w:val="Accentuat"/>
          <w:rFonts w:eastAsiaTheme="majorEastAsia"/>
          <w:color w:val="000000" w:themeColor="text1"/>
        </w:rPr>
        <w:t>Leadership: Theory and Practice</w:t>
      </w:r>
      <w:r w:rsidRPr="002A758A">
        <w:rPr>
          <w:color w:val="000000" w:themeColor="text1"/>
        </w:rPr>
        <w:t xml:space="preserve">. 9th </w:t>
      </w:r>
      <w:proofErr w:type="spellStart"/>
      <w:r w:rsidRPr="002A758A">
        <w:rPr>
          <w:color w:val="000000" w:themeColor="text1"/>
        </w:rPr>
        <w:t>edn</w:t>
      </w:r>
      <w:proofErr w:type="spellEnd"/>
      <w:r w:rsidRPr="002A758A">
        <w:rPr>
          <w:color w:val="000000" w:themeColor="text1"/>
        </w:rPr>
        <w:t>. Thousand Oaks, CA: Sage.</w:t>
      </w:r>
    </w:p>
    <w:p w14:paraId="551C72A5" w14:textId="77777777" w:rsidR="002A758A" w:rsidRPr="002A758A" w:rsidRDefault="002A758A" w:rsidP="002A758A">
      <w:pPr>
        <w:pStyle w:val="NormalWeb"/>
        <w:spacing w:line="360" w:lineRule="auto"/>
        <w:rPr>
          <w:color w:val="000000" w:themeColor="text1"/>
        </w:rPr>
      </w:pPr>
      <w:r w:rsidRPr="002A758A">
        <w:rPr>
          <w:color w:val="000000" w:themeColor="text1"/>
        </w:rPr>
        <w:t>Robbins, S. P. and Coulter, M. (2022)</w:t>
      </w:r>
      <w:r w:rsidRPr="002A758A">
        <w:rPr>
          <w:rStyle w:val="apple-converted-space"/>
          <w:rFonts w:eastAsiaTheme="majorEastAsia"/>
          <w:color w:val="000000" w:themeColor="text1"/>
        </w:rPr>
        <w:t> </w:t>
      </w:r>
      <w:r w:rsidRPr="002A758A">
        <w:rPr>
          <w:rStyle w:val="Accentuat"/>
          <w:rFonts w:eastAsiaTheme="majorEastAsia"/>
          <w:color w:val="000000" w:themeColor="text1"/>
        </w:rPr>
        <w:t>Management</w:t>
      </w:r>
      <w:r w:rsidRPr="002A758A">
        <w:rPr>
          <w:color w:val="000000" w:themeColor="text1"/>
        </w:rPr>
        <w:t xml:space="preserve">. 15th </w:t>
      </w:r>
      <w:proofErr w:type="spellStart"/>
      <w:r w:rsidRPr="002A758A">
        <w:rPr>
          <w:color w:val="000000" w:themeColor="text1"/>
        </w:rPr>
        <w:t>edn</w:t>
      </w:r>
      <w:proofErr w:type="spellEnd"/>
      <w:r w:rsidRPr="002A758A">
        <w:rPr>
          <w:color w:val="000000" w:themeColor="text1"/>
        </w:rPr>
        <w:t>. Harlow: Pearson.</w:t>
      </w:r>
    </w:p>
    <w:p w14:paraId="3F670CC4" w14:textId="77777777" w:rsidR="002A758A" w:rsidRPr="002A758A" w:rsidRDefault="002A758A" w:rsidP="002A758A">
      <w:pPr>
        <w:pStyle w:val="NormalWeb"/>
        <w:spacing w:line="360" w:lineRule="auto"/>
        <w:rPr>
          <w:color w:val="000000" w:themeColor="text1"/>
        </w:rPr>
      </w:pPr>
      <w:r w:rsidRPr="002A758A">
        <w:rPr>
          <w:color w:val="000000" w:themeColor="text1"/>
        </w:rPr>
        <w:t>Simons, R. (2019)</w:t>
      </w:r>
      <w:r w:rsidRPr="002A758A">
        <w:rPr>
          <w:rStyle w:val="apple-converted-space"/>
          <w:rFonts w:eastAsiaTheme="majorEastAsia"/>
          <w:color w:val="000000" w:themeColor="text1"/>
        </w:rPr>
        <w:t> </w:t>
      </w:r>
      <w:r w:rsidRPr="002A758A">
        <w:rPr>
          <w:rStyle w:val="Accentuat"/>
          <w:rFonts w:eastAsiaTheme="majorEastAsia"/>
          <w:color w:val="000000" w:themeColor="text1"/>
        </w:rPr>
        <w:t>Levers of Control: How Managers Use Innovative Control Systems to Drive Strategic Renewal</w:t>
      </w:r>
      <w:r w:rsidRPr="002A758A">
        <w:rPr>
          <w:color w:val="000000" w:themeColor="text1"/>
        </w:rPr>
        <w:t>. Boston, MA: Harvard Business Review Press.</w:t>
      </w:r>
    </w:p>
    <w:p w14:paraId="6F619976" w14:textId="77777777" w:rsidR="002A758A" w:rsidRPr="002A758A" w:rsidRDefault="002A758A" w:rsidP="002A758A">
      <w:pPr>
        <w:pStyle w:val="NormalWeb"/>
        <w:spacing w:line="360" w:lineRule="auto"/>
        <w:rPr>
          <w:color w:val="000000" w:themeColor="text1"/>
        </w:rPr>
      </w:pPr>
      <w:r w:rsidRPr="002A758A">
        <w:rPr>
          <w:color w:val="000000" w:themeColor="text1"/>
        </w:rPr>
        <w:t>The New York Times (2019)</w:t>
      </w:r>
      <w:r w:rsidRPr="002A758A">
        <w:rPr>
          <w:rStyle w:val="apple-converted-space"/>
          <w:rFonts w:eastAsiaTheme="majorEastAsia"/>
          <w:color w:val="000000" w:themeColor="text1"/>
        </w:rPr>
        <w:t> </w:t>
      </w:r>
      <w:r w:rsidRPr="002A758A">
        <w:rPr>
          <w:rStyle w:val="Accentuat"/>
          <w:rFonts w:eastAsiaTheme="majorEastAsia"/>
          <w:color w:val="000000" w:themeColor="text1"/>
        </w:rPr>
        <w:t>Wells Fargo’s 3-Year Nightmare</w:t>
      </w:r>
      <w:r w:rsidRPr="002A758A">
        <w:rPr>
          <w:color w:val="000000" w:themeColor="text1"/>
        </w:rPr>
        <w:t>. [Online] Available at:</w:t>
      </w:r>
      <w:r w:rsidRPr="002A758A">
        <w:rPr>
          <w:rStyle w:val="apple-converted-space"/>
          <w:rFonts w:eastAsiaTheme="majorEastAsia"/>
          <w:color w:val="000000" w:themeColor="text1"/>
        </w:rPr>
        <w:t> </w:t>
      </w:r>
      <w:hyperlink r:id="rId12" w:tgtFrame="_new" w:history="1">
        <w:r w:rsidRPr="002A758A">
          <w:rPr>
            <w:rStyle w:val="Hyperlink"/>
            <w:rFonts w:eastAsiaTheme="majorEastAsia"/>
            <w:color w:val="000000" w:themeColor="text1"/>
          </w:rPr>
          <w:t>https://www.nytimes.com</w:t>
        </w:r>
      </w:hyperlink>
      <w:r w:rsidRPr="002A758A">
        <w:rPr>
          <w:color w:val="000000" w:themeColor="text1"/>
        </w:rPr>
        <w:t>[Accessed 5 Nov. 2025].</w:t>
      </w:r>
    </w:p>
    <w:p w14:paraId="0E49310B" w14:textId="77777777" w:rsidR="002A758A" w:rsidRPr="002A758A" w:rsidRDefault="002A758A" w:rsidP="002A758A">
      <w:pPr>
        <w:pStyle w:val="NormalWeb"/>
        <w:spacing w:line="360" w:lineRule="auto"/>
        <w:rPr>
          <w:color w:val="000000" w:themeColor="text1"/>
        </w:rPr>
      </w:pPr>
      <w:r w:rsidRPr="002A758A">
        <w:rPr>
          <w:color w:val="000000" w:themeColor="text1"/>
        </w:rPr>
        <w:t>Toyota Global (2023)</w:t>
      </w:r>
      <w:r w:rsidRPr="002A758A">
        <w:rPr>
          <w:rStyle w:val="apple-converted-space"/>
          <w:rFonts w:eastAsiaTheme="majorEastAsia"/>
          <w:color w:val="000000" w:themeColor="text1"/>
        </w:rPr>
        <w:t> </w:t>
      </w:r>
      <w:r w:rsidRPr="002A758A">
        <w:rPr>
          <w:rStyle w:val="Accentuat"/>
          <w:rFonts w:eastAsiaTheme="majorEastAsia"/>
          <w:color w:val="000000" w:themeColor="text1"/>
        </w:rPr>
        <w:t>The Toyota Production System</w:t>
      </w:r>
      <w:r w:rsidRPr="002A758A">
        <w:rPr>
          <w:color w:val="000000" w:themeColor="text1"/>
        </w:rPr>
        <w:t>. [Online] Available at:</w:t>
      </w:r>
      <w:r w:rsidRPr="002A758A">
        <w:rPr>
          <w:rStyle w:val="apple-converted-space"/>
          <w:rFonts w:eastAsiaTheme="majorEastAsia"/>
          <w:color w:val="000000" w:themeColor="text1"/>
        </w:rPr>
        <w:t> </w:t>
      </w:r>
      <w:hyperlink r:id="rId13" w:tgtFrame="_new" w:history="1">
        <w:r w:rsidRPr="002A758A">
          <w:rPr>
            <w:rStyle w:val="Hyperlink"/>
            <w:rFonts w:eastAsiaTheme="majorEastAsia"/>
            <w:color w:val="000000" w:themeColor="text1"/>
          </w:rPr>
          <w:t>https://global.toyota/en/company/vision-and-philosophy/production-system/</w:t>
        </w:r>
      </w:hyperlink>
      <w:r w:rsidRPr="002A758A">
        <w:rPr>
          <w:rStyle w:val="apple-converted-space"/>
          <w:rFonts w:eastAsiaTheme="majorEastAsia"/>
          <w:color w:val="000000" w:themeColor="text1"/>
        </w:rPr>
        <w:t> </w:t>
      </w:r>
      <w:r w:rsidRPr="002A758A">
        <w:rPr>
          <w:color w:val="000000" w:themeColor="text1"/>
        </w:rPr>
        <w:t>[Accessed 1 Nov. 2025].</w:t>
      </w:r>
    </w:p>
    <w:p w14:paraId="28EB1923" w14:textId="77777777" w:rsidR="002A758A" w:rsidRPr="002A758A" w:rsidRDefault="002A758A" w:rsidP="002A758A">
      <w:pPr>
        <w:pStyle w:val="NormalWeb"/>
        <w:spacing w:line="360" w:lineRule="auto"/>
        <w:rPr>
          <w:color w:val="000000" w:themeColor="text1"/>
        </w:rPr>
      </w:pPr>
      <w:r w:rsidRPr="002A758A">
        <w:rPr>
          <w:color w:val="000000" w:themeColor="text1"/>
        </w:rPr>
        <w:t>Unilever (2023)</w:t>
      </w:r>
      <w:r w:rsidRPr="002A758A">
        <w:rPr>
          <w:rStyle w:val="apple-converted-space"/>
          <w:rFonts w:eastAsiaTheme="majorEastAsia"/>
          <w:color w:val="000000" w:themeColor="text1"/>
        </w:rPr>
        <w:t> </w:t>
      </w:r>
      <w:r w:rsidRPr="002A758A">
        <w:rPr>
          <w:rStyle w:val="Accentuat"/>
          <w:rFonts w:eastAsiaTheme="majorEastAsia"/>
          <w:color w:val="000000" w:themeColor="text1"/>
        </w:rPr>
        <w:t>Sustainability Performance Metrics 2022–23</w:t>
      </w:r>
      <w:r w:rsidRPr="002A758A">
        <w:rPr>
          <w:color w:val="000000" w:themeColor="text1"/>
        </w:rPr>
        <w:t>. [Online] Available at:</w:t>
      </w:r>
      <w:r w:rsidRPr="002A758A">
        <w:rPr>
          <w:rStyle w:val="apple-converted-space"/>
          <w:rFonts w:eastAsiaTheme="majorEastAsia"/>
          <w:color w:val="000000" w:themeColor="text1"/>
        </w:rPr>
        <w:t> </w:t>
      </w:r>
      <w:hyperlink r:id="rId14" w:tgtFrame="_new" w:history="1">
        <w:r w:rsidRPr="002A758A">
          <w:rPr>
            <w:rStyle w:val="Hyperlink"/>
            <w:rFonts w:eastAsiaTheme="majorEastAsia"/>
            <w:color w:val="000000" w:themeColor="text1"/>
          </w:rPr>
          <w:t>https://www.unilever.com</w:t>
        </w:r>
      </w:hyperlink>
      <w:r w:rsidRPr="002A758A">
        <w:rPr>
          <w:color w:val="000000" w:themeColor="text1"/>
        </w:rPr>
        <w:t>[Accessed 14 Nov. 2025].</w:t>
      </w:r>
    </w:p>
    <w:p w14:paraId="5E3018A6" w14:textId="77777777" w:rsidR="002A758A" w:rsidRDefault="002A758A" w:rsidP="002A758A">
      <w:pPr>
        <w:pStyle w:val="NormalWeb"/>
        <w:spacing w:line="360" w:lineRule="auto"/>
        <w:rPr>
          <w:color w:val="000000"/>
        </w:rPr>
      </w:pPr>
      <w:r w:rsidRPr="002A758A">
        <w:rPr>
          <w:color w:val="000000" w:themeColor="text1"/>
        </w:rPr>
        <w:t>West, M. A. and Dawson, J. F. (2022)</w:t>
      </w:r>
      <w:r w:rsidRPr="002A758A">
        <w:rPr>
          <w:rStyle w:val="apple-converted-space"/>
          <w:rFonts w:eastAsiaTheme="majorEastAsia"/>
          <w:color w:val="000000" w:themeColor="text1"/>
        </w:rPr>
        <w:t> </w:t>
      </w:r>
      <w:r w:rsidRPr="002A758A">
        <w:rPr>
          <w:rStyle w:val="Accentuat"/>
          <w:rFonts w:eastAsiaTheme="majorEastAsia"/>
          <w:color w:val="000000" w:themeColor="text1"/>
        </w:rPr>
        <w:t>The Psychology of Work and Organizations</w:t>
      </w:r>
      <w:r w:rsidRPr="002A758A">
        <w:rPr>
          <w:color w:val="000000" w:themeColor="text1"/>
        </w:rPr>
        <w:t xml:space="preserve">. London: </w:t>
      </w:r>
      <w:r>
        <w:rPr>
          <w:color w:val="000000"/>
        </w:rPr>
        <w:t>Sage.</w:t>
      </w:r>
    </w:p>
    <w:p w14:paraId="33E683D9" w14:textId="77777777" w:rsidR="002A758A" w:rsidRPr="002A758A" w:rsidRDefault="002A758A" w:rsidP="002A758A"/>
    <w:sectPr w:rsidR="002A758A" w:rsidRPr="002A758A">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36214" w14:textId="77777777" w:rsidR="00071D71" w:rsidRDefault="00071D71" w:rsidP="002A758A">
      <w:r>
        <w:separator/>
      </w:r>
    </w:p>
  </w:endnote>
  <w:endnote w:type="continuationSeparator" w:id="0">
    <w:p w14:paraId="670BF442" w14:textId="77777777" w:rsidR="00071D71" w:rsidRDefault="00071D71" w:rsidP="002A75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1892697960"/>
      <w:docPartObj>
        <w:docPartGallery w:val="Page Numbers (Bottom of Page)"/>
        <w:docPartUnique/>
      </w:docPartObj>
    </w:sdtPr>
    <w:sdtEndPr>
      <w:rPr>
        <w:rStyle w:val="Numrdepagin"/>
      </w:rPr>
    </w:sdtEndPr>
    <w:sdtContent>
      <w:p w14:paraId="5E65E4C9" w14:textId="4EFC1970" w:rsidR="002A758A" w:rsidRDefault="002A758A" w:rsidP="00FF5CFD">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99E711B" w14:textId="77777777" w:rsidR="002A758A" w:rsidRDefault="002A758A" w:rsidP="002A758A">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2072565063"/>
      <w:docPartObj>
        <w:docPartGallery w:val="Page Numbers (Bottom of Page)"/>
        <w:docPartUnique/>
      </w:docPartObj>
    </w:sdtPr>
    <w:sdtEndPr>
      <w:rPr>
        <w:rStyle w:val="Numrdepagin"/>
      </w:rPr>
    </w:sdtEndPr>
    <w:sdtContent>
      <w:p w14:paraId="38DA5840" w14:textId="4BB83DDD" w:rsidR="002A758A" w:rsidRDefault="002A758A" w:rsidP="00FF5CFD">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1F2DBDE2" w14:textId="77777777" w:rsidR="002A758A" w:rsidRDefault="002A758A" w:rsidP="002A758A">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3C199" w14:textId="77777777" w:rsidR="00071D71" w:rsidRDefault="00071D71" w:rsidP="002A758A">
      <w:r>
        <w:separator/>
      </w:r>
    </w:p>
  </w:footnote>
  <w:footnote w:type="continuationSeparator" w:id="0">
    <w:p w14:paraId="652BF1D1" w14:textId="77777777" w:rsidR="00071D71" w:rsidRDefault="00071D71" w:rsidP="002A75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A6B6C"/>
    <w:multiLevelType w:val="multilevel"/>
    <w:tmpl w:val="DF345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E0982"/>
    <w:multiLevelType w:val="multilevel"/>
    <w:tmpl w:val="FFC2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645AC"/>
    <w:multiLevelType w:val="multilevel"/>
    <w:tmpl w:val="59ACA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8519A3"/>
    <w:multiLevelType w:val="multilevel"/>
    <w:tmpl w:val="71B46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416493"/>
    <w:multiLevelType w:val="multilevel"/>
    <w:tmpl w:val="5296D3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7038B6"/>
    <w:multiLevelType w:val="multilevel"/>
    <w:tmpl w:val="B7B87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68121">
    <w:abstractNumId w:val="0"/>
  </w:num>
  <w:num w:numId="2" w16cid:durableId="1253320898">
    <w:abstractNumId w:val="2"/>
  </w:num>
  <w:num w:numId="3" w16cid:durableId="1464688210">
    <w:abstractNumId w:val="4"/>
  </w:num>
  <w:num w:numId="4" w16cid:durableId="1329215882">
    <w:abstractNumId w:val="3"/>
  </w:num>
  <w:num w:numId="5" w16cid:durableId="690843711">
    <w:abstractNumId w:val="1"/>
  </w:num>
  <w:num w:numId="6" w16cid:durableId="718550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DD9"/>
    <w:rsid w:val="00071D71"/>
    <w:rsid w:val="00196095"/>
    <w:rsid w:val="001A4E4E"/>
    <w:rsid w:val="002A758A"/>
    <w:rsid w:val="003212C2"/>
    <w:rsid w:val="00354C76"/>
    <w:rsid w:val="00515FD9"/>
    <w:rsid w:val="00590EA2"/>
    <w:rsid w:val="00692B26"/>
    <w:rsid w:val="006B336C"/>
    <w:rsid w:val="006C60D2"/>
    <w:rsid w:val="00861B75"/>
    <w:rsid w:val="00B32CC4"/>
    <w:rsid w:val="00E26DD9"/>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76B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26D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E26D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E26DD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26DD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26DD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26DD9"/>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26DD9"/>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26DD9"/>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26DD9"/>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26DD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E26DD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E26DD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26DD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26DD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26DD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26DD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26DD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26DD9"/>
    <w:rPr>
      <w:rFonts w:eastAsiaTheme="majorEastAsia" w:cstheme="majorBidi"/>
      <w:color w:val="272727" w:themeColor="text1" w:themeTint="D8"/>
    </w:rPr>
  </w:style>
  <w:style w:type="paragraph" w:styleId="Titlu">
    <w:name w:val="Title"/>
    <w:basedOn w:val="Normal"/>
    <w:next w:val="Normal"/>
    <w:link w:val="TitluCaracter"/>
    <w:uiPriority w:val="10"/>
    <w:qFormat/>
    <w:rsid w:val="00E26DD9"/>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26DD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26DD9"/>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26DD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26DD9"/>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E26DD9"/>
    <w:rPr>
      <w:i/>
      <w:iCs/>
      <w:color w:val="404040" w:themeColor="text1" w:themeTint="BF"/>
    </w:rPr>
  </w:style>
  <w:style w:type="paragraph" w:styleId="Listparagraf">
    <w:name w:val="List Paragraph"/>
    <w:basedOn w:val="Normal"/>
    <w:uiPriority w:val="34"/>
    <w:qFormat/>
    <w:rsid w:val="00E26DD9"/>
    <w:pPr>
      <w:ind w:left="720"/>
      <w:contextualSpacing/>
    </w:pPr>
  </w:style>
  <w:style w:type="character" w:styleId="Accentuareintens">
    <w:name w:val="Intense Emphasis"/>
    <w:basedOn w:val="Fontdeparagrafimplicit"/>
    <w:uiPriority w:val="21"/>
    <w:qFormat/>
    <w:rsid w:val="00E26DD9"/>
    <w:rPr>
      <w:i/>
      <w:iCs/>
      <w:color w:val="0F4761" w:themeColor="accent1" w:themeShade="BF"/>
    </w:rPr>
  </w:style>
  <w:style w:type="paragraph" w:styleId="Citatintens">
    <w:name w:val="Intense Quote"/>
    <w:basedOn w:val="Normal"/>
    <w:next w:val="Normal"/>
    <w:link w:val="CitatintensCaracter"/>
    <w:uiPriority w:val="30"/>
    <w:qFormat/>
    <w:rsid w:val="00E26D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26DD9"/>
    <w:rPr>
      <w:i/>
      <w:iCs/>
      <w:color w:val="0F4761" w:themeColor="accent1" w:themeShade="BF"/>
    </w:rPr>
  </w:style>
  <w:style w:type="character" w:styleId="Referireintens">
    <w:name w:val="Intense Reference"/>
    <w:basedOn w:val="Fontdeparagrafimplicit"/>
    <w:uiPriority w:val="32"/>
    <w:qFormat/>
    <w:rsid w:val="00E26DD9"/>
    <w:rPr>
      <w:b/>
      <w:bCs/>
      <w:smallCaps/>
      <w:color w:val="0F4761" w:themeColor="accent1" w:themeShade="BF"/>
      <w:spacing w:val="5"/>
    </w:rPr>
  </w:style>
  <w:style w:type="paragraph" w:styleId="NormalWeb">
    <w:name w:val="Normal (Web)"/>
    <w:basedOn w:val="Normal"/>
    <w:uiPriority w:val="99"/>
    <w:semiHidden/>
    <w:unhideWhenUsed/>
    <w:rsid w:val="00E26DD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Fontdeparagrafimplicit"/>
    <w:rsid w:val="00E26DD9"/>
  </w:style>
  <w:style w:type="character" w:styleId="Robust">
    <w:name w:val="Strong"/>
    <w:basedOn w:val="Fontdeparagrafimplicit"/>
    <w:uiPriority w:val="22"/>
    <w:qFormat/>
    <w:rsid w:val="00E26DD9"/>
    <w:rPr>
      <w:b/>
      <w:bCs/>
    </w:rPr>
  </w:style>
  <w:style w:type="character" w:styleId="Accentuat">
    <w:name w:val="Emphasis"/>
    <w:basedOn w:val="Fontdeparagrafimplicit"/>
    <w:uiPriority w:val="20"/>
    <w:qFormat/>
    <w:rsid w:val="00E26DD9"/>
    <w:rPr>
      <w:i/>
      <w:iCs/>
    </w:rPr>
  </w:style>
  <w:style w:type="paragraph" w:styleId="Frspaiere">
    <w:name w:val="No Spacing"/>
    <w:uiPriority w:val="1"/>
    <w:qFormat/>
    <w:rsid w:val="003212C2"/>
  </w:style>
  <w:style w:type="character" w:styleId="Hyperlink">
    <w:name w:val="Hyperlink"/>
    <w:basedOn w:val="Fontdeparagrafimplicit"/>
    <w:uiPriority w:val="99"/>
    <w:semiHidden/>
    <w:unhideWhenUsed/>
    <w:rsid w:val="002A758A"/>
    <w:rPr>
      <w:color w:val="0000FF"/>
      <w:u w:val="single"/>
    </w:rPr>
  </w:style>
  <w:style w:type="paragraph" w:styleId="Subsol">
    <w:name w:val="footer"/>
    <w:basedOn w:val="Normal"/>
    <w:link w:val="SubsolCaracter"/>
    <w:uiPriority w:val="99"/>
    <w:unhideWhenUsed/>
    <w:rsid w:val="002A758A"/>
    <w:pPr>
      <w:tabs>
        <w:tab w:val="center" w:pos="4513"/>
        <w:tab w:val="right" w:pos="9026"/>
      </w:tabs>
    </w:pPr>
  </w:style>
  <w:style w:type="character" w:customStyle="1" w:styleId="SubsolCaracter">
    <w:name w:val="Subsol Caracter"/>
    <w:basedOn w:val="Fontdeparagrafimplicit"/>
    <w:link w:val="Subsol"/>
    <w:uiPriority w:val="99"/>
    <w:rsid w:val="002A758A"/>
  </w:style>
  <w:style w:type="character" w:styleId="Numrdepagin">
    <w:name w:val="page number"/>
    <w:basedOn w:val="Fontdeparagrafimplicit"/>
    <w:uiPriority w:val="99"/>
    <w:semiHidden/>
    <w:unhideWhenUsed/>
    <w:rsid w:val="002A7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 /><Relationship Id="rId13" Type="http://schemas.openxmlformats.org/officeDocument/2006/relationships/hyperlink" Target="https://global.toyota/en/company/vision-and-philosophy/production-system/"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amazon.com/ir" TargetMode="External" /><Relationship Id="rId12" Type="http://schemas.openxmlformats.org/officeDocument/2006/relationships/hyperlink" Target="https://www.nytimes.com/"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ofstede-insights.com/"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hbr.org/" TargetMode="External" /><Relationship Id="rId4" Type="http://schemas.openxmlformats.org/officeDocument/2006/relationships/webSettings" Target="webSettings.xml" /><Relationship Id="rId9" Type="http://schemas.openxmlformats.org/officeDocument/2006/relationships/hyperlink" Target="https://www2.deloitte.com/" TargetMode="External" /><Relationship Id="rId14" Type="http://schemas.openxmlformats.org/officeDocument/2006/relationships/hyperlink" Target="https://www.unileve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2566</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2025-11-22T11:22:00Z</dcterms:created>
  <dcterms:modified xsi:type="dcterms:W3CDTF">2025-11-22T11:22:00Z</dcterms:modified>
</cp:coreProperties>
</file>