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F2CFDD7">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color w:val="000000" w:themeColor="text1"/>
          <w:kern w:val="0"/>
          <w:sz w:val="32"/>
          <w:szCs w:val="32"/>
          <w:highlight w:val="none"/>
          <w:lang w:val="en-US" w:eastAsia="zh-CN" w:bidi="ar"/>
          <w14:textFill>
            <w14:solidFill>
              <w14:schemeClr w14:val="tx1"/>
            </w14:solidFill>
          </w14:textFill>
        </w:rPr>
      </w:pPr>
      <w:bookmarkStart w:id="0" w:name="_GoBack"/>
      <w:bookmarkEnd w:id="0"/>
      <w:r>
        <w:rPr>
          <w:rFonts w:hint="default" w:ascii="Times New Roman" w:hAnsi="Times New Roman" w:eastAsia="宋体" w:cs="Times New Roman"/>
          <w:b/>
          <w:bCs/>
          <w:color w:val="000000" w:themeColor="text1"/>
          <w:kern w:val="0"/>
          <w:sz w:val="32"/>
          <w:szCs w:val="32"/>
          <w:highlight w:val="none"/>
          <w:lang w:val="en-US" w:eastAsia="zh-CN" w:bidi="ar"/>
          <w14:textFill>
            <w14:solidFill>
              <w14:schemeClr w14:val="tx1"/>
            </w14:solidFill>
          </w14:textFill>
        </w:rPr>
        <w:t>The Digital Translation and Cultural Communication of Visual Language in Chinese Opera</w:t>
      </w:r>
      <w:r>
        <w:rPr>
          <w:rFonts w:hint="eastAsia" w:ascii="Times New Roman" w:hAnsi="Times New Roman" w:eastAsia="宋体" w:cs="Times New Roman"/>
          <w:b/>
          <w:bCs/>
          <w:color w:val="000000" w:themeColor="text1"/>
          <w:kern w:val="0"/>
          <w:sz w:val="32"/>
          <w:szCs w:val="32"/>
          <w:highlight w:val="none"/>
          <w:lang w:val="en-US" w:eastAsia="zh-CN" w:bidi="ar"/>
          <w14:textFill>
            <w14:solidFill>
              <w14:schemeClr w14:val="tx1"/>
            </w14:solidFill>
          </w14:textFill>
        </w:rPr>
        <w:t>:</w:t>
      </w:r>
      <w:r>
        <w:rPr>
          <w:rFonts w:hint="default" w:ascii="Times New Roman" w:hAnsi="Times New Roman" w:eastAsia="宋体" w:cs="Times New Roman"/>
          <w:b/>
          <w:bCs/>
          <w:color w:val="000000" w:themeColor="text1"/>
          <w:kern w:val="0"/>
          <w:sz w:val="32"/>
          <w:szCs w:val="32"/>
          <w:highlight w:val="none"/>
          <w:lang w:val="en-US" w:eastAsia="zh-CN" w:bidi="ar"/>
          <w14:textFill>
            <w14:solidFill>
              <w14:schemeClr w14:val="tx1"/>
            </w14:solidFill>
          </w14:textFill>
        </w:rPr>
        <w:t>An Analysis of Gen Z’s Sensory Experience and Cultural Identity Based on Hybrid Ethnography</w:t>
      </w:r>
    </w:p>
    <w:p w14:paraId="40EB85AE">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left"/>
        <w:textAlignment w:val="auto"/>
        <w:rPr>
          <w:rFonts w:hint="default" w:ascii="Times New Roman" w:hAnsi="Times New Roman" w:cs="Times New Roman"/>
          <w:b/>
          <w:bCs/>
          <w:color w:val="000000" w:themeColor="text1"/>
          <w:sz w:val="30"/>
          <w:szCs w:val="30"/>
          <w:highlight w:val="none"/>
          <w14:textFill>
            <w14:solidFill>
              <w14:schemeClr w14:val="tx1"/>
            </w14:solidFill>
          </w14:textFill>
        </w:rPr>
      </w:pPr>
      <w:r>
        <w:rPr>
          <w:rFonts w:hint="default" w:ascii="Times New Roman" w:hAnsi="Times New Roman" w:eastAsia="宋体" w:cs="Times New Roman"/>
          <w:b/>
          <w:bCs/>
          <w:color w:val="000000" w:themeColor="text1"/>
          <w:kern w:val="0"/>
          <w:sz w:val="30"/>
          <w:szCs w:val="30"/>
          <w:highlight w:val="none"/>
          <w:lang w:val="en-US" w:eastAsia="zh-CN" w:bidi="ar"/>
          <w14:textFill>
            <w14:solidFill>
              <w14:schemeClr w14:val="tx1"/>
            </w14:solidFill>
          </w14:textFill>
        </w:rPr>
        <w:t>Abstract</w:t>
      </w:r>
    </w:p>
    <w:p w14:paraId="0D8730E8">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This study focuses on how digital media technologies influence the contemporary expression and innovation of the visual language of Chinese opera. It explores the application methods and expressive features of digital media—such as short videos, AI, and VR—in the translation and reconstruction of operatic visual elements. Following a logical framework of "input–processing–output," the research analyzes the media adaptability of opera’s visual genes, the reconstruction pathways of traditional aesthetic styles through digital technologies, and how these changes affect the emotional resonance and cultural identity formation of Generation Z during the viewing experience.</w:t>
      </w:r>
    </w:p>
    <w:p w14:paraId="6A2CD590">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Grounded in a hybrid ethnographic methodology, the study employs four key research methods: case studies, participant observation, in-depth interviews, and rhythmanalysis. It examines platform visual strategies, user interaction behaviors, and perceptual experiences to reveal the interactive mechanisms among visual translation, media logic, and audience experience. By observing both the dissemination paths of digital opera and audience responses, the study addresses the challenges of traditional culture communication in new media environments and explores how visual language can strike a balance between technology and culture.</w:t>
      </w:r>
    </w:p>
    <w:p w14:paraId="03E2F007">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This research not only contributes to a better understanding of the logic behind the digital dissemination of intangible cultural heritage (ICH) on digital platforms but also provides both theoretical and practical insights into the visual reinvention of traditional arts. It offers valuable implications for the digitization of ICH, youth cultural identity, and visual communication studies.</w:t>
      </w:r>
    </w:p>
    <w:p w14:paraId="2D292AB3">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left"/>
        <w:textAlignment w:val="auto"/>
        <w:rPr>
          <w:rFonts w:hint="default" w:ascii="Times New Roman" w:hAnsi="Times New Roman" w:eastAsia="宋体" w:cs="Times New Roman"/>
          <w:b/>
          <w:bCs/>
          <w:color w:val="000000" w:themeColor="text1"/>
          <w:kern w:val="0"/>
          <w:sz w:val="30"/>
          <w:szCs w:val="30"/>
          <w:highlight w:val="none"/>
          <w:lang w:val="en-US" w:eastAsia="zh-CN" w:bidi="ar"/>
          <w14:textFill>
            <w14:solidFill>
              <w14:schemeClr w14:val="tx1"/>
            </w14:solidFill>
          </w14:textFill>
        </w:rPr>
      </w:pPr>
      <w:r>
        <w:rPr>
          <w:rFonts w:hint="default" w:ascii="Times New Roman" w:hAnsi="Times New Roman" w:eastAsia="宋体" w:cs="Times New Roman"/>
          <w:b/>
          <w:bCs/>
          <w:color w:val="000000" w:themeColor="text1"/>
          <w:kern w:val="0"/>
          <w:sz w:val="30"/>
          <w:szCs w:val="30"/>
          <w:highlight w:val="none"/>
          <w:lang w:val="en-US" w:eastAsia="zh-CN" w:bidi="ar"/>
          <w14:textFill>
            <w14:solidFill>
              <w14:schemeClr w14:val="tx1"/>
            </w14:solidFill>
          </w14:textFill>
        </w:rPr>
        <w:t>1 Introduction</w:t>
      </w:r>
    </w:p>
    <w:p w14:paraId="2A4C2C99">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cs="Times New Roman"/>
          <w:color w:val="000000" w:themeColor="text1"/>
          <w:sz w:val="28"/>
          <w:szCs w:val="28"/>
          <w:highlight w:val="none"/>
          <w14:textFill>
            <w14:solidFill>
              <w14:schemeClr w14:val="tx1"/>
            </w14:solidFill>
          </w14:textFill>
        </w:rPr>
      </w:pPr>
      <w:r>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t>1.1</w:t>
      </w:r>
      <w:r>
        <w:rPr>
          <w:rFonts w:hint="default" w:ascii="Times New Roman" w:hAnsi="Times New Roman" w:cs="Times New Roman"/>
          <w:b/>
          <w:bCs/>
          <w:color w:val="000000" w:themeColor="text1"/>
          <w:kern w:val="0"/>
          <w:sz w:val="28"/>
          <w:szCs w:val="28"/>
          <w:highlight w:val="none"/>
          <w:lang w:val="en-US" w:eastAsia="zh-CN" w:bidi="ar"/>
          <w14:textFill>
            <w14:solidFill>
              <w14:schemeClr w14:val="tx1"/>
            </w14:solidFill>
          </w14:textFill>
        </w:rPr>
        <w:t xml:space="preserve"> </w:t>
      </w:r>
      <w:r>
        <w:rPr>
          <w:rFonts w:hint="default" w:ascii="Times New Roman" w:hAnsi="Times New Roman" w:cs="Times New Roman"/>
          <w:color w:val="000000" w:themeColor="text1"/>
          <w:sz w:val="28"/>
          <w:szCs w:val="28"/>
          <w:highlight w:val="none"/>
          <w14:textFill>
            <w14:solidFill>
              <w14:schemeClr w14:val="tx1"/>
            </w14:solidFill>
          </w14:textFill>
        </w:rPr>
        <w:t>Research Background and Problem Statement</w:t>
      </w:r>
    </w:p>
    <w:p w14:paraId="53641BD5">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000000" w:themeColor="text1"/>
          <w:sz w:val="24"/>
          <w:szCs w:val="24"/>
          <w:highlight w:val="none"/>
          <w:lang w:val="en-US" w:eastAsia="zh-CN"/>
          <w14:textFill>
            <w14:solidFill>
              <w14:schemeClr w14:val="tx1"/>
            </w14:solidFill>
          </w14:textFill>
        </w:rPr>
      </w:pP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 xml:space="preserve">As a comprehensive stage art that integrates performance, music, narrative, and visual design, Chinese opera embodies rich historical memory and aesthetic tradition. Its unique visual expression system—including facial makeup, costumes, stylized gestures, stage choreography, and color schemes—is not only highly formalized and symbolic, but also reflects deep cultural connotations and aesthetic logic. </w:t>
      </w:r>
    </w:p>
    <w:p w14:paraId="00E4AE83">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000000" w:themeColor="text1"/>
          <w:sz w:val="24"/>
          <w:szCs w:val="24"/>
          <w:highlight w:val="none"/>
          <w:lang w:val="en-US" w:eastAsia="zh-CN"/>
          <w14:textFill>
            <w14:solidFill>
              <w14:schemeClr w14:val="tx1"/>
            </w14:solidFill>
          </w14:textFill>
        </w:rPr>
      </w:pPr>
    </w:p>
    <w:p w14:paraId="76BE2FEB">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000000" w:themeColor="text1"/>
          <w:sz w:val="24"/>
          <w:szCs w:val="24"/>
          <w:highlight w:val="none"/>
          <w:lang w:val="en-US" w:eastAsia="zh-CN"/>
          <w14:textFill>
            <w14:solidFill>
              <w14:schemeClr w14:val="tx1"/>
            </w14:solidFill>
          </w14:textFill>
        </w:rPr>
      </w:pPr>
    </w:p>
    <w:p w14:paraId="037B3CBD">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000000" w:themeColor="text1"/>
          <w:sz w:val="24"/>
          <w:szCs w:val="24"/>
          <w:highlight w:val="none"/>
          <w:lang w:val="en-US" w:eastAsia="zh-CN"/>
          <w14:textFill>
            <w14:solidFill>
              <w14:schemeClr w14:val="tx1"/>
            </w14:solidFill>
          </w14:textFill>
        </w:rPr>
      </w:pPr>
    </w:p>
    <w:p w14:paraId="64A3C924">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000000" w:themeColor="text1"/>
          <w:sz w:val="24"/>
          <w:szCs w:val="24"/>
          <w:highlight w:val="none"/>
          <w:lang w:val="en-US" w:eastAsia="zh-CN"/>
          <w14:textFill>
            <w14:solidFill>
              <w14:schemeClr w14:val="tx1"/>
            </w14:solidFill>
          </w14:textFill>
        </w:rPr>
      </w:pP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In today’s rapidly globalizing world, preserving traditional art forms has become an increasingly complex and challenging task.</w:t>
      </w:r>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 xml:space="preserve">Despite its protection from UNESCO and all efforts to modernize and commercialize it, the traditional Chinese theater is in steady decline in China. Its viewers have been dwindling over the years </w:t>
      </w: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(Edström, 2018). With the rapid development of information technology and the pervasive influence of digital media, Chinese opera is increasingly transformed into a consumable and re-creatable cultural resource. As Wang (2022) points out, there exists a structural tension between the slow-paced rhythm of traditional opera and the fast-paced dissemination logic of social media. Platform mechanisms compel adjustments in rhythm, framing, and symbolic representation to compete for attention, thereby altering not only the modes of expression but also the audience’s modes of cultural comprehension. On these platforms, opera is frequently presented through personification, remixing, and AI face-swapping techniques. Gen Z audiences engage through behaviors such as reposting, imitation, and secondary creation. These transformations not only reshape the aesthetic structure of opera but also shift how audiences—especially Gen Z—understand and identify with traditional operatic culture.</w:t>
      </w:r>
    </w:p>
    <w:p w14:paraId="5A25B296">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Therefore, the central questions of this study are: How is the visual aesthetics of Chinese opera being re-encoded within a media environment dominated by platform-driven cultural production logic? Do Gen Z viewers form new emotional connections and cultural identities in the viewing process? This is not only a matter of artistic re-expression, but also a critical inquiry into how traditional culture is being reinterpreted and re-accepted in the digital age.</w:t>
      </w:r>
    </w:p>
    <w:p w14:paraId="137CD6C2">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pPr>
      <w:r>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t>1.2 Theoretical Framework and Research Significance</w:t>
      </w:r>
    </w:p>
    <w:p w14:paraId="05BB6806">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In the face of rapidly evolving media environments, the visual language of traditional Chinese opera is being profoundly shaped and reconstructed by platform-driven logic. This study draws upon the perspectives of two influential theorists—Marshall McLuhan’s theory</w:t>
      </w:r>
      <w:r>
        <w:rPr>
          <w:rFonts w:hint="default" w:ascii="Times New Roman" w:hAnsi="Times New Roman" w:cs="Times New Roman"/>
          <w:color w:val="000000" w:themeColor="text1"/>
          <w:sz w:val="24"/>
          <w:szCs w:val="24"/>
          <w:highlight w:val="none"/>
          <w:lang w:val="en-US"/>
          <w14:textFill>
            <w14:solidFill>
              <w14:schemeClr w14:val="tx1"/>
            </w14:solidFill>
          </w14:textFill>
        </w:rPr>
        <w:t xml:space="preserve"> </w:t>
      </w:r>
      <w:r>
        <w:rPr>
          <w:rFonts w:hint="default" w:ascii="Times New Roman" w:hAnsi="Times New Roman" w:cs="Times New Roman"/>
          <w:color w:val="000000" w:themeColor="text1"/>
          <w:sz w:val="24"/>
          <w:szCs w:val="24"/>
          <w:highlight w:val="none"/>
          <w14:textFill>
            <w14:solidFill>
              <w14:schemeClr w14:val="tx1"/>
            </w14:solidFill>
          </w14:textFill>
        </w:rPr>
        <w:t>of</w:t>
      </w:r>
      <w:r>
        <w:rPr>
          <w:rFonts w:hint="default" w:ascii="Times New Roman" w:hAnsi="Times New Roman" w:cs="Times New Roman"/>
          <w:color w:val="000000" w:themeColor="text1"/>
          <w:sz w:val="24"/>
          <w:szCs w:val="24"/>
          <w:highlight w:val="none"/>
          <w:lang w:val="en-US"/>
          <w14:textFill>
            <w14:solidFill>
              <w14:schemeClr w14:val="tx1"/>
            </w14:solidFill>
          </w14:textFill>
        </w:rPr>
        <w:t xml:space="preserve"> “</w:t>
      </w:r>
      <w:r>
        <w:rPr>
          <w:rFonts w:hint="default" w:ascii="Times New Roman" w:hAnsi="Times New Roman" w:cs="Times New Roman"/>
          <w:color w:val="000000" w:themeColor="text1"/>
          <w:sz w:val="24"/>
          <w:szCs w:val="24"/>
          <w:highlight w:val="none"/>
          <w14:textFill>
            <w14:solidFill>
              <w14:schemeClr w14:val="tx1"/>
            </w14:solidFill>
          </w14:textFill>
        </w:rPr>
        <w:t>the medium is the message” and Stuart Hall’s “encoding/decoding” model—to construct its theoretical framework. These two theories provide a dual lens for understanding the dissemination mechanism of digital opera: one focusing on how technology shapes content structure, and the other on how audiences reconstruct cultural meaning.</w:t>
      </w:r>
    </w:p>
    <w:p w14:paraId="4BD9287A">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McLuhan posits that the form of a medium determines the way content is expressed and perceived. On short video platforms, the stage rhythm and visual style of opera are compressed and fragmented, transformed into fast-paced visual symbols tailored to algorithmic logic. As noted by</w:t>
      </w:r>
      <w:r>
        <w:rPr>
          <w:rFonts w:hint="default" w:ascii="Times New Roman" w:hAnsi="Times New Roman" w:cs="Times New Roman"/>
          <w:color w:val="000000" w:themeColor="text1"/>
          <w:sz w:val="24"/>
          <w:szCs w:val="24"/>
          <w:highlight w:val="none"/>
          <w:lang w:val="en-US"/>
          <w14:textFill>
            <w14:solidFill>
              <w14:schemeClr w14:val="tx1"/>
            </w14:solidFill>
          </w14:textFill>
        </w:rPr>
        <w:t xml:space="preserve"> (</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Li, 2025a),</w:t>
      </w:r>
      <w:r>
        <w:rPr>
          <w:rFonts w:hint="default" w:ascii="Times New Roman" w:hAnsi="Times New Roman" w:cs="Times New Roman"/>
          <w:color w:val="000000" w:themeColor="text1"/>
          <w:sz w:val="24"/>
          <w:szCs w:val="24"/>
          <w:highlight w:val="none"/>
          <w14:textFill>
            <w14:solidFill>
              <w14:schemeClr w14:val="tx1"/>
            </w14:solidFill>
          </w14:textFill>
        </w:rPr>
        <w:t xml:space="preserve"> integrated media communication emphasizes the “deep involvement of technical platforms in content restructuring and rhythm transformation,” which not only alters the logic of opera dissemination but also reshapes its visual style and the audience’s attention patterns. For instance, TikTok’s recommendation algorithm accelerates the operatic stage language, signaling that the visual aesthetics of opera are undergoing re-coding and redesign under the dominance of platform logic.</w:t>
      </w:r>
    </w:p>
    <w:p w14:paraId="33368600">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eastAsiaTheme="minorEastAsia"/>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cs="Times New Roman" w:eastAsiaTheme="minorEastAsia"/>
          <w:color w:val="000000" w:themeColor="text1"/>
          <w:kern w:val="0"/>
          <w:sz w:val="24"/>
          <w:szCs w:val="24"/>
          <w:highlight w:val="none"/>
          <w:lang w:val="en-US" w:eastAsia="zh-CN" w:bidi="ar"/>
          <w14:textFill>
            <w14:solidFill>
              <w14:schemeClr w14:val="tx1"/>
            </w14:solidFill>
          </w14:textFill>
        </w:rPr>
        <w:t>At the same time, Stuart Hall emphasizes that the meaning within the communication process is not solely determined by the medium itself, but is constantly negotiated and reconstructed by the audience during the act of viewing. Audience interpretation is often shaped by individual media experiences and cultural backgrounds, resulting in diverse—and at times divergent—readings of the same content. This phenomenon of "decoding difference" highlights visual communication as an ongoing cultural practice marked by negotiation and contestation.</w:t>
      </w:r>
    </w:p>
    <w:p w14:paraId="62E13C73">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eastAsiaTheme="minorEastAsia"/>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cs="Times New Roman" w:eastAsiaTheme="minorEastAsia"/>
          <w:color w:val="000000" w:themeColor="text1"/>
          <w:kern w:val="0"/>
          <w:sz w:val="24"/>
          <w:szCs w:val="24"/>
          <w:highlight w:val="none"/>
          <w:lang w:val="en-US" w:eastAsia="zh-CN" w:bidi="ar"/>
          <w14:textFill>
            <w14:solidFill>
              <w14:schemeClr w14:val="tx1"/>
            </w14:solidFill>
          </w14:textFill>
        </w:rPr>
        <w:t>In summary,</w:t>
      </w:r>
      <w:r>
        <w:rPr>
          <w:rFonts w:hint="default" w:ascii="Times New Roman" w:hAnsi="Times New Roman" w:cs="Times New Roman"/>
          <w:color w:val="000000" w:themeColor="text1"/>
          <w:kern w:val="0"/>
          <w:sz w:val="24"/>
          <w:szCs w:val="24"/>
          <w:highlight w:val="none"/>
          <w:lang w:val="en-US" w:eastAsia="zh-CN" w:bidi="ar"/>
          <w14:textFill>
            <w14:solidFill>
              <w14:schemeClr w14:val="tx1"/>
            </w14:solidFill>
          </w14:textFill>
        </w:rPr>
        <w:t xml:space="preserve"> b</w:t>
      </w:r>
      <w:r>
        <w:rPr>
          <w:rFonts w:hint="default" w:ascii="Times New Roman" w:hAnsi="Times New Roman" w:cs="Times New Roman"/>
          <w:color w:val="000000" w:themeColor="text1"/>
          <w:sz w:val="24"/>
          <w:szCs w:val="24"/>
          <w:highlight w:val="none"/>
          <w14:textFill>
            <w14:solidFill>
              <w14:schemeClr w14:val="tx1"/>
            </w14:solidFill>
          </w14:textFill>
        </w:rPr>
        <w:t>y integrating McLuhan’s media determinism with Hall’s emphasis on audience agency, this study not only investigates how technology restructures traditional art forms but also examines how Gen Z audiences decode and reinterpret operatic visuals within digital environments. This dual-theoretical approach provides a comprehensive framework for analyzing both the technological transformation of cultural forms and the socio-cultural dynamics of meaning-making in the digital age.</w:t>
      </w:r>
      <w:r>
        <w:rPr>
          <w:rFonts w:hint="default" w:ascii="Times New Roman" w:hAnsi="Times New Roman" w:cs="Times New Roman"/>
          <w:color w:val="000000" w:themeColor="text1"/>
          <w:sz w:val="24"/>
          <w:szCs w:val="24"/>
          <w:highlight w:val="none"/>
          <w:lang w:val="en-US"/>
          <w14:textFill>
            <w14:solidFill>
              <w14:schemeClr w14:val="tx1"/>
            </w14:solidFill>
          </w14:textFill>
        </w:rPr>
        <w:t xml:space="preserve"> </w:t>
      </w:r>
      <w:r>
        <w:rPr>
          <w:rFonts w:hint="default" w:ascii="Times New Roman" w:hAnsi="Times New Roman" w:cs="Times New Roman"/>
          <w:color w:val="000000" w:themeColor="text1"/>
          <w:sz w:val="24"/>
          <w:szCs w:val="24"/>
          <w:highlight w:val="none"/>
          <w14:textFill>
            <w14:solidFill>
              <w14:schemeClr w14:val="tx1"/>
            </w14:solidFill>
          </w14:textFill>
        </w:rPr>
        <w:t>The research holds significance for several fields. For media and cultural studies, it deepens the understanding of how traditional arts are transformed in the age of digital media. For visual communication, it offers insights into the evolving grammar of cultural expression on algorithm-driven platforms. And for heritage preservation and youth identity studies, it sheds light on how digital re-creations of intangible cultural heritage contribute to the reconfiguration of cultural identity among younger generations.</w:t>
      </w:r>
    </w:p>
    <w:p w14:paraId="564CEF67">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t>1.3Research Objectives, Questions, and Chapter Structure</w:t>
      </w:r>
    </w:p>
    <w:p w14:paraId="231C7189">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As traditional visual culture continues to migrate onto digital platforms, the visual language of Chinese opera is being translated and reconstructed under the influence of platform logic, technological intervention, and user participation. Rather than merely describing media transformations, this study focuses on a deeper inquiry: when opera enters the digital context, how is its visual expression reinterpreted, and can it foster new forms of cultural connection and identity resonance?</w:t>
      </w:r>
    </w:p>
    <w:p w14:paraId="699FC022">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The core objectives of this study are as follows:</w:t>
      </w:r>
    </w:p>
    <w:p w14:paraId="7A080AAB">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（1）To explore, from a visual perspective, the modes of expression and translation logic of Chinese opera within the digital media environment.</w:t>
      </w:r>
    </w:p>
    <w:p w14:paraId="5E4ACF77">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（2）To analyze how Gen Z audiences perceive, interact with, and interpret digital opera content, and how these processes contribute to their sense of cultural belonging.</w:t>
      </w:r>
    </w:p>
    <w:p w14:paraId="275958FA">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（3）To reveal how platform-driven visual mechanisms intervene in the dissemination and identity construction of opera, and how they affect audience reception, interpretive depth, and emotional response.</w:t>
      </w:r>
    </w:p>
    <w:p w14:paraId="75EE991D">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To address these questions, this study will adopt a hybrid ethnographic methodology, combining platform observation, case analysis, in-depth interviews, and rhythmanalysis to carry out a multidimensional exploration and cultural analysis. The dissertation is divided into five chapters: research background and theoretical foundations, literature review, methodological design, analysis and discussion, and research conclusion. The final section will propose directions for further research.</w:t>
      </w:r>
    </w:p>
    <w:p w14:paraId="0A29664F">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left"/>
        <w:textAlignment w:val="auto"/>
        <w:rPr>
          <w:rFonts w:hint="default" w:ascii="Times New Roman" w:hAnsi="Times New Roman" w:eastAsia="宋体" w:cs="Times New Roman"/>
          <w:b/>
          <w:bCs/>
          <w:color w:val="000000" w:themeColor="text1"/>
          <w:kern w:val="0"/>
          <w:sz w:val="30"/>
          <w:szCs w:val="30"/>
          <w:highlight w:val="none"/>
          <w:lang w:val="en-US" w:eastAsia="zh-CN" w:bidi="ar"/>
          <w14:textFill>
            <w14:solidFill>
              <w14:schemeClr w14:val="tx1"/>
            </w14:solidFill>
          </w14:textFill>
        </w:rPr>
      </w:pPr>
      <w:r>
        <w:rPr>
          <w:rFonts w:hint="default" w:ascii="Times New Roman" w:hAnsi="Times New Roman" w:eastAsia="宋体" w:cs="Times New Roman"/>
          <w:b/>
          <w:bCs/>
          <w:color w:val="000000" w:themeColor="text1"/>
          <w:kern w:val="0"/>
          <w:sz w:val="30"/>
          <w:szCs w:val="30"/>
          <w:highlight w:val="none"/>
          <w:lang w:val="en-US" w:eastAsia="zh-CN" w:bidi="ar"/>
          <w14:textFill>
            <w14:solidFill>
              <w14:schemeClr w14:val="tx1"/>
            </w14:solidFill>
          </w14:textFill>
        </w:rPr>
        <w:t>2 Literature Review: From Traditional Opera Visuals to Digital Communication and Cultural Identity</w:t>
      </w:r>
    </w:p>
    <w:p w14:paraId="289F9DE1">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The literature review is divided into three thematic sections, focusing respectively on aesthetic genes, media translation, and user experience. Due to space constraints, this chapter will concentrate on the first two research sub-objectives: namely, the media adaptability of operatic visual genes and the mechanisms of translating traditional visual styles in digital media.</w:t>
      </w:r>
    </w:p>
    <w:p w14:paraId="0C5E8DFE">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The third aspect—audience emotional resonance and the construction of cultural identity through digital opera experiences—will not be addressed in this chapter.</w:t>
      </w:r>
    </w:p>
    <w:p w14:paraId="47751A88">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pPr>
      <w:r>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t>2.1 Study on the Adaptability of Chinese Opera Visuals to Digital Media Communication</w:t>
      </w:r>
    </w:p>
    <w:p w14:paraId="65E9CA95">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Chinese opera, as a comprehensive art form with rich visual characteristics in traditional Chinese culture, has a visual language system (including costumes, face painting, color schemes, stage movements, etc.) that embodies profound cultural symbolism. However, whether this highly codified visual expression is well-suited for communication in the digital media context is a question worth exploring.</w:t>
      </w:r>
    </w:p>
    <w:p w14:paraId="4E81AE4D">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 xml:space="preserve">First, effectively identifying the visual cultural genes of opera is a fundamental prerequisite for determining whether it can be effectively translated by digital media. The visual genes of opera include not only costume design, facial makeup, and color systems but also spatial rhythm and visual narrative logic. These elements form a unique aesthetic structure and visual grammar, making opera inherently "visual and transmissible." For example, in </w:t>
      </w:r>
      <w:r>
        <w:rPr>
          <w:rFonts w:hint="default" w:ascii="Times New Roman" w:hAnsi="Times New Roman" w:cs="Times New Roman"/>
          <w:color w:val="000000" w:themeColor="text1"/>
          <w:sz w:val="24"/>
          <w:szCs w:val="24"/>
          <w:highlight w:val="none"/>
          <w:lang w:val="en-US"/>
          <w14:textFill>
            <w14:solidFill>
              <w14:schemeClr w14:val="tx1"/>
            </w14:solidFill>
          </w14:textFill>
        </w:rPr>
        <w:t>H</w:t>
      </w: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enan</w:t>
      </w:r>
      <w:r>
        <w:rPr>
          <w:rFonts w:hint="default" w:ascii="Times New Roman" w:hAnsi="Times New Roman" w:cs="Times New Roman"/>
          <w:color w:val="000000" w:themeColor="text1"/>
          <w:sz w:val="24"/>
          <w:szCs w:val="24"/>
          <w:highlight w:val="none"/>
          <w14:textFill>
            <w14:solidFill>
              <w14:schemeClr w14:val="tx1"/>
            </w14:solidFill>
          </w14:textFill>
        </w:rPr>
        <w:t xml:space="preserve"> Opera, its visual language is reflected in the "high-pitched and bright" musical rhythm, combined with highly saturated colors, large movements, and exaggerated costume expressions </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(Chen and Chonpairot, 2023)</w:t>
      </w:r>
      <w:r>
        <w:rPr>
          <w:rFonts w:hint="default" w:ascii="Times New Roman" w:hAnsi="Times New Roman" w:cs="Times New Roman"/>
          <w:color w:val="000000" w:themeColor="text1"/>
          <w:sz w:val="24"/>
          <w:szCs w:val="24"/>
          <w:highlight w:val="none"/>
          <w14:textFill>
            <w14:solidFill>
              <w14:schemeClr w14:val="tx1"/>
            </w14:solidFill>
          </w14:textFill>
        </w:rPr>
        <w:t xml:space="preserve">. At the same time, existing studies generally agree that the visual expression of opera shows significant potential for digital adaptability. </w:t>
      </w:r>
    </w:p>
    <w:p w14:paraId="08F94136">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Zhang (202</w:t>
      </w: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4</w:t>
      </w:r>
      <w:r>
        <w:rPr>
          <w:rFonts w:hint="default" w:ascii="Times New Roman" w:hAnsi="Times New Roman" w:cs="Times New Roman"/>
          <w:color w:val="000000" w:themeColor="text1"/>
          <w:sz w:val="24"/>
          <w:szCs w:val="24"/>
          <w:highlight w:val="none"/>
          <w14:textFill>
            <w14:solidFill>
              <w14:schemeClr w14:val="tx1"/>
            </w14:solidFill>
          </w14:textFill>
        </w:rPr>
        <w:t xml:space="preserve">) states that </w:t>
      </w:r>
      <w:r>
        <w:rPr>
          <w:rFonts w:hint="default" w:ascii="Times New Roman" w:hAnsi="Times New Roman" w:cs="Times New Roman"/>
          <w:color w:val="000000" w:themeColor="text1"/>
          <w:sz w:val="24"/>
          <w:szCs w:val="24"/>
          <w:highlight w:val="none"/>
          <w:lang w:val="en-US"/>
          <w14:textFill>
            <w14:solidFill>
              <w14:schemeClr w14:val="tx1"/>
            </w14:solidFill>
          </w14:textFill>
        </w:rPr>
        <w:t>H</w:t>
      </w: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enan</w:t>
      </w:r>
      <w:r>
        <w:rPr>
          <w:rFonts w:hint="default" w:ascii="Times New Roman" w:hAnsi="Times New Roman" w:cs="Times New Roman"/>
          <w:color w:val="000000" w:themeColor="text1"/>
          <w:sz w:val="24"/>
          <w:szCs w:val="24"/>
          <w:highlight w:val="none"/>
          <w14:textFill>
            <w14:solidFill>
              <w14:schemeClr w14:val="tx1"/>
            </w14:solidFill>
          </w14:textFill>
        </w:rPr>
        <w:t xml:space="preserve"> Opera, through video websites and online games, has expanded its audience boundaries. Its visual characteristics are easily recognizable and transmissible in social media environments. This "visual equals content" mechanism effectively enhances the visibility and interactivity of opera on digital platforms. The contribution of this study lies in its initial exploration of the plasticity and dissemination efficiency of opera’s visual elements within digital media environments. However, it also has limitations. The research primarily focuses on enhancing visibility and expanding dissemination channels, with limited attention to how visual translation might transform opera’s narrative structure, bodily aesthetics, and cultural meanings.</w:t>
      </w:r>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A</w:t>
      </w:r>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s</w:t>
      </w:r>
      <w:r>
        <w:rPr>
          <w:rFonts w:hint="default" w:ascii="Times New Roman" w:hAnsi="Times New Roman" w:cs="Times New Roman"/>
          <w:color w:val="000000" w:themeColor="text1"/>
          <w:sz w:val="24"/>
          <w:szCs w:val="24"/>
          <w:highlight w:val="none"/>
          <w14:textFill>
            <w14:solidFill>
              <w14:schemeClr w14:val="tx1"/>
            </w14:solidFill>
          </w14:textFill>
        </w:rPr>
        <w:t xml:space="preserve"> </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 xml:space="preserve">Fan and Zhou (2021) </w:t>
      </w:r>
      <w:r>
        <w:rPr>
          <w:rFonts w:hint="default" w:ascii="Times New Roman" w:hAnsi="Times New Roman" w:cs="Times New Roman"/>
          <w:color w:val="000000" w:themeColor="text1"/>
          <w:sz w:val="24"/>
          <w:szCs w:val="24"/>
          <w:highlight w:val="none"/>
          <w14:textFill>
            <w14:solidFill>
              <w14:schemeClr w14:val="tx1"/>
            </w14:solidFill>
          </w14:textFill>
        </w:rPr>
        <w:t xml:space="preserve">using the example of "#Who says Peking Opera is not on </w:t>
      </w:r>
      <w:r>
        <w:rPr>
          <w:rFonts w:hint="default" w:ascii="Times New Roman" w:hAnsi="Times New Roman" w:cs="Times New Roman"/>
          <w:color w:val="000000" w:themeColor="text1"/>
          <w:sz w:val="24"/>
          <w:szCs w:val="24"/>
          <w:highlight w:val="none"/>
          <w:lang w:val="en-US"/>
          <w14:textFill>
            <w14:solidFill>
              <w14:schemeClr w14:val="tx1"/>
            </w14:solidFill>
          </w14:textFill>
        </w:rPr>
        <w:t>Tik Tok</w:t>
      </w:r>
      <w:r>
        <w:rPr>
          <w:rFonts w:hint="default" w:ascii="Times New Roman" w:hAnsi="Times New Roman" w:cs="Times New Roman"/>
          <w:color w:val="000000" w:themeColor="text1"/>
          <w:sz w:val="24"/>
          <w:szCs w:val="24"/>
          <w:highlight w:val="none"/>
          <w14:textFill>
            <w14:solidFill>
              <w14:schemeClr w14:val="tx1"/>
            </w14:solidFill>
          </w14:textFill>
        </w:rPr>
        <w:t>," reveals that Peking Opera content on short video platforms is often adapted into plot twists or playful mashups to cater to younger audiences' viewing habits. While this trend increases the activity and participation of opera content, it could also lead to the dilution of its core cultural meaning, causing the "visual genes" to gradually lose their original symbolic depth and cultural significance during dissemination.</w:t>
      </w:r>
    </w:p>
    <w:p w14:paraId="2D5BEE8C">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 xml:space="preserve">Moreover, research shows that the effectiveness of visual communication is significantly influenced by the audience's cultural understanding. As pointed out in </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Chung (2021)</w:t>
      </w:r>
      <w:r>
        <w:rPr>
          <w:rFonts w:hint="default" w:ascii="Times New Roman" w:hAnsi="Times New Roman" w:cs="Times New Roman"/>
          <w:color w:val="000000" w:themeColor="text1"/>
          <w:sz w:val="24"/>
          <w:szCs w:val="24"/>
          <w:highlight w:val="none"/>
          <w14:textFill>
            <w14:solidFill>
              <w14:schemeClr w14:val="tx1"/>
            </w14:solidFill>
          </w14:textFill>
        </w:rPr>
        <w:t>, the face painting of Cantonese opera's "Jing Jiao" (clean character) is easily misinterpreted as a comical or caricatured image in cross-cultural communication contexts lacking explanatory mechanisms. Audiences without relevant cultural background are unable to grasp the symbolic meaning of its "righteous" and positive character traits. This demonstrates that, even if the visual form has communication advantages, it must rely on appropriate contextual construction and cultural interpretation mechanisms to achieve effective cultural transmission.</w:t>
      </w:r>
    </w:p>
    <w:p w14:paraId="55CCE4E6">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 xml:space="preserve">Finally, on a technical level, visual adaptability is also influenced by the media tools themselves. Li (2023) argues that immersive media, such as virtual reality, enhances the experience of intangible cultural heritage. However, if the original rhythm and symbolic system are not respected, it may disrupt the narrative logic and aesthetic coherence of opera. This perspective highlights that, on one hand, technological applications should be consciously designed and adjusted in accordance with the narrative rhythm, visual symbolism, and ritualistic nature of traditional opera. On the other hand, the participatory and interactive characteristics of digital environments compel designers to rethink the encoding of traditional aesthetic elements, ensuring that cultural meanings are fully conveyed within the new media context rather than being excessively consumed or distorted.This discussion points to a crucial value orientation for future practices in digital heritage transmission. </w:t>
      </w:r>
    </w:p>
    <w:p w14:paraId="4A0229D0">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11"/>
          <w:szCs w:val="11"/>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In conclusion, the visual genes of opera have strong potential for digital communication due to their vivid, bold, rhythmic, and regional characteristics, making them well-suited for visually dominant media environments. However, this adaptability is not unconditional and still requires the collaborative functioning of platform mechanisms, audience context, and technological logic. While existing research offers a theoretical foundation for understanding the digital potential of opera’s visual language, systematic explanations of visual symbol translatability, cultural interpretation mechanisms, and boundary conditions remain limited. Further theoretical development and empirical studies are needed to deepen insights into opera’s visual translation in digital contexts.</w:t>
      </w:r>
    </w:p>
    <w:p w14:paraId="46C54E5D">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pPr>
      <w:r>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t>2.2 How Digital Media Reshapes the Visual Style of Chinese Opera: Translation Mechanisms and Technical Paths</w:t>
      </w:r>
    </w:p>
    <w:p w14:paraId="28C88BB0">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This section will further explore how digital media—especially AI, VR/AR, short videos, and others—serve as technological platforms for visual translation, reshaping the aesthetic logic, expressive styles, and audience perception pathways of Chinese opera. The term “visual translation” here refers not only to the transplantation of formal aspects but also to the reorganization and recreation of perception modes, communication rhythms, and cultural symbol systems in the context of new media.</w:t>
      </w:r>
    </w:p>
    <w:p w14:paraId="203D9922">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Short video platforms have shifted opera dissemination from a stage-centered to an interface-centered logic. Using Tik Tok as an example, Su (2024) notes that Peking Opera short videos have moved beyond traditional "spectatorial" viewing to create emotional resonance and community through interactive ritual chains. For instance, Peking Opera influencer "Guo Xiaojing" posted a backstage makeup video that generated collective excitement, garnering 170 million views and high engagement across likes, comments, and shares. This case shows how short video platforms reframe Peking Opera’s visual style through de-formalization and everyday presentation, making traditional elements like costumes, makeup, and gestures more relatable to younger audiences.</w:t>
      </w:r>
    </w:p>
    <w:p w14:paraId="3ACC0F5A">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Su (2024) also highlights The Peony Pavilion, a Kunqu Opera educational game developed with the Unity engine, as a model for interactive dissemination. The game transforms Kunqu’s narrative rhythm into virtual scenes, divided into stages such as "Before the Dream" and "Dreaming," where players complete interactive tasks to advance. This reconfigures opera’s lyrical and symbolic style into modular, task-driven experiences suited for user-led, nonlinear exploration.These cases offer valuable insights: human-machine co-creation is emerging as a new norm; integrating opera and gaming through engines like Unity promotes participatory narrative development; and traditional opera’s interplay of reality and illusion naturally lends itself to virtual migration, and the concept of "multimodal interaction" further supports the visual aesthetic analysis within this research.</w:t>
      </w:r>
    </w:p>
    <w:p w14:paraId="2E2050E8">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Second, AI and virtual simulation technologies reconstruct the path of visual symbol generation. Liu, K., Zhou et al., (2022) points out that digital modeling and 3D visualization allow Yue Opera costumes to move away from physical stages and transform into culturally interactive digital assets. This research examines how 3D virtual simulation technology digitizes Yue Opera costumes and applies opera elements to modern fashion design, promoting the digital preservation and dissemination of traditional culture. These technologies enhance both the flexibility of element dissemination and the preservation and display of costume culture. By extracting elements and extending them into modern design, they build a bridge from "opera visual language" to "modern communication imagery." This supports the study's focus on the deconstruction and regeneration of visual language in digital spaces and offers a case for analyzing the link between "opera styling, modern technology, and emotional identity."</w:t>
      </w:r>
    </w:p>
    <w:p w14:paraId="5D8E4DBA">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Moreover, visual re-encoding is amplified in more interactive media environments. Wang (2024), analyzing the Nuo Opera App interface design, notes that traditional elements like Nuo masks must reconstruct visual guidance logic to adapt to touchscreen operations and user interaction. This shift from "front-stage aesthetics" to "interface control" alters the rhythm and meaning-generation pathways of traditional opera visuals. However, due to a small sample size and lack of development and user testing, further studies are needed on multi-platform synchronization, content co-creation, and dynamic updates.</w:t>
      </w:r>
    </w:p>
    <w:p w14:paraId="697ABA6B">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In terms of platform logic, Jin and Tan (2023) argue that the "visual tag" mechanism in short video dissemination intensifies the selective use of traditional opera symbols. Fast-paced editing, popular filters, and close-up shots encourage creators to prioritize highly recognizable visuals, such as face-changing performances, grand entrances, and vivid costumes, steering opera aesthetics toward consumer pleasure. While "cultural IP development" targeting young audiences enhances transmissibility, it risks promoting superficiality and weakening symbolic depth. Future research should further explore these mechanisms through user data, dissemination experiments, and platform analysis.</w:t>
      </w:r>
    </w:p>
    <w:p w14:paraId="1C1A516A">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Although current research provides valuable insights into understanding the reconstruction mechanisms of opera visuals in digital media, it still has limitations. First, most studies focus on “how technology presents tradition,” with less exploration on how technology triggers the audience’s re-perception of traditional visuals and emotional shifts. Second, there is a lack of horizontal comparisons between platforms’ visual encoding strategies, and there is little theoretical construction on how technological logic reshapes cultural identity pathways.</w:t>
      </w:r>
      <w:r>
        <w:rPr>
          <w:rFonts w:hint="default" w:ascii="Times New Roman" w:hAnsi="Times New Roman" w:cs="Times New Roman"/>
          <w:color w:val="000000" w:themeColor="text1"/>
          <w:sz w:val="24"/>
          <w:szCs w:val="24"/>
          <w:highlight w:val="none"/>
          <w:lang w:val="en-US"/>
          <w14:textFill>
            <w14:solidFill>
              <w14:schemeClr w14:val="tx1"/>
            </w14:solidFill>
          </w14:textFill>
        </w:rPr>
        <w:t xml:space="preserve"> </w:t>
      </w:r>
    </w:p>
    <w:p w14:paraId="539BCEEF">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Autospacing="0" w:afterAutospacing="0" w:line="240" w:lineRule="auto"/>
        <w:ind w:leftChars="0" w:right="0" w:rightChars="0"/>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In conclusion, digital media technologies are reshaping the visual communication structure of Chinese opera through visual re-encoding, platform rhythm, and user interaction logic. This reconstruction reflects not only technical innovation but also the negotiation of traditional aesthetics under media-driven forces. Further exploration of these translation mechanisms will deepen the understanding of the interaction between visual forms, technological logic, and cultural contexts, providing a stronger framework for digital opera research.</w:t>
      </w:r>
    </w:p>
    <w:p w14:paraId="7193C774">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left"/>
        <w:textAlignment w:val="auto"/>
        <w:rPr>
          <w:rFonts w:hint="default" w:ascii="Times New Roman" w:hAnsi="Times New Roman" w:eastAsia="宋体" w:cs="Times New Roman"/>
          <w:b/>
          <w:bCs/>
          <w:color w:val="000000" w:themeColor="text1"/>
          <w:kern w:val="0"/>
          <w:sz w:val="30"/>
          <w:szCs w:val="30"/>
          <w:highlight w:val="none"/>
          <w:lang w:val="en-US" w:eastAsia="zh-CN" w:bidi="ar"/>
          <w14:textFill>
            <w14:solidFill>
              <w14:schemeClr w14:val="tx1"/>
            </w14:solidFill>
          </w14:textFill>
        </w:rPr>
      </w:pPr>
      <w:r>
        <w:rPr>
          <w:rFonts w:hint="default" w:ascii="Times New Roman" w:hAnsi="Times New Roman" w:eastAsia="宋体" w:cs="Times New Roman"/>
          <w:b/>
          <w:bCs/>
          <w:color w:val="000000" w:themeColor="text1"/>
          <w:kern w:val="0"/>
          <w:sz w:val="30"/>
          <w:szCs w:val="30"/>
          <w:highlight w:val="none"/>
          <w:lang w:val="en-US" w:eastAsia="zh-CN" w:bidi="ar"/>
          <w14:textFill>
            <w14:solidFill>
              <w14:schemeClr w14:val="tx1"/>
            </w14:solidFill>
          </w14:textFill>
        </w:rPr>
        <w:t>3 Research Methodology: A Mixed Ethnographic Perspective on Digital Opera Visual Research Path</w:t>
      </w:r>
    </w:p>
    <w:p w14:paraId="4B7BED03">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pPr>
      <w:r>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t>3.1 Research Paradigm and Methodological Framework</w:t>
      </w:r>
    </w:p>
    <w:p w14:paraId="45B2D434">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Given that the research problem involves the evolution of cultural symbols, the intervention of media technologies, and the complex interplay of audience perception and interaction, this study adopts a qualitative research paradigm to capture the deep dynamics of visual culture in the digital environment.</w:t>
      </w:r>
    </w:p>
    <w:p w14:paraId="10502AEA">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 xml:space="preserve">Qualitative research emphasizes the understanding of “meaning” in social phenomena, focusing on the embedding of context, experience, and cultural environment </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(Creswell and Poth, 2016)</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 As a highly symbolic art form, Chinese opera’s visual style not only constitutes aesthetic patterns but also carries cultural memory and identity symbols. In the face of the digital media’s reconstruction of visual rhythm and stage logic, a quantitative approach cannot reveal how audiences negotiate the relationship between tradition and modernity, media and culture. Therefore, qualitative research provides a more suitable theoretical and methodological support for understanding how opera visuals are watched, accepted, and reproduced.</w:t>
      </w:r>
    </w:p>
    <w:p w14:paraId="0252F3F4">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For example,</w:t>
      </w:r>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c</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urrent studies on video games and cross-cultural communication mostly employ qualitative research methods, focusing on the subjects of the study and communication strategies.</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w:t>
      </w:r>
      <w:r>
        <w:rPr>
          <w:rFonts w:hint="eastAsia"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 xml:space="preserve">Zhang et al. </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 xml:space="preserve">, </w:t>
      </w:r>
      <w:r>
        <w:rPr>
          <w:rFonts w:hint="eastAsia"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2024</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w:t>
      </w:r>
      <w:r>
        <w:rPr>
          <w:rFonts w:hint="eastAsia"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 xml:space="preserve"> </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Within the qualitative framework, the study further selects "Hybrid Ethnography" as the core methodology. This methodology combines the advantages of traditional ethnography and online ethnography, emphasizing that the researcher must span multiple levels, including offline theater and online platforms, visual communication and user behavior, to construct a dynamic understanding (Postill and Pink, 2012).</w:t>
      </w:r>
    </w:p>
    <w:p w14:paraId="1F53E815">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The suitability of hybrid ethnography for this study is reflected on three levels：</w:t>
      </w:r>
    </w:p>
    <w:p w14:paraId="17B68022">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First, the visual expression of digital opera is highly dependent on platforms. Such dynamic and complex participatory behaviors cannot be fully captured through traditional offline observation; instead, they require immersive, long-term observation within real online environments to uncover the logic of digital opera visual dissemination.</w:t>
      </w:r>
    </w:p>
    <w:p w14:paraId="621CC476">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Second, the process by which Generation Z constructs cultural identity increasingly relies on social media’s interactive feedback, emotional resonance, and mechanisms of community belonging. Mere textual analysis is insufficient to fully grasp the cognitive patterns and emotional dimensions at play; rather, a combination of online observation, in-depth interviews, and user content analysis is necessary to deeply understand how Gen Z’s experiences and engages with digital opera.</w:t>
      </w:r>
    </w:p>
    <w:p w14:paraId="373C3283">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In conclusion, hybrid ethnography not only integrates media research, visual culture, and audience studies but also addresses the core issue of this study: “how digital opera visuals as cultural symbols are recreated, viewed, and recognized.” It provides a highly operable, theoretically and experientially balanced methodological foundation.</w:t>
      </w:r>
    </w:p>
    <w:p w14:paraId="3FAD73D3">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pPr>
      <w:r>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t>3.2 Research Method Design: Specific Methods and Data Sources</w:t>
      </w:r>
    </w:p>
    <w:p w14:paraId="44C97DE5">
      <w:pPr>
        <w:pStyle w:val="3"/>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3.2.1 Case Study: In-depth Analysis of Digital Opera Visual Projects</w:t>
      </w:r>
    </w:p>
    <w:p w14:paraId="7D4BCE8D">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This study selects representative digital opera projects as case studies, such as short video projects that use AI to reconstruct opera scenes or immersive opera performances based on VR technology. By collecting the project's visual design, platform dissemination strategies, user feedback, and technical usage details, the study aims to deeply analyze the translation path of its visual elements. This method is intended to provide a tangible and traceable basis for specific visual reconstruction practices. For example, the VRChat platform is used to simulate the opera world, including creating characters, watching performances, participating in performances, and online teaching (Jiang, Su and Li, 2025). The extended TAM model proposed in the study introduces variables such as "perceived visual design," "entertainment," "innovation," and "self-efficacy" to empirically explain the user acceptance mechanism of opera culture experience in virtual reality. This modeling strategy provides structured support for understanding the psychological mechanisms of cultural resonance and identity formation in Generation Z audiences during digital opera experiences. In combination with the observations and interviews in hybrid ethnography, this study will also attempt to construct a behavioral path framework of "entertainment—immersive experience—cultural attitude—identity intention."</w:t>
      </w:r>
    </w:p>
    <w:p w14:paraId="152C13BE">
      <w:pPr>
        <w:pStyle w:val="3"/>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3.2.</w:t>
      </w: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2</w:t>
      </w:r>
      <w:r>
        <w:rPr>
          <w:rFonts w:hint="default" w:ascii="Times New Roman" w:hAnsi="Times New Roman" w:cs="Times New Roman"/>
          <w:color w:val="000000" w:themeColor="text1"/>
          <w:sz w:val="24"/>
          <w:szCs w:val="24"/>
          <w:highlight w:val="none"/>
          <w14:textFill>
            <w14:solidFill>
              <w14:schemeClr w14:val="tx1"/>
            </w14:solidFill>
          </w14:textFill>
        </w:rPr>
        <w:t xml:space="preserve"> In-depth Interviews: Exploring Subjective Experience and Identity</w:t>
      </w:r>
    </w:p>
    <w:p w14:paraId="3D8416A4">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 xml:space="preserve">Through semi-structured interviews, the study gathers the cognitive experiences of both audiences and creators regarding digital opera visuals. The interviewees include: (1) Generation Z audiences aged 18-30 (those who have followed or interacted with digital opera content), (2) digital creators (those engaged in creating opera-related videos or remixing them), and (3) relevant scholars and curators (those engaged in traditional art dissemination research). The sample selection follows a "purposeful sampling + snowball recommendation" approach to ensure the representativeness of different user types. </w:t>
      </w:r>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At the same time, involving Generation Z, existing studies have pointed out that w</w:t>
      </w:r>
      <w:r>
        <w:rPr>
          <w:rFonts w:hint="default" w:ascii="Times New Roman" w:hAnsi="Times New Roman" w:cs="Times New Roman"/>
          <w:color w:val="000000" w:themeColor="text1"/>
          <w:sz w:val="24"/>
          <w:szCs w:val="24"/>
          <w:highlight w:val="none"/>
          <w14:textFill>
            <w14:solidFill>
              <w14:schemeClr w14:val="tx1"/>
            </w14:solidFill>
          </w14:textFill>
        </w:rPr>
        <w:t>hen interviewing Gen Z users in the context of digital</w:t>
      </w:r>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highlight w:val="none"/>
          <w14:textFill>
            <w14:solidFill>
              <w14:schemeClr w14:val="tx1"/>
            </w14:solidFill>
          </w14:textFill>
        </w:rPr>
        <w:t xml:space="preserve">culture, it is essential to consider their unique identity and aesthetic-related sensitivities. This generation engages with digital visual language, such as emojis and stickers, which they utilize as forms of virtual gifts and expressions of affection. Understanding how these visual elements function in their interpersonal relationships can provide insights into their communication styles and identity formation </w:t>
      </w:r>
      <w:r>
        <w:rPr>
          <w:rFonts w:hint="default" w:ascii="Times New Roman" w:hAnsi="Times New Roman" w:cs="Times New Roman"/>
          <w:color w:val="000000" w:themeColor="text1"/>
          <w:sz w:val="24"/>
          <w:szCs w:val="24"/>
          <w:highlight w:val="none"/>
          <w:lang w:val="en-US"/>
          <w14:textFill>
            <w14:solidFill>
              <w14:schemeClr w14:val="tx1"/>
            </w14:solidFill>
          </w14:textFill>
        </w:rPr>
        <w:t>(</w:t>
      </w:r>
      <w:r>
        <w:rPr>
          <w:rFonts w:hint="eastAsia" w:ascii="Times New Roman" w:hAnsi="Times New Roman" w:cs="Times New Roman"/>
          <w:color w:val="000000" w:themeColor="text1"/>
          <w:sz w:val="24"/>
          <w:szCs w:val="24"/>
          <w:highlight w:val="none"/>
          <w:lang w:eastAsia="zh-CN"/>
          <w14:textFill>
            <w14:solidFill>
              <w14:schemeClr w14:val="tx1"/>
            </w14:solidFill>
          </w14:textFill>
        </w:rPr>
        <w:t>Liu, 2023</w:t>
      </w: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highlight w:val="none"/>
          <w14:textFill>
            <w14:solidFill>
              <w14:schemeClr w14:val="tx1"/>
            </w14:solidFill>
          </w14:textFill>
        </w:rPr>
        <w:t>The interview content will focus on visual preferences, cultural impressions, aesthetic conflicts, and a sense of identity, which will then be analyzed through thematic coding and cross-analysis.</w:t>
      </w:r>
    </w:p>
    <w:p w14:paraId="5F8FA601">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The flexibility inherent in semi-structured interviews facilitates a conversational style that encourages participants to express their thoughts and feelings more freely. This method can lead to the emergence of unexpected themes and insights, as seen in research on the experiences of Korean international students, where music was identified as a companion and a safe space, reflecting deeper cultural and emotional connections</w:t>
      </w:r>
      <w:r>
        <w:rPr>
          <w:rFonts w:hint="default" w:ascii="Times New Roman" w:hAnsi="Times New Roman" w:cs="Times New Roman"/>
          <w:color w:val="000000" w:themeColor="text1"/>
          <w:sz w:val="24"/>
          <w:szCs w:val="24"/>
          <w:highlight w:val="none"/>
          <w:lang w:val="en-US"/>
          <w14:textFill>
            <w14:solidFill>
              <w14:schemeClr w14:val="tx1"/>
            </w14:solidFill>
          </w14:textFill>
        </w:rPr>
        <w:t xml:space="preserve"> (</w:t>
      </w:r>
      <w:r>
        <w:rPr>
          <w:rFonts w:hint="eastAsia" w:ascii="Times New Roman" w:hAnsi="Times New Roman" w:cs="Times New Roman"/>
          <w:color w:val="000000" w:themeColor="text1"/>
          <w:sz w:val="24"/>
          <w:szCs w:val="24"/>
          <w:highlight w:val="none"/>
          <w:lang w:eastAsia="zh-CN"/>
          <w14:textFill>
            <w14:solidFill>
              <w14:schemeClr w14:val="tx1"/>
            </w14:solidFill>
          </w14:textFill>
        </w:rPr>
        <w:t>Cho, 2024</w:t>
      </w: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w:t>
      </w: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 xml:space="preserve"> The </w:t>
      </w:r>
      <w:r>
        <w:rPr>
          <w:rFonts w:hint="default" w:ascii="Times New Roman" w:hAnsi="Times New Roman" w:cs="Times New Roman"/>
          <w:color w:val="000000" w:themeColor="text1"/>
          <w:sz w:val="24"/>
          <w:szCs w:val="24"/>
          <w:highlight w:val="none"/>
          <w14:textFill>
            <w14:solidFill>
              <w14:schemeClr w14:val="tx1"/>
            </w14:solidFill>
          </w14:textFill>
        </w:rPr>
        <w:t>research</w:t>
      </w:r>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b</w:t>
      </w:r>
      <w:r>
        <w:rPr>
          <w:rFonts w:hint="eastAsia" w:ascii="Times New Roman" w:hAnsi="Times New Roman" w:cs="Times New Roman"/>
          <w:color w:val="000000" w:themeColor="text1"/>
          <w:sz w:val="24"/>
          <w:szCs w:val="24"/>
          <w:highlight w:val="none"/>
          <w:lang w:eastAsia="zh-CN"/>
          <w14:textFill>
            <w14:solidFill>
              <w14:schemeClr w14:val="tx1"/>
            </w14:solidFill>
          </w14:textFill>
        </w:rPr>
        <w:t>ased on the qualitative interview-based conceptual framework, ten semi-structured interviews were conducted using an interview guide of open-ended questions</w:t>
      </w: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 xml:space="preserve">. </w:t>
      </w:r>
      <w:r>
        <w:rPr>
          <w:rFonts w:hint="eastAsia" w:ascii="Times New Roman" w:hAnsi="Times New Roman" w:cs="Times New Roman"/>
          <w:color w:val="000000" w:themeColor="text1"/>
          <w:sz w:val="24"/>
          <w:szCs w:val="24"/>
          <w:highlight w:val="none"/>
          <w:lang w:eastAsia="zh-CN"/>
          <w14:textFill>
            <w14:solidFill>
              <w14:schemeClr w14:val="tx1"/>
            </w14:solidFill>
          </w14:textFill>
        </w:rPr>
        <w:t>This approach demonstrates the value of semi-structured interviews in uncovering nuanced emotional and cultural insights.</w:t>
      </w:r>
    </w:p>
    <w:p w14:paraId="42ACA96B">
      <w:pPr>
        <w:pStyle w:val="3"/>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3.2.</w:t>
      </w: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3</w:t>
      </w:r>
      <w:r>
        <w:rPr>
          <w:rFonts w:hint="default" w:ascii="Times New Roman" w:hAnsi="Times New Roman" w:cs="Times New Roman"/>
          <w:color w:val="000000" w:themeColor="text1"/>
          <w:sz w:val="24"/>
          <w:szCs w:val="24"/>
          <w:highlight w:val="none"/>
          <w14:textFill>
            <w14:solidFill>
              <w14:schemeClr w14:val="tx1"/>
            </w14:solidFill>
          </w14:textFill>
        </w:rPr>
        <w:t xml:space="preserve"> Observation Method: Participatory Recording of Multi-Context Media Behavior</w:t>
      </w:r>
    </w:p>
    <w:p w14:paraId="27ECEFCF">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This study adopts participant observation,</w:t>
      </w:r>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o</w:t>
      </w:r>
      <w:r>
        <w:rPr>
          <w:rFonts w:hint="default" w:ascii="Times New Roman" w:hAnsi="Times New Roman" w:cs="Times New Roman"/>
          <w:color w:val="000000" w:themeColor="text1"/>
          <w:sz w:val="24"/>
          <w:szCs w:val="24"/>
          <w:highlight w:val="none"/>
          <w14:textFill>
            <w14:solidFill>
              <w14:schemeClr w14:val="tx1"/>
            </w14:solidFill>
          </w14:textFill>
        </w:rPr>
        <w:t xml:space="preserve">nline observations cover activities such as live-streamed opera performances, digital exhibitions, and virtual performance platforms, </w:t>
      </w:r>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o</w:t>
      </w:r>
      <w:r>
        <w:rPr>
          <w:rFonts w:hint="default" w:ascii="Times New Roman" w:hAnsi="Times New Roman" w:cs="Times New Roman"/>
          <w:color w:val="000000" w:themeColor="text1"/>
          <w:sz w:val="24"/>
          <w:szCs w:val="24"/>
          <w:highlight w:val="none"/>
          <w14:textFill>
            <w14:solidFill>
              <w14:schemeClr w14:val="tx1"/>
            </w14:solidFill>
          </w14:textFill>
        </w:rPr>
        <w:t>ffline observations include traditional theater performances, festive events, and immersive exhibitions related to opera culture.</w:t>
      </w:r>
    </w:p>
    <w:p w14:paraId="15D87966">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lang w:val="en-US"/>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 xml:space="preserve">The observation focuses on </w:t>
      </w:r>
      <w:r>
        <w:rPr>
          <w:rFonts w:hint="default" w:ascii="Times New Roman" w:hAnsi="Times New Roman" w:cs="Times New Roman"/>
          <w:color w:val="000000" w:themeColor="text1"/>
          <w:sz w:val="24"/>
          <w:szCs w:val="24"/>
          <w:highlight w:val="none"/>
          <w:lang w:val="en-US"/>
          <w14:textFill>
            <w14:solidFill>
              <w14:schemeClr w14:val="tx1"/>
            </w14:solidFill>
          </w14:textFill>
        </w:rPr>
        <w:t>two</w:t>
      </w:r>
      <w:r>
        <w:rPr>
          <w:rFonts w:hint="default" w:ascii="Times New Roman" w:hAnsi="Times New Roman" w:cs="Times New Roman"/>
          <w:color w:val="000000" w:themeColor="text1"/>
          <w:sz w:val="24"/>
          <w:szCs w:val="24"/>
          <w:highlight w:val="none"/>
          <w14:textFill>
            <w14:solidFill>
              <w14:schemeClr w14:val="tx1"/>
            </w14:solidFill>
          </w14:textFill>
        </w:rPr>
        <w:t xml:space="preserve"> key aspects: first, user viewing behavior (such as posting comments, sending bullet chats, liking, and sharing), in order to assess participation patterns and levels of engagement in digital opera experiences; second, platform-driven guidance mechanisms, analyzing how pop-up prompts, filter effects, and algorithmic recommendations</w:t>
      </w:r>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highlight w:val="none"/>
          <w14:textFill>
            <w14:solidFill>
              <w14:schemeClr w14:val="tx1"/>
            </w14:solidFill>
          </w14:textFill>
        </w:rPr>
        <w:t>influen</w:t>
      </w:r>
      <w:r>
        <w:rPr>
          <w:rFonts w:hint="default" w:ascii="Times New Roman" w:hAnsi="Times New Roman" w:cs="Times New Roman"/>
          <w:color w:val="000000" w:themeColor="text1"/>
          <w:sz w:val="24"/>
          <w:szCs w:val="24"/>
          <w:highlight w:val="none"/>
          <w:lang w:val="en-US"/>
          <w14:textFill>
            <w14:solidFill>
              <w14:schemeClr w14:val="tx1"/>
            </w14:solidFill>
          </w14:textFill>
        </w:rPr>
        <w:t>ce</w:t>
      </w:r>
      <w:r>
        <w:rPr>
          <w:rFonts w:hint="default" w:ascii="Times New Roman" w:hAnsi="Times New Roman" w:cs="Times New Roman"/>
          <w:color w:val="000000" w:themeColor="text1"/>
          <w:sz w:val="24"/>
          <w:szCs w:val="24"/>
          <w:highlight w:val="none"/>
          <w14:textFill>
            <w14:solidFill>
              <w14:schemeClr w14:val="tx1"/>
            </w14:solidFill>
          </w14:textFill>
        </w:rPr>
        <w:t xml:space="preserve"> the tempo and pathways of opera’s visual dissemination</w:t>
      </w:r>
      <w:r>
        <w:rPr>
          <w:rFonts w:hint="default" w:ascii="Times New Roman" w:hAnsi="Times New Roman" w:cs="Times New Roman"/>
          <w:color w:val="000000" w:themeColor="text1"/>
          <w:sz w:val="24"/>
          <w:szCs w:val="24"/>
          <w:highlight w:val="none"/>
          <w:lang w:val="en-US"/>
          <w14:textFill>
            <w14:solidFill>
              <w14:schemeClr w14:val="tx1"/>
            </w14:solidFill>
          </w14:textFill>
        </w:rPr>
        <w:t>.</w:t>
      </w:r>
    </w:p>
    <w:p w14:paraId="048302CC">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For example, some studies used data</w:t>
      </w:r>
      <w:r>
        <w:rPr>
          <w:rFonts w:hint="default" w:ascii="Times New Roman" w:hAnsi="Times New Roman" w:cs="Times New Roman"/>
          <w:color w:val="000000" w:themeColor="text1"/>
          <w:sz w:val="24"/>
          <w:szCs w:val="24"/>
          <w:highlight w:val="none"/>
          <w14:textFill>
            <w14:solidFill>
              <w14:schemeClr w14:val="tx1"/>
            </w14:solidFill>
          </w14:textFill>
        </w:rPr>
        <w:t xml:space="preserve"> obtained from video comment sections on the Genshin Impact official YouTube account.</w:t>
      </w:r>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highlight w:val="none"/>
          <w14:textFill>
            <w14:solidFill>
              <w14:schemeClr w14:val="tx1"/>
            </w14:solidFill>
          </w14:textFill>
        </w:rPr>
        <w:t>First, veteran Genshin Impact enthusiasts and experts selected high-quality videos that con- tained abundant cultural elements from regions worldwide. This categorization aimed to structure the data collection process more effectively</w:t>
      </w:r>
      <w:r>
        <w:rPr>
          <w:rFonts w:hint="default" w:ascii="Times New Roman" w:hAnsi="Times New Roman" w:cs="Times New Roman"/>
          <w:color w:val="000000" w:themeColor="text1"/>
          <w:sz w:val="24"/>
          <w:szCs w:val="24"/>
          <w:highlight w:val="none"/>
          <w:lang w:val="en-US"/>
          <w14:textFill>
            <w14:solidFill>
              <w14:schemeClr w14:val="tx1"/>
            </w14:solidFill>
          </w14:textFill>
        </w:rPr>
        <w:t xml:space="preserve">. </w:t>
      </w:r>
      <w:r>
        <w:rPr>
          <w:rFonts w:hint="default" w:ascii="Times New Roman" w:hAnsi="Times New Roman" w:cs="Times New Roman"/>
          <w:color w:val="000000" w:themeColor="text1"/>
          <w:sz w:val="24"/>
          <w:szCs w:val="24"/>
          <w:highlight w:val="none"/>
          <w14:textFill>
            <w14:solidFill>
              <w14:schemeClr w14:val="tx1"/>
            </w14:solidFill>
          </w14:textFill>
        </w:rPr>
        <w:t xml:space="preserve">They divided the videos into ’Cul- tural China’,’ World Stories’, and Real-World Stories based on the video content for comment scraping. In order to capture up-to-date audience reactions, approximately 1,000 of the most recent comments were extracted from the comment sections of the selected videos as of May 2023.  </w:t>
      </w:r>
      <w:r>
        <w:rPr>
          <w:rFonts w:hint="default" w:ascii="Times New Roman" w:hAnsi="Times New Roman" w:cs="Times New Roman"/>
          <w:color w:val="000000" w:themeColor="text1"/>
          <w:sz w:val="24"/>
          <w:szCs w:val="24"/>
          <w:highlight w:val="none"/>
          <w:lang w:val="en-US"/>
          <w14:textFill>
            <w14:solidFill>
              <w14:schemeClr w14:val="tx1"/>
            </w14:solidFill>
          </w14:textFill>
        </w:rPr>
        <w:t>(</w:t>
      </w:r>
      <w:r>
        <w:rPr>
          <w:rFonts w:hint="eastAsia"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Zhang et al.</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 xml:space="preserve">, </w:t>
      </w:r>
      <w:r>
        <w:rPr>
          <w:rFonts w:hint="eastAsia"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2024</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 This process ensured a structured and multilingual dataset for subsequent sentiment and content analysis.</w:t>
      </w:r>
    </w:p>
    <w:p w14:paraId="49217871">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By comprehensively recording and analyzing these elements, this study aims to reconstruct the dynamic processes of digital opera's visual dissemination across multiple interactive environments, thereby providing detailed empirical support for subsequent data analysis and theoretical development.</w:t>
      </w:r>
    </w:p>
    <w:p w14:paraId="78A217C6">
      <w:pPr>
        <w:pStyle w:val="3"/>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3.2.</w:t>
      </w: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4</w:t>
      </w:r>
      <w:r>
        <w:rPr>
          <w:rFonts w:hint="default" w:ascii="Times New Roman" w:hAnsi="Times New Roman" w:cs="Times New Roman"/>
          <w:color w:val="000000" w:themeColor="text1"/>
          <w:sz w:val="24"/>
          <w:szCs w:val="24"/>
          <w:highlight w:val="none"/>
          <w14:textFill>
            <w14:solidFill>
              <w14:schemeClr w14:val="tx1"/>
            </w14:solidFill>
          </w14:textFill>
        </w:rPr>
        <w:t xml:space="preserve"> Rhythm Analysis: Identifying the Media Mechanisms Behind Visual Experience</w:t>
      </w:r>
    </w:p>
    <w:p w14:paraId="1FCC1CEF">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 xml:space="preserve">Using short opera videos as samples, the study will employ visual rhythm analysis methods to identify the frequency of scene transitions, camera movement styles, and color rhythms. Additionally, by combining the intensity of bullet comments, the timing of comments, and viewing durations, the study will analyze how "viewing rhythms" are influenced by platform mechanisms. This method aims to reveal how "algorithmic logic in visual communication" regulates the aesthetic path at the level of rhythm. </w:t>
      </w:r>
      <w:r>
        <w:rPr>
          <w:rFonts w:hint="default" w:ascii="Times New Roman" w:hAnsi="Times New Roman" w:cs="Times New Roman"/>
          <w:color w:val="000000" w:themeColor="text1"/>
          <w:sz w:val="24"/>
          <w:szCs w:val="24"/>
          <w:highlight w:val="none"/>
          <w:lang w:val="en-US"/>
          <w14:textFill>
            <w14:solidFill>
              <w14:schemeClr w14:val="tx1"/>
            </w14:solidFill>
          </w14:textFill>
        </w:rPr>
        <w:t>A</w:t>
      </w: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 xml:space="preserve">s </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Trubnikova and Tsagareyshvili</w:t>
      </w:r>
      <w:r>
        <w:rPr>
          <w:rFonts w:hint="default" w:ascii="Times New Roman" w:hAnsi="Times New Roman" w:cs="Times New Roman"/>
          <w:color w:val="000000" w:themeColor="text1"/>
          <w:sz w:val="24"/>
          <w:szCs w:val="24"/>
          <w:highlight w:val="none"/>
          <w14:textFill>
            <w14:solidFill>
              <w14:schemeClr w14:val="tx1"/>
            </w14:solidFill>
          </w14:textFill>
        </w:rPr>
        <w:t xml:space="preserve"> (2021) notes that rhythm reconstruction is a key media mechanism for adapting traditional art to the logic of social platforms.</w:t>
      </w:r>
    </w:p>
    <w:p w14:paraId="1D85D734">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In conclusion, these four methods collectively form a multi-path analysis framework from "content production—user reception—cultural negotiation." Case studies provide specific visual samples, in-depth interviews delve into subjective cognition, observations record platform behavior, and rhythm analysis deconstructs dissemination mechanisms. Together, they serve to understand the core issue of "how digital opera visuals are constructed, disseminated, and recognized."</w:t>
      </w:r>
    </w:p>
    <w:p w14:paraId="27E3E1EC">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pPr>
      <w:r>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t>3.3 Research Ethics and Methodological Reflection</w:t>
      </w:r>
    </w:p>
    <w:p w14:paraId="674CDBF1">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In terms of ethics, this study will adhere to the ethical norms of humanities and social science research, ensuring that all interviewees give informed consent and that their information is anonymized. All materials used will be authorized by the interviewees, and no sensitive personal information will be involved. In online ethnographic operations, only publicly authorized content, such as bullet comments, reviews, and publicly displayed short videos, will be used. All content will be anonymized during use. Platform screenshots and visual content will be used strictly for academic analysis within the non-commercial research scope.</w:t>
      </w:r>
    </w:p>
    <w:p w14:paraId="56F056EA">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 xml:space="preserve">Furthermore, the research boundaries need to be clarified: the study primarily focuses on the Bilibili and </w:t>
      </w:r>
      <w:r>
        <w:rPr>
          <w:rFonts w:hint="default" w:ascii="Times New Roman" w:hAnsi="Times New Roman" w:cs="Times New Roman"/>
          <w:color w:val="000000" w:themeColor="text1"/>
          <w:sz w:val="24"/>
          <w:szCs w:val="24"/>
          <w:highlight w:val="none"/>
          <w:lang w:val="en-US"/>
          <w14:textFill>
            <w14:solidFill>
              <w14:schemeClr w14:val="tx1"/>
            </w14:solidFill>
          </w14:textFill>
        </w:rPr>
        <w:t>Tik Tok</w:t>
      </w:r>
      <w:r>
        <w:rPr>
          <w:rFonts w:hint="default" w:ascii="Times New Roman" w:hAnsi="Times New Roman" w:cs="Times New Roman"/>
          <w:color w:val="000000" w:themeColor="text1"/>
          <w:sz w:val="24"/>
          <w:szCs w:val="24"/>
          <w:highlight w:val="none"/>
          <w14:textFill>
            <w14:solidFill>
              <w14:schemeClr w14:val="tx1"/>
            </w14:solidFill>
          </w14:textFill>
        </w:rPr>
        <w:t xml:space="preserve"> platforms and selects digital opera content from 202</w:t>
      </w:r>
      <w:r>
        <w:rPr>
          <w:rFonts w:hint="default" w:ascii="Times New Roman" w:hAnsi="Times New Roman" w:cs="Times New Roman"/>
          <w:color w:val="000000" w:themeColor="text1"/>
          <w:sz w:val="24"/>
          <w:szCs w:val="24"/>
          <w:highlight w:val="none"/>
          <w:lang w:val="en-US"/>
          <w14:textFill>
            <w14:solidFill>
              <w14:schemeClr w14:val="tx1"/>
            </w14:solidFill>
          </w14:textFill>
        </w:rPr>
        <w:t>2</w:t>
      </w:r>
      <w:r>
        <w:rPr>
          <w:rFonts w:hint="default" w:ascii="Times New Roman" w:hAnsi="Times New Roman" w:cs="Times New Roman"/>
          <w:color w:val="000000" w:themeColor="text1"/>
          <w:sz w:val="24"/>
          <w:szCs w:val="24"/>
          <w:highlight w:val="none"/>
          <w14:textFill>
            <w14:solidFill>
              <w14:schemeClr w14:val="tx1"/>
            </w14:solidFill>
          </w14:textFill>
        </w:rPr>
        <w:t xml:space="preserve"> to 202</w:t>
      </w:r>
      <w:r>
        <w:rPr>
          <w:rFonts w:hint="default" w:ascii="Times New Roman" w:hAnsi="Times New Roman" w:cs="Times New Roman"/>
          <w:color w:val="000000" w:themeColor="text1"/>
          <w:sz w:val="24"/>
          <w:szCs w:val="24"/>
          <w:highlight w:val="none"/>
          <w:lang w:val="en-US"/>
          <w14:textFill>
            <w14:solidFill>
              <w14:schemeClr w14:val="tx1"/>
            </w14:solidFill>
          </w14:textFill>
        </w:rPr>
        <w:t>5</w:t>
      </w:r>
      <w:r>
        <w:rPr>
          <w:rFonts w:hint="default" w:ascii="Times New Roman" w:hAnsi="Times New Roman" w:cs="Times New Roman"/>
          <w:color w:val="000000" w:themeColor="text1"/>
          <w:sz w:val="24"/>
          <w:szCs w:val="24"/>
          <w:highlight w:val="none"/>
          <w14:textFill>
            <w14:solidFill>
              <w14:schemeClr w14:val="tx1"/>
            </w14:solidFill>
          </w14:textFill>
        </w:rPr>
        <w:t>. The opera types chosen are primarily Peking opera, Yue opera, and Henan opera. Due to time and resource constraints, the study cannot cover all opera genres and all platform content, nor will it conduct cross-language comparisons.</w:t>
      </w:r>
    </w:p>
    <w:p w14:paraId="052898D6">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lang w:val="en-US" w:eastAsia="zh-CN"/>
          <w14:textFill>
            <w14:solidFill>
              <w14:schemeClr w14:val="tx1"/>
            </w14:solidFill>
          </w14:textFill>
        </w:rPr>
      </w:pP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Regarding methodological reflection, although the hybrid ethnography framework is comprehensive, it may still face challenges such as delayed observations due to the rapid changes in platform cultures and interpretive biases caused by user anonymity. Compared to quantitative research, this study emphasizes subjective experience and cultural identity, but there are limitations in sample breadth and result generalizability. The study did not employ large-scale surveys or content scraping techniques, as these were judged to be less aligned with the research question and resource limitations. If more samples and platform cooperation resources become available in the future, a mixed-methods approach incorporating quantitative components could further enhance the study’s breadth and data support.</w:t>
      </w:r>
    </w:p>
    <w:p w14:paraId="165667B5">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left"/>
        <w:textAlignment w:val="auto"/>
        <w:rPr>
          <w:rFonts w:hint="default" w:ascii="Times New Roman" w:hAnsi="Times New Roman" w:eastAsia="宋体" w:cs="Times New Roman"/>
          <w:b/>
          <w:bCs/>
          <w:color w:val="000000" w:themeColor="text1"/>
          <w:kern w:val="0"/>
          <w:sz w:val="30"/>
          <w:szCs w:val="30"/>
          <w:highlight w:val="none"/>
          <w:lang w:val="en-US" w:eastAsia="zh-CN" w:bidi="ar"/>
          <w14:textFill>
            <w14:solidFill>
              <w14:schemeClr w14:val="tx1"/>
            </w14:solidFill>
          </w14:textFill>
        </w:rPr>
      </w:pPr>
      <w:r>
        <w:rPr>
          <w:rFonts w:hint="default" w:ascii="Times New Roman" w:hAnsi="Times New Roman" w:eastAsia="宋体" w:cs="Times New Roman"/>
          <w:b/>
          <w:bCs/>
          <w:color w:val="000000" w:themeColor="text1"/>
          <w:kern w:val="0"/>
          <w:sz w:val="30"/>
          <w:szCs w:val="30"/>
          <w:highlight w:val="none"/>
          <w:lang w:val="en-US" w:eastAsia="zh-CN" w:bidi="ar"/>
          <w14:textFill>
            <w14:solidFill>
              <w14:schemeClr w14:val="tx1"/>
            </w14:solidFill>
          </w14:textFill>
        </w:rPr>
        <w:t>4 Discussion and Analysis</w:t>
      </w:r>
    </w:p>
    <w:p w14:paraId="407E4DB0">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pPr>
      <w:r>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t>4.1 Adaptability of the Method and Preliminary Research Findings</w:t>
      </w:r>
    </w:p>
    <w:p w14:paraId="6431BA42">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 xml:space="preserve">This section aims to analyze the suitability of the chosen research methods in addressing the research questions, and, combined with initial observations and analyses, outlines possible directions for the research findings. </w:t>
      </w:r>
    </w:p>
    <w:p w14:paraId="783D25F9">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As the methodological foundation of this study, mixed ethnography offers the advantage of integrating user behavior, visual communication patterns, and cultural identity construction on digital platforms into an observational system that spans across fields and media.</w:t>
      </w:r>
      <w:r>
        <w:rPr>
          <w:rFonts w:hint="default" w:ascii="Times New Roman" w:hAnsi="Times New Roman" w:cs="Times New Roman"/>
          <w:color w:val="000000" w:themeColor="text1"/>
          <w:sz w:val="24"/>
          <w:szCs w:val="24"/>
          <w:highlight w:val="none"/>
          <w:lang w:val="en-US"/>
          <w14:textFill>
            <w14:solidFill>
              <w14:schemeClr w14:val="tx1"/>
            </w14:solidFill>
          </w14:textFill>
        </w:rPr>
        <w:t xml:space="preserve"> </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Li, (2025b)</w:t>
      </w:r>
      <w:r>
        <w:rPr>
          <w:rFonts w:hint="default" w:ascii="Times New Roman" w:hAnsi="Times New Roman" w:cs="Times New Roman"/>
          <w:color w:val="000000" w:themeColor="text1"/>
          <w:sz w:val="24"/>
          <w:szCs w:val="24"/>
          <w:highlight w:val="none"/>
          <w14:textFill>
            <w14:solidFill>
              <w14:schemeClr w14:val="tx1"/>
            </w14:solidFill>
          </w14:textFill>
        </w:rPr>
        <w:t>pointed out in his analysis of "Dream of the Sanxingdui" that contemporary intangible cultural heritage (ICH) dissemination has formed a nested mechanism of “platform behavior—visual narrative—audience interaction,” requiring multi-method cross-observation to capture its real dynamics. This study combines case studies, online ethnography, observation methods, and rhythm analysis, mirroring this complex structure of multi-level interaction.</w:t>
      </w:r>
    </w:p>
    <w:p w14:paraId="26E62E3C">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In practice, case studies help identify the mechanisms behind the visual style of digital opera, especially in short videos and virtual performances. These include how elements like color, composition, and dynamic rhythm translate traditional stage visuals. How high-frequency visual elements (e.g., "appearance," "face-changing," and "virtual costume redesign") gain more visibility through platform algorithm recommendations, or how platform technologies affect traditional visual communication, can also be explored.</w:t>
      </w:r>
    </w:p>
    <w:p w14:paraId="06BE34EF">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 xml:space="preserve">At the same time, the collaborative use of online ethnography and observation methods reveals the participation paths of Generation Z viewers in digital opera. From bullet screen interactions and comments to secondary creative videos' visual choices, users are no longer mere "receivers" but important participants in reconstructing the cultural meaning of opera at a visual level. </w:t>
      </w:r>
      <w:r>
        <w:rPr>
          <w:rFonts w:hint="default" w:ascii="Times New Roman" w:hAnsi="Times New Roman" w:cs="Times New Roman"/>
          <w:color w:val="000000" w:themeColor="text1"/>
          <w:sz w:val="24"/>
          <w:szCs w:val="24"/>
          <w:highlight w:val="none"/>
          <w14:textFill>
            <w14:solidFill>
              <w14:schemeClr w14:val="tx1"/>
            </w14:solidFill>
          </w14:textFill>
        </w:rPr>
        <w:t>While studies on digital media and traditional culture have explored various technical paths of visual re-creation, most still lack attention to how users engage with these visual transformations. For instance, existing research on Genshin Impact and cultural communication tends to emphasize the dissemination of traditional Chinese culture within China and on the global stage.. Studies focusing on the case of Genshin Impact offer valuable perspectives on advancing international collaboration in the gaming sector, innovating China's cultural tourism models, and fostering sustainable development. However few studies have investigated cultural interaction in the cross-cultural communication of video games through direct access to authentic and objective audience data (Zhang et al. , 2024).</w:t>
      </w:r>
    </w:p>
    <w:p w14:paraId="4088AC92">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This gap similarly applies to the study of digital opera, where user engagement with reimagined visual elements remains underexplored.</w:t>
      </w:r>
      <w:r>
        <w:rPr>
          <w:rFonts w:hint="default" w:ascii="Times New Roman" w:hAnsi="Times New Roman" w:cs="Times New Roman"/>
          <w:color w:val="000000" w:themeColor="text1"/>
          <w:sz w:val="24"/>
          <w:szCs w:val="24"/>
          <w:highlight w:val="none"/>
          <w14:textFill>
            <w14:solidFill>
              <w14:schemeClr w14:val="tx1"/>
            </w14:solidFill>
          </w14:textFill>
        </w:rPr>
        <w:t xml:space="preserve">As </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Li, (2025b)</w:t>
      </w:r>
      <w:r>
        <w:rPr>
          <w:rFonts w:hint="default" w:ascii="Times New Roman" w:hAnsi="Times New Roman" w:cs="Times New Roman"/>
          <w:color w:val="000000" w:themeColor="text1"/>
          <w:sz w:val="24"/>
          <w:szCs w:val="24"/>
          <w:highlight w:val="none"/>
          <w14:textFill>
            <w14:solidFill>
              <w14:schemeClr w14:val="tx1"/>
            </w14:solidFill>
          </w14:textFill>
        </w:rPr>
        <w:t xml:space="preserve"> noted, in digital contexts, "likes, shares, and the imitation of visual symbols" themselves have become a new rhythm of cultural consumption . This behavior model provides a basis for studying the generation mechanisms of digital visual identity.</w:t>
      </w:r>
    </w:p>
    <w:p w14:paraId="3AA14975">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eastAsiaTheme="minorEastAsia"/>
          <w:color w:val="000000" w:themeColor="text1"/>
          <w:sz w:val="24"/>
          <w:szCs w:val="24"/>
          <w:highlight w:val="none"/>
          <w:lang w:val="en-US" w:eastAsia="zh-CN"/>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 xml:space="preserve">The combination of in-depth interviews and rhythm analysis also strengthens the logical connection between "watching—perception—identity." For example, </w:t>
      </w:r>
      <w:r>
        <w:rPr>
          <w:rFonts w:hint="default" w:ascii="Times New Roman" w:hAnsi="Times New Roman" w:cs="Times New Roman"/>
          <w:color w:val="000000" w:themeColor="text1"/>
          <w:highlight w:val="none"/>
          <w14:textFill>
            <w14:solidFill>
              <w14:schemeClr w14:val="tx1"/>
            </w14:solidFill>
          </w14:textFill>
        </w:rPr>
        <w:t>Liu, Z., Yan,</w:t>
      </w:r>
      <w:r>
        <w:rPr>
          <w:rFonts w:hint="default" w:ascii="Times New Roman" w:hAnsi="Times New Roman" w:cs="Times New Roman"/>
          <w:color w:val="000000" w:themeColor="text1"/>
          <w:highlight w:val="none"/>
          <w:lang w:val="en-US" w:eastAsia="zh-CN"/>
          <w14:textFill>
            <w14:solidFill>
              <w14:schemeClr w14:val="tx1"/>
            </w14:solidFill>
          </w14:textFill>
        </w:rPr>
        <w:t xml:space="preserve"> </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 xml:space="preserve">et al., </w:t>
      </w:r>
      <w:r>
        <w:rPr>
          <w:rFonts w:hint="default" w:ascii="Times New Roman" w:hAnsi="Times New Roman" w:cs="Times New Roman"/>
          <w:color w:val="000000" w:themeColor="text1"/>
          <w:sz w:val="24"/>
          <w:szCs w:val="24"/>
          <w:highlight w:val="none"/>
          <w14:textFill>
            <w14:solidFill>
              <w14:schemeClr w14:val="tx1"/>
            </w14:solidFill>
          </w14:textFill>
        </w:rPr>
        <w:t>(2022) found in their research on the VR dissemination of "Hua’er" that visually intense rhythmic performances are more likely to evoke users' cultural connections . In the pre-observation phase of this study, users in the comments section mentioned that short video opera clips with fast rhythms and vibrant colors were "impressive" and "felt more like a visual game." These feedbacks will help further understand the relationship between visual translation and aesthetic reception</w:t>
      </w:r>
      <w:r>
        <w:rPr>
          <w:rFonts w:hint="default" w:ascii="Times New Roman" w:hAnsi="Times New Roman" w:cs="Times New Roman"/>
          <w:color w:val="000000" w:themeColor="text1"/>
          <w:sz w:val="24"/>
          <w:szCs w:val="24"/>
          <w:highlight w:val="none"/>
          <w:lang w:val="en-US" w:eastAsia="zh-CN"/>
          <w14:textFill>
            <w14:solidFill>
              <w14:schemeClr w14:val="tx1"/>
            </w14:solidFill>
          </w14:textFill>
        </w:rPr>
        <w:t>.</w:t>
      </w:r>
    </w:p>
    <w:p w14:paraId="34536B00">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highlight w:val="none"/>
          <w:lang w:eastAsia="zh-CN"/>
          <w14:textFill>
            <w14:solidFill>
              <w14:schemeClr w14:val="tx1"/>
            </w14:solidFill>
          </w14:textFill>
        </w:rPr>
      </w:pPr>
      <w:r>
        <w:rPr>
          <w:rFonts w:hint="default" w:ascii="Times New Roman" w:hAnsi="Times New Roman" w:cs="Times New Roman"/>
          <w:color w:val="000000" w:themeColor="text1"/>
          <w:highlight w:val="none"/>
          <w:lang w:eastAsia="zh-CN"/>
          <w14:textFill>
            <w14:solidFill>
              <w14:schemeClr w14:val="tx1"/>
            </w14:solidFill>
          </w14:textFill>
        </w:rPr>
        <w:t>In summary, the methodological approach adopted in this study provides an effective observational channel for exploring the visual evolution and audience identity paths of digital opera under platform mechanisms. This section also lays the foundation for more systematic theoretical analysis in the following chapters.</w:t>
      </w:r>
    </w:p>
    <w:p w14:paraId="6BBEA75D">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pPr>
      <w:r>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t>4.2 Preliminary Findings and Potential Theoretical Explanations</w:t>
      </w:r>
    </w:p>
    <w:p w14:paraId="1CC41D79">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 xml:space="preserve">First, from the perspective of media ecology theory (McLuhan, 1964), media itself is not merely a tool for transmitting information; it profoundly shapes the structure of content and how it is received. In the dissemination of digital opera, the platform's content logic, interface structure, and interactive rhythm determine how opera visuals are translated and reproduced. For example, the content algorithms of platforms like TikTok and Bilibili tend to reinforce rhythm and high-visibility symbols (e.g., masks, climactic singing sections), fundamentally reshaping the traditional "slow rhythm, delayed development" of opera's visual aesthetics. </w:t>
      </w:r>
    </w:p>
    <w:p w14:paraId="25A06E03">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lang w:eastAsia="zh-CN"/>
          <w14:textFill>
            <w14:solidFill>
              <w14:schemeClr w14:val="tx1"/>
            </w14:solidFill>
          </w14:textFill>
        </w:rPr>
      </w:pPr>
      <w:r>
        <w:rPr>
          <w:rFonts w:hint="default" w:ascii="Times New Roman" w:hAnsi="Times New Roman" w:cs="Times New Roman"/>
          <w:color w:val="000000" w:themeColor="text1"/>
          <w:sz w:val="24"/>
          <w:szCs w:val="24"/>
          <w:highlight w:val="none"/>
          <w:lang w:eastAsia="zh-CN"/>
          <w14:textFill>
            <w14:solidFill>
              <w14:schemeClr w14:val="tx1"/>
            </w14:solidFill>
          </w14:textFill>
        </w:rPr>
        <w:t>Secondly, from the perspective of "embodiment" and "embodied cognition" theory, Generation Z viewers' behavior in watching opera is no longer a passive act of "viewing," but an active engagement through sensory perception, emotional participation, and interactive rhythms embedded in digital experiences</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(Song, 2023)</w:t>
      </w:r>
      <w:r>
        <w:rPr>
          <w:rFonts w:hint="default" w:ascii="Times New Roman" w:hAnsi="Times New Roman" w:cs="Times New Roman"/>
          <w:color w:val="000000" w:themeColor="text1"/>
          <w:sz w:val="24"/>
          <w:szCs w:val="24"/>
          <w:highlight w:val="none"/>
          <w:lang w:eastAsia="zh-CN"/>
          <w14:textFill>
            <w14:solidFill>
              <w14:schemeClr w14:val="tx1"/>
            </w14:solidFill>
          </w14:textFill>
        </w:rPr>
        <w:t>. In their study of the intangible cultural heritage project "Hua’er,"</w:t>
      </w:r>
      <w:r>
        <w:rPr>
          <w:rFonts w:hint="default" w:ascii="Times New Roman" w:hAnsi="Times New Roman" w:cs="Times New Roman"/>
          <w:color w:val="000000" w:themeColor="text1"/>
          <w:sz w:val="24"/>
          <w:szCs w:val="24"/>
          <w:highlight w:val="none"/>
          <w14:textFill>
            <w14:solidFill>
              <w14:schemeClr w14:val="tx1"/>
            </w14:solidFill>
          </w14:textFill>
        </w:rPr>
        <w:t xml:space="preserve"> </w:t>
      </w:r>
      <w:r>
        <w:rPr>
          <w:rFonts w:hint="default" w:ascii="Times New Roman" w:hAnsi="Times New Roman" w:cs="Times New Roman"/>
          <w:color w:val="000000" w:themeColor="text1"/>
          <w:highlight w:val="none"/>
          <w14:textFill>
            <w14:solidFill>
              <w14:schemeClr w14:val="tx1"/>
            </w14:solidFill>
          </w14:textFill>
        </w:rPr>
        <w:t>Liu, Z., Yan,</w:t>
      </w:r>
      <w:r>
        <w:rPr>
          <w:rFonts w:hint="default" w:ascii="Times New Roman" w:hAnsi="Times New Roman" w:cs="Times New Roman"/>
          <w:color w:val="000000" w:themeColor="text1"/>
          <w:highlight w:val="none"/>
          <w:lang w:val="en-US" w:eastAsia="zh-CN"/>
          <w14:textFill>
            <w14:solidFill>
              <w14:schemeClr w14:val="tx1"/>
            </w14:solidFill>
          </w14:textFill>
        </w:rPr>
        <w:t xml:space="preserve"> </w:t>
      </w:r>
      <w:r>
        <w:rPr>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et al.,</w:t>
      </w:r>
      <w:r>
        <w:rPr>
          <w:rFonts w:hint="default" w:ascii="Times New Roman" w:hAnsi="Times New Roman" w:cs="Times New Roman"/>
          <w:color w:val="000000" w:themeColor="text1"/>
          <w:sz w:val="24"/>
          <w:szCs w:val="24"/>
          <w:highlight w:val="none"/>
          <w:lang w:eastAsia="zh-CN"/>
          <w14:textFill>
            <w14:solidFill>
              <w14:schemeClr w14:val="tx1"/>
            </w14:solidFill>
          </w14:textFill>
        </w:rPr>
        <w:t xml:space="preserve"> (2022) noted that when digital visual narratives connect with users' bodily experiences, they transform viewers from "observers" to "immersed participants," thus stimulating a higher level of cultural identity. Research shows that immersive experiences, interactive rhythms, and interface designs can trigger users' "cultural bodily memories," and this experiential structure is one of the potential paths for digital opera to achieve recognition.</w:t>
      </w:r>
    </w:p>
    <w:p w14:paraId="08F59F0F">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 xml:space="preserve">Additionally, Midyanti and Sukmayadi (2021) pointed out in their discussion on the fusion of local wisdom and digital art that digital platforms are not "alternative spaces" to traditional culture but rather a "crossroads" that fosters cultural regeneration. They noted that in digital performing arts, "local knowledge is re-encoded and participatively re-presented through media, becoming a shared space for viewers to co-create and imagine". This closely aligns with what this study has observed in terms of secondary creations, comment interactions, and rhythmic resonance. </w:t>
      </w:r>
    </w:p>
    <w:p w14:paraId="7198DEBB">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 xml:space="preserve">In conclusion, the theoretical framework used in this study emphasizes that media not only reconstructs the visual structure of opera but also intervenes in the process of users' perception and identity formation. </w:t>
      </w:r>
    </w:p>
    <w:p w14:paraId="2F74275B">
      <w:pPr>
        <w:pStyle w:val="2"/>
        <w:keepNext w:val="0"/>
        <w:keepLines w:val="0"/>
        <w:pageBreakBefore w:val="0"/>
        <w:widowControl/>
        <w:numPr>
          <w:ilvl w:val="1"/>
          <w:numId w:val="0"/>
        </w:numPr>
        <w:suppressLineNumbers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2"/>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pPr>
      <w:r>
        <w:rPr>
          <w:rFonts w:hint="default" w:ascii="Times New Roman" w:hAnsi="Times New Roman" w:eastAsia="宋体" w:cs="Times New Roman"/>
          <w:b/>
          <w:bCs/>
          <w:color w:val="000000" w:themeColor="text1"/>
          <w:kern w:val="0"/>
          <w:sz w:val="28"/>
          <w:szCs w:val="28"/>
          <w:highlight w:val="none"/>
          <w:lang w:val="en-US" w:eastAsia="zh-CN" w:bidi="ar"/>
          <w14:textFill>
            <w14:solidFill>
              <w14:schemeClr w14:val="tx1"/>
            </w14:solidFill>
          </w14:textFill>
        </w:rPr>
        <w:t>4.3 Methodological Reflection, Limitations, and Future Research Directions</w:t>
      </w:r>
    </w:p>
    <w:p w14:paraId="4A12A711">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lang w:val="en-US"/>
          <w14:textFill>
            <w14:solidFill>
              <w14:schemeClr w14:val="tx1"/>
            </w14:solidFill>
          </w14:textFill>
        </w:rPr>
        <w:t>T</w:t>
      </w:r>
      <w:r>
        <w:rPr>
          <w:rFonts w:hint="default" w:ascii="Times New Roman" w:hAnsi="Times New Roman" w:cs="Times New Roman"/>
          <w:color w:val="000000" w:themeColor="text1"/>
          <w:sz w:val="24"/>
          <w:szCs w:val="24"/>
          <w:highlight w:val="none"/>
          <w14:textFill>
            <w14:solidFill>
              <w14:schemeClr w14:val="tx1"/>
            </w14:solidFill>
          </w14:textFill>
        </w:rPr>
        <w:t xml:space="preserve">he study faces several limitations. First, the sample size is constrained by the platform's data transparency and resource limitations, and the representativeness of online ethnography and observation methods is limited. Second, the interview sample did not fully cover the internal differences within Generation Z, which may affect the overall judgment of the mechanisms of cultural identity formation. </w:t>
      </w:r>
    </w:p>
    <w:p w14:paraId="03DA130D">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sz w:val="24"/>
          <w:szCs w:val="24"/>
          <w:highlight w:val="none"/>
          <w14:textFill>
            <w14:solidFill>
              <w14:schemeClr w14:val="tx1"/>
            </w14:solidFill>
          </w14:textFill>
        </w:rPr>
      </w:pPr>
      <w:r>
        <w:rPr>
          <w:rFonts w:hint="default" w:ascii="Times New Roman" w:hAnsi="Times New Roman" w:cs="Times New Roman"/>
          <w:color w:val="000000" w:themeColor="text1"/>
          <w:sz w:val="24"/>
          <w:szCs w:val="24"/>
          <w:highlight w:val="none"/>
          <w14:textFill>
            <w14:solidFill>
              <w14:schemeClr w14:val="tx1"/>
            </w14:solidFill>
          </w14:textFill>
        </w:rPr>
        <w:t>Moreover, the theoretical support remains somewhat weak. Although this study focuses on media ecology and cultural participation, it does not delve deeply into macro-critical perspectives such as platform governance and algorithm structures. Subsequent research could expand to include more platforms, comparing their differences in visual representation and user participation mechanisms. It could also explore emerging trends such as AI-generated and virtual opera idols, examining how they align with youth cultural consumption habits.</w:t>
      </w:r>
    </w:p>
    <w:p w14:paraId="7EDFEC75">
      <w:pPr>
        <w:pStyle w:val="4"/>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In conclusion, the methods used in this study show practical value in understanding visual translation and audience interaction, but there is still room for improvement in sample coverage and theoretical depth. Through further platform expansion and theoretical enhancement, the breadth and depth of digital opera research can be enriched.</w:t>
      </w:r>
    </w:p>
    <w:p w14:paraId="69DFADCF">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left"/>
        <w:textAlignment w:val="auto"/>
        <w:rPr>
          <w:rFonts w:hint="default" w:ascii="Times New Roman" w:hAnsi="Times New Roman" w:eastAsia="宋体" w:cs="Times New Roman"/>
          <w:b/>
          <w:bCs/>
          <w:color w:val="000000" w:themeColor="text1"/>
          <w:kern w:val="0"/>
          <w:sz w:val="30"/>
          <w:szCs w:val="30"/>
          <w:highlight w:val="none"/>
          <w:lang w:val="en-US" w:eastAsia="zh-CN" w:bidi="ar"/>
          <w14:textFill>
            <w14:solidFill>
              <w14:schemeClr w14:val="tx1"/>
            </w14:solidFill>
          </w14:textFill>
        </w:rPr>
      </w:pPr>
      <w:r>
        <w:rPr>
          <w:rFonts w:hint="default" w:ascii="Times New Roman" w:hAnsi="Times New Roman" w:eastAsia="宋体" w:cs="Times New Roman"/>
          <w:b/>
          <w:bCs/>
          <w:color w:val="000000" w:themeColor="text1"/>
          <w:kern w:val="0"/>
          <w:sz w:val="30"/>
          <w:szCs w:val="30"/>
          <w:highlight w:val="none"/>
          <w:lang w:val="en-US" w:eastAsia="zh-CN" w:bidi="ar"/>
          <w14:textFill>
            <w14:solidFill>
              <w14:schemeClr w14:val="tx1"/>
            </w14:solidFill>
          </w14:textFill>
        </w:rPr>
        <w:t>Conclusion</w:t>
      </w:r>
    </w:p>
    <w:p w14:paraId="40C9ECFB">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000000" w:themeColor="text1"/>
          <w:highlight w:val="none"/>
          <w:lang w:eastAsia="zh-CN"/>
          <w14:textFill>
            <w14:solidFill>
              <w14:schemeClr w14:val="tx1"/>
            </w14:solidFill>
          </w14:textFill>
        </w:rPr>
      </w:pPr>
      <w:r>
        <w:rPr>
          <w:rFonts w:hint="default" w:ascii="Times New Roman" w:hAnsi="Times New Roman" w:cs="Times New Roman"/>
          <w:color w:val="000000" w:themeColor="text1"/>
          <w:highlight w:val="none"/>
          <w:lang w:eastAsia="zh-CN"/>
          <w14:textFill>
            <w14:solidFill>
              <w14:schemeClr w14:val="tx1"/>
            </w14:solidFill>
          </w14:textFill>
        </w:rPr>
        <w:t>This study focuses on how digital media technologies reconstruct the visual language of traditional Chinese opera and further explores the emotional resonance and cultural identity paths of Generation Z viewers in digital viewing contexts. Through the mixed ethnography framework, the study integrates platform visual samples, user behavior observations, in-depth interviews, and rhythm analysis, unveiling the mechanism of traditional visual aesthetics' reinvention in the digital environment from the logic of "media technology—visual translation—identity generation."</w:t>
      </w:r>
    </w:p>
    <w:p w14:paraId="5907EEF2">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000000" w:themeColor="text1"/>
          <w:highlight w:val="none"/>
          <w:lang w:eastAsia="zh-CN"/>
          <w14:textFill>
            <w14:solidFill>
              <w14:schemeClr w14:val="tx1"/>
            </w14:solidFill>
          </w14:textFill>
        </w:rPr>
      </w:pPr>
      <w:r>
        <w:rPr>
          <w:rFonts w:hint="default" w:ascii="Times New Roman" w:hAnsi="Times New Roman" w:cs="Times New Roman"/>
          <w:color w:val="000000" w:themeColor="text1"/>
          <w:highlight w:val="none"/>
          <w:lang w:eastAsia="zh-CN"/>
          <w14:textFill>
            <w14:solidFill>
              <w14:schemeClr w14:val="tx1"/>
            </w14:solidFill>
          </w14:textFill>
        </w:rPr>
        <w:t>The study indicates that the visual expression of opera shows significant adaptability when facing short videos, AI, VR, and other media. Traditional opera is shifting from stage space to platform space, from continuous narratives to fragmented, fast-paced, and symbolic visual reorganization. However, it also faces challenges such as the weakening of cultural context. Meanwhile, the study preliminarily finds that this visual translation not only changes the way opera is expressed but also stimulates Generation Z’s new understanding and resonance of traditional culture through interactive behaviors, rhythmic perception, and viewing participation.</w:t>
      </w:r>
    </w:p>
    <w:p w14:paraId="6BAF93A7">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jc w:val="both"/>
        <w:textAlignment w:val="auto"/>
        <w:rPr>
          <w:rFonts w:hint="default" w:ascii="Times New Roman" w:hAnsi="Times New Roman" w:cs="Times New Roman"/>
          <w:color w:val="000000" w:themeColor="text1"/>
          <w:highlight w:val="none"/>
          <w:lang w:eastAsia="zh-CN"/>
          <w14:textFill>
            <w14:solidFill>
              <w14:schemeClr w14:val="tx1"/>
            </w14:solidFill>
          </w14:textFill>
        </w:rPr>
      </w:pPr>
      <w:r>
        <w:rPr>
          <w:rFonts w:hint="default" w:ascii="Times New Roman" w:hAnsi="Times New Roman" w:cs="Times New Roman"/>
          <w:color w:val="000000" w:themeColor="text1"/>
          <w:highlight w:val="none"/>
          <w:lang w:eastAsia="zh-CN"/>
          <w14:textFill>
            <w14:solidFill>
              <w14:schemeClr w14:val="tx1"/>
            </w14:solidFill>
          </w14:textFill>
        </w:rPr>
        <w:t>This study not only addresses the practical issues of ICH dissemination in the context of media transformation but also provides an interdisciplinary paradigm for research on digital visual culture, platform mechanisms, and youth identity, expanding the possibilities for the dissemination and regeneration of traditional art in the digital age.</w:t>
      </w:r>
    </w:p>
    <w:p w14:paraId="401FDDC6">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left"/>
        <w:textAlignment w:val="auto"/>
        <w:rPr>
          <w:rFonts w:hint="default" w:ascii="Times New Roman" w:hAnsi="Times New Roman" w:eastAsia="宋体" w:cs="Times New Roman"/>
          <w:b/>
          <w:bCs/>
          <w:color w:val="000000" w:themeColor="text1"/>
          <w:kern w:val="0"/>
          <w:sz w:val="30"/>
          <w:szCs w:val="30"/>
          <w:highlight w:val="none"/>
          <w:lang w:val="en-US" w:eastAsia="zh-CN" w:bidi="ar"/>
          <w14:textFill>
            <w14:solidFill>
              <w14:schemeClr w14:val="tx1"/>
            </w14:solidFill>
          </w14:textFill>
        </w:rPr>
      </w:pPr>
      <w:r>
        <w:rPr>
          <w:rFonts w:hint="eastAsia" w:ascii="Times New Roman" w:hAnsi="Times New Roman" w:eastAsia="宋体" w:cs="Times New Roman"/>
          <w:b/>
          <w:bCs/>
          <w:color w:val="000000" w:themeColor="text1"/>
          <w:kern w:val="0"/>
          <w:sz w:val="30"/>
          <w:szCs w:val="30"/>
          <w:highlight w:val="none"/>
          <w:lang w:val="en-US" w:eastAsia="zh-CN" w:bidi="ar"/>
          <w14:textFill>
            <w14:solidFill>
              <w14:schemeClr w14:val="tx1"/>
            </w14:solidFill>
          </w14:textFill>
        </w:rPr>
        <w:t>R</w:t>
      </w:r>
      <w:r>
        <w:rPr>
          <w:rFonts w:hint="default" w:ascii="Times New Roman" w:hAnsi="Times New Roman" w:eastAsia="宋体" w:cs="Times New Roman"/>
          <w:b/>
          <w:bCs/>
          <w:color w:val="000000" w:themeColor="text1"/>
          <w:kern w:val="0"/>
          <w:sz w:val="30"/>
          <w:szCs w:val="30"/>
          <w:highlight w:val="none"/>
          <w:lang w:val="en-US" w:eastAsia="zh-CN" w:bidi="ar"/>
          <w14:textFill>
            <w14:solidFill>
              <w14:schemeClr w14:val="tx1"/>
            </w14:solidFill>
          </w14:textFill>
        </w:rPr>
        <w:t>eferences</w:t>
      </w:r>
    </w:p>
    <w:p w14:paraId="2D64C2C2">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 xml:space="preserve">Chen, L. and Chonpairot, J., 2023. </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The impact of Henan opera aesthetics characteristics upon the Henan people</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 xml:space="preserve">. </w:t>
      </w:r>
      <w:r>
        <w:rPr>
          <w:rStyle w:val="8"/>
          <w:rFonts w:hint="default" w:ascii="Times New Roman" w:hAnsi="Times New Roman" w:cs="Times New Roman"/>
          <w:color w:val="000000" w:themeColor="text1"/>
          <w:highlight w:val="none"/>
          <w14:textFill>
            <w14:solidFill>
              <w14:schemeClr w14:val="tx1"/>
            </w14:solidFill>
          </w14:textFill>
        </w:rPr>
        <w:t>Journal of Roi Kaensarn Academi</w:t>
      </w:r>
      <w:r>
        <w:rPr>
          <w:rFonts w:hint="default" w:ascii="Times New Roman" w:hAnsi="Times New Roman" w:cs="Times New Roman"/>
          <w:color w:val="000000" w:themeColor="text1"/>
          <w:highlight w:val="none"/>
          <w14:textFill>
            <w14:solidFill>
              <w14:schemeClr w14:val="tx1"/>
            </w14:solidFill>
          </w14:textFill>
        </w:rPr>
        <w:t>, 8(2), pp.450–460.</w:t>
      </w:r>
    </w:p>
    <w:p w14:paraId="45E8AF8E">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 xml:space="preserve">Chung, F.M.Y., 2021. </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Translating culture-bound elements: A case study of traditional Chinese theatre in the socio-cultural context of Hong Kong</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 xml:space="preserve">. </w:t>
      </w:r>
      <w:r>
        <w:rPr>
          <w:rStyle w:val="8"/>
          <w:rFonts w:hint="default" w:ascii="Times New Roman" w:hAnsi="Times New Roman" w:cs="Times New Roman"/>
          <w:color w:val="000000" w:themeColor="text1"/>
          <w:highlight w:val="none"/>
          <w14:textFill>
            <w14:solidFill>
              <w14:schemeClr w14:val="tx1"/>
            </w14:solidFill>
          </w14:textFill>
        </w:rPr>
        <w:t>Fudan Journal of the Humanities and Social Sciences</w:t>
      </w:r>
      <w:r>
        <w:rPr>
          <w:rFonts w:hint="default" w:ascii="Times New Roman" w:hAnsi="Times New Roman" w:cs="Times New Roman"/>
          <w:color w:val="000000" w:themeColor="text1"/>
          <w:highlight w:val="none"/>
          <w14:textFill>
            <w14:solidFill>
              <w14:schemeClr w14:val="tx1"/>
            </w14:solidFill>
          </w14:textFill>
        </w:rPr>
        <w:t>, 14(3), pp.393–415.</w:t>
      </w:r>
    </w:p>
    <w:p w14:paraId="23E5F77F">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 xml:space="preserve">Creswell, J.W. and Poth, C.N., 2016. </w:t>
      </w:r>
      <w:r>
        <w:rPr>
          <w:rStyle w:val="8"/>
          <w:rFonts w:hint="default" w:ascii="Times New Roman" w:hAnsi="Times New Roman" w:cs="Times New Roman"/>
          <w:color w:val="000000" w:themeColor="text1"/>
          <w:highlight w:val="none"/>
          <w14:textFill>
            <w14:solidFill>
              <w14:schemeClr w14:val="tx1"/>
            </w14:solidFill>
          </w14:textFill>
        </w:rPr>
        <w:t>Qualitative inquiry and research design: Choosing among five approaches</w:t>
      </w:r>
      <w:r>
        <w:rPr>
          <w:rFonts w:hint="default" w:ascii="Times New Roman" w:hAnsi="Times New Roman" w:cs="Times New Roman"/>
          <w:color w:val="000000" w:themeColor="text1"/>
          <w:highlight w:val="none"/>
          <w14:textFill>
            <w14:solidFill>
              <w14:schemeClr w14:val="tx1"/>
            </w14:solidFill>
          </w14:textFill>
        </w:rPr>
        <w:t>. Sage Publications.</w:t>
      </w:r>
    </w:p>
    <w:p w14:paraId="655EA87E">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lang w:eastAsia="zh-CN"/>
          <w14:textFill>
            <w14:solidFill>
              <w14:schemeClr w14:val="tx1"/>
            </w14:solidFill>
          </w14:textFill>
        </w:rPr>
      </w:pPr>
      <w:r>
        <w:rPr>
          <w:rFonts w:hint="default" w:ascii="Times New Roman" w:hAnsi="Times New Roman" w:cs="Times New Roman"/>
          <w:color w:val="000000" w:themeColor="text1"/>
          <w:highlight w:val="none"/>
          <w:lang w:eastAsia="zh-CN"/>
          <w14:textFill>
            <w14:solidFill>
              <w14:schemeClr w14:val="tx1"/>
            </w14:solidFill>
          </w14:textFill>
        </w:rPr>
        <w:t xml:space="preserve">Cho, H., 2024. </w:t>
      </w:r>
      <w:r>
        <w:rPr>
          <w:rFonts w:hint="default" w:ascii="Times New Roman" w:hAnsi="Times New Roman" w:cs="Times New Roman"/>
          <w:color w:val="000000" w:themeColor="text1"/>
          <w:highlight w:val="none"/>
          <w:lang w:val="en-US" w:eastAsia="zh-CN"/>
          <w14:textFill>
            <w14:solidFill>
              <w14:schemeClr w14:val="tx1"/>
            </w14:solidFill>
          </w14:textFill>
        </w:rPr>
        <w:t>‘</w:t>
      </w:r>
      <w:r>
        <w:rPr>
          <w:rFonts w:hint="default" w:ascii="Times New Roman" w:hAnsi="Times New Roman" w:cs="Times New Roman"/>
          <w:color w:val="000000" w:themeColor="text1"/>
          <w:highlight w:val="none"/>
          <w:lang w:eastAsia="zh-CN"/>
          <w14:textFill>
            <w14:solidFill>
              <w14:schemeClr w14:val="tx1"/>
            </w14:solidFill>
          </w14:textFill>
        </w:rPr>
        <w:t>"I feel safe when I listen to Korean music!": Musical engagement and subjective well-being amongst Korean international students in the UK</w:t>
      </w:r>
      <w:r>
        <w:rPr>
          <w:rFonts w:hint="default" w:ascii="Times New Roman" w:hAnsi="Times New Roman" w:cs="Times New Roman"/>
          <w:color w:val="000000" w:themeColor="text1"/>
          <w:highlight w:val="none"/>
          <w:lang w:val="en-US" w:eastAsia="zh-CN"/>
          <w14:textFill>
            <w14:solidFill>
              <w14:schemeClr w14:val="tx1"/>
            </w14:solidFill>
          </w14:textFill>
        </w:rPr>
        <w:t>’</w:t>
      </w:r>
      <w:r>
        <w:rPr>
          <w:rFonts w:hint="default" w:ascii="Times New Roman" w:hAnsi="Times New Roman" w:cs="Times New Roman"/>
          <w:color w:val="000000" w:themeColor="text1"/>
          <w:highlight w:val="none"/>
          <w:lang w:eastAsia="zh-CN"/>
          <w14:textFill>
            <w14:solidFill>
              <w14:schemeClr w14:val="tx1"/>
            </w14:solidFill>
          </w14:textFill>
        </w:rPr>
        <w:t xml:space="preserve">. </w:t>
      </w:r>
      <w:r>
        <w:rPr>
          <w:rStyle w:val="8"/>
          <w:rFonts w:hint="default" w:ascii="Times New Roman" w:hAnsi="Times New Roman" w:eastAsia="宋体" w:cs="Times New Roman"/>
          <w:color w:val="000000" w:themeColor="text1"/>
          <w:highlight w:val="none"/>
          <w:lang w:eastAsia="zh-CN"/>
          <w14:textFill>
            <w14:solidFill>
              <w14:schemeClr w14:val="tx1"/>
            </w14:solidFill>
          </w14:textFill>
        </w:rPr>
        <w:t>Journal of International Students</w:t>
      </w:r>
      <w:r>
        <w:rPr>
          <w:rFonts w:hint="default" w:ascii="Times New Roman" w:hAnsi="Times New Roman" w:cs="Times New Roman"/>
          <w:color w:val="000000" w:themeColor="text1"/>
          <w:highlight w:val="none"/>
          <w:lang w:eastAsia="zh-CN"/>
          <w14:textFill>
            <w14:solidFill>
              <w14:schemeClr w14:val="tx1"/>
            </w14:solidFill>
          </w14:textFill>
        </w:rPr>
        <w:t>, 14(4), pp.760–780.</w:t>
      </w:r>
    </w:p>
    <w:p w14:paraId="12377AD5">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lang w:eastAsia="zh-CN"/>
          <w14:textFill>
            <w14:solidFill>
              <w14:schemeClr w14:val="tx1"/>
            </w14:solidFill>
          </w14:textFill>
        </w:rPr>
      </w:pPr>
      <w:r>
        <w:rPr>
          <w:rFonts w:hint="default" w:ascii="Times New Roman" w:hAnsi="Times New Roman" w:cs="Times New Roman"/>
          <w:color w:val="000000" w:themeColor="text1"/>
          <w:highlight w:val="none"/>
          <w:lang w:eastAsia="zh-CN"/>
          <w14:textFill>
            <w14:solidFill>
              <w14:schemeClr w14:val="tx1"/>
            </w14:solidFill>
          </w14:textFill>
        </w:rPr>
        <w:t>Edström, E. (2018) ‘Moving forward: An essay on how to contemporize the traditional Chinese theater without severing the tradition’, Critical Stages, [online]. Available at: https://www.critical-stages.org/18/moving-forward/ [Accessed 4 May 2025].</w:t>
      </w:r>
    </w:p>
    <w:p w14:paraId="37E09D5A">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 xml:space="preserve">Fan, H. and Zhou, X., 2021. </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 xml:space="preserve">Content innovation and optimization strategies for short video communication of traditional Chinese culture: A case study of “#Who says Peking Opera isn’t on </w:t>
      </w:r>
      <w:r>
        <w:rPr>
          <w:rFonts w:hint="default" w:ascii="Times New Roman" w:hAnsi="Times New Roman" w:cs="Times New Roman"/>
          <w:color w:val="000000" w:themeColor="text1"/>
          <w:highlight w:val="none"/>
          <w:lang w:val="en-US"/>
          <w14:textFill>
            <w14:solidFill>
              <w14:schemeClr w14:val="tx1"/>
            </w14:solidFill>
          </w14:textFill>
        </w:rPr>
        <w:t>Tik Tok</w:t>
      </w:r>
      <w:r>
        <w:rPr>
          <w:rFonts w:hint="default" w:ascii="Times New Roman" w:hAnsi="Times New Roman" w:cs="Times New Roman"/>
          <w:color w:val="000000" w:themeColor="text1"/>
          <w:highlight w:val="none"/>
          <w14:textFill>
            <w14:solidFill>
              <w14:schemeClr w14:val="tx1"/>
            </w14:solidFill>
          </w14:textFill>
        </w:rPr>
        <w:t>”</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 xml:space="preserve">. </w:t>
      </w:r>
      <w:r>
        <w:rPr>
          <w:rStyle w:val="8"/>
          <w:rFonts w:hint="default" w:ascii="Times New Roman" w:hAnsi="Times New Roman" w:cs="Times New Roman"/>
          <w:color w:val="000000" w:themeColor="text1"/>
          <w:highlight w:val="none"/>
          <w14:textFill>
            <w14:solidFill>
              <w14:schemeClr w14:val="tx1"/>
            </w14:solidFill>
          </w14:textFill>
        </w:rPr>
        <w:t>Publishing Horizon</w:t>
      </w:r>
      <w:r>
        <w:rPr>
          <w:rFonts w:hint="default" w:ascii="Times New Roman" w:hAnsi="Times New Roman" w:cs="Times New Roman"/>
          <w:color w:val="000000" w:themeColor="text1"/>
          <w:highlight w:val="none"/>
          <w14:textFill>
            <w14:solidFill>
              <w14:schemeClr w14:val="tx1"/>
            </w14:solidFill>
          </w14:textFill>
        </w:rPr>
        <w:t>, 11, pp.67–71. (in Chinese)</w:t>
      </w:r>
    </w:p>
    <w:p w14:paraId="4D1164B7">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 xml:space="preserve">He, Y., 2023. </w:t>
      </w:r>
      <w:r>
        <w:rPr>
          <w:rStyle w:val="8"/>
          <w:rFonts w:hint="default" w:ascii="Times New Roman" w:hAnsi="Times New Roman" w:cs="Times New Roman"/>
          <w:color w:val="000000" w:themeColor="text1"/>
          <w:highlight w:val="none"/>
          <w14:textFill>
            <w14:solidFill>
              <w14:schemeClr w14:val="tx1"/>
            </w14:solidFill>
          </w14:textFill>
        </w:rPr>
        <w:t>Research on the integration of Chinese traditional cultural elements in the video game industry</w:t>
      </w:r>
      <w:r>
        <w:rPr>
          <w:rFonts w:hint="default" w:ascii="Times New Roman" w:hAnsi="Times New Roman" w:cs="Times New Roman"/>
          <w:color w:val="000000" w:themeColor="text1"/>
          <w:highlight w:val="none"/>
          <w14:textFill>
            <w14:solidFill>
              <w14:schemeClr w14:val="tx1"/>
            </w14:solidFill>
          </w14:textFill>
        </w:rPr>
        <w:t xml:space="preserve"> [Master’s thesis]. Central South University. (in Chinese)</w:t>
      </w:r>
    </w:p>
    <w:p w14:paraId="5460AFB2">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 xml:space="preserve">Jiang, Y.P., Su, C. and Li, X.C., 2025. </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Virtual reality technology for the digital dissemination of traditional Chinese opera culture</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 xml:space="preserve">. </w:t>
      </w:r>
      <w:r>
        <w:rPr>
          <w:rStyle w:val="8"/>
          <w:rFonts w:hint="default" w:ascii="Times New Roman" w:hAnsi="Times New Roman" w:cs="Times New Roman"/>
          <w:color w:val="000000" w:themeColor="text1"/>
          <w:highlight w:val="none"/>
          <w14:textFill>
            <w14:solidFill>
              <w14:schemeClr w14:val="tx1"/>
            </w14:solidFill>
          </w14:textFill>
        </w:rPr>
        <w:t>International Journal of Human–Computer Interaction</w:t>
      </w:r>
      <w:r>
        <w:rPr>
          <w:rFonts w:hint="default" w:ascii="Times New Roman" w:hAnsi="Times New Roman" w:cs="Times New Roman"/>
          <w:color w:val="000000" w:themeColor="text1"/>
          <w:highlight w:val="none"/>
          <w14:textFill>
            <w14:solidFill>
              <w14:schemeClr w14:val="tx1"/>
            </w14:solidFill>
          </w14:textFill>
        </w:rPr>
        <w:t>, 41(4), pp.2600–2614.</w:t>
      </w:r>
    </w:p>
    <w:p w14:paraId="77DF2D22">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 xml:space="preserve">Jin, J. and Tan, L., n.d. </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Research on the dissemination strategies of Sichuan-Chongqing folk culture from the perspective of new media</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 xml:space="preserve">. </w:t>
      </w:r>
      <w:r>
        <w:rPr>
          <w:rStyle w:val="8"/>
          <w:rFonts w:hint="default" w:ascii="Times New Roman" w:hAnsi="Times New Roman" w:cs="Times New Roman"/>
          <w:color w:val="000000" w:themeColor="text1"/>
          <w:highlight w:val="none"/>
          <w14:textFill>
            <w14:solidFill>
              <w14:schemeClr w14:val="tx1"/>
            </w14:solidFill>
          </w14:textFill>
        </w:rPr>
        <w:t>Unpublished manuscript / publication info unavailable</w:t>
      </w:r>
      <w:r>
        <w:rPr>
          <w:rFonts w:hint="default" w:ascii="Times New Roman" w:hAnsi="Times New Roman" w:cs="Times New Roman"/>
          <w:color w:val="000000" w:themeColor="text1"/>
          <w:highlight w:val="none"/>
          <w14:textFill>
            <w14:solidFill>
              <w14:schemeClr w14:val="tx1"/>
            </w14:solidFill>
          </w14:textFill>
        </w:rPr>
        <w:t>.</w:t>
      </w:r>
    </w:p>
    <w:p w14:paraId="0564A6B3">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lang w:val="en-US" w:eastAsia="zh-CN"/>
          <w14:textFill>
            <w14:solidFill>
              <w14:schemeClr w14:val="tx1"/>
            </w14:solidFill>
          </w14:textFill>
        </w:rPr>
        <w:t>Li, H., 2025a. ‘Research on the dissemination of traditional opera art in the era of integrated media. Jingu Cultural and Creative’</w:t>
      </w:r>
      <w:r>
        <w:rPr>
          <w:rFonts w:hint="default" w:ascii="Times New Roman" w:hAnsi="Times New Roman" w:cs="Times New Roman"/>
          <w:color w:val="000000" w:themeColor="text1"/>
          <w:highlight w:val="none"/>
          <w14:textFill>
            <w14:solidFill>
              <w14:schemeClr w14:val="tx1"/>
            </w14:solidFill>
          </w14:textFill>
        </w:rPr>
        <w:t xml:space="preserve">. </w:t>
      </w:r>
      <w:r>
        <w:rPr>
          <w:rStyle w:val="8"/>
          <w:rFonts w:hint="default" w:ascii="Times New Roman" w:hAnsi="Times New Roman" w:cs="Times New Roman"/>
          <w:color w:val="000000" w:themeColor="text1"/>
          <w:highlight w:val="none"/>
          <w14:textFill>
            <w14:solidFill>
              <w14:schemeClr w14:val="tx1"/>
            </w14:solidFill>
          </w14:textFill>
        </w:rPr>
        <w:t>Jin Gu Wen Chuang</w:t>
      </w:r>
      <w:r>
        <w:rPr>
          <w:rFonts w:hint="default" w:ascii="Times New Roman" w:hAnsi="Times New Roman" w:cs="Times New Roman"/>
          <w:color w:val="000000" w:themeColor="text1"/>
          <w:highlight w:val="none"/>
          <w14:textFill>
            <w14:solidFill>
              <w14:schemeClr w14:val="tx1"/>
            </w14:solidFill>
          </w14:textFill>
        </w:rPr>
        <w:t>, (04), pp.</w:t>
      </w:r>
      <w:r>
        <w:rPr>
          <w:rFonts w:hint="eastAsia" w:ascii="Times New Roman" w:hAnsi="Times New Roman" w:cs="Times New Roman"/>
          <w:color w:val="000000" w:themeColor="text1"/>
          <w:highlight w:val="none"/>
          <w:lang w:val="en-US" w:eastAsia="zh-CN"/>
          <w14:textFill>
            <w14:solidFill>
              <w14:schemeClr w14:val="tx1"/>
            </w14:solidFill>
          </w14:textFill>
        </w:rPr>
        <w:t>90</w:t>
      </w:r>
      <w:r>
        <w:rPr>
          <w:rFonts w:hint="default" w:ascii="Times New Roman" w:hAnsi="Times New Roman" w:cs="Times New Roman"/>
          <w:color w:val="000000" w:themeColor="text1"/>
          <w:highlight w:val="none"/>
          <w14:textFill>
            <w14:solidFill>
              <w14:schemeClr w14:val="tx1"/>
            </w14:solidFill>
          </w14:textFill>
        </w:rPr>
        <w:t>–</w:t>
      </w:r>
      <w:r>
        <w:rPr>
          <w:rFonts w:hint="eastAsia" w:ascii="Times New Roman" w:hAnsi="Times New Roman" w:cs="Times New Roman"/>
          <w:color w:val="000000" w:themeColor="text1"/>
          <w:highlight w:val="none"/>
          <w:lang w:val="en-US" w:eastAsia="zh-CN"/>
          <w14:textFill>
            <w14:solidFill>
              <w14:schemeClr w14:val="tx1"/>
            </w14:solidFill>
          </w14:textFill>
        </w:rPr>
        <w:t>92</w:t>
      </w:r>
      <w:r>
        <w:rPr>
          <w:rFonts w:hint="default" w:ascii="Times New Roman" w:hAnsi="Times New Roman" w:cs="Times New Roman"/>
          <w:color w:val="000000" w:themeColor="text1"/>
          <w:highlight w:val="none"/>
          <w:lang w:val="en-US" w:eastAsia="zh-CN"/>
          <w14:textFill>
            <w14:solidFill>
              <w14:schemeClr w14:val="tx1"/>
            </w14:solidFill>
          </w14:textFill>
        </w:rPr>
        <w:t>. (in Chinese)</w:t>
      </w:r>
    </w:p>
    <w:p w14:paraId="134FC190">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Li, H., 2025</w:t>
      </w:r>
      <w:r>
        <w:rPr>
          <w:rFonts w:hint="default" w:ascii="Times New Roman" w:hAnsi="Times New Roman" w:cs="Times New Roman"/>
          <w:color w:val="000000" w:themeColor="text1"/>
          <w:highlight w:val="none"/>
          <w:lang w:val="en-US"/>
          <w14:textFill>
            <w14:solidFill>
              <w14:schemeClr w14:val="tx1"/>
            </w14:solidFill>
          </w14:textFill>
        </w:rPr>
        <w:t>b</w:t>
      </w:r>
      <w:r>
        <w:rPr>
          <w:rFonts w:hint="default" w:ascii="Times New Roman" w:hAnsi="Times New Roman" w:cs="Times New Roman"/>
          <w:color w:val="000000" w:themeColor="text1"/>
          <w:highlight w:val="none"/>
          <w14:textFill>
            <w14:solidFill>
              <w14:schemeClr w14:val="tx1"/>
            </w14:solidFill>
          </w14:textFill>
        </w:rPr>
        <w:t xml:space="preserve">. </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Characteristics, problems, and development paths of opera art transmission empowered by digital technology</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 xml:space="preserve">. </w:t>
      </w:r>
      <w:r>
        <w:rPr>
          <w:rStyle w:val="8"/>
          <w:rFonts w:hint="default" w:ascii="Times New Roman" w:hAnsi="Times New Roman" w:cs="Times New Roman"/>
          <w:color w:val="000000" w:themeColor="text1"/>
          <w:highlight w:val="none"/>
          <w14:textFill>
            <w14:solidFill>
              <w14:schemeClr w14:val="tx1"/>
            </w14:solidFill>
          </w14:textFill>
        </w:rPr>
        <w:t>New Chu Culture</w:t>
      </w:r>
      <w:r>
        <w:rPr>
          <w:rFonts w:hint="default" w:ascii="Times New Roman" w:hAnsi="Times New Roman" w:cs="Times New Roman"/>
          <w:color w:val="000000" w:themeColor="text1"/>
          <w:highlight w:val="none"/>
          <w14:textFill>
            <w14:solidFill>
              <w14:schemeClr w14:val="tx1"/>
            </w14:solidFill>
          </w14:textFill>
        </w:rPr>
        <w:t>, (04), pp.48–51. (in Chinese)</w:t>
      </w:r>
    </w:p>
    <w:p w14:paraId="34581AEA">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 xml:space="preserve">Li, Q., 2023. </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Research on virtual reality design in the inheritance of intangible cultural heritage</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 xml:space="preserve">. </w:t>
      </w:r>
      <w:r>
        <w:rPr>
          <w:rStyle w:val="8"/>
          <w:rFonts w:hint="default" w:ascii="Times New Roman" w:hAnsi="Times New Roman" w:cs="Times New Roman"/>
          <w:color w:val="000000" w:themeColor="text1"/>
          <w:highlight w:val="none"/>
          <w14:textFill>
            <w14:solidFill>
              <w14:schemeClr w14:val="tx1"/>
            </w14:solidFill>
          </w14:textFill>
        </w:rPr>
        <w:t>Art Edition of Packaging Engineering</w:t>
      </w:r>
      <w:r>
        <w:rPr>
          <w:rFonts w:hint="default" w:ascii="Times New Roman" w:hAnsi="Times New Roman" w:cs="Times New Roman"/>
          <w:color w:val="000000" w:themeColor="text1"/>
          <w:highlight w:val="none"/>
          <w14:textFill>
            <w14:solidFill>
              <w14:schemeClr w14:val="tx1"/>
            </w14:solidFill>
          </w14:textFill>
        </w:rPr>
        <w:t>, 44(18), pp.337–340. (in Chinese)</w:t>
      </w:r>
    </w:p>
    <w:p w14:paraId="0F16CEA3">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 xml:space="preserve">Liu, K., Zhou, S., Zhu, C. and Lü, Z., 2022. </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Virtual simulation of Yue Opera costumes and fashion design based on Yue Opera elements</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 xml:space="preserve">. </w:t>
      </w:r>
      <w:r>
        <w:rPr>
          <w:rStyle w:val="8"/>
          <w:rFonts w:hint="default" w:ascii="Times New Roman" w:hAnsi="Times New Roman" w:cs="Times New Roman"/>
          <w:color w:val="000000" w:themeColor="text1"/>
          <w:highlight w:val="none"/>
          <w14:textFill>
            <w14:solidFill>
              <w14:schemeClr w14:val="tx1"/>
            </w14:solidFill>
          </w14:textFill>
        </w:rPr>
        <w:t>Fashion and Textiles</w:t>
      </w:r>
      <w:r>
        <w:rPr>
          <w:rFonts w:hint="default" w:ascii="Times New Roman" w:hAnsi="Times New Roman" w:cs="Times New Roman"/>
          <w:color w:val="000000" w:themeColor="text1"/>
          <w:highlight w:val="none"/>
          <w14:textFill>
            <w14:solidFill>
              <w14:schemeClr w14:val="tx1"/>
            </w14:solidFill>
          </w14:textFill>
        </w:rPr>
        <w:t xml:space="preserve">, </w:t>
      </w:r>
    </w:p>
    <w:p w14:paraId="5C11D0AD">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9(1), p.31.</w:t>
      </w:r>
    </w:p>
    <w:p w14:paraId="2E1CA19E">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lang w:eastAsia="zh-CN"/>
          <w14:textFill>
            <w14:solidFill>
              <w14:schemeClr w14:val="tx1"/>
            </w14:solidFill>
          </w14:textFill>
        </w:rPr>
        <w:t xml:space="preserve">Liu, R., 2023. </w:t>
      </w:r>
      <w:r>
        <w:rPr>
          <w:rFonts w:hint="default" w:ascii="Times New Roman" w:hAnsi="Times New Roman" w:cs="Times New Roman"/>
          <w:color w:val="000000" w:themeColor="text1"/>
          <w:highlight w:val="none"/>
          <w:lang w:val="en-US" w:eastAsia="zh-CN"/>
          <w14:textFill>
            <w14:solidFill>
              <w14:schemeClr w14:val="tx1"/>
            </w14:solidFill>
          </w14:textFill>
        </w:rPr>
        <w:t>‘</w:t>
      </w:r>
      <w:r>
        <w:rPr>
          <w:rFonts w:hint="default" w:ascii="Times New Roman" w:hAnsi="Times New Roman" w:cs="Times New Roman"/>
          <w:color w:val="000000" w:themeColor="text1"/>
          <w:highlight w:val="none"/>
          <w:lang w:eastAsia="zh-CN"/>
          <w14:textFill>
            <w14:solidFill>
              <w14:schemeClr w14:val="tx1"/>
            </w14:solidFill>
          </w14:textFill>
        </w:rPr>
        <w:t>WeChat online visual language among Chinese Gen Z: virtual gift, aesthetic identity, and affection language</w:t>
      </w:r>
      <w:r>
        <w:rPr>
          <w:rFonts w:hint="default" w:ascii="Times New Roman" w:hAnsi="Times New Roman" w:cs="Times New Roman"/>
          <w:color w:val="000000" w:themeColor="text1"/>
          <w:highlight w:val="none"/>
          <w:lang w:val="en-US" w:eastAsia="zh-CN"/>
          <w14:textFill>
            <w14:solidFill>
              <w14:schemeClr w14:val="tx1"/>
            </w14:solidFill>
          </w14:textFill>
        </w:rPr>
        <w:t>’</w:t>
      </w:r>
      <w:r>
        <w:rPr>
          <w:rFonts w:hint="default" w:ascii="Times New Roman" w:hAnsi="Times New Roman" w:cs="Times New Roman"/>
          <w:color w:val="000000" w:themeColor="text1"/>
          <w:highlight w:val="none"/>
          <w:lang w:eastAsia="zh-CN"/>
          <w14:textFill>
            <w14:solidFill>
              <w14:schemeClr w14:val="tx1"/>
            </w14:solidFill>
          </w14:textFill>
        </w:rPr>
        <w:t xml:space="preserve">. </w:t>
      </w:r>
      <w:r>
        <w:rPr>
          <w:rStyle w:val="8"/>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Frontiers in Communication</w:t>
      </w:r>
      <w:r>
        <w:rPr>
          <w:rFonts w:hint="default" w:ascii="Times New Roman" w:hAnsi="Times New Roman" w:cs="Times New Roman"/>
          <w:color w:val="000000" w:themeColor="text1"/>
          <w:highlight w:val="none"/>
          <w:lang w:eastAsia="zh-CN"/>
          <w14:textFill>
            <w14:solidFill>
              <w14:schemeClr w14:val="tx1"/>
            </w14:solidFill>
          </w14:textFill>
        </w:rPr>
        <w:t>, 8,</w:t>
      </w:r>
      <w:r>
        <w:rPr>
          <w:rFonts w:hint="default" w:ascii="Times New Roman" w:hAnsi="Times New Roman" w:cs="Times New Roman"/>
          <w:color w:val="000000" w:themeColor="text1"/>
          <w:highlight w:val="none"/>
          <w:lang w:val="en-US" w:eastAsia="zh-CN"/>
          <w14:textFill>
            <w14:solidFill>
              <w14:schemeClr w14:val="tx1"/>
            </w14:solidFill>
          </w14:textFill>
        </w:rPr>
        <w:t xml:space="preserve"> </w:t>
      </w:r>
      <w:r>
        <w:rPr>
          <w:rFonts w:hint="default" w:ascii="Times New Roman" w:hAnsi="Times New Roman" w:cs="Times New Roman"/>
          <w:color w:val="000000" w:themeColor="text1"/>
          <w:highlight w:val="none"/>
          <w:lang w:eastAsia="zh-CN"/>
          <w14:textFill>
            <w14:solidFill>
              <w14:schemeClr w14:val="tx1"/>
            </w14:solidFill>
          </w14:textFill>
        </w:rPr>
        <w:t>p.1172115.</w:t>
      </w:r>
    </w:p>
    <w:p w14:paraId="1EB7FF82">
      <w:pPr>
        <w:keepNext w:val="0"/>
        <w:keepLines w:val="0"/>
        <w:widowControl/>
        <w:suppressLineNumbers w:val="0"/>
        <w:jc w:val="left"/>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eastAsiaTheme="minorEastAsia"/>
          <w:color w:val="000000" w:themeColor="text1"/>
          <w:kern w:val="0"/>
          <w:sz w:val="24"/>
          <w:szCs w:val="24"/>
          <w:highlight w:val="none"/>
          <w:lang w:val="en-US" w:eastAsia="zh-CN" w:bidi="ar"/>
          <w14:textFill>
            <w14:solidFill>
              <w14:schemeClr w14:val="tx1"/>
            </w14:solidFill>
          </w14:textFill>
        </w:rPr>
        <w:t>Liu, Z., Yan, S., Lu, Y. and Zhao, Y. (2022, April) ‘Generating embodied storytelling and interactive experience of China Intangible Cultural Heritage “Hua’er” in virtual reality’.</w:t>
      </w:r>
      <w:r>
        <w:rPr>
          <w:rStyle w:val="8"/>
          <w:rFonts w:hint="default" w:ascii="Times New Roman" w:hAnsi="Times New Roman" w:eastAsia="宋体" w:cs="Times New Roman"/>
          <w:color w:val="000000" w:themeColor="text1"/>
          <w:kern w:val="0"/>
          <w:sz w:val="24"/>
          <w:szCs w:val="24"/>
          <w:highlight w:val="none"/>
          <w:lang w:val="en-US" w:eastAsia="zh-CN" w:bidi="ar"/>
          <w14:textFill>
            <w14:solidFill>
              <w14:schemeClr w14:val="tx1"/>
            </w14:solidFill>
          </w14:textFill>
        </w:rPr>
        <w:t xml:space="preserve"> In: CHI Conference on Human Factors in Computing Systems Extended Abstracts,</w:t>
      </w:r>
      <w:r>
        <w:rPr>
          <w:rFonts w:hint="default" w:ascii="Times New Roman" w:hAnsi="Times New Roman" w:cs="Times New Roman" w:eastAsiaTheme="minorEastAsia"/>
          <w:color w:val="000000" w:themeColor="text1"/>
          <w:kern w:val="0"/>
          <w:sz w:val="24"/>
          <w:szCs w:val="24"/>
          <w:highlight w:val="none"/>
          <w:lang w:val="en-US" w:eastAsia="zh-CN" w:bidi="ar"/>
          <w14:textFill>
            <w14:solidFill>
              <w14:schemeClr w14:val="tx1"/>
            </w14:solidFill>
          </w14:textFill>
        </w:rPr>
        <w:t xml:space="preserve"> pp. 1–7.</w:t>
      </w:r>
    </w:p>
    <w:p w14:paraId="313D54EC">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 xml:space="preserve">Midyanti, H.I. and Sukmayadi, Y., 2021. </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The intersection of local wisdom and digital innovation in performing arts</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 xml:space="preserve">. </w:t>
      </w:r>
      <w:r>
        <w:rPr>
          <w:rStyle w:val="8"/>
          <w:rFonts w:hint="default" w:ascii="Times New Roman" w:hAnsi="Times New Roman" w:cs="Times New Roman"/>
          <w:color w:val="000000" w:themeColor="text1"/>
          <w:highlight w:val="none"/>
          <w14:textFill>
            <w14:solidFill>
              <w14:schemeClr w14:val="tx1"/>
            </w14:solidFill>
          </w14:textFill>
        </w:rPr>
        <w:t>Interlude: Indonesian Journal of Music Research, Development, and Technology</w:t>
      </w:r>
      <w:r>
        <w:rPr>
          <w:rFonts w:hint="default" w:ascii="Times New Roman" w:hAnsi="Times New Roman" w:cs="Times New Roman"/>
          <w:color w:val="000000" w:themeColor="text1"/>
          <w:highlight w:val="none"/>
          <w14:textFill>
            <w14:solidFill>
              <w14:schemeClr w14:val="tx1"/>
            </w14:solidFill>
          </w14:textFill>
        </w:rPr>
        <w:t>, 1(1), pp.43–60.</w:t>
      </w:r>
    </w:p>
    <w:p w14:paraId="1F722F85">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 xml:space="preserve">Postill, J. and Pink, S., 2012. </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Social media ethnography: The digital researcher in a messy web</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 xml:space="preserve">. </w:t>
      </w:r>
      <w:r>
        <w:rPr>
          <w:rStyle w:val="8"/>
          <w:rFonts w:hint="default" w:ascii="Times New Roman" w:hAnsi="Times New Roman" w:cs="Times New Roman"/>
          <w:color w:val="000000" w:themeColor="text1"/>
          <w:highlight w:val="none"/>
          <w14:textFill>
            <w14:solidFill>
              <w14:schemeClr w14:val="tx1"/>
            </w14:solidFill>
          </w14:textFill>
        </w:rPr>
        <w:t>Media International Australia</w:t>
      </w:r>
      <w:r>
        <w:rPr>
          <w:rFonts w:hint="default" w:ascii="Times New Roman" w:hAnsi="Times New Roman" w:cs="Times New Roman"/>
          <w:color w:val="000000" w:themeColor="text1"/>
          <w:highlight w:val="none"/>
          <w14:textFill>
            <w14:solidFill>
              <w14:schemeClr w14:val="tx1"/>
            </w14:solidFill>
          </w14:textFill>
        </w:rPr>
        <w:t>, 145(1), pp.123–134.</w:t>
      </w:r>
    </w:p>
    <w:p w14:paraId="07AA13A1">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 xml:space="preserve">Song, N., 2023. </w:t>
      </w:r>
      <w:r>
        <w:rPr>
          <w:rStyle w:val="8"/>
          <w:rFonts w:hint="default" w:ascii="Times New Roman" w:hAnsi="Times New Roman" w:cs="Times New Roman"/>
          <w:color w:val="000000" w:themeColor="text1"/>
          <w:highlight w:val="none"/>
          <w14:textFill>
            <w14:solidFill>
              <w14:schemeClr w14:val="tx1"/>
            </w14:solidFill>
          </w14:textFill>
        </w:rPr>
        <w:t>Embodied presence in creation: A study of digital interactive performance art</w:t>
      </w:r>
      <w:r>
        <w:rPr>
          <w:rFonts w:hint="default" w:ascii="Times New Roman" w:hAnsi="Times New Roman" w:cs="Times New Roman"/>
          <w:color w:val="000000" w:themeColor="text1"/>
          <w:highlight w:val="none"/>
          <w14:textFill>
            <w14:solidFill>
              <w14:schemeClr w14:val="tx1"/>
            </w14:solidFill>
          </w14:textFill>
        </w:rPr>
        <w:t xml:space="preserve"> [PhD thesis]. Nanjing University of the Arts. (in Chinese)</w:t>
      </w:r>
    </w:p>
    <w:p w14:paraId="31CC6EAD">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Su, M., 2024.</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 xml:space="preserve"> Interactive rituals and digital empowerment of Peking Opera videos on social media</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 xml:space="preserve">. </w:t>
      </w:r>
      <w:r>
        <w:rPr>
          <w:rStyle w:val="8"/>
          <w:rFonts w:hint="default" w:ascii="Times New Roman" w:hAnsi="Times New Roman" w:cs="Times New Roman"/>
          <w:color w:val="000000" w:themeColor="text1"/>
          <w:highlight w:val="none"/>
          <w14:textFill>
            <w14:solidFill>
              <w14:schemeClr w14:val="tx1"/>
            </w14:solidFill>
          </w14:textFill>
        </w:rPr>
        <w:t>Film Review</w:t>
      </w:r>
      <w:r>
        <w:rPr>
          <w:rFonts w:hint="default" w:ascii="Times New Roman" w:hAnsi="Times New Roman" w:cs="Times New Roman"/>
          <w:color w:val="000000" w:themeColor="text1"/>
          <w:highlight w:val="none"/>
          <w14:textFill>
            <w14:solidFill>
              <w14:schemeClr w14:val="tx1"/>
            </w14:solidFill>
          </w14:textFill>
        </w:rPr>
        <w:t>, (21), pp.41–45. (in Chinese)</w:t>
      </w:r>
    </w:p>
    <w:p w14:paraId="2CB65686">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 xml:space="preserve">Trubnikova, N. and Tsagareyshvili, S., 2021. </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Digital challenges for creative industries: Case of opera</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 xml:space="preserve">. In </w:t>
      </w:r>
      <w:r>
        <w:rPr>
          <w:rStyle w:val="8"/>
          <w:rFonts w:hint="default" w:ascii="Times New Roman" w:hAnsi="Times New Roman" w:cs="Times New Roman"/>
          <w:color w:val="000000" w:themeColor="text1"/>
          <w:highlight w:val="none"/>
          <w14:textFill>
            <w14:solidFill>
              <w14:schemeClr w14:val="tx1"/>
            </w14:solidFill>
          </w14:textFill>
        </w:rPr>
        <w:t>SHS Web of Conferences</w:t>
      </w:r>
      <w:r>
        <w:rPr>
          <w:rFonts w:hint="default" w:ascii="Times New Roman" w:hAnsi="Times New Roman" w:cs="Times New Roman"/>
          <w:color w:val="000000" w:themeColor="text1"/>
          <w:highlight w:val="none"/>
          <w14:textFill>
            <w14:solidFill>
              <w14:schemeClr w14:val="tx1"/>
            </w14:solidFill>
          </w14:textFill>
        </w:rPr>
        <w:t xml:space="preserve"> (Vol. 114, p. 01008). EDP Sciences.</w:t>
      </w:r>
    </w:p>
    <w:p w14:paraId="6E981925">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 xml:space="preserve">Wang, X., 2024. </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Interface interaction design of Nuo Opera mobile apps under the background of new media</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 xml:space="preserve">. </w:t>
      </w:r>
      <w:r>
        <w:rPr>
          <w:rStyle w:val="8"/>
          <w:rFonts w:hint="default" w:ascii="Times New Roman" w:hAnsi="Times New Roman" w:cs="Times New Roman"/>
          <w:color w:val="000000" w:themeColor="text1"/>
          <w:highlight w:val="none"/>
          <w14:textFill>
            <w14:solidFill>
              <w14:schemeClr w14:val="tx1"/>
            </w14:solidFill>
          </w14:textFill>
        </w:rPr>
        <w:t>Research on Printing and Digital Media Technology</w:t>
      </w:r>
      <w:r>
        <w:rPr>
          <w:rFonts w:hint="default" w:ascii="Times New Roman" w:hAnsi="Times New Roman" w:cs="Times New Roman"/>
          <w:color w:val="000000" w:themeColor="text1"/>
          <w:highlight w:val="none"/>
          <w14:textFill>
            <w14:solidFill>
              <w14:schemeClr w14:val="tx1"/>
            </w14:solidFill>
          </w14:textFill>
        </w:rPr>
        <w:t>, (S1), pp.1–6+17. (in Chinese)</w:t>
      </w:r>
    </w:p>
    <w:p w14:paraId="04FD25CD">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 xml:space="preserve">Wang, Y., 2022. </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A study of strategies for high-quality communication of opera culture in the context of media integration: On the networked survival of opera culture</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 xml:space="preserve">. </w:t>
      </w:r>
      <w:r>
        <w:rPr>
          <w:rStyle w:val="8"/>
          <w:rFonts w:hint="default" w:ascii="Times New Roman" w:hAnsi="Times New Roman" w:cs="Times New Roman"/>
          <w:color w:val="000000" w:themeColor="text1"/>
          <w:highlight w:val="none"/>
          <w14:textFill>
            <w14:solidFill>
              <w14:schemeClr w14:val="tx1"/>
            </w14:solidFill>
          </w14:textFill>
        </w:rPr>
        <w:t>Development</w:t>
      </w:r>
      <w:r>
        <w:rPr>
          <w:rFonts w:hint="default" w:ascii="Times New Roman" w:hAnsi="Times New Roman" w:cs="Times New Roman"/>
          <w:color w:val="000000" w:themeColor="text1"/>
          <w:highlight w:val="none"/>
          <w14:textFill>
            <w14:solidFill>
              <w14:schemeClr w14:val="tx1"/>
            </w14:solidFill>
          </w14:textFill>
        </w:rPr>
        <w:t>, 4(2), pp.35–41.</w:t>
      </w:r>
    </w:p>
    <w:p w14:paraId="203BFD7A">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 xml:space="preserve">Zhang, D., 2024. </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Exploration of digital dissemination paths of Yu Opera in the context of new media</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 xml:space="preserve">. </w:t>
      </w:r>
      <w:r>
        <w:rPr>
          <w:rStyle w:val="8"/>
          <w:rFonts w:hint="default" w:ascii="Times New Roman" w:hAnsi="Times New Roman" w:cs="Times New Roman"/>
          <w:color w:val="000000" w:themeColor="text1"/>
          <w:highlight w:val="none"/>
          <w14:textFill>
            <w14:solidFill>
              <w14:schemeClr w14:val="tx1"/>
            </w14:solidFill>
          </w14:textFill>
        </w:rPr>
        <w:t>Jiaying Literature</w:t>
      </w:r>
      <w:r>
        <w:rPr>
          <w:rFonts w:hint="default" w:ascii="Times New Roman" w:hAnsi="Times New Roman" w:cs="Times New Roman"/>
          <w:color w:val="000000" w:themeColor="text1"/>
          <w:highlight w:val="none"/>
          <w14:textFill>
            <w14:solidFill>
              <w14:schemeClr w14:val="tx1"/>
            </w14:solidFill>
          </w14:textFill>
        </w:rPr>
        <w:t>, (24), pp.112–114. (in Chinese)</w:t>
      </w:r>
    </w:p>
    <w:p w14:paraId="445F535B">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14:textFill>
            <w14:solidFill>
              <w14:schemeClr w14:val="tx1"/>
            </w14:solidFill>
          </w14:textFill>
        </w:rPr>
      </w:pPr>
      <w:r>
        <w:rPr>
          <w:rFonts w:hint="default" w:ascii="Times New Roman" w:hAnsi="Times New Roman" w:cs="Times New Roman"/>
          <w:color w:val="000000" w:themeColor="text1"/>
          <w:highlight w:val="none"/>
          <w14:textFill>
            <w14:solidFill>
              <w14:schemeClr w14:val="tx1"/>
            </w14:solidFill>
          </w14:textFill>
        </w:rPr>
        <w:t xml:space="preserve">Zheng, C., 2010. </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Regionality, locality and folkness: On the characteristics and future trends of regional opera</w:t>
      </w:r>
      <w:r>
        <w:rPr>
          <w:rFonts w:hint="default" w:ascii="Times New Roman" w:hAnsi="Times New Roman" w:cs="Times New Roman"/>
          <w:color w:val="000000" w:themeColor="text1"/>
          <w:highlight w:val="none"/>
          <w:lang w:val="en-US"/>
          <w14:textFill>
            <w14:solidFill>
              <w14:schemeClr w14:val="tx1"/>
            </w14:solidFill>
          </w14:textFill>
        </w:rPr>
        <w:t>’</w:t>
      </w:r>
      <w:r>
        <w:rPr>
          <w:rFonts w:hint="default" w:ascii="Times New Roman" w:hAnsi="Times New Roman" w:cs="Times New Roman"/>
          <w:color w:val="000000" w:themeColor="text1"/>
          <w:highlight w:val="none"/>
          <w14:textFill>
            <w14:solidFill>
              <w14:schemeClr w14:val="tx1"/>
            </w14:solidFill>
          </w14:textFill>
        </w:rPr>
        <w:t xml:space="preserve">. </w:t>
      </w:r>
      <w:r>
        <w:rPr>
          <w:rStyle w:val="8"/>
          <w:rFonts w:hint="default" w:ascii="Times New Roman" w:hAnsi="Times New Roman" w:cs="Times New Roman"/>
          <w:color w:val="000000" w:themeColor="text1"/>
          <w:highlight w:val="none"/>
          <w14:textFill>
            <w14:solidFill>
              <w14:schemeClr w14:val="tx1"/>
            </w14:solidFill>
          </w14:textFill>
        </w:rPr>
        <w:t>Journal of Hubei University (Philosophy and Social Sciences Edition)</w:t>
      </w:r>
      <w:r>
        <w:rPr>
          <w:rFonts w:hint="default" w:ascii="Times New Roman" w:hAnsi="Times New Roman" w:cs="Times New Roman"/>
          <w:color w:val="000000" w:themeColor="text1"/>
          <w:highlight w:val="none"/>
          <w14:textFill>
            <w14:solidFill>
              <w14:schemeClr w14:val="tx1"/>
            </w14:solidFill>
          </w14:textFill>
        </w:rPr>
        <w:t>, 37(06), pp.1–6. (in Chinese)</w:t>
      </w:r>
    </w:p>
    <w:p w14:paraId="7333A026">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000000" w:themeColor="text1"/>
          <w:highlight w:val="none"/>
          <w:lang w:eastAsia="zh-CN"/>
          <w14:textFill>
            <w14:solidFill>
              <w14:schemeClr w14:val="tx1"/>
            </w14:solidFill>
          </w14:textFill>
        </w:rPr>
      </w:pPr>
      <w:r>
        <w:rPr>
          <w:rFonts w:hint="default" w:ascii="Times New Roman" w:hAnsi="Times New Roman" w:cs="Times New Roman"/>
          <w:color w:val="000000" w:themeColor="text1"/>
          <w:highlight w:val="none"/>
          <w:lang w:eastAsia="zh-CN"/>
          <w14:textFill>
            <w14:solidFill>
              <w14:schemeClr w14:val="tx1"/>
            </w14:solidFill>
          </w14:textFill>
        </w:rPr>
        <w:t xml:space="preserve">Zhang, B., Zhou, M. and Pu, C., 2024. </w:t>
      </w:r>
      <w:r>
        <w:rPr>
          <w:rFonts w:hint="default" w:ascii="Times New Roman" w:hAnsi="Times New Roman" w:cs="Times New Roman"/>
          <w:color w:val="000000" w:themeColor="text1"/>
          <w:highlight w:val="none"/>
          <w:lang w:val="en-US" w:eastAsia="zh-CN"/>
          <w14:textFill>
            <w14:solidFill>
              <w14:schemeClr w14:val="tx1"/>
            </w14:solidFill>
          </w14:textFill>
        </w:rPr>
        <w:t>‘</w:t>
      </w:r>
      <w:r>
        <w:rPr>
          <w:rFonts w:hint="default" w:ascii="Times New Roman" w:hAnsi="Times New Roman" w:cs="Times New Roman"/>
          <w:color w:val="000000" w:themeColor="text1"/>
          <w:highlight w:val="none"/>
          <w:lang w:eastAsia="zh-CN"/>
          <w14:textFill>
            <w14:solidFill>
              <w14:schemeClr w14:val="tx1"/>
            </w14:solidFill>
          </w14:textFill>
        </w:rPr>
        <w:t>The ninth art, tells the story of cultural China and the world: Cultural interaction in cross-cultural video game communication—based on ‘Genshin Impact’ YouTube comments</w:t>
      </w:r>
      <w:r>
        <w:rPr>
          <w:rFonts w:hint="default" w:ascii="Times New Roman" w:hAnsi="Times New Roman" w:cs="Times New Roman"/>
          <w:color w:val="000000" w:themeColor="text1"/>
          <w:highlight w:val="none"/>
          <w:lang w:val="en-US" w:eastAsia="zh-CN"/>
          <w14:textFill>
            <w14:solidFill>
              <w14:schemeClr w14:val="tx1"/>
            </w14:solidFill>
          </w14:textFill>
        </w:rPr>
        <w:t>’</w:t>
      </w:r>
      <w:r>
        <w:rPr>
          <w:rFonts w:hint="default" w:ascii="Times New Roman" w:hAnsi="Times New Roman" w:cs="Times New Roman"/>
          <w:color w:val="000000" w:themeColor="text1"/>
          <w:highlight w:val="none"/>
          <w:lang w:eastAsia="zh-CN"/>
          <w14:textFill>
            <w14:solidFill>
              <w14:schemeClr w14:val="tx1"/>
            </w14:solidFill>
          </w14:textFill>
        </w:rPr>
        <w:t xml:space="preserve">. </w:t>
      </w:r>
      <w:r>
        <w:rPr>
          <w:rStyle w:val="8"/>
          <w:rFonts w:hint="default" w:ascii="Times New Roman" w:hAnsi="Times New Roman" w:eastAsia="宋体" w:cs="Times New Roman"/>
          <w:color w:val="000000" w:themeColor="text1"/>
          <w:highlight w:val="none"/>
          <w:lang w:eastAsia="zh-CN"/>
          <w14:textFill>
            <w14:solidFill>
              <w14:schemeClr w14:val="tx1"/>
            </w14:solidFill>
          </w14:textFill>
        </w:rPr>
        <w:t>PloS one</w:t>
      </w:r>
      <w:r>
        <w:rPr>
          <w:rFonts w:hint="default" w:ascii="Times New Roman" w:hAnsi="Times New Roman" w:cs="Times New Roman"/>
          <w:color w:val="000000" w:themeColor="text1"/>
          <w:highlight w:val="none"/>
          <w:lang w:eastAsia="zh-CN"/>
          <w14:textFill>
            <w14:solidFill>
              <w14:schemeClr w14:val="tx1"/>
            </w14:solidFill>
          </w14:textFill>
        </w:rPr>
        <w:t>, 19(10), p.e0311317.</w:t>
      </w:r>
    </w:p>
    <w:p w14:paraId="701C5C54">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color w:val="auto"/>
          <w:lang w:eastAsia="zh-CN"/>
        </w:rPr>
      </w:pPr>
    </w:p>
    <w:p w14:paraId="4F5C634E">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textAlignment w:val="auto"/>
        <w:rPr>
          <w:rFonts w:hint="default" w:ascii="Times New Roman" w:hAnsi="Times New Roman" w:cs="Times New Roman"/>
          <w:lang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8EF56E1"/>
    <w:rsid w:val="2D2E701B"/>
    <w:rsid w:val="36BE029F"/>
    <w:rsid w:val="37FF595A"/>
    <w:rsid w:val="38EF56E1"/>
    <w:rsid w:val="3F123D64"/>
    <w:rsid w:val="5BC682A4"/>
    <w:rsid w:val="6EDFEEC9"/>
    <w:rsid w:val="6FAF24B9"/>
    <w:rsid w:val="788764A6"/>
    <w:rsid w:val="7BA8A327"/>
    <w:rsid w:val="7D7E06B3"/>
    <w:rsid w:val="7DBB1C4A"/>
    <w:rsid w:val="7DFB3F10"/>
    <w:rsid w:val="7DFE4C63"/>
    <w:rsid w:val="99BADB22"/>
    <w:rsid w:val="AF4AEA04"/>
    <w:rsid w:val="AF7E4437"/>
    <w:rsid w:val="BB7792A1"/>
    <w:rsid w:val="BE2B6061"/>
    <w:rsid w:val="BF61A0A4"/>
    <w:rsid w:val="BF767A17"/>
    <w:rsid w:val="D7DE801F"/>
    <w:rsid w:val="D97B55C0"/>
    <w:rsid w:val="DFF7F924"/>
    <w:rsid w:val="E38BECC9"/>
    <w:rsid w:val="EFCF6337"/>
    <w:rsid w:val="F7B78A77"/>
    <w:rsid w:val="FAF90864"/>
    <w:rsid w:val="FBBF59B2"/>
    <w:rsid w:val="FDEB8B4D"/>
    <w:rsid w:val="FFBF5EC8"/>
    <w:rsid w:val="FFDB18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3">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 w:type="character" w:styleId="8">
    <w:name w:val="Emphasis"/>
    <w:basedOn w:val="6"/>
    <w:qFormat/>
    <w:uiPriority w:val="0"/>
    <w:rPr>
      <w:i/>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15</Pages>
  <Words>6421</Words>
  <Characters>40497</Characters>
  <Lines>0</Lines>
  <Paragraphs>0</Paragraphs>
  <TotalTime>5</TotalTime>
  <ScaleCrop>false</ScaleCrop>
  <LinksUpToDate>false</LinksUpToDate>
  <CharactersWithSpaces>46796</CharactersWithSpaces>
  <Application>WPS Office_6.14.0.8924_F1E327BC-269C-435d-A152-05C5408002CA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2025-04-21T07:24:00Z</dcterms:created>
  <dc:creator>21</dc:creator>
  <cp:lastModifiedBy>雷恐仔艺趾</cp:lastModifiedBy>
  <dcterms:modified xsi:type="dcterms:W3CDTF">2025-05-05T16:39:25Z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2052-6.14.0.8924</vt:lpwstr>
  </property>
  <property fmtid="{D5CDD505-2E9C-101B-9397-08002B2CF9AE}" pid="3" name="ICV">
    <vt:lpwstr>DA4E097AE8B1414A9C13A869E33499C0_13</vt:lpwstr>
  </property>
  <property fmtid="{D5CDD505-2E9C-101B-9397-08002B2CF9AE}" pid="4" name="KSOTemplateDocerSaveRecord">
    <vt:lpwstr>eyJoZGlkIjoiMTBhMzgwMmJiN2U1NjJjYmIzNDVmMjI4ZGE2ZWQxYTUiLCJ1c2VySWQiOiIyNDE5MDYwNjMifQ==</vt:lpwstr>
  </property>
</Properties>
</file>