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16C0" w:rsidRDefault="00E916C0" w:rsidP="00E916C0">
      <w:pPr>
        <w:jc w:val="right"/>
      </w:pPr>
      <w:r>
        <w:rPr>
          <w:noProof/>
          <w:lang w:eastAsia="en-GB"/>
        </w:rPr>
        <w:drawing>
          <wp:inline distT="0" distB="0" distL="0" distR="0">
            <wp:extent cx="2530319" cy="1185062"/>
            <wp:effectExtent l="0" t="0" r="3810" b="0"/>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4995" cy="1205986"/>
                    </a:xfrm>
                    <a:prstGeom prst="rect">
                      <a:avLst/>
                    </a:prstGeom>
                    <a:noFill/>
                    <a:ln>
                      <a:noFill/>
                    </a:ln>
                  </pic:spPr>
                </pic:pic>
              </a:graphicData>
            </a:graphic>
          </wp:inline>
        </w:drawing>
      </w:r>
    </w:p>
    <w:p w:rsidR="00AA74CE" w:rsidRDefault="00AA74CE" w:rsidP="00E916C0">
      <w:pPr>
        <w:jc w:val="right"/>
      </w:pPr>
    </w:p>
    <w:tbl>
      <w:tblPr>
        <w:tblStyle w:val="TableGrid"/>
        <w:tblW w:w="0" w:type="auto"/>
        <w:tblLook w:val="04A0" w:firstRow="1" w:lastRow="0" w:firstColumn="1" w:lastColumn="0" w:noHBand="0" w:noVBand="1"/>
      </w:tblPr>
      <w:tblGrid>
        <w:gridCol w:w="4508"/>
        <w:gridCol w:w="4508"/>
      </w:tblGrid>
      <w:tr w:rsidR="00E916C0" w:rsidTr="00E916C0">
        <w:trPr>
          <w:trHeight w:val="800"/>
        </w:trPr>
        <w:tc>
          <w:tcPr>
            <w:tcW w:w="4508" w:type="dxa"/>
          </w:tcPr>
          <w:p w:rsidR="00E916C0" w:rsidRPr="00E916C0" w:rsidRDefault="00AA74CE" w:rsidP="008A2AEA">
            <w:pPr>
              <w:rPr>
                <w:b/>
                <w:sz w:val="28"/>
              </w:rPr>
            </w:pPr>
            <w:r>
              <w:rPr>
                <w:b/>
                <w:sz w:val="28"/>
              </w:rPr>
              <w:t>Student name</w:t>
            </w:r>
          </w:p>
        </w:tc>
        <w:tc>
          <w:tcPr>
            <w:tcW w:w="4508" w:type="dxa"/>
          </w:tcPr>
          <w:p w:rsidR="00E916C0" w:rsidRDefault="00BE30C1" w:rsidP="008A2AEA">
            <w:r>
              <w:t xml:space="preserve"> Mohammad </w:t>
            </w:r>
            <w:proofErr w:type="spellStart"/>
            <w:r>
              <w:t>U</w:t>
            </w:r>
            <w:r w:rsidRPr="00BE30C1">
              <w:t>mer</w:t>
            </w:r>
            <w:proofErr w:type="spellEnd"/>
            <w:r w:rsidRPr="00BE30C1">
              <w:t xml:space="preserve"> khan</w:t>
            </w:r>
          </w:p>
        </w:tc>
      </w:tr>
      <w:tr w:rsidR="00E916C0" w:rsidTr="00E916C0">
        <w:trPr>
          <w:trHeight w:val="840"/>
        </w:trPr>
        <w:tc>
          <w:tcPr>
            <w:tcW w:w="4508" w:type="dxa"/>
          </w:tcPr>
          <w:p w:rsidR="00E916C0" w:rsidRPr="00E916C0" w:rsidRDefault="00AA74CE" w:rsidP="008A2AEA">
            <w:pPr>
              <w:rPr>
                <w:b/>
                <w:sz w:val="28"/>
              </w:rPr>
            </w:pPr>
            <w:r>
              <w:rPr>
                <w:b/>
                <w:sz w:val="28"/>
              </w:rPr>
              <w:t>Student ID number</w:t>
            </w:r>
          </w:p>
        </w:tc>
        <w:tc>
          <w:tcPr>
            <w:tcW w:w="4508" w:type="dxa"/>
          </w:tcPr>
          <w:p w:rsidR="00E916C0" w:rsidRDefault="00BE30C1" w:rsidP="008A2AEA">
            <w:r>
              <w:t xml:space="preserve"> </w:t>
            </w:r>
            <w:r w:rsidRPr="00BE30C1">
              <w:t>2504525</w:t>
            </w:r>
          </w:p>
        </w:tc>
      </w:tr>
      <w:tr w:rsidR="00E916C0" w:rsidTr="00E916C0">
        <w:trPr>
          <w:trHeight w:val="838"/>
        </w:trPr>
        <w:tc>
          <w:tcPr>
            <w:tcW w:w="4508" w:type="dxa"/>
          </w:tcPr>
          <w:p w:rsidR="00E916C0" w:rsidRPr="00E916C0" w:rsidRDefault="00AA74CE" w:rsidP="008A2AEA">
            <w:pPr>
              <w:rPr>
                <w:b/>
                <w:sz w:val="28"/>
              </w:rPr>
            </w:pPr>
            <w:r>
              <w:rPr>
                <w:b/>
                <w:sz w:val="28"/>
              </w:rPr>
              <w:t>Programme</w:t>
            </w:r>
          </w:p>
        </w:tc>
        <w:tc>
          <w:tcPr>
            <w:tcW w:w="4508" w:type="dxa"/>
          </w:tcPr>
          <w:p w:rsidR="00E916C0" w:rsidRDefault="00AA74CE" w:rsidP="008A2AEA">
            <w:r>
              <w:t>Master of Business Administration</w:t>
            </w:r>
          </w:p>
        </w:tc>
      </w:tr>
      <w:tr w:rsidR="00E916C0" w:rsidTr="00E916C0">
        <w:trPr>
          <w:trHeight w:val="708"/>
        </w:trPr>
        <w:tc>
          <w:tcPr>
            <w:tcW w:w="4508" w:type="dxa"/>
          </w:tcPr>
          <w:p w:rsidR="00E916C0" w:rsidRPr="00E916C0" w:rsidRDefault="00E916C0" w:rsidP="008A2AEA">
            <w:pPr>
              <w:rPr>
                <w:b/>
                <w:sz w:val="28"/>
              </w:rPr>
            </w:pPr>
            <w:r w:rsidRPr="00E916C0">
              <w:rPr>
                <w:b/>
                <w:sz w:val="28"/>
              </w:rPr>
              <w:t>Assi</w:t>
            </w:r>
            <w:r w:rsidR="00AA74CE">
              <w:rPr>
                <w:b/>
                <w:sz w:val="28"/>
              </w:rPr>
              <w:t>gnment Title</w:t>
            </w:r>
          </w:p>
        </w:tc>
        <w:tc>
          <w:tcPr>
            <w:tcW w:w="4508" w:type="dxa"/>
          </w:tcPr>
          <w:p w:rsidR="00E916C0" w:rsidRDefault="00AA74CE" w:rsidP="008A2AEA">
            <w:r>
              <w:t>Individual report</w:t>
            </w:r>
          </w:p>
        </w:tc>
      </w:tr>
      <w:tr w:rsidR="00E916C0" w:rsidTr="00E916C0">
        <w:tc>
          <w:tcPr>
            <w:tcW w:w="4508" w:type="dxa"/>
          </w:tcPr>
          <w:p w:rsidR="00E916C0" w:rsidRDefault="00E916C0" w:rsidP="008A2AEA">
            <w:pPr>
              <w:rPr>
                <w:b/>
                <w:sz w:val="28"/>
              </w:rPr>
            </w:pPr>
            <w:r w:rsidRPr="00E916C0">
              <w:rPr>
                <w:b/>
                <w:sz w:val="28"/>
              </w:rPr>
              <w:t>Word count</w:t>
            </w:r>
          </w:p>
          <w:p w:rsidR="00E916C0" w:rsidRPr="00E916C0" w:rsidRDefault="00E916C0" w:rsidP="008A2AEA">
            <w:pPr>
              <w:rPr>
                <w:b/>
                <w:sz w:val="28"/>
              </w:rPr>
            </w:pPr>
          </w:p>
        </w:tc>
        <w:tc>
          <w:tcPr>
            <w:tcW w:w="4508" w:type="dxa"/>
          </w:tcPr>
          <w:p w:rsidR="00E916C0" w:rsidRDefault="00F86BAF" w:rsidP="008A2AEA">
            <w:r>
              <w:t>2610</w:t>
            </w:r>
          </w:p>
        </w:tc>
      </w:tr>
      <w:tr w:rsidR="00E916C0" w:rsidTr="00E916C0">
        <w:tc>
          <w:tcPr>
            <w:tcW w:w="4508" w:type="dxa"/>
          </w:tcPr>
          <w:p w:rsidR="00E916C0" w:rsidRDefault="00E916C0" w:rsidP="008A2AEA">
            <w:pPr>
              <w:rPr>
                <w:b/>
                <w:sz w:val="28"/>
              </w:rPr>
            </w:pPr>
            <w:r w:rsidRPr="00E916C0">
              <w:rPr>
                <w:b/>
                <w:sz w:val="28"/>
              </w:rPr>
              <w:t xml:space="preserve">Date of Submission </w:t>
            </w:r>
          </w:p>
          <w:p w:rsidR="00E916C0" w:rsidRPr="00E916C0" w:rsidRDefault="00E916C0" w:rsidP="008A2AEA">
            <w:pPr>
              <w:rPr>
                <w:b/>
                <w:sz w:val="28"/>
              </w:rPr>
            </w:pPr>
          </w:p>
        </w:tc>
        <w:tc>
          <w:tcPr>
            <w:tcW w:w="4508" w:type="dxa"/>
          </w:tcPr>
          <w:p w:rsidR="00E916C0" w:rsidRDefault="00995BC6" w:rsidP="008A2AEA">
            <w:r>
              <w:t>14-11-2025</w:t>
            </w:r>
          </w:p>
        </w:tc>
      </w:tr>
    </w:tbl>
    <w:p w:rsidR="00E916C0" w:rsidRDefault="00E916C0" w:rsidP="008A2AEA"/>
    <w:p w:rsidR="00646124" w:rsidRDefault="00646124">
      <w:pPr>
        <w:spacing w:line="259" w:lineRule="auto"/>
        <w:jc w:val="left"/>
      </w:pPr>
      <w:r>
        <w:br w:type="page"/>
      </w:r>
    </w:p>
    <w:sdt>
      <w:sdtPr>
        <w:rPr>
          <w:rFonts w:ascii="Times New Roman" w:eastAsiaTheme="minorHAnsi" w:hAnsi="Times New Roman" w:cstheme="minorBidi"/>
          <w:color w:val="auto"/>
          <w:sz w:val="24"/>
          <w:szCs w:val="22"/>
          <w:lang w:val="en-GB"/>
        </w:rPr>
        <w:id w:val="-727000060"/>
        <w:docPartObj>
          <w:docPartGallery w:val="Table of Contents"/>
          <w:docPartUnique/>
        </w:docPartObj>
      </w:sdtPr>
      <w:sdtEndPr>
        <w:rPr>
          <w:b/>
          <w:bCs/>
          <w:noProof/>
        </w:rPr>
      </w:sdtEndPr>
      <w:sdtContent>
        <w:p w:rsidR="00646124" w:rsidRDefault="00646124" w:rsidP="00646124">
          <w:pPr>
            <w:pStyle w:val="TOCHeading"/>
            <w:jc w:val="center"/>
          </w:pPr>
          <w:r>
            <w:t>Table of Contents</w:t>
          </w:r>
        </w:p>
        <w:p w:rsidR="00A14368" w:rsidRDefault="0064612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bookmarkStart w:id="0" w:name="_GoBack"/>
          <w:bookmarkEnd w:id="0"/>
          <w:r w:rsidR="00A14368" w:rsidRPr="00237F13">
            <w:rPr>
              <w:rStyle w:val="Hyperlink"/>
              <w:noProof/>
            </w:rPr>
            <w:fldChar w:fldCharType="begin"/>
          </w:r>
          <w:r w:rsidR="00A14368" w:rsidRPr="00237F13">
            <w:rPr>
              <w:rStyle w:val="Hyperlink"/>
              <w:noProof/>
            </w:rPr>
            <w:instrText xml:space="preserve"> </w:instrText>
          </w:r>
          <w:r w:rsidR="00A14368">
            <w:rPr>
              <w:noProof/>
            </w:rPr>
            <w:instrText>HYPERLINK \l "_Toc213793846"</w:instrText>
          </w:r>
          <w:r w:rsidR="00A14368" w:rsidRPr="00237F13">
            <w:rPr>
              <w:rStyle w:val="Hyperlink"/>
              <w:noProof/>
            </w:rPr>
            <w:instrText xml:space="preserve"> </w:instrText>
          </w:r>
          <w:r w:rsidR="00A14368" w:rsidRPr="00237F13">
            <w:rPr>
              <w:rStyle w:val="Hyperlink"/>
              <w:noProof/>
            </w:rPr>
          </w:r>
          <w:r w:rsidR="00A14368" w:rsidRPr="00237F13">
            <w:rPr>
              <w:rStyle w:val="Hyperlink"/>
              <w:noProof/>
            </w:rPr>
            <w:fldChar w:fldCharType="separate"/>
          </w:r>
          <w:r w:rsidR="00A14368" w:rsidRPr="00237F13">
            <w:rPr>
              <w:rStyle w:val="Hyperlink"/>
              <w:noProof/>
            </w:rPr>
            <w:t>1. Introduction</w:t>
          </w:r>
          <w:r w:rsidR="00A14368">
            <w:rPr>
              <w:noProof/>
              <w:webHidden/>
            </w:rPr>
            <w:tab/>
          </w:r>
          <w:r w:rsidR="00A14368">
            <w:rPr>
              <w:noProof/>
              <w:webHidden/>
            </w:rPr>
            <w:fldChar w:fldCharType="begin"/>
          </w:r>
          <w:r w:rsidR="00A14368">
            <w:rPr>
              <w:noProof/>
              <w:webHidden/>
            </w:rPr>
            <w:instrText xml:space="preserve"> PAGEREF _Toc213793846 \h </w:instrText>
          </w:r>
          <w:r w:rsidR="00A14368">
            <w:rPr>
              <w:noProof/>
              <w:webHidden/>
            </w:rPr>
          </w:r>
          <w:r w:rsidR="00A14368">
            <w:rPr>
              <w:noProof/>
              <w:webHidden/>
            </w:rPr>
            <w:fldChar w:fldCharType="separate"/>
          </w:r>
          <w:r w:rsidR="00A14368">
            <w:rPr>
              <w:noProof/>
              <w:webHidden/>
            </w:rPr>
            <w:t>3</w:t>
          </w:r>
          <w:r w:rsidR="00A14368">
            <w:rPr>
              <w:noProof/>
              <w:webHidden/>
            </w:rPr>
            <w:fldChar w:fldCharType="end"/>
          </w:r>
          <w:r w:rsidR="00A14368" w:rsidRPr="00237F13">
            <w:rPr>
              <w:rStyle w:val="Hyperlink"/>
              <w:noProof/>
            </w:rPr>
            <w:fldChar w:fldCharType="end"/>
          </w:r>
        </w:p>
        <w:p w:rsidR="00A14368" w:rsidRDefault="00A14368">
          <w:pPr>
            <w:pStyle w:val="TOC1"/>
            <w:tabs>
              <w:tab w:val="right" w:leader="dot" w:pos="9016"/>
            </w:tabs>
            <w:rPr>
              <w:rFonts w:asciiTheme="minorHAnsi" w:eastAsiaTheme="minorEastAsia" w:hAnsiTheme="minorHAnsi"/>
              <w:noProof/>
              <w:sz w:val="22"/>
              <w:lang w:eastAsia="en-GB"/>
            </w:rPr>
          </w:pPr>
          <w:hyperlink w:anchor="_Toc213793847" w:history="1">
            <w:r w:rsidRPr="00237F13">
              <w:rPr>
                <w:rStyle w:val="Hyperlink"/>
                <w:noProof/>
              </w:rPr>
              <w:t>2. Technological Advancements and Labour Market Reshaping</w:t>
            </w:r>
            <w:r>
              <w:rPr>
                <w:noProof/>
                <w:webHidden/>
              </w:rPr>
              <w:tab/>
            </w:r>
            <w:r>
              <w:rPr>
                <w:noProof/>
                <w:webHidden/>
              </w:rPr>
              <w:fldChar w:fldCharType="begin"/>
            </w:r>
            <w:r>
              <w:rPr>
                <w:noProof/>
                <w:webHidden/>
              </w:rPr>
              <w:instrText xml:space="preserve"> PAGEREF _Toc213793847 \h </w:instrText>
            </w:r>
            <w:r>
              <w:rPr>
                <w:noProof/>
                <w:webHidden/>
              </w:rPr>
            </w:r>
            <w:r>
              <w:rPr>
                <w:noProof/>
                <w:webHidden/>
              </w:rPr>
              <w:fldChar w:fldCharType="separate"/>
            </w:r>
            <w:r>
              <w:rPr>
                <w:noProof/>
                <w:webHidden/>
              </w:rPr>
              <w:t>3</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48" w:history="1">
            <w:r w:rsidRPr="00237F13">
              <w:rPr>
                <w:rStyle w:val="Hyperlink"/>
                <w:noProof/>
              </w:rPr>
              <w:t>2.1 Emerging Technological Forces</w:t>
            </w:r>
            <w:r>
              <w:rPr>
                <w:noProof/>
                <w:webHidden/>
              </w:rPr>
              <w:tab/>
            </w:r>
            <w:r>
              <w:rPr>
                <w:noProof/>
                <w:webHidden/>
              </w:rPr>
              <w:fldChar w:fldCharType="begin"/>
            </w:r>
            <w:r>
              <w:rPr>
                <w:noProof/>
                <w:webHidden/>
              </w:rPr>
              <w:instrText xml:space="preserve"> PAGEREF _Toc213793848 \h </w:instrText>
            </w:r>
            <w:r>
              <w:rPr>
                <w:noProof/>
                <w:webHidden/>
              </w:rPr>
            </w:r>
            <w:r>
              <w:rPr>
                <w:noProof/>
                <w:webHidden/>
              </w:rPr>
              <w:fldChar w:fldCharType="separate"/>
            </w:r>
            <w:r>
              <w:rPr>
                <w:noProof/>
                <w:webHidden/>
              </w:rPr>
              <w:t>3</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49" w:history="1">
            <w:r w:rsidRPr="00237F13">
              <w:rPr>
                <w:rStyle w:val="Hyperlink"/>
                <w:noProof/>
              </w:rPr>
              <w:t>2.2 Implications for HRM and IHRM</w:t>
            </w:r>
            <w:r>
              <w:rPr>
                <w:noProof/>
                <w:webHidden/>
              </w:rPr>
              <w:tab/>
            </w:r>
            <w:r>
              <w:rPr>
                <w:noProof/>
                <w:webHidden/>
              </w:rPr>
              <w:fldChar w:fldCharType="begin"/>
            </w:r>
            <w:r>
              <w:rPr>
                <w:noProof/>
                <w:webHidden/>
              </w:rPr>
              <w:instrText xml:space="preserve"> PAGEREF _Toc213793849 \h </w:instrText>
            </w:r>
            <w:r>
              <w:rPr>
                <w:noProof/>
                <w:webHidden/>
              </w:rPr>
            </w:r>
            <w:r>
              <w:rPr>
                <w:noProof/>
                <w:webHidden/>
              </w:rPr>
              <w:fldChar w:fldCharType="separate"/>
            </w:r>
            <w:r>
              <w:rPr>
                <w:noProof/>
                <w:webHidden/>
              </w:rPr>
              <w:t>4</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50" w:history="1">
            <w:r w:rsidRPr="00237F13">
              <w:rPr>
                <w:rStyle w:val="Hyperlink"/>
                <w:noProof/>
              </w:rPr>
              <w:t>2.3 Critical Evaluation</w:t>
            </w:r>
            <w:r>
              <w:rPr>
                <w:noProof/>
                <w:webHidden/>
              </w:rPr>
              <w:tab/>
            </w:r>
            <w:r>
              <w:rPr>
                <w:noProof/>
                <w:webHidden/>
              </w:rPr>
              <w:fldChar w:fldCharType="begin"/>
            </w:r>
            <w:r>
              <w:rPr>
                <w:noProof/>
                <w:webHidden/>
              </w:rPr>
              <w:instrText xml:space="preserve"> PAGEREF _Toc213793850 \h </w:instrText>
            </w:r>
            <w:r>
              <w:rPr>
                <w:noProof/>
                <w:webHidden/>
              </w:rPr>
            </w:r>
            <w:r>
              <w:rPr>
                <w:noProof/>
                <w:webHidden/>
              </w:rPr>
              <w:fldChar w:fldCharType="separate"/>
            </w:r>
            <w:r>
              <w:rPr>
                <w:noProof/>
                <w:webHidden/>
              </w:rPr>
              <w:t>5</w:t>
            </w:r>
            <w:r>
              <w:rPr>
                <w:noProof/>
                <w:webHidden/>
              </w:rPr>
              <w:fldChar w:fldCharType="end"/>
            </w:r>
          </w:hyperlink>
        </w:p>
        <w:p w:rsidR="00A14368" w:rsidRDefault="00A14368">
          <w:pPr>
            <w:pStyle w:val="TOC1"/>
            <w:tabs>
              <w:tab w:val="right" w:leader="dot" w:pos="9016"/>
            </w:tabs>
            <w:rPr>
              <w:rFonts w:asciiTheme="minorHAnsi" w:eastAsiaTheme="minorEastAsia" w:hAnsiTheme="minorHAnsi"/>
              <w:noProof/>
              <w:sz w:val="22"/>
              <w:lang w:eastAsia="en-GB"/>
            </w:rPr>
          </w:pPr>
          <w:hyperlink w:anchor="_Toc213793851" w:history="1">
            <w:r w:rsidRPr="00237F13">
              <w:rPr>
                <w:rStyle w:val="Hyperlink"/>
                <w:noProof/>
              </w:rPr>
              <w:t>3. Demographic and Geopolitical Influences on Employment Markets</w:t>
            </w:r>
            <w:r>
              <w:rPr>
                <w:noProof/>
                <w:webHidden/>
              </w:rPr>
              <w:tab/>
            </w:r>
            <w:r>
              <w:rPr>
                <w:noProof/>
                <w:webHidden/>
              </w:rPr>
              <w:fldChar w:fldCharType="begin"/>
            </w:r>
            <w:r>
              <w:rPr>
                <w:noProof/>
                <w:webHidden/>
              </w:rPr>
              <w:instrText xml:space="preserve"> PAGEREF _Toc213793851 \h </w:instrText>
            </w:r>
            <w:r>
              <w:rPr>
                <w:noProof/>
                <w:webHidden/>
              </w:rPr>
            </w:r>
            <w:r>
              <w:rPr>
                <w:noProof/>
                <w:webHidden/>
              </w:rPr>
              <w:fldChar w:fldCharType="separate"/>
            </w:r>
            <w:r>
              <w:rPr>
                <w:noProof/>
                <w:webHidden/>
              </w:rPr>
              <w:t>5</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52" w:history="1">
            <w:r w:rsidRPr="00237F13">
              <w:rPr>
                <w:rStyle w:val="Hyperlink"/>
                <w:noProof/>
              </w:rPr>
              <w:t>3.1 Demographic Transformations</w:t>
            </w:r>
            <w:r>
              <w:rPr>
                <w:noProof/>
                <w:webHidden/>
              </w:rPr>
              <w:tab/>
            </w:r>
            <w:r>
              <w:rPr>
                <w:noProof/>
                <w:webHidden/>
              </w:rPr>
              <w:fldChar w:fldCharType="begin"/>
            </w:r>
            <w:r>
              <w:rPr>
                <w:noProof/>
                <w:webHidden/>
              </w:rPr>
              <w:instrText xml:space="preserve"> PAGEREF _Toc213793852 \h </w:instrText>
            </w:r>
            <w:r>
              <w:rPr>
                <w:noProof/>
                <w:webHidden/>
              </w:rPr>
            </w:r>
            <w:r>
              <w:rPr>
                <w:noProof/>
                <w:webHidden/>
              </w:rPr>
              <w:fldChar w:fldCharType="separate"/>
            </w:r>
            <w:r>
              <w:rPr>
                <w:noProof/>
                <w:webHidden/>
              </w:rPr>
              <w:t>5</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53" w:history="1">
            <w:r w:rsidRPr="00237F13">
              <w:rPr>
                <w:rStyle w:val="Hyperlink"/>
                <w:noProof/>
              </w:rPr>
              <w:t>3.2 Geopolitical Pressures</w:t>
            </w:r>
            <w:r>
              <w:rPr>
                <w:noProof/>
                <w:webHidden/>
              </w:rPr>
              <w:tab/>
            </w:r>
            <w:r>
              <w:rPr>
                <w:noProof/>
                <w:webHidden/>
              </w:rPr>
              <w:fldChar w:fldCharType="begin"/>
            </w:r>
            <w:r>
              <w:rPr>
                <w:noProof/>
                <w:webHidden/>
              </w:rPr>
              <w:instrText xml:space="preserve"> PAGEREF _Toc213793853 \h </w:instrText>
            </w:r>
            <w:r>
              <w:rPr>
                <w:noProof/>
                <w:webHidden/>
              </w:rPr>
            </w:r>
            <w:r>
              <w:rPr>
                <w:noProof/>
                <w:webHidden/>
              </w:rPr>
              <w:fldChar w:fldCharType="separate"/>
            </w:r>
            <w:r>
              <w:rPr>
                <w:noProof/>
                <w:webHidden/>
              </w:rPr>
              <w:t>6</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54" w:history="1">
            <w:r w:rsidRPr="00237F13">
              <w:rPr>
                <w:rStyle w:val="Hyperlink"/>
                <w:noProof/>
              </w:rPr>
              <w:t>3.3 HRM and IHRM Strategic Responses</w:t>
            </w:r>
            <w:r>
              <w:rPr>
                <w:noProof/>
                <w:webHidden/>
              </w:rPr>
              <w:tab/>
            </w:r>
            <w:r>
              <w:rPr>
                <w:noProof/>
                <w:webHidden/>
              </w:rPr>
              <w:fldChar w:fldCharType="begin"/>
            </w:r>
            <w:r>
              <w:rPr>
                <w:noProof/>
                <w:webHidden/>
              </w:rPr>
              <w:instrText xml:space="preserve"> PAGEREF _Toc213793854 \h </w:instrText>
            </w:r>
            <w:r>
              <w:rPr>
                <w:noProof/>
                <w:webHidden/>
              </w:rPr>
            </w:r>
            <w:r>
              <w:rPr>
                <w:noProof/>
                <w:webHidden/>
              </w:rPr>
              <w:fldChar w:fldCharType="separate"/>
            </w:r>
            <w:r>
              <w:rPr>
                <w:noProof/>
                <w:webHidden/>
              </w:rPr>
              <w:t>6</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55" w:history="1">
            <w:r w:rsidRPr="00237F13">
              <w:rPr>
                <w:rStyle w:val="Hyperlink"/>
                <w:noProof/>
              </w:rPr>
              <w:t>3.4 Analytical Depth and Synthesis</w:t>
            </w:r>
            <w:r>
              <w:rPr>
                <w:noProof/>
                <w:webHidden/>
              </w:rPr>
              <w:tab/>
            </w:r>
            <w:r>
              <w:rPr>
                <w:noProof/>
                <w:webHidden/>
              </w:rPr>
              <w:fldChar w:fldCharType="begin"/>
            </w:r>
            <w:r>
              <w:rPr>
                <w:noProof/>
                <w:webHidden/>
              </w:rPr>
              <w:instrText xml:space="preserve"> PAGEREF _Toc213793855 \h </w:instrText>
            </w:r>
            <w:r>
              <w:rPr>
                <w:noProof/>
                <w:webHidden/>
              </w:rPr>
            </w:r>
            <w:r>
              <w:rPr>
                <w:noProof/>
                <w:webHidden/>
              </w:rPr>
              <w:fldChar w:fldCharType="separate"/>
            </w:r>
            <w:r>
              <w:rPr>
                <w:noProof/>
                <w:webHidden/>
              </w:rPr>
              <w:t>7</w:t>
            </w:r>
            <w:r>
              <w:rPr>
                <w:noProof/>
                <w:webHidden/>
              </w:rPr>
              <w:fldChar w:fldCharType="end"/>
            </w:r>
          </w:hyperlink>
        </w:p>
        <w:p w:rsidR="00A14368" w:rsidRDefault="00A14368">
          <w:pPr>
            <w:pStyle w:val="TOC1"/>
            <w:tabs>
              <w:tab w:val="right" w:leader="dot" w:pos="9016"/>
            </w:tabs>
            <w:rPr>
              <w:rFonts w:asciiTheme="minorHAnsi" w:eastAsiaTheme="minorEastAsia" w:hAnsiTheme="minorHAnsi"/>
              <w:noProof/>
              <w:sz w:val="22"/>
              <w:lang w:eastAsia="en-GB"/>
            </w:rPr>
          </w:pPr>
          <w:hyperlink w:anchor="_Toc213793856" w:history="1">
            <w:r w:rsidRPr="00237F13">
              <w:rPr>
                <w:rStyle w:val="Hyperlink"/>
                <w:noProof/>
              </w:rPr>
              <w:t>4. Addressing Skills Gaps and Talent Shortages via Strategic HRM</w:t>
            </w:r>
            <w:r>
              <w:rPr>
                <w:noProof/>
                <w:webHidden/>
              </w:rPr>
              <w:tab/>
            </w:r>
            <w:r>
              <w:rPr>
                <w:noProof/>
                <w:webHidden/>
              </w:rPr>
              <w:fldChar w:fldCharType="begin"/>
            </w:r>
            <w:r>
              <w:rPr>
                <w:noProof/>
                <w:webHidden/>
              </w:rPr>
              <w:instrText xml:space="preserve"> PAGEREF _Toc213793856 \h </w:instrText>
            </w:r>
            <w:r>
              <w:rPr>
                <w:noProof/>
                <w:webHidden/>
              </w:rPr>
            </w:r>
            <w:r>
              <w:rPr>
                <w:noProof/>
                <w:webHidden/>
              </w:rPr>
              <w:fldChar w:fldCharType="separate"/>
            </w:r>
            <w:r>
              <w:rPr>
                <w:noProof/>
                <w:webHidden/>
              </w:rPr>
              <w:t>7</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57" w:history="1">
            <w:r w:rsidRPr="00237F13">
              <w:rPr>
                <w:rStyle w:val="Hyperlink"/>
                <w:noProof/>
              </w:rPr>
              <w:t>4.1 Current Global Skill Gaps</w:t>
            </w:r>
            <w:r>
              <w:rPr>
                <w:noProof/>
                <w:webHidden/>
              </w:rPr>
              <w:tab/>
            </w:r>
            <w:r>
              <w:rPr>
                <w:noProof/>
                <w:webHidden/>
              </w:rPr>
              <w:fldChar w:fldCharType="begin"/>
            </w:r>
            <w:r>
              <w:rPr>
                <w:noProof/>
                <w:webHidden/>
              </w:rPr>
              <w:instrText xml:space="preserve"> PAGEREF _Toc213793857 \h </w:instrText>
            </w:r>
            <w:r>
              <w:rPr>
                <w:noProof/>
                <w:webHidden/>
              </w:rPr>
            </w:r>
            <w:r>
              <w:rPr>
                <w:noProof/>
                <w:webHidden/>
              </w:rPr>
              <w:fldChar w:fldCharType="separate"/>
            </w:r>
            <w:r>
              <w:rPr>
                <w:noProof/>
                <w:webHidden/>
              </w:rPr>
              <w:t>7</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58" w:history="1">
            <w:r w:rsidRPr="00237F13">
              <w:rPr>
                <w:rStyle w:val="Hyperlink"/>
                <w:noProof/>
              </w:rPr>
              <w:t>4.2 Strategic HRM Interventions</w:t>
            </w:r>
            <w:r>
              <w:rPr>
                <w:noProof/>
                <w:webHidden/>
              </w:rPr>
              <w:tab/>
            </w:r>
            <w:r>
              <w:rPr>
                <w:noProof/>
                <w:webHidden/>
              </w:rPr>
              <w:fldChar w:fldCharType="begin"/>
            </w:r>
            <w:r>
              <w:rPr>
                <w:noProof/>
                <w:webHidden/>
              </w:rPr>
              <w:instrText xml:space="preserve"> PAGEREF _Toc213793858 \h </w:instrText>
            </w:r>
            <w:r>
              <w:rPr>
                <w:noProof/>
                <w:webHidden/>
              </w:rPr>
            </w:r>
            <w:r>
              <w:rPr>
                <w:noProof/>
                <w:webHidden/>
              </w:rPr>
              <w:fldChar w:fldCharType="separate"/>
            </w:r>
            <w:r>
              <w:rPr>
                <w:noProof/>
                <w:webHidden/>
              </w:rPr>
              <w:t>8</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59" w:history="1">
            <w:r w:rsidRPr="00237F13">
              <w:rPr>
                <w:rStyle w:val="Hyperlink"/>
                <w:noProof/>
              </w:rPr>
              <w:t>4.3 Critical Integration and Synthesis</w:t>
            </w:r>
            <w:r>
              <w:rPr>
                <w:noProof/>
                <w:webHidden/>
              </w:rPr>
              <w:tab/>
            </w:r>
            <w:r>
              <w:rPr>
                <w:noProof/>
                <w:webHidden/>
              </w:rPr>
              <w:fldChar w:fldCharType="begin"/>
            </w:r>
            <w:r>
              <w:rPr>
                <w:noProof/>
                <w:webHidden/>
              </w:rPr>
              <w:instrText xml:space="preserve"> PAGEREF _Toc213793859 \h </w:instrText>
            </w:r>
            <w:r>
              <w:rPr>
                <w:noProof/>
                <w:webHidden/>
              </w:rPr>
            </w:r>
            <w:r>
              <w:rPr>
                <w:noProof/>
                <w:webHidden/>
              </w:rPr>
              <w:fldChar w:fldCharType="separate"/>
            </w:r>
            <w:r>
              <w:rPr>
                <w:noProof/>
                <w:webHidden/>
              </w:rPr>
              <w:t>9</w:t>
            </w:r>
            <w:r>
              <w:rPr>
                <w:noProof/>
                <w:webHidden/>
              </w:rPr>
              <w:fldChar w:fldCharType="end"/>
            </w:r>
          </w:hyperlink>
        </w:p>
        <w:p w:rsidR="00A14368" w:rsidRDefault="00A14368">
          <w:pPr>
            <w:pStyle w:val="TOC1"/>
            <w:tabs>
              <w:tab w:val="right" w:leader="dot" w:pos="9016"/>
            </w:tabs>
            <w:rPr>
              <w:rFonts w:asciiTheme="minorHAnsi" w:eastAsiaTheme="minorEastAsia" w:hAnsiTheme="minorHAnsi"/>
              <w:noProof/>
              <w:sz w:val="22"/>
              <w:lang w:eastAsia="en-GB"/>
            </w:rPr>
          </w:pPr>
          <w:hyperlink w:anchor="_Toc213793860" w:history="1">
            <w:r w:rsidRPr="00237F13">
              <w:rPr>
                <w:rStyle w:val="Hyperlink"/>
                <w:noProof/>
              </w:rPr>
              <w:t>5. Reflective Evaluation of International Employability</w:t>
            </w:r>
            <w:r>
              <w:rPr>
                <w:noProof/>
                <w:webHidden/>
              </w:rPr>
              <w:tab/>
            </w:r>
            <w:r>
              <w:rPr>
                <w:noProof/>
                <w:webHidden/>
              </w:rPr>
              <w:fldChar w:fldCharType="begin"/>
            </w:r>
            <w:r>
              <w:rPr>
                <w:noProof/>
                <w:webHidden/>
              </w:rPr>
              <w:instrText xml:space="preserve"> PAGEREF _Toc213793860 \h </w:instrText>
            </w:r>
            <w:r>
              <w:rPr>
                <w:noProof/>
                <w:webHidden/>
              </w:rPr>
            </w:r>
            <w:r>
              <w:rPr>
                <w:noProof/>
                <w:webHidden/>
              </w:rPr>
              <w:fldChar w:fldCharType="separate"/>
            </w:r>
            <w:r>
              <w:rPr>
                <w:noProof/>
                <w:webHidden/>
              </w:rPr>
              <w:t>10</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61" w:history="1">
            <w:r w:rsidRPr="00237F13">
              <w:rPr>
                <w:rStyle w:val="Hyperlink"/>
                <w:noProof/>
              </w:rPr>
              <w:t>5.1 Framework and Methodology</w:t>
            </w:r>
            <w:r>
              <w:rPr>
                <w:noProof/>
                <w:webHidden/>
              </w:rPr>
              <w:tab/>
            </w:r>
            <w:r>
              <w:rPr>
                <w:noProof/>
                <w:webHidden/>
              </w:rPr>
              <w:fldChar w:fldCharType="begin"/>
            </w:r>
            <w:r>
              <w:rPr>
                <w:noProof/>
                <w:webHidden/>
              </w:rPr>
              <w:instrText xml:space="preserve"> PAGEREF _Toc213793861 \h </w:instrText>
            </w:r>
            <w:r>
              <w:rPr>
                <w:noProof/>
                <w:webHidden/>
              </w:rPr>
            </w:r>
            <w:r>
              <w:rPr>
                <w:noProof/>
                <w:webHidden/>
              </w:rPr>
              <w:fldChar w:fldCharType="separate"/>
            </w:r>
            <w:r>
              <w:rPr>
                <w:noProof/>
                <w:webHidden/>
              </w:rPr>
              <w:t>10</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62" w:history="1">
            <w:r w:rsidRPr="00237F13">
              <w:rPr>
                <w:rStyle w:val="Hyperlink"/>
                <w:noProof/>
              </w:rPr>
              <w:t>5.2 Technological Capability</w:t>
            </w:r>
            <w:r>
              <w:rPr>
                <w:noProof/>
                <w:webHidden/>
              </w:rPr>
              <w:tab/>
            </w:r>
            <w:r>
              <w:rPr>
                <w:noProof/>
                <w:webHidden/>
              </w:rPr>
              <w:fldChar w:fldCharType="begin"/>
            </w:r>
            <w:r>
              <w:rPr>
                <w:noProof/>
                <w:webHidden/>
              </w:rPr>
              <w:instrText xml:space="preserve"> PAGEREF _Toc213793862 \h </w:instrText>
            </w:r>
            <w:r>
              <w:rPr>
                <w:noProof/>
                <w:webHidden/>
              </w:rPr>
            </w:r>
            <w:r>
              <w:rPr>
                <w:noProof/>
                <w:webHidden/>
              </w:rPr>
              <w:fldChar w:fldCharType="separate"/>
            </w:r>
            <w:r>
              <w:rPr>
                <w:noProof/>
                <w:webHidden/>
              </w:rPr>
              <w:t>11</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63" w:history="1">
            <w:r w:rsidRPr="00237F13">
              <w:rPr>
                <w:rStyle w:val="Hyperlink"/>
                <w:noProof/>
              </w:rPr>
              <w:t>5.3 Communication and Teamwork</w:t>
            </w:r>
            <w:r>
              <w:rPr>
                <w:noProof/>
                <w:webHidden/>
              </w:rPr>
              <w:tab/>
            </w:r>
            <w:r>
              <w:rPr>
                <w:noProof/>
                <w:webHidden/>
              </w:rPr>
              <w:fldChar w:fldCharType="begin"/>
            </w:r>
            <w:r>
              <w:rPr>
                <w:noProof/>
                <w:webHidden/>
              </w:rPr>
              <w:instrText xml:space="preserve"> PAGEREF _Toc213793863 \h </w:instrText>
            </w:r>
            <w:r>
              <w:rPr>
                <w:noProof/>
                <w:webHidden/>
              </w:rPr>
            </w:r>
            <w:r>
              <w:rPr>
                <w:noProof/>
                <w:webHidden/>
              </w:rPr>
              <w:fldChar w:fldCharType="separate"/>
            </w:r>
            <w:r>
              <w:rPr>
                <w:noProof/>
                <w:webHidden/>
              </w:rPr>
              <w:t>12</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64" w:history="1">
            <w:r w:rsidRPr="00237F13">
              <w:rPr>
                <w:rStyle w:val="Hyperlink"/>
                <w:noProof/>
              </w:rPr>
              <w:t>5.4 Leadership and Adaptability</w:t>
            </w:r>
            <w:r>
              <w:rPr>
                <w:noProof/>
                <w:webHidden/>
              </w:rPr>
              <w:tab/>
            </w:r>
            <w:r>
              <w:rPr>
                <w:noProof/>
                <w:webHidden/>
              </w:rPr>
              <w:fldChar w:fldCharType="begin"/>
            </w:r>
            <w:r>
              <w:rPr>
                <w:noProof/>
                <w:webHidden/>
              </w:rPr>
              <w:instrText xml:space="preserve"> PAGEREF _Toc213793864 \h </w:instrText>
            </w:r>
            <w:r>
              <w:rPr>
                <w:noProof/>
                <w:webHidden/>
              </w:rPr>
            </w:r>
            <w:r>
              <w:rPr>
                <w:noProof/>
                <w:webHidden/>
              </w:rPr>
              <w:fldChar w:fldCharType="separate"/>
            </w:r>
            <w:r>
              <w:rPr>
                <w:noProof/>
                <w:webHidden/>
              </w:rPr>
              <w:t>12</w:t>
            </w:r>
            <w:r>
              <w:rPr>
                <w:noProof/>
                <w:webHidden/>
              </w:rPr>
              <w:fldChar w:fldCharType="end"/>
            </w:r>
          </w:hyperlink>
        </w:p>
        <w:p w:rsidR="00A14368" w:rsidRDefault="00A14368">
          <w:pPr>
            <w:pStyle w:val="TOC2"/>
            <w:tabs>
              <w:tab w:val="right" w:leader="dot" w:pos="9016"/>
            </w:tabs>
            <w:rPr>
              <w:rFonts w:asciiTheme="minorHAnsi" w:eastAsiaTheme="minorEastAsia" w:hAnsiTheme="minorHAnsi"/>
              <w:noProof/>
              <w:sz w:val="22"/>
              <w:lang w:eastAsia="en-GB"/>
            </w:rPr>
          </w:pPr>
          <w:hyperlink w:anchor="_Toc213793865" w:history="1">
            <w:r w:rsidRPr="00237F13">
              <w:rPr>
                <w:rStyle w:val="Hyperlink"/>
                <w:noProof/>
              </w:rPr>
              <w:t>5.5 Continuous Learning and Action Plan</w:t>
            </w:r>
            <w:r>
              <w:rPr>
                <w:noProof/>
                <w:webHidden/>
              </w:rPr>
              <w:tab/>
            </w:r>
            <w:r>
              <w:rPr>
                <w:noProof/>
                <w:webHidden/>
              </w:rPr>
              <w:fldChar w:fldCharType="begin"/>
            </w:r>
            <w:r>
              <w:rPr>
                <w:noProof/>
                <w:webHidden/>
              </w:rPr>
              <w:instrText xml:space="preserve"> PAGEREF _Toc213793865 \h </w:instrText>
            </w:r>
            <w:r>
              <w:rPr>
                <w:noProof/>
                <w:webHidden/>
              </w:rPr>
            </w:r>
            <w:r>
              <w:rPr>
                <w:noProof/>
                <w:webHidden/>
              </w:rPr>
              <w:fldChar w:fldCharType="separate"/>
            </w:r>
            <w:r>
              <w:rPr>
                <w:noProof/>
                <w:webHidden/>
              </w:rPr>
              <w:t>12</w:t>
            </w:r>
            <w:r>
              <w:rPr>
                <w:noProof/>
                <w:webHidden/>
              </w:rPr>
              <w:fldChar w:fldCharType="end"/>
            </w:r>
          </w:hyperlink>
        </w:p>
        <w:p w:rsidR="00A14368" w:rsidRDefault="00A14368">
          <w:pPr>
            <w:pStyle w:val="TOC1"/>
            <w:tabs>
              <w:tab w:val="right" w:leader="dot" w:pos="9016"/>
            </w:tabs>
            <w:rPr>
              <w:rFonts w:asciiTheme="minorHAnsi" w:eastAsiaTheme="minorEastAsia" w:hAnsiTheme="minorHAnsi"/>
              <w:noProof/>
              <w:sz w:val="22"/>
              <w:lang w:eastAsia="en-GB"/>
            </w:rPr>
          </w:pPr>
          <w:hyperlink w:anchor="_Toc213793866" w:history="1">
            <w:r w:rsidRPr="00237F13">
              <w:rPr>
                <w:rStyle w:val="Hyperlink"/>
                <w:noProof/>
              </w:rPr>
              <w:t>6. Conclusion</w:t>
            </w:r>
            <w:r>
              <w:rPr>
                <w:noProof/>
                <w:webHidden/>
              </w:rPr>
              <w:tab/>
            </w:r>
            <w:r>
              <w:rPr>
                <w:noProof/>
                <w:webHidden/>
              </w:rPr>
              <w:fldChar w:fldCharType="begin"/>
            </w:r>
            <w:r>
              <w:rPr>
                <w:noProof/>
                <w:webHidden/>
              </w:rPr>
              <w:instrText xml:space="preserve"> PAGEREF _Toc213793866 \h </w:instrText>
            </w:r>
            <w:r>
              <w:rPr>
                <w:noProof/>
                <w:webHidden/>
              </w:rPr>
            </w:r>
            <w:r>
              <w:rPr>
                <w:noProof/>
                <w:webHidden/>
              </w:rPr>
              <w:fldChar w:fldCharType="separate"/>
            </w:r>
            <w:r>
              <w:rPr>
                <w:noProof/>
                <w:webHidden/>
              </w:rPr>
              <w:t>13</w:t>
            </w:r>
            <w:r>
              <w:rPr>
                <w:noProof/>
                <w:webHidden/>
              </w:rPr>
              <w:fldChar w:fldCharType="end"/>
            </w:r>
          </w:hyperlink>
        </w:p>
        <w:p w:rsidR="00A14368" w:rsidRDefault="00A14368">
          <w:pPr>
            <w:pStyle w:val="TOC1"/>
            <w:tabs>
              <w:tab w:val="right" w:leader="dot" w:pos="9016"/>
            </w:tabs>
            <w:rPr>
              <w:rFonts w:asciiTheme="minorHAnsi" w:eastAsiaTheme="minorEastAsia" w:hAnsiTheme="minorHAnsi"/>
              <w:noProof/>
              <w:sz w:val="22"/>
              <w:lang w:eastAsia="en-GB"/>
            </w:rPr>
          </w:pPr>
          <w:hyperlink w:anchor="_Toc213793867" w:history="1">
            <w:r w:rsidRPr="00237F13">
              <w:rPr>
                <w:rStyle w:val="Hyperlink"/>
                <w:noProof/>
              </w:rPr>
              <w:t>7.References</w:t>
            </w:r>
            <w:r>
              <w:rPr>
                <w:noProof/>
                <w:webHidden/>
              </w:rPr>
              <w:tab/>
            </w:r>
            <w:r>
              <w:rPr>
                <w:noProof/>
                <w:webHidden/>
              </w:rPr>
              <w:fldChar w:fldCharType="begin"/>
            </w:r>
            <w:r>
              <w:rPr>
                <w:noProof/>
                <w:webHidden/>
              </w:rPr>
              <w:instrText xml:space="preserve"> PAGEREF _Toc213793867 \h </w:instrText>
            </w:r>
            <w:r>
              <w:rPr>
                <w:noProof/>
                <w:webHidden/>
              </w:rPr>
            </w:r>
            <w:r>
              <w:rPr>
                <w:noProof/>
                <w:webHidden/>
              </w:rPr>
              <w:fldChar w:fldCharType="separate"/>
            </w:r>
            <w:r>
              <w:rPr>
                <w:noProof/>
                <w:webHidden/>
              </w:rPr>
              <w:t>14</w:t>
            </w:r>
            <w:r>
              <w:rPr>
                <w:noProof/>
                <w:webHidden/>
              </w:rPr>
              <w:fldChar w:fldCharType="end"/>
            </w:r>
          </w:hyperlink>
        </w:p>
        <w:p w:rsidR="00646124" w:rsidRDefault="00646124">
          <w:r>
            <w:rPr>
              <w:b/>
              <w:bCs/>
              <w:noProof/>
            </w:rPr>
            <w:fldChar w:fldCharType="end"/>
          </w:r>
        </w:p>
      </w:sdtContent>
    </w:sdt>
    <w:p w:rsidR="00AA7B3A" w:rsidRDefault="00AA7B3A" w:rsidP="008A2AEA"/>
    <w:p w:rsidR="00AA7B3A" w:rsidRDefault="00AA7B3A" w:rsidP="008A2AEA"/>
    <w:p w:rsidR="00AA7B3A" w:rsidRDefault="00AA7B3A" w:rsidP="008A2AEA"/>
    <w:p w:rsidR="008A2AEA" w:rsidRDefault="008A2AEA" w:rsidP="00AA7B3A">
      <w:pPr>
        <w:pStyle w:val="Heading1"/>
      </w:pPr>
      <w:bookmarkStart w:id="1" w:name="_Toc213793846"/>
      <w:r>
        <w:lastRenderedPageBreak/>
        <w:t>1. Introduction</w:t>
      </w:r>
      <w:bookmarkEnd w:id="1"/>
      <w:r>
        <w:t xml:space="preserve"> </w:t>
      </w:r>
    </w:p>
    <w:p w:rsidR="00932E69" w:rsidRPr="00932E69" w:rsidRDefault="00932E69" w:rsidP="00932E69">
      <w:r w:rsidRPr="00932E69">
        <w:t>Human Capital Management (HCM) is a strategic combination of people, performance and organisational capability that places the workers as key resources to the attainment of sustainable competitive advantage. Systemic change is occurring in labour markets in a period characterized by increased technological disruption, demographic shifts and geopolitical instability (</w:t>
      </w:r>
      <w:proofErr w:type="spellStart"/>
      <w:r w:rsidRPr="00932E69">
        <w:t>Alkaf</w:t>
      </w:r>
      <w:proofErr w:type="spellEnd"/>
      <w:r w:rsidRPr="00932E69">
        <w:t xml:space="preserve"> et al., 2023). It is not that artificial intelligence (AI) and automation reorganized job positions, but rather, reorganized the structure of global talent mobility and employability. At the same time, HRM and IHRM paradigms are subject to change due to population ageing in developed economies, young populations in the developing world, and displacement of talent caused by political instability (</w:t>
      </w:r>
      <w:proofErr w:type="spellStart"/>
      <w:r w:rsidRPr="00932E69">
        <w:t>Darwish</w:t>
      </w:r>
      <w:proofErr w:type="spellEnd"/>
      <w:r w:rsidRPr="00932E69">
        <w:t xml:space="preserve"> et al., 2024). It is methodologically based on a critical secondary research where peer-reviewed literature, institutional datasets (OECD, CIPD) and case-based insights are used to guarantee the achievement of analytical rigour and evidence triangulation. The strategy is analysed through strategic HR models such</w:t>
      </w:r>
      <w:r w:rsidR="00CB5E53">
        <w:t xml:space="preserve"> as the HRM model</w:t>
      </w:r>
      <w:r w:rsidRPr="00932E69">
        <w:t xml:space="preserve">, talent architecture (Collings and </w:t>
      </w:r>
      <w:proofErr w:type="spellStart"/>
      <w:r w:rsidRPr="00932E69">
        <w:t>Mellahi</w:t>
      </w:r>
      <w:proofErr w:type="spellEnd"/>
      <w:r w:rsidRPr="00932E69">
        <w:t>, 2009) and the cu</w:t>
      </w:r>
      <w:r w:rsidR="00CB5E53">
        <w:t>ltural paradigm</w:t>
      </w:r>
      <w:r w:rsidRPr="00932E69">
        <w:t xml:space="preserve"> to combine the global trends with practical recommendations on sustai</w:t>
      </w:r>
      <w:r w:rsidR="00FC1623">
        <w:t>nable human-capital development.</w:t>
      </w:r>
    </w:p>
    <w:p w:rsidR="008A2AEA" w:rsidRDefault="008A2AEA" w:rsidP="00AA7B3A">
      <w:pPr>
        <w:pStyle w:val="Heading1"/>
      </w:pPr>
      <w:bookmarkStart w:id="2" w:name="_Toc213793847"/>
      <w:r>
        <w:t>2. Technological Advancements and Labo</w:t>
      </w:r>
      <w:r w:rsidR="00AA7B3A">
        <w:t>ur Market Reshaping</w:t>
      </w:r>
      <w:bookmarkEnd w:id="2"/>
    </w:p>
    <w:p w:rsidR="008A2AEA" w:rsidRDefault="008A2AEA" w:rsidP="00AA7B3A">
      <w:pPr>
        <w:pStyle w:val="Heading2"/>
      </w:pPr>
      <w:bookmarkStart w:id="3" w:name="_Toc213793848"/>
      <w:r>
        <w:t>2.1 Emerging Technological Forces</w:t>
      </w:r>
      <w:bookmarkEnd w:id="3"/>
    </w:p>
    <w:p w:rsidR="009F1F27" w:rsidRPr="009F1F27" w:rsidRDefault="009F1F27" w:rsidP="009F1F27">
      <w:r w:rsidRPr="009F1F27">
        <w:t xml:space="preserve">The artificial intelligence (AI), machine learning, and robotics are driving technological acceleration, which is transforming the essential structure of world labour markets. They are structural determinants of productivity and value creation, and these technologies are not peripheral tools anymore (Yasmeen et al., 2022). The ability to mimic traditions of cognitive tasks like analysis and prediction has made AI disrupt the traditional job design, which is now divided into modular, project-based work, going across organisational borders. It may be evidenced by its growth in the form of the spread of platform work and the gig economy: digital platforms, such as </w:t>
      </w:r>
      <w:proofErr w:type="spellStart"/>
      <w:r w:rsidRPr="009F1F27">
        <w:t>Upwork</w:t>
      </w:r>
      <w:proofErr w:type="spellEnd"/>
      <w:r w:rsidRPr="009F1F27">
        <w:t xml:space="preserve"> and Amazon Mechanical Turk, have produced hyper-flexible labour supply chains that have made more autonomous and led to an increase in </w:t>
      </w:r>
      <w:r w:rsidR="00ED7296">
        <w:t>employment precarity</w:t>
      </w:r>
      <w:r w:rsidRPr="009F1F27">
        <w:t>. Similarly, the emergence of digital nomadism and nimble work patterns marks the globalisation of labour and labour-geography and requires companies to reconsider its transnational systems of work, labour policies and methods of cultural integration.</w:t>
      </w:r>
    </w:p>
    <w:p w:rsidR="008A2AEA" w:rsidRDefault="008A2AEA" w:rsidP="00AA7B3A">
      <w:pPr>
        <w:pStyle w:val="Heading2"/>
      </w:pPr>
      <w:bookmarkStart w:id="4" w:name="_Toc213793849"/>
      <w:r>
        <w:lastRenderedPageBreak/>
        <w:t>2.2 Implications for HRM and IHRM</w:t>
      </w:r>
      <w:bookmarkEnd w:id="4"/>
    </w:p>
    <w:p w:rsidR="00600434" w:rsidRDefault="00600434" w:rsidP="00600434">
      <w:r w:rsidRPr="00600434">
        <w:t>The Strategic Partner Model by Ulrich (1997) offers a critical perspective on the analysis of how HR has changed into a strategic intelligence role ra</w:t>
      </w:r>
      <w:r w:rsidR="00FC1623">
        <w:t xml:space="preserve">ther than an administrative one. </w:t>
      </w:r>
      <w:r w:rsidRPr="00600434">
        <w:t>With technological disruption, HR professionals will play a two-fold role as change architects and data interpreters, and they will match digital capability with human value. HR analytics allows evidence-based decision-making, which predicts attrition, competency mapping, and workforce planning. On the same note, e-recruiting platforms and automated recruitment tools have also boosted performance at the cost of ethical governance issues, including bot-related discrimination and data privacy concerns (Borg et al., 2025). The international HRM (IHRM) viewpoint sees the digital transformation reorganizing the cross-border management. Virtual expatriation has become part of global mobility, and requires new performance management and cultural training approaches. The SHRM digital transformation model highlights the necessity to embrace technology planning and organisational culture in order to maintain agility and inclusiveness (Wang and Shi, 2022). However, the spread of automation is not even with the developing economies experiencing asymmetry in resources and digital divide and making it difficult to deploy talent equally (OECD, 2024).</w:t>
      </w:r>
    </w:p>
    <w:p w:rsidR="00ED7296" w:rsidRDefault="00ED7296" w:rsidP="00600434">
      <w:r>
        <w:rPr>
          <w:noProof/>
          <w:lang w:eastAsia="en-GB"/>
        </w:rPr>
        <w:drawing>
          <wp:inline distT="0" distB="0" distL="0" distR="0" wp14:anchorId="106B7FD1" wp14:editId="07133BE3">
            <wp:extent cx="5731510" cy="3479282"/>
            <wp:effectExtent l="0" t="0" r="2540" b="6985"/>
            <wp:docPr id="2" name="Picture 2" descr="ulrich model - Global Development Institut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lrich model - Global Development Institute Blo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79282"/>
                    </a:xfrm>
                    <a:prstGeom prst="rect">
                      <a:avLst/>
                    </a:prstGeom>
                    <a:noFill/>
                    <a:ln>
                      <a:noFill/>
                    </a:ln>
                  </pic:spPr>
                </pic:pic>
              </a:graphicData>
            </a:graphic>
          </wp:inline>
        </w:drawing>
      </w:r>
    </w:p>
    <w:p w:rsidR="00ED7296" w:rsidRPr="00ED7296" w:rsidRDefault="00ED7296" w:rsidP="00EF4312">
      <w:pPr>
        <w:jc w:val="center"/>
        <w:rPr>
          <w:b/>
        </w:rPr>
      </w:pPr>
      <w:r w:rsidRPr="00ED7296">
        <w:rPr>
          <w:b/>
        </w:rPr>
        <w:t>Figure 1. Dave Ulrich’s Model of HR Roles</w:t>
      </w:r>
    </w:p>
    <w:p w:rsidR="008A2AEA" w:rsidRDefault="008A2AEA" w:rsidP="00AA7B3A">
      <w:pPr>
        <w:pStyle w:val="Heading2"/>
      </w:pPr>
      <w:bookmarkStart w:id="5" w:name="_Toc213793850"/>
      <w:r>
        <w:lastRenderedPageBreak/>
        <w:t>2.3 Critical Evaluation</w:t>
      </w:r>
      <w:bookmarkEnd w:id="5"/>
    </w:p>
    <w:p w:rsidR="00A76BFC" w:rsidRPr="00A76BFC" w:rsidRDefault="00A76BFC" w:rsidP="00A76BFC">
      <w:r>
        <w:t>The academic discussion of the technological change is indicative of two distinct paradigms: techno-optimism, where AI is seen as the enhancement of human potential, and human-centric realism, where AI has also been seen as a risk to the skills and increasing inequality (</w:t>
      </w:r>
      <w:proofErr w:type="spellStart"/>
      <w:r>
        <w:t>Autor</w:t>
      </w:r>
      <w:proofErr w:type="spellEnd"/>
      <w:r>
        <w:t xml:space="preserve">, 2023). Critical meta-analyses show that, methodological fragmentation is a common issue in which qualitative case studies exaggerate the benefits of innovation, and quantitative models conceal the particulars of socio-economic contexts. </w:t>
      </w:r>
      <w:r w:rsidRPr="00A76BFC">
        <w:t>Sustainable competitiveness is a moderate blend of ideas that is founded on the premise that, in lieu of technological determinism, human-machine complementarity must form the core of strategic HR systems that actualize the lifelong learning, moral supervision, and universal design (Zhang et al., 2025).</w:t>
      </w:r>
      <w:r w:rsidR="00794210">
        <w:t xml:space="preserve"> </w:t>
      </w:r>
      <w:r>
        <w:t>Essentially, the Fourth Industrial Revolution has put HRM back into its cognitive strategic discipline, in which data-based enlightenment, ethical responsibility, and international agility intersect. Good HR leaders should therefore go beyond automating operations and become leaders of digital humanism using technology to enhance creativity, wellbeing and long-term employ</w:t>
      </w:r>
      <w:r w:rsidR="00FC1623">
        <w:t>ability but not just efficiency</w:t>
      </w:r>
      <w:r w:rsidR="00FC1623" w:rsidRPr="00932E69">
        <w:t xml:space="preserve"> (</w:t>
      </w:r>
      <w:proofErr w:type="spellStart"/>
      <w:r w:rsidR="00FC1623" w:rsidRPr="00932E69">
        <w:t>Cassar</w:t>
      </w:r>
      <w:proofErr w:type="spellEnd"/>
      <w:r w:rsidR="00FC1623" w:rsidRPr="00932E69">
        <w:t xml:space="preserve"> et al., 2023).</w:t>
      </w:r>
    </w:p>
    <w:p w:rsidR="00264E5B" w:rsidRDefault="00264E5B" w:rsidP="00AA7B3A">
      <w:pPr>
        <w:pStyle w:val="Heading1"/>
      </w:pPr>
      <w:bookmarkStart w:id="6" w:name="_Toc213793851"/>
      <w:r>
        <w:t>3. Demographic and Geopolitical Influences on</w:t>
      </w:r>
      <w:r w:rsidR="00AA7B3A">
        <w:t xml:space="preserve"> Employment Markets</w:t>
      </w:r>
      <w:bookmarkEnd w:id="6"/>
    </w:p>
    <w:p w:rsidR="00264E5B" w:rsidRDefault="00264E5B" w:rsidP="00AA7B3A">
      <w:pPr>
        <w:pStyle w:val="Heading2"/>
      </w:pPr>
      <w:bookmarkStart w:id="7" w:name="_Toc213793852"/>
      <w:r>
        <w:t>3.1 Demographic Transformations</w:t>
      </w:r>
      <w:bookmarkEnd w:id="7"/>
    </w:p>
    <w:p w:rsidR="00794210" w:rsidRDefault="00794210" w:rsidP="00794210">
      <w:r>
        <w:t>The labour market of the world is in structural realignment, creating multidimensional challenges of workforce sustainability and HR strategy. In developed economies, population ageing is weakening labour supply and productivity potential; by 2030, almost one out of every four employees in the OECD will be aged above 55 years (OECD, 2024). This trend is forcing organisations to redefine talent retention using age-inclusive work design, flexible retirement, and lifelong learning policies. On the other hand, South Asia and Sub-Saharan Africa have a reverse youth bulge, as more than 60 percent of the population is below 30, providing an unutilized resource as well as a policy dilemma employability that lacks proper skills development (World Bank, 2024).</w:t>
      </w:r>
    </w:p>
    <w:p w:rsidR="00794210" w:rsidRPr="00794210" w:rsidRDefault="00794210" w:rsidP="00FC1623">
      <w:r>
        <w:t>There is an additional complexity of gender dynamics. The gradual growth of women workforce is a sign of the move towards equality, which reveals the lack of wage level equalisation and leadership underrepresentation (ILO, 2023). Combining Diversi</w:t>
      </w:r>
      <w:r w:rsidR="00CB5E53">
        <w:t>ty Management Theory</w:t>
      </w:r>
      <w:r>
        <w:t xml:space="preserve"> and the concept of Talent Mobility, it is worth noting that the innovation and organisational legitimacy are promoted through the support of such practices as inclusive </w:t>
      </w:r>
      <w:r>
        <w:lastRenderedPageBreak/>
        <w:t>recruitment, mentorship, and international assignment. Nevertheless, all these are conditional upon breaking the structural prejudices in international career opportunities, particularly in the patriarchal o</w:t>
      </w:r>
      <w:r w:rsidR="00FC1623">
        <w:t>r inflexible corporate cultures</w:t>
      </w:r>
      <w:r w:rsidR="00FC1623" w:rsidRPr="00600434">
        <w:t xml:space="preserve"> (</w:t>
      </w:r>
      <w:proofErr w:type="spellStart"/>
      <w:r w:rsidR="00FC1623" w:rsidRPr="00600434">
        <w:t>Ogedengbe</w:t>
      </w:r>
      <w:proofErr w:type="spellEnd"/>
      <w:r w:rsidR="00FC1623" w:rsidRPr="00600434">
        <w:t xml:space="preserve"> et al., 2024).</w:t>
      </w:r>
    </w:p>
    <w:p w:rsidR="00264E5B" w:rsidRDefault="00264E5B" w:rsidP="00AA7B3A">
      <w:pPr>
        <w:pStyle w:val="Heading2"/>
      </w:pPr>
      <w:bookmarkStart w:id="8" w:name="_Toc213793853"/>
      <w:r>
        <w:t>3.2 Geopolitical Pressures</w:t>
      </w:r>
      <w:bookmarkEnd w:id="8"/>
    </w:p>
    <w:p w:rsidR="00794210" w:rsidRPr="00794210" w:rsidRDefault="00794210" w:rsidP="00794210">
      <w:r w:rsidRPr="00794210">
        <w:t>Geopolitical turbulence is equally influencing global employment markets and taking the form of migration, trade policies, and conflict. The current migration policies since Brexit have limited the flow of labour within the UK services and healthcare industries further exacerbating the shortages and wage pressure. At the same time, the displacement especially through conflict particularly in Ukraine, Sudan, and the Middle East has restructured the European and Asian labour absorption potentials (UNHCR, 2024). The dynamics make it harder to plan the human resource and require humanitarian-oriented hiring models. Another movement is industrial reshoring, where companies are attempting to make production processes resilient by localisation unde</w:t>
      </w:r>
      <w:r w:rsidR="001A4698">
        <w:t>r geopolitical risk</w:t>
      </w:r>
      <w:r w:rsidRPr="00794210">
        <w:t>. Although reshoring renews domestic jobs, it replaces an already established chain of global values, necessitating reskilling of former offshored functions. Such problems are made worse by macroeconomic instability such as inflationary pressure and energy insecurity, which make the HR leaders juggle wage competitiveness and budget limitations (</w:t>
      </w:r>
      <w:proofErr w:type="spellStart"/>
      <w:r w:rsidRPr="00794210">
        <w:t>Marton</w:t>
      </w:r>
      <w:proofErr w:type="spellEnd"/>
      <w:r w:rsidRPr="00794210">
        <w:t>, 2023).</w:t>
      </w:r>
    </w:p>
    <w:p w:rsidR="00264E5B" w:rsidRDefault="00264E5B" w:rsidP="00AA7B3A">
      <w:pPr>
        <w:pStyle w:val="Heading2"/>
      </w:pPr>
      <w:bookmarkStart w:id="9" w:name="_Toc213793854"/>
      <w:r>
        <w:t>3.3 HRM and IHRM Strategic Responses</w:t>
      </w:r>
      <w:bookmarkEnd w:id="9"/>
    </w:p>
    <w:p w:rsidR="00794210" w:rsidRPr="00794210" w:rsidRDefault="00794210" w:rsidP="00794210">
      <w:r w:rsidRPr="00794210">
        <w:t>In this volatility, strategic HRM plays the role of stabilising and adaptive mechanism. The use of the PESTLE framework allows the organization of the environmental scanning of the policy, social and demographic risks to predict them, whereas the Cultural Dimensions (Cultural heterogenei</w:t>
      </w:r>
      <w:r w:rsidR="001A4698">
        <w:t xml:space="preserve">ty) provided by </w:t>
      </w:r>
      <w:r w:rsidRPr="00794210">
        <w:t>help to explain the dynamics of international teams based on the cultural heterogeneity (</w:t>
      </w:r>
      <w:proofErr w:type="spellStart"/>
      <w:r w:rsidRPr="00794210">
        <w:t>Assadekjaman</w:t>
      </w:r>
      <w:proofErr w:type="spellEnd"/>
      <w:r w:rsidRPr="00794210">
        <w:t xml:space="preserve"> and </w:t>
      </w:r>
      <w:proofErr w:type="spellStart"/>
      <w:r w:rsidRPr="00794210">
        <w:t>Afroz</w:t>
      </w:r>
      <w:proofErr w:type="spellEnd"/>
      <w:r w:rsidRPr="00794210">
        <w:t>, 2025). To get an idea, in collectivist societies, the relational cohesion is of greater significance, which affects the motivation systems and expatriate integration strategies. In relative terms, the UK National Health Service (NHS) takes advantage of the targeted international recruitment in Asia and Africa to offset domestic shortages but there is ethical tension as to whether it is brain drain. Conversely, the Tech.Pass visa program of Singapore exhibits an active IHRM paradigm of talent importation into the country as a strategy of maintaining the level of innovation (</w:t>
      </w:r>
      <w:proofErr w:type="spellStart"/>
      <w:r w:rsidRPr="00794210">
        <w:t>Ribarić</w:t>
      </w:r>
      <w:proofErr w:type="spellEnd"/>
      <w:r w:rsidRPr="00794210">
        <w:t xml:space="preserve"> et al., 2024). These cases expose the way HRM breaks organisational borders to be an economic diplomacy tool and national strength.</w:t>
      </w:r>
    </w:p>
    <w:p w:rsidR="00264E5B" w:rsidRDefault="00264E5B" w:rsidP="00AA7B3A">
      <w:pPr>
        <w:pStyle w:val="Heading2"/>
      </w:pPr>
      <w:bookmarkStart w:id="10" w:name="_Toc213793855"/>
      <w:r>
        <w:lastRenderedPageBreak/>
        <w:t>3.4 Analytical Depth and Synthesis</w:t>
      </w:r>
      <w:bookmarkEnd w:id="10"/>
    </w:p>
    <w:p w:rsidR="00794210" w:rsidRPr="00794210" w:rsidRDefault="00794210" w:rsidP="00794210">
      <w:r w:rsidRPr="00794210">
        <w:t>The combination of demographic and geopolitical information and implementation of HRM structures reveals a two-fold need: adjustability and fairness. Although data analytics can be used to forecast the labour-market, project strategic workforce planning, the effectiveness of these forecasts is limited by incomplete global data sets, uneven migration reporting, and political intimacy (Yang et al., 2025). The awareness of these methodological drawbacks is quite critical and, therefore, the triangulation of the multi-source method involving quantitative labour metrics and qualitative socio-political data. Finally, geographical re-determination of work is the combined effect of demographic transition and geopolitical flux. Diversity, flexibility, and cross-cultural competence can be institutionalised in HR systems of organisations, which means that they tend to maintain workforce resilience and strategic agility over the long term (</w:t>
      </w:r>
      <w:proofErr w:type="spellStart"/>
      <w:r w:rsidRPr="00794210">
        <w:t>Zuo</w:t>
      </w:r>
      <w:proofErr w:type="spellEnd"/>
      <w:r w:rsidRPr="00794210">
        <w:t xml:space="preserve"> and Hu, 2022).</w:t>
      </w:r>
    </w:p>
    <w:p w:rsidR="001C6D0E" w:rsidRDefault="001C6D0E" w:rsidP="00AA7B3A">
      <w:pPr>
        <w:pStyle w:val="Heading1"/>
      </w:pPr>
      <w:bookmarkStart w:id="11" w:name="_Toc213793856"/>
      <w:r>
        <w:t>4. Addressing Skills Gaps and Talent Shortage</w:t>
      </w:r>
      <w:r w:rsidR="00AA7B3A">
        <w:t>s via Strategic HRM</w:t>
      </w:r>
      <w:bookmarkEnd w:id="11"/>
      <w:r w:rsidR="00AA7B3A">
        <w:t xml:space="preserve"> </w:t>
      </w:r>
    </w:p>
    <w:p w:rsidR="001C6D0E" w:rsidRDefault="001C6D0E" w:rsidP="00AA7B3A">
      <w:pPr>
        <w:pStyle w:val="Heading2"/>
      </w:pPr>
      <w:bookmarkStart w:id="12" w:name="_Toc213793857"/>
      <w:r>
        <w:t>4.1 Current Global Skill Gaps</w:t>
      </w:r>
      <w:bookmarkEnd w:id="12"/>
    </w:p>
    <w:p w:rsidR="00794210" w:rsidRDefault="00794210" w:rsidP="00794210">
      <w:r>
        <w:t xml:space="preserve">The modern labour markets encounter severe skills disequilibrium that endangers productivity, innovation, and sustainable economic growth. Projections by OECD (2024) suggest that almost forty percent of workers in developed economies are not digitally skilled to perform the new occupations, and developing economies have underemployment issues despite high populations of youths. </w:t>
      </w:r>
      <w:r w:rsidR="00C83EB7" w:rsidRPr="00C83EB7">
        <w:t xml:space="preserve">The World Bank (2024) defines latent failures as STEM, healthcare, green-economy, and generate bottlenecks in areas that initiate recovery in the post-pandemic period. </w:t>
      </w:r>
      <w:r>
        <w:t>The ILO Global Skills Mismatch Index (2023) indicates the same and raises an alarming discrepancy in educational production and labour demand, especially in digital engineering and nursing.</w:t>
      </w:r>
    </w:p>
    <w:p w:rsidR="00794210" w:rsidRDefault="00794210" w:rsidP="00794210">
      <w:r>
        <w:t xml:space="preserve">Such deficits are multidimensional. </w:t>
      </w:r>
      <w:r w:rsidR="00E93DC0" w:rsidRPr="00E93DC0">
        <w:t>They also kill creativity and large scale operations to companies; promote inequality and diminish chances of an inclusive development to societies.</w:t>
      </w:r>
      <w:r w:rsidR="00A90E23">
        <w:t xml:space="preserve"> </w:t>
      </w:r>
      <w:r>
        <w:t>More importantly, the scarcity is not only quantitative but also qualitative a discrepancy between the cognitive, digital, and socio-emotional competencies required by Industry 4.0 and the competencies provided by the existing education and training frameworks (Armstrong, 2020). The HRM strategic issue, therefore, is to be able to devise coherent talent ecosystems that will not only acquire rare expertise but also nurture sustainable internal capacity.</w:t>
      </w:r>
    </w:p>
    <w:p w:rsidR="00EF4312" w:rsidRDefault="00EF4312" w:rsidP="00794210">
      <w:pPr>
        <w:rPr>
          <w:noProof/>
          <w:lang w:eastAsia="en-GB"/>
        </w:rPr>
      </w:pPr>
    </w:p>
    <w:p w:rsidR="00EF4312" w:rsidRDefault="00EF4312" w:rsidP="00794210">
      <w:pPr>
        <w:rPr>
          <w:noProof/>
          <w:lang w:eastAsia="en-GB"/>
        </w:rPr>
      </w:pPr>
    </w:p>
    <w:p w:rsidR="00EF4312" w:rsidRDefault="00EF4312" w:rsidP="00794210">
      <w:r>
        <w:rPr>
          <w:noProof/>
          <w:lang w:eastAsia="en-GB"/>
        </w:rPr>
        <w:drawing>
          <wp:inline distT="0" distB="0" distL="0" distR="0" wp14:anchorId="07ED2778" wp14:editId="300FDC52">
            <wp:extent cx="5731510" cy="2661313"/>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de_Generated_Image.png"/>
                    <pic:cNvPicPr/>
                  </pic:nvPicPr>
                  <pic:blipFill rotWithShape="1">
                    <a:blip r:embed="rId10">
                      <a:extLst>
                        <a:ext uri="{28A0092B-C50C-407E-A947-70E740481C1C}">
                          <a14:useLocalDpi xmlns:a14="http://schemas.microsoft.com/office/drawing/2010/main" val="0"/>
                        </a:ext>
                      </a:extLst>
                    </a:blip>
                    <a:srcRect t="13373" b="8782"/>
                    <a:stretch/>
                  </pic:blipFill>
                  <pic:spPr bwMode="auto">
                    <a:xfrm>
                      <a:off x="0" y="0"/>
                      <a:ext cx="5731510" cy="2661313"/>
                    </a:xfrm>
                    <a:prstGeom prst="rect">
                      <a:avLst/>
                    </a:prstGeom>
                    <a:ln>
                      <a:noFill/>
                    </a:ln>
                    <a:extLst>
                      <a:ext uri="{53640926-AAD7-44D8-BBD7-CCE9431645EC}">
                        <a14:shadowObscured xmlns:a14="http://schemas.microsoft.com/office/drawing/2010/main"/>
                      </a:ext>
                    </a:extLst>
                  </pic:spPr>
                </pic:pic>
              </a:graphicData>
            </a:graphic>
          </wp:inline>
        </w:drawing>
      </w:r>
    </w:p>
    <w:p w:rsidR="00EF4312" w:rsidRPr="00EF4312" w:rsidRDefault="00EF4312" w:rsidP="005C1373">
      <w:pPr>
        <w:jc w:val="center"/>
        <w:rPr>
          <w:b/>
        </w:rPr>
      </w:pPr>
      <w:r>
        <w:rPr>
          <w:b/>
        </w:rPr>
        <w:t>Figure 2</w:t>
      </w:r>
      <w:r w:rsidRPr="00EF4312">
        <w:rPr>
          <w:b/>
        </w:rPr>
        <w:t>. Global Skills Gap by Sector (2024–2025)</w:t>
      </w:r>
    </w:p>
    <w:p w:rsidR="001C6D0E" w:rsidRDefault="001C6D0E" w:rsidP="00AA7B3A">
      <w:pPr>
        <w:pStyle w:val="Heading2"/>
      </w:pPr>
      <w:bookmarkStart w:id="13" w:name="_Toc213793858"/>
      <w:r>
        <w:t>4.2 Strategic HRM Interventions</w:t>
      </w:r>
      <w:bookmarkEnd w:id="13"/>
    </w:p>
    <w:p w:rsidR="00A90E23" w:rsidRDefault="00A90E23" w:rsidP="00A90E23">
      <w:r>
        <w:t xml:space="preserve">Strategic Talent Management Framework created by Collings and </w:t>
      </w:r>
      <w:proofErr w:type="spellStart"/>
      <w:r>
        <w:t>Mellahi</w:t>
      </w:r>
      <w:proofErr w:type="spellEnd"/>
      <w:r>
        <w:t xml:space="preserve"> (2009) is a solid theoretical background to solve these shortages. The model is an advocate of the identification of pivotal positions that have disproportionately high influence on the success of strategy, so that the pipelines of talent are in line with the organisational strategy. In this regard, HR leaders are moving towards reactive recruitment to proactive capability architecture integrating long-term workforce planning, competency mapping, and succession analytics (</w:t>
      </w:r>
      <w:proofErr w:type="spellStart"/>
      <w:r>
        <w:t>Amblee</w:t>
      </w:r>
      <w:proofErr w:type="spellEnd"/>
      <w:r>
        <w:t xml:space="preserve"> et al., 2022). Another theory that compliments this approach is the Learning O</w:t>
      </w:r>
      <w:r w:rsidR="0007189A">
        <w:t>rganisation theory</w:t>
      </w:r>
      <w:r>
        <w:t xml:space="preserve">, and it takes organisational adaptability as a result of collective learning and knowledge sharing. Organisations change human capital into a renewable resource through unceasing upskilling and </w:t>
      </w:r>
      <w:proofErr w:type="spellStart"/>
      <w:r>
        <w:t>incumclement</w:t>
      </w:r>
      <w:proofErr w:type="spellEnd"/>
      <w:r>
        <w:t xml:space="preserve"> within the organisation. In the same way, according to the Resource-Based View (RBV), employee knowledge is an </w:t>
      </w:r>
      <w:proofErr w:type="spellStart"/>
      <w:r>
        <w:t>uncopyable</w:t>
      </w:r>
      <w:proofErr w:type="spellEnd"/>
      <w:r>
        <w:t xml:space="preserve"> and non-substitutable resource when it is developed in such specific training and retention programs within the firm (</w:t>
      </w:r>
      <w:proofErr w:type="spellStart"/>
      <w:r>
        <w:t>Matei</w:t>
      </w:r>
      <w:proofErr w:type="spellEnd"/>
      <w:r>
        <w:t>, 2020).</w:t>
      </w:r>
    </w:p>
    <w:p w:rsidR="00A90E23" w:rsidRDefault="00A90E23" w:rsidP="00A90E23">
      <w:r>
        <w:t>These organisational strategies are reflected in the public policy initiatives. The UK Apprenticeship Levy encourages investment in training by employers, and the EU Skills Agenda 2030 aims at aligning digital and green-skills development in member states (Cartwright et al., 2021). However, performance is still lopsided as most SMEs do not spend the levy funds well and the policy coordination among transnational countries is still far behind technological change.</w:t>
      </w:r>
    </w:p>
    <w:p w:rsidR="005C1373" w:rsidRDefault="005C1373" w:rsidP="005C1373">
      <w:pPr>
        <w:jc w:val="center"/>
        <w:rPr>
          <w:b/>
          <w:noProof/>
          <w:lang w:eastAsia="en-GB"/>
        </w:rPr>
      </w:pPr>
    </w:p>
    <w:p w:rsidR="005C1373" w:rsidRDefault="005C1373" w:rsidP="005C1373">
      <w:pPr>
        <w:jc w:val="center"/>
        <w:rPr>
          <w:b/>
        </w:rPr>
      </w:pPr>
      <w:r>
        <w:rPr>
          <w:b/>
          <w:noProof/>
          <w:lang w:eastAsia="en-GB"/>
        </w:rPr>
        <w:drawing>
          <wp:inline distT="0" distB="0" distL="0" distR="0" wp14:anchorId="6B83F254" wp14:editId="3FF477BA">
            <wp:extent cx="5731318" cy="2129051"/>
            <wp:effectExtent l="0" t="0" r="317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emini_Generated_Image_3lirgn3lirgn3lir.png"/>
                    <pic:cNvPicPr/>
                  </pic:nvPicPr>
                  <pic:blipFill rotWithShape="1">
                    <a:blip r:embed="rId11">
                      <a:extLst>
                        <a:ext uri="{28A0092B-C50C-407E-A947-70E740481C1C}">
                          <a14:useLocalDpi xmlns:a14="http://schemas.microsoft.com/office/drawing/2010/main" val="0"/>
                        </a:ext>
                      </a:extLst>
                    </a:blip>
                    <a:srcRect t="30598" b="32254"/>
                    <a:stretch/>
                  </pic:blipFill>
                  <pic:spPr bwMode="auto">
                    <a:xfrm>
                      <a:off x="0" y="0"/>
                      <a:ext cx="5731510" cy="2129122"/>
                    </a:xfrm>
                    <a:prstGeom prst="rect">
                      <a:avLst/>
                    </a:prstGeom>
                    <a:ln>
                      <a:noFill/>
                    </a:ln>
                    <a:extLst>
                      <a:ext uri="{53640926-AAD7-44D8-BBD7-CCE9431645EC}">
                        <a14:shadowObscured xmlns:a14="http://schemas.microsoft.com/office/drawing/2010/main"/>
                      </a:ext>
                    </a:extLst>
                  </pic:spPr>
                </pic:pic>
              </a:graphicData>
            </a:graphic>
          </wp:inline>
        </w:drawing>
      </w:r>
    </w:p>
    <w:p w:rsidR="005C1373" w:rsidRPr="005C1373" w:rsidRDefault="005C1373" w:rsidP="005C1373">
      <w:pPr>
        <w:jc w:val="center"/>
        <w:rPr>
          <w:b/>
        </w:rPr>
      </w:pPr>
      <w:r>
        <w:rPr>
          <w:b/>
        </w:rPr>
        <w:t>Figure 3</w:t>
      </w:r>
      <w:r w:rsidRPr="005C1373">
        <w:rPr>
          <w:b/>
        </w:rPr>
        <w:t>. Strategic HRM Framework for Closing Skill Gaps</w:t>
      </w:r>
    </w:p>
    <w:p w:rsidR="005C1373" w:rsidRPr="00A90E23" w:rsidRDefault="005C1373" w:rsidP="00A90E23"/>
    <w:p w:rsidR="001C6D0E" w:rsidRDefault="001C6D0E" w:rsidP="00AA7B3A">
      <w:pPr>
        <w:pStyle w:val="Heading2"/>
      </w:pPr>
      <w:bookmarkStart w:id="14" w:name="_Toc213793859"/>
      <w:r>
        <w:t>4.3 Critical Integration and Synthesis</w:t>
      </w:r>
      <w:bookmarkEnd w:id="14"/>
    </w:p>
    <w:p w:rsidR="001C6D0E" w:rsidRDefault="00A90E23" w:rsidP="00A90E23">
      <w:r w:rsidRPr="00A90E23">
        <w:t xml:space="preserve">The ability of strategic HRM to alleviate the shortage of skills eventually relies on its data, inclusivity, and foresight integration. HR analytics is currently facilitating predictive analysis of attrition and new skills needs to enable companies to develop reskilling developmental pathways, prior to widening gaps. Nevertheless, there are still methodological limitations: predictive systems can be based on incomplete data sets or they do not reflect such qualitative human abilities as creativity or cross-cultural adaptability (Macpherson et al., 2023). Besides, participation in lifelong learning is still unequal in terms of digital divides, socio-economic differences, and cultural prejudices all over the globe. This inequity is worsened by policy lag whereby government structures tend to lag behind the business innovation cycles. Critical synthesis proposes a more </w:t>
      </w:r>
      <w:proofErr w:type="spellStart"/>
      <w:r w:rsidRPr="00A90E23">
        <w:t>ecosystemic</w:t>
      </w:r>
      <w:proofErr w:type="spellEnd"/>
      <w:r w:rsidRPr="00A90E23">
        <w:t xml:space="preserve"> strategy to solve the scarcity of talent: tri-sector partnership between education, industry, and government; ethical HR analytics; and learning culture (Navarro et al., 2020).</w:t>
      </w:r>
    </w:p>
    <w:p w:rsidR="0090056D" w:rsidRDefault="0090056D" w:rsidP="001C6D0E">
      <w:pPr>
        <w:rPr>
          <w:rStyle w:val="Emphasis"/>
        </w:rPr>
      </w:pPr>
      <w:r>
        <w:rPr>
          <w:rStyle w:val="Strong"/>
        </w:rPr>
        <w:t>Table 1. Strategic HR Interventions Addressing Sectoral Skill Shortages</w:t>
      </w:r>
      <w:r>
        <w:t xml:space="preserve"> </w:t>
      </w:r>
    </w:p>
    <w:tbl>
      <w:tblPr>
        <w:tblStyle w:val="GridTable4-Accent5"/>
        <w:tblW w:w="0" w:type="auto"/>
        <w:tblLook w:val="04A0" w:firstRow="1" w:lastRow="0" w:firstColumn="1" w:lastColumn="0" w:noHBand="0" w:noVBand="1"/>
      </w:tblPr>
      <w:tblGrid>
        <w:gridCol w:w="2254"/>
        <w:gridCol w:w="2254"/>
        <w:gridCol w:w="2254"/>
        <w:gridCol w:w="2254"/>
      </w:tblGrid>
      <w:tr w:rsidR="0090056D" w:rsidRPr="0090056D" w:rsidTr="009005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90056D" w:rsidRPr="0090056D" w:rsidRDefault="0090056D" w:rsidP="007E2030">
            <w:r w:rsidRPr="0090056D">
              <w:t>Sector</w:t>
            </w:r>
          </w:p>
        </w:tc>
        <w:tc>
          <w:tcPr>
            <w:tcW w:w="2254" w:type="dxa"/>
          </w:tcPr>
          <w:p w:rsidR="0090056D" w:rsidRPr="0090056D" w:rsidRDefault="0090056D" w:rsidP="007E2030">
            <w:pPr>
              <w:cnfStyle w:val="100000000000" w:firstRow="1" w:lastRow="0" w:firstColumn="0" w:lastColumn="0" w:oddVBand="0" w:evenVBand="0" w:oddHBand="0" w:evenHBand="0" w:firstRowFirstColumn="0" w:firstRowLastColumn="0" w:lastRowFirstColumn="0" w:lastRowLastColumn="0"/>
            </w:pPr>
            <w:r w:rsidRPr="0090056D">
              <w:t>Key Skill Deficit</w:t>
            </w:r>
          </w:p>
        </w:tc>
        <w:tc>
          <w:tcPr>
            <w:tcW w:w="2254" w:type="dxa"/>
          </w:tcPr>
          <w:p w:rsidR="0090056D" w:rsidRPr="0090056D" w:rsidRDefault="0090056D" w:rsidP="007E2030">
            <w:pPr>
              <w:cnfStyle w:val="100000000000" w:firstRow="1" w:lastRow="0" w:firstColumn="0" w:lastColumn="0" w:oddVBand="0" w:evenVBand="0" w:oddHBand="0" w:evenHBand="0" w:firstRowFirstColumn="0" w:firstRowLastColumn="0" w:lastRowFirstColumn="0" w:lastRowLastColumn="0"/>
            </w:pPr>
            <w:r w:rsidRPr="0090056D">
              <w:t>Strategic HRM Response</w:t>
            </w:r>
          </w:p>
        </w:tc>
        <w:tc>
          <w:tcPr>
            <w:tcW w:w="2254" w:type="dxa"/>
          </w:tcPr>
          <w:p w:rsidR="0090056D" w:rsidRPr="0090056D" w:rsidRDefault="0090056D" w:rsidP="007E2030">
            <w:pPr>
              <w:cnfStyle w:val="100000000000" w:firstRow="1" w:lastRow="0" w:firstColumn="0" w:lastColumn="0" w:oddVBand="0" w:evenVBand="0" w:oddHBand="0" w:evenHBand="0" w:firstRowFirstColumn="0" w:firstRowLastColumn="0" w:lastRowFirstColumn="0" w:lastRowLastColumn="0"/>
            </w:pPr>
            <w:r w:rsidRPr="0090056D">
              <w:t>Illustrative Policy/Practice</w:t>
            </w:r>
          </w:p>
        </w:tc>
      </w:tr>
      <w:tr w:rsidR="0090056D" w:rsidRPr="0090056D" w:rsidTr="009005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90056D" w:rsidRPr="0090056D" w:rsidRDefault="0090056D" w:rsidP="007E2030">
            <w:r w:rsidRPr="0090056D">
              <w:t>Technology (AI, Data Science)</w:t>
            </w:r>
          </w:p>
        </w:tc>
        <w:tc>
          <w:tcPr>
            <w:tcW w:w="2254" w:type="dxa"/>
          </w:tcPr>
          <w:p w:rsidR="0090056D" w:rsidRPr="0090056D" w:rsidRDefault="0090056D" w:rsidP="007E2030">
            <w:pPr>
              <w:cnfStyle w:val="000000100000" w:firstRow="0" w:lastRow="0" w:firstColumn="0" w:lastColumn="0" w:oddVBand="0" w:evenVBand="0" w:oddHBand="1" w:evenHBand="0" w:firstRowFirstColumn="0" w:firstRowLastColumn="0" w:lastRowFirstColumn="0" w:lastRowLastColumn="0"/>
            </w:pPr>
            <w:r w:rsidRPr="0090056D">
              <w:t>Advanced analytics, coding, cybersecurity</w:t>
            </w:r>
          </w:p>
        </w:tc>
        <w:tc>
          <w:tcPr>
            <w:tcW w:w="2254" w:type="dxa"/>
          </w:tcPr>
          <w:p w:rsidR="0090056D" w:rsidRPr="0090056D" w:rsidRDefault="0090056D" w:rsidP="007E2030">
            <w:pPr>
              <w:cnfStyle w:val="000000100000" w:firstRow="0" w:lastRow="0" w:firstColumn="0" w:lastColumn="0" w:oddVBand="0" w:evenVBand="0" w:oddHBand="1" w:evenHBand="0" w:firstRowFirstColumn="0" w:firstRowLastColumn="0" w:lastRowFirstColumn="0" w:lastRowLastColumn="0"/>
            </w:pPr>
            <w:r w:rsidRPr="0090056D">
              <w:t xml:space="preserve">Talent pipeline mapping; partnerships with </w:t>
            </w:r>
            <w:r w:rsidRPr="0090056D">
              <w:lastRenderedPageBreak/>
              <w:t>universities; internal academies</w:t>
            </w:r>
          </w:p>
        </w:tc>
        <w:tc>
          <w:tcPr>
            <w:tcW w:w="2254" w:type="dxa"/>
          </w:tcPr>
          <w:p w:rsidR="0090056D" w:rsidRPr="0090056D" w:rsidRDefault="0090056D" w:rsidP="007E2030">
            <w:pPr>
              <w:cnfStyle w:val="000000100000" w:firstRow="0" w:lastRow="0" w:firstColumn="0" w:lastColumn="0" w:oddVBand="0" w:evenVBand="0" w:oddHBand="1" w:evenHBand="0" w:firstRowFirstColumn="0" w:firstRowLastColumn="0" w:lastRowFirstColumn="0" w:lastRowLastColumn="0"/>
            </w:pPr>
            <w:r w:rsidRPr="0090056D">
              <w:lastRenderedPageBreak/>
              <w:t>EU Skills Agenda 2030; Google Career Certificates</w:t>
            </w:r>
          </w:p>
        </w:tc>
      </w:tr>
      <w:tr w:rsidR="0090056D" w:rsidRPr="0090056D" w:rsidTr="0090056D">
        <w:tc>
          <w:tcPr>
            <w:cnfStyle w:val="001000000000" w:firstRow="0" w:lastRow="0" w:firstColumn="1" w:lastColumn="0" w:oddVBand="0" w:evenVBand="0" w:oddHBand="0" w:evenHBand="0" w:firstRowFirstColumn="0" w:firstRowLastColumn="0" w:lastRowFirstColumn="0" w:lastRowLastColumn="0"/>
            <w:tcW w:w="2254" w:type="dxa"/>
          </w:tcPr>
          <w:p w:rsidR="0090056D" w:rsidRPr="0090056D" w:rsidRDefault="0090056D" w:rsidP="007E2030">
            <w:r w:rsidRPr="0090056D">
              <w:lastRenderedPageBreak/>
              <w:t>Healthcare</w:t>
            </w:r>
          </w:p>
        </w:tc>
        <w:tc>
          <w:tcPr>
            <w:tcW w:w="2254" w:type="dxa"/>
          </w:tcPr>
          <w:p w:rsidR="0090056D" w:rsidRPr="0090056D" w:rsidRDefault="0090056D" w:rsidP="007E2030">
            <w:pPr>
              <w:cnfStyle w:val="000000000000" w:firstRow="0" w:lastRow="0" w:firstColumn="0" w:lastColumn="0" w:oddVBand="0" w:evenVBand="0" w:oddHBand="0" w:evenHBand="0" w:firstRowFirstColumn="0" w:firstRowLastColumn="0" w:lastRowFirstColumn="0" w:lastRowLastColumn="0"/>
            </w:pPr>
            <w:r w:rsidRPr="0090056D">
              <w:t>Nursing, geriatric care, mental health</w:t>
            </w:r>
          </w:p>
        </w:tc>
        <w:tc>
          <w:tcPr>
            <w:tcW w:w="2254" w:type="dxa"/>
          </w:tcPr>
          <w:p w:rsidR="0090056D" w:rsidRPr="0090056D" w:rsidRDefault="0090056D" w:rsidP="007E2030">
            <w:pPr>
              <w:cnfStyle w:val="000000000000" w:firstRow="0" w:lastRow="0" w:firstColumn="0" w:lastColumn="0" w:oddVBand="0" w:evenVBand="0" w:oddHBand="0" w:evenHBand="0" w:firstRowFirstColumn="0" w:firstRowLastColumn="0" w:lastRowFirstColumn="0" w:lastRowLastColumn="0"/>
            </w:pPr>
            <w:r w:rsidRPr="0090056D">
              <w:t>International recruitment + reskilling existing staff</w:t>
            </w:r>
          </w:p>
        </w:tc>
        <w:tc>
          <w:tcPr>
            <w:tcW w:w="2254" w:type="dxa"/>
          </w:tcPr>
          <w:p w:rsidR="0090056D" w:rsidRPr="0090056D" w:rsidRDefault="0090056D" w:rsidP="007E2030">
            <w:pPr>
              <w:cnfStyle w:val="000000000000" w:firstRow="0" w:lastRow="0" w:firstColumn="0" w:lastColumn="0" w:oddVBand="0" w:evenVBand="0" w:oddHBand="0" w:evenHBand="0" w:firstRowFirstColumn="0" w:firstRowLastColumn="0" w:lastRowFirstColumn="0" w:lastRowLastColumn="0"/>
            </w:pPr>
            <w:r w:rsidRPr="0090056D">
              <w:t>NHS Global Nursing Programme; WHO “Care Economy” initiative</w:t>
            </w:r>
          </w:p>
        </w:tc>
      </w:tr>
      <w:tr w:rsidR="0090056D" w:rsidRPr="0090056D" w:rsidTr="009005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90056D" w:rsidRPr="0090056D" w:rsidRDefault="0090056D" w:rsidP="007E2030">
            <w:r w:rsidRPr="0090056D">
              <w:t>Manufacturing &amp; Green Energy</w:t>
            </w:r>
          </w:p>
        </w:tc>
        <w:tc>
          <w:tcPr>
            <w:tcW w:w="2254" w:type="dxa"/>
          </w:tcPr>
          <w:p w:rsidR="0090056D" w:rsidRPr="0090056D" w:rsidRDefault="0090056D" w:rsidP="007E2030">
            <w:pPr>
              <w:cnfStyle w:val="000000100000" w:firstRow="0" w:lastRow="0" w:firstColumn="0" w:lastColumn="0" w:oddVBand="0" w:evenVBand="0" w:oddHBand="1" w:evenHBand="0" w:firstRowFirstColumn="0" w:firstRowLastColumn="0" w:lastRowFirstColumn="0" w:lastRowLastColumn="0"/>
            </w:pPr>
            <w:r w:rsidRPr="0090056D">
              <w:t>Robotics, renewable engineering</w:t>
            </w:r>
          </w:p>
        </w:tc>
        <w:tc>
          <w:tcPr>
            <w:tcW w:w="2254" w:type="dxa"/>
          </w:tcPr>
          <w:p w:rsidR="0090056D" w:rsidRPr="0090056D" w:rsidRDefault="0090056D" w:rsidP="007E2030">
            <w:pPr>
              <w:cnfStyle w:val="000000100000" w:firstRow="0" w:lastRow="0" w:firstColumn="0" w:lastColumn="0" w:oddVBand="0" w:evenVBand="0" w:oddHBand="1" w:evenHBand="0" w:firstRowFirstColumn="0" w:firstRowLastColumn="0" w:lastRowFirstColumn="0" w:lastRowLastColumn="0"/>
            </w:pPr>
            <w:r w:rsidRPr="0090056D">
              <w:t>Apprenticeship and micro-credential programmes</w:t>
            </w:r>
          </w:p>
        </w:tc>
        <w:tc>
          <w:tcPr>
            <w:tcW w:w="2254" w:type="dxa"/>
          </w:tcPr>
          <w:p w:rsidR="0090056D" w:rsidRPr="0090056D" w:rsidRDefault="0090056D" w:rsidP="007E2030">
            <w:pPr>
              <w:cnfStyle w:val="000000100000" w:firstRow="0" w:lastRow="0" w:firstColumn="0" w:lastColumn="0" w:oddVBand="0" w:evenVBand="0" w:oddHBand="1" w:evenHBand="0" w:firstRowFirstColumn="0" w:firstRowLastColumn="0" w:lastRowFirstColumn="0" w:lastRowLastColumn="0"/>
            </w:pPr>
            <w:r w:rsidRPr="0090056D">
              <w:t>UK Apprenticeship Levy; Siemens dual-training system</w:t>
            </w:r>
          </w:p>
        </w:tc>
      </w:tr>
      <w:tr w:rsidR="0090056D" w:rsidTr="0090056D">
        <w:tc>
          <w:tcPr>
            <w:cnfStyle w:val="001000000000" w:firstRow="0" w:lastRow="0" w:firstColumn="1" w:lastColumn="0" w:oddVBand="0" w:evenVBand="0" w:oddHBand="0" w:evenHBand="0" w:firstRowFirstColumn="0" w:firstRowLastColumn="0" w:lastRowFirstColumn="0" w:lastRowLastColumn="0"/>
            <w:tcW w:w="2254" w:type="dxa"/>
          </w:tcPr>
          <w:p w:rsidR="0090056D" w:rsidRPr="0090056D" w:rsidRDefault="0090056D" w:rsidP="007E2030">
            <w:r w:rsidRPr="0090056D">
              <w:t>Service &amp; Hospitality</w:t>
            </w:r>
          </w:p>
        </w:tc>
        <w:tc>
          <w:tcPr>
            <w:tcW w:w="2254" w:type="dxa"/>
          </w:tcPr>
          <w:p w:rsidR="0090056D" w:rsidRPr="0090056D" w:rsidRDefault="0090056D" w:rsidP="007E2030">
            <w:pPr>
              <w:cnfStyle w:val="000000000000" w:firstRow="0" w:lastRow="0" w:firstColumn="0" w:lastColumn="0" w:oddVBand="0" w:evenVBand="0" w:oddHBand="0" w:evenHBand="0" w:firstRowFirstColumn="0" w:firstRowLastColumn="0" w:lastRowFirstColumn="0" w:lastRowLastColumn="0"/>
            </w:pPr>
            <w:r w:rsidRPr="0090056D">
              <w:t>Soft skills, customer analytics</w:t>
            </w:r>
          </w:p>
        </w:tc>
        <w:tc>
          <w:tcPr>
            <w:tcW w:w="2254" w:type="dxa"/>
          </w:tcPr>
          <w:p w:rsidR="0090056D" w:rsidRPr="0090056D" w:rsidRDefault="0090056D" w:rsidP="007E2030">
            <w:pPr>
              <w:cnfStyle w:val="000000000000" w:firstRow="0" w:lastRow="0" w:firstColumn="0" w:lastColumn="0" w:oddVBand="0" w:evenVBand="0" w:oddHBand="0" w:evenHBand="0" w:firstRowFirstColumn="0" w:firstRowLastColumn="0" w:lastRowFirstColumn="0" w:lastRowLastColumn="0"/>
            </w:pPr>
            <w:r w:rsidRPr="0090056D">
              <w:t>Continuous learning culture; internal mobility</w:t>
            </w:r>
          </w:p>
        </w:tc>
        <w:tc>
          <w:tcPr>
            <w:tcW w:w="2254" w:type="dxa"/>
          </w:tcPr>
          <w:p w:rsidR="0090056D" w:rsidRDefault="0090056D" w:rsidP="007E2030">
            <w:pPr>
              <w:cnfStyle w:val="000000000000" w:firstRow="0" w:lastRow="0" w:firstColumn="0" w:lastColumn="0" w:oddVBand="0" w:evenVBand="0" w:oddHBand="0" w:evenHBand="0" w:firstRowFirstColumn="0" w:firstRowLastColumn="0" w:lastRowFirstColumn="0" w:lastRowLastColumn="0"/>
            </w:pPr>
            <w:r w:rsidRPr="0090056D">
              <w:t>Marriott “Passport to Success” development scheme</w:t>
            </w:r>
          </w:p>
        </w:tc>
      </w:tr>
    </w:tbl>
    <w:p w:rsidR="0090056D" w:rsidRDefault="0090056D" w:rsidP="0090056D"/>
    <w:p w:rsidR="0090056D" w:rsidRDefault="0090056D" w:rsidP="00AA7B3A">
      <w:pPr>
        <w:pStyle w:val="Heading1"/>
      </w:pPr>
      <w:bookmarkStart w:id="15" w:name="_Toc213793860"/>
      <w:r>
        <w:t>5. Reflective Evaluation of Internat</w:t>
      </w:r>
      <w:r w:rsidR="00646124">
        <w:t>ional Employability</w:t>
      </w:r>
      <w:bookmarkEnd w:id="15"/>
      <w:r w:rsidR="00646124">
        <w:t xml:space="preserve"> </w:t>
      </w:r>
    </w:p>
    <w:p w:rsidR="0090056D" w:rsidRDefault="0090056D" w:rsidP="00AA7B3A">
      <w:pPr>
        <w:pStyle w:val="Heading2"/>
      </w:pPr>
      <w:bookmarkStart w:id="16" w:name="_Toc213793861"/>
      <w:r>
        <w:t>5.1 Framework and Methodology</w:t>
      </w:r>
      <w:bookmarkEnd w:id="16"/>
    </w:p>
    <w:p w:rsidR="004D66E2" w:rsidRDefault="004D66E2" w:rsidP="004D66E2">
      <w:r w:rsidRPr="004D66E2">
        <w:t>Postgraduate employability in the globalised environment goes beyond the technical competence to incorporate adaptability, critical self-awareness and intercultural intelligence. In order to achieve the analytical rigour and developmental transparency, the reflection us</w:t>
      </w:r>
      <w:r w:rsidR="0007189A">
        <w:t>es Gibbs Reflective</w:t>
      </w:r>
      <w:r w:rsidRPr="004D66E2">
        <w:t xml:space="preserve"> that systematise the introspection by description, evaluation, analysis, conclus</w:t>
      </w:r>
      <w:r w:rsidR="0007189A">
        <w:t>ion, and action planning and</w:t>
      </w:r>
      <w:r w:rsidRPr="004D66E2">
        <w:t xml:space="preserve"> Experience Learning Model which conceptualises the learning as a continuous cycle of experience, reflection, conceptualisation and experimentation</w:t>
      </w:r>
      <w:r w:rsidR="0007189A">
        <w:t xml:space="preserve"> </w:t>
      </w:r>
      <w:r w:rsidR="0007189A" w:rsidRPr="0007189A">
        <w:t>(Pearl &amp; Oliver, 2020)</w:t>
      </w:r>
      <w:r w:rsidRPr="004D66E2">
        <w:t>. These models make it possible to have a meta-cognitive reflection of how personal experience in the MBA team-based tests, online teamwork and leadership simulations have influenced professional identity</w:t>
      </w:r>
      <w:r w:rsidR="00EB5093">
        <w:t xml:space="preserve"> </w:t>
      </w:r>
      <w:r w:rsidR="00EB5093" w:rsidRPr="00EB5093">
        <w:t>(Livingston et al., 2022)</w:t>
      </w:r>
      <w:r w:rsidRPr="004D66E2">
        <w:t>. The models used are certain to deliver process and outcome depth (reflective reasoning and behavioural transformation, respectively). They are based on collaborative group work, case-study facilitation, and technology-mediated teamwork, which are triangulated with peer feedback and self-assessment activities, which guarantee methodological validity and authenticity (</w:t>
      </w:r>
      <w:proofErr w:type="spellStart"/>
      <w:r w:rsidRPr="004D66E2">
        <w:t>Assefa</w:t>
      </w:r>
      <w:proofErr w:type="spellEnd"/>
      <w:r w:rsidRPr="004D66E2">
        <w:t xml:space="preserve"> et al., 2024).</w:t>
      </w:r>
    </w:p>
    <w:p w:rsidR="005C1373" w:rsidRDefault="005C1373" w:rsidP="005C1373">
      <w:pPr>
        <w:jc w:val="center"/>
      </w:pPr>
      <w:r>
        <w:rPr>
          <w:noProof/>
          <w:lang w:eastAsia="en-GB"/>
        </w:rPr>
        <w:lastRenderedPageBreak/>
        <w:drawing>
          <wp:inline distT="0" distB="0" distL="0" distR="0" wp14:anchorId="20A1F41D" wp14:editId="001EB257">
            <wp:extent cx="4720760" cy="3056890"/>
            <wp:effectExtent l="0" t="0" r="3810" b="0"/>
            <wp:docPr id="4" name="Picture 4"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24667" cy="3059420"/>
                    </a:xfrm>
                    <a:prstGeom prst="rect">
                      <a:avLst/>
                    </a:prstGeom>
                    <a:noFill/>
                    <a:ln>
                      <a:noFill/>
                    </a:ln>
                  </pic:spPr>
                </pic:pic>
              </a:graphicData>
            </a:graphic>
          </wp:inline>
        </w:drawing>
      </w:r>
    </w:p>
    <w:p w:rsidR="005C1373" w:rsidRPr="005C1373" w:rsidRDefault="005C1373" w:rsidP="005C1373">
      <w:pPr>
        <w:jc w:val="center"/>
        <w:rPr>
          <w:b/>
        </w:rPr>
      </w:pPr>
      <w:r w:rsidRPr="005C1373">
        <w:rPr>
          <w:b/>
        </w:rPr>
        <w:t>F</w:t>
      </w:r>
      <w:r>
        <w:rPr>
          <w:b/>
        </w:rPr>
        <w:t>igure 4</w:t>
      </w:r>
      <w:r w:rsidRPr="005C1373">
        <w:rPr>
          <w:b/>
        </w:rPr>
        <w:t xml:space="preserve">. Gibbs’ Reflective Cycle </w:t>
      </w:r>
    </w:p>
    <w:p w:rsidR="0090056D" w:rsidRDefault="0090056D" w:rsidP="00AA7B3A">
      <w:pPr>
        <w:pStyle w:val="Heading2"/>
      </w:pPr>
      <w:bookmarkStart w:id="17" w:name="_Toc213793862"/>
      <w:r>
        <w:t>5.2 Technological Capability</w:t>
      </w:r>
      <w:bookmarkEnd w:id="17"/>
    </w:p>
    <w:p w:rsidR="004D66E2" w:rsidRDefault="004D66E2" w:rsidP="004D66E2">
      <w:r>
        <w:t>Strengths: Being involved in various digitally mediated projects has increased my technological fluency, especially in the usage of Human Resource Information Systems (HRIS), excel-based workforce analytics, and collaborative tools, including Microsoft Teams and Trello</w:t>
      </w:r>
      <w:r w:rsidR="0007189A">
        <w:t xml:space="preserve"> (Romani &amp; Lima, 2022)</w:t>
      </w:r>
      <w:r>
        <w:t>. The tools have enhanced my synthesis skills in working with complex HR data, visualisation of trends in performance, and managing cross-</w:t>
      </w:r>
      <w:r w:rsidR="0007189A">
        <w:t xml:space="preserve">functional workflow efficiently. </w:t>
      </w:r>
      <w:r>
        <w:t>Using the active experimentation stage introduced by Kolb, I got to know how to apply theoretical concepts of HR analytics into practical dashboards to support my competence in analytics and decision support</w:t>
      </w:r>
      <w:r w:rsidR="0007189A">
        <w:t xml:space="preserve"> (</w:t>
      </w:r>
      <w:proofErr w:type="spellStart"/>
      <w:r w:rsidR="0007189A">
        <w:t>Ayson</w:t>
      </w:r>
      <w:proofErr w:type="spellEnd"/>
      <w:r w:rsidR="0007189A">
        <w:t xml:space="preserve"> et al., 2024).</w:t>
      </w:r>
    </w:p>
    <w:p w:rsidR="004D66E2" w:rsidRPr="004D66E2" w:rsidRDefault="004D66E2" w:rsidP="004D66E2">
      <w:r>
        <w:t xml:space="preserve">Development Requires: There is, however, a significant gap in the AI-powered decision-making and ethical data governance. </w:t>
      </w:r>
      <w:r w:rsidRPr="004D66E2">
        <w:t xml:space="preserve">Despite the fact that the introduction to HR analytics increased the level of quantitative confidence, it also revealed such ethical vulnerabilities as the possibility of an algorithm bias, and the problem of privacy (Liu et al., 2023). </w:t>
      </w:r>
      <w:r>
        <w:t>In order to progress, I need to become more literate on AI ethics and data-driven HR strategy so that I could make evidence-based but human-centred decisions. According to the scheme created by Gibbs, such awareness is the evaluation and analysis phases that would lead to focused skill enhancement by providing postgraduate micro-credentials in HR technology (</w:t>
      </w:r>
      <w:proofErr w:type="spellStart"/>
      <w:r>
        <w:t>Jaldemark</w:t>
      </w:r>
      <w:proofErr w:type="spellEnd"/>
      <w:r>
        <w:t xml:space="preserve"> et al., 2021).</w:t>
      </w:r>
    </w:p>
    <w:p w:rsidR="0090056D" w:rsidRDefault="0090056D" w:rsidP="00AA7B3A">
      <w:pPr>
        <w:pStyle w:val="Heading2"/>
      </w:pPr>
      <w:bookmarkStart w:id="18" w:name="_Toc213793863"/>
      <w:r>
        <w:lastRenderedPageBreak/>
        <w:t>5.3 Communication and Teamwork</w:t>
      </w:r>
      <w:bookmarkEnd w:id="18"/>
    </w:p>
    <w:p w:rsidR="00B41B65" w:rsidRPr="00B41B65" w:rsidRDefault="00B41B65" w:rsidP="00B41B65">
      <w:r w:rsidRPr="00B41B65">
        <w:t>The cross-cultural communication became one of the central professional competencies. Interacting with multicultural colleagues in the MBA program helped me gain knowledge on the high versus low-co</w:t>
      </w:r>
      <w:r w:rsidR="0007189A">
        <w:t>ntext communication</w:t>
      </w:r>
      <w:r w:rsidRPr="00B41B65">
        <w:t>, and power-distance sensitivities. As the practical experience and reflection backgrounds of the Kolb model taught me, cultural empathy and active listening are no less important than linguistic skills in establishing collaborative trust (Jing, 2023). I also showed flexibility in holding back the divergent opinion in international team projects so that we would have equal involvement. Nonetheless, the feedback showed that there was a tendency to over accommodate and in some cases, assertiveness went loose in group negotiations</w:t>
      </w:r>
      <w:r w:rsidR="00E33634">
        <w:t xml:space="preserve"> </w:t>
      </w:r>
      <w:r w:rsidR="00E33634" w:rsidRPr="00E33634">
        <w:t>(</w:t>
      </w:r>
      <w:proofErr w:type="spellStart"/>
      <w:r w:rsidR="00E33634" w:rsidRPr="00E33634">
        <w:t>Muposhi</w:t>
      </w:r>
      <w:proofErr w:type="spellEnd"/>
      <w:r w:rsidR="00E33634" w:rsidRPr="00E33634">
        <w:t xml:space="preserve"> &amp; </w:t>
      </w:r>
      <w:proofErr w:type="spellStart"/>
      <w:r w:rsidR="00E33634" w:rsidRPr="00E33634">
        <w:t>Shamhuyenhanzva</w:t>
      </w:r>
      <w:proofErr w:type="spellEnd"/>
      <w:r w:rsidR="00E33634" w:rsidRPr="00E33634">
        <w:t>, 2024)</w:t>
      </w:r>
      <w:r w:rsidRPr="00B41B65">
        <w:t>. Such understanding is consistent with the evaluation phase of Gibbs that recognizes the accomplishment and the weakness. To achieve a balance between the empathy and influence, I will resort to assertive communication training and cross-cultural conflict-resolution, workshops to improve my presence in global teams as a leader (Li et al., 2023).</w:t>
      </w:r>
    </w:p>
    <w:p w:rsidR="0090056D" w:rsidRDefault="0090056D" w:rsidP="00AA7B3A">
      <w:pPr>
        <w:pStyle w:val="Heading2"/>
      </w:pPr>
      <w:bookmarkStart w:id="19" w:name="_Toc213793864"/>
      <w:r>
        <w:t>5.4 Leadership and Adaptability</w:t>
      </w:r>
      <w:bookmarkEnd w:id="19"/>
    </w:p>
    <w:p w:rsidR="00B41B65" w:rsidRPr="00B41B65" w:rsidRDefault="00B41B65" w:rsidP="00B41B65">
      <w:r w:rsidRPr="00B41B65">
        <w:t>Using the Emotional Intelligence (EI) model by Goleman (1998) I can identify the most powerful competencies which include self-awareness and empathy. These attributes enabled the collaborative work to be inclusive, motivationally engaging, and psychologically safe among project teams. The theory of transfor</w:t>
      </w:r>
      <w:r w:rsidR="00452D5F">
        <w:t>mational leadership</w:t>
      </w:r>
      <w:r w:rsidRPr="00B41B65">
        <w:t xml:space="preserve"> also helped understand the role of communicating a common cause and acknowledging personal input in motivating team work</w:t>
      </w:r>
      <w:r w:rsidR="00452D5F">
        <w:t xml:space="preserve"> (</w:t>
      </w:r>
      <w:proofErr w:type="spellStart"/>
      <w:r w:rsidR="00452D5F">
        <w:t>Shaheen</w:t>
      </w:r>
      <w:proofErr w:type="spellEnd"/>
      <w:r w:rsidR="00452D5F">
        <w:t xml:space="preserve"> et al., 2022)</w:t>
      </w:r>
      <w:r w:rsidRPr="00B41B65">
        <w:t>. However, through reflective analysis, it is possible to note areas of improvement with respect to delegation and adaptive leadership. I also occasionally did not empower autonomy in the high-pressure simulations and instead resorted to task-oriented management (</w:t>
      </w:r>
      <w:proofErr w:type="spellStart"/>
      <w:r w:rsidRPr="00B41B65">
        <w:t>Azubuike</w:t>
      </w:r>
      <w:proofErr w:type="spellEnd"/>
      <w:r w:rsidRPr="00B41B65">
        <w:t xml:space="preserve"> et al., 2021). The analysis and conclusion stages by Gibbs helped me realize that I had to evolve to adaptive leadership to balance between directive clarity and participative empowerment. The active experimentation by Kolb implies that this understanding can be used through practical leadership volunteering or student consultancy to develop influence in an uncertain condition (</w:t>
      </w:r>
      <w:proofErr w:type="spellStart"/>
      <w:r w:rsidRPr="00B41B65">
        <w:t>Mozelius</w:t>
      </w:r>
      <w:proofErr w:type="spellEnd"/>
      <w:r w:rsidRPr="00B41B65">
        <w:t xml:space="preserve"> et al., 2024).</w:t>
      </w:r>
    </w:p>
    <w:p w:rsidR="0090056D" w:rsidRDefault="0090056D" w:rsidP="00AA7B3A">
      <w:pPr>
        <w:pStyle w:val="Heading2"/>
      </w:pPr>
      <w:bookmarkStart w:id="20" w:name="_Toc213793865"/>
      <w:r>
        <w:t>5.5 Continuous Learning and Action Plan</w:t>
      </w:r>
      <w:bookmarkEnd w:id="20"/>
    </w:p>
    <w:p w:rsidR="006D0218" w:rsidRDefault="00B41B65" w:rsidP="00B41B65">
      <w:r w:rsidRPr="00B41B65">
        <w:t>Lifelong learning orientation and career adaptability are necessary in sustaining global HRM (Fang et al., 2024). I have a strategic purpose to connect in the continuous professional growth with changing market needs with the help of SMART goals (Specific, Measurable, Achievable, Relevant, Time-bound).</w:t>
      </w:r>
    </w:p>
    <w:p w:rsidR="006D0218" w:rsidRDefault="006D0218" w:rsidP="0090056D"/>
    <w:p w:rsidR="006D0218" w:rsidRDefault="006D0218" w:rsidP="0090056D">
      <w:r>
        <w:rPr>
          <w:rStyle w:val="Strong"/>
        </w:rPr>
        <w:t>Table 2. SMART Learning and Career Development Plan</w:t>
      </w:r>
    </w:p>
    <w:tbl>
      <w:tblPr>
        <w:tblStyle w:val="GridTable4-Accent5"/>
        <w:tblW w:w="0" w:type="auto"/>
        <w:tblLook w:val="04A0" w:firstRow="1" w:lastRow="0" w:firstColumn="1" w:lastColumn="0" w:noHBand="0" w:noVBand="1"/>
      </w:tblPr>
      <w:tblGrid>
        <w:gridCol w:w="2254"/>
        <w:gridCol w:w="2254"/>
        <w:gridCol w:w="2254"/>
        <w:gridCol w:w="2254"/>
      </w:tblGrid>
      <w:tr w:rsidR="006D0218" w:rsidRPr="006D0218" w:rsidTr="006D02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6D0218" w:rsidRPr="006D0218" w:rsidRDefault="006D0218" w:rsidP="00D478A3">
            <w:pPr>
              <w:rPr>
                <w:b w:val="0"/>
              </w:rPr>
            </w:pPr>
            <w:r w:rsidRPr="006D0218">
              <w:rPr>
                <w:b w:val="0"/>
              </w:rPr>
              <w:t>Objective</w:t>
            </w:r>
          </w:p>
        </w:tc>
        <w:tc>
          <w:tcPr>
            <w:tcW w:w="2254" w:type="dxa"/>
          </w:tcPr>
          <w:p w:rsidR="006D0218" w:rsidRPr="006D0218" w:rsidRDefault="006D0218" w:rsidP="00D478A3">
            <w:pPr>
              <w:cnfStyle w:val="100000000000" w:firstRow="1" w:lastRow="0" w:firstColumn="0" w:lastColumn="0" w:oddVBand="0" w:evenVBand="0" w:oddHBand="0" w:evenHBand="0" w:firstRowFirstColumn="0" w:firstRowLastColumn="0" w:lastRowFirstColumn="0" w:lastRowLastColumn="0"/>
              <w:rPr>
                <w:b w:val="0"/>
              </w:rPr>
            </w:pPr>
            <w:r w:rsidRPr="006D0218">
              <w:rPr>
                <w:b w:val="0"/>
              </w:rPr>
              <w:t>Action Plan</w:t>
            </w:r>
          </w:p>
        </w:tc>
        <w:tc>
          <w:tcPr>
            <w:tcW w:w="2254" w:type="dxa"/>
          </w:tcPr>
          <w:p w:rsidR="006D0218" w:rsidRPr="006D0218" w:rsidRDefault="006D0218" w:rsidP="00D478A3">
            <w:pPr>
              <w:cnfStyle w:val="100000000000" w:firstRow="1" w:lastRow="0" w:firstColumn="0" w:lastColumn="0" w:oddVBand="0" w:evenVBand="0" w:oddHBand="0" w:evenHBand="0" w:firstRowFirstColumn="0" w:firstRowLastColumn="0" w:lastRowFirstColumn="0" w:lastRowLastColumn="0"/>
              <w:rPr>
                <w:b w:val="0"/>
              </w:rPr>
            </w:pPr>
            <w:r w:rsidRPr="006D0218">
              <w:rPr>
                <w:b w:val="0"/>
              </w:rPr>
              <w:t>Timeline</w:t>
            </w:r>
          </w:p>
        </w:tc>
        <w:tc>
          <w:tcPr>
            <w:tcW w:w="2254" w:type="dxa"/>
          </w:tcPr>
          <w:p w:rsidR="006D0218" w:rsidRPr="006D0218" w:rsidRDefault="006D0218" w:rsidP="00D478A3">
            <w:pPr>
              <w:cnfStyle w:val="100000000000" w:firstRow="1" w:lastRow="0" w:firstColumn="0" w:lastColumn="0" w:oddVBand="0" w:evenVBand="0" w:oddHBand="0" w:evenHBand="0" w:firstRowFirstColumn="0" w:firstRowLastColumn="0" w:lastRowFirstColumn="0" w:lastRowLastColumn="0"/>
              <w:rPr>
                <w:b w:val="0"/>
              </w:rPr>
            </w:pPr>
            <w:r w:rsidRPr="006D0218">
              <w:rPr>
                <w:b w:val="0"/>
              </w:rPr>
              <w:t>Expected Outcome</w:t>
            </w:r>
          </w:p>
        </w:tc>
      </w:tr>
      <w:tr w:rsidR="006D0218" w:rsidRPr="006D0218" w:rsidTr="006D02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6D0218" w:rsidRPr="006D0218" w:rsidRDefault="006D0218" w:rsidP="00D478A3">
            <w:r w:rsidRPr="006D0218">
              <w:t>AI &amp; Data Ethics Literacy</w:t>
            </w:r>
          </w:p>
        </w:tc>
        <w:tc>
          <w:tcPr>
            <w:tcW w:w="2254" w:type="dxa"/>
          </w:tcPr>
          <w:p w:rsidR="006D0218" w:rsidRPr="006D0218" w:rsidRDefault="006D0218" w:rsidP="00D478A3">
            <w:pPr>
              <w:cnfStyle w:val="000000100000" w:firstRow="0" w:lastRow="0" w:firstColumn="0" w:lastColumn="0" w:oddVBand="0" w:evenVBand="0" w:oddHBand="1" w:evenHBand="0" w:firstRowFirstColumn="0" w:firstRowLastColumn="0" w:lastRowFirstColumn="0" w:lastRowLastColumn="0"/>
            </w:pPr>
            <w:r w:rsidRPr="006D0218">
              <w:t>Complete CIPD-recognised course on AI governance in HR.</w:t>
            </w:r>
          </w:p>
        </w:tc>
        <w:tc>
          <w:tcPr>
            <w:tcW w:w="2254" w:type="dxa"/>
          </w:tcPr>
          <w:p w:rsidR="006D0218" w:rsidRPr="006D0218" w:rsidRDefault="006D0218" w:rsidP="00D478A3">
            <w:pPr>
              <w:cnfStyle w:val="000000100000" w:firstRow="0" w:lastRow="0" w:firstColumn="0" w:lastColumn="0" w:oddVBand="0" w:evenVBand="0" w:oddHBand="1" w:evenHBand="0" w:firstRowFirstColumn="0" w:firstRowLastColumn="0" w:lastRowFirstColumn="0" w:lastRowLastColumn="0"/>
            </w:pPr>
            <w:r w:rsidRPr="006D0218">
              <w:t>Within 6 months</w:t>
            </w:r>
          </w:p>
        </w:tc>
        <w:tc>
          <w:tcPr>
            <w:tcW w:w="2254" w:type="dxa"/>
          </w:tcPr>
          <w:p w:rsidR="006D0218" w:rsidRPr="006D0218" w:rsidRDefault="006D0218" w:rsidP="00D478A3">
            <w:pPr>
              <w:cnfStyle w:val="000000100000" w:firstRow="0" w:lastRow="0" w:firstColumn="0" w:lastColumn="0" w:oddVBand="0" w:evenVBand="0" w:oddHBand="1" w:evenHBand="0" w:firstRowFirstColumn="0" w:firstRowLastColumn="0" w:lastRowFirstColumn="0" w:lastRowLastColumn="0"/>
            </w:pPr>
            <w:r w:rsidRPr="006D0218">
              <w:t>Develop competency in responsible HR analytics.</w:t>
            </w:r>
          </w:p>
        </w:tc>
      </w:tr>
      <w:tr w:rsidR="006D0218" w:rsidRPr="006D0218" w:rsidTr="006D0218">
        <w:tc>
          <w:tcPr>
            <w:cnfStyle w:val="001000000000" w:firstRow="0" w:lastRow="0" w:firstColumn="1" w:lastColumn="0" w:oddVBand="0" w:evenVBand="0" w:oddHBand="0" w:evenHBand="0" w:firstRowFirstColumn="0" w:firstRowLastColumn="0" w:lastRowFirstColumn="0" w:lastRowLastColumn="0"/>
            <w:tcW w:w="2254" w:type="dxa"/>
          </w:tcPr>
          <w:p w:rsidR="006D0218" w:rsidRPr="006D0218" w:rsidRDefault="006D0218" w:rsidP="00D478A3">
            <w:r w:rsidRPr="006D0218">
              <w:t>Cross-cultural Assertiveness</w:t>
            </w:r>
          </w:p>
        </w:tc>
        <w:tc>
          <w:tcPr>
            <w:tcW w:w="2254" w:type="dxa"/>
          </w:tcPr>
          <w:p w:rsidR="006D0218" w:rsidRPr="006D0218" w:rsidRDefault="006D0218" w:rsidP="00D478A3">
            <w:pPr>
              <w:cnfStyle w:val="000000000000" w:firstRow="0" w:lastRow="0" w:firstColumn="0" w:lastColumn="0" w:oddVBand="0" w:evenVBand="0" w:oddHBand="0" w:evenHBand="0" w:firstRowFirstColumn="0" w:firstRowLastColumn="0" w:lastRowFirstColumn="0" w:lastRowLastColumn="0"/>
            </w:pPr>
            <w:r w:rsidRPr="006D0218">
              <w:t>Attend international communication and negotiation workshops.</w:t>
            </w:r>
          </w:p>
        </w:tc>
        <w:tc>
          <w:tcPr>
            <w:tcW w:w="2254" w:type="dxa"/>
          </w:tcPr>
          <w:p w:rsidR="006D0218" w:rsidRPr="006D0218" w:rsidRDefault="006D0218" w:rsidP="00D478A3">
            <w:pPr>
              <w:cnfStyle w:val="000000000000" w:firstRow="0" w:lastRow="0" w:firstColumn="0" w:lastColumn="0" w:oddVBand="0" w:evenVBand="0" w:oddHBand="0" w:evenHBand="0" w:firstRowFirstColumn="0" w:firstRowLastColumn="0" w:lastRowFirstColumn="0" w:lastRowLastColumn="0"/>
            </w:pPr>
            <w:r w:rsidRPr="006D0218">
              <w:t>Within 9 months</w:t>
            </w:r>
          </w:p>
        </w:tc>
        <w:tc>
          <w:tcPr>
            <w:tcW w:w="2254" w:type="dxa"/>
          </w:tcPr>
          <w:p w:rsidR="006D0218" w:rsidRPr="006D0218" w:rsidRDefault="006D0218" w:rsidP="00D478A3">
            <w:pPr>
              <w:cnfStyle w:val="000000000000" w:firstRow="0" w:lastRow="0" w:firstColumn="0" w:lastColumn="0" w:oddVBand="0" w:evenVBand="0" w:oddHBand="0" w:evenHBand="0" w:firstRowFirstColumn="0" w:firstRowLastColumn="0" w:lastRowFirstColumn="0" w:lastRowLastColumn="0"/>
            </w:pPr>
            <w:r w:rsidRPr="006D0218">
              <w:t>Strengthen global communication leadership.</w:t>
            </w:r>
          </w:p>
        </w:tc>
      </w:tr>
      <w:tr w:rsidR="006D0218" w:rsidRPr="006D0218" w:rsidTr="006D02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6D0218" w:rsidRPr="006D0218" w:rsidRDefault="006D0218" w:rsidP="00D478A3">
            <w:r w:rsidRPr="006D0218">
              <w:t>Professional Accreditation</w:t>
            </w:r>
          </w:p>
        </w:tc>
        <w:tc>
          <w:tcPr>
            <w:tcW w:w="2254" w:type="dxa"/>
          </w:tcPr>
          <w:p w:rsidR="006D0218" w:rsidRPr="006D0218" w:rsidRDefault="006D0218" w:rsidP="00D478A3">
            <w:pPr>
              <w:cnfStyle w:val="000000100000" w:firstRow="0" w:lastRow="0" w:firstColumn="0" w:lastColumn="0" w:oddVBand="0" w:evenVBand="0" w:oddHBand="1" w:evenHBand="0" w:firstRowFirstColumn="0" w:firstRowLastColumn="0" w:lastRowFirstColumn="0" w:lastRowLastColumn="0"/>
            </w:pPr>
            <w:r w:rsidRPr="006D0218">
              <w:t>Pursue Chartered CIPD or SHRM-SCP qualification.</w:t>
            </w:r>
          </w:p>
        </w:tc>
        <w:tc>
          <w:tcPr>
            <w:tcW w:w="2254" w:type="dxa"/>
          </w:tcPr>
          <w:p w:rsidR="006D0218" w:rsidRPr="006D0218" w:rsidRDefault="006D0218" w:rsidP="00D478A3">
            <w:pPr>
              <w:cnfStyle w:val="000000100000" w:firstRow="0" w:lastRow="0" w:firstColumn="0" w:lastColumn="0" w:oddVBand="0" w:evenVBand="0" w:oddHBand="1" w:evenHBand="0" w:firstRowFirstColumn="0" w:firstRowLastColumn="0" w:lastRowFirstColumn="0" w:lastRowLastColumn="0"/>
            </w:pPr>
            <w:r w:rsidRPr="006D0218">
              <w:t>Within 12 months</w:t>
            </w:r>
          </w:p>
        </w:tc>
        <w:tc>
          <w:tcPr>
            <w:tcW w:w="2254" w:type="dxa"/>
          </w:tcPr>
          <w:p w:rsidR="006D0218" w:rsidRPr="006D0218" w:rsidRDefault="006D0218" w:rsidP="00D478A3">
            <w:pPr>
              <w:cnfStyle w:val="000000100000" w:firstRow="0" w:lastRow="0" w:firstColumn="0" w:lastColumn="0" w:oddVBand="0" w:evenVBand="0" w:oddHBand="1" w:evenHBand="0" w:firstRowFirstColumn="0" w:firstRowLastColumn="0" w:lastRowFirstColumn="0" w:lastRowLastColumn="0"/>
            </w:pPr>
            <w:r w:rsidRPr="006D0218">
              <w:t>Formalise strategic HR leadership credentials.</w:t>
            </w:r>
          </w:p>
        </w:tc>
      </w:tr>
      <w:tr w:rsidR="006D0218" w:rsidTr="006D0218">
        <w:tc>
          <w:tcPr>
            <w:cnfStyle w:val="001000000000" w:firstRow="0" w:lastRow="0" w:firstColumn="1" w:lastColumn="0" w:oddVBand="0" w:evenVBand="0" w:oddHBand="0" w:evenHBand="0" w:firstRowFirstColumn="0" w:firstRowLastColumn="0" w:lastRowFirstColumn="0" w:lastRowLastColumn="0"/>
            <w:tcW w:w="2254" w:type="dxa"/>
          </w:tcPr>
          <w:p w:rsidR="006D0218" w:rsidRPr="006D0218" w:rsidRDefault="006D0218" w:rsidP="00D478A3">
            <w:r w:rsidRPr="006D0218">
              <w:t>Lifelong Learning Integration</w:t>
            </w:r>
          </w:p>
        </w:tc>
        <w:tc>
          <w:tcPr>
            <w:tcW w:w="2254" w:type="dxa"/>
          </w:tcPr>
          <w:p w:rsidR="006D0218" w:rsidRPr="006D0218" w:rsidRDefault="006D0218" w:rsidP="00D478A3">
            <w:pPr>
              <w:cnfStyle w:val="000000000000" w:firstRow="0" w:lastRow="0" w:firstColumn="0" w:lastColumn="0" w:oddVBand="0" w:evenVBand="0" w:oddHBand="0" w:evenHBand="0" w:firstRowFirstColumn="0" w:firstRowLastColumn="0" w:lastRowFirstColumn="0" w:lastRowLastColumn="0"/>
            </w:pPr>
            <w:r w:rsidRPr="006D0218">
              <w:t>Engage in quarterly reflective journals using Gibbs’ model.</w:t>
            </w:r>
          </w:p>
        </w:tc>
        <w:tc>
          <w:tcPr>
            <w:tcW w:w="2254" w:type="dxa"/>
          </w:tcPr>
          <w:p w:rsidR="006D0218" w:rsidRPr="006D0218" w:rsidRDefault="006D0218" w:rsidP="00D478A3">
            <w:pPr>
              <w:cnfStyle w:val="000000000000" w:firstRow="0" w:lastRow="0" w:firstColumn="0" w:lastColumn="0" w:oddVBand="0" w:evenVBand="0" w:oddHBand="0" w:evenHBand="0" w:firstRowFirstColumn="0" w:firstRowLastColumn="0" w:lastRowFirstColumn="0" w:lastRowLastColumn="0"/>
            </w:pPr>
            <w:r w:rsidRPr="006D0218">
              <w:t>Ongoing</w:t>
            </w:r>
          </w:p>
        </w:tc>
        <w:tc>
          <w:tcPr>
            <w:tcW w:w="2254" w:type="dxa"/>
          </w:tcPr>
          <w:p w:rsidR="006D0218" w:rsidRDefault="006D0218" w:rsidP="00D478A3">
            <w:pPr>
              <w:cnfStyle w:val="000000000000" w:firstRow="0" w:lastRow="0" w:firstColumn="0" w:lastColumn="0" w:oddVBand="0" w:evenVBand="0" w:oddHBand="0" w:evenHBand="0" w:firstRowFirstColumn="0" w:firstRowLastColumn="0" w:lastRowFirstColumn="0" w:lastRowLastColumn="0"/>
            </w:pPr>
            <w:r w:rsidRPr="006D0218">
              <w:t>Institutionalise reflective practice and self-improvement.</w:t>
            </w:r>
          </w:p>
        </w:tc>
      </w:tr>
    </w:tbl>
    <w:p w:rsidR="006D0218" w:rsidRDefault="006D0218" w:rsidP="006D0218"/>
    <w:p w:rsidR="006D0218" w:rsidRPr="00646124" w:rsidRDefault="006D0218" w:rsidP="006D0218">
      <w:pPr>
        <w:rPr>
          <w:i/>
        </w:rPr>
      </w:pPr>
      <w:r w:rsidRPr="00646124">
        <w:rPr>
          <w:i/>
        </w:rPr>
        <w:t xml:space="preserve">This developmental trajectory reflects both </w:t>
      </w:r>
      <w:r w:rsidRPr="00646124">
        <w:rPr>
          <w:rStyle w:val="Emphasis"/>
          <w:i w:val="0"/>
        </w:rPr>
        <w:t>self-directed agency</w:t>
      </w:r>
      <w:r w:rsidRPr="00646124">
        <w:rPr>
          <w:i/>
        </w:rPr>
        <w:t xml:space="preserve"> and </w:t>
      </w:r>
      <w:r w:rsidRPr="00646124">
        <w:rPr>
          <w:rStyle w:val="Emphasis"/>
          <w:i w:val="0"/>
        </w:rPr>
        <w:t>strategic foresight</w:t>
      </w:r>
      <w:r w:rsidRPr="00646124">
        <w:rPr>
          <w:i/>
        </w:rPr>
        <w:t>—hallmarks of postgraduate professionalism. It positions me as a globally competent HR practitioner capable of navigating technological, cultural, and ethical complexities within international contexts.</w:t>
      </w:r>
    </w:p>
    <w:p w:rsidR="000069EF" w:rsidRDefault="00AA7B3A" w:rsidP="00AA7B3A">
      <w:pPr>
        <w:pStyle w:val="Heading1"/>
      </w:pPr>
      <w:bookmarkStart w:id="21" w:name="_Toc213793866"/>
      <w:r>
        <w:t>6. Conclusion</w:t>
      </w:r>
      <w:bookmarkEnd w:id="21"/>
      <w:r>
        <w:t xml:space="preserve"> </w:t>
      </w:r>
    </w:p>
    <w:p w:rsidR="00B41B65" w:rsidRDefault="00B41B65" w:rsidP="00B41B65">
      <w:r>
        <w:t xml:space="preserve">The changing nature of global labour market, due to the acceleration of technology, demographic shifts and uncertainties in the geopolitical arena, requires Human Capital Management (HCM) to go beyond efficiency in operations to become more strategic, adaptive and ethically based as a discipline. The analysis in the previous section has revealed that the following factors contribute to the need to implement an HRM paradigm rooted in data literacy, inclusivity, and lifelong learning: the AI-driven change, the ageing population, and talent shortages. The main argument of the strategic frameworks of Ulrich, HR Model, Collings and </w:t>
      </w:r>
      <w:proofErr w:type="spellStart"/>
      <w:r>
        <w:lastRenderedPageBreak/>
        <w:t>Mellahi</w:t>
      </w:r>
      <w:proofErr w:type="spellEnd"/>
      <w:r>
        <w:t>, Talent Architecture, and Hofstede, cultural dimensions underpin the adaptability of human nature in unpredictable global situations.</w:t>
      </w:r>
    </w:p>
    <w:p w:rsidR="00336A48" w:rsidRDefault="00646124" w:rsidP="00336A48">
      <w:pPr>
        <w:pStyle w:val="Heading1"/>
      </w:pPr>
      <w:bookmarkStart w:id="22" w:name="_Toc213793867"/>
      <w:r>
        <w:t>7.References</w:t>
      </w:r>
      <w:bookmarkEnd w:id="22"/>
    </w:p>
    <w:p w:rsidR="00336A48" w:rsidRDefault="00336A48" w:rsidP="00721B2C">
      <w:proofErr w:type="spellStart"/>
      <w:r w:rsidRPr="00721B2C">
        <w:rPr>
          <w:lang w:val="en-US"/>
        </w:rPr>
        <w:t>Alkaf</w:t>
      </w:r>
      <w:proofErr w:type="spellEnd"/>
      <w:r w:rsidRPr="00721B2C">
        <w:rPr>
          <w:lang w:val="en-US"/>
        </w:rPr>
        <w:t xml:space="preserve">, A., </w:t>
      </w:r>
      <w:proofErr w:type="spellStart"/>
      <w:r w:rsidRPr="00721B2C">
        <w:rPr>
          <w:lang w:val="en-US"/>
        </w:rPr>
        <w:t>Yusliza</w:t>
      </w:r>
      <w:proofErr w:type="spellEnd"/>
      <w:r w:rsidRPr="00721B2C">
        <w:rPr>
          <w:lang w:val="en-US"/>
        </w:rPr>
        <w:t xml:space="preserve">, M., </w:t>
      </w:r>
      <w:proofErr w:type="spellStart"/>
      <w:r w:rsidRPr="00721B2C">
        <w:rPr>
          <w:lang w:val="en-US"/>
        </w:rPr>
        <w:t>Ehido</w:t>
      </w:r>
      <w:proofErr w:type="spellEnd"/>
      <w:r w:rsidRPr="00721B2C">
        <w:rPr>
          <w:lang w:val="en-US"/>
        </w:rPr>
        <w:t xml:space="preserve">, A., </w:t>
      </w:r>
      <w:proofErr w:type="spellStart"/>
      <w:r w:rsidRPr="00721B2C">
        <w:rPr>
          <w:lang w:val="en-US"/>
        </w:rPr>
        <w:t>Saputra</w:t>
      </w:r>
      <w:proofErr w:type="spellEnd"/>
      <w:r w:rsidRPr="00721B2C">
        <w:rPr>
          <w:lang w:val="en-US"/>
        </w:rPr>
        <w:t xml:space="preserve">, J. and Muhammad, Z. (2023) ‘Top management support, green intellectual capital and green HRM: a proposed framework for sustainability’, </w:t>
      </w:r>
      <w:r w:rsidRPr="00721B2C">
        <w:rPr>
          <w:i/>
          <w:iCs/>
          <w:lang w:val="en-US"/>
        </w:rPr>
        <w:t>Journal of Environmental Management and Tourism</w:t>
      </w:r>
      <w:r w:rsidRPr="00721B2C">
        <w:rPr>
          <w:lang w:val="en-US"/>
        </w:rPr>
        <w:t xml:space="preserve">, 14(5), pp. 2308–2318. Available at: </w:t>
      </w:r>
      <w:hyperlink r:id="rId13" w:tgtFrame="_new" w:history="1">
        <w:r w:rsidRPr="00721B2C">
          <w:rPr>
            <w:rStyle w:val="Hyperlink"/>
            <w:lang w:val="en-US"/>
          </w:rPr>
          <w:t>https://doi.org/10.14505/jemt.v14.5(69).12</w:t>
        </w:r>
      </w:hyperlink>
    </w:p>
    <w:p w:rsidR="00336A48" w:rsidRPr="007507F6" w:rsidRDefault="00336A48" w:rsidP="007507F6">
      <w:pPr>
        <w:rPr>
          <w:lang w:val="en-US"/>
        </w:rPr>
      </w:pPr>
      <w:proofErr w:type="spellStart"/>
      <w:r w:rsidRPr="007507F6">
        <w:rPr>
          <w:lang w:val="en-US"/>
        </w:rPr>
        <w:t>Amblee</w:t>
      </w:r>
      <w:proofErr w:type="spellEnd"/>
      <w:r w:rsidRPr="007507F6">
        <w:rPr>
          <w:lang w:val="en-US"/>
        </w:rPr>
        <w:t xml:space="preserve">, N., </w:t>
      </w:r>
      <w:proofErr w:type="spellStart"/>
      <w:r w:rsidRPr="007507F6">
        <w:rPr>
          <w:lang w:val="en-US"/>
        </w:rPr>
        <w:t>Ertl</w:t>
      </w:r>
      <w:proofErr w:type="spellEnd"/>
      <w:r w:rsidRPr="007507F6">
        <w:rPr>
          <w:lang w:val="en-US"/>
        </w:rPr>
        <w:t xml:space="preserve">, H. and </w:t>
      </w:r>
      <w:proofErr w:type="spellStart"/>
      <w:r w:rsidRPr="007507F6">
        <w:rPr>
          <w:lang w:val="en-US"/>
        </w:rPr>
        <w:t>Dhayanithy</w:t>
      </w:r>
      <w:proofErr w:type="spellEnd"/>
      <w:r w:rsidRPr="007507F6">
        <w:rPr>
          <w:lang w:val="en-US"/>
        </w:rPr>
        <w:t xml:space="preserve">, D. (2022) ‘A more relevant MBA: the role of across-the-curriculum delivery of </w:t>
      </w:r>
      <w:proofErr w:type="spellStart"/>
      <w:r w:rsidRPr="007507F6">
        <w:rPr>
          <w:lang w:val="en-US"/>
        </w:rPr>
        <w:t>intercompetency</w:t>
      </w:r>
      <w:proofErr w:type="spellEnd"/>
      <w:r w:rsidRPr="007507F6">
        <w:rPr>
          <w:lang w:val="en-US"/>
        </w:rPr>
        <w:t xml:space="preserve"> coursework in aligning the required curriculum with required managerial competencies’, </w:t>
      </w:r>
      <w:r w:rsidRPr="007507F6">
        <w:rPr>
          <w:i/>
          <w:iCs/>
          <w:lang w:val="en-US"/>
        </w:rPr>
        <w:t>Organizational Behavior Teaching Review</w:t>
      </w:r>
      <w:r w:rsidRPr="007507F6">
        <w:rPr>
          <w:lang w:val="en-US"/>
        </w:rPr>
        <w:t xml:space="preserve">, 47(2), pp. 204–238. Available at: </w:t>
      </w:r>
      <w:hyperlink r:id="rId14" w:tgtFrame="_new" w:history="1">
        <w:r w:rsidRPr="007507F6">
          <w:rPr>
            <w:rStyle w:val="Hyperlink"/>
            <w:lang w:val="en-US"/>
          </w:rPr>
          <w:t>https://doi.org/10.1177/10525629221121700</w:t>
        </w:r>
      </w:hyperlink>
    </w:p>
    <w:p w:rsidR="00336A48" w:rsidRPr="007507F6" w:rsidRDefault="00336A48" w:rsidP="007507F6">
      <w:pPr>
        <w:rPr>
          <w:lang w:val="en-US"/>
        </w:rPr>
      </w:pPr>
      <w:r w:rsidRPr="007507F6">
        <w:rPr>
          <w:lang w:val="en-US"/>
        </w:rPr>
        <w:t xml:space="preserve">Armstrong, J. (2020) ‘Assessing intercultural competence in international leadership courses: developing the global leader’, </w:t>
      </w:r>
      <w:r w:rsidRPr="007507F6">
        <w:rPr>
          <w:i/>
          <w:iCs/>
          <w:lang w:val="en-US"/>
        </w:rPr>
        <w:t>Journal of Leadership Education</w:t>
      </w:r>
      <w:r w:rsidRPr="007507F6">
        <w:rPr>
          <w:lang w:val="en-US"/>
        </w:rPr>
        <w:t xml:space="preserve">, 19(4), pp. 1–19. Available at: </w:t>
      </w:r>
      <w:hyperlink r:id="rId15" w:tgtFrame="_new" w:history="1">
        <w:r w:rsidRPr="007507F6">
          <w:rPr>
            <w:rStyle w:val="Hyperlink"/>
            <w:lang w:val="en-US"/>
          </w:rPr>
          <w:t>https://doi.org/10.12806/v19/i4/r1</w:t>
        </w:r>
      </w:hyperlink>
    </w:p>
    <w:p w:rsidR="00336A48" w:rsidRPr="009D5113" w:rsidRDefault="00336A48" w:rsidP="009D5113">
      <w:pPr>
        <w:rPr>
          <w:lang w:val="en-US"/>
        </w:rPr>
      </w:pPr>
      <w:proofErr w:type="spellStart"/>
      <w:r w:rsidRPr="009D5113">
        <w:rPr>
          <w:lang w:val="en-US"/>
        </w:rPr>
        <w:t>Assadekjaman</w:t>
      </w:r>
      <w:proofErr w:type="spellEnd"/>
      <w:r w:rsidRPr="009D5113">
        <w:rPr>
          <w:lang w:val="en-US"/>
        </w:rPr>
        <w:t xml:space="preserve">, M. and </w:t>
      </w:r>
      <w:proofErr w:type="spellStart"/>
      <w:r w:rsidRPr="009D5113">
        <w:rPr>
          <w:lang w:val="en-US"/>
        </w:rPr>
        <w:t>Afroz</w:t>
      </w:r>
      <w:proofErr w:type="spellEnd"/>
      <w:r w:rsidRPr="009D5113">
        <w:rPr>
          <w:lang w:val="en-US"/>
        </w:rPr>
        <w:t xml:space="preserve">, N. (2025) ‘The importance of skills development for youth in the current context of Bangladesh’, </w:t>
      </w:r>
      <w:proofErr w:type="spellStart"/>
      <w:r w:rsidRPr="009D5113">
        <w:rPr>
          <w:i/>
          <w:iCs/>
          <w:lang w:val="en-US"/>
        </w:rPr>
        <w:t>Gile</w:t>
      </w:r>
      <w:proofErr w:type="spellEnd"/>
      <w:r w:rsidRPr="009D5113">
        <w:rPr>
          <w:i/>
          <w:iCs/>
          <w:lang w:val="en-US"/>
        </w:rPr>
        <w:t xml:space="preserve"> Journal of Skills Development</w:t>
      </w:r>
      <w:r w:rsidRPr="009D5113">
        <w:rPr>
          <w:lang w:val="en-US"/>
        </w:rPr>
        <w:t xml:space="preserve">, 5(2), pp. 2–19. Available at: </w:t>
      </w:r>
      <w:hyperlink r:id="rId16" w:tgtFrame="_new" w:history="1">
        <w:r w:rsidRPr="009D5113">
          <w:rPr>
            <w:rStyle w:val="Hyperlink"/>
            <w:lang w:val="en-US"/>
          </w:rPr>
          <w:t>https://doi.org/10.52398/gjsd.2025.v5.i2.pp2-19</w:t>
        </w:r>
      </w:hyperlink>
    </w:p>
    <w:p w:rsidR="00336A48" w:rsidRPr="00057C76" w:rsidRDefault="00336A48" w:rsidP="00057C76">
      <w:pPr>
        <w:rPr>
          <w:lang w:val="en-US"/>
        </w:rPr>
      </w:pPr>
      <w:proofErr w:type="spellStart"/>
      <w:r w:rsidRPr="00057C76">
        <w:rPr>
          <w:lang w:val="en-US"/>
        </w:rPr>
        <w:t>Ayson</w:t>
      </w:r>
      <w:proofErr w:type="spellEnd"/>
      <w:r w:rsidRPr="00057C76">
        <w:rPr>
          <w:lang w:val="en-US"/>
        </w:rPr>
        <w:t xml:space="preserve">, K., </w:t>
      </w:r>
      <w:proofErr w:type="spellStart"/>
      <w:r w:rsidRPr="00057C76">
        <w:rPr>
          <w:lang w:val="en-US"/>
        </w:rPr>
        <w:t>Bernardez</w:t>
      </w:r>
      <w:proofErr w:type="spellEnd"/>
      <w:r w:rsidRPr="00057C76">
        <w:rPr>
          <w:lang w:val="en-US"/>
        </w:rPr>
        <w:t xml:space="preserve">, J., Garcia, A., </w:t>
      </w:r>
      <w:proofErr w:type="spellStart"/>
      <w:r w:rsidRPr="00057C76">
        <w:rPr>
          <w:lang w:val="en-US"/>
        </w:rPr>
        <w:t>Garlejo</w:t>
      </w:r>
      <w:proofErr w:type="spellEnd"/>
      <w:r w:rsidRPr="00057C76">
        <w:rPr>
          <w:lang w:val="en-US"/>
        </w:rPr>
        <w:t xml:space="preserve">, V. and </w:t>
      </w:r>
      <w:proofErr w:type="spellStart"/>
      <w:r w:rsidRPr="00057C76">
        <w:rPr>
          <w:lang w:val="en-US"/>
        </w:rPr>
        <w:t>Laurentino</w:t>
      </w:r>
      <w:proofErr w:type="spellEnd"/>
      <w:r w:rsidRPr="00057C76">
        <w:rPr>
          <w:lang w:val="en-US"/>
        </w:rPr>
        <w:t xml:space="preserve">, J. (2024) ‘Digital divide as a dynamic challenge and a leveraging opportunity: a phenomenological study on seasoned TLE/TVL teachers’ adaptive pedagogy’, </w:t>
      </w:r>
      <w:r w:rsidRPr="00057C76">
        <w:rPr>
          <w:i/>
          <w:iCs/>
          <w:lang w:val="en-US"/>
        </w:rPr>
        <w:t>International Journal of Multidisciplinary Research and Analysis</w:t>
      </w:r>
      <w:r w:rsidRPr="00057C76">
        <w:rPr>
          <w:lang w:val="en-US"/>
        </w:rPr>
        <w:t xml:space="preserve">, 7(7). Available at: </w:t>
      </w:r>
      <w:hyperlink r:id="rId17" w:tgtFrame="_new" w:history="1">
        <w:r w:rsidRPr="00057C76">
          <w:rPr>
            <w:rStyle w:val="Hyperlink"/>
            <w:lang w:val="en-US"/>
          </w:rPr>
          <w:t>https://doi.org/10.47191/ijmra/v7-i07-11</w:t>
        </w:r>
      </w:hyperlink>
    </w:p>
    <w:p w:rsidR="00336A48" w:rsidRPr="00057C76" w:rsidRDefault="00336A48" w:rsidP="00057C76">
      <w:pPr>
        <w:rPr>
          <w:lang w:val="en-US"/>
        </w:rPr>
      </w:pPr>
      <w:proofErr w:type="spellStart"/>
      <w:r w:rsidRPr="00057C76">
        <w:rPr>
          <w:lang w:val="en-US"/>
        </w:rPr>
        <w:t>Azubuike</w:t>
      </w:r>
      <w:proofErr w:type="spellEnd"/>
      <w:r w:rsidRPr="00057C76">
        <w:rPr>
          <w:lang w:val="en-US"/>
        </w:rPr>
        <w:t xml:space="preserve">, O., </w:t>
      </w:r>
      <w:proofErr w:type="spellStart"/>
      <w:r w:rsidRPr="00057C76">
        <w:rPr>
          <w:lang w:val="en-US"/>
        </w:rPr>
        <w:t>Adegboye</w:t>
      </w:r>
      <w:proofErr w:type="spellEnd"/>
      <w:r w:rsidRPr="00057C76">
        <w:rPr>
          <w:lang w:val="en-US"/>
        </w:rPr>
        <w:t xml:space="preserve">, O. and </w:t>
      </w:r>
      <w:proofErr w:type="spellStart"/>
      <w:r w:rsidRPr="00057C76">
        <w:rPr>
          <w:lang w:val="en-US"/>
        </w:rPr>
        <w:t>Quadri</w:t>
      </w:r>
      <w:proofErr w:type="spellEnd"/>
      <w:r w:rsidRPr="00057C76">
        <w:rPr>
          <w:lang w:val="en-US"/>
        </w:rPr>
        <w:t xml:space="preserve">, H. (2021) ‘Who gets to learn in a pandemic? Exploring the digital divide in remote learning during the COVID-19 pandemic in Nigeria’, </w:t>
      </w:r>
      <w:r w:rsidRPr="00057C76">
        <w:rPr>
          <w:i/>
          <w:iCs/>
          <w:lang w:val="en-US"/>
        </w:rPr>
        <w:t>International Journal of Educational Research Open</w:t>
      </w:r>
      <w:r w:rsidRPr="00057C76">
        <w:rPr>
          <w:lang w:val="en-US"/>
        </w:rPr>
        <w:t xml:space="preserve">, 2, 100022. Available at: </w:t>
      </w:r>
      <w:hyperlink r:id="rId18" w:tgtFrame="_new" w:history="1">
        <w:r w:rsidRPr="00057C76">
          <w:rPr>
            <w:rStyle w:val="Hyperlink"/>
            <w:lang w:val="en-US"/>
          </w:rPr>
          <w:t>https://doi.org/10.1016/j.ijedro.2020.100022</w:t>
        </w:r>
      </w:hyperlink>
    </w:p>
    <w:p w:rsidR="00336A48" w:rsidRPr="00721B2C" w:rsidRDefault="00336A48" w:rsidP="00721B2C">
      <w:pPr>
        <w:rPr>
          <w:lang w:val="en-US"/>
        </w:rPr>
      </w:pPr>
      <w:r w:rsidRPr="00721B2C">
        <w:rPr>
          <w:lang w:val="en-US"/>
        </w:rPr>
        <w:t xml:space="preserve">Borg, J., Scott‐Young, C. and Bartram, T. (2025) ‘A review of graduate work readiness literature: a conceptual exploration of the implications for HRM research and practice’, </w:t>
      </w:r>
      <w:r w:rsidRPr="00721B2C">
        <w:rPr>
          <w:i/>
          <w:iCs/>
          <w:lang w:val="en-US"/>
        </w:rPr>
        <w:t>Asia Pacific Journal of Human Resources</w:t>
      </w:r>
      <w:r w:rsidRPr="00721B2C">
        <w:rPr>
          <w:lang w:val="en-US"/>
        </w:rPr>
        <w:t xml:space="preserve">, 63(2). Available at: </w:t>
      </w:r>
      <w:hyperlink r:id="rId19" w:tgtFrame="_new" w:history="1">
        <w:r w:rsidRPr="00721B2C">
          <w:rPr>
            <w:rStyle w:val="Hyperlink"/>
            <w:lang w:val="en-US"/>
          </w:rPr>
          <w:t>https://doi.org/10.1111/1744-7941.70012</w:t>
        </w:r>
      </w:hyperlink>
    </w:p>
    <w:p w:rsidR="00336A48" w:rsidRPr="007507F6" w:rsidRDefault="00336A48" w:rsidP="007507F6">
      <w:pPr>
        <w:rPr>
          <w:lang w:val="en-US"/>
        </w:rPr>
      </w:pPr>
      <w:r w:rsidRPr="007507F6">
        <w:rPr>
          <w:lang w:val="en-US"/>
        </w:rPr>
        <w:lastRenderedPageBreak/>
        <w:t xml:space="preserve">Cartwright, C., Stevens, M. and Schneider, K. (2021) ‘Constructing the learning outcomes with intercultural assessment: a 3-year study of a graduate study abroad and glocal experience programs’, </w:t>
      </w:r>
      <w:r w:rsidRPr="007507F6">
        <w:rPr>
          <w:i/>
          <w:iCs/>
          <w:lang w:val="en-US"/>
        </w:rPr>
        <w:t>Frontiers: The Interdisciplinary Journal of Study Abroad</w:t>
      </w:r>
      <w:r w:rsidRPr="007507F6">
        <w:rPr>
          <w:lang w:val="en-US"/>
        </w:rPr>
        <w:t xml:space="preserve">, 33(1), pp. 82–105. Available at: </w:t>
      </w:r>
      <w:hyperlink r:id="rId20" w:tgtFrame="_new" w:history="1">
        <w:r w:rsidRPr="007507F6">
          <w:rPr>
            <w:rStyle w:val="Hyperlink"/>
            <w:lang w:val="en-US"/>
          </w:rPr>
          <w:t>https://doi.org/10.36366/frontiers.v33i1.521</w:t>
        </w:r>
      </w:hyperlink>
    </w:p>
    <w:p w:rsidR="00336A48" w:rsidRPr="00721B2C" w:rsidRDefault="00336A48" w:rsidP="00721B2C">
      <w:pPr>
        <w:rPr>
          <w:lang w:val="en-US"/>
        </w:rPr>
      </w:pPr>
      <w:proofErr w:type="spellStart"/>
      <w:r w:rsidRPr="00721B2C">
        <w:rPr>
          <w:lang w:val="en-US"/>
        </w:rPr>
        <w:t>Cassar</w:t>
      </w:r>
      <w:proofErr w:type="spellEnd"/>
      <w:r w:rsidRPr="00721B2C">
        <w:rPr>
          <w:lang w:val="en-US"/>
        </w:rPr>
        <w:t xml:space="preserve">, V., </w:t>
      </w:r>
      <w:proofErr w:type="spellStart"/>
      <w:r w:rsidRPr="00721B2C">
        <w:rPr>
          <w:lang w:val="en-US"/>
        </w:rPr>
        <w:t>Tracz</w:t>
      </w:r>
      <w:proofErr w:type="spellEnd"/>
      <w:r w:rsidRPr="00721B2C">
        <w:rPr>
          <w:lang w:val="en-US"/>
        </w:rPr>
        <w:t xml:space="preserve">‐Krupa, K., </w:t>
      </w:r>
      <w:proofErr w:type="spellStart"/>
      <w:r w:rsidRPr="00721B2C">
        <w:rPr>
          <w:lang w:val="en-US"/>
        </w:rPr>
        <w:t>Przytuła</w:t>
      </w:r>
      <w:proofErr w:type="spellEnd"/>
      <w:r w:rsidRPr="00721B2C">
        <w:rPr>
          <w:lang w:val="en-US"/>
        </w:rPr>
        <w:t xml:space="preserve">, S., Rank, S., </w:t>
      </w:r>
      <w:proofErr w:type="spellStart"/>
      <w:r w:rsidRPr="00721B2C">
        <w:rPr>
          <w:lang w:val="en-US"/>
        </w:rPr>
        <w:t>Fabri</w:t>
      </w:r>
      <w:proofErr w:type="spellEnd"/>
      <w:r w:rsidRPr="00721B2C">
        <w:rPr>
          <w:lang w:val="en-US"/>
        </w:rPr>
        <w:t xml:space="preserve">, S. and </w:t>
      </w:r>
      <w:proofErr w:type="spellStart"/>
      <w:r w:rsidRPr="00721B2C">
        <w:rPr>
          <w:lang w:val="en-US"/>
        </w:rPr>
        <w:t>Bezzina</w:t>
      </w:r>
      <w:proofErr w:type="spellEnd"/>
      <w:r w:rsidRPr="00721B2C">
        <w:rPr>
          <w:lang w:val="en-US"/>
        </w:rPr>
        <w:t xml:space="preserve">, F. (2023) ‘Placing data analytics into the HRM leaders’ toolkit: practitioners’ views of data analytics’, </w:t>
      </w:r>
      <w:r w:rsidRPr="00721B2C">
        <w:rPr>
          <w:i/>
          <w:iCs/>
          <w:lang w:val="en-US"/>
        </w:rPr>
        <w:t>Psychology of Leaders and Leadership</w:t>
      </w:r>
      <w:r w:rsidRPr="00721B2C">
        <w:rPr>
          <w:lang w:val="en-US"/>
        </w:rPr>
        <w:t xml:space="preserve">, 26(3–4), pp. 149–172. Available at: </w:t>
      </w:r>
      <w:hyperlink r:id="rId21" w:tgtFrame="_new" w:history="1">
        <w:r w:rsidRPr="00721B2C">
          <w:rPr>
            <w:rStyle w:val="Hyperlink"/>
            <w:lang w:val="en-US"/>
          </w:rPr>
          <w:t>https://doi.org/10.1037/mgr0000145</w:t>
        </w:r>
      </w:hyperlink>
    </w:p>
    <w:p w:rsidR="00336A48" w:rsidRPr="00721B2C" w:rsidRDefault="00336A48" w:rsidP="00721B2C">
      <w:pPr>
        <w:rPr>
          <w:lang w:val="en-US"/>
        </w:rPr>
      </w:pPr>
      <w:proofErr w:type="spellStart"/>
      <w:r w:rsidRPr="00721B2C">
        <w:rPr>
          <w:lang w:val="en-US"/>
        </w:rPr>
        <w:t>Darwish</w:t>
      </w:r>
      <w:proofErr w:type="spellEnd"/>
      <w:r w:rsidRPr="00721B2C">
        <w:rPr>
          <w:lang w:val="en-US"/>
        </w:rPr>
        <w:t xml:space="preserve">, T., </w:t>
      </w:r>
      <w:proofErr w:type="spellStart"/>
      <w:r w:rsidRPr="00721B2C">
        <w:rPr>
          <w:lang w:val="en-US"/>
        </w:rPr>
        <w:t>Khassawneh</w:t>
      </w:r>
      <w:proofErr w:type="spellEnd"/>
      <w:r w:rsidRPr="00721B2C">
        <w:rPr>
          <w:lang w:val="en-US"/>
        </w:rPr>
        <w:t xml:space="preserve">, O., </w:t>
      </w:r>
      <w:proofErr w:type="spellStart"/>
      <w:r w:rsidRPr="00721B2C">
        <w:rPr>
          <w:lang w:val="en-US"/>
        </w:rPr>
        <w:t>Melhem</w:t>
      </w:r>
      <w:proofErr w:type="spellEnd"/>
      <w:r w:rsidRPr="00721B2C">
        <w:rPr>
          <w:lang w:val="en-US"/>
        </w:rPr>
        <w:t xml:space="preserve">, M. and Singh, S. (2024) ‘HR directors in India: navigating institutional incoherence for HRM stability and change’, </w:t>
      </w:r>
      <w:r w:rsidRPr="00721B2C">
        <w:rPr>
          <w:i/>
          <w:iCs/>
          <w:lang w:val="en-US"/>
        </w:rPr>
        <w:t>Employee Relations</w:t>
      </w:r>
      <w:r w:rsidRPr="00721B2C">
        <w:rPr>
          <w:lang w:val="en-US"/>
        </w:rPr>
        <w:t xml:space="preserve">, 46(4), pp. 776–794. Available at: </w:t>
      </w:r>
      <w:hyperlink r:id="rId22" w:tgtFrame="_new" w:history="1">
        <w:r w:rsidRPr="00721B2C">
          <w:rPr>
            <w:rStyle w:val="Hyperlink"/>
            <w:lang w:val="en-US"/>
          </w:rPr>
          <w:t>https://doi.org/10.1108/er-07-2023-0338</w:t>
        </w:r>
      </w:hyperlink>
    </w:p>
    <w:p w:rsidR="00336A48" w:rsidRPr="00057C76" w:rsidRDefault="00336A48" w:rsidP="00057C76">
      <w:pPr>
        <w:rPr>
          <w:lang w:val="en-US"/>
        </w:rPr>
      </w:pPr>
      <w:r w:rsidRPr="00057C76">
        <w:rPr>
          <w:lang w:val="en-US"/>
        </w:rPr>
        <w:t xml:space="preserve">Fang, Z., </w:t>
      </w:r>
      <w:proofErr w:type="spellStart"/>
      <w:r w:rsidRPr="00057C76">
        <w:rPr>
          <w:lang w:val="en-US"/>
        </w:rPr>
        <w:t>Zhuge</w:t>
      </w:r>
      <w:proofErr w:type="spellEnd"/>
      <w:r w:rsidRPr="00057C76">
        <w:rPr>
          <w:lang w:val="en-US"/>
        </w:rPr>
        <w:t xml:space="preserve">, J. and Fan, Y. (2024) ‘Exploring the path of high-quality cultivation of innovative and entrepreneurial talents: based on the perspective of industry-education integration’, </w:t>
      </w:r>
      <w:r w:rsidRPr="00057C76">
        <w:rPr>
          <w:i/>
          <w:iCs/>
          <w:lang w:val="en-US"/>
        </w:rPr>
        <w:t>International Journal of Research Publication and Reviews</w:t>
      </w:r>
      <w:r w:rsidRPr="00057C76">
        <w:rPr>
          <w:lang w:val="en-US"/>
        </w:rPr>
        <w:t xml:space="preserve">, 5(4), pp. 2932–2938. Available at: </w:t>
      </w:r>
      <w:hyperlink r:id="rId23" w:tgtFrame="_new" w:history="1">
        <w:r w:rsidRPr="00057C76">
          <w:rPr>
            <w:rStyle w:val="Hyperlink"/>
            <w:lang w:val="en-US"/>
          </w:rPr>
          <w:t>https://doi.org/10.55248/gengpi.5.0424.1002</w:t>
        </w:r>
      </w:hyperlink>
    </w:p>
    <w:p w:rsidR="00336A48" w:rsidRPr="00057C76" w:rsidRDefault="00336A48" w:rsidP="00057C76">
      <w:pPr>
        <w:rPr>
          <w:lang w:val="en-US"/>
        </w:rPr>
      </w:pPr>
      <w:proofErr w:type="spellStart"/>
      <w:r w:rsidRPr="00057C76">
        <w:rPr>
          <w:lang w:val="en-US"/>
        </w:rPr>
        <w:t>Jaldemark</w:t>
      </w:r>
      <w:proofErr w:type="spellEnd"/>
      <w:r w:rsidRPr="00057C76">
        <w:rPr>
          <w:lang w:val="en-US"/>
        </w:rPr>
        <w:t xml:space="preserve">, J., </w:t>
      </w:r>
      <w:proofErr w:type="spellStart"/>
      <w:r w:rsidRPr="00057C76">
        <w:rPr>
          <w:lang w:val="en-US"/>
        </w:rPr>
        <w:t>Lindqvist</w:t>
      </w:r>
      <w:proofErr w:type="spellEnd"/>
      <w:r w:rsidRPr="00057C76">
        <w:rPr>
          <w:lang w:val="en-US"/>
        </w:rPr>
        <w:t xml:space="preserve">, M., </w:t>
      </w:r>
      <w:proofErr w:type="spellStart"/>
      <w:r w:rsidRPr="00057C76">
        <w:rPr>
          <w:lang w:val="en-US"/>
        </w:rPr>
        <w:t>Mozelius</w:t>
      </w:r>
      <w:proofErr w:type="spellEnd"/>
      <w:r w:rsidRPr="00057C76">
        <w:rPr>
          <w:lang w:val="en-US"/>
        </w:rPr>
        <w:t xml:space="preserve">, P. and </w:t>
      </w:r>
      <w:proofErr w:type="spellStart"/>
      <w:r w:rsidRPr="00057C76">
        <w:rPr>
          <w:lang w:val="en-US"/>
        </w:rPr>
        <w:t>Ryberg</w:t>
      </w:r>
      <w:proofErr w:type="spellEnd"/>
      <w:r w:rsidRPr="00057C76">
        <w:rPr>
          <w:lang w:val="en-US"/>
        </w:rPr>
        <w:t xml:space="preserve">, T. (2021) ‘Editorial introduction: lifelong learning in the digital era’, </w:t>
      </w:r>
      <w:r w:rsidRPr="00057C76">
        <w:rPr>
          <w:i/>
          <w:iCs/>
          <w:lang w:val="en-US"/>
        </w:rPr>
        <w:t>British Journal of Educational Technology</w:t>
      </w:r>
      <w:r w:rsidRPr="00057C76">
        <w:rPr>
          <w:lang w:val="en-US"/>
        </w:rPr>
        <w:t xml:space="preserve">, 52(4), pp. 1576–1579. Available at: </w:t>
      </w:r>
      <w:hyperlink r:id="rId24" w:tgtFrame="_new" w:history="1">
        <w:r w:rsidRPr="00057C76">
          <w:rPr>
            <w:rStyle w:val="Hyperlink"/>
            <w:lang w:val="en-US"/>
          </w:rPr>
          <w:t>https://doi.org/10.1111/bjet.13128</w:t>
        </w:r>
      </w:hyperlink>
    </w:p>
    <w:p w:rsidR="00336A48" w:rsidRPr="00057C76" w:rsidRDefault="00336A48" w:rsidP="00057C76">
      <w:pPr>
        <w:rPr>
          <w:lang w:val="en-US"/>
        </w:rPr>
      </w:pPr>
      <w:r w:rsidRPr="00057C76">
        <w:rPr>
          <w:lang w:val="en-US"/>
        </w:rPr>
        <w:t xml:space="preserve">Jing, L. (2023) ‘Study on the cultivation of interdisciplinary language service talents under the background of the Belt and Road Initiative’, </w:t>
      </w:r>
      <w:r w:rsidRPr="00057C76">
        <w:rPr>
          <w:i/>
          <w:iCs/>
          <w:lang w:val="en-US"/>
        </w:rPr>
        <w:t>SHS Web of Conferences</w:t>
      </w:r>
      <w:r w:rsidRPr="00057C76">
        <w:rPr>
          <w:lang w:val="en-US"/>
        </w:rPr>
        <w:t xml:space="preserve">, 168, 03024. Available at: </w:t>
      </w:r>
      <w:hyperlink r:id="rId25" w:tgtFrame="_new" w:history="1">
        <w:r w:rsidRPr="00057C76">
          <w:rPr>
            <w:rStyle w:val="Hyperlink"/>
            <w:lang w:val="en-US"/>
          </w:rPr>
          <w:t>https://doi.org/10.1051/shsconf/202316803024</w:t>
        </w:r>
      </w:hyperlink>
    </w:p>
    <w:p w:rsidR="00336A48" w:rsidRPr="00057C76" w:rsidRDefault="00336A48" w:rsidP="00057C76">
      <w:pPr>
        <w:rPr>
          <w:lang w:val="en-US"/>
        </w:rPr>
      </w:pPr>
      <w:r w:rsidRPr="00057C76">
        <w:rPr>
          <w:lang w:val="en-US"/>
        </w:rPr>
        <w:t xml:space="preserve">Li, H., </w:t>
      </w:r>
      <w:proofErr w:type="spellStart"/>
      <w:r w:rsidRPr="00057C76">
        <w:rPr>
          <w:lang w:val="en-US"/>
        </w:rPr>
        <w:t>Duan</w:t>
      </w:r>
      <w:proofErr w:type="spellEnd"/>
      <w:r w:rsidRPr="00057C76">
        <w:rPr>
          <w:lang w:val="en-US"/>
        </w:rPr>
        <w:t xml:space="preserve">, X. and Yue, J. (2023) ‘Research and practice on the construction of municipal industry-education consortium based on the integration of industrial chain, innovation chain, talent chain, and education chain’, </w:t>
      </w:r>
      <w:r w:rsidRPr="00057C76">
        <w:rPr>
          <w:i/>
          <w:iCs/>
          <w:lang w:val="en-US"/>
        </w:rPr>
        <w:t>Journal of Contemporary Educational Research</w:t>
      </w:r>
      <w:r w:rsidRPr="00057C76">
        <w:rPr>
          <w:lang w:val="en-US"/>
        </w:rPr>
        <w:t xml:space="preserve">, 7(12), pp. 53–63. Available at: </w:t>
      </w:r>
      <w:hyperlink r:id="rId26" w:tgtFrame="_new" w:history="1">
        <w:r w:rsidRPr="00057C76">
          <w:rPr>
            <w:rStyle w:val="Hyperlink"/>
            <w:lang w:val="en-US"/>
          </w:rPr>
          <w:t>https://doi.org/10.26689/jcer.v7i12.5701</w:t>
        </w:r>
      </w:hyperlink>
    </w:p>
    <w:p w:rsidR="00336A48" w:rsidRPr="00057C76" w:rsidRDefault="00336A48" w:rsidP="00057C76">
      <w:pPr>
        <w:rPr>
          <w:lang w:val="en-US"/>
        </w:rPr>
      </w:pPr>
      <w:r w:rsidRPr="00057C76">
        <w:rPr>
          <w:lang w:val="en-US"/>
        </w:rPr>
        <w:t xml:space="preserve">Liu, Y., Liu, H. and Ma, G. (2023) ‘Widening digital divide: family investment, digital learning, and educational performance of Chinese high school students during the COVID-19 pandemic school closures’, </w:t>
      </w:r>
      <w:r w:rsidRPr="00057C76">
        <w:rPr>
          <w:i/>
          <w:iCs/>
          <w:lang w:val="en-US"/>
        </w:rPr>
        <w:t>Applied Research in Quality of Life</w:t>
      </w:r>
      <w:r w:rsidRPr="00057C76">
        <w:rPr>
          <w:lang w:val="en-US"/>
        </w:rPr>
        <w:t xml:space="preserve">, 18(5), pp. 2397–2413. Available at: </w:t>
      </w:r>
      <w:hyperlink r:id="rId27" w:tgtFrame="_new" w:history="1">
        <w:r w:rsidRPr="00057C76">
          <w:rPr>
            <w:rStyle w:val="Hyperlink"/>
            <w:lang w:val="en-US"/>
          </w:rPr>
          <w:t>https://doi.org/10.1007/s11482-023-10191-y</w:t>
        </w:r>
      </w:hyperlink>
    </w:p>
    <w:p w:rsidR="00336A48" w:rsidRDefault="00336A48" w:rsidP="00057C76">
      <w:pPr>
        <w:rPr>
          <w:rStyle w:val="Hyperlink"/>
          <w:lang w:val="en-US"/>
        </w:rPr>
      </w:pPr>
      <w:r w:rsidRPr="00057C76">
        <w:rPr>
          <w:lang w:val="en-US"/>
        </w:rPr>
        <w:lastRenderedPageBreak/>
        <w:t xml:space="preserve">Livingston, E., Houston, E., </w:t>
      </w:r>
      <w:proofErr w:type="spellStart"/>
      <w:r w:rsidRPr="00057C76">
        <w:rPr>
          <w:lang w:val="en-US"/>
        </w:rPr>
        <w:t>Carradine</w:t>
      </w:r>
      <w:proofErr w:type="spellEnd"/>
      <w:r w:rsidRPr="00057C76">
        <w:rPr>
          <w:lang w:val="en-US"/>
        </w:rPr>
        <w:t xml:space="preserve">, J., Fallon, B., </w:t>
      </w:r>
      <w:proofErr w:type="spellStart"/>
      <w:r w:rsidRPr="00057C76">
        <w:rPr>
          <w:lang w:val="en-US"/>
        </w:rPr>
        <w:t>Akmeemana</w:t>
      </w:r>
      <w:proofErr w:type="spellEnd"/>
      <w:r w:rsidRPr="00057C76">
        <w:rPr>
          <w:lang w:val="en-US"/>
        </w:rPr>
        <w:t xml:space="preserve">, C., </w:t>
      </w:r>
      <w:proofErr w:type="spellStart"/>
      <w:r w:rsidRPr="00057C76">
        <w:rPr>
          <w:lang w:val="en-US"/>
        </w:rPr>
        <w:t>Nizam</w:t>
      </w:r>
      <w:proofErr w:type="spellEnd"/>
      <w:r w:rsidRPr="00057C76">
        <w:rPr>
          <w:lang w:val="en-US"/>
        </w:rPr>
        <w:t xml:space="preserve">, M. </w:t>
      </w:r>
      <w:r w:rsidRPr="00057C76">
        <w:rPr>
          <w:i/>
          <w:iCs/>
          <w:lang w:val="en-US"/>
        </w:rPr>
        <w:t>et al.</w:t>
      </w:r>
      <w:r w:rsidRPr="00057C76">
        <w:rPr>
          <w:lang w:val="en-US"/>
        </w:rPr>
        <w:t xml:space="preserve"> (2022) ‘Global student perspectives on digital inclusion in education during COVID-19’, </w:t>
      </w:r>
      <w:r w:rsidRPr="00057C76">
        <w:rPr>
          <w:i/>
          <w:iCs/>
          <w:lang w:val="en-US"/>
        </w:rPr>
        <w:t>Global Studies of Childhood</w:t>
      </w:r>
      <w:r w:rsidRPr="00057C76">
        <w:rPr>
          <w:lang w:val="en-US"/>
        </w:rPr>
        <w:t xml:space="preserve">, 13(4), pp. 341–357. Available at: </w:t>
      </w:r>
      <w:hyperlink r:id="rId28" w:tgtFrame="_new" w:history="1">
        <w:r w:rsidRPr="00057C76">
          <w:rPr>
            <w:rStyle w:val="Hyperlink"/>
            <w:lang w:val="en-US"/>
          </w:rPr>
          <w:t>https://doi.org/10.1177/20436106221102617</w:t>
        </w:r>
      </w:hyperlink>
    </w:p>
    <w:p w:rsidR="008F4E1F" w:rsidRPr="00057C76" w:rsidRDefault="008F4E1F" w:rsidP="008F4E1F">
      <w:pPr>
        <w:rPr>
          <w:lang w:val="en-US"/>
        </w:rPr>
      </w:pPr>
      <w:proofErr w:type="spellStart"/>
      <w:r w:rsidRPr="008F4E1F">
        <w:rPr>
          <w:lang w:val="en-US"/>
        </w:rPr>
        <w:t>Muposhi</w:t>
      </w:r>
      <w:proofErr w:type="spellEnd"/>
      <w:r w:rsidRPr="008F4E1F">
        <w:rPr>
          <w:lang w:val="en-US"/>
        </w:rPr>
        <w:t xml:space="preserve">, A. &amp; </w:t>
      </w:r>
      <w:proofErr w:type="spellStart"/>
      <w:r w:rsidRPr="008F4E1F">
        <w:rPr>
          <w:lang w:val="en-US"/>
        </w:rPr>
        <w:t>Shamhuyenhanzva</w:t>
      </w:r>
      <w:proofErr w:type="spellEnd"/>
      <w:r w:rsidRPr="008F4E1F">
        <w:rPr>
          <w:lang w:val="en-US"/>
        </w:rPr>
        <w:t xml:space="preserve">, R., 2024. </w:t>
      </w:r>
      <w:r w:rsidRPr="008F4E1F">
        <w:rPr>
          <w:i/>
          <w:iCs/>
          <w:lang w:val="en-US"/>
        </w:rPr>
        <w:t>Status of sustainability management education in African MBA programmes: A web-based research approach.</w:t>
      </w:r>
      <w:r w:rsidRPr="008F4E1F">
        <w:rPr>
          <w:lang w:val="en-US"/>
        </w:rPr>
        <w:t xml:space="preserve"> Australian Journal of Environmental Education, 40(5), pp.916–934. </w:t>
      </w:r>
      <w:hyperlink r:id="rId29" w:tgtFrame="_new" w:history="1">
        <w:r w:rsidRPr="008F4E1F">
          <w:rPr>
            <w:rStyle w:val="Hyperlink"/>
            <w:lang w:val="en-US"/>
          </w:rPr>
          <w:t>https://doi.org/10.1017/aee.2024.5</w:t>
        </w:r>
      </w:hyperlink>
    </w:p>
    <w:p w:rsidR="00336A48" w:rsidRPr="00057C76" w:rsidRDefault="00336A48" w:rsidP="00057C76">
      <w:pPr>
        <w:rPr>
          <w:lang w:val="en-US"/>
        </w:rPr>
      </w:pPr>
      <w:r w:rsidRPr="00057C76">
        <w:rPr>
          <w:lang w:val="en-US"/>
        </w:rPr>
        <w:t xml:space="preserve">Macpherson, W., Werner, A. and </w:t>
      </w:r>
      <w:proofErr w:type="spellStart"/>
      <w:r w:rsidRPr="00057C76">
        <w:rPr>
          <w:lang w:val="en-US"/>
        </w:rPr>
        <w:t>Mey</w:t>
      </w:r>
      <w:proofErr w:type="spellEnd"/>
      <w:r w:rsidRPr="00057C76">
        <w:rPr>
          <w:lang w:val="en-US"/>
        </w:rPr>
        <w:t xml:space="preserve">, M. (2023) ‘Talent approaches for the South African automotive industry’, </w:t>
      </w:r>
      <w:r w:rsidRPr="00057C76">
        <w:rPr>
          <w:i/>
          <w:iCs/>
          <w:lang w:val="en-US"/>
        </w:rPr>
        <w:t>SA Journal of Human Resource Management</w:t>
      </w:r>
      <w:r w:rsidRPr="00057C76">
        <w:rPr>
          <w:lang w:val="en-US"/>
        </w:rPr>
        <w:t xml:space="preserve">, 21, pp. 1–10. Available at: </w:t>
      </w:r>
      <w:hyperlink r:id="rId30" w:tgtFrame="_new" w:history="1">
        <w:r w:rsidRPr="00057C76">
          <w:rPr>
            <w:rStyle w:val="Hyperlink"/>
            <w:lang w:val="en-US"/>
          </w:rPr>
          <w:t>https://doi.org/10.4102/sajhrm.v21i0.2224</w:t>
        </w:r>
      </w:hyperlink>
    </w:p>
    <w:p w:rsidR="00336A48" w:rsidRPr="009D5113" w:rsidRDefault="00336A48" w:rsidP="009D5113">
      <w:pPr>
        <w:rPr>
          <w:lang w:val="en-US"/>
        </w:rPr>
      </w:pPr>
      <w:proofErr w:type="spellStart"/>
      <w:r w:rsidRPr="009D5113">
        <w:rPr>
          <w:lang w:val="en-US"/>
        </w:rPr>
        <w:t>Marton</w:t>
      </w:r>
      <w:proofErr w:type="spellEnd"/>
      <w:r w:rsidRPr="009D5113">
        <w:rPr>
          <w:lang w:val="en-US"/>
        </w:rPr>
        <w:t xml:space="preserve">, Á. (2023) ‘Demographic and labour market situation in Hungary in the light of global trends’, </w:t>
      </w:r>
      <w:proofErr w:type="spellStart"/>
      <w:r w:rsidRPr="009D5113">
        <w:rPr>
          <w:i/>
          <w:iCs/>
          <w:lang w:val="en-US"/>
        </w:rPr>
        <w:t>Drustveni</w:t>
      </w:r>
      <w:proofErr w:type="spellEnd"/>
      <w:r w:rsidRPr="009D5113">
        <w:rPr>
          <w:i/>
          <w:iCs/>
          <w:lang w:val="en-US"/>
        </w:rPr>
        <w:t xml:space="preserve"> </w:t>
      </w:r>
      <w:proofErr w:type="spellStart"/>
      <w:r w:rsidRPr="009D5113">
        <w:rPr>
          <w:i/>
          <w:iCs/>
          <w:lang w:val="en-US"/>
        </w:rPr>
        <w:t>Horizonti</w:t>
      </w:r>
      <w:proofErr w:type="spellEnd"/>
      <w:r w:rsidRPr="009D5113">
        <w:rPr>
          <w:lang w:val="en-US"/>
        </w:rPr>
        <w:t xml:space="preserve">, 3(5), pp. 101–119. Available at: </w:t>
      </w:r>
      <w:hyperlink r:id="rId31" w:tgtFrame="_new" w:history="1">
        <w:r w:rsidRPr="009D5113">
          <w:rPr>
            <w:rStyle w:val="Hyperlink"/>
            <w:lang w:val="en-US"/>
          </w:rPr>
          <w:t>https://doi.org/10.5937/drushor2305101m</w:t>
        </w:r>
      </w:hyperlink>
    </w:p>
    <w:p w:rsidR="00336A48" w:rsidRDefault="00336A48" w:rsidP="00721B2C">
      <w:proofErr w:type="spellStart"/>
      <w:r w:rsidRPr="007507F6">
        <w:t>Matei</w:t>
      </w:r>
      <w:proofErr w:type="spellEnd"/>
      <w:r w:rsidRPr="007507F6">
        <w:t xml:space="preserve">, F. (2020) ‘The need to train students’ intercultural competence for international mobility stage’, </w:t>
      </w:r>
      <w:r w:rsidRPr="007507F6">
        <w:rPr>
          <w:i/>
          <w:iCs/>
        </w:rPr>
        <w:t>Logos Universality Mentality Education Novelty: Social Sciences</w:t>
      </w:r>
      <w:r w:rsidRPr="007507F6">
        <w:t xml:space="preserve">, 8(2), pp. 35–42. Available at: </w:t>
      </w:r>
      <w:hyperlink r:id="rId32" w:tgtFrame="_new" w:history="1">
        <w:r w:rsidRPr="007507F6">
          <w:rPr>
            <w:rStyle w:val="Hyperlink"/>
          </w:rPr>
          <w:t>https://doi.org/10.18662/lumenss/23</w:t>
        </w:r>
      </w:hyperlink>
    </w:p>
    <w:p w:rsidR="00336A48" w:rsidRPr="00057C76" w:rsidRDefault="00336A48" w:rsidP="00057C76">
      <w:pPr>
        <w:rPr>
          <w:lang w:val="en-US"/>
        </w:rPr>
      </w:pPr>
      <w:proofErr w:type="spellStart"/>
      <w:r w:rsidRPr="00057C76">
        <w:rPr>
          <w:lang w:val="en-US"/>
        </w:rPr>
        <w:t>Mozelius</w:t>
      </w:r>
      <w:proofErr w:type="spellEnd"/>
      <w:r w:rsidRPr="00057C76">
        <w:rPr>
          <w:lang w:val="en-US"/>
        </w:rPr>
        <w:t xml:space="preserve">, P., Cleveland‐Innes, M., </w:t>
      </w:r>
      <w:proofErr w:type="spellStart"/>
      <w:r w:rsidRPr="00057C76">
        <w:rPr>
          <w:lang w:val="en-US"/>
        </w:rPr>
        <w:t>Lindqvist</w:t>
      </w:r>
      <w:proofErr w:type="spellEnd"/>
      <w:r w:rsidRPr="00057C76">
        <w:rPr>
          <w:lang w:val="en-US"/>
        </w:rPr>
        <w:t xml:space="preserve">, M. and </w:t>
      </w:r>
      <w:proofErr w:type="spellStart"/>
      <w:r w:rsidRPr="00057C76">
        <w:rPr>
          <w:lang w:val="en-US"/>
        </w:rPr>
        <w:t>Jaldemark</w:t>
      </w:r>
      <w:proofErr w:type="spellEnd"/>
      <w:r w:rsidRPr="00057C76">
        <w:rPr>
          <w:lang w:val="en-US"/>
        </w:rPr>
        <w:t xml:space="preserve">, J. (2024) ‘Critical aspects of a higher education reform for continuous lifelong learning opportunities in a digital era’, </w:t>
      </w:r>
      <w:r w:rsidRPr="00057C76">
        <w:rPr>
          <w:i/>
          <w:iCs/>
          <w:lang w:val="en-US"/>
        </w:rPr>
        <w:t>Electronic Journal of Knowledge Management</w:t>
      </w:r>
      <w:r w:rsidRPr="00057C76">
        <w:rPr>
          <w:lang w:val="en-US"/>
        </w:rPr>
        <w:t xml:space="preserve">, 22(1), pp. 26–39. Available at: </w:t>
      </w:r>
      <w:hyperlink r:id="rId33" w:tgtFrame="_new" w:history="1">
        <w:r w:rsidRPr="00057C76">
          <w:rPr>
            <w:rStyle w:val="Hyperlink"/>
            <w:lang w:val="en-US"/>
          </w:rPr>
          <w:t>https://doi.org/10.34190/ejkm.22.1.3258</w:t>
        </w:r>
      </w:hyperlink>
    </w:p>
    <w:p w:rsidR="00336A48" w:rsidRPr="00057C76" w:rsidRDefault="00336A48" w:rsidP="00057C76">
      <w:pPr>
        <w:rPr>
          <w:lang w:val="en-US"/>
        </w:rPr>
      </w:pPr>
      <w:r w:rsidRPr="00057C76">
        <w:rPr>
          <w:lang w:val="en-US"/>
        </w:rPr>
        <w:t xml:space="preserve">Navarro, M., </w:t>
      </w:r>
      <w:proofErr w:type="spellStart"/>
      <w:r w:rsidRPr="00057C76">
        <w:rPr>
          <w:lang w:val="en-US"/>
        </w:rPr>
        <w:t>García-Madurga</w:t>
      </w:r>
      <w:proofErr w:type="spellEnd"/>
      <w:r w:rsidRPr="00057C76">
        <w:rPr>
          <w:lang w:val="en-US"/>
        </w:rPr>
        <w:t xml:space="preserve">, M., </w:t>
      </w:r>
      <w:proofErr w:type="spellStart"/>
      <w:r w:rsidRPr="00057C76">
        <w:rPr>
          <w:lang w:val="en-US"/>
        </w:rPr>
        <w:t>Morte</w:t>
      </w:r>
      <w:proofErr w:type="spellEnd"/>
      <w:r w:rsidRPr="00057C76">
        <w:rPr>
          <w:lang w:val="en-US"/>
        </w:rPr>
        <w:t>-Nadal, T. and Nogales-</w:t>
      </w:r>
      <w:proofErr w:type="spellStart"/>
      <w:r w:rsidRPr="00057C76">
        <w:rPr>
          <w:lang w:val="en-US"/>
        </w:rPr>
        <w:t>Bocio</w:t>
      </w:r>
      <w:proofErr w:type="spellEnd"/>
      <w:r w:rsidRPr="00057C76">
        <w:rPr>
          <w:lang w:val="en-US"/>
        </w:rPr>
        <w:t xml:space="preserve">, A. (2020) ‘The rural digital divide in the face of the COVID-19 pandemic in Europe—recommendations from a scoping review’, </w:t>
      </w:r>
      <w:r w:rsidRPr="00057C76">
        <w:rPr>
          <w:i/>
          <w:iCs/>
          <w:lang w:val="en-US"/>
        </w:rPr>
        <w:t>Informatics</w:t>
      </w:r>
      <w:r w:rsidRPr="00057C76">
        <w:rPr>
          <w:lang w:val="en-US"/>
        </w:rPr>
        <w:t xml:space="preserve">, 7(4), 54. Available at: </w:t>
      </w:r>
      <w:hyperlink r:id="rId34" w:tgtFrame="_new" w:history="1">
        <w:r w:rsidRPr="00057C76">
          <w:rPr>
            <w:rStyle w:val="Hyperlink"/>
            <w:lang w:val="en-US"/>
          </w:rPr>
          <w:t>https://doi.org/10.3390/informatics7040054</w:t>
        </w:r>
      </w:hyperlink>
    </w:p>
    <w:p w:rsidR="00336A48" w:rsidRDefault="00336A48" w:rsidP="00721B2C">
      <w:pPr>
        <w:rPr>
          <w:rStyle w:val="Hyperlink"/>
          <w:lang w:val="en-US"/>
        </w:rPr>
      </w:pPr>
      <w:proofErr w:type="spellStart"/>
      <w:r w:rsidRPr="00721B2C">
        <w:rPr>
          <w:lang w:val="en-US"/>
        </w:rPr>
        <w:t>Ogedengbe</w:t>
      </w:r>
      <w:proofErr w:type="spellEnd"/>
      <w:r w:rsidRPr="00721B2C">
        <w:rPr>
          <w:lang w:val="en-US"/>
        </w:rPr>
        <w:t xml:space="preserve">, D., </w:t>
      </w:r>
      <w:proofErr w:type="spellStart"/>
      <w:r w:rsidRPr="00721B2C">
        <w:rPr>
          <w:lang w:val="en-US"/>
        </w:rPr>
        <w:t>Olatoye</w:t>
      </w:r>
      <w:proofErr w:type="spellEnd"/>
      <w:r w:rsidRPr="00721B2C">
        <w:rPr>
          <w:lang w:val="en-US"/>
        </w:rPr>
        <w:t xml:space="preserve">, F., </w:t>
      </w:r>
      <w:proofErr w:type="spellStart"/>
      <w:r w:rsidRPr="00721B2C">
        <w:rPr>
          <w:lang w:val="en-US"/>
        </w:rPr>
        <w:t>Oladapo</w:t>
      </w:r>
      <w:proofErr w:type="spellEnd"/>
      <w:r w:rsidRPr="00721B2C">
        <w:rPr>
          <w:lang w:val="en-US"/>
        </w:rPr>
        <w:t xml:space="preserve">, J., </w:t>
      </w:r>
      <w:proofErr w:type="spellStart"/>
      <w:r w:rsidRPr="00721B2C">
        <w:rPr>
          <w:lang w:val="en-US"/>
        </w:rPr>
        <w:t>Nwankwo</w:t>
      </w:r>
      <w:proofErr w:type="spellEnd"/>
      <w:r w:rsidRPr="00721B2C">
        <w:rPr>
          <w:lang w:val="en-US"/>
        </w:rPr>
        <w:t xml:space="preserve">, E., </w:t>
      </w:r>
      <w:proofErr w:type="spellStart"/>
      <w:r w:rsidRPr="00721B2C">
        <w:rPr>
          <w:lang w:val="en-US"/>
        </w:rPr>
        <w:t>Soyombo</w:t>
      </w:r>
      <w:proofErr w:type="spellEnd"/>
      <w:r w:rsidRPr="00721B2C">
        <w:rPr>
          <w:lang w:val="en-US"/>
        </w:rPr>
        <w:t xml:space="preserve">, O. and </w:t>
      </w:r>
      <w:proofErr w:type="spellStart"/>
      <w:r w:rsidRPr="00721B2C">
        <w:rPr>
          <w:lang w:val="en-US"/>
        </w:rPr>
        <w:t>Scholastica</w:t>
      </w:r>
      <w:proofErr w:type="spellEnd"/>
      <w:r w:rsidRPr="00721B2C">
        <w:rPr>
          <w:lang w:val="en-US"/>
        </w:rPr>
        <w:t xml:space="preserve">, U. (2024) ‘Strategic HRM in the logistics and shipping sector: challenges and opportunities’, </w:t>
      </w:r>
      <w:r w:rsidRPr="00721B2C">
        <w:rPr>
          <w:i/>
          <w:iCs/>
          <w:lang w:val="en-US"/>
        </w:rPr>
        <w:t>International Journal of Science and Research Archive</w:t>
      </w:r>
      <w:r w:rsidRPr="00721B2C">
        <w:rPr>
          <w:lang w:val="en-US"/>
        </w:rPr>
        <w:t xml:space="preserve">, 11(1), pp. 2000–2011. Available at: </w:t>
      </w:r>
      <w:hyperlink r:id="rId35" w:tgtFrame="_new" w:history="1">
        <w:r w:rsidRPr="00721B2C">
          <w:rPr>
            <w:rStyle w:val="Hyperlink"/>
            <w:lang w:val="en-US"/>
          </w:rPr>
          <w:t>https://doi.org/10.30574/ijsra.2024.11.1.0269</w:t>
        </w:r>
      </w:hyperlink>
    </w:p>
    <w:p w:rsidR="008F4E1F" w:rsidRPr="008F4E1F" w:rsidRDefault="008F4E1F" w:rsidP="008F4E1F">
      <w:pPr>
        <w:rPr>
          <w:lang w:val="en-US"/>
        </w:rPr>
      </w:pPr>
      <w:r w:rsidRPr="008F4E1F">
        <w:rPr>
          <w:lang w:val="en-US"/>
        </w:rPr>
        <w:t xml:space="preserve">Pearl, C. &amp; Oliver, B., 2020. </w:t>
      </w:r>
      <w:r w:rsidRPr="008F4E1F">
        <w:rPr>
          <w:i/>
          <w:iCs/>
          <w:lang w:val="en-US"/>
        </w:rPr>
        <w:t>World’s greatest challenges: Building interdisciplinary understanding and collaboration among business and social work students.</w:t>
      </w:r>
      <w:r w:rsidRPr="008F4E1F">
        <w:rPr>
          <w:lang w:val="en-US"/>
        </w:rPr>
        <w:t xml:space="preserve"> The Canadian </w:t>
      </w:r>
      <w:r w:rsidRPr="008F4E1F">
        <w:rPr>
          <w:lang w:val="en-US"/>
        </w:rPr>
        <w:lastRenderedPageBreak/>
        <w:t xml:space="preserve">Journal for the Scholarship of Teaching and Learning, 11(1). </w:t>
      </w:r>
      <w:hyperlink r:id="rId36" w:tgtFrame="_new" w:history="1">
        <w:r w:rsidRPr="008F4E1F">
          <w:rPr>
            <w:rStyle w:val="Hyperlink"/>
            <w:lang w:val="en-US"/>
          </w:rPr>
          <w:t>https://doi.org/10.5206/cjsotl-rcacea.2020.1.10804</w:t>
        </w:r>
      </w:hyperlink>
    </w:p>
    <w:p w:rsidR="00336A48" w:rsidRDefault="00336A48" w:rsidP="009D5113">
      <w:pPr>
        <w:rPr>
          <w:rStyle w:val="Hyperlink"/>
          <w:lang w:val="en-US"/>
        </w:rPr>
      </w:pPr>
      <w:proofErr w:type="spellStart"/>
      <w:r w:rsidRPr="009D5113">
        <w:rPr>
          <w:lang w:val="en-US"/>
        </w:rPr>
        <w:t>Ribarić</w:t>
      </w:r>
      <w:proofErr w:type="spellEnd"/>
      <w:r w:rsidRPr="009D5113">
        <w:rPr>
          <w:lang w:val="en-US"/>
        </w:rPr>
        <w:t xml:space="preserve">, H., </w:t>
      </w:r>
      <w:proofErr w:type="spellStart"/>
      <w:r w:rsidRPr="009D5113">
        <w:rPr>
          <w:lang w:val="en-US"/>
        </w:rPr>
        <w:t>Dadić</w:t>
      </w:r>
      <w:proofErr w:type="spellEnd"/>
      <w:r w:rsidRPr="009D5113">
        <w:rPr>
          <w:lang w:val="en-US"/>
        </w:rPr>
        <w:t xml:space="preserve">, L. and </w:t>
      </w:r>
      <w:proofErr w:type="spellStart"/>
      <w:r w:rsidRPr="009D5113">
        <w:rPr>
          <w:lang w:val="en-US"/>
        </w:rPr>
        <w:t>Črnjar</w:t>
      </w:r>
      <w:proofErr w:type="spellEnd"/>
      <w:r w:rsidRPr="009D5113">
        <w:rPr>
          <w:lang w:val="en-US"/>
        </w:rPr>
        <w:t xml:space="preserve">, K. (2024) ‘Ageing of the labour force – insights from the Croatian hospitality industry’, </w:t>
      </w:r>
      <w:r w:rsidRPr="009D5113">
        <w:rPr>
          <w:i/>
          <w:iCs/>
          <w:lang w:val="en-US"/>
        </w:rPr>
        <w:t>Tourism and Hospitality Industry Conference Proceedings</w:t>
      </w:r>
      <w:r w:rsidRPr="009D5113">
        <w:rPr>
          <w:lang w:val="en-US"/>
        </w:rPr>
        <w:t xml:space="preserve">, pp. 1–12. Available at: </w:t>
      </w:r>
      <w:hyperlink r:id="rId37" w:tgtFrame="_new" w:history="1">
        <w:r w:rsidRPr="009D5113">
          <w:rPr>
            <w:rStyle w:val="Hyperlink"/>
            <w:lang w:val="en-US"/>
          </w:rPr>
          <w:t>https://doi.org/10.20867/thi.27.16</w:t>
        </w:r>
      </w:hyperlink>
    </w:p>
    <w:p w:rsidR="008F4E1F" w:rsidRPr="008F4E1F" w:rsidRDefault="008F4E1F" w:rsidP="009D5113">
      <w:pPr>
        <w:rPr>
          <w:rStyle w:val="Hyperlink"/>
          <w:color w:val="auto"/>
          <w:u w:val="none"/>
          <w:lang w:val="en-US"/>
        </w:rPr>
      </w:pPr>
      <w:r w:rsidRPr="008F4E1F">
        <w:rPr>
          <w:lang w:val="en-US"/>
        </w:rPr>
        <w:t xml:space="preserve">Romani, L. &amp; Lima, M., 2022. </w:t>
      </w:r>
      <w:r w:rsidRPr="008F4E1F">
        <w:rPr>
          <w:i/>
          <w:iCs/>
          <w:lang w:val="en-US"/>
        </w:rPr>
        <w:t>Characteristics and outcomes of pharmacy practice experience programs in community pharmacy settings: A scoping review protocol.</w:t>
      </w:r>
      <w:r w:rsidRPr="008F4E1F">
        <w:rPr>
          <w:lang w:val="en-US"/>
        </w:rPr>
        <w:t xml:space="preserve"> Research, Society and Development, 11(12), e473111234895. </w:t>
      </w:r>
      <w:hyperlink r:id="rId38" w:tgtFrame="_new" w:history="1">
        <w:r w:rsidRPr="008F4E1F">
          <w:rPr>
            <w:rStyle w:val="Hyperlink"/>
            <w:lang w:val="en-US"/>
          </w:rPr>
          <w:t>https://doi.org/10.33448/rsd-v11i12.34895</w:t>
        </w:r>
      </w:hyperlink>
    </w:p>
    <w:p w:rsidR="008F4E1F" w:rsidRPr="00721B2C" w:rsidRDefault="008F4E1F" w:rsidP="008F4E1F">
      <w:pPr>
        <w:rPr>
          <w:lang w:val="en-US"/>
        </w:rPr>
      </w:pPr>
      <w:proofErr w:type="spellStart"/>
      <w:r w:rsidRPr="008F4E1F">
        <w:rPr>
          <w:lang w:val="en-US"/>
        </w:rPr>
        <w:t>Shaheen</w:t>
      </w:r>
      <w:proofErr w:type="spellEnd"/>
      <w:r w:rsidRPr="008F4E1F">
        <w:rPr>
          <w:lang w:val="en-US"/>
        </w:rPr>
        <w:t xml:space="preserve">, A., </w:t>
      </w:r>
      <w:proofErr w:type="spellStart"/>
      <w:r w:rsidRPr="008F4E1F">
        <w:rPr>
          <w:lang w:val="en-US"/>
        </w:rPr>
        <w:t>Halvorsen</w:t>
      </w:r>
      <w:proofErr w:type="spellEnd"/>
      <w:r w:rsidRPr="008F4E1F">
        <w:rPr>
          <w:lang w:val="en-US"/>
        </w:rPr>
        <w:t xml:space="preserve">, F. &amp; </w:t>
      </w:r>
      <w:proofErr w:type="spellStart"/>
      <w:r w:rsidRPr="008F4E1F">
        <w:rPr>
          <w:lang w:val="en-US"/>
        </w:rPr>
        <w:t>Fotaris</w:t>
      </w:r>
      <w:proofErr w:type="spellEnd"/>
      <w:r w:rsidRPr="008F4E1F">
        <w:rPr>
          <w:lang w:val="en-US"/>
        </w:rPr>
        <w:t xml:space="preserve">, P., 2022. </w:t>
      </w:r>
      <w:r w:rsidRPr="008F4E1F">
        <w:rPr>
          <w:i/>
          <w:iCs/>
          <w:lang w:val="en-US"/>
        </w:rPr>
        <w:t>A reflective game design framework for game-based learning.</w:t>
      </w:r>
      <w:r w:rsidRPr="008F4E1F">
        <w:rPr>
          <w:lang w:val="en-US"/>
        </w:rPr>
        <w:t xml:space="preserve"> European Conference on Games Based Learning, 16(1), pp.758–765. </w:t>
      </w:r>
      <w:hyperlink r:id="rId39" w:tgtFrame="_new" w:history="1">
        <w:r w:rsidRPr="008F4E1F">
          <w:rPr>
            <w:rStyle w:val="Hyperlink"/>
            <w:lang w:val="en-US"/>
          </w:rPr>
          <w:t>https://doi.org/10.34190/ecgbl.16.1.876</w:t>
        </w:r>
      </w:hyperlink>
    </w:p>
    <w:p w:rsidR="00336A48" w:rsidRDefault="00336A48" w:rsidP="000069EF">
      <w:r>
        <w:t xml:space="preserve">Ulrich, D. (1997) </w:t>
      </w:r>
      <w:r>
        <w:rPr>
          <w:rStyle w:val="Emphasis"/>
        </w:rPr>
        <w:t>Human Resource Champions: The Next Agenda for Adding Value and Delivering Results</w:t>
      </w:r>
      <w:r>
        <w:t>. Boston: Harvard Business School Press.</w:t>
      </w:r>
    </w:p>
    <w:p w:rsidR="00336A48" w:rsidRPr="00721B2C" w:rsidRDefault="00336A48" w:rsidP="00721B2C">
      <w:pPr>
        <w:rPr>
          <w:lang w:val="en-US"/>
        </w:rPr>
      </w:pPr>
      <w:r w:rsidRPr="00721B2C">
        <w:rPr>
          <w:lang w:val="en-US"/>
        </w:rPr>
        <w:t xml:space="preserve">Wang, Y. and Shi, Y. (2022) ‘Evolvement of international mobility of talents: a complex network perspective’, </w:t>
      </w:r>
      <w:r w:rsidRPr="00721B2C">
        <w:rPr>
          <w:i/>
          <w:iCs/>
          <w:lang w:val="en-US"/>
        </w:rPr>
        <w:t>International Journal of Innovation Science</w:t>
      </w:r>
      <w:r w:rsidRPr="00721B2C">
        <w:rPr>
          <w:lang w:val="en-US"/>
        </w:rPr>
        <w:t xml:space="preserve">, 15(2), pp. 317–328. Available at: </w:t>
      </w:r>
      <w:hyperlink r:id="rId40" w:tgtFrame="_new" w:history="1">
        <w:r w:rsidRPr="00721B2C">
          <w:rPr>
            <w:rStyle w:val="Hyperlink"/>
            <w:lang w:val="en-US"/>
          </w:rPr>
          <w:t>https://doi.org/10.1108/ijis-02-2021-0029</w:t>
        </w:r>
      </w:hyperlink>
    </w:p>
    <w:p w:rsidR="00336A48" w:rsidRDefault="00336A48" w:rsidP="000069EF">
      <w:r>
        <w:t xml:space="preserve">World Bank (2024) </w:t>
      </w:r>
      <w:r>
        <w:rPr>
          <w:rStyle w:val="Emphasis"/>
        </w:rPr>
        <w:t>World Development Report 2024: Education, Skills and the Future of Work</w:t>
      </w:r>
      <w:r>
        <w:t>. Washington, DC: World Bank Publications.</w:t>
      </w:r>
    </w:p>
    <w:p w:rsidR="00336A48" w:rsidRPr="007507F6" w:rsidRDefault="00336A48" w:rsidP="007507F6">
      <w:pPr>
        <w:rPr>
          <w:lang w:val="en-US"/>
        </w:rPr>
      </w:pPr>
      <w:r w:rsidRPr="007507F6">
        <w:rPr>
          <w:lang w:val="en-US"/>
        </w:rPr>
        <w:t xml:space="preserve">Yang, P., Zhao, X., Zhang, X. and Li, A. (2025) ‘Intercultural competence of Chinese students abroad: an investigation under Sino-foreign cooperative education programs’, </w:t>
      </w:r>
      <w:r w:rsidRPr="007507F6">
        <w:rPr>
          <w:i/>
          <w:iCs/>
          <w:lang w:val="en-US"/>
        </w:rPr>
        <w:t>PLOS ONE</w:t>
      </w:r>
      <w:r w:rsidRPr="007507F6">
        <w:rPr>
          <w:lang w:val="en-US"/>
        </w:rPr>
        <w:t xml:space="preserve">, 20(2), e0316937. Available at: </w:t>
      </w:r>
      <w:hyperlink r:id="rId41" w:tgtFrame="_new" w:history="1">
        <w:r w:rsidRPr="007507F6">
          <w:rPr>
            <w:rStyle w:val="Hyperlink"/>
            <w:lang w:val="en-US"/>
          </w:rPr>
          <w:t>https://doi.org/10.1371/journal.pone.0316937</w:t>
        </w:r>
      </w:hyperlink>
    </w:p>
    <w:p w:rsidR="00336A48" w:rsidRPr="00721B2C" w:rsidRDefault="00336A48" w:rsidP="00721B2C">
      <w:pPr>
        <w:rPr>
          <w:lang w:val="en-US"/>
        </w:rPr>
      </w:pPr>
      <w:r w:rsidRPr="00721B2C">
        <w:rPr>
          <w:lang w:val="en-US"/>
        </w:rPr>
        <w:t xml:space="preserve">Yasmeen, A., Khan, M. and Ahmed, W. (2022) ‘How ambidextrous human resource systems affect employee creativity? A study in the Pakistani context’, </w:t>
      </w:r>
      <w:r w:rsidRPr="00721B2C">
        <w:rPr>
          <w:i/>
          <w:iCs/>
          <w:lang w:val="en-US"/>
        </w:rPr>
        <w:t>South Asian Journal of Human Resources Management</w:t>
      </w:r>
      <w:r w:rsidRPr="00721B2C">
        <w:rPr>
          <w:lang w:val="en-US"/>
        </w:rPr>
        <w:t xml:space="preserve">, 10(1), pp. 36–63. Available at: </w:t>
      </w:r>
      <w:hyperlink r:id="rId42" w:tgtFrame="_new" w:history="1">
        <w:r w:rsidRPr="00721B2C">
          <w:rPr>
            <w:rStyle w:val="Hyperlink"/>
            <w:lang w:val="en-US"/>
          </w:rPr>
          <w:t>https://doi.org/10.1177/23220937221082771</w:t>
        </w:r>
      </w:hyperlink>
    </w:p>
    <w:p w:rsidR="00336A48" w:rsidRPr="00721B2C" w:rsidRDefault="00336A48" w:rsidP="00721B2C">
      <w:pPr>
        <w:rPr>
          <w:lang w:val="en-US"/>
        </w:rPr>
      </w:pPr>
      <w:r w:rsidRPr="00721B2C">
        <w:rPr>
          <w:lang w:val="en-US"/>
        </w:rPr>
        <w:t xml:space="preserve">Zhang, Q., Gong, H., Ouyang, C., Han, J. and Saks, A. (2025) ‘Building micro‐foundations for positive workplace relationships: validation of a strategic relational human resource management measure’, </w:t>
      </w:r>
      <w:r w:rsidRPr="00721B2C">
        <w:rPr>
          <w:i/>
          <w:iCs/>
          <w:lang w:val="en-US"/>
        </w:rPr>
        <w:t>Human Resource Management</w:t>
      </w:r>
      <w:r w:rsidRPr="00721B2C">
        <w:rPr>
          <w:lang w:val="en-US"/>
        </w:rPr>
        <w:t xml:space="preserve">, 64(3), pp. 793–810. Available at: </w:t>
      </w:r>
      <w:hyperlink r:id="rId43" w:tgtFrame="_new" w:history="1">
        <w:r w:rsidRPr="00721B2C">
          <w:rPr>
            <w:rStyle w:val="Hyperlink"/>
            <w:lang w:val="en-US"/>
          </w:rPr>
          <w:t>https://doi.org/10.1002/hrm.22282</w:t>
        </w:r>
      </w:hyperlink>
    </w:p>
    <w:p w:rsidR="00336A48" w:rsidRPr="007507F6" w:rsidRDefault="00336A48" w:rsidP="00721B2C">
      <w:pPr>
        <w:rPr>
          <w:lang w:val="en-US"/>
        </w:rPr>
      </w:pPr>
      <w:proofErr w:type="spellStart"/>
      <w:r w:rsidRPr="007507F6">
        <w:rPr>
          <w:lang w:val="en-US"/>
        </w:rPr>
        <w:lastRenderedPageBreak/>
        <w:t>Zuo</w:t>
      </w:r>
      <w:proofErr w:type="spellEnd"/>
      <w:r w:rsidRPr="007507F6">
        <w:rPr>
          <w:lang w:val="en-US"/>
        </w:rPr>
        <w:t xml:space="preserve">, H. and Hu, Y. (2022) ‘The development of Chinese university students’ intercultural competence in a short-term study-abroad program’, </w:t>
      </w:r>
      <w:r w:rsidRPr="007507F6">
        <w:rPr>
          <w:i/>
          <w:iCs/>
          <w:lang w:val="en-US"/>
        </w:rPr>
        <w:t>Forum for Linguistic Studies</w:t>
      </w:r>
      <w:r w:rsidRPr="007507F6">
        <w:rPr>
          <w:lang w:val="en-US"/>
        </w:rPr>
        <w:t xml:space="preserve">, 4(1), pp. 132–145. Available at: </w:t>
      </w:r>
      <w:hyperlink r:id="rId44" w:tgtFrame="_new" w:history="1">
        <w:r w:rsidRPr="007507F6">
          <w:rPr>
            <w:rStyle w:val="Hyperlink"/>
            <w:lang w:val="en-US"/>
          </w:rPr>
          <w:t>https://doi.org/10.18063/fls.v4i1.1460</w:t>
        </w:r>
      </w:hyperlink>
    </w:p>
    <w:sectPr w:rsidR="00336A48" w:rsidRPr="007507F6" w:rsidSect="00995BC6">
      <w:footerReference w:type="default" r:id="rId4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7254" w:rsidRDefault="00ED7254" w:rsidP="008A2AEA">
      <w:pPr>
        <w:spacing w:after="0" w:line="240" w:lineRule="auto"/>
      </w:pPr>
      <w:r>
        <w:separator/>
      </w:r>
    </w:p>
  </w:endnote>
  <w:endnote w:type="continuationSeparator" w:id="0">
    <w:p w:rsidR="00ED7254" w:rsidRDefault="00ED7254" w:rsidP="008A2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4118133"/>
      <w:docPartObj>
        <w:docPartGallery w:val="Page Numbers (Bottom of Page)"/>
        <w:docPartUnique/>
      </w:docPartObj>
    </w:sdtPr>
    <w:sdtEndPr>
      <w:rPr>
        <w:noProof/>
      </w:rPr>
    </w:sdtEndPr>
    <w:sdtContent>
      <w:p w:rsidR="008A2AEA" w:rsidRDefault="008A2AEA">
        <w:pPr>
          <w:pStyle w:val="Footer"/>
          <w:jc w:val="center"/>
        </w:pPr>
        <w:r>
          <w:fldChar w:fldCharType="begin"/>
        </w:r>
        <w:r>
          <w:instrText xml:space="preserve"> PAGE   \* MERGEFORMAT </w:instrText>
        </w:r>
        <w:r>
          <w:fldChar w:fldCharType="separate"/>
        </w:r>
        <w:r w:rsidR="00A14368">
          <w:rPr>
            <w:noProof/>
          </w:rPr>
          <w:t>18</w:t>
        </w:r>
        <w:r>
          <w:rPr>
            <w:noProof/>
          </w:rPr>
          <w:fldChar w:fldCharType="end"/>
        </w:r>
      </w:p>
    </w:sdtContent>
  </w:sdt>
  <w:p w:rsidR="008A2AEA" w:rsidRDefault="008A2AE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7254" w:rsidRDefault="00ED7254" w:rsidP="008A2AEA">
      <w:pPr>
        <w:spacing w:after="0" w:line="240" w:lineRule="auto"/>
      </w:pPr>
      <w:r>
        <w:separator/>
      </w:r>
    </w:p>
  </w:footnote>
  <w:footnote w:type="continuationSeparator" w:id="0">
    <w:p w:rsidR="00ED7254" w:rsidRDefault="00ED7254" w:rsidP="008A2A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6518BC"/>
    <w:multiLevelType w:val="multilevel"/>
    <w:tmpl w:val="401CDE96"/>
    <w:lvl w:ilvl="0">
      <w:start w:val="1"/>
      <w:numFmt w:val="decimal"/>
      <w:lvlText w:val="%1."/>
      <w:lvlJc w:val="left"/>
      <w:pPr>
        <w:ind w:left="567" w:hanging="567"/>
      </w:pPr>
      <w:rPr>
        <w:rFonts w:ascii="Arial" w:hAnsi="Arial"/>
        <w:b/>
        <w:i w:val="0"/>
        <w:color w:val="302683"/>
        <w:sz w:val="44"/>
        <w:u w:val="none" w:color="00B3E1"/>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
      <w:lvlJc w:val="left"/>
    </w:lvl>
    <w:lvl w:ilvl="7">
      <w:start w:val="1"/>
      <w:numFmt w:val="none"/>
      <w:lvlText w:val=""/>
      <w:lvlJc w:val="left"/>
    </w:lvl>
    <w:lvl w:ilvl="8">
      <w:start w:val="1"/>
      <w:numFmt w:val="none"/>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271"/>
    <w:rsid w:val="00004E53"/>
    <w:rsid w:val="000069EF"/>
    <w:rsid w:val="000436F8"/>
    <w:rsid w:val="00057C76"/>
    <w:rsid w:val="000647CF"/>
    <w:rsid w:val="0007189A"/>
    <w:rsid w:val="00077BF2"/>
    <w:rsid w:val="000B19A7"/>
    <w:rsid w:val="000F3C8C"/>
    <w:rsid w:val="00166B10"/>
    <w:rsid w:val="0017580B"/>
    <w:rsid w:val="00181F62"/>
    <w:rsid w:val="001A0F44"/>
    <w:rsid w:val="001A4698"/>
    <w:rsid w:val="001C6D0E"/>
    <w:rsid w:val="001C74FA"/>
    <w:rsid w:val="002315F1"/>
    <w:rsid w:val="00241E4A"/>
    <w:rsid w:val="00264E5B"/>
    <w:rsid w:val="002957EE"/>
    <w:rsid w:val="002C3E08"/>
    <w:rsid w:val="0031744F"/>
    <w:rsid w:val="00336A48"/>
    <w:rsid w:val="0039092C"/>
    <w:rsid w:val="00452D5F"/>
    <w:rsid w:val="00482D08"/>
    <w:rsid w:val="004D66E2"/>
    <w:rsid w:val="00554837"/>
    <w:rsid w:val="00580162"/>
    <w:rsid w:val="00595F65"/>
    <w:rsid w:val="005B2865"/>
    <w:rsid w:val="005C1373"/>
    <w:rsid w:val="00600434"/>
    <w:rsid w:val="00646124"/>
    <w:rsid w:val="006D0218"/>
    <w:rsid w:val="00721B2C"/>
    <w:rsid w:val="007507F6"/>
    <w:rsid w:val="0075215D"/>
    <w:rsid w:val="00782996"/>
    <w:rsid w:val="00794210"/>
    <w:rsid w:val="007B0148"/>
    <w:rsid w:val="007D1271"/>
    <w:rsid w:val="008A2AEA"/>
    <w:rsid w:val="008E27C9"/>
    <w:rsid w:val="008F4E1F"/>
    <w:rsid w:val="0090056D"/>
    <w:rsid w:val="00915A00"/>
    <w:rsid w:val="00932E69"/>
    <w:rsid w:val="00981E39"/>
    <w:rsid w:val="00995BC6"/>
    <w:rsid w:val="009A2DD9"/>
    <w:rsid w:val="009D5113"/>
    <w:rsid w:val="009F1F27"/>
    <w:rsid w:val="00A14368"/>
    <w:rsid w:val="00A7199A"/>
    <w:rsid w:val="00A76BFC"/>
    <w:rsid w:val="00A90E23"/>
    <w:rsid w:val="00AA74CE"/>
    <w:rsid w:val="00AA7B3A"/>
    <w:rsid w:val="00B41B65"/>
    <w:rsid w:val="00BB7C0E"/>
    <w:rsid w:val="00BE30C1"/>
    <w:rsid w:val="00C83EB7"/>
    <w:rsid w:val="00CB5E53"/>
    <w:rsid w:val="00CE5517"/>
    <w:rsid w:val="00D011DB"/>
    <w:rsid w:val="00D36AF0"/>
    <w:rsid w:val="00D70B18"/>
    <w:rsid w:val="00D97C19"/>
    <w:rsid w:val="00DF2A5F"/>
    <w:rsid w:val="00E17908"/>
    <w:rsid w:val="00E3088F"/>
    <w:rsid w:val="00E33634"/>
    <w:rsid w:val="00E67BA6"/>
    <w:rsid w:val="00E916C0"/>
    <w:rsid w:val="00E93DC0"/>
    <w:rsid w:val="00EB5093"/>
    <w:rsid w:val="00ED7254"/>
    <w:rsid w:val="00ED7296"/>
    <w:rsid w:val="00EF4312"/>
    <w:rsid w:val="00F6731C"/>
    <w:rsid w:val="00F86BAF"/>
    <w:rsid w:val="00FB2BFD"/>
    <w:rsid w:val="00FC1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07E3F"/>
  <w15:chartTrackingRefBased/>
  <w15:docId w15:val="{9E6DC030-A0B8-4ECA-9DBC-6A58043D5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016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957EE"/>
    <w:pPr>
      <w:keepNext/>
      <w:keepLines/>
      <w:spacing w:before="240" w:after="0"/>
      <w:outlineLvl w:val="0"/>
    </w:pPr>
    <w:rPr>
      <w:rFonts w:eastAsiaTheme="majorEastAsia"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9A2DD9"/>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8A2AEA"/>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A2AE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7EE"/>
    <w:rPr>
      <w:rFonts w:ascii="Times New Roman" w:eastAsiaTheme="majorEastAsia" w:hAnsi="Times New Roman" w:cstheme="majorBidi"/>
      <w:b/>
      <w:color w:val="2E74B5" w:themeColor="accent1" w:themeShade="BF"/>
      <w:sz w:val="32"/>
      <w:szCs w:val="32"/>
      <w:u w:val="single"/>
    </w:rPr>
  </w:style>
  <w:style w:type="character" w:customStyle="1" w:styleId="Heading2Char">
    <w:name w:val="Heading 2 Char"/>
    <w:basedOn w:val="DefaultParagraphFont"/>
    <w:link w:val="Heading2"/>
    <w:uiPriority w:val="9"/>
    <w:rsid w:val="009A2DD9"/>
    <w:rPr>
      <w:rFonts w:ascii="Times New Roman" w:eastAsiaTheme="majorEastAsia" w:hAnsi="Times New Roman" w:cstheme="majorBidi"/>
      <w:b/>
      <w:color w:val="2E74B5" w:themeColor="accent1" w:themeShade="BF"/>
      <w:sz w:val="26"/>
      <w:szCs w:val="26"/>
    </w:rPr>
  </w:style>
  <w:style w:type="paragraph" w:styleId="NoSpacing">
    <w:name w:val="No Spacing"/>
    <w:link w:val="NoSpacingChar"/>
    <w:uiPriority w:val="1"/>
    <w:qFormat/>
    <w:rsid w:val="00D70B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0B18"/>
    <w:rPr>
      <w:rFonts w:eastAsiaTheme="minorEastAsia"/>
      <w:lang w:val="en-US"/>
    </w:rPr>
  </w:style>
  <w:style w:type="paragraph" w:styleId="Header">
    <w:name w:val="header"/>
    <w:basedOn w:val="Normal"/>
    <w:link w:val="HeaderChar"/>
    <w:uiPriority w:val="99"/>
    <w:unhideWhenUsed/>
    <w:rsid w:val="008A2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AEA"/>
    <w:rPr>
      <w:rFonts w:ascii="Times New Roman" w:hAnsi="Times New Roman"/>
      <w:sz w:val="24"/>
    </w:rPr>
  </w:style>
  <w:style w:type="paragraph" w:styleId="Footer">
    <w:name w:val="footer"/>
    <w:basedOn w:val="Normal"/>
    <w:link w:val="FooterChar"/>
    <w:uiPriority w:val="99"/>
    <w:unhideWhenUsed/>
    <w:rsid w:val="008A2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AEA"/>
    <w:rPr>
      <w:rFonts w:ascii="Times New Roman" w:hAnsi="Times New Roman"/>
      <w:sz w:val="24"/>
    </w:rPr>
  </w:style>
  <w:style w:type="character" w:customStyle="1" w:styleId="Heading3Char">
    <w:name w:val="Heading 3 Char"/>
    <w:basedOn w:val="DefaultParagraphFont"/>
    <w:link w:val="Heading3"/>
    <w:uiPriority w:val="9"/>
    <w:semiHidden/>
    <w:rsid w:val="008A2AE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A2AEA"/>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90056D"/>
    <w:rPr>
      <w:b/>
      <w:bCs/>
    </w:rPr>
  </w:style>
  <w:style w:type="character" w:styleId="Emphasis">
    <w:name w:val="Emphasis"/>
    <w:basedOn w:val="DefaultParagraphFont"/>
    <w:uiPriority w:val="20"/>
    <w:qFormat/>
    <w:rsid w:val="0090056D"/>
    <w:rPr>
      <w:i/>
      <w:iCs/>
    </w:rPr>
  </w:style>
  <w:style w:type="table" w:styleId="TableGrid">
    <w:name w:val="Table Grid"/>
    <w:basedOn w:val="TableNormal"/>
    <w:uiPriority w:val="39"/>
    <w:rsid w:val="009005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90056D"/>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646124"/>
    <w:pPr>
      <w:spacing w:line="259" w:lineRule="auto"/>
      <w:jc w:val="left"/>
      <w:outlineLvl w:val="9"/>
    </w:pPr>
    <w:rPr>
      <w:rFonts w:asciiTheme="majorHAnsi" w:hAnsiTheme="majorHAnsi"/>
      <w:b w:val="0"/>
      <w:u w:val="none"/>
      <w:lang w:val="en-US"/>
    </w:rPr>
  </w:style>
  <w:style w:type="paragraph" w:styleId="TOC1">
    <w:name w:val="toc 1"/>
    <w:basedOn w:val="Normal"/>
    <w:next w:val="Normal"/>
    <w:autoRedefine/>
    <w:uiPriority w:val="39"/>
    <w:unhideWhenUsed/>
    <w:rsid w:val="00646124"/>
    <w:pPr>
      <w:spacing w:after="100"/>
    </w:pPr>
  </w:style>
  <w:style w:type="paragraph" w:styleId="TOC2">
    <w:name w:val="toc 2"/>
    <w:basedOn w:val="Normal"/>
    <w:next w:val="Normal"/>
    <w:autoRedefine/>
    <w:uiPriority w:val="39"/>
    <w:unhideWhenUsed/>
    <w:rsid w:val="00646124"/>
    <w:pPr>
      <w:spacing w:after="100"/>
      <w:ind w:left="240"/>
    </w:pPr>
  </w:style>
  <w:style w:type="character" w:styleId="Hyperlink">
    <w:name w:val="Hyperlink"/>
    <w:basedOn w:val="DefaultParagraphFont"/>
    <w:uiPriority w:val="99"/>
    <w:unhideWhenUsed/>
    <w:rsid w:val="006461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562560">
      <w:bodyDiv w:val="1"/>
      <w:marLeft w:val="0"/>
      <w:marRight w:val="0"/>
      <w:marTop w:val="0"/>
      <w:marBottom w:val="0"/>
      <w:divBdr>
        <w:top w:val="none" w:sz="0" w:space="0" w:color="auto"/>
        <w:left w:val="none" w:sz="0" w:space="0" w:color="auto"/>
        <w:bottom w:val="none" w:sz="0" w:space="0" w:color="auto"/>
        <w:right w:val="none" w:sz="0" w:space="0" w:color="auto"/>
      </w:divBdr>
    </w:div>
    <w:div w:id="190531768">
      <w:bodyDiv w:val="1"/>
      <w:marLeft w:val="0"/>
      <w:marRight w:val="0"/>
      <w:marTop w:val="0"/>
      <w:marBottom w:val="0"/>
      <w:divBdr>
        <w:top w:val="none" w:sz="0" w:space="0" w:color="auto"/>
        <w:left w:val="none" w:sz="0" w:space="0" w:color="auto"/>
        <w:bottom w:val="none" w:sz="0" w:space="0" w:color="auto"/>
        <w:right w:val="none" w:sz="0" w:space="0" w:color="auto"/>
      </w:divBdr>
    </w:div>
    <w:div w:id="210769280">
      <w:bodyDiv w:val="1"/>
      <w:marLeft w:val="0"/>
      <w:marRight w:val="0"/>
      <w:marTop w:val="0"/>
      <w:marBottom w:val="0"/>
      <w:divBdr>
        <w:top w:val="none" w:sz="0" w:space="0" w:color="auto"/>
        <w:left w:val="none" w:sz="0" w:space="0" w:color="auto"/>
        <w:bottom w:val="none" w:sz="0" w:space="0" w:color="auto"/>
        <w:right w:val="none" w:sz="0" w:space="0" w:color="auto"/>
      </w:divBdr>
    </w:div>
    <w:div w:id="268391095">
      <w:bodyDiv w:val="1"/>
      <w:marLeft w:val="0"/>
      <w:marRight w:val="0"/>
      <w:marTop w:val="0"/>
      <w:marBottom w:val="0"/>
      <w:divBdr>
        <w:top w:val="none" w:sz="0" w:space="0" w:color="auto"/>
        <w:left w:val="none" w:sz="0" w:space="0" w:color="auto"/>
        <w:bottom w:val="none" w:sz="0" w:space="0" w:color="auto"/>
        <w:right w:val="none" w:sz="0" w:space="0" w:color="auto"/>
      </w:divBdr>
    </w:div>
    <w:div w:id="283466570">
      <w:bodyDiv w:val="1"/>
      <w:marLeft w:val="0"/>
      <w:marRight w:val="0"/>
      <w:marTop w:val="0"/>
      <w:marBottom w:val="0"/>
      <w:divBdr>
        <w:top w:val="none" w:sz="0" w:space="0" w:color="auto"/>
        <w:left w:val="none" w:sz="0" w:space="0" w:color="auto"/>
        <w:bottom w:val="none" w:sz="0" w:space="0" w:color="auto"/>
        <w:right w:val="none" w:sz="0" w:space="0" w:color="auto"/>
      </w:divBdr>
    </w:div>
    <w:div w:id="289674927">
      <w:bodyDiv w:val="1"/>
      <w:marLeft w:val="0"/>
      <w:marRight w:val="0"/>
      <w:marTop w:val="0"/>
      <w:marBottom w:val="0"/>
      <w:divBdr>
        <w:top w:val="none" w:sz="0" w:space="0" w:color="auto"/>
        <w:left w:val="none" w:sz="0" w:space="0" w:color="auto"/>
        <w:bottom w:val="none" w:sz="0" w:space="0" w:color="auto"/>
        <w:right w:val="none" w:sz="0" w:space="0" w:color="auto"/>
      </w:divBdr>
    </w:div>
    <w:div w:id="402412450">
      <w:bodyDiv w:val="1"/>
      <w:marLeft w:val="0"/>
      <w:marRight w:val="0"/>
      <w:marTop w:val="0"/>
      <w:marBottom w:val="0"/>
      <w:divBdr>
        <w:top w:val="none" w:sz="0" w:space="0" w:color="auto"/>
        <w:left w:val="none" w:sz="0" w:space="0" w:color="auto"/>
        <w:bottom w:val="none" w:sz="0" w:space="0" w:color="auto"/>
        <w:right w:val="none" w:sz="0" w:space="0" w:color="auto"/>
      </w:divBdr>
    </w:div>
    <w:div w:id="430786134">
      <w:bodyDiv w:val="1"/>
      <w:marLeft w:val="0"/>
      <w:marRight w:val="0"/>
      <w:marTop w:val="0"/>
      <w:marBottom w:val="0"/>
      <w:divBdr>
        <w:top w:val="none" w:sz="0" w:space="0" w:color="auto"/>
        <w:left w:val="none" w:sz="0" w:space="0" w:color="auto"/>
        <w:bottom w:val="none" w:sz="0" w:space="0" w:color="auto"/>
        <w:right w:val="none" w:sz="0" w:space="0" w:color="auto"/>
      </w:divBdr>
    </w:div>
    <w:div w:id="701899749">
      <w:bodyDiv w:val="1"/>
      <w:marLeft w:val="0"/>
      <w:marRight w:val="0"/>
      <w:marTop w:val="0"/>
      <w:marBottom w:val="0"/>
      <w:divBdr>
        <w:top w:val="none" w:sz="0" w:space="0" w:color="auto"/>
        <w:left w:val="none" w:sz="0" w:space="0" w:color="auto"/>
        <w:bottom w:val="none" w:sz="0" w:space="0" w:color="auto"/>
        <w:right w:val="none" w:sz="0" w:space="0" w:color="auto"/>
      </w:divBdr>
    </w:div>
    <w:div w:id="724643206">
      <w:bodyDiv w:val="1"/>
      <w:marLeft w:val="0"/>
      <w:marRight w:val="0"/>
      <w:marTop w:val="0"/>
      <w:marBottom w:val="0"/>
      <w:divBdr>
        <w:top w:val="none" w:sz="0" w:space="0" w:color="auto"/>
        <w:left w:val="none" w:sz="0" w:space="0" w:color="auto"/>
        <w:bottom w:val="none" w:sz="0" w:space="0" w:color="auto"/>
        <w:right w:val="none" w:sz="0" w:space="0" w:color="auto"/>
      </w:divBdr>
    </w:div>
    <w:div w:id="953488364">
      <w:bodyDiv w:val="1"/>
      <w:marLeft w:val="0"/>
      <w:marRight w:val="0"/>
      <w:marTop w:val="0"/>
      <w:marBottom w:val="0"/>
      <w:divBdr>
        <w:top w:val="none" w:sz="0" w:space="0" w:color="auto"/>
        <w:left w:val="none" w:sz="0" w:space="0" w:color="auto"/>
        <w:bottom w:val="none" w:sz="0" w:space="0" w:color="auto"/>
        <w:right w:val="none" w:sz="0" w:space="0" w:color="auto"/>
      </w:divBdr>
    </w:div>
    <w:div w:id="1124351383">
      <w:bodyDiv w:val="1"/>
      <w:marLeft w:val="0"/>
      <w:marRight w:val="0"/>
      <w:marTop w:val="0"/>
      <w:marBottom w:val="0"/>
      <w:divBdr>
        <w:top w:val="none" w:sz="0" w:space="0" w:color="auto"/>
        <w:left w:val="none" w:sz="0" w:space="0" w:color="auto"/>
        <w:bottom w:val="none" w:sz="0" w:space="0" w:color="auto"/>
        <w:right w:val="none" w:sz="0" w:space="0" w:color="auto"/>
      </w:divBdr>
    </w:div>
    <w:div w:id="1170830914">
      <w:bodyDiv w:val="1"/>
      <w:marLeft w:val="0"/>
      <w:marRight w:val="0"/>
      <w:marTop w:val="0"/>
      <w:marBottom w:val="0"/>
      <w:divBdr>
        <w:top w:val="none" w:sz="0" w:space="0" w:color="auto"/>
        <w:left w:val="none" w:sz="0" w:space="0" w:color="auto"/>
        <w:bottom w:val="none" w:sz="0" w:space="0" w:color="auto"/>
        <w:right w:val="none" w:sz="0" w:space="0" w:color="auto"/>
      </w:divBdr>
    </w:div>
    <w:div w:id="1178808293">
      <w:bodyDiv w:val="1"/>
      <w:marLeft w:val="0"/>
      <w:marRight w:val="0"/>
      <w:marTop w:val="0"/>
      <w:marBottom w:val="0"/>
      <w:divBdr>
        <w:top w:val="none" w:sz="0" w:space="0" w:color="auto"/>
        <w:left w:val="none" w:sz="0" w:space="0" w:color="auto"/>
        <w:bottom w:val="none" w:sz="0" w:space="0" w:color="auto"/>
        <w:right w:val="none" w:sz="0" w:space="0" w:color="auto"/>
      </w:divBdr>
    </w:div>
    <w:div w:id="1287421177">
      <w:bodyDiv w:val="1"/>
      <w:marLeft w:val="0"/>
      <w:marRight w:val="0"/>
      <w:marTop w:val="0"/>
      <w:marBottom w:val="0"/>
      <w:divBdr>
        <w:top w:val="none" w:sz="0" w:space="0" w:color="auto"/>
        <w:left w:val="none" w:sz="0" w:space="0" w:color="auto"/>
        <w:bottom w:val="none" w:sz="0" w:space="0" w:color="auto"/>
        <w:right w:val="none" w:sz="0" w:space="0" w:color="auto"/>
      </w:divBdr>
    </w:div>
    <w:div w:id="1304120796">
      <w:bodyDiv w:val="1"/>
      <w:marLeft w:val="0"/>
      <w:marRight w:val="0"/>
      <w:marTop w:val="0"/>
      <w:marBottom w:val="0"/>
      <w:divBdr>
        <w:top w:val="none" w:sz="0" w:space="0" w:color="auto"/>
        <w:left w:val="none" w:sz="0" w:space="0" w:color="auto"/>
        <w:bottom w:val="none" w:sz="0" w:space="0" w:color="auto"/>
        <w:right w:val="none" w:sz="0" w:space="0" w:color="auto"/>
      </w:divBdr>
    </w:div>
    <w:div w:id="1419668667">
      <w:bodyDiv w:val="1"/>
      <w:marLeft w:val="0"/>
      <w:marRight w:val="0"/>
      <w:marTop w:val="0"/>
      <w:marBottom w:val="0"/>
      <w:divBdr>
        <w:top w:val="none" w:sz="0" w:space="0" w:color="auto"/>
        <w:left w:val="none" w:sz="0" w:space="0" w:color="auto"/>
        <w:bottom w:val="none" w:sz="0" w:space="0" w:color="auto"/>
        <w:right w:val="none" w:sz="0" w:space="0" w:color="auto"/>
      </w:divBdr>
    </w:div>
    <w:div w:id="1459714944">
      <w:bodyDiv w:val="1"/>
      <w:marLeft w:val="0"/>
      <w:marRight w:val="0"/>
      <w:marTop w:val="0"/>
      <w:marBottom w:val="0"/>
      <w:divBdr>
        <w:top w:val="none" w:sz="0" w:space="0" w:color="auto"/>
        <w:left w:val="none" w:sz="0" w:space="0" w:color="auto"/>
        <w:bottom w:val="none" w:sz="0" w:space="0" w:color="auto"/>
        <w:right w:val="none" w:sz="0" w:space="0" w:color="auto"/>
      </w:divBdr>
    </w:div>
    <w:div w:id="1504659148">
      <w:bodyDiv w:val="1"/>
      <w:marLeft w:val="0"/>
      <w:marRight w:val="0"/>
      <w:marTop w:val="0"/>
      <w:marBottom w:val="0"/>
      <w:divBdr>
        <w:top w:val="none" w:sz="0" w:space="0" w:color="auto"/>
        <w:left w:val="none" w:sz="0" w:space="0" w:color="auto"/>
        <w:bottom w:val="none" w:sz="0" w:space="0" w:color="auto"/>
        <w:right w:val="none" w:sz="0" w:space="0" w:color="auto"/>
      </w:divBdr>
    </w:div>
    <w:div w:id="1535389911">
      <w:bodyDiv w:val="1"/>
      <w:marLeft w:val="0"/>
      <w:marRight w:val="0"/>
      <w:marTop w:val="0"/>
      <w:marBottom w:val="0"/>
      <w:divBdr>
        <w:top w:val="none" w:sz="0" w:space="0" w:color="auto"/>
        <w:left w:val="none" w:sz="0" w:space="0" w:color="auto"/>
        <w:bottom w:val="none" w:sz="0" w:space="0" w:color="auto"/>
        <w:right w:val="none" w:sz="0" w:space="0" w:color="auto"/>
      </w:divBdr>
    </w:div>
    <w:div w:id="1651398002">
      <w:bodyDiv w:val="1"/>
      <w:marLeft w:val="0"/>
      <w:marRight w:val="0"/>
      <w:marTop w:val="0"/>
      <w:marBottom w:val="0"/>
      <w:divBdr>
        <w:top w:val="none" w:sz="0" w:space="0" w:color="auto"/>
        <w:left w:val="none" w:sz="0" w:space="0" w:color="auto"/>
        <w:bottom w:val="none" w:sz="0" w:space="0" w:color="auto"/>
        <w:right w:val="none" w:sz="0" w:space="0" w:color="auto"/>
      </w:divBdr>
    </w:div>
    <w:div w:id="1767651191">
      <w:bodyDiv w:val="1"/>
      <w:marLeft w:val="0"/>
      <w:marRight w:val="0"/>
      <w:marTop w:val="0"/>
      <w:marBottom w:val="0"/>
      <w:divBdr>
        <w:top w:val="none" w:sz="0" w:space="0" w:color="auto"/>
        <w:left w:val="none" w:sz="0" w:space="0" w:color="auto"/>
        <w:bottom w:val="none" w:sz="0" w:space="0" w:color="auto"/>
        <w:right w:val="none" w:sz="0" w:space="0" w:color="auto"/>
      </w:divBdr>
      <w:divsChild>
        <w:div w:id="1964650454">
          <w:marLeft w:val="0"/>
          <w:marRight w:val="0"/>
          <w:marTop w:val="0"/>
          <w:marBottom w:val="0"/>
          <w:divBdr>
            <w:top w:val="none" w:sz="0" w:space="0" w:color="auto"/>
            <w:left w:val="none" w:sz="0" w:space="0" w:color="auto"/>
            <w:bottom w:val="none" w:sz="0" w:space="0" w:color="auto"/>
            <w:right w:val="none" w:sz="0" w:space="0" w:color="auto"/>
          </w:divBdr>
          <w:divsChild>
            <w:div w:id="1224022307">
              <w:marLeft w:val="0"/>
              <w:marRight w:val="0"/>
              <w:marTop w:val="0"/>
              <w:marBottom w:val="120"/>
              <w:divBdr>
                <w:top w:val="none" w:sz="0" w:space="0" w:color="auto"/>
                <w:left w:val="none" w:sz="0" w:space="0" w:color="auto"/>
                <w:bottom w:val="none" w:sz="0" w:space="0" w:color="auto"/>
                <w:right w:val="none" w:sz="0" w:space="0" w:color="auto"/>
              </w:divBdr>
              <w:divsChild>
                <w:div w:id="151657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161183">
      <w:bodyDiv w:val="1"/>
      <w:marLeft w:val="0"/>
      <w:marRight w:val="0"/>
      <w:marTop w:val="0"/>
      <w:marBottom w:val="0"/>
      <w:divBdr>
        <w:top w:val="none" w:sz="0" w:space="0" w:color="auto"/>
        <w:left w:val="none" w:sz="0" w:space="0" w:color="auto"/>
        <w:bottom w:val="none" w:sz="0" w:space="0" w:color="auto"/>
        <w:right w:val="none" w:sz="0" w:space="0" w:color="auto"/>
      </w:divBdr>
    </w:div>
    <w:div w:id="2058622635">
      <w:bodyDiv w:val="1"/>
      <w:marLeft w:val="0"/>
      <w:marRight w:val="0"/>
      <w:marTop w:val="0"/>
      <w:marBottom w:val="0"/>
      <w:divBdr>
        <w:top w:val="none" w:sz="0" w:space="0" w:color="auto"/>
        <w:left w:val="none" w:sz="0" w:space="0" w:color="auto"/>
        <w:bottom w:val="none" w:sz="0" w:space="0" w:color="auto"/>
        <w:right w:val="none" w:sz="0" w:space="0" w:color="auto"/>
      </w:divBdr>
    </w:div>
    <w:div w:id="2082409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4505/jemt.v14.5(69).12" TargetMode="External"/><Relationship Id="rId18" Type="http://schemas.openxmlformats.org/officeDocument/2006/relationships/hyperlink" Target="https://doi.org/10.1016/j.ijedro.2020.100022" TargetMode="External"/><Relationship Id="rId26" Type="http://schemas.openxmlformats.org/officeDocument/2006/relationships/hyperlink" Target="https://doi.org/10.26689/jcer.v7i12.5701" TargetMode="External"/><Relationship Id="rId39" Type="http://schemas.openxmlformats.org/officeDocument/2006/relationships/hyperlink" Target="https://doi.org/10.34190/ecgbl.16.1.876" TargetMode="External"/><Relationship Id="rId3" Type="http://schemas.openxmlformats.org/officeDocument/2006/relationships/styles" Target="styles.xml"/><Relationship Id="rId21" Type="http://schemas.openxmlformats.org/officeDocument/2006/relationships/hyperlink" Target="https://doi.org/10.1037/mgr0000145" TargetMode="External"/><Relationship Id="rId34" Type="http://schemas.openxmlformats.org/officeDocument/2006/relationships/hyperlink" Target="https://doi.org/10.3390/informatics7040054" TargetMode="External"/><Relationship Id="rId42" Type="http://schemas.openxmlformats.org/officeDocument/2006/relationships/hyperlink" Target="https://doi.org/10.1177/23220937221082771" TargetMode="External"/><Relationship Id="rId47"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47191/ijmra/v7-i07-11" TargetMode="External"/><Relationship Id="rId25" Type="http://schemas.openxmlformats.org/officeDocument/2006/relationships/hyperlink" Target="https://doi.org/10.1051/shsconf/202316803024" TargetMode="External"/><Relationship Id="rId33" Type="http://schemas.openxmlformats.org/officeDocument/2006/relationships/hyperlink" Target="https://doi.org/10.34190/ejkm.22.1.3258" TargetMode="External"/><Relationship Id="rId38" Type="http://schemas.openxmlformats.org/officeDocument/2006/relationships/hyperlink" Target="https://doi.org/10.33448/rsd-v11i12.34895"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52398/gjsd.2025.v5.i2.pp2-19" TargetMode="External"/><Relationship Id="rId20" Type="http://schemas.openxmlformats.org/officeDocument/2006/relationships/hyperlink" Target="https://doi.org/10.36366/frontiers.v33i1.521" TargetMode="External"/><Relationship Id="rId29" Type="http://schemas.openxmlformats.org/officeDocument/2006/relationships/hyperlink" Target="https://doi.org/10.1017/aee.2024.5" TargetMode="External"/><Relationship Id="rId41" Type="http://schemas.openxmlformats.org/officeDocument/2006/relationships/hyperlink" Target="https://doi.org/10.1371/journal.pone.031693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11/bjet.13128" TargetMode="External"/><Relationship Id="rId32" Type="http://schemas.openxmlformats.org/officeDocument/2006/relationships/hyperlink" Target="https://doi.org/10.18662/lumenss/23" TargetMode="External"/><Relationship Id="rId37" Type="http://schemas.openxmlformats.org/officeDocument/2006/relationships/hyperlink" Target="https://doi.org/10.20867/thi.27.16" TargetMode="External"/><Relationship Id="rId40" Type="http://schemas.openxmlformats.org/officeDocument/2006/relationships/hyperlink" Target="https://doi.org/10.1108/ijis-02-2021-0029"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2806/v19/i4/r1" TargetMode="External"/><Relationship Id="rId23" Type="http://schemas.openxmlformats.org/officeDocument/2006/relationships/hyperlink" Target="https://doi.org/10.55248/gengpi.5.0424.1002" TargetMode="External"/><Relationship Id="rId28" Type="http://schemas.openxmlformats.org/officeDocument/2006/relationships/hyperlink" Target="https://doi.org/10.1177/20436106221102617" TargetMode="External"/><Relationship Id="rId36" Type="http://schemas.openxmlformats.org/officeDocument/2006/relationships/hyperlink" Target="https://doi.org/10.5206/cjsotl-rcacea.2020.1.10804" TargetMode="External"/><Relationship Id="rId10" Type="http://schemas.openxmlformats.org/officeDocument/2006/relationships/image" Target="media/image3.png"/><Relationship Id="rId19" Type="http://schemas.openxmlformats.org/officeDocument/2006/relationships/hyperlink" Target="https://doi.org/10.1111/1744-7941.70012" TargetMode="External"/><Relationship Id="rId31" Type="http://schemas.openxmlformats.org/officeDocument/2006/relationships/hyperlink" Target="https://doi.org/10.5937/drushor2305101m" TargetMode="External"/><Relationship Id="rId44" Type="http://schemas.openxmlformats.org/officeDocument/2006/relationships/hyperlink" Target="https://doi.org/10.18063/fls.v4i1.146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10525629221121700" TargetMode="External"/><Relationship Id="rId22" Type="http://schemas.openxmlformats.org/officeDocument/2006/relationships/hyperlink" Target="https://doi.org/10.1108/er-07-2023-0338" TargetMode="External"/><Relationship Id="rId27" Type="http://schemas.openxmlformats.org/officeDocument/2006/relationships/hyperlink" Target="https://doi.org/10.1007/s11482-023-10191-y" TargetMode="External"/><Relationship Id="rId30" Type="http://schemas.openxmlformats.org/officeDocument/2006/relationships/hyperlink" Target="https://doi.org/10.4102/sajhrm.v21i0.2224" TargetMode="External"/><Relationship Id="rId35" Type="http://schemas.openxmlformats.org/officeDocument/2006/relationships/hyperlink" Target="https://doi.org/10.30574/ijsra.2024.11.1.0269" TargetMode="External"/><Relationship Id="rId43" Type="http://schemas.openxmlformats.org/officeDocument/2006/relationships/hyperlink" Target="https://doi.org/10.1002/hrm.22282" TargetMode="External"/><Relationship Id="rId48"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44E3"/>
    <w:rsid w:val="00020D50"/>
    <w:rsid w:val="005E2F0F"/>
    <w:rsid w:val="007F44E3"/>
    <w:rsid w:val="008F35B0"/>
    <w:rsid w:val="00B64048"/>
    <w:rsid w:val="00CF199A"/>
    <w:rsid w:val="00E37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A5F8F5582242EC9BD57274E28BF236">
    <w:name w:val="0BA5F8F5582242EC9BD57274E28BF236"/>
    <w:rsid w:val="007F44E3"/>
  </w:style>
  <w:style w:type="paragraph" w:customStyle="1" w:styleId="D85B5404D8F64B5E89E393172A4DB43D">
    <w:name w:val="D85B5404D8F64B5E89E393172A4DB43D"/>
    <w:rsid w:val="007F44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45FF0-8F42-487E-B3EC-27734F8F6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18</Pages>
  <Words>5387</Words>
  <Characters>30711</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Human Capital Management</vt:lpstr>
    </vt:vector>
  </TitlesOfParts>
  <Company/>
  <LinksUpToDate>false</LinksUpToDate>
  <CharactersWithSpaces>36026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Capital Management</dc:title>
  <dc:subject>LCMB7023</dc:subject>
  <dc:creator>pc</dc:creator>
  <cp:keywords/>
  <dc:description/>
  <cp:lastModifiedBy>pc</cp:lastModifiedBy>
  <cp:revision>64</cp:revision>
  <dcterms:created xsi:type="dcterms:W3CDTF">2025-11-04T17:28:00Z</dcterms:created>
  <dcterms:modified xsi:type="dcterms:W3CDTF">2025-11-11T17:50:00Z</dcterms:modified>
</cp:coreProperties>
</file>