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D4608" w:rsidRPr="00DD4608" w:rsidRDefault="004B17C1">
      <w:pPr>
        <w:rPr>
          <w:rFonts w:ascii="Arial" w:hAnsi="Arial" w:cs="Arial"/>
          <w:color w:val="333333"/>
          <w:sz w:val="36"/>
          <w:szCs w:val="36"/>
          <w:lang/>
        </w:rPr>
      </w:pPr>
      <w:r w:rsidRPr="00DD4608">
        <w:rPr>
          <w:rFonts w:ascii="Arial" w:hAnsi="Arial" w:cs="Arial"/>
          <w:b/>
          <w:color w:val="333333"/>
          <w:sz w:val="36"/>
          <w:szCs w:val="36"/>
          <w:lang/>
        </w:rPr>
        <w:t xml:space="preserve">Readings </w:t>
      </w:r>
    </w:p>
    <w:p w:rsidR="00DD4608" w:rsidRPr="00DD4608" w:rsidRDefault="004B17C1">
      <w:pPr>
        <w:rPr>
          <w:rFonts w:ascii="Arial" w:hAnsi="Arial" w:cs="Arial"/>
          <w:color w:val="333333"/>
          <w:lang/>
        </w:rPr>
      </w:pPr>
      <w:r w:rsidRPr="00DD4608">
        <w:rPr>
          <w:rFonts w:ascii="Arial" w:hAnsi="Arial" w:cs="Arial"/>
          <w:color w:val="333333"/>
          <w:lang/>
        </w:rPr>
        <w:br/>
      </w:r>
      <w:r w:rsidRPr="00DD4608">
        <w:rPr>
          <w:rFonts w:ascii="Arial" w:hAnsi="Arial" w:cs="Arial"/>
          <w:b/>
          <w:color w:val="333333"/>
          <w:lang/>
        </w:rPr>
        <w:t>General, Edited Collections and Readers</w:t>
      </w:r>
      <w:r w:rsidRPr="00DD4608">
        <w:rPr>
          <w:rFonts w:ascii="Arial" w:hAnsi="Arial" w:cs="Arial"/>
          <w:color w:val="333333"/>
          <w:lang/>
        </w:rPr>
        <w:t xml:space="preserve"> </w:t>
      </w:r>
      <w:r w:rsidRPr="00DD4608">
        <w:rPr>
          <w:rFonts w:ascii="Arial" w:hAnsi="Arial" w:cs="Arial"/>
          <w:color w:val="333333"/>
          <w:lang/>
        </w:rPr>
        <w:br/>
        <w:t>You will find the following edited collections have a wide variety of case studies that address the topics that we cover throughout the module.</w:t>
      </w:r>
      <w:r w:rsidRPr="00DD4608">
        <w:rPr>
          <w:rFonts w:ascii="Arial" w:hAnsi="Arial" w:cs="Arial"/>
          <w:color w:val="333333"/>
          <w:lang/>
        </w:rPr>
        <w:br/>
        <w:t>-Benton, R. (2010) Understanding Heritage and Memory (Understanding Global Heritage). Manchester: Manchester University Press</w:t>
      </w:r>
      <w:r w:rsidRPr="00DD4608">
        <w:rPr>
          <w:rFonts w:ascii="Arial" w:hAnsi="Arial" w:cs="Arial"/>
          <w:color w:val="333333"/>
          <w:lang/>
        </w:rPr>
        <w:br/>
        <w:t>-</w:t>
      </w:r>
      <w:proofErr w:type="spellStart"/>
      <w:r w:rsidRPr="00DD4608">
        <w:rPr>
          <w:rFonts w:ascii="Arial" w:hAnsi="Arial" w:cs="Arial"/>
          <w:color w:val="333333"/>
          <w:lang/>
        </w:rPr>
        <w:t>Cleere</w:t>
      </w:r>
      <w:proofErr w:type="spellEnd"/>
      <w:r w:rsidRPr="00DD4608">
        <w:rPr>
          <w:rFonts w:ascii="Arial" w:hAnsi="Arial" w:cs="Arial"/>
          <w:color w:val="333333"/>
          <w:lang/>
        </w:rPr>
        <w:t xml:space="preserve">, H (ed.) (1989) Archaeological Heritage Management in the Modern World. London: </w:t>
      </w:r>
      <w:proofErr w:type="spellStart"/>
      <w:r w:rsidRPr="00DD4608">
        <w:rPr>
          <w:rFonts w:ascii="Arial" w:hAnsi="Arial" w:cs="Arial"/>
          <w:color w:val="333333"/>
          <w:lang/>
        </w:rPr>
        <w:t>Routledge</w:t>
      </w:r>
      <w:proofErr w:type="spellEnd"/>
      <w:r w:rsidRPr="00DD4608">
        <w:rPr>
          <w:rFonts w:ascii="Arial" w:hAnsi="Arial" w:cs="Arial"/>
          <w:color w:val="333333"/>
          <w:lang/>
        </w:rPr>
        <w:br/>
        <w:t>-</w:t>
      </w:r>
      <w:proofErr w:type="spellStart"/>
      <w:r w:rsidRPr="00DD4608">
        <w:rPr>
          <w:rFonts w:ascii="Arial" w:hAnsi="Arial" w:cs="Arial"/>
          <w:color w:val="333333"/>
          <w:lang/>
        </w:rPr>
        <w:t>Fairlough</w:t>
      </w:r>
      <w:proofErr w:type="spellEnd"/>
      <w:r w:rsidRPr="00DD4608">
        <w:rPr>
          <w:rFonts w:ascii="Arial" w:hAnsi="Arial" w:cs="Arial"/>
          <w:color w:val="333333"/>
          <w:lang/>
        </w:rPr>
        <w:t xml:space="preserve">, G. et al (2008) The Heritage Reader. London: Routledge </w:t>
      </w:r>
      <w:r w:rsidRPr="00DD4608">
        <w:rPr>
          <w:rFonts w:ascii="Arial" w:hAnsi="Arial" w:cs="Arial"/>
          <w:color w:val="333333"/>
          <w:lang/>
        </w:rPr>
        <w:br/>
        <w:t xml:space="preserve">Harrison, R. (2010) Understanding the Politics of Heritage (Understanding Global Heritage). Manchester: Manchester University Press </w:t>
      </w:r>
      <w:r w:rsidRPr="00DD4608">
        <w:rPr>
          <w:rFonts w:ascii="Arial" w:hAnsi="Arial" w:cs="Arial"/>
          <w:color w:val="333333"/>
          <w:lang/>
        </w:rPr>
        <w:br/>
        <w:t>-</w:t>
      </w:r>
      <w:proofErr w:type="spellStart"/>
      <w:r w:rsidRPr="00DD4608">
        <w:rPr>
          <w:rFonts w:ascii="Arial" w:hAnsi="Arial" w:cs="Arial"/>
          <w:color w:val="333333"/>
          <w:lang/>
        </w:rPr>
        <w:t>Labadi</w:t>
      </w:r>
      <w:proofErr w:type="spellEnd"/>
      <w:r w:rsidRPr="00DD4608">
        <w:rPr>
          <w:rFonts w:ascii="Arial" w:hAnsi="Arial" w:cs="Arial"/>
          <w:color w:val="333333"/>
          <w:lang/>
        </w:rPr>
        <w:t xml:space="preserve">, S and C. Lang (2010) Heritage and </w:t>
      </w:r>
      <w:proofErr w:type="spellStart"/>
      <w:r w:rsidRPr="00DD4608">
        <w:rPr>
          <w:rFonts w:ascii="Arial" w:hAnsi="Arial" w:cs="Arial"/>
          <w:color w:val="333333"/>
          <w:lang/>
        </w:rPr>
        <w:t>Globalisation</w:t>
      </w:r>
      <w:proofErr w:type="spellEnd"/>
      <w:r w:rsidRPr="00DD4608">
        <w:rPr>
          <w:rFonts w:ascii="Arial" w:hAnsi="Arial" w:cs="Arial"/>
          <w:color w:val="333333"/>
          <w:lang/>
        </w:rPr>
        <w:t xml:space="preserve">, London: </w:t>
      </w:r>
      <w:proofErr w:type="spellStart"/>
      <w:r w:rsidRPr="00DD4608">
        <w:rPr>
          <w:rFonts w:ascii="Arial" w:hAnsi="Arial" w:cs="Arial"/>
          <w:color w:val="333333"/>
          <w:lang/>
        </w:rPr>
        <w:t>Routledge</w:t>
      </w:r>
      <w:proofErr w:type="spellEnd"/>
      <w:r w:rsidRPr="00DD4608">
        <w:rPr>
          <w:rFonts w:ascii="Arial" w:hAnsi="Arial" w:cs="Arial"/>
          <w:color w:val="333333"/>
          <w:lang/>
        </w:rPr>
        <w:t xml:space="preserve"> </w:t>
      </w:r>
      <w:r w:rsidRPr="00DD4608">
        <w:rPr>
          <w:rFonts w:ascii="Arial" w:hAnsi="Arial" w:cs="Arial"/>
          <w:color w:val="333333"/>
          <w:lang/>
        </w:rPr>
        <w:br/>
        <w:t xml:space="preserve">-West, S. (2010) Understanding Heritage </w:t>
      </w:r>
      <w:proofErr w:type="gramStart"/>
      <w:r w:rsidRPr="00DD4608">
        <w:rPr>
          <w:rFonts w:ascii="Arial" w:hAnsi="Arial" w:cs="Arial"/>
          <w:color w:val="333333"/>
          <w:lang/>
        </w:rPr>
        <w:t>In</w:t>
      </w:r>
      <w:proofErr w:type="gramEnd"/>
      <w:r w:rsidRPr="00DD4608">
        <w:rPr>
          <w:rFonts w:ascii="Arial" w:hAnsi="Arial" w:cs="Arial"/>
          <w:color w:val="333333"/>
          <w:lang/>
        </w:rPr>
        <w:t xml:space="preserve"> Practice (Understanding Global Heritage). Manchester: Manchester University Press </w:t>
      </w:r>
      <w:r w:rsidRPr="00DD4608">
        <w:rPr>
          <w:rFonts w:ascii="Arial" w:hAnsi="Arial" w:cs="Arial"/>
          <w:color w:val="333333"/>
          <w:lang/>
        </w:rPr>
        <w:br/>
      </w:r>
    </w:p>
    <w:p w:rsidR="00DD4608" w:rsidRPr="00DD4608" w:rsidRDefault="004B17C1">
      <w:pPr>
        <w:rPr>
          <w:rFonts w:ascii="Arial" w:hAnsi="Arial" w:cs="Arial"/>
          <w:color w:val="333333"/>
          <w:lang/>
        </w:rPr>
      </w:pPr>
      <w:r w:rsidRPr="00DD4608">
        <w:rPr>
          <w:rFonts w:ascii="Arial" w:hAnsi="Arial" w:cs="Arial"/>
          <w:b/>
          <w:color w:val="333333"/>
          <w:lang/>
        </w:rPr>
        <w:t>Web Resources</w:t>
      </w:r>
      <w:r w:rsidRPr="00DD4608">
        <w:rPr>
          <w:rFonts w:ascii="Arial" w:hAnsi="Arial" w:cs="Arial"/>
          <w:color w:val="333333"/>
          <w:lang/>
        </w:rPr>
        <w:t xml:space="preserve"> </w:t>
      </w:r>
    </w:p>
    <w:p w:rsidR="00DD4608" w:rsidRPr="00DD4608" w:rsidRDefault="004B17C1">
      <w:pPr>
        <w:rPr>
          <w:rFonts w:ascii="Arial" w:hAnsi="Arial" w:cs="Arial"/>
          <w:color w:val="333333"/>
          <w:lang/>
        </w:rPr>
      </w:pPr>
      <w:r w:rsidRPr="00DD4608">
        <w:rPr>
          <w:rFonts w:ascii="Arial" w:hAnsi="Arial" w:cs="Arial"/>
          <w:color w:val="333333"/>
          <w:lang/>
        </w:rPr>
        <w:br/>
        <w:t xml:space="preserve">www.unesco.org.uk </w:t>
      </w:r>
      <w:r w:rsidRPr="00DD4608">
        <w:rPr>
          <w:rFonts w:ascii="Arial" w:hAnsi="Arial" w:cs="Arial"/>
          <w:color w:val="333333"/>
          <w:lang/>
        </w:rPr>
        <w:br/>
        <w:t xml:space="preserve">http://whc.unesco.org/ </w:t>
      </w:r>
      <w:r w:rsidRPr="00DD4608">
        <w:rPr>
          <w:rFonts w:ascii="Arial" w:hAnsi="Arial" w:cs="Arial"/>
          <w:color w:val="333333"/>
          <w:lang/>
        </w:rPr>
        <w:br/>
        <w:t xml:space="preserve">www.cadw.wales.gov.uk </w:t>
      </w:r>
      <w:r w:rsidRPr="00DD4608">
        <w:rPr>
          <w:rFonts w:ascii="Arial" w:hAnsi="Arial" w:cs="Arial"/>
          <w:color w:val="333333"/>
          <w:lang/>
        </w:rPr>
        <w:br/>
        <w:t xml:space="preserve">http://www.english-heritage.org.uk </w:t>
      </w:r>
      <w:r w:rsidRPr="00DD4608">
        <w:rPr>
          <w:rFonts w:ascii="Arial" w:hAnsi="Arial" w:cs="Arial"/>
          <w:color w:val="333333"/>
          <w:lang/>
        </w:rPr>
        <w:br/>
        <w:t xml:space="preserve">http://www.icomos.org/en/ </w:t>
      </w:r>
      <w:r w:rsidRPr="00DD4608">
        <w:rPr>
          <w:rFonts w:ascii="Arial" w:hAnsi="Arial" w:cs="Arial"/>
          <w:color w:val="333333"/>
          <w:lang/>
        </w:rPr>
        <w:br/>
        <w:t xml:space="preserve">http://www.museumwales.ac.uk </w:t>
      </w:r>
      <w:r w:rsidRPr="00DD4608">
        <w:rPr>
          <w:rFonts w:ascii="Arial" w:hAnsi="Arial" w:cs="Arial"/>
          <w:color w:val="333333"/>
          <w:lang/>
        </w:rPr>
        <w:br/>
      </w:r>
    </w:p>
    <w:p w:rsidR="00DD4608" w:rsidRPr="00DD4608" w:rsidRDefault="004B17C1">
      <w:pPr>
        <w:rPr>
          <w:rFonts w:ascii="Arial" w:hAnsi="Arial" w:cs="Arial"/>
          <w:color w:val="333333"/>
          <w:lang/>
        </w:rPr>
      </w:pPr>
      <w:r w:rsidRPr="00DD4608">
        <w:rPr>
          <w:rFonts w:ascii="Arial" w:hAnsi="Arial" w:cs="Arial"/>
          <w:b/>
          <w:color w:val="333333"/>
          <w:lang/>
        </w:rPr>
        <w:t>Case Studies</w:t>
      </w:r>
      <w:r w:rsidRPr="00DD4608">
        <w:rPr>
          <w:rFonts w:ascii="Arial" w:hAnsi="Arial" w:cs="Arial"/>
          <w:color w:val="333333"/>
          <w:lang/>
        </w:rPr>
        <w:t xml:space="preserve"> </w:t>
      </w:r>
    </w:p>
    <w:p w:rsidR="002932A0" w:rsidRPr="00DD4608" w:rsidRDefault="004B17C1">
      <w:pPr>
        <w:rPr>
          <w:rFonts w:ascii="Arial" w:hAnsi="Arial" w:cs="Arial"/>
          <w:color w:val="333333"/>
          <w:lang/>
        </w:rPr>
      </w:pPr>
      <w:r w:rsidRPr="00DD4608">
        <w:rPr>
          <w:rFonts w:ascii="Arial" w:hAnsi="Arial" w:cs="Arial"/>
          <w:color w:val="333333"/>
          <w:lang/>
        </w:rPr>
        <w:br/>
        <w:t xml:space="preserve">-Benavides, Hugo O. (2004) Making Ecuadorian Histories: Four Centuries of Defining Power Texas: University of Texas Press </w:t>
      </w:r>
      <w:r w:rsidRPr="00DD4608">
        <w:rPr>
          <w:rFonts w:ascii="Arial" w:hAnsi="Arial" w:cs="Arial"/>
          <w:color w:val="333333"/>
          <w:lang/>
        </w:rPr>
        <w:br/>
        <w:t>-</w:t>
      </w:r>
      <w:proofErr w:type="spellStart"/>
      <w:r w:rsidRPr="00DD4608">
        <w:rPr>
          <w:rFonts w:ascii="Arial" w:hAnsi="Arial" w:cs="Arial"/>
          <w:color w:val="333333"/>
          <w:lang/>
        </w:rPr>
        <w:t>Breglia</w:t>
      </w:r>
      <w:proofErr w:type="spellEnd"/>
      <w:r w:rsidRPr="00DD4608">
        <w:rPr>
          <w:rFonts w:ascii="Arial" w:hAnsi="Arial" w:cs="Arial"/>
          <w:color w:val="333333"/>
          <w:lang/>
        </w:rPr>
        <w:t xml:space="preserve">, L. (2006) Monumental Ambivalence: The Politics of Heritage. Austin, TX: University of Texas Press </w:t>
      </w:r>
      <w:r w:rsidRPr="00DD4608">
        <w:rPr>
          <w:rFonts w:ascii="Arial" w:hAnsi="Arial" w:cs="Arial"/>
          <w:color w:val="333333"/>
          <w:lang/>
        </w:rPr>
        <w:br/>
        <w:t>-Handler, Richard &amp; Eric Gable (1997) The New History in an Old Museum: Creating the Past at Colonial Williamsburg London and Durham: Duke University Press</w:t>
      </w:r>
      <w:proofErr w:type="gramStart"/>
      <w:r w:rsidRPr="00DD4608">
        <w:rPr>
          <w:rFonts w:ascii="Arial" w:hAnsi="Arial" w:cs="Arial"/>
          <w:color w:val="333333"/>
          <w:lang/>
        </w:rPr>
        <w:t xml:space="preserve">  </w:t>
      </w:r>
      <w:proofErr w:type="gramEnd"/>
      <w:r w:rsidRPr="00DD4608">
        <w:rPr>
          <w:rFonts w:ascii="Arial" w:hAnsi="Arial" w:cs="Arial"/>
          <w:color w:val="333333"/>
          <w:lang/>
        </w:rPr>
        <w:br/>
        <w:t xml:space="preserve">-Herzfeld, Michael. (1991) A Place in History: Social and Monumental Time in a Cretan Town. Princeton: Princeton University Press </w:t>
      </w:r>
      <w:r w:rsidRPr="00DD4608">
        <w:rPr>
          <w:rFonts w:ascii="Arial" w:hAnsi="Arial" w:cs="Arial"/>
          <w:color w:val="333333"/>
          <w:lang/>
        </w:rPr>
        <w:br/>
        <w:t xml:space="preserve">-Winter, Tim (2011) Post-Conflict Heritage, </w:t>
      </w:r>
      <w:proofErr w:type="gramStart"/>
      <w:r w:rsidRPr="00DD4608">
        <w:rPr>
          <w:rFonts w:ascii="Arial" w:hAnsi="Arial" w:cs="Arial"/>
          <w:color w:val="333333"/>
          <w:lang/>
        </w:rPr>
        <w:t>Postcolonial</w:t>
      </w:r>
      <w:proofErr w:type="gramEnd"/>
      <w:r w:rsidRPr="00DD4608">
        <w:rPr>
          <w:rFonts w:ascii="Arial" w:hAnsi="Arial" w:cs="Arial"/>
          <w:color w:val="333333"/>
          <w:lang/>
        </w:rPr>
        <w:t xml:space="preserve"> Tourism: Tourism, Politics and Development at Angkor. London: Routledge</w:t>
      </w:r>
    </w:p>
    <w:p w:rsidR="004B17C1" w:rsidRPr="00DD4608" w:rsidRDefault="004B17C1">
      <w:pPr>
        <w:rPr>
          <w:rFonts w:ascii="Arial" w:hAnsi="Arial" w:cs="Arial"/>
          <w:color w:val="333333"/>
          <w:lang/>
        </w:rPr>
      </w:pP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What </w:t>
      </w:r>
      <w:proofErr w:type="gramStart"/>
      <w:r w:rsidRPr="00DD4608">
        <w:rPr>
          <w:rFonts w:ascii="Arial" w:eastAsia="Times New Roman" w:hAnsi="Arial" w:cs="Arial"/>
          <w:b/>
          <w:color w:val="333333"/>
          <w:lang w:eastAsia="en-GB"/>
        </w:rPr>
        <w:t>is</w:t>
      </w:r>
      <w:proofErr w:type="gramEnd"/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 Heritage and the Heritage ‘Industry?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Adorno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T (2001) </w:t>
      </w:r>
      <w:proofErr w:type="gramStart"/>
      <w:r w:rsidRPr="00DD4608">
        <w:rPr>
          <w:rFonts w:ascii="Arial" w:eastAsia="Times New Roman" w:hAnsi="Arial" w:cs="Arial"/>
          <w:i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Culture Industry: Selected Essays on Mass Culture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London: Routledge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lastRenderedPageBreak/>
        <w:t xml:space="preserve">Carman, John (2005)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Against Cultural Property: Archaeology Heritage and Ownership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Duckworth Debates in Archaeology (Chapter 5) 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Clifford, James (1988) </w:t>
      </w:r>
      <w:proofErr w:type="gramStart"/>
      <w:r w:rsidRPr="00DD4608">
        <w:rPr>
          <w:rFonts w:ascii="Arial" w:eastAsia="Times New Roman" w:hAnsi="Arial" w:cs="Arial"/>
          <w:i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Predicament of Culture: Twentieth-Century Ethnography, Literature, and Art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 Cambridge, Mass: Harvard University Press (On collecting art and culture’, pp215-251)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English Heritage.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(2008) ‘Sustaining the Historic Environment: New Perspectives on the Future’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The Heritage Reader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G.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Fairclough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et al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), pp. 313-322. London: Routledge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Fairclough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G. (2008) ‘New Heritage, A Introductory Essay – People, Landscape and Change’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The Heritage Reader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G.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Fairclough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et al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), pp. 297-312. London: Routledge </w:t>
      </w:r>
    </w:p>
    <w:p w:rsidR="00DD4608" w:rsidRPr="00DD4608" w:rsidRDefault="004B17C1" w:rsidP="00DD4608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Harrison, R (2010) ‘What is Heritage’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Understanding the Politics of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R. Harrison (ed.), pp. 5-43. Manchester: Manchester University Press </w:t>
      </w:r>
    </w:p>
    <w:p w:rsidR="004B17C1" w:rsidRPr="00DD4608" w:rsidRDefault="004B17C1" w:rsidP="00DD4608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 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Harrison, R and A. Linkman (2010) ‘Critical Approaches to Heritage’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Understanding the Politics of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R. Harrison (ed.), pp. 5-43. Manchester: Manchester University Press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Hewison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R (1999 [1987]) ‘The Climate of Decline’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Representing the Nation: A Reader. Histories, Heritage and Museums</w:t>
      </w:r>
      <w:r w:rsidRPr="00DD4608">
        <w:rPr>
          <w:rFonts w:ascii="Arial" w:eastAsia="Times New Roman" w:hAnsi="Arial" w:cs="Arial"/>
          <w:color w:val="333333"/>
          <w:lang w:eastAsia="en-GB"/>
        </w:rPr>
        <w:t>, D. Boswell and J. Evans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), pp. 151-162. London: Routledge in association with The Open University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Hewison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R (1987) </w:t>
      </w:r>
      <w:proofErr w:type="gramStart"/>
      <w:r w:rsidRPr="00DD4608">
        <w:rPr>
          <w:rFonts w:ascii="Arial" w:eastAsia="Times New Roman" w:hAnsi="Arial" w:cs="Arial"/>
          <w:i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Heritage Industry: Britain in a Climate of Decline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London: Methuen 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b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Reburial and Human Remains:  Introducing Heritage and Human Rights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Bray,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 and T.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Killon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(eds.) (1994)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Reckoning with the Dead: The Larsen Bay Repatriation and the Smithsonian Institution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Washington: Smithsonian Institution Press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Kramer, J (2004) ‘Figurative repatriation: First Nations ‘artist-warriors’ recover, reclaim, and return cultural property through self-definition.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Journal of Material Culture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9(2): 161-82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Krmpotich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C et al. (2010)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substance of bones: The emotive materiality and affective presence of human remains.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Journal of Material Culture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15(4): 371-84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Krmpotich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C. (2010) Remembering and Repatriation: The Production of Kinship, Memory and Respect.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Journal of Material Culture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15(2): 157-179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Meskell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L. (2010) Human Rights and Heritage Ethics.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Anthropological Quarterly </w:t>
      </w:r>
      <w:r w:rsidRPr="00DD4608">
        <w:rPr>
          <w:rFonts w:ascii="Arial" w:eastAsia="Times New Roman" w:hAnsi="Arial" w:cs="Arial"/>
          <w:color w:val="333333"/>
          <w:lang w:eastAsia="en-GB"/>
        </w:rPr>
        <w:t>83(4): 839-59.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Nash, S. E.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And C. Colwell-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Chanthaphonh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(2010) NAGPRA after Two Decades.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Museum Anthropology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33(2): 99-104.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Silverman, H and D. Fairchild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Ruggles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(ed.) (2008)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Cultural Heritage and Human Rights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London: Springer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Strathern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M (2004) ‘The Whole Person and its Artifacts.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Annual Review of Anthropology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33: xiv, 1-19 </w:t>
      </w:r>
    </w:p>
    <w:p w:rsidR="00DD4608" w:rsidRPr="00DD4608" w:rsidRDefault="00DD4608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</w:p>
    <w:p w:rsidR="004B17C1" w:rsidRPr="00DD4608" w:rsidRDefault="004B17C1" w:rsidP="004B17C1">
      <w:pPr>
        <w:spacing w:after="10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lastRenderedPageBreak/>
        <w:t xml:space="preserve">Watkins, J. (2003) Beyond the Margin: American Indians, First Nations, and Archaeology in North America.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American Antiquity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68(2): 273-85 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Cultural Restitution: Cultural Rights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Brodie, N. et al (eds.) (2001)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Trade in Illicit Antiquities: </w:t>
      </w:r>
      <w:proofErr w:type="gramStart"/>
      <w:r w:rsidRPr="00DD4608">
        <w:rPr>
          <w:rFonts w:ascii="Arial" w:eastAsia="Times New Roman" w:hAnsi="Arial" w:cs="Arial"/>
          <w:i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Destruction of the World’s Archaeological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Cambridge: McDonald Institute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Cleere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H. (1993) Managing the Archaeological Heritage,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Antiquity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67: 255: 400-402.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This is an introduction to the special section which is well worth reading, especially the article by O’Keefe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Clifford, J. (1997)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Routes: Travel and Translation in the Late Twentieth Century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Cambridge, Mass: Harvard University Press (Chapter 5, ‘Four Northwest Coast Museums: Travel Reflections’)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Greenfield, J. (1986)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Return of Cultural Property,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Antiquity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60: 29-35.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Greenfield, J. (1989) </w:t>
      </w:r>
      <w:proofErr w:type="gramStart"/>
      <w:r w:rsidRPr="00DD4608">
        <w:rPr>
          <w:rFonts w:ascii="Arial" w:eastAsia="Times New Roman" w:hAnsi="Arial" w:cs="Arial"/>
          <w:i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Return of Cultural Treasures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Cambridge: CUP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O’Keefe, P. (1993)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European Convention for the Protection of Archaeological Heritage,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Antiquity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67: 255: 406-413. 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Singh, K., (2010) Repatriation without Patria: Repatriating for Tibet.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Journal of Material Culture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15(2): 131-55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Van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Krieken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-Peters, J. (2010) ‘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An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ivory bull’s head from Afghanistan: legal and ethical dilemmas in national and globalised heritage’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Heritage and Globalisation,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Labadi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S and C. Lang (eds.), pp. 85-96. London: Routledge 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Intangible Cultural Heritage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Aikawa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N (2004) ‘An historical overview of the preparation of the UNESCO International Convention for the Safeguarding of the Intangible Cultural Heritage’,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Museum International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56(1-2): 137-49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Brown, M.F.  Can Culture Be Copyrighted?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Current Anthropology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39(2): 193-222.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Bortolotto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Chiara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(2010) ‘Globalising Intangible Cultural Heritage?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Between International Arenas and Local Appropriations’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Heritage and Globalisation,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Labadi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S and C. Lang (eds.), pp. 97-114.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London: Routledge </w:t>
      </w:r>
    </w:p>
    <w:p w:rsidR="004B17C1" w:rsidRPr="00DD4608" w:rsidRDefault="004B17C1" w:rsidP="004B17C1">
      <w:pPr>
        <w:widowControl w:val="0"/>
        <w:adjustRightInd w:val="0"/>
        <w:spacing w:after="10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Conklin, B. (2002) Shamans versus Pirates in the Amazonian Treasure Chest.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proofErr w:type="gram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American Anthropologist.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104(4): 150-1061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Harrison, R. and D. Rose (2010) ‘Intangible Heritage’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Understanding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and Memory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(Understanding Global Heritage).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R. Benton (ed.), pp 238-276 Manchester: Manchester University Press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lastRenderedPageBreak/>
        <w:t>Kurin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R (2004) ‘Safeguarding Intangible Cultural Heritage in the 2003 UNESCO Convention: A Critical Appraisal’,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Museum International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56(1-2): 66-77 </w:t>
      </w:r>
    </w:p>
    <w:p w:rsidR="004B17C1" w:rsidRPr="00DD4608" w:rsidRDefault="004B17C1" w:rsidP="004B17C1">
      <w:pPr>
        <w:widowControl w:val="0"/>
        <w:adjustRightInd w:val="0"/>
        <w:spacing w:after="10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Posey, D. (1990) Intellectual Property Rights and Just Compensation for Indigenous Knowledge.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Anthropology Today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6(4): 13-16. </w:t>
      </w:r>
    </w:p>
    <w:p w:rsidR="00DD4608" w:rsidRDefault="00DD4608" w:rsidP="004B17C1">
      <w:pPr>
        <w:spacing w:after="240" w:line="240" w:lineRule="auto"/>
        <w:rPr>
          <w:rFonts w:ascii="Arial" w:eastAsia="Times New Roman" w:hAnsi="Arial" w:cs="Arial"/>
          <w:b/>
          <w:bCs/>
          <w:color w:val="333333"/>
          <w:spacing w:val="-14"/>
          <w:lang w:eastAsia="en-GB"/>
        </w:rPr>
      </w:pPr>
    </w:p>
    <w:p w:rsidR="004B17C1" w:rsidRPr="00DD4608" w:rsidRDefault="00DD4608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bCs/>
          <w:color w:val="333333"/>
          <w:lang w:eastAsia="en-GB"/>
        </w:rPr>
        <w:t xml:space="preserve"> </w:t>
      </w:r>
      <w:proofErr w:type="gramStart"/>
      <w:r w:rsidR="004B17C1" w:rsidRPr="00DD4608">
        <w:rPr>
          <w:rFonts w:ascii="Arial" w:eastAsia="Times New Roman" w:hAnsi="Arial" w:cs="Arial"/>
          <w:b/>
          <w:bCs/>
          <w:color w:val="333333"/>
          <w:lang w:eastAsia="en-GB"/>
        </w:rPr>
        <w:t>‘The Heritage Industry?’</w:t>
      </w:r>
      <w:proofErr w:type="gramEnd"/>
      <w:r w:rsidR="004B17C1" w:rsidRPr="00DD4608">
        <w:rPr>
          <w:rFonts w:ascii="Arial" w:eastAsia="Times New Roman" w:hAnsi="Arial" w:cs="Arial"/>
          <w:b/>
          <w:bCs/>
          <w:color w:val="333333"/>
          <w:lang w:eastAsia="en-GB"/>
        </w:rPr>
        <w:t xml:space="preserve"> Alternative Frameworks, Economic Exploitation and Development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 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Bessiere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J (1998) Local Development and Heritage: Traditional Food and Cuisine as Tourist Attractions in Rural Areas.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Sociologia</w:t>
      </w:r>
      <w:proofErr w:type="spell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Ruralis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38(1): 21-34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Coombe, R and N.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Aylwin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(2011) Bordering Diversity and Desire: Using Intellectual Property to Mark Place-Based Products.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Environment and Planning </w:t>
      </w:r>
      <w:proofErr w:type="gram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43: 2027-2042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Hinsley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Curtis (1991) ‘The World as Marketplace: Commodification of the Exotic at the World’s Columbian Exposition, Chicago, 1893’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Exhibiting Cultures: The Poetics and Politics of Museum Displays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I. Karp and S.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Lavine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) pp 344-365 Washington, D.C.: Smithsonian Institution Press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Ray, C. (1998) Culture, Intellectual Property and Territorial Rural Development.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Sociologia</w:t>
      </w:r>
      <w:proofErr w:type="spell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Ruralis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38(1): 3-20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West, H. G. and N.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Domingos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(2012) Gourmandizing Poverty Food: The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Serpa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Cheese Slow Food Presidium in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Journal of Agrarian Change </w:t>
      </w:r>
      <w:r w:rsidRPr="00DD4608">
        <w:rPr>
          <w:rFonts w:ascii="Arial" w:eastAsia="Times New Roman" w:hAnsi="Arial" w:cs="Arial"/>
          <w:color w:val="333333"/>
          <w:lang w:eastAsia="en-GB"/>
        </w:rPr>
        <w:t>12(1): 120-143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West, H. G (2013, forthcoming) ‘Appellations and Indications of Origin,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Terroir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and the Social Construction and Contestation of Place-Named Foods’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The Handbook of Food Research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A.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Murcott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W. Belasco and P. Jackson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London: Bloomsbury 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Managing and Presenting Heritage: Education, Entertainment and Economics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Benavides, Hugo O. (2004)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Making Ecuadorian Histories: Four Centuries of Defining Power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Texas: University of Texas Press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Clifford, J. (1997) ‘Museums as Contact Zones’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Routes: Travel and Translation in the Late Twentieth Century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Cambridge: MA: Harvard University Press.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Also in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Representing the Nation: A Reader.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Histories, Heritage and Museums</w:t>
      </w:r>
      <w:r w:rsidRPr="00DD4608">
        <w:rPr>
          <w:rFonts w:ascii="Arial" w:eastAsia="Times New Roman" w:hAnsi="Arial" w:cs="Arial"/>
          <w:color w:val="333333"/>
          <w:lang w:eastAsia="en-GB"/>
        </w:rPr>
        <w:t>, D. Boswell and J. Evans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>), pp. 435-458. London: Routledge in association with The Open University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Fairlough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G. et al (2008)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The Heritage Reader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London: Routledge (Especially the range of chapters in Section Three)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Handler, Richard &amp; Eric Gable (1997) </w:t>
      </w:r>
      <w:proofErr w:type="gramStart"/>
      <w:r w:rsidRPr="00DD4608">
        <w:rPr>
          <w:rFonts w:ascii="Arial" w:eastAsia="Times New Roman" w:hAnsi="Arial" w:cs="Arial"/>
          <w:i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New History in an Old Museum: Creating the Past at Colonial Williamsburg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London and Durham: Duke University 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Hooper-Greenhill, Eileen (1992)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Museums and the Shaping of Knowledge</w:t>
      </w:r>
      <w:r w:rsidRPr="00DD4608">
        <w:rPr>
          <w:rFonts w:ascii="Arial" w:eastAsia="Times New Roman" w:hAnsi="Arial" w:cs="Arial"/>
          <w:color w:val="333333"/>
          <w:lang w:eastAsia="en-GB"/>
        </w:rPr>
        <w:t>, London: Routledge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lastRenderedPageBreak/>
        <w:t>Greenhalgh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Paul (1989) ‘Education, Entertainment and Politics: Lessons from the Great International Exhibitions’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The New Museology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P.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Vergo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pp 74-98 London: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Reaktion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Books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West, S. and E. McKellar (2010) ‘Interpretation of Heritage’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Understanding Heritage in Practice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(Understanding Global Heritage) S. West (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>.). Manchester: Manchester University Press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The reading list for ‘Heritage: Representation and Interpretation’ will also have a number of readings related to this week, especially parts 2 &amp; 4. 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Tourist Trails: The </w:t>
      </w:r>
      <w:proofErr w:type="spellStart"/>
      <w:r w:rsidRPr="00DD4608">
        <w:rPr>
          <w:rFonts w:ascii="Arial" w:eastAsia="Times New Roman" w:hAnsi="Arial" w:cs="Arial"/>
          <w:b/>
          <w:color w:val="333333"/>
          <w:lang w:eastAsia="en-GB"/>
        </w:rPr>
        <w:t>Commodification</w:t>
      </w:r>
      <w:proofErr w:type="spellEnd"/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 of Heritage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Bender, Barbara (1998)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Stonehenge: Making Space </w:t>
      </w:r>
      <w:r w:rsidRPr="00DD4608">
        <w:rPr>
          <w:rFonts w:ascii="Arial" w:eastAsia="Times New Roman" w:hAnsi="Arial" w:cs="Arial"/>
          <w:color w:val="333333"/>
          <w:lang w:eastAsia="en-GB"/>
        </w:rPr>
        <w:t>Oxford: Berg (Especially the Introduction, Chapter 4 and 5)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Boniface, P. (1995)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Managing Quality Cultural Tourism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London: Routledge (Especially Part 3)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Boniface, P. and P.J. Fowler (1993)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Heritage and Tourism in the ‘Global Village”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London: Routledge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Caton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K and C.A. Santos (2007) Heritage Tourism on Route 66: Deconstructing Nostalgia.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Journal of Travel Research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45(4): 371-86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Cronin, M and B. O’Connor (2003)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Irish Tourism, Image, Culture and Identity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Clevedon, Buffalo: Channel View Publications (Especially part 2). 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Duke, P.G. (2007) </w:t>
      </w:r>
      <w:proofErr w:type="gramStart"/>
      <w:r w:rsidRPr="00DD4608">
        <w:rPr>
          <w:rFonts w:ascii="Arial" w:eastAsia="Times New Roman" w:hAnsi="Arial" w:cs="Arial"/>
          <w:i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 Tourists Gaze, The Cretans Glance: Archaeology and Tourism on a Greek Island</w:t>
      </w:r>
      <w:r w:rsidRPr="00DD4608">
        <w:rPr>
          <w:rFonts w:ascii="Arial" w:eastAsia="Times New Roman" w:hAnsi="Arial" w:cs="Arial"/>
          <w:color w:val="333333"/>
          <w:lang w:eastAsia="en-GB"/>
        </w:rPr>
        <w:t>. Walnut Creek, CA: Left Coast Press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Hamilakis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Y. and P. Duke (eds.) (2007)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Archaeology and Capitalism: From Ethics to Politics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(One World Archaeology). Walnut Creek, CA: Left Coast Press (Especially the Introduction and Chapter 7).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Hitchcock, M. et al (2010)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Heritage Tourism in Southeast Asia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Copenhagen: NIAS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Kurst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M. (2010) ‘Heritage and Tourism’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Understanding Heritage in Practice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(Understanding Global Heritage) S. West (ed.) pp. 205-239.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Manchester: Manchester University Press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Moffatt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Ian (2000) ‘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Kakadu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: Managing Sustainable Tourism in a World Heritage Site’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Tourism and Heritage Relationships: Global, National and Local Perspectives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M. Robinson, N. Evans, P. Long, R.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Sharpley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J.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Swarbrooke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pp 301-313 Sunderland: Centre for Travel and Tourism in association with Business Education Publishers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Stone, P. (2008) ‘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Stonhenge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– A Final Solution’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The Heritage Reader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G.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Fairclough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et al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>), pp. 524-535. London: Routledge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Watson, Steve (2000) ‘Theorising Heritage Tourism: A Review’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Tourism and Heritage Relationships: Global, National and Local Perspectives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M. Robinson, N. Evans, P. Long, R.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lastRenderedPageBreak/>
        <w:t>Sharpley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J.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Swarbrooke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pp. 449-465 Sunderland: Centre for Travel and Tourism in association with Business Education Publishers 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 xml:space="preserve">Considering the Local Community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color w:val="333333"/>
          <w:lang w:eastAsia="en-GB"/>
        </w:rPr>
        <w:t> 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Berg,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Mette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Louise (2005) ‘Localising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Cubanness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: Social Exclusion and Narratives of Belonging in Old Havana’. In J.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Besson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K. F.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Olwig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,),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Caribbean Narratives of Belonging: Fields of Relations, Sites of Identity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(pp 133-148). Oxford: MacMillan Caribbean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 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Breglia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L. (2006)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Monumental Ambivalence: The Politics of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Austin, TX: University of Texas Press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Carman, John (2005)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Against Cultural Property: Archaeology Heritage and Ownership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Duckworth Debates in Archaeology (Chapter 5) 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Dodd, Jocelyn (1999 [1994]) ‘Whose museum is it anyway? Museum education and the community’ in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 xml:space="preserve">The Educational Role of the Museum, </w:t>
      </w:r>
      <w:r w:rsidRPr="00DD4608">
        <w:rPr>
          <w:rFonts w:ascii="Arial" w:eastAsia="Times New Roman" w:hAnsi="Arial" w:cs="Arial"/>
          <w:color w:val="333333"/>
          <w:lang w:eastAsia="en-GB"/>
        </w:rPr>
        <w:t>E. Hooper-Greenhill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London: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Routledge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Hampton, M. (2005) ‘Heritage, Local Communities and Economic Development’,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Annals of Tourism Research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32(3): 735-59.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Hodder, I. (2010) ‘Cultural Heritage Rights: From Ownership and Descent to Justice and Well-Being’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Anthropological Quarterly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83(4): 861-882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Jones, C. and M.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Munday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(2001) ‘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Blaenavon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United Nations World Heritage Site Status: Is Conservation of Industrial Heritage a Road to Local Economic Development?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’,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Regional Studies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35(6): 585-90</w:t>
      </w:r>
    </w:p>
    <w:p w:rsidR="004B17C1" w:rsidRPr="00DD4608" w:rsidRDefault="004B17C1" w:rsidP="004B17C1">
      <w:pPr>
        <w:spacing w:after="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Herzfeld, Michael. (1991)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A Place in History: Social and Monumental Time in a Cretan Town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Princeton: Princeton University Press (Chapter 1)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Winter, Tim (2011) </w:t>
      </w:r>
      <w:r w:rsidRPr="00DD4608">
        <w:rPr>
          <w:rFonts w:ascii="Arial" w:eastAsia="Times New Roman" w:hAnsi="Arial" w:cs="Arial"/>
          <w:i/>
          <w:color w:val="333333"/>
          <w:lang w:eastAsia="en-GB"/>
        </w:rPr>
        <w:t>Post-Conflict Heritage, Postcolonial Tourism: Tourism, Politics and Development at Angkor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London: Routledge 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lang w:eastAsia="en-GB"/>
        </w:rPr>
      </w:pPr>
      <w:r w:rsidRPr="00DD4608">
        <w:rPr>
          <w:rFonts w:ascii="Arial" w:eastAsia="Times New Roman" w:hAnsi="Arial" w:cs="Arial"/>
          <w:b/>
          <w:bCs/>
          <w:lang w:eastAsia="en-GB"/>
        </w:rPr>
        <w:t xml:space="preserve">The Economic Exploitation of Heritage: Commodification, Tourism and Sustainable Development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Bender, Barbara (1998)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Stonehenge: Making Space </w:t>
      </w:r>
      <w:r w:rsidRPr="00DD4608">
        <w:rPr>
          <w:rFonts w:ascii="Arial" w:eastAsia="Times New Roman" w:hAnsi="Arial" w:cs="Arial"/>
          <w:color w:val="333333"/>
          <w:lang w:eastAsia="en-GB"/>
        </w:rPr>
        <w:t>Oxford: Berg (Especially the Introduction, Chapter 4 and 5)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Bessiere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J (1998) Local Development and Heritage: Traditional Food and Cuisine as Tourist Attractions in Rural Areas.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Sociologia</w:t>
      </w:r>
      <w:proofErr w:type="spell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Ruralis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38(1): 21-34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Boniface, P. (1995)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Managing Quality Cultural Tourism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London: Routledge (Especially Part 3)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lastRenderedPageBreak/>
        <w:t xml:space="preserve">Boniface, P. and P.J. Fowler (1993)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Heritage and Tourism in the ‘Global Village”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London: Routledge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Breglia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L. (2006)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Monumental Ambivalence: The Politics of Heritage</w:t>
      </w:r>
      <w:r w:rsidRPr="00DD4608">
        <w:rPr>
          <w:rFonts w:ascii="Arial" w:eastAsia="Times New Roman" w:hAnsi="Arial" w:cs="Arial"/>
          <w:color w:val="333333"/>
          <w:lang w:eastAsia="en-GB"/>
        </w:rPr>
        <w:t>. Austin, TX: University of Texas Press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Carman, John (2005)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Against Cultural Property: Archaeology Heritage and Ownership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Duckworth Debates in Archaeology (Chapter 5)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Caton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K and C.A. Santos (2007) Heritage Tourism on Route 66: Deconstructing Nostalgia.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Journal of Travel Research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45(4): 371-86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Coombe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R and N.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Aylwin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(2011) Bordering Diversity and Desire: Using Intellectual Property to Mark Place-Based Products.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Environment and Planning </w:t>
      </w:r>
      <w:proofErr w:type="gram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43: 2027-2042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Cronin, M and B. O’Connor (2003)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Irish Tourism, Image, Culture and Identity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Clevedon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Buffalo: Channel View Publications (Especially part 2). 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Duke, P.G. (2007) </w:t>
      </w:r>
      <w:proofErr w:type="gram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Tourists Gaze, The Cretans Glance: Archaeology and Tourism on a Greek Island</w:t>
      </w:r>
      <w:r w:rsidRPr="00DD4608">
        <w:rPr>
          <w:rFonts w:ascii="Arial" w:eastAsia="Times New Roman" w:hAnsi="Arial" w:cs="Arial"/>
          <w:color w:val="333333"/>
          <w:lang w:eastAsia="en-GB"/>
        </w:rPr>
        <w:t>. Walnut Creek, CA: Left Coast Press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Hamilakis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Y. and P. Duke (eds.) (2007)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Archaeology and Capitalism: From Ethics to Politics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(One World Archaeology). Walnut Creek, CA: Left Coast Press (Especially the Introduction and Chapter 7).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Hampton, M. (2005) ‘Heritage, Local Communities and Economic Development’,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Annals of Tourism Research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32(3): 735-59.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Hinsley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Curtis (1991) ‘The World as Marketplace: Commodification of the Exotic at the World’s Columbian Exposition, Chicago, 1893’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Exhibiting Cultures: The Poetics and Politics of Museum Displays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I. Karp and S.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Lavine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) pp 344-365 Washington, D.C.: Smithsonian Institution Press.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Hitchcock, M. et al (2010)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Heritage Tourism in Southeast Asia</w:t>
      </w:r>
      <w:r w:rsidRPr="00DD4608">
        <w:rPr>
          <w:rFonts w:ascii="Arial" w:eastAsia="Times New Roman" w:hAnsi="Arial" w:cs="Arial"/>
          <w:color w:val="333333"/>
          <w:lang w:eastAsia="en-GB"/>
        </w:rPr>
        <w:t>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Copenhagen: NIAS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Kurst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M. (2010) ‘Heritage and Tourism’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Understanding Heritage in Practice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(Understanding Global Heritage) S. West (ed.) pp. 205-239.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Manchester: Manchester University Press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Lafrenz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Samuels, K. (2010) ‘Material Heritage and Poverty Reduction’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Heritage and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Globalisation</w:t>
      </w:r>
      <w:proofErr w:type="spell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S.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Labadi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C. Lang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>), pp. 202-217. London: Routledge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Moffatt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Ian (2000) ‘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Kakadu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: Managing Sustainable Tourism in a World Heritage Site’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Tourism and Heritage Relationships: Global, National and Local Perspectives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M. Robinson, N. Evans, P. Long, R.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Sharpley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J.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Swarbrooke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pp 301-313 Sunderland: Centre for Travel and Tourism in association with Business Education Publishers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Ray, C. (1998) Culture, Intellectual Property and Territorial Rural Development.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Sociologia</w:t>
      </w:r>
      <w:proofErr w:type="spell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Ruralis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38(1): 3-20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Stone, P. (2008) ‘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Stonhenge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– A Final Solution’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The Heritage Reader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G.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Fairclough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et al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>), pp. 524-535. London: Routledge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Watson, Steve (2000) ‘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Theorising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Heritage Tourism: A Review’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Tourism and Heritage Relationships: Global, National and Local Perspectives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M. Robinson, N. Evans, P. Long, R.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lastRenderedPageBreak/>
        <w:t>Sharpley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J.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Swarbrooke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) pp. 449-465 Sunderland: Centre for Travel and Tourism in association with Business Education Publishers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West, H. G. and N.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Domingos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(2012) Gourmandizing Poverty Food: The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Serpa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Cheese Slow Food Presidium in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Journal of Agrarian Change </w:t>
      </w:r>
      <w:r w:rsidRPr="00DD4608">
        <w:rPr>
          <w:rFonts w:ascii="Arial" w:eastAsia="Times New Roman" w:hAnsi="Arial" w:cs="Arial"/>
          <w:color w:val="333333"/>
          <w:lang w:eastAsia="en-GB"/>
        </w:rPr>
        <w:t>12(1): 120-143</w:t>
      </w:r>
      <w:r w:rsidRPr="00DD4608">
        <w:rPr>
          <w:rFonts w:ascii="Arial" w:eastAsia="Times New Roman" w:hAnsi="Arial" w:cs="Arial"/>
          <w:b/>
          <w:bCs/>
          <w:color w:val="333333"/>
          <w:lang w:eastAsia="en-GB"/>
        </w:rPr>
        <w:t xml:space="preserve"> </w:t>
      </w:r>
    </w:p>
    <w:p w:rsidR="004B17C1" w:rsidRPr="00DD4608" w:rsidRDefault="004B17C1" w:rsidP="004B17C1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 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West, H. G (2013, forthcoming) ‘Appellations and Indications of Origin,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Terroir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and the Social Construction and Contestation of Place-Named Foods’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The Handbook of Food Research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A.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Murcott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W. Belasco and P. Jackson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) London: Bloomsbury</w:t>
      </w:r>
    </w:p>
    <w:p w:rsidR="004B17C1" w:rsidRPr="00DD4608" w:rsidRDefault="004B17C1">
      <w:pPr>
        <w:rPr>
          <w:rFonts w:ascii="Arial" w:hAnsi="Arial" w:cs="Arial"/>
        </w:rPr>
      </w:pP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bCs/>
          <w:color w:val="333333"/>
          <w:lang w:eastAsia="en-GB"/>
        </w:rPr>
        <w:t xml:space="preserve">Heritage and Nationalism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Anderson, B. (2006 [1983]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Imagined Communities: Reflections of the Origin and Spread of Nationalism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London: Verso.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Available as an e-book.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Allen, R (2010) ‘Heritage and Nationalism’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Understanding the Politics of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R. Harrison (ed.), pp. 197-233. Manchester: Manchester University Press.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Appadurai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A et al (2008) ‘The Globalization of Archaeology and Heritage: A Discussion with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Arjun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Appadurai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The Heritage Reader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G.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Fairclough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et al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), pp. 209-218. London: Routledge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Askew, M. (2010) ‘The Magic List of Global Status, UNESCO, World Heritage and the agendas of states’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Heritage and Globalisation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S.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Labadi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C. Lang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), pp. 19-44. London: Routledge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Benavides, Hugo O. (2004)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Making Ecuadorian Histories: Four Centuries of Defining Power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Texas: University of Texas Press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Boswell, D. and J. Evans (eds.) (1999)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Representing the Nation: A Reader. Histories, Heritage and Museums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London: Routledge in association with The Open University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Friedman, Jonathan (1992b) ‘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The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Past in the Future: History and the Politics of Identity’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American Anthropologist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94 (4): 837-859.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Kohl, Philip L and Clare Fawcett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(1995)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Nationalism, Politics and the Practice of Archaeology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Cambridge: Cambridge University Press (especially chapters 1 and 15)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McCann, W.J.  (1990) ‘Volk and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Germanentum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: The Presentation of the Past in Nazi Germany’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The Politics of the Past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P.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Gathercole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D.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Lowenthal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,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pp. 74-90. London: Unwin Hyman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Hall, S. (2008) ‘Whose Heritage? Unsettling ‘The Heritage’, re-imagining the post-nation’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The Heritage Reader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, G.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Fairclough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et al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), pp. 219-229. London: Routledge. </w:t>
      </w:r>
    </w:p>
    <w:p w:rsidR="004B17C1" w:rsidRPr="00DD4608" w:rsidRDefault="004B17C1" w:rsidP="004B17C1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Hobsbawm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Eric (1990)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Nations and Nationalisms since 1780: Programme, Myth, Reality.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Cambridge: Cambridge University Press. (Introduction)  </w:t>
      </w:r>
    </w:p>
    <w:p w:rsidR="004B17C1" w:rsidRPr="00DD4608" w:rsidRDefault="004B17C1">
      <w:pPr>
        <w:rPr>
          <w:rFonts w:ascii="Arial" w:hAnsi="Arial" w:cs="Arial"/>
        </w:rPr>
      </w:pPr>
    </w:p>
    <w:p w:rsidR="00DD4608" w:rsidRDefault="00FD65CA" w:rsidP="00FD65CA">
      <w:pPr>
        <w:pStyle w:val="NormalWeb"/>
        <w:numPr>
          <w:ilvl w:val="0"/>
          <w:numId w:val="11"/>
        </w:numPr>
        <w:ind w:left="0"/>
        <w:rPr>
          <w:rFonts w:ascii="Arial" w:hAnsi="Arial" w:cs="Arial"/>
          <w:sz w:val="22"/>
          <w:szCs w:val="22"/>
          <w:lang/>
        </w:rPr>
      </w:pPr>
      <w:r w:rsidRPr="00DD4608">
        <w:rPr>
          <w:rStyle w:val="Strong"/>
          <w:rFonts w:ascii="Arial" w:hAnsi="Arial" w:cs="Arial"/>
          <w:sz w:val="22"/>
          <w:szCs w:val="22"/>
          <w:lang/>
        </w:rPr>
        <w:t xml:space="preserve">Conflict Heritage </w:t>
      </w:r>
    </w:p>
    <w:p w:rsidR="00FD65CA" w:rsidRPr="00DD4608" w:rsidRDefault="00FD65CA" w:rsidP="00FD65CA">
      <w:pPr>
        <w:pStyle w:val="NormalWeb"/>
        <w:numPr>
          <w:ilvl w:val="0"/>
          <w:numId w:val="11"/>
        </w:numPr>
        <w:ind w:left="0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lastRenderedPageBreak/>
        <w:t> 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Beck, C, Johnson, W &amp; Schofield, J (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)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2002)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Materiel Culture: The Archaeology of 20th Century Conflict (One World Archaeology)</w:t>
      </w:r>
      <w:r w:rsidRPr="00DD4608">
        <w:rPr>
          <w:rFonts w:ascii="Arial" w:hAnsi="Arial" w:cs="Arial"/>
          <w:sz w:val="22"/>
          <w:szCs w:val="22"/>
          <w:lang/>
        </w:rPr>
        <w:t> 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Breglia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L. (2006)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Monumental Ambivalence: The Politics of Heritage</w:t>
      </w:r>
      <w:r w:rsidRPr="00DD4608">
        <w:rPr>
          <w:rFonts w:ascii="Arial" w:hAnsi="Arial" w:cs="Arial"/>
          <w:sz w:val="22"/>
          <w:szCs w:val="22"/>
          <w:lang/>
        </w:rPr>
        <w:t>. Austin, Texas: University of Texas Press.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Carman, J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2006)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Bloody Meadows: Investigating Landscapes of Battle </w:t>
      </w:r>
      <w:r w:rsidRPr="00DD4608">
        <w:rPr>
          <w:rFonts w:ascii="Arial" w:hAnsi="Arial" w:cs="Arial"/>
          <w:sz w:val="22"/>
          <w:szCs w:val="22"/>
          <w:lang/>
        </w:rPr>
        <w:t> The History Press Ltd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Cleere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H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1989)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Archaeological heritage management in the modern world (One World Archaeology, 9)</w:t>
      </w:r>
      <w:r w:rsidRPr="00DD4608">
        <w:rPr>
          <w:rFonts w:ascii="Arial" w:hAnsi="Arial" w:cs="Arial"/>
          <w:sz w:val="22"/>
          <w:szCs w:val="22"/>
          <w:lang/>
        </w:rPr>
        <w:t>  London ; Boston : Unwin Hyman      930.1 ARC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Cooksey, J &amp; Lynch, T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2007)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Battlefield Archaeology</w:t>
      </w:r>
      <w:r w:rsidRPr="00DD4608">
        <w:rPr>
          <w:rFonts w:ascii="Arial" w:hAnsi="Arial" w:cs="Arial"/>
          <w:sz w:val="22"/>
          <w:szCs w:val="22"/>
          <w:lang/>
        </w:rPr>
        <w:t xml:space="preserve">  The History Press Ltd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G. et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al  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2008)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>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Gerstenblith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P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2009)  Archaeology in the Context of War: Legal Frameworks for Protecting Cultural Heritage during Armed Conflict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Archaeologies, 5, no. 1 (2009): 18-31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Harrison, R &amp; Schofield, J (2010)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After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Modernity: Archaeological Approaches to the Contemporary Past </w:t>
      </w:r>
      <w:r w:rsidRPr="00DD4608">
        <w:rPr>
          <w:rFonts w:ascii="Arial" w:hAnsi="Arial" w:cs="Arial"/>
          <w:sz w:val="22"/>
          <w:szCs w:val="22"/>
          <w:lang/>
        </w:rPr>
        <w:t> OUP Oxford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Krech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S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1993)   Battlefield archaeology under fire 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Nature, v365 n6442 (19930909): 116-116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Layton, R; Thomas, J &amp; Stone, P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2001)      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Destruction and conservation of cultural property</w:t>
      </w:r>
      <w:r w:rsidRPr="00DD4608">
        <w:rPr>
          <w:rFonts w:ascii="Arial" w:hAnsi="Arial" w:cs="Arial"/>
          <w:sz w:val="22"/>
          <w:szCs w:val="22"/>
          <w:lang/>
        </w:rPr>
        <w:t xml:space="preserve"> (One World Archaeology, 41)   London ; New York : Routledge, 930.1 DES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Lowenthal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D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1998)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Crusade and the Spoils of History</w:t>
      </w:r>
      <w:r w:rsidRPr="00DD4608">
        <w:rPr>
          <w:rFonts w:ascii="Arial" w:hAnsi="Arial" w:cs="Arial"/>
          <w:sz w:val="22"/>
          <w:szCs w:val="22"/>
          <w:lang/>
        </w:rPr>
        <w:t>. Cambridge: Cambridge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Moshenska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G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2010)  Charred churches or iron harvests?: Counter-monumentality and the commemoration of the London Blitz              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Journal of Social Archaeology, v10 n1 (2010 02 01): 5-27</w:t>
      </w:r>
      <w:r w:rsidRPr="00DD4608">
        <w:rPr>
          <w:rFonts w:ascii="Arial" w:hAnsi="Arial" w:cs="Arial"/>
          <w:sz w:val="22"/>
          <w:szCs w:val="22"/>
          <w:lang/>
        </w:rPr>
        <w:t>         PER 930.1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Orr, D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2003)  Landscapes of Conflict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Historical Archaeology, 37, Part 3 (2003): 1-2        </w:t>
      </w:r>
      <w:r w:rsidRPr="00DD4608">
        <w:rPr>
          <w:rFonts w:ascii="Arial" w:hAnsi="Arial" w:cs="Arial"/>
          <w:sz w:val="22"/>
          <w:szCs w:val="22"/>
          <w:lang/>
        </w:rPr>
        <w:t>PER 930.1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Pollard, T &amp; Banks, I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2007)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Scorched Earth: Studies in the Archaeology of Conflict</w:t>
      </w:r>
      <w:r w:rsidRPr="00DD4608">
        <w:rPr>
          <w:rFonts w:ascii="Arial" w:hAnsi="Arial" w:cs="Arial"/>
          <w:sz w:val="22"/>
          <w:szCs w:val="22"/>
          <w:lang/>
        </w:rPr>
        <w:t>    Brill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Ryan, C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2007)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Battlefield Tourism: History, Place and Interpretation (Advances in Tourism Research) </w:t>
      </w:r>
      <w:r w:rsidRPr="00DD4608">
        <w:rPr>
          <w:rFonts w:ascii="Arial" w:hAnsi="Arial" w:cs="Arial"/>
          <w:sz w:val="22"/>
          <w:szCs w:val="22"/>
          <w:lang/>
        </w:rPr>
        <w:t> Elsevier Science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Saunders, N &amp; Cornish, P (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)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2009)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Contested Objects: Material Memories of the Great War  </w:t>
      </w:r>
      <w:r w:rsidRPr="00DD4608">
        <w:rPr>
          <w:rFonts w:ascii="Arial" w:hAnsi="Arial" w:cs="Arial"/>
          <w:sz w:val="22"/>
          <w:szCs w:val="22"/>
          <w:lang/>
        </w:rPr>
        <w:t>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Schofield, J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2005)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Combat Archaeology: Material Culture and Modern Conflict (Duckworth Debates in Archaeology)</w:t>
      </w:r>
      <w:r w:rsidRPr="00DD4608">
        <w:rPr>
          <w:rFonts w:ascii="Arial" w:hAnsi="Arial" w:cs="Arial"/>
          <w:sz w:val="22"/>
          <w:szCs w:val="22"/>
          <w:lang/>
        </w:rPr>
        <w:t>  Gerald Duckworth &amp; Co Ltd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Schofield, J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2009)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Aftermath: Readings in the Archaeology of Recent Conflict: Readings in Contemporary Conflict and Battlefield Archaeology </w:t>
      </w:r>
      <w:r w:rsidRPr="00DD4608">
        <w:rPr>
          <w:rFonts w:ascii="Arial" w:hAnsi="Arial" w:cs="Arial"/>
          <w:sz w:val="22"/>
          <w:szCs w:val="22"/>
          <w:lang/>
        </w:rPr>
        <w:t> Springer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Shackel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P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2003)  Archaeology, Memory, and Landscapes of Conflict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Historical Archaeology, 37, Part 3 (2003): 3-13</w:t>
      </w:r>
      <w:r w:rsidRPr="00DD4608">
        <w:rPr>
          <w:rFonts w:ascii="Arial" w:hAnsi="Arial" w:cs="Arial"/>
          <w:sz w:val="22"/>
          <w:szCs w:val="22"/>
          <w:lang/>
        </w:rPr>
        <w:t>           PER 930.1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lastRenderedPageBreak/>
        <w:t>Starzmann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M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2008)  Cultural Imperialism and Heritage Politics in the Event of Armed Conflict: Prospects for an `Activist Archaeology'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Archaeologies, 4, no. 3 (2008): 368-389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Stone, P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2011) 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Cultural Heritage, Ethics, and the Military</w:t>
      </w:r>
      <w:r w:rsidRPr="00DD4608">
        <w:rPr>
          <w:rFonts w:ascii="Arial" w:hAnsi="Arial" w:cs="Arial"/>
          <w:sz w:val="22"/>
          <w:szCs w:val="22"/>
          <w:lang/>
        </w:rPr>
        <w:t xml:space="preserve">     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Boydell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Uzzell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D &amp;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Ballantyne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R.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  (2008) ‘Heritage that Hurts: Interpretation in the Postmodern World’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 xml:space="preserve">, G.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et al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502-512.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Wilson, R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  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2009) Memory and trauma: Narrating the Western Front 1914-1918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Rethinking History, 13, no. 2 (2009): 251-267</w:t>
      </w:r>
      <w:r w:rsidRPr="00DD4608">
        <w:rPr>
          <w:rFonts w:ascii="Arial" w:hAnsi="Arial" w:cs="Arial"/>
          <w:sz w:val="22"/>
          <w:szCs w:val="22"/>
          <w:lang/>
        </w:rPr>
        <w:t>               PER 905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Winter,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J  (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1995) 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Sites of memory, sites of mourning : the Great War in European cultural history</w:t>
      </w:r>
      <w:r w:rsidRPr="00DD4608">
        <w:rPr>
          <w:rFonts w:ascii="Arial" w:hAnsi="Arial" w:cs="Arial"/>
          <w:sz w:val="22"/>
          <w:szCs w:val="22"/>
          <w:lang/>
        </w:rPr>
        <w:t>   Cambridge ; New York : Cambridge University Press  940.3 WIN </w:t>
      </w:r>
    </w:p>
    <w:p w:rsidR="00FD65CA" w:rsidRPr="00DD4608" w:rsidRDefault="00FD65CA">
      <w:pPr>
        <w:rPr>
          <w:rFonts w:ascii="Arial" w:hAnsi="Arial" w:cs="Arial"/>
        </w:rPr>
      </w:pP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b/>
          <w:bCs/>
          <w:color w:val="333333"/>
          <w:lang w:eastAsia="en-GB"/>
        </w:rPr>
        <w:t>Embedding Heritage in Context: Architecture, Landscape and Monuments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>Beazley, O. (2010) ‘Politics and Power: The Hiroshima Peace Memorial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Genbaku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Dome) as World Heritage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Heritage and </w:t>
      </w:r>
      <w:proofErr w:type="spell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Globalisation</w:t>
      </w:r>
      <w:proofErr w:type="spell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S.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Labadi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and C. Lang (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eds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), pp. 19-44. London: Routledge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Bender, B (1998)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Stonehenge: Making Space</w:t>
      </w:r>
      <w:r w:rsidRPr="00DD4608">
        <w:rPr>
          <w:rFonts w:ascii="Arial" w:eastAsia="Times New Roman" w:hAnsi="Arial" w:cs="Arial"/>
          <w:color w:val="333333"/>
          <w:lang w:eastAsia="en-GB"/>
        </w:rPr>
        <w:t>. Oxford: Berg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Benton, T. and P. Curtis (2010) ‘The Heritage of Public Commemorations’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Understanding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and Memory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(Understanding Global Heritage).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R. Benton (ed.), pp 44-87 Manchester: Manchester University Press.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Breglia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L. (2006)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Monumental Ambivalence: The Politics of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Austin, Texas: University of Texas Press. 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Condori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Carlos M (1991) ‘History and Prehistory in Bolivia: What </w:t>
      </w: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About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the Indians?’ in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Conflict in the Archaeology of Living Traditions</w:t>
      </w:r>
      <w:r w:rsidRPr="00DD4608">
        <w:rPr>
          <w:rFonts w:ascii="Arial" w:eastAsia="Times New Roman" w:hAnsi="Arial" w:cs="Arial"/>
          <w:color w:val="333333"/>
          <w:lang w:eastAsia="en-GB"/>
        </w:rPr>
        <w:t>. R Layton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>) pp 46-59 London: Unwin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Foucault, M. (1991) ‘Space, Knowledge, and Power’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The Foucault Reader: </w:t>
      </w:r>
      <w:proofErr w:type="gramStart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An</w:t>
      </w:r>
      <w:proofErr w:type="gramEnd"/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 Introduction to Foucault’s Thought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. P.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Rabinow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(ed.), pp. 239-255. London: Penguin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r w:rsidRPr="00DD4608">
        <w:rPr>
          <w:rFonts w:ascii="Arial" w:eastAsia="Times New Roman" w:hAnsi="Arial" w:cs="Arial"/>
          <w:color w:val="333333"/>
          <w:lang w:eastAsia="en-GB"/>
        </w:rPr>
        <w:t xml:space="preserve">Foucault, M. (1967)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Of Other Spaces, Heterotopias</w:t>
      </w:r>
      <w:r w:rsidRPr="00DD4608">
        <w:rPr>
          <w:rFonts w:ascii="Arial" w:eastAsia="Times New Roman" w:hAnsi="Arial" w:cs="Arial"/>
          <w:color w:val="333333"/>
          <w:lang w:eastAsia="en-GB"/>
        </w:rPr>
        <w:t>http://foucault.info/documotents/heteroTopia/foucault.heteroTopia.en.html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Kuklick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Henrika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(1991) ‘Contested Monuments: The Politics of Archaeology in Southern Africa’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Colonial Situations: Essays on the Contextualization of Ethnographic Knowledge</w:t>
      </w:r>
      <w:r w:rsidRPr="00DD4608">
        <w:rPr>
          <w:rFonts w:ascii="Arial" w:eastAsia="Times New Roman" w:hAnsi="Arial" w:cs="Arial"/>
          <w:color w:val="333333"/>
          <w:lang w:eastAsia="en-GB"/>
        </w:rPr>
        <w:t>. G. W. Stocking (</w:t>
      </w:r>
      <w:proofErr w:type="spellStart"/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>ed</w:t>
      </w:r>
      <w:proofErr w:type="spellEnd"/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) 135-169 Madison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Wis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>: The University of Wisconsin Press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Wanner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, Catherine (1998)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 xml:space="preserve">Burden of Dreams: History and Identity in Post-Soviet Ukraine 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University Park, PA: Penn State Press </w:t>
      </w:r>
    </w:p>
    <w:p w:rsidR="00FD65CA" w:rsidRPr="00DD4608" w:rsidRDefault="00FD65CA" w:rsidP="00FD65CA">
      <w:pPr>
        <w:spacing w:after="240" w:line="240" w:lineRule="auto"/>
        <w:rPr>
          <w:rFonts w:ascii="Arial" w:eastAsia="Times New Roman" w:hAnsi="Arial" w:cs="Arial"/>
          <w:color w:val="333333"/>
          <w:lang w:eastAsia="en-GB"/>
        </w:rPr>
      </w:pPr>
      <w:proofErr w:type="gramStart"/>
      <w:r w:rsidRPr="00DD4608">
        <w:rPr>
          <w:rFonts w:ascii="Arial" w:eastAsia="Times New Roman" w:hAnsi="Arial" w:cs="Arial"/>
          <w:color w:val="333333"/>
          <w:lang w:eastAsia="en-GB"/>
        </w:rPr>
        <w:t xml:space="preserve">West, S. and S. </w:t>
      </w:r>
      <w:proofErr w:type="spellStart"/>
      <w:r w:rsidRPr="00DD4608">
        <w:rPr>
          <w:rFonts w:ascii="Arial" w:eastAsia="Times New Roman" w:hAnsi="Arial" w:cs="Arial"/>
          <w:color w:val="333333"/>
          <w:lang w:eastAsia="en-GB"/>
        </w:rPr>
        <w:t>Ndlovu</w:t>
      </w:r>
      <w:proofErr w:type="spellEnd"/>
      <w:r w:rsidRPr="00DD4608">
        <w:rPr>
          <w:rFonts w:ascii="Arial" w:eastAsia="Times New Roman" w:hAnsi="Arial" w:cs="Arial"/>
          <w:color w:val="333333"/>
          <w:lang w:eastAsia="en-GB"/>
        </w:rPr>
        <w:t xml:space="preserve"> (2010) ‘Heritage, Landscape and Memory’ in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Understanding Heritage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Pr="00DD4608">
        <w:rPr>
          <w:rFonts w:ascii="Arial" w:eastAsia="Times New Roman" w:hAnsi="Arial" w:cs="Arial"/>
          <w:i/>
          <w:iCs/>
          <w:color w:val="333333"/>
          <w:lang w:eastAsia="en-GB"/>
        </w:rPr>
        <w:t>and Memory</w:t>
      </w:r>
      <w:r w:rsidRPr="00DD4608">
        <w:rPr>
          <w:rFonts w:ascii="Arial" w:eastAsia="Times New Roman" w:hAnsi="Arial" w:cs="Arial"/>
          <w:color w:val="333333"/>
          <w:lang w:eastAsia="en-GB"/>
        </w:rPr>
        <w:t xml:space="preserve"> (Understanding Global Heritage).</w:t>
      </w:r>
      <w:proofErr w:type="gramEnd"/>
      <w:r w:rsidRPr="00DD4608">
        <w:rPr>
          <w:rFonts w:ascii="Arial" w:eastAsia="Times New Roman" w:hAnsi="Arial" w:cs="Arial"/>
          <w:color w:val="333333"/>
          <w:lang w:eastAsia="en-GB"/>
        </w:rPr>
        <w:t xml:space="preserve"> R. Benton (ed.), pp 202-237. Manchester: Manchester University Press.</w:t>
      </w:r>
    </w:p>
    <w:p w:rsidR="00DD4608" w:rsidRDefault="00DD4608" w:rsidP="00FD65CA">
      <w:pPr>
        <w:pStyle w:val="NormalWeb"/>
        <w:rPr>
          <w:rFonts w:ascii="Arial" w:hAnsi="Arial" w:cs="Arial"/>
          <w:b/>
          <w:bCs/>
          <w:color w:val="auto"/>
          <w:sz w:val="22"/>
          <w:szCs w:val="22"/>
          <w:lang/>
        </w:rPr>
      </w:pPr>
    </w:p>
    <w:p w:rsidR="00FD65CA" w:rsidRPr="00DD4608" w:rsidRDefault="00FD65CA" w:rsidP="00FD65CA">
      <w:pPr>
        <w:pStyle w:val="NormalWeb"/>
        <w:rPr>
          <w:rFonts w:ascii="Arial" w:hAnsi="Arial" w:cs="Arial"/>
          <w:color w:val="auto"/>
          <w:sz w:val="22"/>
          <w:szCs w:val="22"/>
          <w:lang/>
        </w:rPr>
      </w:pPr>
      <w:r w:rsidRPr="00DD4608">
        <w:rPr>
          <w:rFonts w:ascii="Arial" w:hAnsi="Arial" w:cs="Arial"/>
          <w:b/>
          <w:bCs/>
          <w:color w:val="auto"/>
          <w:sz w:val="22"/>
          <w:szCs w:val="22"/>
          <w:lang/>
        </w:rPr>
        <w:t>Telling the ‘Story’: Media and New Technologies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lastRenderedPageBreak/>
        <w:t>Baudrillard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J. (1998) ‘Simulacra and Simulations’,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Jean </w:t>
      </w:r>
      <w:proofErr w:type="spellStart"/>
      <w:r w:rsidRPr="00DD4608">
        <w:rPr>
          <w:rFonts w:ascii="Arial" w:hAnsi="Arial" w:cs="Arial"/>
          <w:i/>
          <w:iCs/>
          <w:sz w:val="22"/>
          <w:szCs w:val="22"/>
          <w:lang/>
        </w:rPr>
        <w:t>Baudrillard</w:t>
      </w:r>
      <w:proofErr w:type="spellEnd"/>
      <w:r w:rsidRPr="00DD4608">
        <w:rPr>
          <w:rFonts w:ascii="Arial" w:hAnsi="Arial" w:cs="Arial"/>
          <w:i/>
          <w:iCs/>
          <w:sz w:val="22"/>
          <w:szCs w:val="22"/>
          <w:lang/>
        </w:rPr>
        <w:t>, Selected Writings</w:t>
      </w:r>
      <w:r w:rsidRPr="00DD4608">
        <w:rPr>
          <w:rFonts w:ascii="Arial" w:hAnsi="Arial" w:cs="Arial"/>
          <w:sz w:val="22"/>
          <w:szCs w:val="22"/>
          <w:lang/>
        </w:rPr>
        <w:t>, Mark Poster (ed.), pp.166-184.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Stanford: Stanford University Press. Available at </w:t>
      </w:r>
      <w:hyperlink r:id="rId5" w:history="1">
        <w:r w:rsidRPr="00DD4608">
          <w:rPr>
            <w:rStyle w:val="Hyperlink"/>
            <w:rFonts w:ascii="Arial" w:hAnsi="Arial" w:cs="Arial"/>
            <w:sz w:val="22"/>
            <w:szCs w:val="22"/>
            <w:lang/>
          </w:rPr>
          <w:t>http://www.egs.edu/faculty/jean-baudrillard/articles/simulacra-and-simulations/</w:t>
        </w:r>
      </w:hyperlink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Baudrillard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J. (1994)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Simulacra and Simulations</w:t>
      </w:r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Ann Arbor, MI: University of Michigan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Blockley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M. (2006)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Heritage Interpretation</w:t>
      </w:r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Handler, Richard &amp; Eric Gable (1997)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New History in an Old Museum: Creating the Past at Colonial Williamsburg </w:t>
      </w:r>
      <w:r w:rsidRPr="00DD4608">
        <w:rPr>
          <w:rFonts w:ascii="Arial" w:hAnsi="Arial" w:cs="Arial"/>
          <w:sz w:val="22"/>
          <w:szCs w:val="22"/>
          <w:lang/>
        </w:rPr>
        <w:t>London and Durham: Duke University Press 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Gero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Joan and Root, Delores (1990) ‘Public Presentations and Private Concerns: Archaeology in the pages of the National Geographic’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Politics of the Past</w:t>
      </w:r>
      <w:r w:rsidRPr="00DD4608">
        <w:rPr>
          <w:rFonts w:ascii="Arial" w:hAnsi="Arial" w:cs="Arial"/>
          <w:sz w:val="22"/>
          <w:szCs w:val="22"/>
          <w:lang/>
        </w:rPr>
        <w:t xml:space="preserve"> P.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Gathercole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and D.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Lowenthal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David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 London: Unwin Hyman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Jameson Jnr, J.H. (2008) ‘Presenting Archaeology to the Public, Then and Now: An Introduction’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 xml:space="preserve">, G.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et al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427-456.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Lutz, C and J.L. Collins (1993)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Reading National Geographic</w:t>
      </w:r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Chicago: Chicago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McCarthy, J.P (2008) ‘More than Just “Telling the Story”: Interpretive Narrative Archaeology’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 xml:space="preserve">, G.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et al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536-544.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McDavid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C (2008) ‘Archaeologies that Hurt; Descendents that Matter: A Pragmatic Approach to Collaboration in the Interpretation of African-American Archaeology’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 xml:space="preserve">, G.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et al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514-523.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MacDonald, S. and R. Silverstone (1999) ‘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Rewriting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the Museum’s Fiction: Taxonomies, Stories and Readers’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Representing the Nation: A Reader. Histories, Heritage and Museums</w:t>
      </w:r>
      <w:r w:rsidRPr="00DD4608">
        <w:rPr>
          <w:rFonts w:ascii="Arial" w:hAnsi="Arial" w:cs="Arial"/>
          <w:sz w:val="22"/>
          <w:szCs w:val="22"/>
          <w:lang/>
        </w:rPr>
        <w:t>, D. Boswell and J. Evans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421-434. London: Routledge in association with The Open University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National Geographic ‘Andes Expedition’: Virtual Autopsy </w:t>
      </w:r>
      <w:hyperlink r:id="rId6" w:history="1">
        <w:r w:rsidRPr="00DD4608">
          <w:rPr>
            <w:rStyle w:val="Hyperlink"/>
            <w:rFonts w:ascii="Arial" w:hAnsi="Arial" w:cs="Arial"/>
            <w:sz w:val="22"/>
            <w:szCs w:val="22"/>
            <w:lang/>
          </w:rPr>
          <w:t>http://www.nationalgeographic.com/andes/</w:t>
        </w:r>
      </w:hyperlink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Reinhard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Johan (1996) ‘Peru’s Ice Maidens’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National Geographic Magazine </w:t>
      </w:r>
      <w:r w:rsidRPr="00DD4608">
        <w:rPr>
          <w:rFonts w:ascii="Arial" w:hAnsi="Arial" w:cs="Arial"/>
          <w:sz w:val="22"/>
          <w:szCs w:val="22"/>
          <w:lang/>
        </w:rPr>
        <w:t>189: 62-81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Uzzell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D and R.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Ballantyne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(2008) ‘Heritage that Hurts: Interpretation in the Postmodern World’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 xml:space="preserve">, G.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et al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502-512.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Walsh, Kevin (1992)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Representation of the Past: Museums and Heritage in the Postmodern World</w:t>
      </w:r>
      <w:r w:rsidRPr="00DD4608">
        <w:rPr>
          <w:rFonts w:ascii="Arial" w:hAnsi="Arial" w:cs="Arial"/>
          <w:sz w:val="22"/>
          <w:szCs w:val="22"/>
          <w:lang/>
        </w:rPr>
        <w:t>, London: Routledge (Chapter 5)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Walter, Tony (2004) ‘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Plastination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for Display: A New Way to Dispose of the Dead’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Journal of the Royal Anthropological Institute </w:t>
      </w:r>
      <w:r w:rsidRPr="00DD4608">
        <w:rPr>
          <w:rFonts w:ascii="Arial" w:hAnsi="Arial" w:cs="Arial"/>
          <w:sz w:val="22"/>
          <w:szCs w:val="22"/>
          <w:lang/>
        </w:rPr>
        <w:t>10(3): 603-27</w:t>
      </w:r>
    </w:p>
    <w:p w:rsidR="00FD65CA" w:rsidRPr="00DD4608" w:rsidRDefault="00FD65CA">
      <w:pPr>
        <w:rPr>
          <w:rFonts w:ascii="Arial" w:hAnsi="Arial" w:cs="Arial"/>
        </w:rPr>
      </w:pPr>
    </w:p>
    <w:p w:rsidR="00FD65CA" w:rsidRPr="00DD4608" w:rsidRDefault="00FD65CA" w:rsidP="00FD65CA">
      <w:pPr>
        <w:pStyle w:val="NormalWeb"/>
        <w:rPr>
          <w:rFonts w:ascii="Arial" w:hAnsi="Arial" w:cs="Arial"/>
          <w:color w:val="auto"/>
          <w:sz w:val="22"/>
          <w:szCs w:val="22"/>
          <w:lang/>
        </w:rPr>
      </w:pPr>
      <w:r w:rsidRPr="00DD4608">
        <w:rPr>
          <w:rFonts w:ascii="Arial" w:hAnsi="Arial" w:cs="Arial"/>
          <w:b/>
          <w:bCs/>
          <w:color w:val="auto"/>
          <w:sz w:val="22"/>
          <w:szCs w:val="22"/>
          <w:lang/>
        </w:rPr>
        <w:t xml:space="preserve">Heritage out of Context: Museums and the Viewers’ Gaze 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Appadurai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A &amp; Breckenridge, C.A. (1992) ‘Museums are Good to Think: Heritage on View in India’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Museums and Communities: The Politics of Public Culture</w:t>
      </w:r>
      <w:r w:rsidRPr="00DD4608">
        <w:rPr>
          <w:rFonts w:ascii="Arial" w:hAnsi="Arial" w:cs="Arial"/>
          <w:sz w:val="22"/>
          <w:szCs w:val="22"/>
          <w:lang/>
        </w:rPr>
        <w:t xml:space="preserve"> I. Karp, C. Mullen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Kreamer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and S. D.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Lavine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) pp 34-55 Washington: Smithsonian Institution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lastRenderedPageBreak/>
        <w:t>Appadurai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A. (1988)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Social Life of Things: Commodities in Cultural Perspective</w:t>
      </w:r>
      <w:r w:rsidRPr="00DD4608">
        <w:rPr>
          <w:rFonts w:ascii="Arial" w:hAnsi="Arial" w:cs="Arial"/>
          <w:sz w:val="22"/>
          <w:szCs w:val="22"/>
          <w:lang/>
        </w:rPr>
        <w:t>. Cambridge: Cambridge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Bennett, Tony (1995)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Birth of the Museum: History, Theory, Politics </w:t>
      </w:r>
      <w:r w:rsidRPr="00DD4608">
        <w:rPr>
          <w:rFonts w:ascii="Arial" w:hAnsi="Arial" w:cs="Arial"/>
          <w:sz w:val="22"/>
          <w:szCs w:val="22"/>
          <w:lang/>
        </w:rPr>
        <w:t>London: Routledge (Chapter 5)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Carbonell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B.M. (2004)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Museum Studies: An Anthology of Contexts. </w:t>
      </w:r>
      <w:r w:rsidRPr="00DD4608">
        <w:rPr>
          <w:rFonts w:ascii="Arial" w:hAnsi="Arial" w:cs="Arial"/>
          <w:sz w:val="22"/>
          <w:szCs w:val="22"/>
          <w:lang/>
        </w:rPr>
        <w:t>Malden, MA: Blackwell Publishing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Clifford, J. (1997) ‘Museums as Contact Zones’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Routes: Travel and Translation in the Late Twentieth Century</w:t>
      </w:r>
      <w:r w:rsidRPr="00DD4608">
        <w:rPr>
          <w:rFonts w:ascii="Arial" w:hAnsi="Arial" w:cs="Arial"/>
          <w:sz w:val="22"/>
          <w:szCs w:val="22"/>
          <w:lang/>
        </w:rPr>
        <w:t xml:space="preserve">. Cambridge: MA: Harvard University Press.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Also in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Representing the Nation: A Reader.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Histories, Heritage and Museums</w:t>
      </w:r>
      <w:r w:rsidRPr="00DD4608">
        <w:rPr>
          <w:rFonts w:ascii="Arial" w:hAnsi="Arial" w:cs="Arial"/>
          <w:sz w:val="22"/>
          <w:szCs w:val="22"/>
          <w:lang/>
        </w:rPr>
        <w:t>, D. Boswell and J. Evans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435-458. London: Routledge in association with The Open University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Coombes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Annie E. (1994)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Reinventing Africa: Museums, Material Culture and Popular Imagination in late Victorian and Edwardian England. </w:t>
      </w:r>
      <w:r w:rsidRPr="00DD4608">
        <w:rPr>
          <w:rFonts w:ascii="Arial" w:hAnsi="Arial" w:cs="Arial"/>
          <w:sz w:val="22"/>
          <w:szCs w:val="22"/>
          <w:lang/>
        </w:rPr>
        <w:t>New Haven: Yale University Press (Especially the Introduction and Chapter 7)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Fairlough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G. et al (2008)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London: Routledge (Especially the range of chapters in Section Three)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Greenhalgh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Paul (1989) ‘Education, Entertainment and Politics: Lessons from the Great International Exhibitions’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New Museology</w:t>
      </w:r>
      <w:r w:rsidRPr="00DD4608">
        <w:rPr>
          <w:rFonts w:ascii="Arial" w:hAnsi="Arial" w:cs="Arial"/>
          <w:sz w:val="22"/>
          <w:szCs w:val="22"/>
          <w:lang/>
        </w:rPr>
        <w:t xml:space="preserve"> P.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Vergo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) pp 74-98 London: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Reaktion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Books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Handler, Richard &amp; Eric Gable (1997)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New History in an Old Museum: Creating the Past at Colonial Williamsburg </w:t>
      </w:r>
      <w:r w:rsidRPr="00DD4608">
        <w:rPr>
          <w:rFonts w:ascii="Arial" w:hAnsi="Arial" w:cs="Arial"/>
          <w:sz w:val="22"/>
          <w:szCs w:val="22"/>
          <w:lang/>
        </w:rPr>
        <w:t>London and Durham: Duke University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Hooper-Greenhill, Eileen (1992)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Museums and the Shaping of Knowledge</w:t>
      </w:r>
      <w:r w:rsidRPr="00DD4608">
        <w:rPr>
          <w:rFonts w:ascii="Arial" w:hAnsi="Arial" w:cs="Arial"/>
          <w:sz w:val="22"/>
          <w:szCs w:val="22"/>
          <w:lang/>
        </w:rPr>
        <w:t>,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Jenkins, D. (1994) Object lessons and ethnographic displays: museum exhibitions and the making of American Anthropology,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Comparative Studies in Society and History</w:t>
      </w:r>
      <w:r w:rsidRPr="00DD4608">
        <w:rPr>
          <w:rFonts w:ascii="Arial" w:hAnsi="Arial" w:cs="Arial"/>
          <w:sz w:val="22"/>
          <w:szCs w:val="22"/>
          <w:lang/>
        </w:rPr>
        <w:t>, 36 (2): 242-270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Kaplan, F. S. (1994)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Museums and the Making of ‘Ourselves’: The Role of Objects in National Identity</w:t>
      </w:r>
      <w:r w:rsidRPr="00DD4608">
        <w:rPr>
          <w:rFonts w:ascii="Arial" w:hAnsi="Arial" w:cs="Arial"/>
          <w:sz w:val="22"/>
          <w:szCs w:val="22"/>
          <w:lang/>
        </w:rPr>
        <w:t>. London and New York: Leicester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Lumley, Robert (1988) ‘Introduction’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Museum Time Machine: Putting Cultures on Display</w:t>
      </w:r>
      <w:r w:rsidRPr="00DD4608">
        <w:rPr>
          <w:rFonts w:ascii="Arial" w:hAnsi="Arial" w:cs="Arial"/>
          <w:sz w:val="22"/>
          <w:szCs w:val="22"/>
          <w:lang/>
        </w:rPr>
        <w:t xml:space="preserve"> R. Lumley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 pp 3-22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Mikolajczyk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Andrzej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(1990) ‘Didactic Presentations of the Past: Some Retrospective Considerations in Relation to the Archaeological and Ethnographical Museum, Lodz, Poland’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Politics of the Past</w:t>
      </w:r>
      <w:r w:rsidRPr="00DD4608">
        <w:rPr>
          <w:rFonts w:ascii="Arial" w:hAnsi="Arial" w:cs="Arial"/>
          <w:sz w:val="22"/>
          <w:szCs w:val="22"/>
          <w:lang/>
        </w:rPr>
        <w:t xml:space="preserve"> P.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Gathercole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and D.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Lowenthal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 pp. 247-256. London: Unwin Hyman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Tilley, Christopher (1991) ‘Interpreting Material Culture’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Meanings of Things: Material Culture and Symbolic Expression</w:t>
      </w:r>
      <w:r w:rsidRPr="00DD4608">
        <w:rPr>
          <w:rFonts w:ascii="Arial" w:hAnsi="Arial" w:cs="Arial"/>
          <w:sz w:val="22"/>
          <w:szCs w:val="22"/>
          <w:lang/>
        </w:rPr>
        <w:t xml:space="preserve"> I.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Hodder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 185-194 London: HarperCollins Academic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Tilley, Christopher (1990) ‘Michel Foucault: Towards an Archaeology of Archaeology’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Reading Material Culture: Structuralism, Hermeneutics and Post-Structuralism </w:t>
      </w:r>
      <w:r w:rsidRPr="00DD4608">
        <w:rPr>
          <w:rFonts w:ascii="Arial" w:hAnsi="Arial" w:cs="Arial"/>
          <w:sz w:val="22"/>
          <w:szCs w:val="22"/>
          <w:lang/>
        </w:rPr>
        <w:t>C. Tilley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 281-348 Oxford: Basil Blackwell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Thomas, Nicholas (1991)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Entangled Objects: Exchange, Material Culture and Colonialism in the Pacific.</w:t>
      </w:r>
      <w:r w:rsidRPr="00DD4608">
        <w:rPr>
          <w:rFonts w:ascii="Arial" w:hAnsi="Arial" w:cs="Arial"/>
          <w:sz w:val="22"/>
          <w:szCs w:val="22"/>
          <w:lang/>
        </w:rPr>
        <w:t xml:space="preserve"> Cambridge, Mass: Harvard University Press (Especially Chapter 4)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gramStart"/>
      <w:r w:rsidRPr="00DD4608">
        <w:rPr>
          <w:rFonts w:ascii="Arial" w:hAnsi="Arial" w:cs="Arial"/>
          <w:sz w:val="22"/>
          <w:szCs w:val="22"/>
          <w:lang/>
        </w:rPr>
        <w:lastRenderedPageBreak/>
        <w:t xml:space="preserve">Simpson, M. (2001)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Making Representations: Museums in the Post-Colonial Era</w:t>
      </w:r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London: Routledge.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Vergo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Peter (1989) ‘The Reticent Object’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New Museology</w:t>
      </w:r>
      <w:r w:rsidRPr="00DD4608">
        <w:rPr>
          <w:rFonts w:ascii="Arial" w:hAnsi="Arial" w:cs="Arial"/>
          <w:sz w:val="22"/>
          <w:szCs w:val="22"/>
          <w:lang/>
        </w:rPr>
        <w:t xml:space="preserve"> P.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Vergo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) pp 41-59 London: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Reaktion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Books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Urry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J. (1999) ‘Gazing on History’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Representing the Nation: A Reader. Histories, Heritage and Museums</w:t>
      </w:r>
      <w:r w:rsidRPr="00DD4608">
        <w:rPr>
          <w:rFonts w:ascii="Arial" w:hAnsi="Arial" w:cs="Arial"/>
          <w:sz w:val="22"/>
          <w:szCs w:val="22"/>
          <w:lang/>
        </w:rPr>
        <w:t>, D. Boswell and J. Evans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151-162. London: Routledge in association with The Open University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Walsh, Kevin (1992)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Representation of the Past: Museums and Heritage in the Postmodern World</w:t>
      </w:r>
      <w:r w:rsidRPr="00DD4608">
        <w:rPr>
          <w:rFonts w:ascii="Arial" w:hAnsi="Arial" w:cs="Arial"/>
          <w:sz w:val="22"/>
          <w:szCs w:val="22"/>
          <w:lang/>
        </w:rPr>
        <w:t>, London: Routledge (Introduction)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West, S. and E. McKellar (2010) ‘Interpretation of Heritage’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Understanding Heritage in Practice</w:t>
      </w:r>
      <w:r w:rsidRPr="00DD4608">
        <w:rPr>
          <w:rFonts w:ascii="Arial" w:hAnsi="Arial" w:cs="Arial"/>
          <w:sz w:val="22"/>
          <w:szCs w:val="22"/>
          <w:lang/>
        </w:rPr>
        <w:t xml:space="preserve"> (Understanding Global Heritage) S. West (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>.). Manchester: Manchester University Press</w:t>
      </w:r>
    </w:p>
    <w:p w:rsidR="00FD65CA" w:rsidRPr="00DD4608" w:rsidRDefault="00FD65CA">
      <w:pPr>
        <w:rPr>
          <w:rFonts w:ascii="Arial" w:hAnsi="Arial" w:cs="Arial"/>
        </w:rPr>
      </w:pPr>
    </w:p>
    <w:p w:rsidR="00FD65CA" w:rsidRPr="00DD4608" w:rsidRDefault="00FD65CA" w:rsidP="00FD65CA">
      <w:pPr>
        <w:pStyle w:val="NormalWeb"/>
        <w:rPr>
          <w:rFonts w:ascii="Arial" w:hAnsi="Arial" w:cs="Arial"/>
          <w:color w:val="auto"/>
          <w:sz w:val="22"/>
          <w:szCs w:val="22"/>
          <w:lang/>
        </w:rPr>
      </w:pPr>
      <w:r w:rsidRPr="00DD4608">
        <w:rPr>
          <w:rFonts w:ascii="Arial" w:hAnsi="Arial" w:cs="Arial"/>
          <w:b/>
          <w:bCs/>
          <w:color w:val="auto"/>
          <w:sz w:val="22"/>
          <w:szCs w:val="22"/>
          <w:lang/>
        </w:rPr>
        <w:t>The Politics of the Past: Time, History- and Myth-Making  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Readings for this week also include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an ethnography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of your choice from the list of those recommended in the module handbook.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Bond, George and Angela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Gillam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) (1994)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Social Construction of the Past: Representation as Power</w:t>
      </w:r>
      <w:r w:rsidRPr="00DD4608">
        <w:rPr>
          <w:rFonts w:ascii="Arial" w:hAnsi="Arial" w:cs="Arial"/>
          <w:sz w:val="22"/>
          <w:szCs w:val="22"/>
          <w:lang/>
        </w:rPr>
        <w:t xml:space="preserve"> London: Routledge (Especially the Introduction by Bond and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Gillam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Dillon, Mary and Thomas Abercrombie (1988) ‘The Destroying Christ: An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Aymara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Myth of Conquest’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Rethinking History and Myth: Indigenous South American Perspectives</w:t>
      </w:r>
      <w:r w:rsidRPr="00DD4608">
        <w:rPr>
          <w:rFonts w:ascii="Arial" w:hAnsi="Arial" w:cs="Arial"/>
          <w:sz w:val="22"/>
          <w:szCs w:val="22"/>
          <w:lang/>
        </w:rPr>
        <w:t>. J. Hill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) pp 50-77 Urbana: University of Illinois Press. 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Available as an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ebook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http://hdl.handle.net/2027/heb.03608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Fabian, Johannes (1983)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Time and the Other: How Anthropology Makes its Object. </w:t>
      </w:r>
      <w:r w:rsidRPr="00DD4608">
        <w:rPr>
          <w:rFonts w:ascii="Arial" w:hAnsi="Arial" w:cs="Arial"/>
          <w:sz w:val="22"/>
          <w:szCs w:val="22"/>
          <w:lang/>
        </w:rPr>
        <w:t>New York: Columbia University Press. (Chapter 1)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Gathercole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Peter (1990) ‘Introduction’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Politics of the Past</w:t>
      </w:r>
      <w:r w:rsidRPr="00DD4608">
        <w:rPr>
          <w:rFonts w:ascii="Arial" w:hAnsi="Arial" w:cs="Arial"/>
          <w:sz w:val="22"/>
          <w:szCs w:val="22"/>
          <w:lang/>
        </w:rPr>
        <w:t xml:space="preserve"> P.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Gathercole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and D.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Lowenthal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 pp. 1-4. London: Unwin Hyman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Greenhouse, Carol (1996)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 Moment’s Notice: Time Politics across Cultures</w:t>
      </w:r>
      <w:r w:rsidRPr="00DD4608">
        <w:rPr>
          <w:rFonts w:ascii="Arial" w:hAnsi="Arial" w:cs="Arial"/>
          <w:sz w:val="22"/>
          <w:szCs w:val="22"/>
          <w:lang/>
        </w:rPr>
        <w:t xml:space="preserve"> Ithaca: Cornell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Harris, Olivia (1995a)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‘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Coming of the White People’: Reflections on the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Mythologisation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of History in Latin America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’ </w:t>
      </w:r>
      <w:r w:rsidRPr="00DD4608">
        <w:rPr>
          <w:rFonts w:ascii="Arial" w:hAnsi="Arial" w:cs="Arial"/>
          <w:sz w:val="22"/>
          <w:szCs w:val="22"/>
          <w:lang/>
        </w:rPr>
        <w:t>in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Bulletin of Latin American Research</w:t>
      </w:r>
      <w:r w:rsidRPr="00DD4608">
        <w:rPr>
          <w:rFonts w:ascii="Arial" w:hAnsi="Arial" w:cs="Arial"/>
          <w:sz w:val="22"/>
          <w:szCs w:val="22"/>
          <w:lang/>
        </w:rPr>
        <w:t xml:space="preserve"> 14 (1): 9-24.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Herzfeld, Michael. (1991)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 Place in History: Social and Monumental Time in a Cretan Town</w:t>
      </w:r>
      <w:r w:rsidRPr="00DD4608">
        <w:rPr>
          <w:rFonts w:ascii="Arial" w:hAnsi="Arial" w:cs="Arial"/>
          <w:sz w:val="22"/>
          <w:szCs w:val="22"/>
          <w:lang/>
        </w:rPr>
        <w:t xml:space="preserve">. Princeton: Princeton University Press (Chapter 1).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Available as an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ebook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http://hdl.handle.net/2027/heb.02299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>Hill, Jonathan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) (1988) ‘Introduction: Myth and History’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Rethinking History and Myth: Indigenous South American Perspectives</w:t>
      </w:r>
      <w:r w:rsidRPr="00DD4608">
        <w:rPr>
          <w:rFonts w:ascii="Arial" w:hAnsi="Arial" w:cs="Arial"/>
          <w:sz w:val="22"/>
          <w:szCs w:val="22"/>
          <w:lang/>
        </w:rPr>
        <w:t xml:space="preserve">. J. Hill (ed.) pp 1-17 Urbana: University of Illinois Press.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Available as an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ebook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http://hdl.handle.net/2027/heb.03608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Hirsch, E (2006) ‘Landscape, Myth and Time’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Journal of Material Culture</w:t>
      </w:r>
      <w:r w:rsidRPr="00DD4608">
        <w:rPr>
          <w:rFonts w:ascii="Arial" w:hAnsi="Arial" w:cs="Arial"/>
          <w:sz w:val="22"/>
          <w:szCs w:val="22"/>
          <w:lang/>
        </w:rPr>
        <w:t xml:space="preserve"> 11 (1/2): 151-165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lastRenderedPageBreak/>
        <w:t>Hobsbawn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Eric and T. Ranger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) (1983)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The Invention of Tradition. </w:t>
      </w:r>
      <w:r w:rsidRPr="00DD4608">
        <w:rPr>
          <w:rFonts w:ascii="Arial" w:hAnsi="Arial" w:cs="Arial"/>
          <w:sz w:val="22"/>
          <w:szCs w:val="22"/>
          <w:lang/>
        </w:rPr>
        <w:t>Cambridge: Cambridge University Press.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Lowenthal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David (1985)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Past in a Foreign Country </w:t>
      </w:r>
      <w:r w:rsidRPr="00DD4608">
        <w:rPr>
          <w:rFonts w:ascii="Arial" w:hAnsi="Arial" w:cs="Arial"/>
          <w:sz w:val="22"/>
          <w:szCs w:val="22"/>
          <w:lang/>
        </w:rPr>
        <w:t>Cambridge: Cambridge University Press (Chapter 1 and 6)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Lowenthal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David (1998)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Heritage Crusade and the Spoils of History</w:t>
      </w:r>
      <w:r w:rsidRPr="00DD4608">
        <w:rPr>
          <w:rFonts w:ascii="Arial" w:hAnsi="Arial" w:cs="Arial"/>
          <w:sz w:val="22"/>
          <w:szCs w:val="22"/>
          <w:lang/>
        </w:rPr>
        <w:t>. Cambridge: Cambridge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Lutz, Henry J. (1992) ‘Introduction: The Idea of the Politics of Time’. In H.J.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Rutz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(Ed.),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Politics of Time </w:t>
      </w:r>
      <w:r w:rsidRPr="00DD4608">
        <w:rPr>
          <w:rFonts w:ascii="Arial" w:hAnsi="Arial" w:cs="Arial"/>
          <w:sz w:val="22"/>
          <w:szCs w:val="22"/>
          <w:lang/>
        </w:rPr>
        <w:t xml:space="preserve">(pp 1-17). Arlington, VA: America Ethnological Society 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Obeysekere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G.  (1997 [1992])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Apotheosis of Captain Cook: European Myth-Making in the Pacific.</w:t>
      </w:r>
      <w:r w:rsidRPr="00DD4608">
        <w:rPr>
          <w:rFonts w:ascii="Arial" w:hAnsi="Arial" w:cs="Arial"/>
          <w:sz w:val="22"/>
          <w:szCs w:val="22"/>
          <w:lang/>
        </w:rPr>
        <w:t xml:space="preserve"> Princeton, NJ: Princeton University Press.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Available as an-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ebook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Sahlins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M. (1995),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How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Natives Think: About Captain Cook, for example</w:t>
      </w:r>
      <w:r w:rsidRPr="00DD4608">
        <w:rPr>
          <w:rFonts w:ascii="Arial" w:hAnsi="Arial" w:cs="Arial"/>
          <w:sz w:val="22"/>
          <w:szCs w:val="22"/>
          <w:lang/>
        </w:rPr>
        <w:t>. Chicago: Chicago University Press 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Urton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Gary (1990)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History of the Myth: </w:t>
      </w:r>
      <w:proofErr w:type="spellStart"/>
      <w:r w:rsidRPr="00DD4608">
        <w:rPr>
          <w:rFonts w:ascii="Arial" w:hAnsi="Arial" w:cs="Arial"/>
          <w:i/>
          <w:iCs/>
          <w:sz w:val="22"/>
          <w:szCs w:val="22"/>
          <w:lang/>
        </w:rPr>
        <w:t>Pacariqtambo</w:t>
      </w:r>
      <w:proofErr w:type="spell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and the Origin of the </w:t>
      </w:r>
      <w:proofErr w:type="spellStart"/>
      <w:r w:rsidRPr="00DD4608">
        <w:rPr>
          <w:rFonts w:ascii="Arial" w:hAnsi="Arial" w:cs="Arial"/>
          <w:i/>
          <w:iCs/>
          <w:sz w:val="22"/>
          <w:szCs w:val="22"/>
          <w:lang/>
        </w:rPr>
        <w:t>Inkas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. Austin: University of Texas Press.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Available as an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ebook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  </w:t>
      </w:r>
      <w:hyperlink r:id="rId7" w:history="1">
        <w:r w:rsidRPr="00DD4608">
          <w:rPr>
            <w:rStyle w:val="Hyperlink"/>
            <w:rFonts w:ascii="Arial" w:hAnsi="Arial" w:cs="Arial"/>
            <w:sz w:val="22"/>
            <w:szCs w:val="22"/>
            <w:lang/>
          </w:rPr>
          <w:t>http://hdl.handle.net/2027/heb.03637</w:t>
        </w:r>
      </w:hyperlink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Wolf, E (1982)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Europe and the People without History</w:t>
      </w:r>
      <w:r w:rsidRPr="00DD4608">
        <w:rPr>
          <w:rFonts w:ascii="Arial" w:hAnsi="Arial" w:cs="Arial"/>
          <w:sz w:val="22"/>
          <w:szCs w:val="22"/>
          <w:lang/>
        </w:rPr>
        <w:t>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Berkeley, CA: University of California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Wilk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R (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nd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Time and the Making of the Maya as an Archaeological and Ethnological Object</w:t>
      </w:r>
      <w:r w:rsidRPr="00DD4608">
        <w:rPr>
          <w:rFonts w:ascii="Arial" w:hAnsi="Arial" w:cs="Arial"/>
          <w:sz w:val="22"/>
          <w:szCs w:val="22"/>
          <w:lang/>
        </w:rPr>
        <w:t xml:space="preserve">. Available at </w:t>
      </w:r>
      <w:hyperlink r:id="rId8" w:history="1">
        <w:r w:rsidRPr="00DD4608">
          <w:rPr>
            <w:rStyle w:val="Hyperlink"/>
            <w:rFonts w:ascii="Arial" w:hAnsi="Arial" w:cs="Arial"/>
            <w:sz w:val="22"/>
            <w:szCs w:val="22"/>
            <w:lang/>
          </w:rPr>
          <w:t>http://indiana.academia.edu/RichardWilk/Papers</w:t>
        </w:r>
      </w:hyperlink>
    </w:p>
    <w:p w:rsidR="00FD65CA" w:rsidRPr="00DD4608" w:rsidRDefault="00FD65CA">
      <w:pPr>
        <w:rPr>
          <w:rFonts w:ascii="Arial" w:hAnsi="Arial" w:cs="Arial"/>
        </w:rPr>
      </w:pPr>
    </w:p>
    <w:p w:rsidR="00FD65CA" w:rsidRPr="00DD4608" w:rsidRDefault="00FD65CA" w:rsidP="00FD65CA">
      <w:pPr>
        <w:pStyle w:val="NormalWeb"/>
        <w:rPr>
          <w:rFonts w:ascii="Arial" w:hAnsi="Arial" w:cs="Arial"/>
          <w:color w:val="auto"/>
          <w:sz w:val="22"/>
          <w:szCs w:val="22"/>
          <w:lang/>
        </w:rPr>
      </w:pPr>
      <w:r w:rsidRPr="00DD4608">
        <w:rPr>
          <w:rFonts w:ascii="Arial" w:hAnsi="Arial" w:cs="Arial"/>
          <w:b/>
          <w:bCs/>
          <w:color w:val="auto"/>
          <w:sz w:val="22"/>
          <w:szCs w:val="22"/>
          <w:lang/>
        </w:rPr>
        <w:t>What is Heritage? Introducing Issues of Heritage Representation and Interpretation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Aikawa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N (2004) ‘An historical overview of the preparation of the UNESCO International Convention for the Safeguarding of the Intangible Cultural Heritage’,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Museum International</w:t>
      </w:r>
      <w:r w:rsidRPr="00DD4608">
        <w:rPr>
          <w:rFonts w:ascii="Arial" w:hAnsi="Arial" w:cs="Arial"/>
          <w:sz w:val="22"/>
          <w:szCs w:val="22"/>
          <w:lang/>
        </w:rPr>
        <w:t xml:space="preserve"> 56(1-2): 137-49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Adorno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T (2001)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Culture Industry: Selected Essays on Mass Culture</w:t>
      </w:r>
      <w:r w:rsidRPr="00DD4608">
        <w:rPr>
          <w:rFonts w:ascii="Arial" w:hAnsi="Arial" w:cs="Arial"/>
          <w:sz w:val="22"/>
          <w:szCs w:val="22"/>
          <w:lang/>
        </w:rPr>
        <w:t>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Bortolotto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Chiara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(2010) ‘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Globalising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Intangible Cultural Heritage? 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Between International Arenas and Local Appropriations’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Heritage and </w:t>
      </w:r>
      <w:proofErr w:type="spellStart"/>
      <w:r w:rsidRPr="00DD4608">
        <w:rPr>
          <w:rFonts w:ascii="Arial" w:hAnsi="Arial" w:cs="Arial"/>
          <w:i/>
          <w:iCs/>
          <w:sz w:val="22"/>
          <w:szCs w:val="22"/>
          <w:lang/>
        </w:rPr>
        <w:t>Globalisation</w:t>
      </w:r>
      <w:proofErr w:type="spell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,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Labadi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, S and C. Lang (eds.), pp. 97-114.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Carman, John (2005)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Against Cultural Property: Archaeology Heritage and Ownership</w:t>
      </w:r>
      <w:r w:rsidRPr="00DD4608">
        <w:rPr>
          <w:rFonts w:ascii="Arial" w:hAnsi="Arial" w:cs="Arial"/>
          <w:sz w:val="22"/>
          <w:szCs w:val="22"/>
          <w:lang/>
        </w:rPr>
        <w:t xml:space="preserve">, Duckworth Debates in Archaeology (Chapter 5) 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Clifford, James (1988)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Predicament of Culture: Twentieth-Century Ethnography, Literature, and Art</w:t>
      </w:r>
      <w:r w:rsidRPr="00DD4608">
        <w:rPr>
          <w:rFonts w:ascii="Arial" w:hAnsi="Arial" w:cs="Arial"/>
          <w:sz w:val="22"/>
          <w:szCs w:val="22"/>
          <w:lang/>
        </w:rPr>
        <w:t>.  Cambridge, Mass: Harvard University Press (On collecting art and culture’, pp215-251)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gramStart"/>
      <w:r w:rsidRPr="00DD4608">
        <w:rPr>
          <w:rFonts w:ascii="Arial" w:hAnsi="Arial" w:cs="Arial"/>
          <w:sz w:val="22"/>
          <w:szCs w:val="22"/>
          <w:lang/>
        </w:rPr>
        <w:t>English Heritage.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(2008) ‘Sustaining the Historic Environment: New Perspectives on the Future’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 xml:space="preserve">, G.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et al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313-322.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G. (2008) ‘New Heritage, A Introductory Essay – People, Landscape and Change’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The Heritage Reader</w:t>
      </w:r>
      <w:r w:rsidRPr="00DD4608">
        <w:rPr>
          <w:rFonts w:ascii="Arial" w:hAnsi="Arial" w:cs="Arial"/>
          <w:sz w:val="22"/>
          <w:szCs w:val="22"/>
          <w:lang/>
        </w:rPr>
        <w:t xml:space="preserve">, G. 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Fairclough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 et al (</w:t>
      </w:r>
      <w:proofErr w:type="spell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>), pp. 297-312. London: Routledge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lastRenderedPageBreak/>
        <w:t xml:space="preserve">Harrison, R (2010) ‘What is Heritage’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Understanding the Politics of Heritage</w:t>
      </w:r>
      <w:r w:rsidRPr="00DD4608">
        <w:rPr>
          <w:rFonts w:ascii="Arial" w:hAnsi="Arial" w:cs="Arial"/>
          <w:sz w:val="22"/>
          <w:szCs w:val="22"/>
          <w:lang/>
        </w:rPr>
        <w:t>, R. Harrison (ed.), pp. 5-43. Manchester: Manchester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Harrison, R and A. Linkman (2010) ‘Critical Approaches to Heritage’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Understanding the Politics of Heritage</w:t>
      </w:r>
      <w:r w:rsidRPr="00DD4608">
        <w:rPr>
          <w:rFonts w:ascii="Arial" w:hAnsi="Arial" w:cs="Arial"/>
          <w:sz w:val="22"/>
          <w:szCs w:val="22"/>
          <w:lang/>
        </w:rPr>
        <w:t>, R. Harrison (ed.), pp. 5-43. Manchester: Manchester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gramStart"/>
      <w:r w:rsidRPr="00DD4608">
        <w:rPr>
          <w:rFonts w:ascii="Arial" w:hAnsi="Arial" w:cs="Arial"/>
          <w:sz w:val="22"/>
          <w:szCs w:val="22"/>
          <w:lang/>
        </w:rPr>
        <w:t xml:space="preserve">Harrison, R. and D. Rose (2010) ‘Intangible Heritage’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Understanding Heritage</w:t>
      </w:r>
      <w:r w:rsidRPr="00DD4608">
        <w:rPr>
          <w:rFonts w:ascii="Arial" w:hAnsi="Arial" w:cs="Arial"/>
          <w:sz w:val="22"/>
          <w:szCs w:val="22"/>
          <w:lang/>
        </w:rPr>
        <w:t xml:space="preserve">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and Memory</w:t>
      </w:r>
      <w:r w:rsidRPr="00DD4608">
        <w:rPr>
          <w:rFonts w:ascii="Arial" w:hAnsi="Arial" w:cs="Arial"/>
          <w:sz w:val="22"/>
          <w:szCs w:val="22"/>
          <w:lang/>
        </w:rPr>
        <w:t xml:space="preserve"> (Understanding Global Heritage).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 xml:space="preserve"> R. Benton (ed.), pp 238-276 Manchester: Manchester University Press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Hewison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R (1999 [1987]) ‘The Climate of Decline’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Representing the Nation: A Reader. Histories, Heritage and Museums</w:t>
      </w:r>
      <w:r w:rsidRPr="00DD4608">
        <w:rPr>
          <w:rFonts w:ascii="Arial" w:hAnsi="Arial" w:cs="Arial"/>
          <w:sz w:val="22"/>
          <w:szCs w:val="22"/>
          <w:lang/>
        </w:rPr>
        <w:t>, D. Boswell and J. Evans (</w:t>
      </w:r>
      <w:proofErr w:type="spellStart"/>
      <w:proofErr w:type="gramStart"/>
      <w:r w:rsidRPr="00DD4608">
        <w:rPr>
          <w:rFonts w:ascii="Arial" w:hAnsi="Arial" w:cs="Arial"/>
          <w:sz w:val="22"/>
          <w:szCs w:val="22"/>
          <w:lang/>
        </w:rPr>
        <w:t>eds</w:t>
      </w:r>
      <w:proofErr w:type="spellEnd"/>
      <w:proofErr w:type="gramEnd"/>
      <w:r w:rsidRPr="00DD4608">
        <w:rPr>
          <w:rFonts w:ascii="Arial" w:hAnsi="Arial" w:cs="Arial"/>
          <w:sz w:val="22"/>
          <w:szCs w:val="22"/>
          <w:lang/>
        </w:rPr>
        <w:t>), pp. 151-162. London: Routledge in association with The Open University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Hewison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R (1987) </w:t>
      </w:r>
      <w:proofErr w:type="gramStart"/>
      <w:r w:rsidRPr="00DD4608">
        <w:rPr>
          <w:rFonts w:ascii="Arial" w:hAnsi="Arial" w:cs="Arial"/>
          <w:i/>
          <w:iCs/>
          <w:sz w:val="22"/>
          <w:szCs w:val="22"/>
          <w:lang/>
        </w:rPr>
        <w:t>The</w:t>
      </w:r>
      <w:proofErr w:type="gramEnd"/>
      <w:r w:rsidRPr="00DD4608">
        <w:rPr>
          <w:rFonts w:ascii="Arial" w:hAnsi="Arial" w:cs="Arial"/>
          <w:i/>
          <w:iCs/>
          <w:sz w:val="22"/>
          <w:szCs w:val="22"/>
          <w:lang/>
        </w:rPr>
        <w:t xml:space="preserve"> Heritage Industry: Britain in a Climate of Decline</w:t>
      </w:r>
      <w:r w:rsidRPr="00DD4608">
        <w:rPr>
          <w:rFonts w:ascii="Arial" w:hAnsi="Arial" w:cs="Arial"/>
          <w:sz w:val="22"/>
          <w:szCs w:val="22"/>
          <w:lang/>
        </w:rPr>
        <w:t>. London: Methuen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proofErr w:type="spellStart"/>
      <w:r w:rsidRPr="00DD4608">
        <w:rPr>
          <w:rFonts w:ascii="Arial" w:hAnsi="Arial" w:cs="Arial"/>
          <w:sz w:val="22"/>
          <w:szCs w:val="22"/>
          <w:lang/>
        </w:rPr>
        <w:t>Kurin</w:t>
      </w:r>
      <w:proofErr w:type="spellEnd"/>
      <w:r w:rsidRPr="00DD4608">
        <w:rPr>
          <w:rFonts w:ascii="Arial" w:hAnsi="Arial" w:cs="Arial"/>
          <w:sz w:val="22"/>
          <w:szCs w:val="22"/>
          <w:lang/>
        </w:rPr>
        <w:t xml:space="preserve">, R (2004) ‘Safeguarding Intangible Cultural Heritage in the 2003 UNESCO Convention: A Critical Appraisal’,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Museum International</w:t>
      </w:r>
      <w:r w:rsidRPr="00DD4608">
        <w:rPr>
          <w:rFonts w:ascii="Arial" w:hAnsi="Arial" w:cs="Arial"/>
          <w:sz w:val="22"/>
          <w:szCs w:val="22"/>
          <w:lang/>
        </w:rPr>
        <w:t xml:space="preserve"> 56(1-2): 66-77</w:t>
      </w:r>
    </w:p>
    <w:p w:rsidR="00FD65CA" w:rsidRPr="00DD4608" w:rsidRDefault="00FD65CA" w:rsidP="00FD65CA">
      <w:pPr>
        <w:pStyle w:val="NormalWeb"/>
        <w:rPr>
          <w:rFonts w:ascii="Arial" w:hAnsi="Arial" w:cs="Arial"/>
          <w:sz w:val="22"/>
          <w:szCs w:val="22"/>
          <w:lang/>
        </w:rPr>
      </w:pPr>
      <w:r w:rsidRPr="00DD4608">
        <w:rPr>
          <w:rFonts w:ascii="Arial" w:hAnsi="Arial" w:cs="Arial"/>
          <w:sz w:val="22"/>
          <w:szCs w:val="22"/>
          <w:lang/>
        </w:rPr>
        <w:t xml:space="preserve">West, S and J. Ansell (2010) ‘A History of Heritage’ in </w:t>
      </w:r>
      <w:r w:rsidRPr="00DD4608">
        <w:rPr>
          <w:rFonts w:ascii="Arial" w:hAnsi="Arial" w:cs="Arial"/>
          <w:i/>
          <w:iCs/>
          <w:sz w:val="22"/>
          <w:szCs w:val="22"/>
          <w:lang/>
        </w:rPr>
        <w:t>Understanding Heritage in Practice</w:t>
      </w:r>
      <w:r w:rsidRPr="00DD4608">
        <w:rPr>
          <w:rFonts w:ascii="Arial" w:hAnsi="Arial" w:cs="Arial"/>
          <w:sz w:val="22"/>
          <w:szCs w:val="22"/>
          <w:lang/>
        </w:rPr>
        <w:t xml:space="preserve"> (Understanding Global Heritage) S. West (</w:t>
      </w:r>
      <w:proofErr w:type="gramStart"/>
      <w:r w:rsidRPr="00DD4608">
        <w:rPr>
          <w:rFonts w:ascii="Arial" w:hAnsi="Arial" w:cs="Arial"/>
          <w:sz w:val="22"/>
          <w:szCs w:val="22"/>
          <w:lang/>
        </w:rPr>
        <w:t>ed</w:t>
      </w:r>
      <w:proofErr w:type="gramEnd"/>
      <w:r w:rsidRPr="00DD4608">
        <w:rPr>
          <w:rFonts w:ascii="Arial" w:hAnsi="Arial" w:cs="Arial"/>
          <w:sz w:val="22"/>
          <w:szCs w:val="22"/>
          <w:lang/>
        </w:rPr>
        <w:t>.). Manchester: Manchester University Press.</w:t>
      </w:r>
    </w:p>
    <w:p w:rsidR="00FD65CA" w:rsidRPr="00DD4608" w:rsidRDefault="00FD65CA">
      <w:pPr>
        <w:rPr>
          <w:rFonts w:ascii="Arial" w:hAnsi="Arial" w:cs="Arial"/>
        </w:rPr>
      </w:pPr>
      <w:bookmarkStart w:id="0" w:name="_GoBack"/>
      <w:bookmarkEnd w:id="0"/>
    </w:p>
    <w:sectPr w:rsidR="00FD65CA" w:rsidRPr="00DD4608" w:rsidSect="004E2E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0C27AB"/>
    <w:multiLevelType w:val="multilevel"/>
    <w:tmpl w:val="1BE6917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>
    <w:nsid w:val="0C1065B2"/>
    <w:multiLevelType w:val="multilevel"/>
    <w:tmpl w:val="7AC68E0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>
    <w:nsid w:val="20773B6A"/>
    <w:multiLevelType w:val="multilevel"/>
    <w:tmpl w:val="1A8CB25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">
    <w:nsid w:val="2581014E"/>
    <w:multiLevelType w:val="multilevel"/>
    <w:tmpl w:val="56207C4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4">
    <w:nsid w:val="27E82529"/>
    <w:multiLevelType w:val="multilevel"/>
    <w:tmpl w:val="AED49A4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5">
    <w:nsid w:val="33841BEA"/>
    <w:multiLevelType w:val="multilevel"/>
    <w:tmpl w:val="20EA28E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>
    <w:nsid w:val="36EB0CBB"/>
    <w:multiLevelType w:val="multilevel"/>
    <w:tmpl w:val="4B3CA29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7">
    <w:nsid w:val="3ACB2E75"/>
    <w:multiLevelType w:val="multilevel"/>
    <w:tmpl w:val="ED58FE5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8">
    <w:nsid w:val="3DE66469"/>
    <w:multiLevelType w:val="multilevel"/>
    <w:tmpl w:val="C01EDD8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9">
    <w:nsid w:val="43C10801"/>
    <w:multiLevelType w:val="multilevel"/>
    <w:tmpl w:val="6E50916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0">
    <w:nsid w:val="51C250DB"/>
    <w:multiLevelType w:val="multilevel"/>
    <w:tmpl w:val="2FCE740A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1">
    <w:nsid w:val="5AA0676F"/>
    <w:multiLevelType w:val="multilevel"/>
    <w:tmpl w:val="939EA7A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2">
    <w:nsid w:val="5E855335"/>
    <w:multiLevelType w:val="multilevel"/>
    <w:tmpl w:val="E092FC6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3">
    <w:nsid w:val="62B05218"/>
    <w:multiLevelType w:val="multilevel"/>
    <w:tmpl w:val="6D26E59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4">
    <w:nsid w:val="63481047"/>
    <w:multiLevelType w:val="multilevel"/>
    <w:tmpl w:val="4BB8461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5">
    <w:nsid w:val="644E6187"/>
    <w:multiLevelType w:val="multilevel"/>
    <w:tmpl w:val="9446E76E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4"/>
  </w:num>
  <w:num w:numId="5">
    <w:abstractNumId w:val="13"/>
  </w:num>
  <w:num w:numId="6">
    <w:abstractNumId w:val="12"/>
  </w:num>
  <w:num w:numId="7">
    <w:abstractNumId w:val="14"/>
  </w:num>
  <w:num w:numId="8">
    <w:abstractNumId w:val="10"/>
  </w:num>
  <w:num w:numId="9">
    <w:abstractNumId w:val="15"/>
  </w:num>
  <w:num w:numId="10">
    <w:abstractNumId w:val="9"/>
  </w:num>
  <w:num w:numId="11">
    <w:abstractNumId w:val="3"/>
  </w:num>
  <w:num w:numId="12">
    <w:abstractNumId w:val="5"/>
  </w:num>
  <w:num w:numId="13">
    <w:abstractNumId w:val="8"/>
  </w:num>
  <w:num w:numId="14">
    <w:abstractNumId w:val="7"/>
  </w:num>
  <w:num w:numId="15">
    <w:abstractNumId w:val="1"/>
  </w:num>
  <w:num w:numId="16">
    <w:abstractNumId w:val="1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4B17C1"/>
    <w:rsid w:val="000222B0"/>
    <w:rsid w:val="000640E8"/>
    <w:rsid w:val="002932A0"/>
    <w:rsid w:val="002D6CBD"/>
    <w:rsid w:val="003146CE"/>
    <w:rsid w:val="00326894"/>
    <w:rsid w:val="00374138"/>
    <w:rsid w:val="00431315"/>
    <w:rsid w:val="00457771"/>
    <w:rsid w:val="0046032F"/>
    <w:rsid w:val="004B17C1"/>
    <w:rsid w:val="004C5475"/>
    <w:rsid w:val="004E2E7A"/>
    <w:rsid w:val="005165CE"/>
    <w:rsid w:val="00567DE3"/>
    <w:rsid w:val="005F00EF"/>
    <w:rsid w:val="00602E26"/>
    <w:rsid w:val="00623463"/>
    <w:rsid w:val="00634B98"/>
    <w:rsid w:val="00673E19"/>
    <w:rsid w:val="006811FE"/>
    <w:rsid w:val="006B32FA"/>
    <w:rsid w:val="00804907"/>
    <w:rsid w:val="008819C4"/>
    <w:rsid w:val="00890894"/>
    <w:rsid w:val="008B5198"/>
    <w:rsid w:val="008C26D1"/>
    <w:rsid w:val="009163D5"/>
    <w:rsid w:val="0097136C"/>
    <w:rsid w:val="00A26793"/>
    <w:rsid w:val="00A465F7"/>
    <w:rsid w:val="00BE1225"/>
    <w:rsid w:val="00C05D57"/>
    <w:rsid w:val="00C15CF2"/>
    <w:rsid w:val="00CC3194"/>
    <w:rsid w:val="00CE585D"/>
    <w:rsid w:val="00D428C3"/>
    <w:rsid w:val="00DD4608"/>
    <w:rsid w:val="00E81C7E"/>
    <w:rsid w:val="00F754D1"/>
    <w:rsid w:val="00FD65CA"/>
    <w:rsid w:val="00FD79F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2E7A"/>
  </w:style>
  <w:style w:type="paragraph" w:styleId="Heading3">
    <w:name w:val="heading 3"/>
    <w:basedOn w:val="Normal"/>
    <w:link w:val="Heading3Char"/>
    <w:uiPriority w:val="9"/>
    <w:qFormat/>
    <w:rsid w:val="004B17C1"/>
    <w:pPr>
      <w:spacing w:before="48" w:after="48" w:line="240" w:lineRule="auto"/>
      <w:outlineLvl w:val="2"/>
    </w:pPr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B17C1"/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4B17C1"/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B17C1"/>
    <w:rPr>
      <w:strike w:val="0"/>
      <w:dstrike w:val="0"/>
      <w:color w:val="2D83D5"/>
      <w:u w:val="none"/>
      <w:effect w:val="none"/>
    </w:rPr>
  </w:style>
  <w:style w:type="character" w:customStyle="1" w:styleId="apple-style-span">
    <w:name w:val="apple-style-span"/>
    <w:basedOn w:val="DefaultParagraphFont"/>
    <w:rsid w:val="004B17C1"/>
  </w:style>
  <w:style w:type="paragraph" w:styleId="BalloonText">
    <w:name w:val="Balloon Text"/>
    <w:basedOn w:val="Normal"/>
    <w:link w:val="BalloonTextChar"/>
    <w:uiPriority w:val="99"/>
    <w:semiHidden/>
    <w:unhideWhenUsed/>
    <w:rsid w:val="004B17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17C1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FD65CA"/>
    <w:rPr>
      <w:b/>
      <w:bCs/>
      <w:i w:val="0"/>
      <w:iCs w:val="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B17C1"/>
    <w:pPr>
      <w:spacing w:before="48" w:after="48" w:line="240" w:lineRule="auto"/>
      <w:outlineLvl w:val="2"/>
    </w:pPr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B17C1"/>
    <w:rPr>
      <w:rFonts w:ascii="Lucida Sans Unicode" w:eastAsia="Times New Roman" w:hAnsi="Lucida Sans Unicode" w:cs="Lucida Sans Unicode"/>
      <w:b/>
      <w:bCs/>
      <w:color w:val="333333"/>
      <w:spacing w:val="-14"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4B17C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4B17C1"/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B17C1"/>
    <w:rPr>
      <w:strike w:val="0"/>
      <w:dstrike w:val="0"/>
      <w:color w:val="2D83D5"/>
      <w:u w:val="none"/>
      <w:effect w:val="none"/>
    </w:rPr>
  </w:style>
  <w:style w:type="character" w:customStyle="1" w:styleId="apple-style-span">
    <w:name w:val="apple-style-span"/>
    <w:basedOn w:val="DefaultParagraphFont"/>
    <w:rsid w:val="004B17C1"/>
  </w:style>
  <w:style w:type="paragraph" w:styleId="BalloonText">
    <w:name w:val="Balloon Text"/>
    <w:basedOn w:val="Normal"/>
    <w:link w:val="BalloonTextChar"/>
    <w:uiPriority w:val="99"/>
    <w:semiHidden/>
    <w:unhideWhenUsed/>
    <w:rsid w:val="004B17C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17C1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FD65CA"/>
    <w:rPr>
      <w:b/>
      <w:bCs/>
      <w:i w:val="0"/>
      <w:iCs w:val="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8130980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02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018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308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363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5261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62190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1758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26849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87044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92773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62895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999472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72251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511613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101215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135117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5240143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00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995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197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403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6419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7494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82582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678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07104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688009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712476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74652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95447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106755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228932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83346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6786574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5285249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7486936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871460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7488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0744404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77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216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66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789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15206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326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76656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19000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78658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846973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72061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0118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94174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9570035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46200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13367211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59043223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421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1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4786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416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8455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81436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96027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99154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46249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787173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38023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500949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651692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7479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924951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4345489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7928550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765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0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52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145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98929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8611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2558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75171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77287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120850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200183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533768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69034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564256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918088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9760121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6309769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93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26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858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7492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259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679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35004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15580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002225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549786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6756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51457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401818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098710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410849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94715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8595396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570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07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188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7994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3106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8281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65879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47907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68264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672010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34065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5612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55192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694744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95123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382794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5288894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59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83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963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419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0911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56345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77068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86879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390169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42452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28528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73210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877942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158067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147147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9016613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6990861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94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82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000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364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74694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7075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03968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3822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471029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44092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43267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462222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555298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694597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339776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4638844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17964142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67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754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639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413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0829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5421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98468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7521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27419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30469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7516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79022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006956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809578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213603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8024633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2789136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49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81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5834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264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0765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48067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87862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217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821404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89470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298677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225253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196994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777962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81532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3751208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4804085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197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624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9154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96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825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6628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41171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90061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204449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862852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28515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483432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6712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32819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847442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3226262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3141108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594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71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851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367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8948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3274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4452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91686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84656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73719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8314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48519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576188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08184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9652823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604672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4516653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29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24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819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582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1069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3271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11585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8214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88154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2225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297758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30905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925421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96079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15633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6230254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998423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76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995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267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4107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9489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70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45569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44615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6600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20479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92819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685681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66092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89392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190059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2251412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2582803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4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352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61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1246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768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6446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01881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86174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859897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386446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16210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88316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305067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58214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06248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656500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indiana.academia.edu/RichardWilk/Papers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hdl.handle.net/2027/heb.0363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nationalgeographic.com/andes/" TargetMode="External"/><Relationship Id="rId11" Type="http://schemas.microsoft.com/office/2007/relationships/stylesWithEffects" Target="stylesWithEffects.xml"/><Relationship Id="rId5" Type="http://schemas.openxmlformats.org/officeDocument/2006/relationships/hyperlink" Target="http://www.egs.edu/faculty/jean-baudrillard/articles/simulacra-and-simulations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5192</Words>
  <Characters>29601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Quentin</cp:lastModifiedBy>
  <cp:revision>2</cp:revision>
  <dcterms:created xsi:type="dcterms:W3CDTF">2019-11-25T01:33:00Z</dcterms:created>
  <dcterms:modified xsi:type="dcterms:W3CDTF">2019-11-25T01:33:00Z</dcterms:modified>
</cp:coreProperties>
</file>