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D2172" w14:textId="77777777" w:rsidR="001A48AF" w:rsidRPr="00745BF5" w:rsidRDefault="00F27B6C" w:rsidP="00A00E33">
      <w:pPr>
        <w:rPr>
          <w:color w:val="0D0D0D" w:themeColor="text1" w:themeTint="F2"/>
        </w:rPr>
      </w:pPr>
      <w:r w:rsidRPr="00745BF5">
        <w:rPr>
          <w:noProof/>
          <w:color w:val="0D0D0D" w:themeColor="text1" w:themeTint="F2"/>
          <w:lang w:val="en-US" w:eastAsia="en-US"/>
        </w:rPr>
        <w:drawing>
          <wp:inline distT="114300" distB="114300" distL="114300" distR="114300" wp14:anchorId="02DBFE5C" wp14:editId="4CB9AF0B">
            <wp:extent cx="2857500" cy="1143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857500" cy="1143000"/>
                    </a:xfrm>
                    <a:prstGeom prst="rect">
                      <a:avLst/>
                    </a:prstGeom>
                    <a:ln/>
                  </pic:spPr>
                </pic:pic>
              </a:graphicData>
            </a:graphic>
          </wp:inline>
        </w:drawing>
      </w:r>
    </w:p>
    <w:p w14:paraId="6958CAE8" w14:textId="77777777" w:rsidR="001A48AF" w:rsidRPr="00745BF5" w:rsidRDefault="001A48AF" w:rsidP="005B4324">
      <w:pPr>
        <w:jc w:val="center"/>
        <w:rPr>
          <w:color w:val="0D0D0D" w:themeColor="text1" w:themeTint="F2"/>
        </w:rPr>
      </w:pPr>
    </w:p>
    <w:p w14:paraId="0E6D24D7" w14:textId="77777777" w:rsidR="001A48AF" w:rsidRPr="00745BF5" w:rsidRDefault="001A48AF" w:rsidP="005B4324">
      <w:pPr>
        <w:jc w:val="center"/>
        <w:rPr>
          <w:color w:val="0D0D0D" w:themeColor="text1" w:themeTint="F2"/>
        </w:rPr>
      </w:pPr>
    </w:p>
    <w:p w14:paraId="0C2AF791" w14:textId="77777777" w:rsidR="001A48AF" w:rsidRPr="00745BF5" w:rsidRDefault="001A48AF" w:rsidP="005B4324">
      <w:pPr>
        <w:jc w:val="center"/>
        <w:rPr>
          <w:b/>
          <w:color w:val="0D0D0D" w:themeColor="text1" w:themeTint="F2"/>
          <w:sz w:val="32"/>
          <w:szCs w:val="32"/>
        </w:rPr>
      </w:pPr>
    </w:p>
    <w:p w14:paraId="676836A3" w14:textId="77777777" w:rsidR="001A48AF" w:rsidRPr="00745BF5" w:rsidRDefault="00F27B6C" w:rsidP="005B4324">
      <w:pPr>
        <w:jc w:val="center"/>
        <w:rPr>
          <w:b/>
          <w:color w:val="0D0D0D" w:themeColor="text1" w:themeTint="F2"/>
          <w:sz w:val="32"/>
          <w:szCs w:val="32"/>
        </w:rPr>
      </w:pPr>
      <w:r w:rsidRPr="00745BF5">
        <w:rPr>
          <w:b/>
          <w:color w:val="0D0D0D" w:themeColor="text1" w:themeTint="F2"/>
          <w:sz w:val="32"/>
          <w:szCs w:val="32"/>
        </w:rPr>
        <w:t>ASSIGNMENT COMPONENT 2</w:t>
      </w:r>
    </w:p>
    <w:p w14:paraId="2404F790" w14:textId="77777777" w:rsidR="001A48AF" w:rsidRPr="00745BF5" w:rsidRDefault="001A48AF" w:rsidP="005B4324">
      <w:pPr>
        <w:jc w:val="center"/>
        <w:rPr>
          <w:b/>
          <w:color w:val="0D0D0D" w:themeColor="text1" w:themeTint="F2"/>
          <w:sz w:val="32"/>
          <w:szCs w:val="32"/>
        </w:rPr>
      </w:pPr>
    </w:p>
    <w:p w14:paraId="6D9A1BD0" w14:textId="77777777" w:rsidR="001A48AF" w:rsidRPr="00745BF5" w:rsidRDefault="001A48AF" w:rsidP="005B4324">
      <w:pPr>
        <w:jc w:val="center"/>
        <w:rPr>
          <w:b/>
          <w:color w:val="0D0D0D" w:themeColor="text1" w:themeTint="F2"/>
          <w:sz w:val="32"/>
          <w:szCs w:val="32"/>
        </w:rPr>
      </w:pPr>
    </w:p>
    <w:p w14:paraId="4C29E5DC" w14:textId="77777777" w:rsidR="001A48AF" w:rsidRPr="00745BF5" w:rsidRDefault="00F27B6C" w:rsidP="005B4324">
      <w:pPr>
        <w:jc w:val="center"/>
        <w:rPr>
          <w:b/>
          <w:color w:val="0D0D0D" w:themeColor="text1" w:themeTint="F2"/>
          <w:sz w:val="32"/>
          <w:szCs w:val="32"/>
        </w:rPr>
      </w:pPr>
      <w:r w:rsidRPr="00745BF5">
        <w:rPr>
          <w:b/>
          <w:color w:val="0D0D0D" w:themeColor="text1" w:themeTint="F2"/>
          <w:sz w:val="32"/>
          <w:szCs w:val="32"/>
        </w:rPr>
        <w:t>LCHS4003 Introduction to Health and Social Care</w:t>
      </w:r>
    </w:p>
    <w:p w14:paraId="7E6406F4" w14:textId="77777777" w:rsidR="001A48AF" w:rsidRPr="00745BF5" w:rsidRDefault="001A48AF" w:rsidP="005B4324">
      <w:pPr>
        <w:jc w:val="center"/>
        <w:rPr>
          <w:b/>
          <w:color w:val="0D0D0D" w:themeColor="text1" w:themeTint="F2"/>
          <w:sz w:val="32"/>
          <w:szCs w:val="32"/>
        </w:rPr>
      </w:pPr>
    </w:p>
    <w:p w14:paraId="5E6BBD45" w14:textId="77777777" w:rsidR="001A48AF" w:rsidRPr="00745BF5" w:rsidRDefault="001A48AF" w:rsidP="005B4324">
      <w:pPr>
        <w:jc w:val="center"/>
        <w:rPr>
          <w:b/>
          <w:color w:val="0D0D0D" w:themeColor="text1" w:themeTint="F2"/>
          <w:sz w:val="32"/>
          <w:szCs w:val="32"/>
        </w:rPr>
      </w:pPr>
    </w:p>
    <w:p w14:paraId="6648D901" w14:textId="2FBB313B" w:rsidR="001A48AF" w:rsidRPr="00745BF5" w:rsidRDefault="00F27B6C" w:rsidP="005B4324">
      <w:pPr>
        <w:jc w:val="center"/>
        <w:rPr>
          <w:b/>
          <w:color w:val="0D0D0D" w:themeColor="text1" w:themeTint="F2"/>
          <w:sz w:val="32"/>
          <w:szCs w:val="32"/>
        </w:rPr>
      </w:pPr>
      <w:r w:rsidRPr="00745BF5">
        <w:rPr>
          <w:b/>
          <w:color w:val="0D0D0D" w:themeColor="text1" w:themeTint="F2"/>
          <w:sz w:val="32"/>
          <w:szCs w:val="32"/>
        </w:rPr>
        <w:t>Submission Date:</w:t>
      </w:r>
      <w:r w:rsidR="00A00E33">
        <w:rPr>
          <w:b/>
          <w:color w:val="0D0D0D" w:themeColor="text1" w:themeTint="F2"/>
          <w:sz w:val="32"/>
          <w:szCs w:val="32"/>
        </w:rPr>
        <w:t xml:space="preserve">18 </w:t>
      </w:r>
      <w:proofErr w:type="gramStart"/>
      <w:r w:rsidRPr="00745BF5">
        <w:rPr>
          <w:b/>
          <w:color w:val="0D0D0D" w:themeColor="text1" w:themeTint="F2"/>
          <w:sz w:val="32"/>
          <w:szCs w:val="32"/>
        </w:rPr>
        <w:t>November,</w:t>
      </w:r>
      <w:proofErr w:type="gramEnd"/>
      <w:r w:rsidRPr="00745BF5">
        <w:rPr>
          <w:b/>
          <w:color w:val="0D0D0D" w:themeColor="text1" w:themeTint="F2"/>
          <w:sz w:val="32"/>
          <w:szCs w:val="32"/>
        </w:rPr>
        <w:t xml:space="preserve"> 2025</w:t>
      </w:r>
    </w:p>
    <w:p w14:paraId="13B9EC82" w14:textId="77777777" w:rsidR="001A48AF" w:rsidRPr="00745BF5" w:rsidRDefault="001A48AF" w:rsidP="005B4324">
      <w:pPr>
        <w:jc w:val="center"/>
        <w:rPr>
          <w:b/>
          <w:color w:val="0D0D0D" w:themeColor="text1" w:themeTint="F2"/>
          <w:sz w:val="32"/>
          <w:szCs w:val="32"/>
        </w:rPr>
      </w:pPr>
    </w:p>
    <w:p w14:paraId="5EB2F557" w14:textId="77777777" w:rsidR="001A48AF" w:rsidRPr="00745BF5" w:rsidRDefault="001A48AF" w:rsidP="005B4324">
      <w:pPr>
        <w:jc w:val="center"/>
        <w:rPr>
          <w:b/>
          <w:color w:val="0D0D0D" w:themeColor="text1" w:themeTint="F2"/>
          <w:sz w:val="32"/>
          <w:szCs w:val="32"/>
        </w:rPr>
      </w:pPr>
    </w:p>
    <w:p w14:paraId="127AFAB4" w14:textId="15054F2A" w:rsidR="001A48AF" w:rsidRPr="00745BF5" w:rsidRDefault="00F27B6C" w:rsidP="005B4324">
      <w:pPr>
        <w:jc w:val="center"/>
        <w:rPr>
          <w:b/>
          <w:color w:val="0D0D0D" w:themeColor="text1" w:themeTint="F2"/>
          <w:sz w:val="32"/>
          <w:szCs w:val="32"/>
        </w:rPr>
      </w:pPr>
      <w:r w:rsidRPr="00745BF5">
        <w:rPr>
          <w:b/>
          <w:color w:val="0D0D0D" w:themeColor="text1" w:themeTint="F2"/>
          <w:sz w:val="32"/>
          <w:szCs w:val="32"/>
        </w:rPr>
        <w:t xml:space="preserve">Student Name: </w:t>
      </w:r>
      <w:r w:rsidR="005A09ED">
        <w:rPr>
          <w:b/>
          <w:color w:val="0D0D0D" w:themeColor="text1" w:themeTint="F2"/>
          <w:sz w:val="32"/>
          <w:szCs w:val="32"/>
        </w:rPr>
        <w:t xml:space="preserve">Maryam </w:t>
      </w:r>
      <w:r w:rsidR="00845322">
        <w:rPr>
          <w:b/>
          <w:color w:val="0D0D0D" w:themeColor="text1" w:themeTint="F2"/>
          <w:sz w:val="32"/>
          <w:szCs w:val="32"/>
        </w:rPr>
        <w:t>Waseem</w:t>
      </w:r>
    </w:p>
    <w:p w14:paraId="12F074AE" w14:textId="31DBD86E" w:rsidR="001A48AF" w:rsidRPr="00745BF5" w:rsidRDefault="00F27B6C" w:rsidP="005B4324">
      <w:pPr>
        <w:jc w:val="center"/>
        <w:rPr>
          <w:b/>
          <w:color w:val="0D0D0D" w:themeColor="text1" w:themeTint="F2"/>
          <w:sz w:val="32"/>
          <w:szCs w:val="32"/>
        </w:rPr>
      </w:pPr>
      <w:r w:rsidRPr="00745BF5">
        <w:rPr>
          <w:b/>
          <w:color w:val="0D0D0D" w:themeColor="text1" w:themeTint="F2"/>
          <w:sz w:val="32"/>
          <w:szCs w:val="32"/>
        </w:rPr>
        <w:t xml:space="preserve">Student Number: </w:t>
      </w:r>
      <w:r w:rsidR="00845322">
        <w:rPr>
          <w:b/>
          <w:color w:val="0D0D0D" w:themeColor="text1" w:themeTint="F2"/>
          <w:sz w:val="32"/>
          <w:szCs w:val="32"/>
        </w:rPr>
        <w:t>2433389</w:t>
      </w:r>
    </w:p>
    <w:p w14:paraId="2DB8EDE9" w14:textId="77777777" w:rsidR="001A48AF" w:rsidRPr="00745BF5" w:rsidRDefault="001A48AF" w:rsidP="005B4324">
      <w:pPr>
        <w:jc w:val="center"/>
        <w:rPr>
          <w:b/>
          <w:color w:val="0D0D0D" w:themeColor="text1" w:themeTint="F2"/>
          <w:sz w:val="32"/>
          <w:szCs w:val="32"/>
        </w:rPr>
      </w:pPr>
    </w:p>
    <w:p w14:paraId="2A8BCE0D" w14:textId="77777777" w:rsidR="001A48AF" w:rsidRPr="00745BF5" w:rsidRDefault="001A48AF" w:rsidP="005B4324">
      <w:pPr>
        <w:jc w:val="center"/>
        <w:rPr>
          <w:b/>
          <w:color w:val="0D0D0D" w:themeColor="text1" w:themeTint="F2"/>
          <w:sz w:val="32"/>
          <w:szCs w:val="32"/>
        </w:rPr>
      </w:pPr>
    </w:p>
    <w:p w14:paraId="506C8A5C" w14:textId="5143EC2A" w:rsidR="001A48AF" w:rsidRPr="00745BF5" w:rsidRDefault="00F27B6C" w:rsidP="005B4324">
      <w:pPr>
        <w:jc w:val="center"/>
        <w:rPr>
          <w:b/>
          <w:color w:val="0D0D0D" w:themeColor="text1" w:themeTint="F2"/>
          <w:sz w:val="32"/>
          <w:szCs w:val="32"/>
        </w:rPr>
      </w:pPr>
      <w:r w:rsidRPr="00745BF5">
        <w:rPr>
          <w:b/>
          <w:color w:val="0D0D0D" w:themeColor="text1" w:themeTint="F2"/>
          <w:sz w:val="32"/>
          <w:szCs w:val="32"/>
        </w:rPr>
        <w:t xml:space="preserve">Word Count: </w:t>
      </w:r>
      <w:r w:rsidR="002B4684">
        <w:rPr>
          <w:b/>
          <w:color w:val="0D0D0D" w:themeColor="text1" w:themeTint="F2"/>
          <w:sz w:val="32"/>
          <w:szCs w:val="32"/>
        </w:rPr>
        <w:t>1</w:t>
      </w:r>
      <w:r w:rsidR="00026A83">
        <w:rPr>
          <w:b/>
          <w:color w:val="0D0D0D" w:themeColor="text1" w:themeTint="F2"/>
          <w:sz w:val="32"/>
          <w:szCs w:val="32"/>
        </w:rPr>
        <w:t>695</w:t>
      </w:r>
      <w:r w:rsidRPr="00745BF5">
        <w:rPr>
          <w:color w:val="0D0D0D" w:themeColor="text1" w:themeTint="F2"/>
        </w:rPr>
        <w:br w:type="page"/>
      </w:r>
    </w:p>
    <w:p w14:paraId="6F04C9C1" w14:textId="77777777" w:rsidR="001A48AF" w:rsidRPr="00745BF5" w:rsidRDefault="00F27B6C" w:rsidP="005B4324">
      <w:pPr>
        <w:spacing w:after="200"/>
        <w:jc w:val="center"/>
        <w:rPr>
          <w:b/>
          <w:color w:val="0D0D0D" w:themeColor="text1" w:themeTint="F2"/>
        </w:rPr>
      </w:pPr>
      <w:r w:rsidRPr="00745BF5">
        <w:rPr>
          <w:b/>
          <w:color w:val="0D0D0D" w:themeColor="text1" w:themeTint="F2"/>
        </w:rPr>
        <w:lastRenderedPageBreak/>
        <w:t xml:space="preserve">Table of Contents </w:t>
      </w:r>
    </w:p>
    <w:p w14:paraId="5AC4A1EA" w14:textId="19392996" w:rsidR="00B0695B" w:rsidRDefault="00E512D2">
      <w:pPr>
        <w:pStyle w:val="TableofFigures"/>
        <w:tabs>
          <w:tab w:val="right" w:leader="dot" w:pos="9019"/>
        </w:tabs>
        <w:rPr>
          <w:rFonts w:asciiTheme="minorHAnsi" w:eastAsiaTheme="minorEastAsia" w:hAnsiTheme="minorHAnsi" w:cstheme="minorBidi"/>
          <w:noProof/>
          <w:color w:val="auto"/>
        </w:rPr>
      </w:pPr>
      <w:r w:rsidRPr="00745BF5">
        <w:rPr>
          <w:b/>
          <w:color w:val="0D0D0D" w:themeColor="text1" w:themeTint="F2"/>
        </w:rPr>
        <w:fldChar w:fldCharType="begin"/>
      </w:r>
      <w:r w:rsidR="003A17B8" w:rsidRPr="00745BF5">
        <w:rPr>
          <w:b/>
          <w:color w:val="0D0D0D" w:themeColor="text1" w:themeTint="F2"/>
        </w:rPr>
        <w:instrText xml:space="preserve"> TOC \h \z \t "Heading 1" \c </w:instrText>
      </w:r>
      <w:r w:rsidRPr="00745BF5">
        <w:rPr>
          <w:b/>
          <w:color w:val="0D0D0D" w:themeColor="text1" w:themeTint="F2"/>
        </w:rPr>
        <w:fldChar w:fldCharType="separate"/>
      </w:r>
      <w:hyperlink w:anchor="_Toc213438506" w:history="1">
        <w:r w:rsidR="00B0695B" w:rsidRPr="00AD16FD">
          <w:rPr>
            <w:rStyle w:val="Hyperlink"/>
            <w:noProof/>
          </w:rPr>
          <w:t>Introduction</w:t>
        </w:r>
        <w:r w:rsidR="00B0695B">
          <w:rPr>
            <w:noProof/>
            <w:webHidden/>
          </w:rPr>
          <w:tab/>
        </w:r>
        <w:r w:rsidR="00B0695B">
          <w:rPr>
            <w:noProof/>
            <w:webHidden/>
          </w:rPr>
          <w:fldChar w:fldCharType="begin"/>
        </w:r>
        <w:r w:rsidR="00B0695B">
          <w:rPr>
            <w:noProof/>
            <w:webHidden/>
          </w:rPr>
          <w:instrText xml:space="preserve"> PAGEREF _Toc213438506 \h </w:instrText>
        </w:r>
        <w:r w:rsidR="00B0695B">
          <w:rPr>
            <w:noProof/>
            <w:webHidden/>
          </w:rPr>
        </w:r>
        <w:r w:rsidR="00B0695B">
          <w:rPr>
            <w:noProof/>
            <w:webHidden/>
          </w:rPr>
          <w:fldChar w:fldCharType="separate"/>
        </w:r>
        <w:r w:rsidR="00040F71">
          <w:rPr>
            <w:noProof/>
            <w:webHidden/>
          </w:rPr>
          <w:t>2</w:t>
        </w:r>
        <w:r w:rsidR="00B0695B">
          <w:rPr>
            <w:noProof/>
            <w:webHidden/>
          </w:rPr>
          <w:fldChar w:fldCharType="end"/>
        </w:r>
      </w:hyperlink>
    </w:p>
    <w:p w14:paraId="44847ABB" w14:textId="305751C9" w:rsidR="00B0695B" w:rsidRDefault="00B0695B">
      <w:pPr>
        <w:pStyle w:val="TableofFigures"/>
        <w:tabs>
          <w:tab w:val="right" w:leader="dot" w:pos="9019"/>
        </w:tabs>
        <w:rPr>
          <w:rFonts w:asciiTheme="minorHAnsi" w:eastAsiaTheme="minorEastAsia" w:hAnsiTheme="minorHAnsi" w:cstheme="minorBidi"/>
          <w:noProof/>
          <w:color w:val="auto"/>
        </w:rPr>
      </w:pPr>
      <w:hyperlink w:anchor="_Toc213438507" w:history="1">
        <w:r w:rsidRPr="00AD16FD">
          <w:rPr>
            <w:rStyle w:val="Hyperlink"/>
            <w:noProof/>
          </w:rPr>
          <w:t>Section 1: Effective communication</w:t>
        </w:r>
        <w:r>
          <w:rPr>
            <w:noProof/>
            <w:webHidden/>
          </w:rPr>
          <w:tab/>
        </w:r>
        <w:r>
          <w:rPr>
            <w:noProof/>
            <w:webHidden/>
          </w:rPr>
          <w:fldChar w:fldCharType="begin"/>
        </w:r>
        <w:r>
          <w:rPr>
            <w:noProof/>
            <w:webHidden/>
          </w:rPr>
          <w:instrText xml:space="preserve"> PAGEREF _Toc213438507 \h </w:instrText>
        </w:r>
        <w:r>
          <w:rPr>
            <w:noProof/>
            <w:webHidden/>
          </w:rPr>
        </w:r>
        <w:r>
          <w:rPr>
            <w:noProof/>
            <w:webHidden/>
          </w:rPr>
          <w:fldChar w:fldCharType="separate"/>
        </w:r>
        <w:r w:rsidR="00040F71">
          <w:rPr>
            <w:noProof/>
            <w:webHidden/>
          </w:rPr>
          <w:t>2</w:t>
        </w:r>
        <w:r>
          <w:rPr>
            <w:noProof/>
            <w:webHidden/>
          </w:rPr>
          <w:fldChar w:fldCharType="end"/>
        </w:r>
      </w:hyperlink>
    </w:p>
    <w:p w14:paraId="296520EA" w14:textId="313B2588" w:rsidR="00B0695B" w:rsidRDefault="00B0695B">
      <w:pPr>
        <w:pStyle w:val="TableofFigures"/>
        <w:tabs>
          <w:tab w:val="right" w:leader="dot" w:pos="9019"/>
        </w:tabs>
        <w:rPr>
          <w:rFonts w:asciiTheme="minorHAnsi" w:eastAsiaTheme="minorEastAsia" w:hAnsiTheme="minorHAnsi" w:cstheme="minorBidi"/>
          <w:noProof/>
          <w:color w:val="auto"/>
        </w:rPr>
      </w:pPr>
      <w:hyperlink w:anchor="_Toc213438508" w:history="1">
        <w:r w:rsidRPr="00AD16FD">
          <w:rPr>
            <w:rStyle w:val="Hyperlink"/>
            <w:noProof/>
          </w:rPr>
          <w:t>Section 2: Administrative skills and record keeping</w:t>
        </w:r>
        <w:r>
          <w:rPr>
            <w:noProof/>
            <w:webHidden/>
          </w:rPr>
          <w:tab/>
        </w:r>
        <w:r>
          <w:rPr>
            <w:noProof/>
            <w:webHidden/>
          </w:rPr>
          <w:fldChar w:fldCharType="begin"/>
        </w:r>
        <w:r>
          <w:rPr>
            <w:noProof/>
            <w:webHidden/>
          </w:rPr>
          <w:instrText xml:space="preserve"> PAGEREF _Toc213438508 \h </w:instrText>
        </w:r>
        <w:r>
          <w:rPr>
            <w:noProof/>
            <w:webHidden/>
          </w:rPr>
        </w:r>
        <w:r>
          <w:rPr>
            <w:noProof/>
            <w:webHidden/>
          </w:rPr>
          <w:fldChar w:fldCharType="separate"/>
        </w:r>
        <w:r w:rsidR="00040F71">
          <w:rPr>
            <w:noProof/>
            <w:webHidden/>
          </w:rPr>
          <w:t>4</w:t>
        </w:r>
        <w:r>
          <w:rPr>
            <w:noProof/>
            <w:webHidden/>
          </w:rPr>
          <w:fldChar w:fldCharType="end"/>
        </w:r>
      </w:hyperlink>
    </w:p>
    <w:p w14:paraId="27AC87B4" w14:textId="4FAC1594" w:rsidR="00B0695B" w:rsidRDefault="00B0695B">
      <w:pPr>
        <w:pStyle w:val="TableofFigures"/>
        <w:tabs>
          <w:tab w:val="right" w:leader="dot" w:pos="9019"/>
        </w:tabs>
        <w:rPr>
          <w:rFonts w:asciiTheme="minorHAnsi" w:eastAsiaTheme="minorEastAsia" w:hAnsiTheme="minorHAnsi" w:cstheme="minorBidi"/>
          <w:noProof/>
          <w:color w:val="auto"/>
        </w:rPr>
      </w:pPr>
      <w:hyperlink w:anchor="_Toc213438509" w:history="1">
        <w:r w:rsidRPr="00AD16FD">
          <w:rPr>
            <w:rStyle w:val="Hyperlink"/>
            <w:noProof/>
          </w:rPr>
          <w:t>Section 3: Collaborative working</w:t>
        </w:r>
        <w:r>
          <w:rPr>
            <w:noProof/>
            <w:webHidden/>
          </w:rPr>
          <w:tab/>
        </w:r>
        <w:r>
          <w:rPr>
            <w:noProof/>
            <w:webHidden/>
          </w:rPr>
          <w:fldChar w:fldCharType="begin"/>
        </w:r>
        <w:r>
          <w:rPr>
            <w:noProof/>
            <w:webHidden/>
          </w:rPr>
          <w:instrText xml:space="preserve"> PAGEREF _Toc213438509 \h </w:instrText>
        </w:r>
        <w:r>
          <w:rPr>
            <w:noProof/>
            <w:webHidden/>
          </w:rPr>
        </w:r>
        <w:r>
          <w:rPr>
            <w:noProof/>
            <w:webHidden/>
          </w:rPr>
          <w:fldChar w:fldCharType="separate"/>
        </w:r>
        <w:r w:rsidR="00040F71">
          <w:rPr>
            <w:noProof/>
            <w:webHidden/>
          </w:rPr>
          <w:t>5</w:t>
        </w:r>
        <w:r>
          <w:rPr>
            <w:noProof/>
            <w:webHidden/>
          </w:rPr>
          <w:fldChar w:fldCharType="end"/>
        </w:r>
      </w:hyperlink>
    </w:p>
    <w:p w14:paraId="20DEBDF0" w14:textId="6F260CBC" w:rsidR="00B0695B" w:rsidRDefault="00B0695B">
      <w:pPr>
        <w:pStyle w:val="TableofFigures"/>
        <w:tabs>
          <w:tab w:val="right" w:leader="dot" w:pos="9019"/>
        </w:tabs>
        <w:rPr>
          <w:rFonts w:asciiTheme="minorHAnsi" w:eastAsiaTheme="minorEastAsia" w:hAnsiTheme="minorHAnsi" w:cstheme="minorBidi"/>
          <w:noProof/>
          <w:color w:val="auto"/>
        </w:rPr>
      </w:pPr>
      <w:hyperlink w:anchor="_Toc213438510" w:history="1">
        <w:r w:rsidRPr="00AD16FD">
          <w:rPr>
            <w:rStyle w:val="Hyperlink"/>
            <w:noProof/>
          </w:rPr>
          <w:t>Conclusion</w:t>
        </w:r>
        <w:r>
          <w:rPr>
            <w:noProof/>
            <w:webHidden/>
          </w:rPr>
          <w:tab/>
        </w:r>
        <w:r>
          <w:rPr>
            <w:noProof/>
            <w:webHidden/>
          </w:rPr>
          <w:fldChar w:fldCharType="begin"/>
        </w:r>
        <w:r>
          <w:rPr>
            <w:noProof/>
            <w:webHidden/>
          </w:rPr>
          <w:instrText xml:space="preserve"> PAGEREF _Toc213438510 \h </w:instrText>
        </w:r>
        <w:r>
          <w:rPr>
            <w:noProof/>
            <w:webHidden/>
          </w:rPr>
        </w:r>
        <w:r>
          <w:rPr>
            <w:noProof/>
            <w:webHidden/>
          </w:rPr>
          <w:fldChar w:fldCharType="separate"/>
        </w:r>
        <w:r w:rsidR="00040F71">
          <w:rPr>
            <w:noProof/>
            <w:webHidden/>
          </w:rPr>
          <w:t>6</w:t>
        </w:r>
        <w:r>
          <w:rPr>
            <w:noProof/>
            <w:webHidden/>
          </w:rPr>
          <w:fldChar w:fldCharType="end"/>
        </w:r>
      </w:hyperlink>
    </w:p>
    <w:p w14:paraId="1C2966D9" w14:textId="65302A0E" w:rsidR="00B0695B" w:rsidRDefault="00B0695B">
      <w:pPr>
        <w:pStyle w:val="TableofFigures"/>
        <w:tabs>
          <w:tab w:val="right" w:leader="dot" w:pos="9019"/>
        </w:tabs>
        <w:rPr>
          <w:rFonts w:asciiTheme="minorHAnsi" w:eastAsiaTheme="minorEastAsia" w:hAnsiTheme="minorHAnsi" w:cstheme="minorBidi"/>
          <w:noProof/>
          <w:color w:val="auto"/>
        </w:rPr>
      </w:pPr>
      <w:hyperlink w:anchor="_Toc213438511" w:history="1">
        <w:r w:rsidRPr="00AD16FD">
          <w:rPr>
            <w:rStyle w:val="Hyperlink"/>
            <w:noProof/>
          </w:rPr>
          <w:t>Reference list</w:t>
        </w:r>
        <w:r>
          <w:rPr>
            <w:noProof/>
            <w:webHidden/>
          </w:rPr>
          <w:tab/>
        </w:r>
        <w:r>
          <w:rPr>
            <w:noProof/>
            <w:webHidden/>
          </w:rPr>
          <w:fldChar w:fldCharType="begin"/>
        </w:r>
        <w:r>
          <w:rPr>
            <w:noProof/>
            <w:webHidden/>
          </w:rPr>
          <w:instrText xml:space="preserve"> PAGEREF _Toc213438511 \h </w:instrText>
        </w:r>
        <w:r>
          <w:rPr>
            <w:noProof/>
            <w:webHidden/>
          </w:rPr>
        </w:r>
        <w:r>
          <w:rPr>
            <w:noProof/>
            <w:webHidden/>
          </w:rPr>
          <w:fldChar w:fldCharType="separate"/>
        </w:r>
        <w:r w:rsidR="00040F71">
          <w:rPr>
            <w:noProof/>
            <w:webHidden/>
          </w:rPr>
          <w:t>7</w:t>
        </w:r>
        <w:r>
          <w:rPr>
            <w:noProof/>
            <w:webHidden/>
          </w:rPr>
          <w:fldChar w:fldCharType="end"/>
        </w:r>
      </w:hyperlink>
    </w:p>
    <w:p w14:paraId="732D1619" w14:textId="7B5B5152" w:rsidR="003A17B8" w:rsidRPr="00745BF5" w:rsidRDefault="00E512D2" w:rsidP="005B4324">
      <w:pPr>
        <w:spacing w:after="200"/>
        <w:jc w:val="center"/>
        <w:rPr>
          <w:b/>
          <w:color w:val="0D0D0D" w:themeColor="text1" w:themeTint="F2"/>
        </w:rPr>
      </w:pPr>
      <w:r w:rsidRPr="00745BF5">
        <w:rPr>
          <w:b/>
          <w:color w:val="0D0D0D" w:themeColor="text1" w:themeTint="F2"/>
        </w:rPr>
        <w:fldChar w:fldCharType="end"/>
      </w:r>
    </w:p>
    <w:p w14:paraId="23B5B7BE" w14:textId="77777777" w:rsidR="001A48AF" w:rsidRPr="00745BF5" w:rsidRDefault="001A48AF" w:rsidP="005B4324">
      <w:pPr>
        <w:rPr>
          <w:color w:val="0D0D0D" w:themeColor="text1" w:themeTint="F2"/>
        </w:rPr>
      </w:pPr>
    </w:p>
    <w:p w14:paraId="0D56B4D7" w14:textId="77777777" w:rsidR="001A48AF" w:rsidRPr="00745BF5" w:rsidRDefault="001A48AF" w:rsidP="005B4324">
      <w:pPr>
        <w:rPr>
          <w:color w:val="0D0D0D" w:themeColor="text1" w:themeTint="F2"/>
        </w:rPr>
      </w:pPr>
    </w:p>
    <w:p w14:paraId="52645427" w14:textId="77777777" w:rsidR="001A48AF" w:rsidRPr="00745BF5" w:rsidRDefault="00F27B6C" w:rsidP="005B4324">
      <w:pPr>
        <w:pStyle w:val="Heading1"/>
        <w:rPr>
          <w:color w:val="0D0D0D" w:themeColor="text1" w:themeTint="F2"/>
        </w:rPr>
      </w:pPr>
      <w:bookmarkStart w:id="0" w:name="_5v3spfoxszih" w:colFirst="0" w:colLast="0"/>
      <w:bookmarkEnd w:id="0"/>
      <w:r w:rsidRPr="00745BF5">
        <w:rPr>
          <w:color w:val="0D0D0D" w:themeColor="text1" w:themeTint="F2"/>
        </w:rPr>
        <w:br w:type="page"/>
      </w:r>
    </w:p>
    <w:p w14:paraId="6DFD30E9" w14:textId="77777777" w:rsidR="001A48AF" w:rsidRPr="00BC1273" w:rsidRDefault="00F27B6C" w:rsidP="005B4324">
      <w:pPr>
        <w:pStyle w:val="Heading1"/>
      </w:pPr>
      <w:bookmarkStart w:id="1" w:name="_ijp3ilh8ohmt" w:colFirst="0" w:colLast="0"/>
      <w:bookmarkStart w:id="2" w:name="_Toc213438506"/>
      <w:bookmarkEnd w:id="1"/>
      <w:r w:rsidRPr="00BC1273">
        <w:lastRenderedPageBreak/>
        <w:t>Introduction</w:t>
      </w:r>
      <w:bookmarkEnd w:id="2"/>
    </w:p>
    <w:p w14:paraId="254A4532" w14:textId="1DA19DAC" w:rsidR="001A48AF" w:rsidRPr="00BC1273" w:rsidRDefault="005A5723" w:rsidP="005B4324">
      <w:pPr>
        <w:pStyle w:val="Normal1"/>
        <w:spacing w:line="360" w:lineRule="auto"/>
        <w:jc w:val="both"/>
      </w:pPr>
      <w:r w:rsidRPr="00BC1273">
        <w:rPr>
          <w:lang w:val="en-GB"/>
        </w:rPr>
        <w:t>Mrs Mann is a 72</w:t>
      </w:r>
      <w:r w:rsidR="00506205">
        <w:rPr>
          <w:lang w:val="en-GB"/>
        </w:rPr>
        <w:t>-</w:t>
      </w:r>
      <w:r w:rsidRPr="00BC1273">
        <w:rPr>
          <w:lang w:val="en-GB"/>
        </w:rPr>
        <w:t>years</w:t>
      </w:r>
      <w:r w:rsidR="00506205">
        <w:rPr>
          <w:lang w:val="en-GB"/>
        </w:rPr>
        <w:t>-</w:t>
      </w:r>
      <w:r w:rsidRPr="00BC1273">
        <w:rPr>
          <w:lang w:val="en-GB"/>
        </w:rPr>
        <w:t xml:space="preserve">old woman recently discharged from hospital after a hip surgery. A domiciliary care agency responsible for her personal care, visits her twice daily to assist her with personal care and mobility. Mrs Mann has an issue with communication as she can only speak in Urdu and speaks limited English. Her daughter often helps her by acting as an interpretation to convey medical instruction from the healthcare team. However, recently, there were concerns noted, about inconsistent documentations in Mrs Mann’s care records and miscommunication led to a delayed medical adjustment. </w:t>
      </w:r>
      <w:r w:rsidR="00F27B6C" w:rsidRPr="00BC1273">
        <w:t>On this note, the following component assignment is directed towards exploring</w:t>
      </w:r>
      <w:r w:rsidR="001172F1">
        <w:t xml:space="preserve"> </w:t>
      </w:r>
      <w:r w:rsidR="00F27B6C" w:rsidRPr="00BC1273">
        <w:t>robust</w:t>
      </w:r>
      <w:r w:rsidR="001172F1">
        <w:t xml:space="preserve"> </w:t>
      </w:r>
      <w:r w:rsidR="00F27B6C" w:rsidRPr="00BC1273">
        <w:t xml:space="preserve">collaborative </w:t>
      </w:r>
      <w:proofErr w:type="gramStart"/>
      <w:r w:rsidR="00F27B6C" w:rsidRPr="00BC1273">
        <w:t>working</w:t>
      </w:r>
      <w:proofErr w:type="gramEnd"/>
      <w:r w:rsidR="00F27B6C" w:rsidRPr="00BC1273">
        <w:t xml:space="preserve">, administrative skill and communication necessary for addressing Mrs. Mann’s condition. It is also focused on ensuring compliance with the key regulations like Data Protection Act 2018 (c. 12) and Equality Act 2010 (c. 15) for identifying best practices. </w:t>
      </w:r>
    </w:p>
    <w:p w14:paraId="2D4D4E08" w14:textId="77777777" w:rsidR="005A5723" w:rsidRPr="00BC1273" w:rsidRDefault="005A5723" w:rsidP="005B4324">
      <w:pPr>
        <w:pStyle w:val="Heading1"/>
      </w:pPr>
      <w:bookmarkStart w:id="3" w:name="_Toc213438507"/>
      <w:r w:rsidRPr="00BC1273">
        <w:t>Section 1: Effective communication</w:t>
      </w:r>
      <w:bookmarkEnd w:id="3"/>
    </w:p>
    <w:p w14:paraId="09B74B99" w14:textId="4261BE3A" w:rsidR="005A5723" w:rsidRPr="00BC1273" w:rsidRDefault="005A5723" w:rsidP="005B4324">
      <w:pPr>
        <w:pStyle w:val="Normal1"/>
        <w:spacing w:line="360" w:lineRule="auto"/>
        <w:jc w:val="both"/>
        <w:rPr>
          <w:lang w:val="en-GB"/>
        </w:rPr>
      </w:pPr>
      <w:r w:rsidRPr="00BC1273">
        <w:rPr>
          <w:lang w:val="en-GB"/>
        </w:rPr>
        <w:t xml:space="preserve">Effective communication is crucial in health care, because communication gaps can lead to a patient's safety risk. At the same time, it is also essential to make better decisions for health care administration. Research at Kwame and </w:t>
      </w:r>
      <w:proofErr w:type="spellStart"/>
      <w:r w:rsidRPr="00BC1273">
        <w:rPr>
          <w:lang w:val="en-GB"/>
        </w:rPr>
        <w:t>Petrucka</w:t>
      </w:r>
      <w:proofErr w:type="spellEnd"/>
      <w:r w:rsidRPr="00BC1273">
        <w:rPr>
          <w:lang w:val="en-GB"/>
        </w:rPr>
        <w:t xml:space="preserve"> (2021) highlights that effective communication between patient and health care provider is fundamental to delivering quality in patient care and supporting recovery efforts. For the case of Mrs Mann, ineffective communication between the patient and health care provider has led to delay </w:t>
      </w:r>
      <w:proofErr w:type="gramStart"/>
      <w:r w:rsidRPr="00BC1273">
        <w:rPr>
          <w:lang w:val="en-GB"/>
        </w:rPr>
        <w:t>to provide</w:t>
      </w:r>
      <w:proofErr w:type="gramEnd"/>
      <w:r w:rsidRPr="00BC1273">
        <w:rPr>
          <w:lang w:val="en-GB"/>
        </w:rPr>
        <w:t xml:space="preserve"> medical coordination. </w:t>
      </w:r>
      <w:proofErr w:type="spellStart"/>
      <w:r w:rsidRPr="00BC1273">
        <w:rPr>
          <w:lang w:val="en-GB"/>
        </w:rPr>
        <w:t>Organi</w:t>
      </w:r>
      <w:proofErr w:type="spellEnd"/>
      <w:r w:rsidRPr="00BC1273">
        <w:rPr>
          <w:lang w:val="en-GB"/>
        </w:rPr>
        <w:t xml:space="preserve"> et al., (2024) highlights an instance that shows language barrier can significantly affect effective communication between nurses and expected mothers. On the similar note to the case study of Mrs. Mann, one patient reported that some nurses had faced difficulty communicating in </w:t>
      </w:r>
      <w:proofErr w:type="spellStart"/>
      <w:r w:rsidRPr="00BC1273">
        <w:rPr>
          <w:lang w:val="en-GB"/>
        </w:rPr>
        <w:t>Chitumbuka</w:t>
      </w:r>
      <w:proofErr w:type="spellEnd"/>
      <w:r w:rsidRPr="00BC1273">
        <w:rPr>
          <w:lang w:val="en-GB"/>
        </w:rPr>
        <w:t xml:space="preserve"> language which negatively affected their ability to interact effectively with patients, despite the nurses’ general politeness and good communication skill. </w:t>
      </w:r>
      <w:r w:rsidR="001172F1" w:rsidRPr="00BC1273">
        <w:rPr>
          <w:lang w:val="en-GB"/>
        </w:rPr>
        <w:t>Similarly,</w:t>
      </w:r>
      <w:r w:rsidRPr="00BC1273">
        <w:rPr>
          <w:lang w:val="en-GB"/>
        </w:rPr>
        <w:t xml:space="preserve"> the language gap between Mrs Mann and healthcare team caused a gap of miscommunication that led to delay in medial adjustment. Shannon and Weaver’s Model of Communication was designed to effectively communicate between sender and receiver (</w:t>
      </w:r>
      <w:proofErr w:type="spellStart"/>
      <w:r w:rsidRPr="00BC1273">
        <w:rPr>
          <w:lang w:val="en-GB"/>
        </w:rPr>
        <w:t>Sianipar</w:t>
      </w:r>
      <w:proofErr w:type="spellEnd"/>
      <w:r w:rsidRPr="00BC1273">
        <w:rPr>
          <w:lang w:val="en-GB"/>
        </w:rPr>
        <w:t xml:space="preserve"> et al., 2024). The factor that affects the effective communication process is called “Noise”. It was an important cause responsible for miscommunication in Mrs Mann’s case. </w:t>
      </w:r>
    </w:p>
    <w:p w14:paraId="57DBD305" w14:textId="77777777" w:rsidR="005A5723" w:rsidRPr="00BC1273" w:rsidRDefault="005A5723" w:rsidP="005B4324">
      <w:pPr>
        <w:pStyle w:val="Normal1"/>
        <w:spacing w:line="360" w:lineRule="auto"/>
        <w:jc w:val="both"/>
        <w:rPr>
          <w:lang w:val="en-GB"/>
        </w:rPr>
      </w:pPr>
      <w:r w:rsidRPr="00BC1273">
        <w:rPr>
          <w:noProof/>
          <w:lang w:val="en-GB"/>
        </w:rPr>
        <w:lastRenderedPageBreak/>
        <w:drawing>
          <wp:inline distT="114300" distB="114300" distL="114300" distR="114300" wp14:anchorId="0A7D0581" wp14:editId="7948DB6F">
            <wp:extent cx="5731200" cy="242570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2425700"/>
                    </a:xfrm>
                    <a:prstGeom prst="rect">
                      <a:avLst/>
                    </a:prstGeom>
                    <a:ln w="25400">
                      <a:solidFill>
                        <a:srgbClr val="000000"/>
                      </a:solidFill>
                      <a:prstDash val="solid"/>
                    </a:ln>
                  </pic:spPr>
                </pic:pic>
              </a:graphicData>
            </a:graphic>
          </wp:inline>
        </w:drawing>
      </w:r>
    </w:p>
    <w:p w14:paraId="273B47A0" w14:textId="77777777" w:rsidR="005A5723" w:rsidRPr="00BC1273" w:rsidRDefault="005A5723" w:rsidP="005B4324">
      <w:pPr>
        <w:pStyle w:val="Normal1"/>
        <w:spacing w:line="360" w:lineRule="auto"/>
        <w:jc w:val="center"/>
        <w:rPr>
          <w:b/>
          <w:lang w:val="en-GB"/>
        </w:rPr>
      </w:pPr>
      <w:r w:rsidRPr="00BC1273">
        <w:rPr>
          <w:b/>
          <w:lang w:val="en-GB"/>
        </w:rPr>
        <w:t>Figure 1: Shannon and Weaver’s model of communication</w:t>
      </w:r>
    </w:p>
    <w:p w14:paraId="283792AD" w14:textId="77777777" w:rsidR="005A5723" w:rsidRPr="00BC1273" w:rsidRDefault="005A5723" w:rsidP="005B4324">
      <w:pPr>
        <w:pStyle w:val="Normal1"/>
        <w:spacing w:line="360" w:lineRule="auto"/>
        <w:jc w:val="center"/>
        <w:rPr>
          <w:lang w:val="en-GB"/>
        </w:rPr>
      </w:pPr>
      <w:r w:rsidRPr="00BC1273">
        <w:rPr>
          <w:lang w:val="en-GB"/>
        </w:rPr>
        <w:t>(Source: Communication Theory, 2025)</w:t>
      </w:r>
    </w:p>
    <w:p w14:paraId="7702D09C" w14:textId="77777777" w:rsidR="005A5723" w:rsidRPr="00BC1273" w:rsidRDefault="005A5723" w:rsidP="005B4324">
      <w:pPr>
        <w:pStyle w:val="Normal1"/>
        <w:spacing w:line="360" w:lineRule="auto"/>
        <w:jc w:val="both"/>
        <w:rPr>
          <w:lang w:val="en-GB"/>
        </w:rPr>
      </w:pPr>
      <w:r w:rsidRPr="00BC1273">
        <w:rPr>
          <w:lang w:val="en-GB"/>
        </w:rPr>
        <w:t>Cultural sanitation in health care involves recognizing the influence of culture on health care, communication style, decision-making and adapting care to be more effective and equitable for a diverse patient population. This approach can help to build trust, improve communication and reduce health care gaps among the care team with Mrs Mann. The UK’s General Medical Council now requires medical students to develop cultural competence as a key skill throughout their training (</w:t>
      </w:r>
      <w:proofErr w:type="spellStart"/>
      <w:r w:rsidRPr="00BC1273">
        <w:rPr>
          <w:lang w:val="en-GB"/>
        </w:rPr>
        <w:t>Gradellini</w:t>
      </w:r>
      <w:proofErr w:type="spellEnd"/>
      <w:r w:rsidRPr="00BC1273">
        <w:rPr>
          <w:lang w:val="en-GB"/>
        </w:rPr>
        <w:t xml:space="preserve"> </w:t>
      </w:r>
      <w:r w:rsidRPr="00F465DE">
        <w:rPr>
          <w:iCs/>
          <w:lang w:val="en-GB"/>
        </w:rPr>
        <w:t xml:space="preserve">et al., </w:t>
      </w:r>
      <w:r w:rsidRPr="00BC1273">
        <w:rPr>
          <w:lang w:val="en-GB"/>
        </w:rPr>
        <w:t xml:space="preserve">2021). In the case of Mrs Mann, the cultural gap was mainly responsible for the inappropriate documentation because of the presence of different cultural perspectives. This is because Mrs Mann belonged from an Urdu background creating a language gap between her and the care provider. </w:t>
      </w:r>
    </w:p>
    <w:p w14:paraId="4209E1BD" w14:textId="21B03392" w:rsidR="005A5723" w:rsidRPr="00BC1273" w:rsidRDefault="005A5723" w:rsidP="005B4324">
      <w:pPr>
        <w:pStyle w:val="Normal1"/>
        <w:spacing w:line="360" w:lineRule="auto"/>
        <w:jc w:val="both"/>
        <w:rPr>
          <w:lang w:val="en-GB"/>
        </w:rPr>
      </w:pPr>
      <w:r w:rsidRPr="00BC1273">
        <w:rPr>
          <w:lang w:val="en-GB"/>
        </w:rPr>
        <w:t xml:space="preserve">Interpreters and visual aid play a vital role in health care by breaking down language and health care barriers. Relating to the case study of Mrs Mann, it is </w:t>
      </w:r>
      <w:r w:rsidR="001172F1" w:rsidRPr="00BC1273">
        <w:rPr>
          <w:lang w:val="en-GB"/>
        </w:rPr>
        <w:t>ensuring</w:t>
      </w:r>
      <w:r w:rsidRPr="00BC1273">
        <w:rPr>
          <w:lang w:val="en-GB"/>
        </w:rPr>
        <w:t xml:space="preserve"> patient safety and enhancing communication for improved health outcomes. The absence of a professional interpreter in Mrs Mann’s case led to miscommunication between the two parties. The care team responsible for Mrs Mann’s care can include a professional interpreter to help in conveying messages between the two parties. According to </w:t>
      </w:r>
      <w:proofErr w:type="spellStart"/>
      <w:r w:rsidRPr="00BC1273">
        <w:rPr>
          <w:lang w:val="en-GB"/>
        </w:rPr>
        <w:t>Hoonakker</w:t>
      </w:r>
      <w:proofErr w:type="spellEnd"/>
      <w:r w:rsidRPr="00BC1273">
        <w:rPr>
          <w:lang w:val="en-GB"/>
        </w:rPr>
        <w:t xml:space="preserve"> et al., (2023), research in education indicates that a large majority (83%) memory processing relies on information collected from visual sights whereas healing involves only 11%. The </w:t>
      </w:r>
      <w:proofErr w:type="gramStart"/>
      <w:r w:rsidRPr="00BC1273">
        <w:rPr>
          <w:lang w:val="en-GB"/>
        </w:rPr>
        <w:t>aforementioned study</w:t>
      </w:r>
      <w:proofErr w:type="gramEnd"/>
      <w:r w:rsidRPr="00BC1273">
        <w:rPr>
          <w:lang w:val="en-GB"/>
        </w:rPr>
        <w:t xml:space="preserve"> has also found that six out of ten people primarily use visual memory to learn and recall information. As a 73 years old woman, Mrs Mann has poor </w:t>
      </w:r>
      <w:proofErr w:type="gramStart"/>
      <w:r w:rsidRPr="00BC1273">
        <w:rPr>
          <w:lang w:val="en-GB"/>
        </w:rPr>
        <w:t>eye sight</w:t>
      </w:r>
      <w:proofErr w:type="gramEnd"/>
      <w:r w:rsidRPr="00BC1273">
        <w:rPr>
          <w:lang w:val="en-GB"/>
        </w:rPr>
        <w:t xml:space="preserve">, which is creating a challenge for her to view the information and prescriptions recommended by the healthcare team. So, it can be a duty of the care team to make available an assistant to help her with medical information by maintaining equality in providing such services. </w:t>
      </w:r>
    </w:p>
    <w:p w14:paraId="1025ED40" w14:textId="2BA4FE7D" w:rsidR="005A5723" w:rsidRPr="00BC1273" w:rsidRDefault="005A5723" w:rsidP="005B4324">
      <w:pPr>
        <w:pStyle w:val="Normal1"/>
        <w:spacing w:line="360" w:lineRule="auto"/>
        <w:jc w:val="both"/>
        <w:rPr>
          <w:lang w:val="en-GB"/>
        </w:rPr>
      </w:pPr>
      <w:r w:rsidRPr="00BC1273">
        <w:rPr>
          <w:lang w:val="en-GB"/>
        </w:rPr>
        <w:t>The Equality Act 2010 legally protects people against discrimination, harassment or victimization at the workplace and other places (Mason and Minerva</w:t>
      </w:r>
      <w:r w:rsidR="00DF3FE0">
        <w:rPr>
          <w:lang w:val="en-GB"/>
        </w:rPr>
        <w:t>,</w:t>
      </w:r>
      <w:r w:rsidRPr="00BC1273">
        <w:rPr>
          <w:lang w:val="en-GB"/>
        </w:rPr>
        <w:t xml:space="preserve"> 2022). Mrs Mann was </w:t>
      </w:r>
      <w:r w:rsidRPr="00BC1273">
        <w:rPr>
          <w:lang w:val="en-GB"/>
        </w:rPr>
        <w:lastRenderedPageBreak/>
        <w:t xml:space="preserve">also a victim of discrimination as the care team neglected their duty to an elderly person, showing discrimination against old people. Based on the opinion of </w:t>
      </w:r>
      <w:proofErr w:type="spellStart"/>
      <w:r w:rsidRPr="00BC1273">
        <w:rPr>
          <w:lang w:val="en-GB"/>
        </w:rPr>
        <w:t>Ocloo</w:t>
      </w:r>
      <w:proofErr w:type="spellEnd"/>
      <w:r w:rsidRPr="00BC1273">
        <w:rPr>
          <w:lang w:val="en-GB"/>
        </w:rPr>
        <w:t xml:space="preserve"> </w:t>
      </w:r>
      <w:r w:rsidRPr="002718E7">
        <w:rPr>
          <w:iCs/>
          <w:lang w:val="en-GB"/>
        </w:rPr>
        <w:t>et al.,</w:t>
      </w:r>
      <w:r w:rsidRPr="00BC1273">
        <w:rPr>
          <w:lang w:val="en-GB"/>
        </w:rPr>
        <w:t xml:space="preserve"> (2021), the Equality Act 2010 protects an individual against discrimination in nine categories like gender, disability, age, reassignment, marriage and civil partnership, pregnancy and maternity, race, religion, belief and sexual orientation. Mrs Mann’s follows the category of discrimination on age. Similarly, a study at Gholamzadeh et al., (2022) reports that around 30% older adults in hospitals face age discrimination in health care institutions. The </w:t>
      </w:r>
      <w:proofErr w:type="gramStart"/>
      <w:r w:rsidRPr="00BC1273">
        <w:rPr>
          <w:lang w:val="en-GB"/>
        </w:rPr>
        <w:t>care taker</w:t>
      </w:r>
      <w:proofErr w:type="gramEnd"/>
      <w:r w:rsidRPr="00BC1273">
        <w:rPr>
          <w:lang w:val="en-GB"/>
        </w:rPr>
        <w:t xml:space="preserve"> can implement training that focuses on no-discrimination and effective communication to counter against discrimination.   </w:t>
      </w:r>
    </w:p>
    <w:p w14:paraId="1A0B5EB5" w14:textId="77777777" w:rsidR="005A5723" w:rsidRPr="00BC1273" w:rsidRDefault="005A5723" w:rsidP="005B4324">
      <w:pPr>
        <w:pStyle w:val="Heading1"/>
      </w:pPr>
      <w:bookmarkStart w:id="4" w:name="_Toc213438508"/>
      <w:r w:rsidRPr="00BC1273">
        <w:t>Section 2: Administrative skills and record keeping</w:t>
      </w:r>
      <w:bookmarkEnd w:id="4"/>
      <w:r w:rsidRPr="00BC1273">
        <w:t xml:space="preserve"> </w:t>
      </w:r>
    </w:p>
    <w:p w14:paraId="413D10E8" w14:textId="09301FA5" w:rsidR="005A5723" w:rsidRPr="00BC1273" w:rsidRDefault="005A5723" w:rsidP="005B4324">
      <w:pPr>
        <w:pStyle w:val="Normal1"/>
        <w:spacing w:line="360" w:lineRule="auto"/>
        <w:jc w:val="both"/>
        <w:rPr>
          <w:lang w:val="en-GB"/>
        </w:rPr>
      </w:pPr>
      <w:r w:rsidRPr="00BC1273">
        <w:rPr>
          <w:lang w:val="en-GB"/>
        </w:rPr>
        <w:t>Accurate documentation is vital in healthcare as it prevents misunderstanding and mistakes that could arise from incorrect information. For Mrs Mann, the incident of inconsistent documentation happening to the lady was a result of poor record keeping. Records of the patients are a valuable document to provide quality healthcare service Makeleni and Cilliers (2021</w:t>
      </w:r>
      <w:proofErr w:type="gramStart"/>
      <w:r w:rsidRPr="00BC1273">
        <w:rPr>
          <w:lang w:val="en-GB"/>
        </w:rPr>
        <w:t>)..</w:t>
      </w:r>
      <w:proofErr w:type="gramEnd"/>
      <w:r w:rsidRPr="00BC1273">
        <w:rPr>
          <w:lang w:val="en-GB"/>
        </w:rPr>
        <w:t xml:space="preserve"> It is also used for updating patient’s medical conditions and it should be made accessible to patients or to their family members. For </w:t>
      </w:r>
      <w:r w:rsidR="00DF3FE0" w:rsidRPr="00BC1273">
        <w:rPr>
          <w:lang w:val="en-GB"/>
        </w:rPr>
        <w:t>instance,</w:t>
      </w:r>
      <w:r w:rsidRPr="00BC1273">
        <w:rPr>
          <w:lang w:val="en-GB"/>
        </w:rPr>
        <w:t xml:space="preserve"> from the case </w:t>
      </w:r>
      <w:proofErr w:type="gramStart"/>
      <w:r w:rsidRPr="00BC1273">
        <w:rPr>
          <w:lang w:val="en-GB"/>
        </w:rPr>
        <w:t>study  of</w:t>
      </w:r>
      <w:proofErr w:type="gramEnd"/>
      <w:r w:rsidRPr="00BC1273">
        <w:rPr>
          <w:lang w:val="en-GB"/>
        </w:rPr>
        <w:t xml:space="preserve"> Mrs Mann, documentation error could have led to compromised patient’s safety, medical error and legal issue. In the medical field, the UK's Data Protection Act 2018 establishes mandatory regulations for medical and healthcare organizations regarding managing and processing of personal data (</w:t>
      </w:r>
      <w:proofErr w:type="spellStart"/>
      <w:r w:rsidRPr="00BC1273">
        <w:rPr>
          <w:lang w:val="en-GB"/>
        </w:rPr>
        <w:t>Dpocentre</w:t>
      </w:r>
      <w:proofErr w:type="spellEnd"/>
      <w:r w:rsidRPr="00BC1273">
        <w:rPr>
          <w:lang w:val="en-GB"/>
        </w:rPr>
        <w:t>, 2025). Caretaker can implement regulations from Data Protection Act 2018 by ensuring they handle patient’s personal and sensitive information securely. This helps to detect, manage, report and respond to any data breaches.</w:t>
      </w:r>
    </w:p>
    <w:p w14:paraId="5EBE753D" w14:textId="00FCBF6D" w:rsidR="005A5723" w:rsidRPr="00BC1273" w:rsidRDefault="005A5723" w:rsidP="005B4324">
      <w:pPr>
        <w:pStyle w:val="Normal1"/>
        <w:spacing w:line="360" w:lineRule="auto"/>
        <w:jc w:val="both"/>
        <w:rPr>
          <w:lang w:val="en-GB"/>
        </w:rPr>
      </w:pPr>
      <w:r w:rsidRPr="00BC1273">
        <w:rPr>
          <w:lang w:val="en-GB"/>
        </w:rPr>
        <w:t xml:space="preserve">Poor record keeping carries a significant risk because it can result in unauthorized access or data breach. Inadequate security measures can also allow unauthorized individuals to access personal data leading to potential misuse or identity theft (Jawad, 2024). Caldicott principle, if applied to Mrs Mann’s case, could have prevented the risk of error with documentation and poor record keeping. The </w:t>
      </w:r>
      <w:r w:rsidR="002379E4" w:rsidRPr="00BC1273">
        <w:rPr>
          <w:lang w:val="en-GB"/>
        </w:rPr>
        <w:t>Caldicott</w:t>
      </w:r>
      <w:r w:rsidRPr="00BC1273">
        <w:rPr>
          <w:lang w:val="en-GB"/>
        </w:rPr>
        <w:t xml:space="preserve"> principle is a set of guidelines responsible for handling patient’s confidential information (</w:t>
      </w:r>
      <w:proofErr w:type="spellStart"/>
      <w:r w:rsidRPr="00BC1273">
        <w:rPr>
          <w:lang w:val="en-GB"/>
        </w:rPr>
        <w:t>Hacw</w:t>
      </w:r>
      <w:proofErr w:type="spellEnd"/>
      <w:r w:rsidRPr="00BC1273">
        <w:rPr>
          <w:lang w:val="en-GB"/>
        </w:rPr>
        <w:t xml:space="preserve">, 2025). Organisations like the one responsible for Mrs Mann’s care, should develop protocols to protect information, restrict unauthorised access of </w:t>
      </w:r>
      <w:proofErr w:type="gramStart"/>
      <w:r w:rsidRPr="00BC1273">
        <w:rPr>
          <w:lang w:val="en-GB"/>
        </w:rPr>
        <w:t>patients</w:t>
      </w:r>
      <w:proofErr w:type="gramEnd"/>
      <w:r w:rsidRPr="00BC1273">
        <w:rPr>
          <w:lang w:val="en-GB"/>
        </w:rPr>
        <w:t xml:space="preserve"> information by enforcing strict regulation and regular review of </w:t>
      </w:r>
      <w:proofErr w:type="gramStart"/>
      <w:r w:rsidRPr="00BC1273">
        <w:rPr>
          <w:lang w:val="en-GB"/>
        </w:rPr>
        <w:t>patients</w:t>
      </w:r>
      <w:proofErr w:type="gramEnd"/>
      <w:r w:rsidRPr="00BC1273">
        <w:rPr>
          <w:lang w:val="en-GB"/>
        </w:rPr>
        <w:t xml:space="preserve"> information. Nursing and Midwifery Council (NMC) code can be applied to health care agencies as it sets the expected ethical and professional behaviours ensuring patients safety and </w:t>
      </w:r>
      <w:proofErr w:type="gramStart"/>
      <w:r w:rsidRPr="00BC1273">
        <w:rPr>
          <w:lang w:val="en-GB"/>
        </w:rPr>
        <w:t>public-wellbeing</w:t>
      </w:r>
      <w:proofErr w:type="gramEnd"/>
      <w:r w:rsidRPr="00BC1273">
        <w:rPr>
          <w:lang w:val="en-GB"/>
        </w:rPr>
        <w:t xml:space="preserve"> (N</w:t>
      </w:r>
      <w:r w:rsidR="00F5580E">
        <w:rPr>
          <w:lang w:val="en-GB"/>
        </w:rPr>
        <w:t xml:space="preserve">HS </w:t>
      </w:r>
      <w:r w:rsidRPr="00BC1273">
        <w:rPr>
          <w:lang w:val="en-GB"/>
        </w:rPr>
        <w:t>employers, 2025). Health care agencies can implement NMC code to improve patients' quality of life, like Mrs Mann from case study.</w:t>
      </w:r>
    </w:p>
    <w:p w14:paraId="4BA480A6" w14:textId="77777777" w:rsidR="005A5723" w:rsidRPr="00BC1273" w:rsidRDefault="005A5723" w:rsidP="005B4324">
      <w:pPr>
        <w:pStyle w:val="Normal1"/>
        <w:spacing w:line="360" w:lineRule="auto"/>
        <w:jc w:val="both"/>
        <w:rPr>
          <w:lang w:val="en-GB"/>
        </w:rPr>
      </w:pPr>
      <w:r w:rsidRPr="00BC1273">
        <w:rPr>
          <w:lang w:val="en-GB"/>
        </w:rPr>
        <w:lastRenderedPageBreak/>
        <w:t xml:space="preserve">At the same time, CQC standards can also be applied to Mrs Mann’s case. CQC standards focus on providing person-cantered care, visiting and accompanying, encouraging dignity and respect, safety, safeguarding from abuse and appointing fit and proper staff (CQC, 2024). CQC can act as a crucial necessary standard for Mrs Mann as she lacked the </w:t>
      </w:r>
      <w:proofErr w:type="gramStart"/>
      <w:r w:rsidRPr="00BC1273">
        <w:rPr>
          <w:lang w:val="en-GB"/>
        </w:rPr>
        <w:t>above mentioned</w:t>
      </w:r>
      <w:proofErr w:type="gramEnd"/>
      <w:r w:rsidRPr="00BC1273">
        <w:rPr>
          <w:lang w:val="en-GB"/>
        </w:rPr>
        <w:t xml:space="preserve"> standards of CQC. Following hip surgery, CQC standard grantees patients receive a continuum of care during their recovery that is safe, effective, compassionate and high quality.</w:t>
      </w:r>
    </w:p>
    <w:p w14:paraId="00E831D5" w14:textId="77777777" w:rsidR="001A48AF" w:rsidRPr="00BC1273" w:rsidRDefault="00F27B6C" w:rsidP="005B4324">
      <w:pPr>
        <w:pStyle w:val="Heading1"/>
      </w:pPr>
      <w:bookmarkStart w:id="5" w:name="_8kglur2tg7se" w:colFirst="0" w:colLast="0"/>
      <w:bookmarkStart w:id="6" w:name="_Toc213438509"/>
      <w:bookmarkEnd w:id="5"/>
      <w:r w:rsidRPr="00BC1273">
        <w:t>Section 3: Collaborative working</w:t>
      </w:r>
      <w:bookmarkEnd w:id="6"/>
    </w:p>
    <w:p w14:paraId="66CC5D77" w14:textId="7F668829" w:rsidR="001A48AF" w:rsidRDefault="00F27B6C" w:rsidP="005B4324">
      <w:r w:rsidRPr="00BC1273">
        <w:t>Collaborative working is very important in Mrs Mann’s care as her well-being will not only depend on care workers who will assist her with her routine personal care and mobility problems. The GP supervises the medical requirements such as medications, and the physiotherapist assists her rehabilitation, which requires good working arrangements between different agencies. This should help make sure she receives a holistic approach to her needs, physical, medical, social and emotional. Ball, McElwee and McManus (2024) opined that evidence regarding practice requires building on safeguarding as the responsibility of everyone’s responsibility. In this respect, multi-agency meetings may be employed to help collaboration in terms of formal meetings for Mann. This can include the different agencies that become involved with her care and can communicate freely to pass on their knowledge and experience about her. Each agency can contribute their expertise so that co-ordinated and person-</w:t>
      </w:r>
      <w:r w:rsidR="003A17B8" w:rsidRPr="00BC1273">
        <w:t>centred</w:t>
      </w:r>
      <w:r w:rsidRPr="00BC1273">
        <w:t xml:space="preserve"> care can be provided. </w:t>
      </w:r>
    </w:p>
    <w:p w14:paraId="1B827CC4" w14:textId="07795A8E" w:rsidR="004B3150" w:rsidRDefault="00CD75DC" w:rsidP="005B4324">
      <w:r>
        <w:rPr>
          <w:noProof/>
        </w:rPr>
        <w:drawing>
          <wp:inline distT="0" distB="0" distL="0" distR="0" wp14:anchorId="5593B77A" wp14:editId="1CE85A26">
            <wp:extent cx="5486400" cy="3200400"/>
            <wp:effectExtent l="3810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21A9CC8" w14:textId="1C68E6AF" w:rsidR="005B4324" w:rsidRPr="004B3150" w:rsidRDefault="005B4324" w:rsidP="004B3150">
      <w:pPr>
        <w:jc w:val="center"/>
        <w:rPr>
          <w:b/>
          <w:bCs/>
        </w:rPr>
      </w:pPr>
      <w:r w:rsidRPr="004B3150">
        <w:rPr>
          <w:b/>
          <w:bCs/>
        </w:rPr>
        <w:t>Figure 2: Aspects of collaborative working</w:t>
      </w:r>
    </w:p>
    <w:p w14:paraId="67E06474" w14:textId="4D050F27" w:rsidR="005B4324" w:rsidRPr="00BC1273" w:rsidRDefault="005B4324" w:rsidP="004B3150">
      <w:pPr>
        <w:jc w:val="center"/>
      </w:pPr>
      <w:r>
        <w:t>(Source: Self-created)</w:t>
      </w:r>
    </w:p>
    <w:p w14:paraId="492A9B10" w14:textId="163AC0D4" w:rsidR="001A48AF" w:rsidRPr="00BC1273" w:rsidRDefault="00F27B6C" w:rsidP="005B4324">
      <w:r w:rsidRPr="00BC1273">
        <w:lastRenderedPageBreak/>
        <w:t xml:space="preserve">Shared care plans may also assist in this respect, if they are worked on continuously and accessible to all the relevant agencies involved. These will have to set out the details of what is required, the responsibilities and roles to be taken, and this should reduce the duplication of care and the lack of care to be provided. </w:t>
      </w:r>
      <w:r w:rsidRPr="00BC1273">
        <w:rPr>
          <w:highlight w:val="white"/>
        </w:rPr>
        <w:t xml:space="preserve">Tahsin </w:t>
      </w:r>
      <w:r w:rsidRPr="00DF3FE0">
        <w:rPr>
          <w:iCs/>
          <w:highlight w:val="white"/>
        </w:rPr>
        <w:t>et al.</w:t>
      </w:r>
      <w:r w:rsidR="00DF3FE0" w:rsidRPr="00DF3FE0">
        <w:rPr>
          <w:iCs/>
          <w:highlight w:val="white"/>
        </w:rPr>
        <w:t>,</w:t>
      </w:r>
      <w:r w:rsidRPr="00BC1273">
        <w:rPr>
          <w:highlight w:val="white"/>
        </w:rPr>
        <w:t xml:space="preserve"> (2023) asserted that integrated primary care supports patients having complex care requirements through continued and team-based care. Thus, </w:t>
      </w:r>
      <w:r w:rsidRPr="00BC1273">
        <w:t xml:space="preserve">integrated communication systems can be advocated for Mrs. </w:t>
      </w:r>
      <w:proofErr w:type="gramStart"/>
      <w:r w:rsidRPr="00BC1273">
        <w:t>Mann;</w:t>
      </w:r>
      <w:proofErr w:type="gramEnd"/>
      <w:r w:rsidRPr="00BC1273">
        <w:t xml:space="preserve"> involving computerized medical records and joint reporting. Inclusive decision-making whereby family members, like Mrs Mann's daughter, become involved with the multi-agency meetings should also assist in the building of trust, and effect any necessary communication breakdown. Role clarity, or the detailing of responsibilities and duties formally, should also prove beneficial in this area, as role definition problems can often occur owing to lack of clear apportioning of duties. </w:t>
      </w:r>
    </w:p>
    <w:p w14:paraId="028B8B49" w14:textId="77777777" w:rsidR="001A48AF" w:rsidRPr="00BC1273" w:rsidRDefault="00F27B6C" w:rsidP="005B4324">
      <w:pPr>
        <w:pStyle w:val="Heading1"/>
      </w:pPr>
      <w:bookmarkStart w:id="7" w:name="_aj7z61iemqsa" w:colFirst="0" w:colLast="0"/>
      <w:bookmarkStart w:id="8" w:name="_Toc213438510"/>
      <w:bookmarkEnd w:id="7"/>
      <w:r w:rsidRPr="00BC1273">
        <w:t>Conclusion</w:t>
      </w:r>
      <w:bookmarkEnd w:id="8"/>
    </w:p>
    <w:p w14:paraId="3E6B1429" w14:textId="0C51C76B" w:rsidR="001A48AF" w:rsidRPr="00745BF5" w:rsidRDefault="00F27B6C" w:rsidP="005B4324">
      <w:pPr>
        <w:rPr>
          <w:color w:val="0D0D0D" w:themeColor="text1" w:themeTint="F2"/>
        </w:rPr>
      </w:pPr>
      <w:r w:rsidRPr="00BC1273">
        <w:t>Mrs Mann’s case describes how effective communication, good managerial skills and multi-agency working are crucial for safe, person</w:t>
      </w:r>
      <w:r w:rsidR="002379E4">
        <w:t>-</w:t>
      </w:r>
      <w:r w:rsidRPr="00BC1273">
        <w:t>centred care. It can be concluded that language barriers can be overcome by using interpreters and visual aids. Inclusive models of communication should be used to enable everyone to make an adequate contribution and legislation such as the Equality Act 2010 (c. 15) should be followed to avoid discrimination and thus improve outcomes. A good recording system, which follows the provisions of the Data Protection Act 2018 (c. 12) and is in line with relevant professional codes of conduct, safeguards patients’ data and permits continuity of care. By adopting collaborative practices by health care staff and social care staff, family, and other professionals, holistic support and co-ordination may be achieved for Mrs Mann. The lessons learned by the internal investigation into Mrs Mann’s case should be acted upon to seek improvements in service provided and adoption of best practice and standards in future care.</w:t>
      </w:r>
      <w:r w:rsidRPr="00745BF5">
        <w:rPr>
          <w:color w:val="0D0D0D" w:themeColor="text1" w:themeTint="F2"/>
        </w:rPr>
        <w:br w:type="page"/>
      </w:r>
    </w:p>
    <w:p w14:paraId="3D947ABE" w14:textId="1770E426" w:rsidR="000C186F" w:rsidRPr="002E32A1" w:rsidRDefault="00F27B6C" w:rsidP="002E32A1">
      <w:pPr>
        <w:pStyle w:val="Heading1"/>
        <w:rPr>
          <w:color w:val="0D0D0D" w:themeColor="text1" w:themeTint="F2"/>
        </w:rPr>
      </w:pPr>
      <w:bookmarkStart w:id="9" w:name="_l2w6c3cblsfq" w:colFirst="0" w:colLast="0"/>
      <w:bookmarkStart w:id="10" w:name="_Toc213438511"/>
      <w:bookmarkEnd w:id="9"/>
      <w:r w:rsidRPr="00745BF5">
        <w:rPr>
          <w:color w:val="0D0D0D" w:themeColor="text1" w:themeTint="F2"/>
        </w:rPr>
        <w:lastRenderedPageBreak/>
        <w:t>Reference list</w:t>
      </w:r>
      <w:bookmarkEnd w:id="10"/>
    </w:p>
    <w:p w14:paraId="00AE7A3D" w14:textId="77777777" w:rsidR="00D77AD7" w:rsidRPr="00745BF5" w:rsidRDefault="00D77AD7" w:rsidP="00601055">
      <w:pPr>
        <w:spacing w:after="200"/>
        <w:rPr>
          <w:color w:val="0D0D0D" w:themeColor="text1" w:themeTint="F2"/>
          <w:highlight w:val="white"/>
        </w:rPr>
      </w:pPr>
      <w:r w:rsidRPr="00745BF5">
        <w:rPr>
          <w:color w:val="0D0D0D" w:themeColor="text1" w:themeTint="F2"/>
          <w:highlight w:val="white"/>
        </w:rPr>
        <w:t xml:space="preserve">Ball, E.J., McElwee, J.D. and McManus, M.A., (2024). ‘Multi-agency safeguarding: From everyone’s responsibility to a collective responsibility’. </w:t>
      </w:r>
      <w:r w:rsidRPr="00745BF5">
        <w:rPr>
          <w:i/>
          <w:color w:val="0D0D0D" w:themeColor="text1" w:themeTint="F2"/>
          <w:highlight w:val="white"/>
        </w:rPr>
        <w:t>Journal of Community Safety and Well-Being</w:t>
      </w:r>
      <w:r w:rsidRPr="00745BF5">
        <w:rPr>
          <w:color w:val="0D0D0D" w:themeColor="text1" w:themeTint="F2"/>
          <w:highlight w:val="white"/>
        </w:rPr>
        <w:t xml:space="preserve">, </w:t>
      </w:r>
      <w:r w:rsidRPr="00745BF5">
        <w:rPr>
          <w:i/>
          <w:color w:val="0D0D0D" w:themeColor="text1" w:themeTint="F2"/>
          <w:highlight w:val="white"/>
        </w:rPr>
        <w:t>9</w:t>
      </w:r>
      <w:r w:rsidRPr="00745BF5">
        <w:rPr>
          <w:color w:val="0D0D0D" w:themeColor="text1" w:themeTint="F2"/>
          <w:highlight w:val="white"/>
        </w:rPr>
        <w:t>(2), pp.104-108.</w:t>
      </w:r>
    </w:p>
    <w:p w14:paraId="40941CE6" w14:textId="6F6B64CD" w:rsidR="00D77AD7" w:rsidRPr="005837F5" w:rsidRDefault="00D77AD7" w:rsidP="00601055">
      <w:pPr>
        <w:pStyle w:val="Normal1"/>
        <w:tabs>
          <w:tab w:val="left" w:pos="270"/>
        </w:tabs>
        <w:spacing w:after="200" w:line="360" w:lineRule="auto"/>
        <w:jc w:val="both"/>
        <w:rPr>
          <w:color w:val="222222"/>
          <w:highlight w:val="white"/>
        </w:rPr>
      </w:pPr>
      <w:r w:rsidRPr="005837F5">
        <w:rPr>
          <w:color w:val="222222"/>
          <w:highlight w:val="white"/>
        </w:rPr>
        <w:t>Communication</w:t>
      </w:r>
      <w:r>
        <w:rPr>
          <w:color w:val="222222"/>
          <w:highlight w:val="white"/>
        </w:rPr>
        <w:t xml:space="preserve"> T</w:t>
      </w:r>
      <w:r w:rsidRPr="005837F5">
        <w:rPr>
          <w:color w:val="222222"/>
          <w:highlight w:val="white"/>
        </w:rPr>
        <w:t xml:space="preserve">heory, (2025). </w:t>
      </w:r>
      <w:r w:rsidRPr="005837F5">
        <w:rPr>
          <w:i/>
          <w:color w:val="222222"/>
          <w:highlight w:val="white"/>
        </w:rPr>
        <w:t>Communication Theory.</w:t>
      </w:r>
      <w:r w:rsidRPr="005837F5">
        <w:rPr>
          <w:color w:val="222222"/>
          <w:highlight w:val="white"/>
        </w:rPr>
        <w:t xml:space="preserve"> Available at: </w:t>
      </w:r>
      <w:hyperlink r:id="rId14">
        <w:r w:rsidRPr="005837F5">
          <w:rPr>
            <w:color w:val="1155CC"/>
            <w:highlight w:val="white"/>
            <w:u w:val="single"/>
          </w:rPr>
          <w:t>https://www.communicationtheory.org/shannon-and-weaver-model-of-communication/</w:t>
        </w:r>
      </w:hyperlink>
      <w:r w:rsidRPr="005837F5">
        <w:rPr>
          <w:color w:val="222222"/>
          <w:highlight w:val="white"/>
        </w:rPr>
        <w:t xml:space="preserve"> : (Accessed: 0</w:t>
      </w:r>
      <w:r w:rsidR="00997985">
        <w:rPr>
          <w:color w:val="222222"/>
          <w:highlight w:val="white"/>
        </w:rPr>
        <w:t>1</w:t>
      </w:r>
      <w:r w:rsidRPr="005837F5">
        <w:rPr>
          <w:color w:val="222222"/>
          <w:highlight w:val="white"/>
        </w:rPr>
        <w:t xml:space="preserve"> November 2025)</w:t>
      </w:r>
    </w:p>
    <w:p w14:paraId="0D2579E0" w14:textId="4BD7BBC3" w:rsidR="00D77AD7" w:rsidRPr="005837F5" w:rsidRDefault="00D77AD7" w:rsidP="00601055">
      <w:pPr>
        <w:pStyle w:val="Normal1"/>
        <w:tabs>
          <w:tab w:val="left" w:pos="270"/>
        </w:tabs>
        <w:spacing w:after="200" w:line="360" w:lineRule="auto"/>
        <w:jc w:val="both"/>
        <w:rPr>
          <w:color w:val="222222"/>
          <w:highlight w:val="white"/>
        </w:rPr>
      </w:pPr>
      <w:r w:rsidRPr="005837F5">
        <w:rPr>
          <w:color w:val="222222"/>
          <w:highlight w:val="white"/>
        </w:rPr>
        <w:t>C</w:t>
      </w:r>
      <w:r>
        <w:rPr>
          <w:color w:val="222222"/>
          <w:highlight w:val="white"/>
        </w:rPr>
        <w:t>QC</w:t>
      </w:r>
      <w:r w:rsidRPr="005837F5">
        <w:rPr>
          <w:color w:val="222222"/>
          <w:highlight w:val="white"/>
        </w:rPr>
        <w:t xml:space="preserve">, (2024). </w:t>
      </w:r>
      <w:r w:rsidRPr="005837F5">
        <w:rPr>
          <w:i/>
          <w:color w:val="222222"/>
          <w:highlight w:val="white"/>
        </w:rPr>
        <w:t>The fundamental standards</w:t>
      </w:r>
      <w:r w:rsidRPr="005837F5">
        <w:rPr>
          <w:color w:val="222222"/>
          <w:highlight w:val="white"/>
        </w:rPr>
        <w:t xml:space="preserve">. Available at: </w:t>
      </w:r>
      <w:hyperlink r:id="rId15">
        <w:r w:rsidRPr="005837F5">
          <w:rPr>
            <w:color w:val="1155CC"/>
            <w:highlight w:val="white"/>
            <w:u w:val="single"/>
          </w:rPr>
          <w:t>https://www.cqc.org.uk/about-us/fundamental-standards</w:t>
        </w:r>
      </w:hyperlink>
      <w:r w:rsidRPr="005837F5">
        <w:rPr>
          <w:color w:val="222222"/>
          <w:highlight w:val="white"/>
        </w:rPr>
        <w:t>. (Accessed: 0</w:t>
      </w:r>
      <w:r w:rsidR="00997985">
        <w:rPr>
          <w:color w:val="222222"/>
          <w:highlight w:val="white"/>
        </w:rPr>
        <w:t>2</w:t>
      </w:r>
      <w:r w:rsidRPr="005837F5">
        <w:rPr>
          <w:color w:val="222222"/>
          <w:highlight w:val="white"/>
        </w:rPr>
        <w:t xml:space="preserve"> November 2025)</w:t>
      </w:r>
    </w:p>
    <w:p w14:paraId="71C14EE7" w14:textId="53004E53" w:rsidR="00D77AD7" w:rsidRPr="005837F5" w:rsidRDefault="00D77AD7" w:rsidP="00601055">
      <w:pPr>
        <w:pStyle w:val="Normal1"/>
        <w:tabs>
          <w:tab w:val="left" w:pos="270"/>
        </w:tabs>
        <w:spacing w:after="200" w:line="360" w:lineRule="auto"/>
        <w:jc w:val="both"/>
        <w:rPr>
          <w:color w:val="222222"/>
          <w:highlight w:val="white"/>
        </w:rPr>
      </w:pPr>
      <w:proofErr w:type="spellStart"/>
      <w:r w:rsidRPr="005837F5">
        <w:rPr>
          <w:color w:val="222222"/>
          <w:highlight w:val="white"/>
        </w:rPr>
        <w:t>Dpocentre</w:t>
      </w:r>
      <w:proofErr w:type="spellEnd"/>
      <w:r w:rsidRPr="005837F5">
        <w:rPr>
          <w:color w:val="222222"/>
          <w:highlight w:val="white"/>
        </w:rPr>
        <w:t xml:space="preserve">, (2025). </w:t>
      </w:r>
      <w:r w:rsidRPr="005837F5">
        <w:rPr>
          <w:i/>
          <w:color w:val="222222"/>
          <w:highlight w:val="white"/>
        </w:rPr>
        <w:t>Data Protection for NHS, Healthcare, MedTech and Life science</w:t>
      </w:r>
      <w:r w:rsidRPr="005837F5">
        <w:rPr>
          <w:color w:val="222222"/>
          <w:highlight w:val="white"/>
        </w:rPr>
        <w:t xml:space="preserve">. Available at: </w:t>
      </w:r>
      <w:hyperlink r:id="rId16">
        <w:r w:rsidRPr="005837F5">
          <w:rPr>
            <w:color w:val="1155CC"/>
            <w:highlight w:val="white"/>
            <w:u w:val="single"/>
          </w:rPr>
          <w:t>https://www.dpocentre.com/sector/healthcare/</w:t>
        </w:r>
      </w:hyperlink>
      <w:r w:rsidRPr="005837F5">
        <w:rPr>
          <w:color w:val="222222"/>
          <w:highlight w:val="white"/>
        </w:rPr>
        <w:t>. (Accessed: 0</w:t>
      </w:r>
      <w:r w:rsidR="00997985">
        <w:rPr>
          <w:color w:val="222222"/>
          <w:highlight w:val="white"/>
        </w:rPr>
        <w:t>1</w:t>
      </w:r>
      <w:r w:rsidRPr="005837F5">
        <w:rPr>
          <w:color w:val="222222"/>
          <w:highlight w:val="white"/>
        </w:rPr>
        <w:t xml:space="preserve"> November 2025)</w:t>
      </w:r>
    </w:p>
    <w:p w14:paraId="1FFCED87" w14:textId="77777777" w:rsidR="00D77AD7" w:rsidRPr="005837F5" w:rsidRDefault="00D77AD7" w:rsidP="00601055">
      <w:pPr>
        <w:pStyle w:val="Normal1"/>
        <w:tabs>
          <w:tab w:val="left" w:pos="270"/>
        </w:tabs>
        <w:spacing w:after="200" w:line="360" w:lineRule="auto"/>
        <w:jc w:val="both"/>
        <w:rPr>
          <w:color w:val="222222"/>
          <w:highlight w:val="white"/>
        </w:rPr>
      </w:pPr>
      <w:r w:rsidRPr="005837F5">
        <w:rPr>
          <w:color w:val="222222"/>
          <w:highlight w:val="white"/>
        </w:rPr>
        <w:t xml:space="preserve">Gholamzadeh, S., </w:t>
      </w:r>
      <w:proofErr w:type="spellStart"/>
      <w:r w:rsidRPr="005837F5">
        <w:rPr>
          <w:color w:val="222222"/>
          <w:highlight w:val="white"/>
        </w:rPr>
        <w:t>Shaygan</w:t>
      </w:r>
      <w:proofErr w:type="spellEnd"/>
      <w:r w:rsidRPr="005837F5">
        <w:rPr>
          <w:color w:val="222222"/>
          <w:highlight w:val="white"/>
        </w:rPr>
        <w:t xml:space="preserve">, M., Naderi, Z. and Hosseini, F.A., </w:t>
      </w:r>
      <w:r>
        <w:rPr>
          <w:color w:val="222222"/>
          <w:highlight w:val="white"/>
        </w:rPr>
        <w:t>(</w:t>
      </w:r>
      <w:r w:rsidRPr="005837F5">
        <w:rPr>
          <w:color w:val="222222"/>
          <w:highlight w:val="white"/>
        </w:rPr>
        <w:t>2022</w:t>
      </w:r>
      <w:r>
        <w:rPr>
          <w:color w:val="222222"/>
          <w:highlight w:val="white"/>
        </w:rPr>
        <w:t>)</w:t>
      </w:r>
      <w:r w:rsidRPr="005837F5">
        <w:rPr>
          <w:color w:val="222222"/>
          <w:highlight w:val="white"/>
        </w:rPr>
        <w:t xml:space="preserve">. </w:t>
      </w:r>
      <w:r>
        <w:rPr>
          <w:color w:val="222222"/>
          <w:highlight w:val="white"/>
        </w:rPr>
        <w:t>‘</w:t>
      </w:r>
      <w:r w:rsidRPr="005837F5">
        <w:rPr>
          <w:color w:val="222222"/>
          <w:highlight w:val="white"/>
        </w:rPr>
        <w:t>Age discrimination perceived by hospitalized older adult patients in Iran: a qualitative study</w:t>
      </w:r>
      <w:r>
        <w:rPr>
          <w:color w:val="222222"/>
          <w:highlight w:val="white"/>
        </w:rPr>
        <w:t>’</w:t>
      </w:r>
      <w:r w:rsidRPr="005837F5">
        <w:rPr>
          <w:color w:val="222222"/>
          <w:highlight w:val="white"/>
        </w:rPr>
        <w:t xml:space="preserve">. </w:t>
      </w:r>
      <w:r w:rsidRPr="005837F5">
        <w:rPr>
          <w:i/>
          <w:color w:val="222222"/>
          <w:highlight w:val="white"/>
        </w:rPr>
        <w:t>Health Promotion Perspectives</w:t>
      </w:r>
      <w:r w:rsidRPr="005837F5">
        <w:rPr>
          <w:color w:val="222222"/>
          <w:highlight w:val="white"/>
        </w:rPr>
        <w:t xml:space="preserve">, </w:t>
      </w:r>
      <w:r w:rsidRPr="005837F5">
        <w:rPr>
          <w:i/>
          <w:color w:val="222222"/>
          <w:highlight w:val="white"/>
        </w:rPr>
        <w:t>12</w:t>
      </w:r>
      <w:r w:rsidRPr="005837F5">
        <w:rPr>
          <w:color w:val="222222"/>
          <w:highlight w:val="white"/>
        </w:rPr>
        <w:t xml:space="preserve">(1), p.45. </w:t>
      </w:r>
    </w:p>
    <w:p w14:paraId="45312664" w14:textId="77777777" w:rsidR="00D77AD7" w:rsidRPr="005837F5" w:rsidRDefault="00D77AD7" w:rsidP="00601055">
      <w:pPr>
        <w:pStyle w:val="Normal1"/>
        <w:tabs>
          <w:tab w:val="left" w:pos="270"/>
        </w:tabs>
        <w:spacing w:after="200" w:line="360" w:lineRule="auto"/>
        <w:jc w:val="both"/>
        <w:rPr>
          <w:color w:val="222222"/>
          <w:highlight w:val="white"/>
        </w:rPr>
      </w:pPr>
      <w:proofErr w:type="spellStart"/>
      <w:r w:rsidRPr="005837F5">
        <w:rPr>
          <w:color w:val="222222"/>
          <w:highlight w:val="white"/>
        </w:rPr>
        <w:t>Gradellini</w:t>
      </w:r>
      <w:proofErr w:type="spellEnd"/>
      <w:r w:rsidRPr="005837F5">
        <w:rPr>
          <w:color w:val="222222"/>
          <w:highlight w:val="white"/>
        </w:rPr>
        <w:t xml:space="preserve">, C., Gómez-Cantarino, S., Dominguez-Isabel, P., Molina-Gallego, B., </w:t>
      </w:r>
      <w:proofErr w:type="spellStart"/>
      <w:r w:rsidRPr="005837F5">
        <w:rPr>
          <w:color w:val="222222"/>
          <w:highlight w:val="white"/>
        </w:rPr>
        <w:t>Mecugni</w:t>
      </w:r>
      <w:proofErr w:type="spellEnd"/>
      <w:r w:rsidRPr="005837F5">
        <w:rPr>
          <w:color w:val="222222"/>
          <w:highlight w:val="white"/>
        </w:rPr>
        <w:t>, D. and Ugarte-</w:t>
      </w:r>
      <w:proofErr w:type="spellStart"/>
      <w:r w:rsidRPr="005837F5">
        <w:rPr>
          <w:color w:val="222222"/>
          <w:highlight w:val="white"/>
        </w:rPr>
        <w:t>Gurrutxaga</w:t>
      </w:r>
      <w:proofErr w:type="spellEnd"/>
      <w:r w:rsidRPr="005837F5">
        <w:rPr>
          <w:color w:val="222222"/>
          <w:highlight w:val="white"/>
        </w:rPr>
        <w:t xml:space="preserve">, M.I., </w:t>
      </w:r>
      <w:r>
        <w:rPr>
          <w:color w:val="222222"/>
          <w:highlight w:val="white"/>
        </w:rPr>
        <w:t>(</w:t>
      </w:r>
      <w:r w:rsidRPr="005837F5">
        <w:rPr>
          <w:color w:val="222222"/>
          <w:highlight w:val="white"/>
        </w:rPr>
        <w:t>2021</w:t>
      </w:r>
      <w:r>
        <w:rPr>
          <w:color w:val="222222"/>
          <w:highlight w:val="white"/>
        </w:rPr>
        <w:t>)</w:t>
      </w:r>
      <w:r w:rsidRPr="005837F5">
        <w:rPr>
          <w:color w:val="222222"/>
          <w:highlight w:val="white"/>
        </w:rPr>
        <w:t xml:space="preserve">. </w:t>
      </w:r>
      <w:r>
        <w:rPr>
          <w:color w:val="222222"/>
          <w:highlight w:val="white"/>
        </w:rPr>
        <w:t>‘</w:t>
      </w:r>
      <w:r w:rsidRPr="005837F5">
        <w:rPr>
          <w:color w:val="222222"/>
          <w:highlight w:val="white"/>
        </w:rPr>
        <w:t>Cultural competence and cultural sensitivity education in university nursing courses. A scoping review</w:t>
      </w:r>
      <w:r>
        <w:rPr>
          <w:color w:val="222222"/>
          <w:highlight w:val="white"/>
        </w:rPr>
        <w:t>’</w:t>
      </w:r>
      <w:r w:rsidRPr="005837F5">
        <w:rPr>
          <w:color w:val="222222"/>
          <w:highlight w:val="white"/>
        </w:rPr>
        <w:t xml:space="preserve">. </w:t>
      </w:r>
      <w:r w:rsidRPr="005837F5">
        <w:rPr>
          <w:i/>
          <w:color w:val="222222"/>
          <w:highlight w:val="white"/>
        </w:rPr>
        <w:t>Frontiers in psychology</w:t>
      </w:r>
      <w:r w:rsidRPr="005837F5">
        <w:rPr>
          <w:color w:val="222222"/>
          <w:highlight w:val="white"/>
        </w:rPr>
        <w:t xml:space="preserve">, </w:t>
      </w:r>
      <w:r w:rsidRPr="005837F5">
        <w:rPr>
          <w:i/>
          <w:color w:val="222222"/>
          <w:highlight w:val="white"/>
        </w:rPr>
        <w:t>12</w:t>
      </w:r>
      <w:r w:rsidRPr="005837F5">
        <w:rPr>
          <w:color w:val="222222"/>
          <w:highlight w:val="white"/>
        </w:rPr>
        <w:t xml:space="preserve">, p.682920. </w:t>
      </w:r>
    </w:p>
    <w:p w14:paraId="099A95B6" w14:textId="10A009F6" w:rsidR="00D77AD7" w:rsidRPr="005837F5" w:rsidRDefault="00D77AD7" w:rsidP="00601055">
      <w:pPr>
        <w:pStyle w:val="Normal1"/>
        <w:tabs>
          <w:tab w:val="left" w:pos="270"/>
        </w:tabs>
        <w:spacing w:after="200" w:line="360" w:lineRule="auto"/>
        <w:jc w:val="both"/>
        <w:rPr>
          <w:color w:val="222222"/>
          <w:highlight w:val="white"/>
        </w:rPr>
      </w:pPr>
      <w:proofErr w:type="spellStart"/>
      <w:r w:rsidRPr="005837F5">
        <w:rPr>
          <w:color w:val="222222"/>
          <w:highlight w:val="white"/>
        </w:rPr>
        <w:t>Hacw</w:t>
      </w:r>
      <w:proofErr w:type="spellEnd"/>
      <w:r w:rsidRPr="005837F5">
        <w:rPr>
          <w:color w:val="222222"/>
          <w:highlight w:val="white"/>
        </w:rPr>
        <w:t>, (2025).</w:t>
      </w:r>
      <w:r w:rsidRPr="005837F5">
        <w:rPr>
          <w:i/>
          <w:color w:val="222222"/>
          <w:highlight w:val="white"/>
        </w:rPr>
        <w:t xml:space="preserve"> Our Quality and Safety Standards</w:t>
      </w:r>
      <w:r w:rsidRPr="005837F5">
        <w:rPr>
          <w:color w:val="222222"/>
          <w:highlight w:val="white"/>
        </w:rPr>
        <w:t xml:space="preserve">. Available at: </w:t>
      </w:r>
      <w:hyperlink r:id="rId17" w:anchor=":~:text=Only%20use%20it%20when%20absolutely,whcnhs.caldicott@nhs.net">
        <w:r w:rsidRPr="005837F5">
          <w:rPr>
            <w:color w:val="1155CC"/>
            <w:highlight w:val="white"/>
            <w:u w:val="single"/>
          </w:rPr>
          <w:t>https://www.hacw.nhs.uk/quality-and-safety/caldicott-principles-943/#:~:text=Only%20use%20it%20when%20absolutely,whcnhs.caldicott@nhs.net</w:t>
        </w:r>
      </w:hyperlink>
      <w:r w:rsidRPr="005837F5">
        <w:rPr>
          <w:color w:val="222222"/>
          <w:highlight w:val="white"/>
        </w:rPr>
        <w:t xml:space="preserve"> (Accessed: 0</w:t>
      </w:r>
      <w:r w:rsidR="00997985">
        <w:rPr>
          <w:color w:val="222222"/>
          <w:highlight w:val="white"/>
        </w:rPr>
        <w:t>2</w:t>
      </w:r>
      <w:r w:rsidRPr="005837F5">
        <w:rPr>
          <w:color w:val="222222"/>
          <w:highlight w:val="white"/>
        </w:rPr>
        <w:t xml:space="preserve"> November 2025)</w:t>
      </w:r>
    </w:p>
    <w:p w14:paraId="0A6E1042" w14:textId="77777777" w:rsidR="00D77AD7" w:rsidRPr="005837F5" w:rsidRDefault="00D77AD7" w:rsidP="00601055">
      <w:pPr>
        <w:pStyle w:val="Normal1"/>
        <w:tabs>
          <w:tab w:val="left" w:pos="270"/>
        </w:tabs>
        <w:spacing w:after="200" w:line="360" w:lineRule="auto"/>
        <w:jc w:val="both"/>
        <w:rPr>
          <w:color w:val="222222"/>
          <w:highlight w:val="white"/>
        </w:rPr>
      </w:pPr>
      <w:proofErr w:type="spellStart"/>
      <w:r w:rsidRPr="005837F5">
        <w:rPr>
          <w:color w:val="222222"/>
          <w:highlight w:val="white"/>
        </w:rPr>
        <w:t>Hoonakker</w:t>
      </w:r>
      <w:proofErr w:type="spellEnd"/>
      <w:r w:rsidRPr="005837F5">
        <w:rPr>
          <w:color w:val="222222"/>
          <w:highlight w:val="white"/>
        </w:rPr>
        <w:t>, J.D., Adeline-</w:t>
      </w:r>
      <w:proofErr w:type="spellStart"/>
      <w:r w:rsidRPr="005837F5">
        <w:rPr>
          <w:color w:val="222222"/>
          <w:highlight w:val="white"/>
        </w:rPr>
        <w:t>Duflot</w:t>
      </w:r>
      <w:proofErr w:type="spellEnd"/>
      <w:r w:rsidRPr="005837F5">
        <w:rPr>
          <w:color w:val="222222"/>
          <w:highlight w:val="white"/>
        </w:rPr>
        <w:t xml:space="preserve">, F., Orcel, V., Grudzinski, M.L., </w:t>
      </w:r>
      <w:proofErr w:type="spellStart"/>
      <w:r w:rsidRPr="005837F5">
        <w:rPr>
          <w:color w:val="222222"/>
          <w:highlight w:val="white"/>
        </w:rPr>
        <w:t>Cognet</w:t>
      </w:r>
      <w:proofErr w:type="spellEnd"/>
      <w:r w:rsidRPr="005837F5">
        <w:rPr>
          <w:color w:val="222222"/>
          <w:highlight w:val="white"/>
        </w:rPr>
        <w:t xml:space="preserve">, M. and Renard, V., </w:t>
      </w:r>
      <w:r>
        <w:rPr>
          <w:color w:val="222222"/>
          <w:highlight w:val="white"/>
        </w:rPr>
        <w:t>(</w:t>
      </w:r>
      <w:r w:rsidRPr="005837F5">
        <w:rPr>
          <w:color w:val="222222"/>
          <w:highlight w:val="white"/>
        </w:rPr>
        <w:t>2023</w:t>
      </w:r>
      <w:r>
        <w:rPr>
          <w:color w:val="222222"/>
          <w:highlight w:val="white"/>
        </w:rPr>
        <w:t>)</w:t>
      </w:r>
      <w:r w:rsidRPr="005837F5">
        <w:rPr>
          <w:color w:val="222222"/>
          <w:highlight w:val="white"/>
        </w:rPr>
        <w:t xml:space="preserve">. </w:t>
      </w:r>
      <w:r>
        <w:rPr>
          <w:color w:val="222222"/>
          <w:highlight w:val="white"/>
        </w:rPr>
        <w:t>‘</w:t>
      </w:r>
      <w:r w:rsidRPr="005837F5">
        <w:rPr>
          <w:color w:val="222222"/>
          <w:highlight w:val="white"/>
        </w:rPr>
        <w:t>Use of visual aids in general practice consultations: a questionnaire-based survey</w:t>
      </w:r>
      <w:r>
        <w:rPr>
          <w:color w:val="222222"/>
          <w:highlight w:val="white"/>
        </w:rPr>
        <w:t>’</w:t>
      </w:r>
      <w:r w:rsidRPr="005837F5">
        <w:rPr>
          <w:color w:val="222222"/>
          <w:highlight w:val="white"/>
        </w:rPr>
        <w:t xml:space="preserve">. </w:t>
      </w:r>
      <w:r w:rsidRPr="005837F5">
        <w:rPr>
          <w:i/>
          <w:color w:val="222222"/>
          <w:highlight w:val="white"/>
        </w:rPr>
        <w:t>PEC innovation</w:t>
      </w:r>
      <w:r w:rsidRPr="005837F5">
        <w:rPr>
          <w:color w:val="222222"/>
          <w:highlight w:val="white"/>
        </w:rPr>
        <w:t xml:space="preserve">, </w:t>
      </w:r>
      <w:r w:rsidRPr="005837F5">
        <w:rPr>
          <w:i/>
          <w:color w:val="222222"/>
          <w:highlight w:val="white"/>
        </w:rPr>
        <w:t>2</w:t>
      </w:r>
      <w:r w:rsidRPr="005837F5">
        <w:rPr>
          <w:color w:val="222222"/>
          <w:highlight w:val="white"/>
        </w:rPr>
        <w:t xml:space="preserve">, p.100159. </w:t>
      </w:r>
    </w:p>
    <w:p w14:paraId="3B725CBD" w14:textId="77777777" w:rsidR="00D77AD7" w:rsidRPr="005837F5" w:rsidRDefault="00D77AD7" w:rsidP="00601055">
      <w:pPr>
        <w:pStyle w:val="Normal1"/>
        <w:tabs>
          <w:tab w:val="left" w:pos="270"/>
        </w:tabs>
        <w:spacing w:after="200" w:line="360" w:lineRule="auto"/>
        <w:jc w:val="both"/>
        <w:rPr>
          <w:color w:val="222222"/>
          <w:highlight w:val="white"/>
        </w:rPr>
      </w:pPr>
      <w:r w:rsidRPr="005837F5">
        <w:rPr>
          <w:color w:val="222222"/>
          <w:highlight w:val="white"/>
        </w:rPr>
        <w:t xml:space="preserve">Jawad, L.A., </w:t>
      </w:r>
      <w:r>
        <w:rPr>
          <w:color w:val="222222"/>
          <w:highlight w:val="white"/>
        </w:rPr>
        <w:t>(</w:t>
      </w:r>
      <w:r w:rsidRPr="005837F5">
        <w:rPr>
          <w:color w:val="222222"/>
          <w:highlight w:val="white"/>
        </w:rPr>
        <w:t>2024</w:t>
      </w:r>
      <w:r>
        <w:rPr>
          <w:color w:val="222222"/>
          <w:highlight w:val="white"/>
        </w:rPr>
        <w:t>)</w:t>
      </w:r>
      <w:r w:rsidRPr="005837F5">
        <w:rPr>
          <w:color w:val="222222"/>
          <w:highlight w:val="white"/>
        </w:rPr>
        <w:t xml:space="preserve">. </w:t>
      </w:r>
      <w:r>
        <w:rPr>
          <w:color w:val="222222"/>
          <w:highlight w:val="white"/>
        </w:rPr>
        <w:t>‘</w:t>
      </w:r>
      <w:r w:rsidRPr="005837F5">
        <w:rPr>
          <w:color w:val="222222"/>
          <w:highlight w:val="white"/>
        </w:rPr>
        <w:t xml:space="preserve">Security and privacy in digital healthcare systems: challenges and mitigation </w:t>
      </w:r>
      <w:proofErr w:type="gramStart"/>
      <w:r w:rsidRPr="005837F5">
        <w:rPr>
          <w:color w:val="222222"/>
          <w:highlight w:val="white"/>
        </w:rPr>
        <w:t>strategies</w:t>
      </w:r>
      <w:r>
        <w:rPr>
          <w:color w:val="222222"/>
          <w:highlight w:val="white"/>
        </w:rPr>
        <w:t>’</w:t>
      </w:r>
      <w:proofErr w:type="gramEnd"/>
      <w:r w:rsidRPr="005837F5">
        <w:rPr>
          <w:color w:val="222222"/>
          <w:highlight w:val="white"/>
        </w:rPr>
        <w:t xml:space="preserve">. </w:t>
      </w:r>
      <w:r w:rsidRPr="005837F5">
        <w:rPr>
          <w:i/>
          <w:color w:val="222222"/>
          <w:highlight w:val="white"/>
        </w:rPr>
        <w:t>Abhigyan</w:t>
      </w:r>
      <w:r w:rsidRPr="005837F5">
        <w:rPr>
          <w:color w:val="222222"/>
          <w:highlight w:val="white"/>
        </w:rPr>
        <w:t xml:space="preserve">, </w:t>
      </w:r>
      <w:r w:rsidRPr="005837F5">
        <w:rPr>
          <w:i/>
          <w:color w:val="222222"/>
          <w:highlight w:val="white"/>
        </w:rPr>
        <w:t>42</w:t>
      </w:r>
      <w:r w:rsidRPr="005837F5">
        <w:rPr>
          <w:color w:val="222222"/>
          <w:highlight w:val="white"/>
        </w:rPr>
        <w:t xml:space="preserve">(1), pp.23-31. </w:t>
      </w:r>
    </w:p>
    <w:p w14:paraId="2D5C914F" w14:textId="77777777" w:rsidR="00D77AD7" w:rsidRPr="005837F5" w:rsidRDefault="00D77AD7" w:rsidP="00601055">
      <w:pPr>
        <w:pStyle w:val="Normal1"/>
        <w:tabs>
          <w:tab w:val="left" w:pos="270"/>
        </w:tabs>
        <w:spacing w:after="200" w:line="360" w:lineRule="auto"/>
        <w:jc w:val="both"/>
        <w:rPr>
          <w:color w:val="222222"/>
          <w:highlight w:val="white"/>
        </w:rPr>
      </w:pPr>
      <w:r w:rsidRPr="005837F5">
        <w:rPr>
          <w:color w:val="222222"/>
          <w:highlight w:val="white"/>
        </w:rPr>
        <w:t xml:space="preserve">Kwame, A. and </w:t>
      </w:r>
      <w:proofErr w:type="spellStart"/>
      <w:r w:rsidRPr="005837F5">
        <w:rPr>
          <w:color w:val="222222"/>
          <w:highlight w:val="white"/>
        </w:rPr>
        <w:t>Petrucka</w:t>
      </w:r>
      <w:proofErr w:type="spellEnd"/>
      <w:r w:rsidRPr="005837F5">
        <w:rPr>
          <w:color w:val="222222"/>
          <w:highlight w:val="white"/>
        </w:rPr>
        <w:t xml:space="preserve">, P.M., </w:t>
      </w:r>
      <w:r>
        <w:rPr>
          <w:color w:val="222222"/>
          <w:highlight w:val="white"/>
        </w:rPr>
        <w:t>(</w:t>
      </w:r>
      <w:r w:rsidRPr="005837F5">
        <w:rPr>
          <w:color w:val="222222"/>
          <w:highlight w:val="white"/>
        </w:rPr>
        <w:t>2021</w:t>
      </w:r>
      <w:r>
        <w:rPr>
          <w:color w:val="222222"/>
          <w:highlight w:val="white"/>
        </w:rPr>
        <w:t>)</w:t>
      </w:r>
      <w:r w:rsidRPr="005837F5">
        <w:rPr>
          <w:color w:val="222222"/>
          <w:highlight w:val="white"/>
        </w:rPr>
        <w:t xml:space="preserve">. </w:t>
      </w:r>
      <w:r>
        <w:rPr>
          <w:color w:val="222222"/>
          <w:highlight w:val="white"/>
        </w:rPr>
        <w:t>‘</w:t>
      </w:r>
      <w:r w:rsidRPr="005837F5">
        <w:rPr>
          <w:color w:val="222222"/>
          <w:highlight w:val="white"/>
        </w:rPr>
        <w:t>A literature-based study of patient-centered care and communication in nurse-patient interactions: barriers, facilitators, and the way forward</w:t>
      </w:r>
      <w:r>
        <w:rPr>
          <w:color w:val="222222"/>
          <w:highlight w:val="white"/>
        </w:rPr>
        <w:t>’</w:t>
      </w:r>
      <w:r w:rsidRPr="005837F5">
        <w:rPr>
          <w:color w:val="222222"/>
          <w:highlight w:val="white"/>
        </w:rPr>
        <w:t xml:space="preserve">. </w:t>
      </w:r>
      <w:r w:rsidRPr="005837F5">
        <w:rPr>
          <w:i/>
          <w:color w:val="222222"/>
          <w:highlight w:val="white"/>
        </w:rPr>
        <w:t>BMC nursing</w:t>
      </w:r>
      <w:r w:rsidRPr="005837F5">
        <w:rPr>
          <w:color w:val="222222"/>
          <w:highlight w:val="white"/>
        </w:rPr>
        <w:t xml:space="preserve">, </w:t>
      </w:r>
      <w:r w:rsidRPr="005837F5">
        <w:rPr>
          <w:i/>
          <w:color w:val="222222"/>
          <w:highlight w:val="white"/>
        </w:rPr>
        <w:t>20</w:t>
      </w:r>
      <w:r w:rsidRPr="005837F5">
        <w:rPr>
          <w:color w:val="222222"/>
          <w:highlight w:val="white"/>
        </w:rPr>
        <w:t xml:space="preserve">(1), p.158. </w:t>
      </w:r>
    </w:p>
    <w:p w14:paraId="533F4496" w14:textId="77777777" w:rsidR="00D77AD7" w:rsidRPr="005837F5" w:rsidRDefault="00D77AD7" w:rsidP="00601055">
      <w:pPr>
        <w:pStyle w:val="Normal1"/>
        <w:tabs>
          <w:tab w:val="left" w:pos="270"/>
        </w:tabs>
        <w:spacing w:after="200" w:line="360" w:lineRule="auto"/>
        <w:jc w:val="both"/>
        <w:rPr>
          <w:color w:val="222222"/>
          <w:highlight w:val="white"/>
        </w:rPr>
      </w:pPr>
      <w:r w:rsidRPr="005837F5">
        <w:rPr>
          <w:color w:val="222222"/>
          <w:highlight w:val="white"/>
        </w:rPr>
        <w:lastRenderedPageBreak/>
        <w:t xml:space="preserve">Makeleni, N. and Cilliers, L., </w:t>
      </w:r>
      <w:r>
        <w:rPr>
          <w:color w:val="222222"/>
          <w:highlight w:val="white"/>
        </w:rPr>
        <w:t>(</w:t>
      </w:r>
      <w:r w:rsidRPr="005837F5">
        <w:rPr>
          <w:color w:val="222222"/>
          <w:highlight w:val="white"/>
        </w:rPr>
        <w:t>2021</w:t>
      </w:r>
      <w:r>
        <w:rPr>
          <w:color w:val="222222"/>
          <w:highlight w:val="white"/>
        </w:rPr>
        <w:t>)</w:t>
      </w:r>
      <w:r w:rsidRPr="005837F5">
        <w:rPr>
          <w:color w:val="222222"/>
          <w:highlight w:val="white"/>
        </w:rPr>
        <w:t xml:space="preserve">. </w:t>
      </w:r>
      <w:r>
        <w:rPr>
          <w:color w:val="222222"/>
          <w:highlight w:val="white"/>
        </w:rPr>
        <w:t>‘</w:t>
      </w:r>
      <w:r w:rsidRPr="005837F5">
        <w:rPr>
          <w:color w:val="222222"/>
          <w:highlight w:val="white"/>
        </w:rPr>
        <w:t xml:space="preserve">Critical success factors to improve data quality of electronic medical records in public healthcare </w:t>
      </w:r>
      <w:proofErr w:type="gramStart"/>
      <w:r w:rsidRPr="005837F5">
        <w:rPr>
          <w:color w:val="222222"/>
          <w:highlight w:val="white"/>
        </w:rPr>
        <w:t>institutions</w:t>
      </w:r>
      <w:r>
        <w:rPr>
          <w:color w:val="222222"/>
          <w:highlight w:val="white"/>
        </w:rPr>
        <w:t>’</w:t>
      </w:r>
      <w:proofErr w:type="gramEnd"/>
      <w:r w:rsidRPr="005837F5">
        <w:rPr>
          <w:color w:val="222222"/>
          <w:highlight w:val="white"/>
        </w:rPr>
        <w:t xml:space="preserve">. </w:t>
      </w:r>
      <w:r w:rsidRPr="005837F5">
        <w:rPr>
          <w:i/>
          <w:color w:val="222222"/>
          <w:highlight w:val="white"/>
        </w:rPr>
        <w:t>South African Journal of Information Management</w:t>
      </w:r>
      <w:r w:rsidRPr="005837F5">
        <w:rPr>
          <w:color w:val="222222"/>
          <w:highlight w:val="white"/>
        </w:rPr>
        <w:t xml:space="preserve">, </w:t>
      </w:r>
      <w:r w:rsidRPr="005837F5">
        <w:rPr>
          <w:i/>
          <w:color w:val="222222"/>
          <w:highlight w:val="white"/>
        </w:rPr>
        <w:t>23</w:t>
      </w:r>
      <w:r w:rsidRPr="005837F5">
        <w:rPr>
          <w:color w:val="222222"/>
          <w:highlight w:val="white"/>
        </w:rPr>
        <w:t xml:space="preserve">(1), pp.1-8. </w:t>
      </w:r>
    </w:p>
    <w:p w14:paraId="3D3713DF" w14:textId="77777777" w:rsidR="00D77AD7" w:rsidRPr="005837F5" w:rsidRDefault="00D77AD7" w:rsidP="00601055">
      <w:pPr>
        <w:pStyle w:val="Normal1"/>
        <w:tabs>
          <w:tab w:val="left" w:pos="270"/>
        </w:tabs>
        <w:spacing w:after="200" w:line="360" w:lineRule="auto"/>
        <w:jc w:val="both"/>
        <w:rPr>
          <w:color w:val="222222"/>
          <w:highlight w:val="white"/>
        </w:rPr>
      </w:pPr>
      <w:r w:rsidRPr="005837F5">
        <w:rPr>
          <w:color w:val="222222"/>
          <w:highlight w:val="white"/>
        </w:rPr>
        <w:t xml:space="preserve">Mason, A. and Minerva, F., </w:t>
      </w:r>
      <w:r>
        <w:rPr>
          <w:color w:val="222222"/>
          <w:highlight w:val="white"/>
        </w:rPr>
        <w:t>(</w:t>
      </w:r>
      <w:r w:rsidRPr="005837F5">
        <w:rPr>
          <w:color w:val="222222"/>
          <w:highlight w:val="white"/>
        </w:rPr>
        <w:t>2022</w:t>
      </w:r>
      <w:r>
        <w:rPr>
          <w:color w:val="222222"/>
          <w:highlight w:val="white"/>
        </w:rPr>
        <w:t>)</w:t>
      </w:r>
      <w:r w:rsidRPr="005837F5">
        <w:rPr>
          <w:color w:val="222222"/>
          <w:highlight w:val="white"/>
        </w:rPr>
        <w:t xml:space="preserve">. </w:t>
      </w:r>
      <w:r>
        <w:rPr>
          <w:color w:val="222222"/>
          <w:highlight w:val="white"/>
        </w:rPr>
        <w:t>‘</w:t>
      </w:r>
      <w:r w:rsidRPr="005837F5">
        <w:rPr>
          <w:color w:val="222222"/>
          <w:highlight w:val="white"/>
        </w:rPr>
        <w:t>Should the Equality Act 2010 be extended to prohibit appearance discrimination?</w:t>
      </w:r>
      <w:r>
        <w:rPr>
          <w:color w:val="222222"/>
          <w:highlight w:val="white"/>
        </w:rPr>
        <w:t>’</w:t>
      </w:r>
      <w:r w:rsidRPr="005837F5">
        <w:rPr>
          <w:color w:val="222222"/>
          <w:highlight w:val="white"/>
        </w:rPr>
        <w:t xml:space="preserve">. </w:t>
      </w:r>
      <w:r w:rsidRPr="005837F5">
        <w:rPr>
          <w:i/>
          <w:color w:val="222222"/>
          <w:highlight w:val="white"/>
        </w:rPr>
        <w:t>Political Studies</w:t>
      </w:r>
      <w:r w:rsidRPr="005837F5">
        <w:rPr>
          <w:color w:val="222222"/>
          <w:highlight w:val="white"/>
        </w:rPr>
        <w:t xml:space="preserve">, </w:t>
      </w:r>
      <w:r w:rsidRPr="005837F5">
        <w:rPr>
          <w:i/>
          <w:color w:val="222222"/>
          <w:highlight w:val="white"/>
        </w:rPr>
        <w:t>70</w:t>
      </w:r>
      <w:r w:rsidRPr="005837F5">
        <w:rPr>
          <w:color w:val="222222"/>
          <w:highlight w:val="white"/>
        </w:rPr>
        <w:t xml:space="preserve">(2), pp.425-442. </w:t>
      </w:r>
    </w:p>
    <w:p w14:paraId="050222A3" w14:textId="43842983" w:rsidR="00D77AD7" w:rsidRPr="005837F5" w:rsidRDefault="00D77AD7" w:rsidP="00601055">
      <w:pPr>
        <w:pStyle w:val="Normal1"/>
        <w:tabs>
          <w:tab w:val="left" w:pos="270"/>
        </w:tabs>
        <w:spacing w:after="200" w:line="360" w:lineRule="auto"/>
        <w:jc w:val="both"/>
        <w:rPr>
          <w:color w:val="222222"/>
          <w:highlight w:val="white"/>
        </w:rPr>
      </w:pPr>
      <w:r w:rsidRPr="005837F5">
        <w:rPr>
          <w:color w:val="222222"/>
          <w:highlight w:val="white"/>
        </w:rPr>
        <w:t>N</w:t>
      </w:r>
      <w:r w:rsidR="00601055">
        <w:rPr>
          <w:color w:val="222222"/>
          <w:highlight w:val="white"/>
        </w:rPr>
        <w:t>HS E</w:t>
      </w:r>
      <w:r w:rsidRPr="005837F5">
        <w:rPr>
          <w:color w:val="222222"/>
          <w:highlight w:val="white"/>
        </w:rPr>
        <w:t>mployers, (2025).</w:t>
      </w:r>
      <w:r w:rsidRPr="005837F5">
        <w:rPr>
          <w:i/>
          <w:color w:val="222222"/>
          <w:highlight w:val="white"/>
        </w:rPr>
        <w:t xml:space="preserve"> NMC to review its code of conduct and revalidation process. </w:t>
      </w:r>
      <w:r w:rsidRPr="005837F5">
        <w:rPr>
          <w:color w:val="222222"/>
          <w:highlight w:val="white"/>
        </w:rPr>
        <w:t xml:space="preserve"> Available at: </w:t>
      </w:r>
      <w:hyperlink r:id="rId18">
        <w:r w:rsidRPr="005837F5">
          <w:rPr>
            <w:color w:val="1155CC"/>
            <w:highlight w:val="white"/>
            <w:u w:val="single"/>
          </w:rPr>
          <w:t>https://www.nhsemployers.org/news/nmc-review-its-code-conduct-and-revalidation-process</w:t>
        </w:r>
      </w:hyperlink>
      <w:r w:rsidRPr="005837F5">
        <w:rPr>
          <w:color w:val="222222"/>
          <w:highlight w:val="white"/>
        </w:rPr>
        <w:t>. (Accessed: 0</w:t>
      </w:r>
      <w:r w:rsidR="00997985">
        <w:rPr>
          <w:color w:val="222222"/>
          <w:highlight w:val="white"/>
        </w:rPr>
        <w:t>2</w:t>
      </w:r>
      <w:r w:rsidRPr="005837F5">
        <w:rPr>
          <w:color w:val="222222"/>
          <w:highlight w:val="white"/>
        </w:rPr>
        <w:t xml:space="preserve"> November 2025)</w:t>
      </w:r>
    </w:p>
    <w:p w14:paraId="3DF78BC6" w14:textId="77777777" w:rsidR="00D77AD7" w:rsidRPr="005837F5" w:rsidRDefault="00D77AD7" w:rsidP="00601055">
      <w:pPr>
        <w:pStyle w:val="Normal1"/>
        <w:tabs>
          <w:tab w:val="left" w:pos="270"/>
        </w:tabs>
        <w:spacing w:after="200" w:line="360" w:lineRule="auto"/>
        <w:jc w:val="both"/>
        <w:rPr>
          <w:color w:val="222222"/>
          <w:highlight w:val="white"/>
        </w:rPr>
      </w:pPr>
      <w:proofErr w:type="spellStart"/>
      <w:r w:rsidRPr="005837F5">
        <w:rPr>
          <w:color w:val="222222"/>
          <w:highlight w:val="white"/>
        </w:rPr>
        <w:t>Ocloo</w:t>
      </w:r>
      <w:proofErr w:type="spellEnd"/>
      <w:r w:rsidRPr="005837F5">
        <w:rPr>
          <w:color w:val="222222"/>
          <w:highlight w:val="white"/>
        </w:rPr>
        <w:t xml:space="preserve">, J., Garfield, S., Franklin, B.D. and Dawson, S., </w:t>
      </w:r>
      <w:r>
        <w:rPr>
          <w:color w:val="222222"/>
          <w:highlight w:val="white"/>
        </w:rPr>
        <w:t>(</w:t>
      </w:r>
      <w:r w:rsidRPr="005837F5">
        <w:rPr>
          <w:color w:val="222222"/>
          <w:highlight w:val="white"/>
        </w:rPr>
        <w:t>2021</w:t>
      </w:r>
      <w:r>
        <w:rPr>
          <w:color w:val="222222"/>
          <w:highlight w:val="white"/>
        </w:rPr>
        <w:t>)</w:t>
      </w:r>
      <w:r w:rsidRPr="005837F5">
        <w:rPr>
          <w:color w:val="222222"/>
          <w:highlight w:val="white"/>
        </w:rPr>
        <w:t xml:space="preserve">. </w:t>
      </w:r>
      <w:r>
        <w:rPr>
          <w:color w:val="222222"/>
          <w:highlight w:val="white"/>
        </w:rPr>
        <w:t>‘</w:t>
      </w:r>
      <w:r w:rsidRPr="005837F5">
        <w:rPr>
          <w:color w:val="222222"/>
          <w:highlight w:val="white"/>
        </w:rPr>
        <w:t xml:space="preserve">Exploring the theory, barriers and enablers for patient and public involvement across health, social care and patient safety: a systematic review of </w:t>
      </w:r>
      <w:proofErr w:type="gramStart"/>
      <w:r w:rsidRPr="005837F5">
        <w:rPr>
          <w:color w:val="222222"/>
          <w:highlight w:val="white"/>
        </w:rPr>
        <w:t>reviews</w:t>
      </w:r>
      <w:r>
        <w:rPr>
          <w:color w:val="222222"/>
          <w:highlight w:val="white"/>
        </w:rPr>
        <w:t>’</w:t>
      </w:r>
      <w:proofErr w:type="gramEnd"/>
      <w:r w:rsidRPr="005837F5">
        <w:rPr>
          <w:color w:val="222222"/>
          <w:highlight w:val="white"/>
        </w:rPr>
        <w:t xml:space="preserve">. </w:t>
      </w:r>
      <w:r w:rsidRPr="005837F5">
        <w:rPr>
          <w:i/>
          <w:color w:val="222222"/>
          <w:highlight w:val="white"/>
        </w:rPr>
        <w:t>Health research policy and systems</w:t>
      </w:r>
      <w:r w:rsidRPr="005837F5">
        <w:rPr>
          <w:color w:val="222222"/>
          <w:highlight w:val="white"/>
        </w:rPr>
        <w:t xml:space="preserve">, </w:t>
      </w:r>
      <w:r w:rsidRPr="005837F5">
        <w:rPr>
          <w:i/>
          <w:color w:val="222222"/>
          <w:highlight w:val="white"/>
        </w:rPr>
        <w:t>19</w:t>
      </w:r>
      <w:r w:rsidRPr="005837F5">
        <w:rPr>
          <w:color w:val="222222"/>
          <w:highlight w:val="white"/>
        </w:rPr>
        <w:t xml:space="preserve">(1), p.8. </w:t>
      </w:r>
    </w:p>
    <w:p w14:paraId="5CBA0C7C" w14:textId="77777777" w:rsidR="00D77AD7" w:rsidRPr="005837F5" w:rsidRDefault="00D77AD7" w:rsidP="00601055">
      <w:pPr>
        <w:pStyle w:val="Normal1"/>
        <w:tabs>
          <w:tab w:val="left" w:pos="270"/>
        </w:tabs>
        <w:spacing w:after="200" w:line="360" w:lineRule="auto"/>
        <w:jc w:val="both"/>
        <w:rPr>
          <w:color w:val="222222"/>
          <w:highlight w:val="white"/>
        </w:rPr>
      </w:pPr>
      <w:proofErr w:type="spellStart"/>
      <w:r w:rsidRPr="005837F5">
        <w:rPr>
          <w:color w:val="222222"/>
          <w:highlight w:val="white"/>
        </w:rPr>
        <w:t>Organi</w:t>
      </w:r>
      <w:proofErr w:type="spellEnd"/>
      <w:r w:rsidRPr="005837F5">
        <w:rPr>
          <w:color w:val="222222"/>
          <w:highlight w:val="white"/>
        </w:rPr>
        <w:t xml:space="preserve">, Z.K., </w:t>
      </w:r>
      <w:proofErr w:type="spellStart"/>
      <w:r w:rsidRPr="005837F5">
        <w:rPr>
          <w:color w:val="222222"/>
          <w:highlight w:val="white"/>
        </w:rPr>
        <w:t>Nazarenia</w:t>
      </w:r>
      <w:proofErr w:type="spellEnd"/>
      <w:r w:rsidRPr="005837F5">
        <w:rPr>
          <w:color w:val="222222"/>
          <w:highlight w:val="white"/>
        </w:rPr>
        <w:t xml:space="preserve">, M. and </w:t>
      </w:r>
      <w:proofErr w:type="spellStart"/>
      <w:r w:rsidRPr="005837F5">
        <w:rPr>
          <w:color w:val="222222"/>
          <w:highlight w:val="white"/>
        </w:rPr>
        <w:t>Aghaee</w:t>
      </w:r>
      <w:proofErr w:type="spellEnd"/>
      <w:r w:rsidRPr="005837F5">
        <w:rPr>
          <w:color w:val="222222"/>
          <w:highlight w:val="white"/>
        </w:rPr>
        <w:t xml:space="preserve">, F., </w:t>
      </w:r>
      <w:r>
        <w:rPr>
          <w:color w:val="222222"/>
          <w:highlight w:val="white"/>
        </w:rPr>
        <w:t>(</w:t>
      </w:r>
      <w:r w:rsidRPr="005837F5">
        <w:rPr>
          <w:color w:val="222222"/>
          <w:highlight w:val="white"/>
        </w:rPr>
        <w:t>2024</w:t>
      </w:r>
      <w:r>
        <w:rPr>
          <w:color w:val="222222"/>
          <w:highlight w:val="white"/>
        </w:rPr>
        <w:t>)</w:t>
      </w:r>
      <w:r w:rsidRPr="005837F5">
        <w:rPr>
          <w:color w:val="222222"/>
          <w:highlight w:val="white"/>
        </w:rPr>
        <w:t xml:space="preserve">. </w:t>
      </w:r>
      <w:r>
        <w:rPr>
          <w:color w:val="222222"/>
          <w:highlight w:val="white"/>
        </w:rPr>
        <w:t>‘</w:t>
      </w:r>
      <w:r w:rsidRPr="005837F5">
        <w:rPr>
          <w:color w:val="222222"/>
          <w:highlight w:val="white"/>
        </w:rPr>
        <w:t>Understanding the challenges of language barriers in healthcare</w:t>
      </w:r>
      <w:r>
        <w:rPr>
          <w:color w:val="222222"/>
          <w:highlight w:val="white"/>
        </w:rPr>
        <w:t>’</w:t>
      </w:r>
      <w:r w:rsidRPr="005837F5">
        <w:rPr>
          <w:color w:val="222222"/>
          <w:highlight w:val="white"/>
        </w:rPr>
        <w:t xml:space="preserve">. </w:t>
      </w:r>
      <w:r w:rsidRPr="005837F5">
        <w:rPr>
          <w:i/>
          <w:color w:val="222222"/>
          <w:highlight w:val="white"/>
        </w:rPr>
        <w:t>Interdisciplinary Studies in Society, Law, and Politics</w:t>
      </w:r>
      <w:r w:rsidRPr="005837F5">
        <w:rPr>
          <w:color w:val="222222"/>
          <w:highlight w:val="white"/>
        </w:rPr>
        <w:t xml:space="preserve">, </w:t>
      </w:r>
      <w:r w:rsidRPr="005837F5">
        <w:rPr>
          <w:i/>
          <w:color w:val="222222"/>
          <w:highlight w:val="white"/>
        </w:rPr>
        <w:t>3</w:t>
      </w:r>
      <w:r w:rsidRPr="005837F5">
        <w:rPr>
          <w:color w:val="222222"/>
          <w:highlight w:val="white"/>
        </w:rPr>
        <w:t xml:space="preserve">(3), pp.28-35. </w:t>
      </w:r>
    </w:p>
    <w:p w14:paraId="687DDDEA" w14:textId="77777777" w:rsidR="00D77AD7" w:rsidRPr="005837F5" w:rsidRDefault="00D77AD7" w:rsidP="00601055">
      <w:pPr>
        <w:pStyle w:val="Normal1"/>
        <w:tabs>
          <w:tab w:val="left" w:pos="270"/>
        </w:tabs>
        <w:spacing w:after="200" w:line="360" w:lineRule="auto"/>
        <w:jc w:val="both"/>
        <w:rPr>
          <w:color w:val="222222"/>
          <w:highlight w:val="white"/>
        </w:rPr>
      </w:pPr>
      <w:proofErr w:type="spellStart"/>
      <w:r w:rsidRPr="005837F5">
        <w:rPr>
          <w:color w:val="222222"/>
          <w:highlight w:val="white"/>
        </w:rPr>
        <w:t>Sianipar</w:t>
      </w:r>
      <w:proofErr w:type="spellEnd"/>
      <w:r w:rsidRPr="005837F5">
        <w:rPr>
          <w:color w:val="222222"/>
          <w:highlight w:val="white"/>
        </w:rPr>
        <w:t xml:space="preserve">, H.T., Sarasati, F., Ramadhan, H. and Wahyuti, T., </w:t>
      </w:r>
      <w:r>
        <w:rPr>
          <w:color w:val="222222"/>
          <w:highlight w:val="white"/>
        </w:rPr>
        <w:t>(</w:t>
      </w:r>
      <w:r w:rsidRPr="005837F5">
        <w:rPr>
          <w:color w:val="222222"/>
          <w:highlight w:val="white"/>
        </w:rPr>
        <w:t>2024</w:t>
      </w:r>
      <w:r>
        <w:rPr>
          <w:color w:val="222222"/>
          <w:highlight w:val="white"/>
        </w:rPr>
        <w:t>)</w:t>
      </w:r>
      <w:r w:rsidRPr="005837F5">
        <w:rPr>
          <w:color w:val="222222"/>
          <w:highlight w:val="white"/>
        </w:rPr>
        <w:t xml:space="preserve">. </w:t>
      </w:r>
      <w:r>
        <w:rPr>
          <w:color w:val="222222"/>
          <w:highlight w:val="white"/>
        </w:rPr>
        <w:t>‘</w:t>
      </w:r>
      <w:r w:rsidRPr="005837F5">
        <w:rPr>
          <w:color w:val="222222"/>
          <w:highlight w:val="white"/>
        </w:rPr>
        <w:t xml:space="preserve">Analysis of the Use of the </w:t>
      </w:r>
      <w:proofErr w:type="spellStart"/>
      <w:r w:rsidRPr="005837F5">
        <w:rPr>
          <w:color w:val="222222"/>
          <w:highlight w:val="white"/>
        </w:rPr>
        <w:t>Term'Widow'and</w:t>
      </w:r>
      <w:proofErr w:type="spellEnd"/>
      <w:r w:rsidRPr="005837F5">
        <w:rPr>
          <w:color w:val="222222"/>
          <w:highlight w:val="white"/>
        </w:rPr>
        <w:t xml:space="preserve"> Its Impact on the Electability of the Rido Candidate Pair in the Jakarta Regional Election Through the Shannon-Weaver Communication Model</w:t>
      </w:r>
      <w:r>
        <w:rPr>
          <w:color w:val="222222"/>
          <w:highlight w:val="white"/>
        </w:rPr>
        <w:t>’</w:t>
      </w:r>
      <w:r w:rsidRPr="005837F5">
        <w:rPr>
          <w:color w:val="222222"/>
          <w:highlight w:val="white"/>
        </w:rPr>
        <w:t xml:space="preserve">. </w:t>
      </w:r>
      <w:r w:rsidRPr="005837F5">
        <w:rPr>
          <w:i/>
          <w:color w:val="222222"/>
          <w:highlight w:val="white"/>
        </w:rPr>
        <w:t xml:space="preserve">INTERACTION: </w:t>
      </w:r>
      <w:proofErr w:type="spellStart"/>
      <w:r w:rsidRPr="005837F5">
        <w:rPr>
          <w:i/>
          <w:color w:val="222222"/>
          <w:highlight w:val="white"/>
        </w:rPr>
        <w:t>Jurnal</w:t>
      </w:r>
      <w:proofErr w:type="spellEnd"/>
      <w:r w:rsidRPr="005837F5">
        <w:rPr>
          <w:i/>
          <w:color w:val="222222"/>
          <w:highlight w:val="white"/>
        </w:rPr>
        <w:t xml:space="preserve"> Pendidikan Bahasa</w:t>
      </w:r>
      <w:r w:rsidRPr="005837F5">
        <w:rPr>
          <w:color w:val="222222"/>
          <w:highlight w:val="white"/>
        </w:rPr>
        <w:t xml:space="preserve">, </w:t>
      </w:r>
      <w:r w:rsidRPr="005837F5">
        <w:rPr>
          <w:i/>
          <w:color w:val="222222"/>
          <w:highlight w:val="white"/>
        </w:rPr>
        <w:t>11</w:t>
      </w:r>
      <w:r w:rsidRPr="005837F5">
        <w:rPr>
          <w:color w:val="222222"/>
          <w:highlight w:val="white"/>
        </w:rPr>
        <w:t xml:space="preserve">(2), pp.829-844. </w:t>
      </w:r>
    </w:p>
    <w:p w14:paraId="3FB7574A" w14:textId="77777777" w:rsidR="00D77AD7" w:rsidRDefault="00D77AD7" w:rsidP="00601055">
      <w:pPr>
        <w:spacing w:after="200"/>
        <w:rPr>
          <w:color w:val="0D0D0D" w:themeColor="text1" w:themeTint="F2"/>
          <w:highlight w:val="white"/>
        </w:rPr>
      </w:pPr>
      <w:r w:rsidRPr="00745BF5">
        <w:rPr>
          <w:color w:val="0D0D0D" w:themeColor="text1" w:themeTint="F2"/>
          <w:highlight w:val="white"/>
        </w:rPr>
        <w:t xml:space="preserve">Tahsin, F., Armas, A., </w:t>
      </w:r>
      <w:proofErr w:type="spellStart"/>
      <w:r w:rsidRPr="00745BF5">
        <w:rPr>
          <w:color w:val="0D0D0D" w:themeColor="text1" w:themeTint="F2"/>
          <w:highlight w:val="white"/>
        </w:rPr>
        <w:t>Kirakalaprathapan</w:t>
      </w:r>
      <w:proofErr w:type="spellEnd"/>
      <w:r w:rsidRPr="00745BF5">
        <w:rPr>
          <w:color w:val="0D0D0D" w:themeColor="text1" w:themeTint="F2"/>
          <w:highlight w:val="white"/>
        </w:rPr>
        <w:t xml:space="preserve">, A., Kadu, M., Sritharan, J. and Steele Gray, C., (2023). ‘Information and Communications Technologies Enabling Integrated Primary Care for Patients </w:t>
      </w:r>
      <w:proofErr w:type="gramStart"/>
      <w:r w:rsidRPr="00745BF5">
        <w:rPr>
          <w:color w:val="0D0D0D" w:themeColor="text1" w:themeTint="F2"/>
          <w:highlight w:val="white"/>
        </w:rPr>
        <w:t>With</w:t>
      </w:r>
      <w:proofErr w:type="gramEnd"/>
      <w:r w:rsidRPr="00745BF5">
        <w:rPr>
          <w:color w:val="0D0D0D" w:themeColor="text1" w:themeTint="F2"/>
          <w:highlight w:val="white"/>
        </w:rPr>
        <w:t xml:space="preserve"> Complex Care Needs: Scoping Review’. </w:t>
      </w:r>
      <w:r w:rsidRPr="00745BF5">
        <w:rPr>
          <w:i/>
          <w:color w:val="0D0D0D" w:themeColor="text1" w:themeTint="F2"/>
          <w:highlight w:val="white"/>
        </w:rPr>
        <w:t>Journal of Medical Internet Research</w:t>
      </w:r>
      <w:r w:rsidRPr="00745BF5">
        <w:rPr>
          <w:color w:val="0D0D0D" w:themeColor="text1" w:themeTint="F2"/>
          <w:highlight w:val="white"/>
        </w:rPr>
        <w:t xml:space="preserve">, </w:t>
      </w:r>
      <w:r w:rsidRPr="00745BF5">
        <w:rPr>
          <w:i/>
          <w:color w:val="0D0D0D" w:themeColor="text1" w:themeTint="F2"/>
          <w:highlight w:val="white"/>
        </w:rPr>
        <w:t>25</w:t>
      </w:r>
      <w:r w:rsidRPr="00745BF5">
        <w:rPr>
          <w:color w:val="0D0D0D" w:themeColor="text1" w:themeTint="F2"/>
          <w:highlight w:val="white"/>
        </w:rPr>
        <w:t>(1).</w:t>
      </w:r>
    </w:p>
    <w:p w14:paraId="4DD93E55" w14:textId="77777777" w:rsidR="000C186F" w:rsidRPr="00745BF5" w:rsidRDefault="000C186F" w:rsidP="005B4324">
      <w:pPr>
        <w:spacing w:after="200"/>
        <w:rPr>
          <w:color w:val="0D0D0D" w:themeColor="text1" w:themeTint="F2"/>
          <w:highlight w:val="white"/>
        </w:rPr>
      </w:pPr>
    </w:p>
    <w:p w14:paraId="223914B4" w14:textId="77777777" w:rsidR="001A48AF" w:rsidRPr="00745BF5" w:rsidRDefault="001A48AF" w:rsidP="005B4324">
      <w:pPr>
        <w:rPr>
          <w:color w:val="0D0D0D" w:themeColor="text1" w:themeTint="F2"/>
        </w:rPr>
      </w:pPr>
    </w:p>
    <w:sectPr w:rsidR="001A48AF" w:rsidRPr="00745BF5" w:rsidSect="00E512D2">
      <w:footerReference w:type="default" r:id="rId19"/>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FC6BA" w14:textId="77777777" w:rsidR="00D23773" w:rsidRDefault="00D23773">
      <w:pPr>
        <w:spacing w:line="240" w:lineRule="auto"/>
      </w:pPr>
      <w:r>
        <w:separator/>
      </w:r>
    </w:p>
  </w:endnote>
  <w:endnote w:type="continuationSeparator" w:id="0">
    <w:p w14:paraId="3C709028" w14:textId="77777777" w:rsidR="00D23773" w:rsidRDefault="00D237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777B62F0-894F-48B1-8F1C-3A2CF1D03877}"/>
  </w:font>
  <w:font w:name="Cambria">
    <w:panose1 w:val="02040503050406030204"/>
    <w:charset w:val="00"/>
    <w:family w:val="roman"/>
    <w:pitch w:val="variable"/>
    <w:sig w:usb0="E00006FF" w:usb1="420024FF" w:usb2="02000000" w:usb3="00000000" w:csb0="0000019F" w:csb1="00000000"/>
    <w:embedRegular r:id="rId2" w:fontKey="{94A678F8-91DE-46A8-90EB-7EB01DCEFB84}"/>
  </w:font>
  <w:font w:name="Calibri">
    <w:panose1 w:val="020F0502020204030204"/>
    <w:charset w:val="00"/>
    <w:family w:val="swiss"/>
    <w:pitch w:val="variable"/>
    <w:sig w:usb0="E4002EFF" w:usb1="C200247B" w:usb2="00000009" w:usb3="00000000" w:csb0="000001FF" w:csb1="00000000"/>
    <w:embedRegular r:id="rId3" w:fontKey="{5A397158-8E1F-4A56-B27E-81895251B85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A7356" w14:textId="77777777" w:rsidR="001A48AF" w:rsidRDefault="00E512D2">
    <w:pPr>
      <w:spacing w:line="240" w:lineRule="auto"/>
      <w:jc w:val="right"/>
      <w:rPr>
        <w:sz w:val="20"/>
        <w:szCs w:val="20"/>
      </w:rPr>
    </w:pPr>
    <w:r>
      <w:rPr>
        <w:sz w:val="20"/>
        <w:szCs w:val="20"/>
      </w:rPr>
      <w:fldChar w:fldCharType="begin"/>
    </w:r>
    <w:r w:rsidR="00F27B6C">
      <w:rPr>
        <w:sz w:val="20"/>
        <w:szCs w:val="20"/>
      </w:rPr>
      <w:instrText>PAGE</w:instrText>
    </w:r>
    <w:r>
      <w:rPr>
        <w:sz w:val="20"/>
        <w:szCs w:val="20"/>
      </w:rPr>
      <w:fldChar w:fldCharType="separate"/>
    </w:r>
    <w:r w:rsidR="00BC1273">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21805" w14:textId="77777777" w:rsidR="00D23773" w:rsidRDefault="00D23773">
      <w:pPr>
        <w:spacing w:line="240" w:lineRule="auto"/>
      </w:pPr>
      <w:r>
        <w:separator/>
      </w:r>
    </w:p>
  </w:footnote>
  <w:footnote w:type="continuationSeparator" w:id="0">
    <w:p w14:paraId="6BDE11A7" w14:textId="77777777" w:rsidR="00D23773" w:rsidRDefault="00D2377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A48AF"/>
    <w:rsid w:val="00026A83"/>
    <w:rsid w:val="00040F71"/>
    <w:rsid w:val="000C186F"/>
    <w:rsid w:val="0010395B"/>
    <w:rsid w:val="001172F1"/>
    <w:rsid w:val="001A32D2"/>
    <w:rsid w:val="001A48AF"/>
    <w:rsid w:val="001E0443"/>
    <w:rsid w:val="002379E4"/>
    <w:rsid w:val="00255EF5"/>
    <w:rsid w:val="002718E7"/>
    <w:rsid w:val="002B4684"/>
    <w:rsid w:val="002D2D9A"/>
    <w:rsid w:val="002E32A1"/>
    <w:rsid w:val="003A17B8"/>
    <w:rsid w:val="0044313B"/>
    <w:rsid w:val="004B3150"/>
    <w:rsid w:val="00506205"/>
    <w:rsid w:val="005A09ED"/>
    <w:rsid w:val="005A5723"/>
    <w:rsid w:val="005B4324"/>
    <w:rsid w:val="00601055"/>
    <w:rsid w:val="006018EB"/>
    <w:rsid w:val="006A1210"/>
    <w:rsid w:val="00700309"/>
    <w:rsid w:val="00745BF5"/>
    <w:rsid w:val="007B27E5"/>
    <w:rsid w:val="00845322"/>
    <w:rsid w:val="009675FA"/>
    <w:rsid w:val="00997985"/>
    <w:rsid w:val="00A00E33"/>
    <w:rsid w:val="00AF702F"/>
    <w:rsid w:val="00B0695B"/>
    <w:rsid w:val="00B23691"/>
    <w:rsid w:val="00B3524F"/>
    <w:rsid w:val="00B440B2"/>
    <w:rsid w:val="00B9569E"/>
    <w:rsid w:val="00BC1273"/>
    <w:rsid w:val="00BF2C7B"/>
    <w:rsid w:val="00C360E5"/>
    <w:rsid w:val="00CD75DC"/>
    <w:rsid w:val="00CF6D0D"/>
    <w:rsid w:val="00D22787"/>
    <w:rsid w:val="00D23773"/>
    <w:rsid w:val="00D77AD7"/>
    <w:rsid w:val="00DF3FE0"/>
    <w:rsid w:val="00E51146"/>
    <w:rsid w:val="00E512D2"/>
    <w:rsid w:val="00EE1EA2"/>
    <w:rsid w:val="00EF6D63"/>
    <w:rsid w:val="00F27B6C"/>
    <w:rsid w:val="00F465DE"/>
    <w:rsid w:val="00F5580E"/>
    <w:rsid w:val="00F67852"/>
    <w:rsid w:val="00FB2A6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6DBB7"/>
  <w15:docId w15:val="{C5117D11-CB3C-4CB6-9E01-3BD5D84E6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2D2"/>
  </w:style>
  <w:style w:type="paragraph" w:styleId="Heading1">
    <w:name w:val="heading 1"/>
    <w:basedOn w:val="Normal"/>
    <w:next w:val="Normal"/>
    <w:uiPriority w:val="9"/>
    <w:qFormat/>
    <w:rsid w:val="00E512D2"/>
    <w:pPr>
      <w:keepNext/>
      <w:keepLines/>
      <w:spacing w:before="200" w:after="200"/>
      <w:outlineLvl w:val="0"/>
    </w:pPr>
    <w:rPr>
      <w:b/>
    </w:rPr>
  </w:style>
  <w:style w:type="paragraph" w:styleId="Heading2">
    <w:name w:val="heading 2"/>
    <w:basedOn w:val="Normal"/>
    <w:next w:val="Normal"/>
    <w:uiPriority w:val="9"/>
    <w:semiHidden/>
    <w:unhideWhenUsed/>
    <w:qFormat/>
    <w:rsid w:val="00E512D2"/>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E512D2"/>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E512D2"/>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E512D2"/>
    <w:pPr>
      <w:keepNext/>
      <w:keepLines/>
      <w:spacing w:before="240" w:after="80"/>
      <w:outlineLvl w:val="4"/>
    </w:pPr>
    <w:rPr>
      <w:color w:val="666666"/>
    </w:rPr>
  </w:style>
  <w:style w:type="paragraph" w:styleId="Heading6">
    <w:name w:val="heading 6"/>
    <w:basedOn w:val="Normal"/>
    <w:next w:val="Normal"/>
    <w:uiPriority w:val="9"/>
    <w:semiHidden/>
    <w:unhideWhenUsed/>
    <w:qFormat/>
    <w:rsid w:val="00E512D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E512D2"/>
    <w:tblPr>
      <w:tblCellMar>
        <w:top w:w="100" w:type="dxa"/>
        <w:left w:w="100" w:type="dxa"/>
        <w:bottom w:w="100" w:type="dxa"/>
        <w:right w:w="100" w:type="dxa"/>
      </w:tblCellMar>
    </w:tblPr>
  </w:style>
  <w:style w:type="paragraph" w:styleId="Title">
    <w:name w:val="Title"/>
    <w:basedOn w:val="Normal"/>
    <w:next w:val="Normal"/>
    <w:uiPriority w:val="10"/>
    <w:qFormat/>
    <w:rsid w:val="00E512D2"/>
    <w:pPr>
      <w:keepNext/>
      <w:keepLines/>
      <w:spacing w:after="60"/>
    </w:pPr>
    <w:rPr>
      <w:sz w:val="52"/>
      <w:szCs w:val="52"/>
    </w:rPr>
  </w:style>
  <w:style w:type="paragraph" w:styleId="Subtitle">
    <w:name w:val="Subtitle"/>
    <w:basedOn w:val="Normal"/>
    <w:next w:val="Normal"/>
    <w:uiPriority w:val="11"/>
    <w:qFormat/>
    <w:rsid w:val="00E512D2"/>
    <w:pPr>
      <w:keepNext/>
      <w:keepLines/>
      <w:spacing w:after="320"/>
    </w:pPr>
    <w:rPr>
      <w:color w:val="666666"/>
      <w:sz w:val="30"/>
      <w:szCs w:val="30"/>
    </w:rPr>
  </w:style>
  <w:style w:type="character" w:styleId="Hyperlink">
    <w:name w:val="Hyperlink"/>
    <w:basedOn w:val="DefaultParagraphFont"/>
    <w:uiPriority w:val="99"/>
    <w:unhideWhenUsed/>
    <w:rsid w:val="003A17B8"/>
    <w:rPr>
      <w:color w:val="0000FF" w:themeColor="hyperlink"/>
      <w:u w:val="single"/>
    </w:rPr>
  </w:style>
  <w:style w:type="paragraph" w:styleId="TableofFigures">
    <w:name w:val="table of figures"/>
    <w:basedOn w:val="Normal"/>
    <w:next w:val="Normal"/>
    <w:uiPriority w:val="99"/>
    <w:unhideWhenUsed/>
    <w:rsid w:val="003A17B8"/>
    <w:rPr>
      <w:color w:val="000000" w:themeColor="text1"/>
    </w:rPr>
  </w:style>
  <w:style w:type="paragraph" w:styleId="BalloonText">
    <w:name w:val="Balloon Text"/>
    <w:basedOn w:val="Normal"/>
    <w:link w:val="BalloonTextChar"/>
    <w:uiPriority w:val="99"/>
    <w:semiHidden/>
    <w:unhideWhenUsed/>
    <w:rsid w:val="005A572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5723"/>
    <w:rPr>
      <w:rFonts w:ascii="Tahoma" w:hAnsi="Tahoma" w:cs="Tahoma"/>
      <w:sz w:val="16"/>
      <w:szCs w:val="16"/>
    </w:rPr>
  </w:style>
  <w:style w:type="paragraph" w:customStyle="1" w:styleId="Normal1">
    <w:name w:val="Normal1"/>
    <w:rsid w:val="005A5723"/>
    <w:pPr>
      <w:spacing w:line="276" w:lineRule="auto"/>
      <w:jc w:val="left"/>
    </w:pPr>
    <w:rPr>
      <w:lang w:val="en-US" w:eastAsia="en-US"/>
    </w:rPr>
  </w:style>
  <w:style w:type="paragraph" w:styleId="Header">
    <w:name w:val="header"/>
    <w:basedOn w:val="Normal"/>
    <w:link w:val="HeaderChar"/>
    <w:uiPriority w:val="99"/>
    <w:unhideWhenUsed/>
    <w:rsid w:val="002379E4"/>
    <w:pPr>
      <w:tabs>
        <w:tab w:val="center" w:pos="4513"/>
        <w:tab w:val="right" w:pos="9026"/>
      </w:tabs>
      <w:spacing w:line="240" w:lineRule="auto"/>
    </w:pPr>
  </w:style>
  <w:style w:type="character" w:customStyle="1" w:styleId="HeaderChar">
    <w:name w:val="Header Char"/>
    <w:basedOn w:val="DefaultParagraphFont"/>
    <w:link w:val="Header"/>
    <w:uiPriority w:val="99"/>
    <w:rsid w:val="002379E4"/>
  </w:style>
  <w:style w:type="paragraph" w:styleId="Footer">
    <w:name w:val="footer"/>
    <w:basedOn w:val="Normal"/>
    <w:link w:val="FooterChar"/>
    <w:uiPriority w:val="99"/>
    <w:unhideWhenUsed/>
    <w:rsid w:val="002379E4"/>
    <w:pPr>
      <w:tabs>
        <w:tab w:val="center" w:pos="4513"/>
        <w:tab w:val="right" w:pos="9026"/>
      </w:tabs>
      <w:spacing w:line="240" w:lineRule="auto"/>
    </w:pPr>
  </w:style>
  <w:style w:type="character" w:customStyle="1" w:styleId="FooterChar">
    <w:name w:val="Footer Char"/>
    <w:basedOn w:val="DefaultParagraphFont"/>
    <w:link w:val="Footer"/>
    <w:uiPriority w:val="99"/>
    <w:rsid w:val="002379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openxmlformats.org/officeDocument/2006/relationships/hyperlink" Target="https://www.nhsemployers.org/news/nmc-review-its-code-conduct-and-revalidation-proces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hyperlink" Target="https://www.hacw.nhs.uk/quality-and-safety/caldicott-principles-943/" TargetMode="External"/><Relationship Id="rId2" Type="http://schemas.openxmlformats.org/officeDocument/2006/relationships/styles" Target="styles.xml"/><Relationship Id="rId16" Type="http://schemas.openxmlformats.org/officeDocument/2006/relationships/hyperlink" Target="https://www.dpocentre.com/sector/healthcar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hyperlink" Target="https://www.cqc.org.uk/about-us/fundamental-standards" TargetMode="External"/><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hyperlink" Target="https://www.communicationtheory.org/shannon-and-weaver-model-of-communication/"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DC837E4-D43F-4D70-9EC7-B390A286CDB4}" type="doc">
      <dgm:prSet loTypeId="urn:microsoft.com/office/officeart/2005/8/layout/vList2" loCatId="list" qsTypeId="urn:microsoft.com/office/officeart/2005/8/quickstyle/simple1" qsCatId="simple" csTypeId="urn:microsoft.com/office/officeart/2005/8/colors/colorful2" csCatId="colorful" phldr="1"/>
      <dgm:spPr/>
      <dgm:t>
        <a:bodyPr/>
        <a:lstStyle/>
        <a:p>
          <a:endParaRPr lang="en-GB"/>
        </a:p>
      </dgm:t>
    </dgm:pt>
    <dgm:pt modelId="{FF4F64B6-3680-4565-9005-4C1541F1D324}">
      <dgm:prSet phldrT="[Text]"/>
      <dgm:spPr/>
      <dgm:t>
        <a:bodyPr/>
        <a:lstStyle/>
        <a:p>
          <a:r>
            <a:rPr lang="en-GB"/>
            <a:t>Good working arrangements</a:t>
          </a:r>
        </a:p>
      </dgm:t>
    </dgm:pt>
    <dgm:pt modelId="{486829FC-B40C-4432-9FF1-0FDE2485FB0F}" type="parTrans" cxnId="{C9CA21A4-63CC-4D74-B142-24B3F20327C6}">
      <dgm:prSet/>
      <dgm:spPr/>
      <dgm:t>
        <a:bodyPr/>
        <a:lstStyle/>
        <a:p>
          <a:endParaRPr lang="en-GB"/>
        </a:p>
      </dgm:t>
    </dgm:pt>
    <dgm:pt modelId="{F182B73C-A46E-4508-B0B2-3525BA0410D1}" type="sibTrans" cxnId="{C9CA21A4-63CC-4D74-B142-24B3F20327C6}">
      <dgm:prSet/>
      <dgm:spPr/>
      <dgm:t>
        <a:bodyPr/>
        <a:lstStyle/>
        <a:p>
          <a:endParaRPr lang="en-GB"/>
        </a:p>
      </dgm:t>
    </dgm:pt>
    <dgm:pt modelId="{2A743E03-C582-4DD5-A8A1-D7BB4B5766B0}">
      <dgm:prSet phldrT="[Text]"/>
      <dgm:spPr/>
      <dgm:t>
        <a:bodyPr/>
        <a:lstStyle/>
        <a:p>
          <a:r>
            <a:rPr lang="en-GB"/>
            <a:t>Routine personal care</a:t>
          </a:r>
        </a:p>
      </dgm:t>
    </dgm:pt>
    <dgm:pt modelId="{A3C6DFC4-4AAF-499B-9864-A665ECEDC217}" type="parTrans" cxnId="{A9D43A36-31EC-491E-B024-0593747387F8}">
      <dgm:prSet/>
      <dgm:spPr/>
      <dgm:t>
        <a:bodyPr/>
        <a:lstStyle/>
        <a:p>
          <a:endParaRPr lang="en-GB"/>
        </a:p>
      </dgm:t>
    </dgm:pt>
    <dgm:pt modelId="{F18E3ACE-BCEB-4B0C-8CEC-7A0D320CB0BC}" type="sibTrans" cxnId="{A9D43A36-31EC-491E-B024-0593747387F8}">
      <dgm:prSet/>
      <dgm:spPr/>
      <dgm:t>
        <a:bodyPr/>
        <a:lstStyle/>
        <a:p>
          <a:endParaRPr lang="en-GB"/>
        </a:p>
      </dgm:t>
    </dgm:pt>
    <dgm:pt modelId="{2AB4869E-6B39-48E4-8C06-ACC4D311A61F}">
      <dgm:prSet phldrT="[Text]"/>
      <dgm:spPr/>
      <dgm:t>
        <a:bodyPr/>
        <a:lstStyle/>
        <a:p>
          <a:r>
            <a:rPr lang="en-GB"/>
            <a:t>Communication modes</a:t>
          </a:r>
        </a:p>
      </dgm:t>
    </dgm:pt>
    <dgm:pt modelId="{6EAB08C2-6486-471A-82FD-E8825D0949C8}" type="parTrans" cxnId="{64A52D1E-51C8-4F53-AD0F-D1B72B76CDB2}">
      <dgm:prSet/>
      <dgm:spPr/>
      <dgm:t>
        <a:bodyPr/>
        <a:lstStyle/>
        <a:p>
          <a:endParaRPr lang="en-GB"/>
        </a:p>
      </dgm:t>
    </dgm:pt>
    <dgm:pt modelId="{C462B10B-2B48-448F-8FF1-49766FD702BF}" type="sibTrans" cxnId="{64A52D1E-51C8-4F53-AD0F-D1B72B76CDB2}">
      <dgm:prSet/>
      <dgm:spPr/>
      <dgm:t>
        <a:bodyPr/>
        <a:lstStyle/>
        <a:p>
          <a:endParaRPr lang="en-GB"/>
        </a:p>
      </dgm:t>
    </dgm:pt>
    <dgm:pt modelId="{1B6FDAEC-0553-45B4-8A9E-9435D0075144}">
      <dgm:prSet phldrT="[Text]"/>
      <dgm:spPr/>
      <dgm:t>
        <a:bodyPr/>
        <a:lstStyle/>
        <a:p>
          <a:r>
            <a:rPr lang="en-GB"/>
            <a:t>Knowledge and experience</a:t>
          </a:r>
        </a:p>
      </dgm:t>
    </dgm:pt>
    <dgm:pt modelId="{62903932-710D-417F-AE4C-67707C852562}" type="parTrans" cxnId="{1A2E6734-8091-4771-ADAC-472B5E06D11E}">
      <dgm:prSet/>
      <dgm:spPr/>
      <dgm:t>
        <a:bodyPr/>
        <a:lstStyle/>
        <a:p>
          <a:endParaRPr lang="en-GB"/>
        </a:p>
      </dgm:t>
    </dgm:pt>
    <dgm:pt modelId="{AF5CD3A5-A58C-46AD-A00D-FEEA0124CDD7}" type="sibTrans" cxnId="{1A2E6734-8091-4771-ADAC-472B5E06D11E}">
      <dgm:prSet/>
      <dgm:spPr/>
      <dgm:t>
        <a:bodyPr/>
        <a:lstStyle/>
        <a:p>
          <a:endParaRPr lang="en-GB"/>
        </a:p>
      </dgm:t>
    </dgm:pt>
    <dgm:pt modelId="{BFD6BDD1-E797-44C0-92A9-583E4BBC776A}" type="pres">
      <dgm:prSet presAssocID="{CDC837E4-D43F-4D70-9EC7-B390A286CDB4}" presName="linear" presStyleCnt="0">
        <dgm:presLayoutVars>
          <dgm:animLvl val="lvl"/>
          <dgm:resizeHandles val="exact"/>
        </dgm:presLayoutVars>
      </dgm:prSet>
      <dgm:spPr/>
    </dgm:pt>
    <dgm:pt modelId="{D4F51696-0DE8-4B50-A8C4-4BBF30426E52}" type="pres">
      <dgm:prSet presAssocID="{FF4F64B6-3680-4565-9005-4C1541F1D324}" presName="parentText" presStyleLbl="node1" presStyleIdx="0" presStyleCnt="2">
        <dgm:presLayoutVars>
          <dgm:chMax val="0"/>
          <dgm:bulletEnabled val="1"/>
        </dgm:presLayoutVars>
      </dgm:prSet>
      <dgm:spPr/>
    </dgm:pt>
    <dgm:pt modelId="{7EED4AFA-AE36-4E4B-8785-099563E1AD92}" type="pres">
      <dgm:prSet presAssocID="{FF4F64B6-3680-4565-9005-4C1541F1D324}" presName="childText" presStyleLbl="revTx" presStyleIdx="0" presStyleCnt="2">
        <dgm:presLayoutVars>
          <dgm:bulletEnabled val="1"/>
        </dgm:presLayoutVars>
      </dgm:prSet>
      <dgm:spPr/>
    </dgm:pt>
    <dgm:pt modelId="{1AA0C283-AB46-4584-94A2-49E1E514CCEC}" type="pres">
      <dgm:prSet presAssocID="{2AB4869E-6B39-48E4-8C06-ACC4D311A61F}" presName="parentText" presStyleLbl="node1" presStyleIdx="1" presStyleCnt="2">
        <dgm:presLayoutVars>
          <dgm:chMax val="0"/>
          <dgm:bulletEnabled val="1"/>
        </dgm:presLayoutVars>
      </dgm:prSet>
      <dgm:spPr/>
    </dgm:pt>
    <dgm:pt modelId="{BF68ACB6-0988-48F6-A3F4-47275AD78320}" type="pres">
      <dgm:prSet presAssocID="{2AB4869E-6B39-48E4-8C06-ACC4D311A61F}" presName="childText" presStyleLbl="revTx" presStyleIdx="1" presStyleCnt="2">
        <dgm:presLayoutVars>
          <dgm:bulletEnabled val="1"/>
        </dgm:presLayoutVars>
      </dgm:prSet>
      <dgm:spPr/>
    </dgm:pt>
  </dgm:ptLst>
  <dgm:cxnLst>
    <dgm:cxn modelId="{64A52D1E-51C8-4F53-AD0F-D1B72B76CDB2}" srcId="{CDC837E4-D43F-4D70-9EC7-B390A286CDB4}" destId="{2AB4869E-6B39-48E4-8C06-ACC4D311A61F}" srcOrd="1" destOrd="0" parTransId="{6EAB08C2-6486-471A-82FD-E8825D0949C8}" sibTransId="{C462B10B-2B48-448F-8FF1-49766FD702BF}"/>
    <dgm:cxn modelId="{1A2E6734-8091-4771-ADAC-472B5E06D11E}" srcId="{2AB4869E-6B39-48E4-8C06-ACC4D311A61F}" destId="{1B6FDAEC-0553-45B4-8A9E-9435D0075144}" srcOrd="0" destOrd="0" parTransId="{62903932-710D-417F-AE4C-67707C852562}" sibTransId="{AF5CD3A5-A58C-46AD-A00D-FEEA0124CDD7}"/>
    <dgm:cxn modelId="{A9D43A36-31EC-491E-B024-0593747387F8}" srcId="{FF4F64B6-3680-4565-9005-4C1541F1D324}" destId="{2A743E03-C582-4DD5-A8A1-D7BB4B5766B0}" srcOrd="0" destOrd="0" parTransId="{A3C6DFC4-4AAF-499B-9864-A665ECEDC217}" sibTransId="{F18E3ACE-BCEB-4B0C-8CEC-7A0D320CB0BC}"/>
    <dgm:cxn modelId="{5CE9AA47-BEA9-4603-8335-29D0B3FBC746}" type="presOf" srcId="{2AB4869E-6B39-48E4-8C06-ACC4D311A61F}" destId="{1AA0C283-AB46-4584-94A2-49E1E514CCEC}" srcOrd="0" destOrd="0" presId="urn:microsoft.com/office/officeart/2005/8/layout/vList2"/>
    <dgm:cxn modelId="{0EDC5F6F-8CB7-48B3-94FC-66D37A5B606E}" type="presOf" srcId="{1B6FDAEC-0553-45B4-8A9E-9435D0075144}" destId="{BF68ACB6-0988-48F6-A3F4-47275AD78320}" srcOrd="0" destOrd="0" presId="urn:microsoft.com/office/officeart/2005/8/layout/vList2"/>
    <dgm:cxn modelId="{6DD45790-1FE2-447E-A054-9C7D5D947E50}" type="presOf" srcId="{CDC837E4-D43F-4D70-9EC7-B390A286CDB4}" destId="{BFD6BDD1-E797-44C0-92A9-583E4BBC776A}" srcOrd="0" destOrd="0" presId="urn:microsoft.com/office/officeart/2005/8/layout/vList2"/>
    <dgm:cxn modelId="{FF2CD195-2182-43CE-A111-124DE87E5A53}" type="presOf" srcId="{FF4F64B6-3680-4565-9005-4C1541F1D324}" destId="{D4F51696-0DE8-4B50-A8C4-4BBF30426E52}" srcOrd="0" destOrd="0" presId="urn:microsoft.com/office/officeart/2005/8/layout/vList2"/>
    <dgm:cxn modelId="{C9CA21A4-63CC-4D74-B142-24B3F20327C6}" srcId="{CDC837E4-D43F-4D70-9EC7-B390A286CDB4}" destId="{FF4F64B6-3680-4565-9005-4C1541F1D324}" srcOrd="0" destOrd="0" parTransId="{486829FC-B40C-4432-9FF1-0FDE2485FB0F}" sibTransId="{F182B73C-A46E-4508-B0B2-3525BA0410D1}"/>
    <dgm:cxn modelId="{CD4090F3-42E2-4747-9AB3-5C1DDF19E892}" type="presOf" srcId="{2A743E03-C582-4DD5-A8A1-D7BB4B5766B0}" destId="{7EED4AFA-AE36-4E4B-8785-099563E1AD92}" srcOrd="0" destOrd="0" presId="urn:microsoft.com/office/officeart/2005/8/layout/vList2"/>
    <dgm:cxn modelId="{0B1FA47F-33EE-4298-B5B9-103B7F35768D}" type="presParOf" srcId="{BFD6BDD1-E797-44C0-92A9-583E4BBC776A}" destId="{D4F51696-0DE8-4B50-A8C4-4BBF30426E52}" srcOrd="0" destOrd="0" presId="urn:microsoft.com/office/officeart/2005/8/layout/vList2"/>
    <dgm:cxn modelId="{914D84AF-BDB9-43BE-A94A-5C6F18FE6C74}" type="presParOf" srcId="{BFD6BDD1-E797-44C0-92A9-583E4BBC776A}" destId="{7EED4AFA-AE36-4E4B-8785-099563E1AD92}" srcOrd="1" destOrd="0" presId="urn:microsoft.com/office/officeart/2005/8/layout/vList2"/>
    <dgm:cxn modelId="{4D871A1C-67F3-454C-A837-5AEE1A18B25D}" type="presParOf" srcId="{BFD6BDD1-E797-44C0-92A9-583E4BBC776A}" destId="{1AA0C283-AB46-4584-94A2-49E1E514CCEC}" srcOrd="2" destOrd="0" presId="urn:microsoft.com/office/officeart/2005/8/layout/vList2"/>
    <dgm:cxn modelId="{82CE12FD-D1C8-4B21-8E29-040C84A6CC8D}" type="presParOf" srcId="{BFD6BDD1-E797-44C0-92A9-583E4BBC776A}" destId="{BF68ACB6-0988-48F6-A3F4-47275AD78320}" srcOrd="3" destOrd="0" presId="urn:microsoft.com/office/officeart/2005/8/layout/vList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F51696-0DE8-4B50-A8C4-4BBF30426E52}">
      <dsp:nvSpPr>
        <dsp:cNvPr id="0" name=""/>
        <dsp:cNvSpPr/>
      </dsp:nvSpPr>
      <dsp:spPr>
        <a:xfrm>
          <a:off x="0" y="281520"/>
          <a:ext cx="5486400" cy="77220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5730" tIns="125730" rIns="125730" bIns="125730" numCol="1" spcCol="1270" anchor="ctr" anchorCtr="0">
          <a:noAutofit/>
        </a:bodyPr>
        <a:lstStyle/>
        <a:p>
          <a:pPr marL="0" lvl="0" indent="0" algn="l" defTabSz="1466850">
            <a:lnSpc>
              <a:spcPct val="90000"/>
            </a:lnSpc>
            <a:spcBef>
              <a:spcPct val="0"/>
            </a:spcBef>
            <a:spcAft>
              <a:spcPct val="35000"/>
            </a:spcAft>
            <a:buNone/>
          </a:pPr>
          <a:r>
            <a:rPr lang="en-GB" sz="3300" kern="1200"/>
            <a:t>Good working arrangements</a:t>
          </a:r>
        </a:p>
      </dsp:txBody>
      <dsp:txXfrm>
        <a:off x="37696" y="319216"/>
        <a:ext cx="5411008" cy="696808"/>
      </dsp:txXfrm>
    </dsp:sp>
    <dsp:sp modelId="{7EED4AFA-AE36-4E4B-8785-099563E1AD92}">
      <dsp:nvSpPr>
        <dsp:cNvPr id="0" name=""/>
        <dsp:cNvSpPr/>
      </dsp:nvSpPr>
      <dsp:spPr>
        <a:xfrm>
          <a:off x="0" y="1053720"/>
          <a:ext cx="5486400" cy="5464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41910" rIns="234696" bIns="41910" numCol="1" spcCol="1270" anchor="t" anchorCtr="0">
          <a:noAutofit/>
        </a:bodyPr>
        <a:lstStyle/>
        <a:p>
          <a:pPr marL="228600" lvl="1" indent="-228600" algn="l" defTabSz="1155700">
            <a:lnSpc>
              <a:spcPct val="90000"/>
            </a:lnSpc>
            <a:spcBef>
              <a:spcPct val="0"/>
            </a:spcBef>
            <a:spcAft>
              <a:spcPct val="20000"/>
            </a:spcAft>
            <a:buChar char="•"/>
          </a:pPr>
          <a:r>
            <a:rPr lang="en-GB" sz="2600" kern="1200"/>
            <a:t>Routine personal care</a:t>
          </a:r>
        </a:p>
      </dsp:txBody>
      <dsp:txXfrm>
        <a:off x="0" y="1053720"/>
        <a:ext cx="5486400" cy="546480"/>
      </dsp:txXfrm>
    </dsp:sp>
    <dsp:sp modelId="{1AA0C283-AB46-4584-94A2-49E1E514CCEC}">
      <dsp:nvSpPr>
        <dsp:cNvPr id="0" name=""/>
        <dsp:cNvSpPr/>
      </dsp:nvSpPr>
      <dsp:spPr>
        <a:xfrm>
          <a:off x="0" y="1600200"/>
          <a:ext cx="5486400" cy="772200"/>
        </a:xfrm>
        <a:prstGeom prst="roundRect">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5730" tIns="125730" rIns="125730" bIns="125730" numCol="1" spcCol="1270" anchor="ctr" anchorCtr="0">
          <a:noAutofit/>
        </a:bodyPr>
        <a:lstStyle/>
        <a:p>
          <a:pPr marL="0" lvl="0" indent="0" algn="l" defTabSz="1466850">
            <a:lnSpc>
              <a:spcPct val="90000"/>
            </a:lnSpc>
            <a:spcBef>
              <a:spcPct val="0"/>
            </a:spcBef>
            <a:spcAft>
              <a:spcPct val="35000"/>
            </a:spcAft>
            <a:buNone/>
          </a:pPr>
          <a:r>
            <a:rPr lang="en-GB" sz="3300" kern="1200"/>
            <a:t>Communication modes</a:t>
          </a:r>
        </a:p>
      </dsp:txBody>
      <dsp:txXfrm>
        <a:off x="37696" y="1637896"/>
        <a:ext cx="5411008" cy="696808"/>
      </dsp:txXfrm>
    </dsp:sp>
    <dsp:sp modelId="{BF68ACB6-0988-48F6-A3F4-47275AD78320}">
      <dsp:nvSpPr>
        <dsp:cNvPr id="0" name=""/>
        <dsp:cNvSpPr/>
      </dsp:nvSpPr>
      <dsp:spPr>
        <a:xfrm>
          <a:off x="0" y="2372400"/>
          <a:ext cx="5486400" cy="5464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41910" rIns="234696" bIns="41910" numCol="1" spcCol="1270" anchor="t" anchorCtr="0">
          <a:noAutofit/>
        </a:bodyPr>
        <a:lstStyle/>
        <a:p>
          <a:pPr marL="228600" lvl="1" indent="-228600" algn="l" defTabSz="1155700">
            <a:lnSpc>
              <a:spcPct val="90000"/>
            </a:lnSpc>
            <a:spcBef>
              <a:spcPct val="0"/>
            </a:spcBef>
            <a:spcAft>
              <a:spcPct val="20000"/>
            </a:spcAft>
            <a:buChar char="•"/>
          </a:pPr>
          <a:r>
            <a:rPr lang="en-GB" sz="2600" kern="1200"/>
            <a:t>Knowledge and experience</a:t>
          </a:r>
        </a:p>
      </dsp:txBody>
      <dsp:txXfrm>
        <a:off x="0" y="2372400"/>
        <a:ext cx="5486400" cy="546480"/>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3430F4-AF47-4413-A7C8-68E594437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2433</Words>
  <Characters>13874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Maryam Waseem (2433389)</cp:lastModifiedBy>
  <cp:revision>4</cp:revision>
  <dcterms:created xsi:type="dcterms:W3CDTF">2025-11-16T17:38:00Z</dcterms:created>
  <dcterms:modified xsi:type="dcterms:W3CDTF">2025-11-17T13:57:00Z</dcterms:modified>
</cp:coreProperties>
</file>