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88B51C" wp14:paraId="5E5787A5" wp14:textId="3C4B84FC">
      <w:pPr>
        <w:spacing w:line="360" w:lineRule="auto"/>
        <w:rPr>
          <w:rFonts w:ascii="Arial" w:hAnsi="Arial" w:eastAsia="Arial" w:cs="Arial"/>
          <w:sz w:val="22"/>
          <w:szCs w:val="22"/>
        </w:rPr>
      </w:pPr>
      <w:r w:rsidRPr="2088B51C" w:rsidR="77FC5F95">
        <w:rPr>
          <w:rFonts w:ascii="Arial" w:hAnsi="Arial" w:eastAsia="Arial" w:cs="Arial"/>
          <w:sz w:val="22"/>
          <w:szCs w:val="22"/>
        </w:rPr>
        <w:t>3</w:t>
      </w:r>
    </w:p>
    <w:p w:rsidR="3A5F6863" w:rsidP="2088B51C" w:rsidRDefault="3A5F6863" w14:paraId="562052DA" w14:textId="43C514F9">
      <w:pPr>
        <w:spacing w:line="360" w:lineRule="auto"/>
        <w:rPr>
          <w:rFonts w:ascii="Arial" w:hAnsi="Arial" w:eastAsia="Arial" w:cs="Arial"/>
          <w:sz w:val="22"/>
          <w:szCs w:val="22"/>
        </w:rPr>
      </w:pPr>
    </w:p>
    <w:p w:rsidR="3A5F6863" w:rsidP="2088B51C" w:rsidRDefault="3A5F6863" w14:paraId="61E4D53D" w14:textId="61677CA2">
      <w:pPr>
        <w:spacing w:line="360" w:lineRule="auto"/>
        <w:rPr>
          <w:rFonts w:ascii="Arial" w:hAnsi="Arial" w:eastAsia="Arial" w:cs="Arial"/>
          <w:sz w:val="22"/>
          <w:szCs w:val="22"/>
        </w:rPr>
      </w:pPr>
    </w:p>
    <w:p w:rsidR="3A5F6863" w:rsidP="2088B51C" w:rsidRDefault="3A5F6863" w14:paraId="1F95F0A6" w14:textId="66D3BEE4">
      <w:pPr>
        <w:spacing w:line="360" w:lineRule="auto"/>
        <w:rPr>
          <w:rFonts w:ascii="Arial" w:hAnsi="Arial" w:eastAsia="Arial" w:cs="Arial"/>
          <w:sz w:val="22"/>
          <w:szCs w:val="22"/>
        </w:rPr>
      </w:pPr>
    </w:p>
    <w:p w:rsidR="3A5F6863" w:rsidP="2088B51C" w:rsidRDefault="3A5F6863" w14:paraId="626914E9" w14:textId="15A5D941">
      <w:pPr>
        <w:spacing w:line="360" w:lineRule="auto"/>
        <w:rPr>
          <w:rFonts w:ascii="Arial" w:hAnsi="Arial" w:eastAsia="Arial" w:cs="Arial"/>
          <w:sz w:val="22"/>
          <w:szCs w:val="22"/>
        </w:rPr>
      </w:pPr>
    </w:p>
    <w:p w:rsidR="3A5F6863" w:rsidP="2088B51C" w:rsidRDefault="3A5F6863" w14:paraId="0E611356" w14:textId="53016949">
      <w:pPr>
        <w:spacing w:line="360" w:lineRule="auto"/>
        <w:rPr>
          <w:rFonts w:ascii="Arial" w:hAnsi="Arial" w:eastAsia="Arial" w:cs="Arial"/>
          <w:sz w:val="22"/>
          <w:szCs w:val="22"/>
        </w:rPr>
      </w:pPr>
    </w:p>
    <w:p w:rsidR="3A5F6863" w:rsidP="2088B51C" w:rsidRDefault="3A5F6863" w14:paraId="6E3E9BDF" w14:textId="27B4E636">
      <w:pPr>
        <w:spacing w:line="360" w:lineRule="auto"/>
        <w:rPr>
          <w:rFonts w:ascii="Arial" w:hAnsi="Arial" w:eastAsia="Arial" w:cs="Arial"/>
          <w:sz w:val="22"/>
          <w:szCs w:val="22"/>
        </w:rPr>
      </w:pPr>
    </w:p>
    <w:p w:rsidR="3A5F6863" w:rsidP="2088B51C" w:rsidRDefault="3A5F6863" w14:paraId="0B9E9DB8" w14:textId="45FF727D">
      <w:pPr>
        <w:spacing w:line="360" w:lineRule="auto"/>
        <w:rPr>
          <w:rFonts w:ascii="Arial" w:hAnsi="Arial" w:eastAsia="Arial" w:cs="Arial"/>
          <w:sz w:val="22"/>
          <w:szCs w:val="22"/>
        </w:rPr>
      </w:pPr>
    </w:p>
    <w:p w:rsidR="3A5F6863" w:rsidP="2088B51C" w:rsidRDefault="3A5F6863" w14:paraId="1E9902A6" w14:textId="4FB171DC">
      <w:pPr>
        <w:spacing w:line="360" w:lineRule="auto"/>
        <w:rPr>
          <w:rFonts w:ascii="Arial" w:hAnsi="Arial" w:eastAsia="Arial" w:cs="Arial"/>
          <w:sz w:val="22"/>
          <w:szCs w:val="22"/>
        </w:rPr>
      </w:pPr>
    </w:p>
    <w:p w:rsidR="3A5F6863" w:rsidP="2088B51C" w:rsidRDefault="3A5F6863" w14:paraId="2489FB06" w14:textId="4950D434">
      <w:pPr>
        <w:spacing w:line="360" w:lineRule="auto"/>
        <w:rPr>
          <w:rFonts w:ascii="Arial" w:hAnsi="Arial" w:eastAsia="Arial" w:cs="Arial"/>
          <w:sz w:val="22"/>
          <w:szCs w:val="22"/>
        </w:rPr>
      </w:pPr>
    </w:p>
    <w:p w:rsidR="3A5F6863" w:rsidP="2088B51C" w:rsidRDefault="3A5F6863" w14:paraId="3487C338" w14:textId="67C75F25">
      <w:pPr>
        <w:spacing w:line="360" w:lineRule="auto"/>
        <w:rPr>
          <w:rFonts w:ascii="Arial" w:hAnsi="Arial" w:eastAsia="Arial" w:cs="Arial"/>
          <w:sz w:val="22"/>
          <w:szCs w:val="22"/>
        </w:rPr>
      </w:pPr>
    </w:p>
    <w:p w:rsidR="3A5F6863" w:rsidP="2088B51C" w:rsidRDefault="3A5F6863" w14:paraId="2F81CCBB" w14:textId="3602289B">
      <w:pPr>
        <w:spacing w:line="360" w:lineRule="auto"/>
        <w:rPr>
          <w:rFonts w:ascii="Arial" w:hAnsi="Arial" w:eastAsia="Arial" w:cs="Arial"/>
          <w:sz w:val="22"/>
          <w:szCs w:val="22"/>
        </w:rPr>
      </w:pPr>
    </w:p>
    <w:p w:rsidR="7BE3B7CD" w:rsidP="2088B51C" w:rsidRDefault="7BE3B7CD" w14:paraId="5966599C" w14:textId="5607D021">
      <w:pPr>
        <w:spacing w:after="160" w:afterAutospacing="off" w:line="360" w:lineRule="auto"/>
        <w:jc w:val="center"/>
        <w:rPr>
          <w:rFonts w:ascii="Arial" w:hAnsi="Arial" w:eastAsia="Arial" w:cs="Arial"/>
          <w:noProof w:val="0"/>
          <w:sz w:val="22"/>
          <w:szCs w:val="22"/>
          <w:lang w:val="nl"/>
        </w:rPr>
      </w:pPr>
      <w:r w:rsidRPr="2088B51C" w:rsidR="7BE3B7CD">
        <w:rPr>
          <w:rFonts w:ascii="Arial" w:hAnsi="Arial" w:eastAsia="Arial" w:cs="Arial"/>
          <w:b w:val="1"/>
          <w:bCs w:val="1"/>
          <w:noProof w:val="0"/>
          <w:sz w:val="22"/>
          <w:szCs w:val="22"/>
          <w:lang w:val="nl"/>
        </w:rPr>
        <w:t>Student Name: Saba Ansar</w:t>
      </w:r>
      <w:r w:rsidRPr="2088B51C" w:rsidR="7BE3B7CD">
        <w:rPr>
          <w:rFonts w:ascii="Arial" w:hAnsi="Arial" w:eastAsia="Arial" w:cs="Arial"/>
          <w:noProof w:val="0"/>
          <w:sz w:val="22"/>
          <w:szCs w:val="22"/>
          <w:lang w:val="nl"/>
        </w:rPr>
        <w:t xml:space="preserve"> </w:t>
      </w:r>
    </w:p>
    <w:p w:rsidR="7BE3B7CD" w:rsidP="2088B51C" w:rsidRDefault="7BE3B7CD" w14:paraId="3367C134" w14:textId="284DB15E">
      <w:pPr>
        <w:spacing w:after="160" w:afterAutospacing="off" w:line="360" w:lineRule="auto"/>
        <w:jc w:val="center"/>
        <w:rPr>
          <w:rFonts w:ascii="Arial" w:hAnsi="Arial" w:eastAsia="Arial" w:cs="Arial"/>
          <w:noProof w:val="0"/>
          <w:sz w:val="22"/>
          <w:szCs w:val="22"/>
          <w:lang w:val="nl"/>
        </w:rPr>
      </w:pPr>
      <w:r w:rsidRPr="2088B51C" w:rsidR="7BE3B7CD">
        <w:rPr>
          <w:rFonts w:ascii="Arial" w:hAnsi="Arial" w:eastAsia="Arial" w:cs="Arial"/>
          <w:b w:val="1"/>
          <w:bCs w:val="1"/>
          <w:noProof w:val="0"/>
          <w:sz w:val="22"/>
          <w:szCs w:val="22"/>
          <w:lang w:val="nl"/>
        </w:rPr>
        <w:t>Student ID: 2426467</w:t>
      </w:r>
      <w:r w:rsidRPr="2088B51C" w:rsidR="7BE3B7CD">
        <w:rPr>
          <w:rFonts w:ascii="Arial" w:hAnsi="Arial" w:eastAsia="Arial" w:cs="Arial"/>
          <w:noProof w:val="0"/>
          <w:sz w:val="22"/>
          <w:szCs w:val="22"/>
          <w:lang w:val="nl"/>
        </w:rPr>
        <w:t xml:space="preserve"> </w:t>
      </w:r>
    </w:p>
    <w:p w:rsidR="7BE3B7CD" w:rsidP="2088B51C" w:rsidRDefault="7BE3B7CD" w14:paraId="61B6D757" w14:textId="72353063">
      <w:pPr>
        <w:pStyle w:val="Normal"/>
        <w:spacing w:after="160" w:afterAutospacing="off" w:line="360" w:lineRule="auto"/>
        <w:jc w:val="center"/>
        <w:rPr>
          <w:rFonts w:ascii="Arial" w:hAnsi="Arial" w:eastAsia="Arial" w:cs="Arial"/>
          <w:noProof w:val="0"/>
          <w:sz w:val="22"/>
          <w:szCs w:val="22"/>
          <w:lang w:val="nl"/>
        </w:rPr>
      </w:pPr>
      <w:r w:rsidRPr="2088B51C" w:rsidR="7BE3B7CD">
        <w:rPr>
          <w:rFonts w:ascii="Arial" w:hAnsi="Arial" w:eastAsia="Arial" w:cs="Arial"/>
          <w:b w:val="1"/>
          <w:bCs w:val="1"/>
          <w:noProof w:val="0"/>
          <w:sz w:val="22"/>
          <w:szCs w:val="22"/>
          <w:lang w:val="nl"/>
        </w:rPr>
        <w:t>Module: Changemakers: Creativity and Value Creation</w:t>
      </w:r>
    </w:p>
    <w:p w:rsidR="7BE3B7CD" w:rsidP="2088B51C" w:rsidRDefault="7BE3B7CD" w14:paraId="382633B4" w14:textId="6D6E9582">
      <w:pPr>
        <w:spacing w:after="160" w:afterAutospacing="off" w:line="360" w:lineRule="auto"/>
        <w:jc w:val="center"/>
        <w:rPr>
          <w:rFonts w:ascii="Arial" w:hAnsi="Arial" w:eastAsia="Arial" w:cs="Arial"/>
          <w:b w:val="1"/>
          <w:bCs w:val="1"/>
          <w:noProof w:val="0"/>
          <w:sz w:val="22"/>
          <w:szCs w:val="22"/>
          <w:lang w:val="nl"/>
        </w:rPr>
      </w:pPr>
      <w:r w:rsidRPr="2088B51C" w:rsidR="7BE3B7CD">
        <w:rPr>
          <w:rFonts w:ascii="Arial" w:hAnsi="Arial" w:eastAsia="Arial" w:cs="Arial"/>
          <w:b w:val="1"/>
          <w:bCs w:val="1"/>
          <w:noProof w:val="0"/>
          <w:sz w:val="22"/>
          <w:szCs w:val="22"/>
          <w:lang w:val="nl"/>
        </w:rPr>
        <w:t>Module Code: BMHP5014_BIRM</w:t>
      </w:r>
    </w:p>
    <w:p w:rsidR="7BE3B7CD" w:rsidP="2088B51C" w:rsidRDefault="7BE3B7CD" w14:paraId="384E3406" w14:textId="5817FA2C">
      <w:pPr>
        <w:spacing w:after="160" w:afterAutospacing="off" w:line="360" w:lineRule="auto"/>
        <w:jc w:val="center"/>
        <w:rPr>
          <w:rFonts w:ascii="Arial" w:hAnsi="Arial" w:eastAsia="Arial" w:cs="Arial"/>
          <w:b w:val="1"/>
          <w:bCs w:val="1"/>
          <w:noProof w:val="0"/>
          <w:sz w:val="22"/>
          <w:szCs w:val="22"/>
          <w:lang w:val="en-US"/>
        </w:rPr>
      </w:pPr>
      <w:r w:rsidRPr="2088B51C" w:rsidR="7BE3B7CD">
        <w:rPr>
          <w:rFonts w:ascii="Arial" w:hAnsi="Arial" w:eastAsia="Arial" w:cs="Arial"/>
          <w:b w:val="1"/>
          <w:bCs w:val="1"/>
          <w:noProof w:val="0"/>
          <w:sz w:val="22"/>
          <w:szCs w:val="22"/>
          <w:lang w:val="en-US"/>
        </w:rPr>
        <w:t xml:space="preserve">Assignment Title: </w:t>
      </w:r>
      <w:r w:rsidRPr="2088B51C" w:rsidR="7BE3B7CD">
        <w:rPr>
          <w:rFonts w:ascii="Arial" w:hAnsi="Arial" w:eastAsia="Arial" w:cs="Arial"/>
          <w:b w:val="1"/>
          <w:bCs w:val="1"/>
          <w:noProof w:val="0"/>
          <w:sz w:val="22"/>
          <w:szCs w:val="22"/>
          <w:lang w:val="en-US"/>
        </w:rPr>
        <w:t>Component</w:t>
      </w:r>
      <w:r w:rsidRPr="2088B51C" w:rsidR="7BE3B7CD">
        <w:rPr>
          <w:rFonts w:ascii="Arial" w:hAnsi="Arial" w:eastAsia="Arial" w:cs="Arial"/>
          <w:b w:val="1"/>
          <w:bCs w:val="1"/>
          <w:noProof w:val="0"/>
          <w:sz w:val="22"/>
          <w:szCs w:val="22"/>
          <w:lang w:val="en-US"/>
        </w:rPr>
        <w:t xml:space="preserve"> 2 </w:t>
      </w:r>
      <w:r w:rsidRPr="2088B51C" w:rsidR="3AF24D51">
        <w:rPr>
          <w:rFonts w:ascii="Arial" w:hAnsi="Arial" w:eastAsia="Arial" w:cs="Arial"/>
          <w:b w:val="1"/>
          <w:bCs w:val="1"/>
          <w:noProof w:val="0"/>
          <w:sz w:val="22"/>
          <w:szCs w:val="22"/>
          <w:lang w:val="en-US"/>
        </w:rPr>
        <w:t>Written</w:t>
      </w:r>
      <w:r w:rsidRPr="2088B51C" w:rsidR="5FA2423F">
        <w:rPr>
          <w:rFonts w:ascii="Arial" w:hAnsi="Arial" w:eastAsia="Arial" w:cs="Arial"/>
          <w:b w:val="1"/>
          <w:bCs w:val="1"/>
          <w:noProof w:val="0"/>
          <w:sz w:val="22"/>
          <w:szCs w:val="22"/>
          <w:lang w:val="en-US"/>
        </w:rPr>
        <w:t xml:space="preserve"> assignment (</w:t>
      </w:r>
      <w:r w:rsidRPr="2088B51C" w:rsidR="7BE3B7CD">
        <w:rPr>
          <w:rFonts w:ascii="Arial" w:hAnsi="Arial" w:eastAsia="Arial" w:cs="Arial"/>
          <w:b w:val="1"/>
          <w:bCs w:val="1"/>
          <w:noProof w:val="0"/>
          <w:sz w:val="22"/>
          <w:szCs w:val="22"/>
          <w:lang w:val="en-US"/>
        </w:rPr>
        <w:t xml:space="preserve">Poster </w:t>
      </w:r>
      <w:r w:rsidRPr="2088B51C" w:rsidR="17964BC5">
        <w:rPr>
          <w:rFonts w:ascii="Arial" w:hAnsi="Arial" w:eastAsia="Arial" w:cs="Arial"/>
          <w:b w:val="1"/>
          <w:bCs w:val="1"/>
          <w:noProof w:val="0"/>
          <w:sz w:val="22"/>
          <w:szCs w:val="22"/>
          <w:lang w:val="en-US"/>
        </w:rPr>
        <w:t>a</w:t>
      </w:r>
      <w:r w:rsidRPr="2088B51C" w:rsidR="7BE3B7CD">
        <w:rPr>
          <w:rFonts w:ascii="Arial" w:hAnsi="Arial" w:eastAsia="Arial" w:cs="Arial"/>
          <w:b w:val="1"/>
          <w:bCs w:val="1"/>
          <w:noProof w:val="0"/>
          <w:sz w:val="22"/>
          <w:szCs w:val="22"/>
          <w:lang w:val="en-US"/>
        </w:rPr>
        <w:t>nd pit</w:t>
      </w:r>
      <w:r w:rsidRPr="2088B51C" w:rsidR="745F79E6">
        <w:rPr>
          <w:rFonts w:ascii="Arial" w:hAnsi="Arial" w:eastAsia="Arial" w:cs="Arial"/>
          <w:b w:val="1"/>
          <w:bCs w:val="1"/>
          <w:noProof w:val="0"/>
          <w:sz w:val="22"/>
          <w:szCs w:val="22"/>
          <w:lang w:val="en-US"/>
        </w:rPr>
        <w:t>ch</w:t>
      </w:r>
      <w:r w:rsidRPr="2088B51C" w:rsidR="0BC6C46C">
        <w:rPr>
          <w:rFonts w:ascii="Arial" w:hAnsi="Arial" w:eastAsia="Arial" w:cs="Arial"/>
          <w:b w:val="1"/>
          <w:bCs w:val="1"/>
          <w:noProof w:val="0"/>
          <w:sz w:val="22"/>
          <w:szCs w:val="22"/>
          <w:lang w:val="en-US"/>
        </w:rPr>
        <w:t>)</w:t>
      </w:r>
    </w:p>
    <w:p w:rsidR="7BE3B7CD" w:rsidP="2088B51C" w:rsidRDefault="7BE3B7CD" w14:paraId="2873D5F4" w14:textId="6A5DFF6F">
      <w:pPr>
        <w:pStyle w:val="Normal"/>
        <w:spacing w:after="160" w:afterAutospacing="off" w:line="360" w:lineRule="auto"/>
        <w:jc w:val="center"/>
        <w:rPr>
          <w:rFonts w:ascii="Arial" w:hAnsi="Arial" w:eastAsia="Arial" w:cs="Arial"/>
          <w:noProof w:val="0"/>
          <w:sz w:val="22"/>
          <w:szCs w:val="22"/>
          <w:lang w:val="en-GB"/>
        </w:rPr>
      </w:pPr>
      <w:r w:rsidRPr="2088B51C" w:rsidR="7BE3B7CD">
        <w:rPr>
          <w:rFonts w:ascii="Arial" w:hAnsi="Arial" w:eastAsia="Arial" w:cs="Arial"/>
          <w:b w:val="1"/>
          <w:bCs w:val="1"/>
          <w:noProof w:val="0"/>
          <w:sz w:val="22"/>
          <w:szCs w:val="22"/>
          <w:lang w:val="nl"/>
        </w:rPr>
        <w:t xml:space="preserve"> </w:t>
      </w:r>
      <w:r w:rsidRPr="2088B51C" w:rsidR="7BE3B7CD">
        <w:rPr>
          <w:rFonts w:ascii="Arial" w:hAnsi="Arial" w:eastAsia="Arial" w:cs="Arial"/>
          <w:b w:val="1"/>
          <w:bCs w:val="1"/>
          <w:noProof w:val="0"/>
          <w:sz w:val="22"/>
          <w:szCs w:val="22"/>
          <w:lang w:val="en-GB"/>
        </w:rPr>
        <w:t>Lecturer Name:</w:t>
      </w:r>
      <w:r w:rsidRPr="2088B51C" w:rsidR="133CADAF">
        <w:rPr>
          <w:rFonts w:ascii="Arial" w:hAnsi="Arial" w:eastAsia="Arial" w:cs="Arial"/>
          <w:b w:val="0"/>
          <w:bCs w:val="0"/>
          <w:i w:val="0"/>
          <w:iCs w:val="0"/>
          <w:caps w:val="0"/>
          <w:smallCaps w:val="0"/>
          <w:noProof w:val="0"/>
          <w:color w:val="1D2125"/>
          <w:sz w:val="22"/>
          <w:szCs w:val="22"/>
          <w:lang w:val="en-GB"/>
        </w:rPr>
        <w:t xml:space="preserve"> </w:t>
      </w:r>
      <w:r w:rsidRPr="2088B51C" w:rsidR="133CADAF">
        <w:rPr>
          <w:rFonts w:ascii="Segoe UI" w:hAnsi="Segoe UI" w:eastAsia="Segoe UI" w:cs="Segoe UI"/>
          <w:b w:val="0"/>
          <w:bCs w:val="0"/>
          <w:i w:val="0"/>
          <w:iCs w:val="0"/>
          <w:caps w:val="0"/>
          <w:smallCaps w:val="0"/>
          <w:noProof w:val="0"/>
          <w:color w:val="1D2125"/>
          <w:sz w:val="22"/>
          <w:szCs w:val="22"/>
          <w:lang w:val="en-GB"/>
        </w:rPr>
        <w:t>Zarah Ahmed</w:t>
      </w:r>
    </w:p>
    <w:p w:rsidR="3A5F6863" w:rsidP="3A5F6863" w:rsidRDefault="3A5F6863" w14:paraId="461B1694" w14:textId="755FCCAB">
      <w:pPr>
        <w:spacing w:after="160" w:afterAutospacing="off" w:line="278" w:lineRule="auto"/>
        <w:jc w:val="center"/>
        <w:rPr>
          <w:rFonts w:ascii="Arial Nova" w:hAnsi="Arial Nova" w:eastAsia="Arial Nova" w:cs="Arial Nova"/>
          <w:noProof w:val="0"/>
          <w:sz w:val="96"/>
          <w:szCs w:val="96"/>
          <w:lang w:val="en-GB"/>
        </w:rPr>
      </w:pPr>
    </w:p>
    <w:p w:rsidR="3A5F6863" w:rsidRDefault="3A5F6863" w14:paraId="02DA0D51" w14:textId="4C5DDC5A"/>
    <w:p w:rsidR="3A5F6863" w:rsidRDefault="3A5F6863" w14:paraId="138D03AB" w14:textId="0880C2EA"/>
    <w:p w:rsidR="3A5F6863" w:rsidRDefault="3A5F6863" w14:paraId="2FB4342D" w14:textId="75EDD95E"/>
    <w:p w:rsidR="3A5F6863" w:rsidRDefault="3A5F6863" w14:paraId="1120E165" w14:textId="2C373086"/>
    <w:p w:rsidR="3A5F6863" w:rsidRDefault="3A5F6863" w14:paraId="3AA9ED59" w14:textId="13B5F742"/>
    <w:p w:rsidR="3A5F6863" w:rsidRDefault="3A5F6863" w14:paraId="3D3EAC29" w14:textId="62FCEFFE"/>
    <w:p w:rsidR="3A5F6863" w:rsidP="3A5F6863" w:rsidRDefault="3A5F6863" w14:paraId="47B559D4" w14:textId="744C961B">
      <w:pPr>
        <w:pStyle w:val="Normal"/>
      </w:pPr>
    </w:p>
    <w:p w:rsidR="3840AC53" w:rsidP="3A5F6863" w:rsidRDefault="3840AC53" w14:paraId="4F894145" w14:textId="23EDD813">
      <w:pPr>
        <w:pStyle w:val="Normal"/>
      </w:pPr>
      <w:r w:rsidR="3840AC53">
        <w:drawing>
          <wp:inline wp14:editId="35A6A5A1" wp14:anchorId="3739ECA6">
            <wp:extent cx="6121332" cy="9174365"/>
            <wp:effectExtent l="0" t="0" r="0" b="0"/>
            <wp:docPr id="3148412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4841244" name="Picture 314841244"/>
                    <pic:cNvPicPr/>
                  </pic:nvPicPr>
                  <pic:blipFill>
                    <a:blip xmlns:r="http://schemas.openxmlformats.org/officeDocument/2006/relationships" r:embed="rId353533385">
                      <a:extLst>
                        <a:ext uri="{28A0092B-C50C-407E-A947-70E740481C1C}">
                          <a14:useLocalDpi xmlns:a14="http://schemas.microsoft.com/office/drawing/2010/main"/>
                        </a:ext>
                      </a:extLst>
                    </a:blip>
                    <a:stretch>
                      <a:fillRect/>
                    </a:stretch>
                  </pic:blipFill>
                  <pic:spPr>
                    <a:xfrm rot="0">
                      <a:off x="0" y="0"/>
                      <a:ext cx="6121332" cy="9174365"/>
                    </a:xfrm>
                    <a:prstGeom prst="rect">
                      <a:avLst/>
                    </a:prstGeom>
                  </pic:spPr>
                </pic:pic>
              </a:graphicData>
            </a:graphic>
          </wp:inline>
        </w:drawing>
      </w:r>
    </w:p>
    <w:p w:rsidR="6CEBFA64" w:rsidP="2088B51C" w:rsidRDefault="6CEBFA64" w14:paraId="5C1F62A0" w14:textId="4532D896">
      <w:pPr>
        <w:pStyle w:val="Normal"/>
        <w:spacing w:line="360" w:lineRule="auto"/>
        <w:rPr>
          <w:rFonts w:ascii="Arial" w:hAnsi="Arial" w:eastAsia="Arial" w:cs="Arial"/>
          <w:b w:val="1"/>
          <w:bCs w:val="1"/>
          <w:noProof w:val="0"/>
          <w:color w:val="000000" w:themeColor="text1" w:themeTint="FF" w:themeShade="FF"/>
          <w:sz w:val="22"/>
          <w:szCs w:val="22"/>
          <w:lang w:val="en-GB"/>
        </w:rPr>
      </w:pPr>
      <w:r w:rsidRPr="2088B51C" w:rsidR="6CEBFA64">
        <w:rPr>
          <w:rFonts w:ascii="Arial" w:hAnsi="Arial" w:eastAsia="Arial" w:cs="Arial"/>
          <w:b w:val="1"/>
          <w:bCs w:val="1"/>
          <w:noProof w:val="0"/>
          <w:color w:val="000000" w:themeColor="text1" w:themeTint="FF" w:themeShade="FF"/>
          <w:sz w:val="22"/>
          <w:szCs w:val="22"/>
          <w:lang w:val="en-GB"/>
        </w:rPr>
        <w:t>Autism Friendly NHS: Improving Healthcare Accessibility for Autistic Individuals</w:t>
      </w:r>
    </w:p>
    <w:p w:rsidR="6CEBFA64" w:rsidP="2088B51C" w:rsidRDefault="6CEBFA64" w14:paraId="1DAB0F24" w14:textId="52C26D2C">
      <w:pPr>
        <w:pStyle w:val="Heading2"/>
        <w:spacing w:line="360" w:lineRule="auto"/>
        <w:rPr>
          <w:rFonts w:ascii="Arial" w:hAnsi="Arial" w:eastAsia="Arial" w:cs="Arial"/>
          <w:b w:val="1"/>
          <w:bCs w:val="1"/>
          <w:noProof w:val="0"/>
          <w:color w:val="000000" w:themeColor="text1" w:themeTint="FF" w:themeShade="FF"/>
          <w:sz w:val="22"/>
          <w:szCs w:val="22"/>
          <w:lang w:val="en-GB"/>
        </w:rPr>
      </w:pPr>
      <w:r w:rsidRPr="2088B51C" w:rsidR="6CEBFA64">
        <w:rPr>
          <w:rFonts w:ascii="Arial" w:hAnsi="Arial" w:eastAsia="Arial" w:cs="Arial"/>
          <w:b w:val="1"/>
          <w:bCs w:val="1"/>
          <w:noProof w:val="0"/>
          <w:color w:val="000000" w:themeColor="text1" w:themeTint="FF" w:themeShade="FF"/>
          <w:sz w:val="22"/>
          <w:szCs w:val="22"/>
          <w:lang w:val="en-GB"/>
        </w:rPr>
        <w:t>Introduction</w:t>
      </w:r>
    </w:p>
    <w:p w:rsidR="6CEBFA64" w:rsidP="2088B51C" w:rsidRDefault="6CEBFA64" w14:paraId="60F15E3F" w14:textId="20D91ACB">
      <w:pPr>
        <w:pStyle w:val="Normal"/>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 xml:space="preserve">Autism Friendly NHS is an innovative healthcare initiative designed to improve healthcare experiences for autistic individuals within the United Kingdom. Autism spectrum condition affects communication, sensory processing, social </w:t>
      </w:r>
      <w:r w:rsidRPr="2088B51C" w:rsidR="6CEBFA64">
        <w:rPr>
          <w:rFonts w:ascii="Arial" w:hAnsi="Arial" w:eastAsia="Arial" w:cs="Arial"/>
          <w:noProof w:val="0"/>
          <w:color w:val="000000" w:themeColor="text1" w:themeTint="FF" w:themeShade="FF"/>
          <w:sz w:val="22"/>
          <w:szCs w:val="22"/>
          <w:lang w:val="en-GB"/>
        </w:rPr>
        <w:t>interaction</w:t>
      </w:r>
      <w:r w:rsidRPr="2088B51C" w:rsidR="6CEBFA64">
        <w:rPr>
          <w:rFonts w:ascii="Arial" w:hAnsi="Arial" w:eastAsia="Arial" w:cs="Arial"/>
          <w:noProof w:val="0"/>
          <w:color w:val="000000" w:themeColor="text1" w:themeTint="FF" w:themeShade="FF"/>
          <w:sz w:val="22"/>
          <w:szCs w:val="22"/>
          <w:lang w:val="en-GB"/>
        </w:rPr>
        <w:t xml:space="preserve"> and behaviour, which can create significant barriers when accessing healthcare services</w:t>
      </w:r>
      <w:r w:rsidRPr="2088B51C" w:rsidR="463D3D3B">
        <w:rPr>
          <w:rFonts w:ascii="Arial" w:hAnsi="Arial" w:eastAsia="Arial" w:cs="Arial"/>
          <w:noProof w:val="0"/>
          <w:sz w:val="22"/>
          <w:szCs w:val="22"/>
          <w:lang w:val="en-GB"/>
        </w:rPr>
        <w:t xml:space="preserve"> </w:t>
      </w:r>
      <w:r w:rsidRPr="2088B51C" w:rsidR="463D3D3B">
        <w:rPr>
          <w:rFonts w:ascii="Arial" w:hAnsi="Arial" w:eastAsia="Arial" w:cs="Arial"/>
          <w:noProof w:val="0"/>
          <w:color w:val="000000" w:themeColor="text1" w:themeTint="FF" w:themeShade="FF"/>
          <w:sz w:val="22"/>
          <w:szCs w:val="22"/>
          <w:lang w:val="en-GB"/>
        </w:rPr>
        <w:t>(Hamdan and Bennett, 2024)</w:t>
      </w:r>
      <w:r w:rsidRPr="2088B51C" w:rsidR="6CEBFA64">
        <w:rPr>
          <w:rFonts w:ascii="Arial" w:hAnsi="Arial" w:eastAsia="Arial" w:cs="Arial"/>
          <w:noProof w:val="0"/>
          <w:color w:val="000000" w:themeColor="text1" w:themeTint="FF" w:themeShade="FF"/>
          <w:sz w:val="22"/>
          <w:szCs w:val="22"/>
          <w:lang w:val="en-GB"/>
        </w:rPr>
        <w:t>. Many autistic individuals experience anxiety, sensory overload and difficulties communicating with healthcare professionals, which may result in delayed treatment, missed appointments and poorer health outcomes</w:t>
      </w:r>
      <w:r w:rsidRPr="2088B51C" w:rsidR="0A15BD4A">
        <w:rPr>
          <w:rFonts w:ascii="Arial" w:hAnsi="Arial" w:eastAsia="Arial" w:cs="Arial"/>
          <w:noProof w:val="0"/>
          <w:sz w:val="22"/>
          <w:szCs w:val="22"/>
          <w:lang w:val="en-GB"/>
        </w:rPr>
        <w:t xml:space="preserve"> </w:t>
      </w:r>
      <w:r w:rsidRPr="2088B51C" w:rsidR="0A15BD4A">
        <w:rPr>
          <w:rFonts w:ascii="Arial" w:hAnsi="Arial" w:eastAsia="Arial" w:cs="Arial"/>
          <w:noProof w:val="0"/>
          <w:sz w:val="22"/>
          <w:szCs w:val="22"/>
          <w:lang w:val="en-GB"/>
        </w:rPr>
        <w:t xml:space="preserve">(Strömberg </w:t>
      </w:r>
      <w:r w:rsidRPr="2088B51C" w:rsidR="0A15BD4A">
        <w:rPr>
          <w:rFonts w:ascii="Arial" w:hAnsi="Arial" w:eastAsia="Arial" w:cs="Arial"/>
          <w:i w:val="1"/>
          <w:iCs w:val="1"/>
          <w:noProof w:val="0"/>
          <w:sz w:val="22"/>
          <w:szCs w:val="22"/>
          <w:lang w:val="en-GB"/>
        </w:rPr>
        <w:t>et al</w:t>
      </w:r>
      <w:r w:rsidRPr="2088B51C" w:rsidR="0A15BD4A">
        <w:rPr>
          <w:rFonts w:ascii="Arial" w:hAnsi="Arial" w:eastAsia="Arial" w:cs="Arial"/>
          <w:noProof w:val="0"/>
          <w:sz w:val="22"/>
          <w:szCs w:val="22"/>
          <w:lang w:val="en-GB"/>
        </w:rPr>
        <w:t>., 2021)</w:t>
      </w:r>
      <w:r w:rsidRPr="2088B51C" w:rsidR="6CEBFA64">
        <w:rPr>
          <w:rFonts w:ascii="Arial" w:hAnsi="Arial" w:eastAsia="Arial" w:cs="Arial"/>
          <w:noProof w:val="0"/>
          <w:color w:val="000000" w:themeColor="text1" w:themeTint="FF" w:themeShade="FF"/>
          <w:sz w:val="22"/>
          <w:szCs w:val="22"/>
          <w:lang w:val="en-GB"/>
        </w:rPr>
        <w:t>.</w:t>
      </w:r>
    </w:p>
    <w:p w:rsidR="6CEBFA64" w:rsidP="2088B51C" w:rsidRDefault="6CEBFA64" w14:paraId="0557CF17" w14:textId="167661C2">
      <w:pPr>
        <w:pStyle w:val="Normal"/>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 xml:space="preserve">The purpose of this innovation is to create more inclusive, </w:t>
      </w:r>
      <w:r w:rsidRPr="2088B51C" w:rsidR="6CEBFA64">
        <w:rPr>
          <w:rFonts w:ascii="Arial" w:hAnsi="Arial" w:eastAsia="Arial" w:cs="Arial"/>
          <w:noProof w:val="0"/>
          <w:color w:val="000000" w:themeColor="text1" w:themeTint="FF" w:themeShade="FF"/>
          <w:sz w:val="22"/>
          <w:szCs w:val="22"/>
          <w:lang w:val="en-GB"/>
        </w:rPr>
        <w:t>accessible</w:t>
      </w:r>
      <w:r w:rsidRPr="2088B51C" w:rsidR="6CEBFA64">
        <w:rPr>
          <w:rFonts w:ascii="Arial" w:hAnsi="Arial" w:eastAsia="Arial" w:cs="Arial"/>
          <w:noProof w:val="0"/>
          <w:color w:val="000000" w:themeColor="text1" w:themeTint="FF" w:themeShade="FF"/>
          <w:sz w:val="22"/>
          <w:szCs w:val="22"/>
          <w:lang w:val="en-GB"/>
        </w:rPr>
        <w:t xml:space="preserve"> and person-centred healthcare environments through environmental adaptations, staff </w:t>
      </w:r>
      <w:r w:rsidRPr="2088B51C" w:rsidR="6CEBFA64">
        <w:rPr>
          <w:rFonts w:ascii="Arial" w:hAnsi="Arial" w:eastAsia="Arial" w:cs="Arial"/>
          <w:noProof w:val="0"/>
          <w:color w:val="000000" w:themeColor="text1" w:themeTint="FF" w:themeShade="FF"/>
          <w:sz w:val="22"/>
          <w:szCs w:val="22"/>
          <w:lang w:val="en-GB"/>
        </w:rPr>
        <w:t>training</w:t>
      </w:r>
      <w:r w:rsidRPr="2088B51C" w:rsidR="6CEBFA64">
        <w:rPr>
          <w:rFonts w:ascii="Arial" w:hAnsi="Arial" w:eastAsia="Arial" w:cs="Arial"/>
          <w:noProof w:val="0"/>
          <w:color w:val="000000" w:themeColor="text1" w:themeTint="FF" w:themeShade="FF"/>
          <w:sz w:val="22"/>
          <w:szCs w:val="22"/>
          <w:lang w:val="en-GB"/>
        </w:rPr>
        <w:t xml:space="preserve"> and the use of technology. The initiative supports the NHS commitment to reducing health inequalities and improving patient experiences</w:t>
      </w:r>
      <w:r w:rsidRPr="2088B51C" w:rsidR="51DA3CBE">
        <w:rPr>
          <w:rFonts w:ascii="Arial" w:hAnsi="Arial" w:eastAsia="Arial" w:cs="Arial"/>
          <w:noProof w:val="0"/>
          <w:sz w:val="22"/>
          <w:szCs w:val="22"/>
          <w:lang w:val="en-GB"/>
        </w:rPr>
        <w:t xml:space="preserve"> </w:t>
      </w:r>
      <w:r w:rsidRPr="2088B51C" w:rsidR="51DA3CBE">
        <w:rPr>
          <w:rFonts w:ascii="Arial" w:hAnsi="Arial" w:eastAsia="Arial" w:cs="Arial"/>
          <w:noProof w:val="0"/>
          <w:sz w:val="22"/>
          <w:szCs w:val="22"/>
          <w:lang w:val="en-GB"/>
        </w:rPr>
        <w:t>(NHS England, 2019)</w:t>
      </w:r>
      <w:r w:rsidRPr="2088B51C" w:rsidR="6CEBFA64">
        <w:rPr>
          <w:rFonts w:ascii="Arial" w:hAnsi="Arial" w:eastAsia="Arial" w:cs="Arial"/>
          <w:noProof w:val="0"/>
          <w:color w:val="000000" w:themeColor="text1" w:themeTint="FF" w:themeShade="FF"/>
          <w:sz w:val="22"/>
          <w:szCs w:val="22"/>
          <w:lang w:val="en-GB"/>
        </w:rPr>
        <w:t>.</w:t>
      </w:r>
    </w:p>
    <w:p w:rsidR="6CEBFA64" w:rsidP="2088B51C" w:rsidRDefault="6CEBFA64" w14:paraId="45C021C1" w14:textId="20739AFB">
      <w:pPr>
        <w:pStyle w:val="Heading2"/>
        <w:spacing w:line="360" w:lineRule="auto"/>
        <w:rPr>
          <w:rFonts w:ascii="Arial" w:hAnsi="Arial" w:eastAsia="Arial" w:cs="Arial"/>
          <w:noProof w:val="0"/>
          <w:color w:val="auto"/>
          <w:sz w:val="22"/>
          <w:szCs w:val="22"/>
          <w:lang w:val="en-GB"/>
        </w:rPr>
      </w:pPr>
      <w:r w:rsidRPr="2088B51C" w:rsidR="6CEBFA64">
        <w:rPr>
          <w:rFonts w:ascii="Arial" w:hAnsi="Arial" w:eastAsia="Arial" w:cs="Arial"/>
          <w:b w:val="1"/>
          <w:bCs w:val="1"/>
          <w:noProof w:val="0"/>
          <w:color w:val="auto"/>
          <w:sz w:val="22"/>
          <w:szCs w:val="22"/>
          <w:lang w:val="en-GB"/>
        </w:rPr>
        <w:t>The Need for Innovation</w:t>
      </w:r>
    </w:p>
    <w:p w:rsidR="6CEBFA64" w:rsidP="2088B51C" w:rsidRDefault="6CEBFA64" w14:paraId="28F493F5" w14:textId="14584EE3">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Innovation within health and social care is essential because traditional healthcare systems do not always meet the needs of diverse populations. The NHS Long Term Plan (NHS England, 2019) emphasises personalised care, equality and improved accessibility for vulnerable groups.</w:t>
      </w:r>
    </w:p>
    <w:p w:rsidR="6CEBFA64" w:rsidP="2088B51C" w:rsidRDefault="6CEBFA64" w14:paraId="4BCFAFDB" w14:textId="73466310">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Research suggests that autistic individuals often experience lower satisfaction with healthcare services and face numerous barriers to accessing care. These barriers include communication difficulties, long waiting times, unfamiliar environments and limited autism awareness among healthcare professionals (National Autistic Society, 2023). Consequently, autistic individuals may avoid healthcare settings or experience increased stress during appointments.</w:t>
      </w:r>
    </w:p>
    <w:p w:rsidR="6CEBFA64" w:rsidP="2088B51C" w:rsidRDefault="6CEBFA64" w14:paraId="5982BB6A" w14:textId="6DB0DB5D">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Creativity in healthcare involves developing new approaches to improve patient experiences and service delivery. According to the Care Quality Commission (2021), person-centred care is essential for ensuring equality, dignity and accessibility. Therefore, innovative approaches are needed to reduce healthcare inequalities experienced by autistic individuals.</w:t>
      </w:r>
    </w:p>
    <w:p w:rsidR="6CEBFA64" w:rsidP="2088B51C" w:rsidRDefault="6CEBFA64" w14:paraId="2D452232" w14:textId="19445323">
      <w:pPr>
        <w:pStyle w:val="Heading2"/>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b w:val="1"/>
          <w:bCs w:val="1"/>
          <w:noProof w:val="0"/>
          <w:color w:val="000000" w:themeColor="text1" w:themeTint="FF" w:themeShade="FF"/>
          <w:sz w:val="22"/>
          <w:szCs w:val="22"/>
          <w:lang w:val="en-GB"/>
        </w:rPr>
        <w:t>Creativity and Value Creation</w:t>
      </w:r>
    </w:p>
    <w:p w:rsidR="6CEBFA64" w:rsidP="2088B51C" w:rsidRDefault="6CEBFA64" w14:paraId="6A8C28F7" w14:textId="4D29507B">
      <w:pPr>
        <w:pStyle w:val="Normal"/>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 xml:space="preserve">The development of Autism Friendly NHS was influenced by both divergent and convergent thinking. Divergent thinking involves generating multiple ideas and exploring creative solutions, </w:t>
      </w:r>
      <w:r w:rsidRPr="2088B51C" w:rsidR="6CEBFA64">
        <w:rPr>
          <w:rFonts w:ascii="Arial" w:hAnsi="Arial" w:eastAsia="Arial" w:cs="Arial"/>
          <w:noProof w:val="0"/>
          <w:color w:val="000000" w:themeColor="text1" w:themeTint="FF" w:themeShade="FF"/>
          <w:sz w:val="22"/>
          <w:szCs w:val="22"/>
          <w:lang w:val="en-GB"/>
        </w:rPr>
        <w:t>whereas</w:t>
      </w:r>
      <w:r w:rsidRPr="2088B51C" w:rsidR="6CEBFA64">
        <w:rPr>
          <w:rFonts w:ascii="Arial" w:hAnsi="Arial" w:eastAsia="Arial" w:cs="Arial"/>
          <w:noProof w:val="0"/>
          <w:color w:val="000000" w:themeColor="text1" w:themeTint="FF" w:themeShade="FF"/>
          <w:sz w:val="22"/>
          <w:szCs w:val="22"/>
          <w:lang w:val="en-GB"/>
        </w:rPr>
        <w:t xml:space="preserve"> convergent thinking focuses on selecting the most practical and effective approaches</w:t>
      </w:r>
      <w:r w:rsidRPr="2088B51C" w:rsidR="4E0E786E">
        <w:rPr>
          <w:rFonts w:ascii="Arial" w:hAnsi="Arial" w:eastAsia="Arial" w:cs="Arial"/>
          <w:noProof w:val="0"/>
          <w:sz w:val="22"/>
          <w:szCs w:val="22"/>
          <w:lang w:val="en-GB"/>
        </w:rPr>
        <w:t xml:space="preserve"> </w:t>
      </w:r>
      <w:r w:rsidRPr="2088B51C" w:rsidR="4E0E786E">
        <w:rPr>
          <w:rFonts w:ascii="Arial" w:hAnsi="Arial" w:eastAsia="Arial" w:cs="Arial"/>
          <w:noProof w:val="0"/>
          <w:sz w:val="22"/>
          <w:szCs w:val="22"/>
          <w:lang w:val="en-GB"/>
        </w:rPr>
        <w:t xml:space="preserve">(Stolte </w:t>
      </w:r>
      <w:r w:rsidRPr="2088B51C" w:rsidR="4E0E786E">
        <w:rPr>
          <w:rFonts w:ascii="Arial" w:hAnsi="Arial" w:eastAsia="Arial" w:cs="Arial"/>
          <w:i w:val="1"/>
          <w:iCs w:val="1"/>
          <w:noProof w:val="0"/>
          <w:sz w:val="22"/>
          <w:szCs w:val="22"/>
          <w:lang w:val="en-GB"/>
        </w:rPr>
        <w:t>et al.</w:t>
      </w:r>
      <w:r w:rsidRPr="2088B51C" w:rsidR="4E0E786E">
        <w:rPr>
          <w:rFonts w:ascii="Arial" w:hAnsi="Arial" w:eastAsia="Arial" w:cs="Arial"/>
          <w:noProof w:val="0"/>
          <w:sz w:val="22"/>
          <w:szCs w:val="22"/>
          <w:lang w:val="en-GB"/>
        </w:rPr>
        <w:t>, 2022)</w:t>
      </w:r>
      <w:r w:rsidRPr="2088B51C" w:rsidR="6CEBFA64">
        <w:rPr>
          <w:rFonts w:ascii="Arial" w:hAnsi="Arial" w:eastAsia="Arial" w:cs="Arial"/>
          <w:noProof w:val="0"/>
          <w:color w:val="000000" w:themeColor="text1" w:themeTint="FF" w:themeShade="FF"/>
          <w:sz w:val="22"/>
          <w:szCs w:val="22"/>
          <w:lang w:val="en-GB"/>
        </w:rPr>
        <w:t>.</w:t>
      </w:r>
    </w:p>
    <w:p w:rsidR="6CEBFA64" w:rsidP="2088B51C" w:rsidRDefault="6CEBFA64" w14:paraId="70EDA966" w14:textId="242292D1">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During the development of this innovation, several possible solutions were considered, including sensory adaptations, communication tools, staff education and digital resources. These ideas were evaluated to determine which interventions would provide the greatest benefit for autistic service users.</w:t>
      </w:r>
    </w:p>
    <w:p w:rsidR="6CEBFA64" w:rsidP="2088B51C" w:rsidRDefault="6CEBFA64" w14:paraId="02F3C3FA" w14:textId="4F66C9A0">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Porter and Kramer (2011) argue that value creation occurs when organisations generate social benefits while simultaneously improving service outcomes. Autism Friendly NHS creates value by:</w:t>
      </w:r>
    </w:p>
    <w:p w:rsidR="6CEBFA64" w:rsidP="2088B51C" w:rsidRDefault="6CEBFA64" w14:paraId="262D80F0" w14:textId="3952438F">
      <w:pPr>
        <w:pStyle w:val="ListParagraph"/>
        <w:numPr>
          <w:ilvl w:val="0"/>
          <w:numId w:val="8"/>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Improving patient experiences.</w:t>
      </w:r>
    </w:p>
    <w:p w:rsidR="6CEBFA64" w:rsidP="2088B51C" w:rsidRDefault="6CEBFA64" w14:paraId="11028A06" w14:textId="7AD12D7B">
      <w:pPr>
        <w:pStyle w:val="ListParagraph"/>
        <w:numPr>
          <w:ilvl w:val="0"/>
          <w:numId w:val="8"/>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Reducing anxiety and stress.</w:t>
      </w:r>
    </w:p>
    <w:p w:rsidR="6CEBFA64" w:rsidP="2088B51C" w:rsidRDefault="6CEBFA64" w14:paraId="328BD167" w14:textId="43BCB64F">
      <w:pPr>
        <w:pStyle w:val="ListParagraph"/>
        <w:numPr>
          <w:ilvl w:val="0"/>
          <w:numId w:val="8"/>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Increasing healthcare accessibility.</w:t>
      </w:r>
    </w:p>
    <w:p w:rsidR="6CEBFA64" w:rsidP="2088B51C" w:rsidRDefault="6CEBFA64" w14:paraId="7D83B4F6" w14:textId="6F5A831F">
      <w:pPr>
        <w:pStyle w:val="ListParagraph"/>
        <w:numPr>
          <w:ilvl w:val="0"/>
          <w:numId w:val="8"/>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Supporting equality and inclusion.</w:t>
      </w:r>
    </w:p>
    <w:p w:rsidR="6CEBFA64" w:rsidP="2088B51C" w:rsidRDefault="6CEBFA64" w14:paraId="185BAA56" w14:textId="71E5845A">
      <w:pPr>
        <w:pStyle w:val="ListParagraph"/>
        <w:numPr>
          <w:ilvl w:val="0"/>
          <w:numId w:val="8"/>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Improving staff understanding.</w:t>
      </w:r>
    </w:p>
    <w:p w:rsidR="6CEBFA64" w:rsidP="2088B51C" w:rsidRDefault="6CEBFA64" w14:paraId="4F8988B7" w14:textId="5E0128FC">
      <w:pPr>
        <w:pStyle w:val="ListParagraph"/>
        <w:numPr>
          <w:ilvl w:val="0"/>
          <w:numId w:val="8"/>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Enhancing health outcomes.</w:t>
      </w:r>
    </w:p>
    <w:p w:rsidR="6CEBFA64" w:rsidP="2088B51C" w:rsidRDefault="6CEBFA64" w14:paraId="46F593AC" w14:textId="19CD28A0">
      <w:pPr>
        <w:pStyle w:val="ListParagraph"/>
        <w:numPr>
          <w:ilvl w:val="0"/>
          <w:numId w:val="8"/>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Promoting person-centred care.</w:t>
      </w:r>
    </w:p>
    <w:p w:rsidR="3A5F6863" w:rsidP="2088B51C" w:rsidRDefault="3A5F6863" w14:paraId="68DA8205" w14:textId="40D900D6">
      <w:pPr>
        <w:pStyle w:val="ListParagraph"/>
        <w:spacing w:before="0" w:beforeAutospacing="off" w:after="0" w:afterAutospacing="off" w:line="360" w:lineRule="auto"/>
        <w:ind w:left="720"/>
        <w:rPr>
          <w:rFonts w:ascii="Arial" w:hAnsi="Arial" w:eastAsia="Arial" w:cs="Arial"/>
          <w:noProof w:val="0"/>
          <w:color w:val="000000" w:themeColor="text1" w:themeTint="FF" w:themeShade="FF"/>
          <w:sz w:val="22"/>
          <w:szCs w:val="22"/>
          <w:lang w:val="en-GB"/>
        </w:rPr>
      </w:pPr>
    </w:p>
    <w:p w:rsidR="6CEBFA64" w:rsidP="2088B51C" w:rsidRDefault="6CEBFA64" w14:paraId="11DF7D2C" w14:textId="322BDC45">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 innovation therefore contributes to the common good by addressing healthcare inequalities and supporting vulnerable populations.</w:t>
      </w:r>
    </w:p>
    <w:p w:rsidR="6CEBFA64" w:rsidP="2088B51C" w:rsidRDefault="6CEBFA64" w14:paraId="234240DA" w14:textId="31C5CCE1">
      <w:pPr>
        <w:pStyle w:val="Heading2"/>
        <w:spacing w:line="360" w:lineRule="auto"/>
        <w:rPr>
          <w:rFonts w:ascii="Arial" w:hAnsi="Arial" w:eastAsia="Arial" w:cs="Arial"/>
          <w:b w:val="1"/>
          <w:bCs w:val="1"/>
          <w:noProof w:val="0"/>
          <w:color w:val="000000" w:themeColor="text1" w:themeTint="FF" w:themeShade="FF"/>
          <w:sz w:val="22"/>
          <w:szCs w:val="22"/>
          <w:lang w:val="en-GB"/>
        </w:rPr>
      </w:pPr>
      <w:r w:rsidRPr="2088B51C" w:rsidR="6CEBFA64">
        <w:rPr>
          <w:rFonts w:ascii="Arial" w:hAnsi="Arial" w:eastAsia="Arial" w:cs="Arial"/>
          <w:b w:val="1"/>
          <w:bCs w:val="1"/>
          <w:noProof w:val="0"/>
          <w:color w:val="000000" w:themeColor="text1" w:themeTint="FF" w:themeShade="FF"/>
          <w:sz w:val="22"/>
          <w:szCs w:val="22"/>
          <w:lang w:val="en-GB"/>
        </w:rPr>
        <w:t>Proposed Innovation</w:t>
      </w:r>
    </w:p>
    <w:p w:rsidR="6CEBFA64" w:rsidP="2088B51C" w:rsidRDefault="6CEBFA64" w14:paraId="235E3033" w14:textId="2692B6A1">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 proposed innovation includes several practical interventions that can be implemented within NHS services:</w:t>
      </w:r>
    </w:p>
    <w:p w:rsidR="6CEBFA64" w:rsidP="2088B51C" w:rsidRDefault="6CEBFA64" w14:paraId="0A86793E" w14:textId="477CBFF5">
      <w:pPr>
        <w:pStyle w:val="ListParagraph"/>
        <w:numPr>
          <w:ilvl w:val="0"/>
          <w:numId w:val="9"/>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Quiet waiting areas.</w:t>
      </w:r>
    </w:p>
    <w:p w:rsidR="6CEBFA64" w:rsidP="2088B51C" w:rsidRDefault="6CEBFA64" w14:paraId="6E0A3BED" w14:textId="6AF26528">
      <w:pPr>
        <w:pStyle w:val="ListParagraph"/>
        <w:numPr>
          <w:ilvl w:val="0"/>
          <w:numId w:val="9"/>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Sensory packs.</w:t>
      </w:r>
    </w:p>
    <w:p w:rsidR="6CEBFA64" w:rsidP="2088B51C" w:rsidRDefault="6CEBFA64" w14:paraId="6C5AC84E" w14:textId="22B7F5A6">
      <w:pPr>
        <w:pStyle w:val="ListParagraph"/>
        <w:numPr>
          <w:ilvl w:val="0"/>
          <w:numId w:val="9"/>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Visual appointment guides.</w:t>
      </w:r>
    </w:p>
    <w:p w:rsidR="6CEBFA64" w:rsidP="2088B51C" w:rsidRDefault="6CEBFA64" w14:paraId="168D9008" w14:textId="5363BE71">
      <w:pPr>
        <w:pStyle w:val="ListParagraph"/>
        <w:numPr>
          <w:ilvl w:val="0"/>
          <w:numId w:val="9"/>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Communication cards.</w:t>
      </w:r>
    </w:p>
    <w:p w:rsidR="6CEBFA64" w:rsidP="2088B51C" w:rsidRDefault="6CEBFA64" w14:paraId="62BF30AC" w14:textId="1CBF9386">
      <w:pPr>
        <w:pStyle w:val="ListParagraph"/>
        <w:numPr>
          <w:ilvl w:val="0"/>
          <w:numId w:val="9"/>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Flexible appointment times.</w:t>
      </w:r>
    </w:p>
    <w:p w:rsidR="6CEBFA64" w:rsidP="2088B51C" w:rsidRDefault="6CEBFA64" w14:paraId="55C1FED6" w14:textId="5A23D1E4">
      <w:pPr>
        <w:pStyle w:val="ListParagraph"/>
        <w:numPr>
          <w:ilvl w:val="0"/>
          <w:numId w:val="9"/>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Longer consultations where required.</w:t>
      </w:r>
    </w:p>
    <w:p w:rsidR="6CEBFA64" w:rsidP="2088B51C" w:rsidRDefault="6CEBFA64" w14:paraId="0870D5EB" w14:textId="6B944C11">
      <w:pPr>
        <w:pStyle w:val="ListParagraph"/>
        <w:numPr>
          <w:ilvl w:val="0"/>
          <w:numId w:val="9"/>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Autism awareness training.</w:t>
      </w:r>
    </w:p>
    <w:p w:rsidR="6CEBFA64" w:rsidP="2088B51C" w:rsidRDefault="6CEBFA64" w14:paraId="30395ECD" w14:textId="139D22D6">
      <w:pPr>
        <w:pStyle w:val="ListParagraph"/>
        <w:numPr>
          <w:ilvl w:val="0"/>
          <w:numId w:val="9"/>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Digital preparation tools.</w:t>
      </w:r>
    </w:p>
    <w:p w:rsidR="6CEBFA64" w:rsidP="2088B51C" w:rsidRDefault="6CEBFA64" w14:paraId="6189A869" w14:textId="108EF08D">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Quiet spaces can reduce sensory overload caused by noise, lighting and crowded environments. Visual guides and communication cards help autistic individuals understand appointments and communicate their needs effectively.</w:t>
      </w:r>
    </w:p>
    <w:p w:rsidR="6CEBFA64" w:rsidP="2088B51C" w:rsidRDefault="6CEBFA64" w14:paraId="32E7C975" w14:textId="00144DF2">
      <w:pPr>
        <w:pStyle w:val="Normal"/>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 xml:space="preserve">Healthcare staff would receive autism awareness training to improve their understanding of sensory needs, communication </w:t>
      </w:r>
      <w:r w:rsidRPr="2088B51C" w:rsidR="6CEBFA64">
        <w:rPr>
          <w:rFonts w:ascii="Arial" w:hAnsi="Arial" w:eastAsia="Arial" w:cs="Arial"/>
          <w:noProof w:val="0"/>
          <w:color w:val="000000" w:themeColor="text1" w:themeTint="FF" w:themeShade="FF"/>
          <w:sz w:val="22"/>
          <w:szCs w:val="22"/>
          <w:lang w:val="en-GB"/>
        </w:rPr>
        <w:t>differences</w:t>
      </w:r>
      <w:r w:rsidRPr="2088B51C" w:rsidR="6CEBFA64">
        <w:rPr>
          <w:rFonts w:ascii="Arial" w:hAnsi="Arial" w:eastAsia="Arial" w:cs="Arial"/>
          <w:noProof w:val="0"/>
          <w:color w:val="000000" w:themeColor="text1" w:themeTint="FF" w:themeShade="FF"/>
          <w:sz w:val="22"/>
          <w:szCs w:val="22"/>
          <w:lang w:val="en-GB"/>
        </w:rPr>
        <w:t xml:space="preserve"> and reasonable adjustments</w:t>
      </w:r>
      <w:r w:rsidRPr="2088B51C" w:rsidR="79DBA409">
        <w:rPr>
          <w:rFonts w:ascii="Arial" w:hAnsi="Arial" w:eastAsia="Arial" w:cs="Arial"/>
          <w:noProof w:val="0"/>
          <w:sz w:val="22"/>
          <w:szCs w:val="22"/>
          <w:lang w:val="en-GB"/>
        </w:rPr>
        <w:t xml:space="preserve"> </w:t>
      </w:r>
      <w:r w:rsidRPr="2088B51C" w:rsidR="79DBA409">
        <w:rPr>
          <w:rFonts w:ascii="Arial" w:hAnsi="Arial" w:eastAsia="Arial" w:cs="Arial"/>
          <w:noProof w:val="0"/>
          <w:sz w:val="22"/>
          <w:szCs w:val="22"/>
          <w:lang w:val="en-GB"/>
        </w:rPr>
        <w:t>(Rehman, 2025)</w:t>
      </w:r>
      <w:r w:rsidRPr="2088B51C" w:rsidR="6CEBFA64">
        <w:rPr>
          <w:rFonts w:ascii="Arial" w:hAnsi="Arial" w:eastAsia="Arial" w:cs="Arial"/>
          <w:noProof w:val="0"/>
          <w:color w:val="000000" w:themeColor="text1" w:themeTint="FF" w:themeShade="FF"/>
          <w:sz w:val="22"/>
          <w:szCs w:val="22"/>
          <w:lang w:val="en-GB"/>
        </w:rPr>
        <w:t>.</w:t>
      </w:r>
    </w:p>
    <w:p w:rsidR="6CEBFA64" w:rsidP="2088B51C" w:rsidRDefault="6CEBFA64" w14:paraId="7BD35060" w14:textId="40E1AC52">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These interventions create healthcare environments that are more accessible, supportive and responsive to individual needs.</w:t>
      </w:r>
    </w:p>
    <w:p w:rsidR="6CEBFA64" w:rsidP="2088B51C" w:rsidRDefault="6CEBFA64" w14:paraId="10063580" w14:textId="2001CBD0">
      <w:pPr>
        <w:pStyle w:val="Heading2"/>
        <w:spacing w:line="360" w:lineRule="auto"/>
        <w:rPr>
          <w:rFonts w:ascii="Arial" w:hAnsi="Arial" w:eastAsia="Arial" w:cs="Arial"/>
          <w:b w:val="1"/>
          <w:bCs w:val="1"/>
          <w:noProof w:val="0"/>
          <w:color w:val="000000" w:themeColor="text1" w:themeTint="FF" w:themeShade="FF"/>
          <w:sz w:val="22"/>
          <w:szCs w:val="22"/>
          <w:lang w:val="en-GB"/>
        </w:rPr>
      </w:pPr>
      <w:r w:rsidRPr="2088B51C" w:rsidR="6CEBFA64">
        <w:rPr>
          <w:rFonts w:ascii="Arial" w:hAnsi="Arial" w:eastAsia="Arial" w:cs="Arial"/>
          <w:b w:val="1"/>
          <w:bCs w:val="1"/>
          <w:noProof w:val="0"/>
          <w:color w:val="000000" w:themeColor="text1" w:themeTint="FF" w:themeShade="FF"/>
          <w:sz w:val="22"/>
          <w:szCs w:val="22"/>
          <w:lang w:val="en-GB"/>
        </w:rPr>
        <w:t>Technology Integration</w:t>
      </w:r>
    </w:p>
    <w:p w:rsidR="6CEBFA64" w:rsidP="2088B51C" w:rsidRDefault="6CEBFA64" w14:paraId="094CB53C" w14:textId="47C36C42">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Technology plays a significant role within Autism Friendly NHS. Digital healthcare solutions can reduce anxiety by helping patients prepare before appointments and communicate their needs.</w:t>
      </w:r>
    </w:p>
    <w:p w:rsidR="6CEBFA64" w:rsidP="2088B51C" w:rsidRDefault="6CEBFA64" w14:paraId="6FF7993F" w14:textId="4E27168D">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Examples include:</w:t>
      </w:r>
    </w:p>
    <w:p w:rsidR="6CEBFA64" w:rsidP="2088B51C" w:rsidRDefault="6CEBFA64" w14:paraId="552591F6" w14:textId="36CFF6BE">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Mobile applications.</w:t>
      </w:r>
    </w:p>
    <w:p w:rsidR="6CEBFA64" w:rsidP="2088B51C" w:rsidRDefault="6CEBFA64" w14:paraId="275BB3FE" w14:textId="5B361A1E">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QR codes.</w:t>
      </w:r>
    </w:p>
    <w:p w:rsidR="6CEBFA64" w:rsidP="2088B51C" w:rsidRDefault="6CEBFA64" w14:paraId="2C7D6BA3" w14:textId="3E69AF7E">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Virtual hospital tours.</w:t>
      </w:r>
    </w:p>
    <w:p w:rsidR="6CEBFA64" w:rsidP="2088B51C" w:rsidRDefault="6CEBFA64" w14:paraId="0AA25ADA" w14:textId="0960AF4C">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Appointment preparation videos.</w:t>
      </w:r>
    </w:p>
    <w:p w:rsidR="6CEBFA64" w:rsidP="2088B51C" w:rsidRDefault="6CEBFA64" w14:paraId="7A84F1FD" w14:textId="3B2CCA33">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Digital communication systems.</w:t>
      </w:r>
    </w:p>
    <w:p w:rsidR="6CEBFA64" w:rsidP="2088B51C" w:rsidRDefault="6CEBFA64" w14:paraId="5C7B15D0" w14:textId="36FD3C8E">
      <w:pPr>
        <w:pStyle w:val="ListParagraph"/>
        <w:numPr>
          <w:ilvl w:val="0"/>
          <w:numId w:val="10"/>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Online appointment forms.</w:t>
      </w:r>
    </w:p>
    <w:p w:rsidR="3A5F6863" w:rsidP="2088B51C" w:rsidRDefault="3A5F6863" w14:paraId="20BC090D" w14:textId="38D1C03C">
      <w:pPr>
        <w:pStyle w:val="ListParagraph"/>
        <w:spacing w:before="0" w:beforeAutospacing="off" w:after="0" w:afterAutospacing="off" w:line="360" w:lineRule="auto"/>
        <w:ind w:left="720"/>
        <w:rPr>
          <w:rFonts w:ascii="Arial" w:hAnsi="Arial" w:eastAsia="Arial" w:cs="Arial"/>
          <w:noProof w:val="0"/>
          <w:color w:val="000000" w:themeColor="text1" w:themeTint="FF" w:themeShade="FF"/>
          <w:sz w:val="22"/>
          <w:szCs w:val="22"/>
          <w:lang w:val="en-GB"/>
        </w:rPr>
      </w:pPr>
    </w:p>
    <w:p w:rsidR="6CEBFA64" w:rsidP="2088B51C" w:rsidRDefault="6CEBFA64" w14:paraId="01CF2907" w14:textId="05F79327">
      <w:pPr>
        <w:pStyle w:val="Normal"/>
        <w:spacing w:line="360" w:lineRule="auto"/>
        <w:rPr>
          <w:rFonts w:ascii="Arial" w:hAnsi="Arial" w:eastAsia="Arial" w:cs="Arial"/>
          <w:noProof w:val="0"/>
          <w:sz w:val="22"/>
          <w:szCs w:val="22"/>
          <w:lang w:val="en-GB"/>
        </w:rPr>
      </w:pPr>
      <w:r w:rsidRPr="2088B51C" w:rsidR="6CEBFA64">
        <w:rPr>
          <w:rFonts w:ascii="Arial" w:hAnsi="Arial" w:eastAsia="Arial" w:cs="Arial"/>
          <w:noProof w:val="0"/>
          <w:color w:val="000000" w:themeColor="text1" w:themeTint="FF" w:themeShade="FF"/>
          <w:sz w:val="22"/>
          <w:szCs w:val="22"/>
          <w:lang w:val="en-GB"/>
        </w:rPr>
        <w:t xml:space="preserve">Patients could access information before attending appointments, reducing </w:t>
      </w:r>
      <w:r w:rsidRPr="2088B51C" w:rsidR="6CEBFA64">
        <w:rPr>
          <w:rFonts w:ascii="Arial" w:hAnsi="Arial" w:eastAsia="Arial" w:cs="Arial"/>
          <w:noProof w:val="0"/>
          <w:color w:val="000000" w:themeColor="text1" w:themeTint="FF" w:themeShade="FF"/>
          <w:sz w:val="22"/>
          <w:szCs w:val="22"/>
          <w:lang w:val="en-GB"/>
        </w:rPr>
        <w:t>uncertainty</w:t>
      </w:r>
      <w:r w:rsidRPr="2088B51C" w:rsidR="6CEBFA64">
        <w:rPr>
          <w:rFonts w:ascii="Arial" w:hAnsi="Arial" w:eastAsia="Arial" w:cs="Arial"/>
          <w:noProof w:val="0"/>
          <w:color w:val="000000" w:themeColor="text1" w:themeTint="FF" w:themeShade="FF"/>
          <w:sz w:val="22"/>
          <w:szCs w:val="22"/>
          <w:lang w:val="en-GB"/>
        </w:rPr>
        <w:t xml:space="preserve"> and improving confidence</w:t>
      </w:r>
      <w:r w:rsidRPr="2088B51C" w:rsidR="092668AF">
        <w:rPr>
          <w:rFonts w:ascii="Arial" w:hAnsi="Arial" w:eastAsia="Arial" w:cs="Arial"/>
          <w:noProof w:val="0"/>
          <w:sz w:val="22"/>
          <w:szCs w:val="22"/>
          <w:lang w:val="en-GB"/>
        </w:rPr>
        <w:t xml:space="preserve"> </w:t>
      </w:r>
      <w:r w:rsidRPr="2088B51C" w:rsidR="092668AF">
        <w:rPr>
          <w:rFonts w:ascii="Arial" w:hAnsi="Arial" w:eastAsia="Arial" w:cs="Arial"/>
          <w:noProof w:val="0"/>
          <w:sz w:val="22"/>
          <w:szCs w:val="22"/>
          <w:lang w:val="en-GB"/>
        </w:rPr>
        <w:t xml:space="preserve">(Hamid </w:t>
      </w:r>
      <w:r w:rsidRPr="2088B51C" w:rsidR="092668AF">
        <w:rPr>
          <w:rFonts w:ascii="Arial" w:hAnsi="Arial" w:eastAsia="Arial" w:cs="Arial"/>
          <w:i w:val="1"/>
          <w:iCs w:val="1"/>
          <w:noProof w:val="0"/>
          <w:sz w:val="22"/>
          <w:szCs w:val="22"/>
          <w:lang w:val="en-GB"/>
        </w:rPr>
        <w:t>et al</w:t>
      </w:r>
      <w:r w:rsidRPr="2088B51C" w:rsidR="092668AF">
        <w:rPr>
          <w:rFonts w:ascii="Arial" w:hAnsi="Arial" w:eastAsia="Arial" w:cs="Arial"/>
          <w:noProof w:val="0"/>
          <w:sz w:val="22"/>
          <w:szCs w:val="22"/>
          <w:lang w:val="en-GB"/>
        </w:rPr>
        <w:t>., 2026).</w:t>
      </w:r>
    </w:p>
    <w:p w:rsidR="6CEBFA64" w:rsidP="2088B51C" w:rsidRDefault="6CEBFA64" w14:paraId="68C55F09" w14:textId="570EC1C5">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Technology can also improve communication between healthcare professionals and service users. However, digital exclusion remains a potential limitation because some individuals may have limited access to technology or digital skills.</w:t>
      </w:r>
    </w:p>
    <w:p w:rsidR="6CEBFA64" w:rsidP="2088B51C" w:rsidRDefault="6CEBFA64" w14:paraId="6420C50D" w14:textId="514D2B98">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Therefore, technology should complement rather than replace face-to-face support.</w:t>
      </w:r>
    </w:p>
    <w:p w:rsidR="6CEBFA64" w:rsidP="2088B51C" w:rsidRDefault="6CEBFA64" w14:paraId="5B12EC11" w14:textId="505074B0">
      <w:pPr>
        <w:pStyle w:val="Heading2"/>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w:t>
      </w:r>
      <w:r w:rsidRPr="2088B51C" w:rsidR="6CEBFA64">
        <w:rPr>
          <w:rFonts w:ascii="Arial" w:hAnsi="Arial" w:eastAsia="Arial" w:cs="Arial"/>
          <w:b w:val="1"/>
          <w:bCs w:val="1"/>
          <w:noProof w:val="0"/>
          <w:color w:val="000000" w:themeColor="text1" w:themeTint="FF" w:themeShade="FF"/>
          <w:sz w:val="22"/>
          <w:szCs w:val="22"/>
          <w:lang w:val="en-GB"/>
        </w:rPr>
        <w:t>mplementation</w:t>
      </w:r>
    </w:p>
    <w:p w:rsidR="6CEBFA64" w:rsidP="2088B51C" w:rsidRDefault="6CEBFA64" w14:paraId="06046DEA" w14:textId="299A71B7">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 innovation would be introduced within:</w:t>
      </w:r>
    </w:p>
    <w:p w:rsidR="6CEBFA64" w:rsidP="2088B51C" w:rsidRDefault="6CEBFA64" w14:paraId="513BC291" w14:textId="3CF9E11A">
      <w:pPr>
        <w:pStyle w:val="ListParagraph"/>
        <w:numPr>
          <w:ilvl w:val="0"/>
          <w:numId w:val="11"/>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GP surgeries.</w:t>
      </w:r>
    </w:p>
    <w:p w:rsidR="6CEBFA64" w:rsidP="2088B51C" w:rsidRDefault="6CEBFA64" w14:paraId="20DFBF9D" w14:textId="59D6B5E0">
      <w:pPr>
        <w:pStyle w:val="ListParagraph"/>
        <w:numPr>
          <w:ilvl w:val="0"/>
          <w:numId w:val="11"/>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Community clinics.</w:t>
      </w:r>
    </w:p>
    <w:p w:rsidR="6CEBFA64" w:rsidP="2088B51C" w:rsidRDefault="6CEBFA64" w14:paraId="3B658C62" w14:textId="5286AEE3">
      <w:pPr>
        <w:pStyle w:val="ListParagraph"/>
        <w:numPr>
          <w:ilvl w:val="0"/>
          <w:numId w:val="11"/>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Hospital outpatient departments.</w:t>
      </w:r>
    </w:p>
    <w:p w:rsidR="6CEBFA64" w:rsidP="2088B51C" w:rsidRDefault="6CEBFA64" w14:paraId="519DA1D0" w14:textId="31854A6B">
      <w:pPr>
        <w:pStyle w:val="ListParagraph"/>
        <w:numPr>
          <w:ilvl w:val="0"/>
          <w:numId w:val="11"/>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Mental health services.</w:t>
      </w:r>
    </w:p>
    <w:p w:rsidR="6CEBFA64" w:rsidP="2088B51C" w:rsidRDefault="6CEBFA64" w14:paraId="6B828E89" w14:textId="3E287E97">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Implementation would occur in four stages.</w:t>
      </w:r>
    </w:p>
    <w:p w:rsidR="6CEBFA64" w:rsidP="2088B51C" w:rsidRDefault="6CEBFA64" w14:paraId="678CAEE2" w14:textId="22C33C29">
      <w:pPr>
        <w:pStyle w:val="Heading3"/>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Phase One: Research and Consultation</w:t>
      </w:r>
    </w:p>
    <w:p w:rsidR="6CEBFA64" w:rsidP="2088B51C" w:rsidRDefault="6CEBFA64" w14:paraId="45A27B52" w14:textId="0C2D557E">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Autistic individuals, families, healthcare staff and autism organisations would participate in planning and consultation.</w:t>
      </w:r>
    </w:p>
    <w:p w:rsidR="6CEBFA64" w:rsidP="2088B51C" w:rsidRDefault="6CEBFA64" w14:paraId="3EA8C68F" w14:textId="68411569">
      <w:pPr>
        <w:pStyle w:val="Heading3"/>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Phase Two: Staff Training</w:t>
      </w:r>
    </w:p>
    <w:p w:rsidR="6CEBFA64" w:rsidP="2088B51C" w:rsidRDefault="6CEBFA64" w14:paraId="67632A62" w14:textId="11498958">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Healthcare professionals would receive autism awareness training and environmental assessments would be completed.</w:t>
      </w:r>
    </w:p>
    <w:p w:rsidR="6CEBFA64" w:rsidP="2088B51C" w:rsidRDefault="6CEBFA64" w14:paraId="2697BA82" w14:textId="42E3C77F">
      <w:pPr>
        <w:pStyle w:val="Heading3"/>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Phase Three: Pilot Programme</w:t>
      </w:r>
    </w:p>
    <w:p w:rsidR="6CEBFA64" w:rsidP="2088B51C" w:rsidRDefault="6CEBFA64" w14:paraId="27FAF521" w14:textId="58330FE9">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Selected NHS services would introduce sensory adaptations and communication tools.</w:t>
      </w:r>
    </w:p>
    <w:p w:rsidR="6CEBFA64" w:rsidP="2088B51C" w:rsidRDefault="6CEBFA64" w14:paraId="5A94CB3C" w14:textId="21F0EC80">
      <w:pPr>
        <w:pStyle w:val="Heading3"/>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Phase Four: Evaluation</w:t>
      </w:r>
    </w:p>
    <w:p w:rsidR="6CEBFA64" w:rsidP="2088B51C" w:rsidRDefault="6CEBFA64" w14:paraId="4E8E4DAA" w14:textId="23300882">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Patient feedback, appointment attendance rates and satisfaction levels would be evaluated before wider implementation.</w:t>
      </w:r>
    </w:p>
    <w:p w:rsidR="6CEBFA64" w:rsidP="2088B51C" w:rsidRDefault="6CEBFA64" w14:paraId="421FA7AE" w14:textId="40C0BD2E">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Collaborative working between healthcare professionals, service users and families is essential for successful implementation.</w:t>
      </w:r>
    </w:p>
    <w:p w:rsidR="6CEBFA64" w:rsidP="2088B51C" w:rsidRDefault="6CEBFA64" w14:paraId="02FD7C1F" w14:textId="29C1062D">
      <w:pPr>
        <w:pStyle w:val="Heading2"/>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Legislation and Policy</w:t>
      </w:r>
    </w:p>
    <w:p w:rsidR="6CEBFA64" w:rsidP="2088B51C" w:rsidRDefault="6CEBFA64" w14:paraId="64E8BB79" w14:textId="2A2A1E81">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Autism Friendly NHS supports several important policies and legislative frameworks:</w:t>
      </w:r>
    </w:p>
    <w:p w:rsidR="6CEBFA64" w:rsidP="2088B51C" w:rsidRDefault="6CEBFA64" w14:paraId="6B6E659D" w14:textId="60DFC463">
      <w:pPr>
        <w:pStyle w:val="ListParagraph"/>
        <w:numPr>
          <w:ilvl w:val="0"/>
          <w:numId w:val="12"/>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Autism Act 2009.</w:t>
      </w:r>
    </w:p>
    <w:p w:rsidR="6CEBFA64" w:rsidP="2088B51C" w:rsidRDefault="6CEBFA64" w14:paraId="1DDB877E" w14:textId="4414165B">
      <w:pPr>
        <w:pStyle w:val="ListParagraph"/>
        <w:numPr>
          <w:ilvl w:val="0"/>
          <w:numId w:val="12"/>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Equality Act 2010.</w:t>
      </w:r>
    </w:p>
    <w:p w:rsidR="6CEBFA64" w:rsidP="2088B51C" w:rsidRDefault="6CEBFA64" w14:paraId="5ED024C7" w14:textId="04AED0F2">
      <w:pPr>
        <w:pStyle w:val="ListParagraph"/>
        <w:numPr>
          <w:ilvl w:val="0"/>
          <w:numId w:val="12"/>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Care Act 2014.</w:t>
      </w:r>
    </w:p>
    <w:p w:rsidR="6CEBFA64" w:rsidP="2088B51C" w:rsidRDefault="6CEBFA64" w14:paraId="3CFC8A76" w14:textId="28210EC0">
      <w:pPr>
        <w:pStyle w:val="ListParagraph"/>
        <w:numPr>
          <w:ilvl w:val="0"/>
          <w:numId w:val="12"/>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NHS Long Term Plan.</w:t>
      </w:r>
    </w:p>
    <w:p w:rsidR="6CEBFA64" w:rsidP="2088B51C" w:rsidRDefault="6CEBFA64" w14:paraId="411B0581" w14:textId="65CA6F4A">
      <w:pPr>
        <w:pStyle w:val="ListParagraph"/>
        <w:numPr>
          <w:ilvl w:val="0"/>
          <w:numId w:val="12"/>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General Data Protection Regulation (GDPR).</w:t>
      </w:r>
    </w:p>
    <w:p w:rsidR="6CEBFA64" w:rsidP="2088B51C" w:rsidRDefault="6CEBFA64" w14:paraId="5C79F04D" w14:textId="48FD73FD">
      <w:pPr>
        <w:pStyle w:val="Normal"/>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 Equality Act (2010) requires organisations to make reasonable adjustments for disabled individuals. The Autism Act (2009) promotes improved services for autistic people, while the Care Act (2014) emphasises person-centred care and wellbeing</w:t>
      </w:r>
      <w:r w:rsidRPr="2088B51C" w:rsidR="0B7E776C">
        <w:rPr>
          <w:rFonts w:ascii="Arial" w:hAnsi="Arial" w:eastAsia="Arial" w:cs="Arial"/>
          <w:noProof w:val="0"/>
          <w:sz w:val="22"/>
          <w:szCs w:val="22"/>
          <w:lang w:val="en-GB"/>
        </w:rPr>
        <w:t xml:space="preserve"> </w:t>
      </w:r>
      <w:r w:rsidRPr="2088B51C" w:rsidR="0B7E776C">
        <w:rPr>
          <w:rFonts w:ascii="Arial" w:hAnsi="Arial" w:eastAsia="Arial" w:cs="Arial"/>
          <w:noProof w:val="0"/>
          <w:sz w:val="22"/>
          <w:szCs w:val="22"/>
          <w:lang w:val="en-GB"/>
        </w:rPr>
        <w:t xml:space="preserve">(Powell </w:t>
      </w:r>
      <w:r w:rsidRPr="2088B51C" w:rsidR="0B7E776C">
        <w:rPr>
          <w:rFonts w:ascii="Arial" w:hAnsi="Arial" w:eastAsia="Arial" w:cs="Arial"/>
          <w:i w:val="1"/>
          <w:iCs w:val="1"/>
          <w:noProof w:val="0"/>
          <w:sz w:val="22"/>
          <w:szCs w:val="22"/>
          <w:lang w:val="en-GB"/>
        </w:rPr>
        <w:t>et al</w:t>
      </w:r>
      <w:r w:rsidRPr="2088B51C" w:rsidR="0B7E776C">
        <w:rPr>
          <w:rFonts w:ascii="Arial" w:hAnsi="Arial" w:eastAsia="Arial" w:cs="Arial"/>
          <w:noProof w:val="0"/>
          <w:sz w:val="22"/>
          <w:szCs w:val="22"/>
          <w:lang w:val="en-GB"/>
        </w:rPr>
        <w:t>., 2019)</w:t>
      </w:r>
      <w:r w:rsidRPr="2088B51C" w:rsidR="6CEBFA64">
        <w:rPr>
          <w:rFonts w:ascii="Arial" w:hAnsi="Arial" w:eastAsia="Arial" w:cs="Arial"/>
          <w:noProof w:val="0"/>
          <w:color w:val="000000" w:themeColor="text1" w:themeTint="FF" w:themeShade="FF"/>
          <w:sz w:val="22"/>
          <w:szCs w:val="22"/>
          <w:lang w:val="en-GB"/>
        </w:rPr>
        <w:t>.</w:t>
      </w:r>
    </w:p>
    <w:p w:rsidR="6CEBFA64" w:rsidP="2088B51C" w:rsidRDefault="6CEBFA64" w14:paraId="5EC74B1E" w14:textId="7DA60868">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These frameworks support equality, accessibility and patient-centred practice.</w:t>
      </w:r>
    </w:p>
    <w:p w:rsidR="6CEBFA64" w:rsidP="2088B51C" w:rsidRDefault="6CEBFA64" w14:paraId="352F3744" w14:textId="087F5CC6">
      <w:pPr>
        <w:pStyle w:val="Heading2"/>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b w:val="1"/>
          <w:bCs w:val="1"/>
          <w:noProof w:val="0"/>
          <w:color w:val="000000" w:themeColor="text1" w:themeTint="FF" w:themeShade="FF"/>
          <w:sz w:val="22"/>
          <w:szCs w:val="22"/>
          <w:lang w:val="en-GB"/>
        </w:rPr>
        <w:t>Benefits and Limitations</w:t>
      </w:r>
    </w:p>
    <w:p w:rsidR="6CEBFA64" w:rsidP="2088B51C" w:rsidRDefault="6CEBFA64" w14:paraId="28FDADBD" w14:textId="35F2E2AA">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 innovation provides several benefits, including:</w:t>
      </w:r>
    </w:p>
    <w:p w:rsidR="6CEBFA64" w:rsidP="2088B51C" w:rsidRDefault="6CEBFA64" w14:paraId="3594654D" w14:textId="396B4716">
      <w:pPr>
        <w:pStyle w:val="ListParagraph"/>
        <w:numPr>
          <w:ilvl w:val="0"/>
          <w:numId w:val="13"/>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Reduced anxiety.</w:t>
      </w:r>
    </w:p>
    <w:p w:rsidR="6CEBFA64" w:rsidP="2088B51C" w:rsidRDefault="6CEBFA64" w14:paraId="3F6EDA55" w14:textId="4B105892">
      <w:pPr>
        <w:pStyle w:val="ListParagraph"/>
        <w:numPr>
          <w:ilvl w:val="0"/>
          <w:numId w:val="13"/>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Improved communication.</w:t>
      </w:r>
    </w:p>
    <w:p w:rsidR="6CEBFA64" w:rsidP="2088B51C" w:rsidRDefault="6CEBFA64" w14:paraId="49763E0C" w14:textId="46DC43B4">
      <w:pPr>
        <w:pStyle w:val="ListParagraph"/>
        <w:numPr>
          <w:ilvl w:val="0"/>
          <w:numId w:val="13"/>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Increased appointment attendance.</w:t>
      </w:r>
    </w:p>
    <w:p w:rsidR="6CEBFA64" w:rsidP="2088B51C" w:rsidRDefault="6CEBFA64" w14:paraId="28EEDED3" w14:textId="46B4A7AD">
      <w:pPr>
        <w:pStyle w:val="ListParagraph"/>
        <w:numPr>
          <w:ilvl w:val="0"/>
          <w:numId w:val="13"/>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Better patient experiences.</w:t>
      </w:r>
    </w:p>
    <w:p w:rsidR="6CEBFA64" w:rsidP="2088B51C" w:rsidRDefault="6CEBFA64" w14:paraId="17904487" w14:textId="257A8FBB">
      <w:pPr>
        <w:pStyle w:val="ListParagraph"/>
        <w:numPr>
          <w:ilvl w:val="0"/>
          <w:numId w:val="13"/>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Greater inclusion.</w:t>
      </w:r>
    </w:p>
    <w:p w:rsidR="6CEBFA64" w:rsidP="2088B51C" w:rsidRDefault="6CEBFA64" w14:paraId="35988DC1" w14:textId="61021988">
      <w:pPr>
        <w:pStyle w:val="ListParagraph"/>
        <w:numPr>
          <w:ilvl w:val="0"/>
          <w:numId w:val="13"/>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Improved staff confidence.</w:t>
      </w:r>
    </w:p>
    <w:p w:rsidR="6CEBFA64" w:rsidP="2088B51C" w:rsidRDefault="6CEBFA64" w14:paraId="5F3BAF59" w14:textId="00AA4C81">
      <w:pPr>
        <w:pStyle w:val="ListParagraph"/>
        <w:numPr>
          <w:ilvl w:val="0"/>
          <w:numId w:val="13"/>
        </w:numPr>
        <w:spacing w:before="0" w:beforeAutospacing="off" w:after="0" w:afterAutospacing="off"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Better health outcomes.</w:t>
      </w:r>
    </w:p>
    <w:p w:rsidR="6CEBFA64" w:rsidP="2088B51C" w:rsidRDefault="6CEBFA64" w14:paraId="36664821" w14:textId="317607CE">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Healthcare organisations may also benefit through reduced missed appointments and increased patient satisfaction.</w:t>
      </w:r>
    </w:p>
    <w:p w:rsidR="6CEBFA64" w:rsidP="2088B51C" w:rsidRDefault="6CEBFA64" w14:paraId="18F4747B" w14:textId="1D8FA289">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However, several limitations exist. Staff training requires financial investment and additional resources. Resistance to change may occur within organisations. Digital exclusion may affect some service users and implementation may vary between NHS services.</w:t>
      </w:r>
    </w:p>
    <w:p w:rsidR="6CEBFA64" w:rsidP="2088B51C" w:rsidRDefault="6CEBFA64" w14:paraId="16C190A4" w14:textId="369E295C">
      <w:pPr>
        <w:pStyle w:val="Normal"/>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 xml:space="preserve">Despite these challenges, strong leadership, ongoing </w:t>
      </w:r>
      <w:r w:rsidRPr="2088B51C" w:rsidR="6CEBFA64">
        <w:rPr>
          <w:rFonts w:ascii="Arial" w:hAnsi="Arial" w:eastAsia="Arial" w:cs="Arial"/>
          <w:noProof w:val="0"/>
          <w:color w:val="000000" w:themeColor="text1" w:themeTint="FF" w:themeShade="FF"/>
          <w:sz w:val="22"/>
          <w:szCs w:val="22"/>
          <w:lang w:val="en-GB"/>
        </w:rPr>
        <w:t>evaluation</w:t>
      </w:r>
      <w:r w:rsidRPr="2088B51C" w:rsidR="6CEBFA64">
        <w:rPr>
          <w:rFonts w:ascii="Arial" w:hAnsi="Arial" w:eastAsia="Arial" w:cs="Arial"/>
          <w:noProof w:val="0"/>
          <w:color w:val="000000" w:themeColor="text1" w:themeTint="FF" w:themeShade="FF"/>
          <w:sz w:val="22"/>
          <w:szCs w:val="22"/>
          <w:lang w:val="en-GB"/>
        </w:rPr>
        <w:t xml:space="preserve"> and service-user involvement can support successful implementation</w:t>
      </w:r>
      <w:r w:rsidRPr="2088B51C" w:rsidR="2011B0E0">
        <w:rPr>
          <w:rFonts w:ascii="Arial" w:hAnsi="Arial" w:eastAsia="Arial" w:cs="Arial"/>
          <w:noProof w:val="0"/>
          <w:sz w:val="22"/>
          <w:szCs w:val="22"/>
          <w:lang w:val="en-GB"/>
        </w:rPr>
        <w:t xml:space="preserve"> </w:t>
      </w:r>
      <w:r w:rsidRPr="2088B51C" w:rsidR="2011B0E0">
        <w:rPr>
          <w:rFonts w:ascii="Arial" w:hAnsi="Arial" w:eastAsia="Arial" w:cs="Arial"/>
          <w:noProof w:val="0"/>
          <w:sz w:val="22"/>
          <w:szCs w:val="22"/>
          <w:lang w:val="en-GB"/>
        </w:rPr>
        <w:t xml:space="preserve">(Berardi </w:t>
      </w:r>
      <w:r w:rsidRPr="2088B51C" w:rsidR="2011B0E0">
        <w:rPr>
          <w:rFonts w:ascii="Arial" w:hAnsi="Arial" w:eastAsia="Arial" w:cs="Arial"/>
          <w:i w:val="1"/>
          <w:iCs w:val="1"/>
          <w:noProof w:val="0"/>
          <w:sz w:val="22"/>
          <w:szCs w:val="22"/>
          <w:lang w:val="en-GB"/>
        </w:rPr>
        <w:t>et al.,</w:t>
      </w:r>
      <w:r w:rsidRPr="2088B51C" w:rsidR="2011B0E0">
        <w:rPr>
          <w:rFonts w:ascii="Arial" w:hAnsi="Arial" w:eastAsia="Arial" w:cs="Arial"/>
          <w:noProof w:val="0"/>
          <w:sz w:val="22"/>
          <w:szCs w:val="22"/>
          <w:lang w:val="en-GB"/>
        </w:rPr>
        <w:t xml:space="preserve"> 2024)</w:t>
      </w:r>
      <w:r w:rsidRPr="2088B51C" w:rsidR="6CEBFA64">
        <w:rPr>
          <w:rFonts w:ascii="Arial" w:hAnsi="Arial" w:eastAsia="Arial" w:cs="Arial"/>
          <w:noProof w:val="0"/>
          <w:color w:val="000000" w:themeColor="text1" w:themeTint="FF" w:themeShade="FF"/>
          <w:sz w:val="22"/>
          <w:szCs w:val="22"/>
          <w:lang w:val="en-GB"/>
        </w:rPr>
        <w:t>.</w:t>
      </w:r>
    </w:p>
    <w:p w:rsidR="6CEBFA64" w:rsidP="2088B51C" w:rsidRDefault="6CEBFA64" w14:paraId="3D8F354A" w14:textId="7F5B6E69">
      <w:pPr>
        <w:pStyle w:val="Heading2"/>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b w:val="1"/>
          <w:bCs w:val="1"/>
          <w:noProof w:val="0"/>
          <w:color w:val="000000" w:themeColor="text1" w:themeTint="FF" w:themeShade="FF"/>
          <w:sz w:val="22"/>
          <w:szCs w:val="22"/>
          <w:lang w:val="en-GB"/>
        </w:rPr>
        <w:t>Conclusion</w:t>
      </w:r>
    </w:p>
    <w:p w:rsidR="6CEBFA64" w:rsidP="2088B51C" w:rsidRDefault="6CEBFA64" w14:paraId="62D8874A" w14:textId="113429A8">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Autism Friendly NHS demonstrates how creativity, innovation and value creation can improve health and social care services. Through environmental adaptations, technology and person-centred care, the initiative addresses healthcare inequalities experienced by autistic individuals.</w:t>
      </w:r>
    </w:p>
    <w:p w:rsidR="6CEBFA64" w:rsidP="2088B51C" w:rsidRDefault="6CEBFA64" w14:paraId="30B9DA63" w14:textId="238D5AF6">
      <w:pPr>
        <w:spacing w:line="360" w:lineRule="auto"/>
        <w:rPr>
          <w:rFonts w:ascii="Arial" w:hAnsi="Arial" w:eastAsia="Arial" w:cs="Arial"/>
          <w:noProof w:val="0"/>
          <w:color w:val="000000" w:themeColor="text1" w:themeTint="FF" w:themeShade="FF"/>
          <w:sz w:val="22"/>
          <w:szCs w:val="22"/>
          <w:lang w:val="en-GB"/>
        </w:rPr>
      </w:pPr>
      <w:r w:rsidRPr="2088B51C" w:rsidR="6CEBFA64">
        <w:rPr>
          <w:rFonts w:ascii="Arial" w:hAnsi="Arial" w:eastAsia="Arial" w:cs="Arial"/>
          <w:noProof w:val="0"/>
          <w:color w:val="000000" w:themeColor="text1" w:themeTint="FF" w:themeShade="FF"/>
          <w:sz w:val="22"/>
          <w:szCs w:val="22"/>
          <w:lang w:val="en-GB"/>
        </w:rPr>
        <w:t>The innovation promotes accessibility, inclusion and equality while improving healthcare experiences and outcomes. By combining creativity with practical solutions, Autism Friendly NHS creates value for patients, families, healthcare professionals and the wider NHS.</w:t>
      </w:r>
    </w:p>
    <w:p w:rsidR="3A5F6863" w:rsidP="2088B51C" w:rsidRDefault="3A5F6863" w14:paraId="3D456D0E" w14:textId="0000061A">
      <w:pPr>
        <w:pStyle w:val="Heading2"/>
        <w:spacing w:line="360" w:lineRule="auto"/>
        <w:rPr>
          <w:rFonts w:ascii="Arial" w:hAnsi="Arial" w:eastAsia="Arial" w:cs="Arial"/>
          <w:b w:val="1"/>
          <w:bCs w:val="1"/>
          <w:noProof w:val="0"/>
          <w:color w:val="000000" w:themeColor="text1" w:themeTint="FF" w:themeShade="FF"/>
          <w:sz w:val="22"/>
          <w:szCs w:val="22"/>
          <w:lang w:val="en-GB"/>
        </w:rPr>
      </w:pPr>
    </w:p>
    <w:p w:rsidR="5AF4C54E" w:rsidP="5EC05523" w:rsidRDefault="5AF4C54E" w14:paraId="6C67925E" w14:textId="5B2D6217">
      <w:pPr>
        <w:pStyle w:val="Heading1"/>
        <w:rPr>
          <w:rFonts w:ascii="Arial" w:hAnsi="Arial" w:eastAsia="Arial" w:cs="Arial"/>
          <w:noProof w:val="0"/>
          <w:color w:val="auto"/>
          <w:sz w:val="22"/>
          <w:szCs w:val="22"/>
          <w:lang w:val="en-GB"/>
        </w:rPr>
      </w:pPr>
    </w:p>
    <w:p w:rsidR="5AF4C54E" w:rsidP="5EC05523" w:rsidRDefault="5AF4C54E" w14:paraId="52CE9A2E" w14:textId="1D563D11">
      <w:pPr>
        <w:pStyle w:val="Heading1"/>
        <w:rPr>
          <w:rFonts w:ascii="Arial" w:hAnsi="Arial" w:eastAsia="Arial" w:cs="Arial"/>
          <w:noProof w:val="0"/>
          <w:color w:val="auto"/>
          <w:sz w:val="22"/>
          <w:szCs w:val="22"/>
          <w:lang w:val="en-GB"/>
        </w:rPr>
      </w:pPr>
    </w:p>
    <w:p w:rsidR="5AF4C54E" w:rsidP="5EC05523" w:rsidRDefault="5AF4C54E" w14:paraId="7DD692D3" w14:textId="52F43988">
      <w:pPr>
        <w:pStyle w:val="Heading1"/>
        <w:rPr>
          <w:rFonts w:ascii="Arial" w:hAnsi="Arial" w:eastAsia="Arial" w:cs="Arial"/>
          <w:noProof w:val="0"/>
          <w:color w:val="auto"/>
          <w:sz w:val="22"/>
          <w:szCs w:val="22"/>
          <w:lang w:val="en-GB"/>
        </w:rPr>
      </w:pPr>
    </w:p>
    <w:p w:rsidR="5AF4C54E" w:rsidP="5EC05523" w:rsidRDefault="5AF4C54E" w14:paraId="605D0729" w14:textId="3FBE96EF">
      <w:pPr>
        <w:pStyle w:val="Heading1"/>
        <w:rPr>
          <w:rFonts w:ascii="Arial" w:hAnsi="Arial" w:eastAsia="Arial" w:cs="Arial"/>
          <w:noProof w:val="0"/>
          <w:color w:val="auto"/>
          <w:sz w:val="22"/>
          <w:szCs w:val="22"/>
          <w:lang w:val="en-GB"/>
        </w:rPr>
      </w:pPr>
    </w:p>
    <w:p w:rsidR="5AF4C54E" w:rsidP="5EC05523" w:rsidRDefault="5AF4C54E" w14:paraId="66DBEF00" w14:textId="31FED004">
      <w:pPr>
        <w:pStyle w:val="Heading1"/>
        <w:rPr>
          <w:rFonts w:ascii="Arial" w:hAnsi="Arial" w:eastAsia="Arial" w:cs="Arial"/>
          <w:noProof w:val="0"/>
          <w:color w:val="auto"/>
          <w:sz w:val="22"/>
          <w:szCs w:val="22"/>
          <w:lang w:val="en-GB"/>
        </w:rPr>
      </w:pPr>
    </w:p>
    <w:p w:rsidR="5AF4C54E" w:rsidP="5EC05523" w:rsidRDefault="5AF4C54E" w14:paraId="26678B69" w14:textId="527317B8">
      <w:pPr>
        <w:pStyle w:val="Heading1"/>
        <w:rPr>
          <w:rFonts w:ascii="Arial" w:hAnsi="Arial" w:eastAsia="Arial" w:cs="Arial"/>
          <w:noProof w:val="0"/>
          <w:color w:val="auto"/>
          <w:sz w:val="22"/>
          <w:szCs w:val="22"/>
          <w:lang w:val="en-GB"/>
        </w:rPr>
      </w:pPr>
    </w:p>
    <w:p w:rsidR="5AF4C54E" w:rsidP="5EC05523" w:rsidRDefault="5AF4C54E" w14:paraId="08406E60" w14:textId="36B293D3">
      <w:pPr>
        <w:pStyle w:val="Heading1"/>
        <w:rPr>
          <w:rFonts w:ascii="Arial" w:hAnsi="Arial" w:eastAsia="Arial" w:cs="Arial"/>
          <w:noProof w:val="0"/>
          <w:color w:val="auto"/>
          <w:sz w:val="22"/>
          <w:szCs w:val="22"/>
          <w:lang w:val="en-GB"/>
        </w:rPr>
      </w:pPr>
    </w:p>
    <w:p w:rsidR="5AF4C54E" w:rsidP="5EC05523" w:rsidRDefault="5AF4C54E" w14:paraId="0CE2AD0E" w14:textId="37819D86">
      <w:pPr>
        <w:pStyle w:val="Heading1"/>
        <w:rPr>
          <w:rFonts w:ascii="Arial" w:hAnsi="Arial" w:eastAsia="Arial" w:cs="Arial"/>
          <w:noProof w:val="0"/>
          <w:color w:val="auto"/>
          <w:sz w:val="22"/>
          <w:szCs w:val="22"/>
          <w:lang w:val="en-GB"/>
        </w:rPr>
      </w:pPr>
    </w:p>
    <w:p w:rsidR="5AF4C54E" w:rsidP="5EC05523" w:rsidRDefault="5AF4C54E" w14:paraId="2221CB08" w14:textId="49F42E77">
      <w:pPr>
        <w:pStyle w:val="Heading1"/>
        <w:rPr>
          <w:rFonts w:ascii="Arial" w:hAnsi="Arial" w:eastAsia="Arial" w:cs="Arial"/>
          <w:noProof w:val="0"/>
          <w:color w:val="auto"/>
          <w:sz w:val="22"/>
          <w:szCs w:val="22"/>
          <w:lang w:val="en-GB"/>
        </w:rPr>
      </w:pPr>
    </w:p>
    <w:p w:rsidR="2088B51C" w:rsidP="2088B51C" w:rsidRDefault="2088B51C" w14:paraId="66392EB2" w14:textId="69BDDAF7">
      <w:pPr>
        <w:pStyle w:val="Heading1"/>
        <w:rPr>
          <w:rFonts w:ascii="Arial" w:hAnsi="Arial" w:eastAsia="Arial" w:cs="Arial"/>
          <w:noProof w:val="0"/>
          <w:color w:val="auto"/>
          <w:sz w:val="22"/>
          <w:szCs w:val="22"/>
          <w:lang w:val="en-GB"/>
        </w:rPr>
      </w:pPr>
    </w:p>
    <w:p w:rsidR="2088B51C" w:rsidP="2088B51C" w:rsidRDefault="2088B51C" w14:paraId="5E567371" w14:textId="50AA85CE">
      <w:pPr>
        <w:pStyle w:val="Heading1"/>
        <w:rPr>
          <w:rFonts w:ascii="Arial" w:hAnsi="Arial" w:eastAsia="Arial" w:cs="Arial"/>
          <w:noProof w:val="0"/>
          <w:color w:val="auto"/>
          <w:sz w:val="22"/>
          <w:szCs w:val="22"/>
          <w:lang w:val="en-GB"/>
        </w:rPr>
      </w:pPr>
    </w:p>
    <w:p w:rsidR="5AF4C54E" w:rsidP="2088B51C" w:rsidRDefault="5AF4C54E" w14:paraId="06AC1649" w14:textId="321E90F6">
      <w:pPr>
        <w:pStyle w:val="Heading1"/>
        <w:spacing w:line="360" w:lineRule="auto"/>
        <w:rPr>
          <w:rFonts w:ascii="Arial" w:hAnsi="Arial" w:eastAsia="Arial" w:cs="Arial"/>
          <w:noProof w:val="0"/>
          <w:color w:val="auto"/>
          <w:sz w:val="22"/>
          <w:szCs w:val="22"/>
          <w:lang w:val="en-GB"/>
        </w:rPr>
      </w:pPr>
      <w:r w:rsidRPr="2088B51C" w:rsidR="5AF4C54E">
        <w:rPr>
          <w:rFonts w:ascii="Arial" w:hAnsi="Arial" w:eastAsia="Arial" w:cs="Arial"/>
          <w:noProof w:val="0"/>
          <w:color w:val="auto"/>
          <w:sz w:val="22"/>
          <w:szCs w:val="22"/>
          <w:lang w:val="en-GB"/>
        </w:rPr>
        <w:t>Reference List</w:t>
      </w:r>
    </w:p>
    <w:p w:rsidR="5AF4C54E" w:rsidP="2088B51C" w:rsidRDefault="5AF4C54E" w14:paraId="0A5533B8" w14:textId="1F419B8C">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Autism Act 2009. London: HMSO.</w:t>
      </w:r>
    </w:p>
    <w:p w:rsidR="5AF4C54E" w:rsidP="2088B51C" w:rsidRDefault="5AF4C54E" w14:paraId="4E2BC739" w14:textId="6C3E9C2B">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Berardi, C., Antonini, M., Jordan, Z., Wechtler, H., Paolucci, F. and Hinwood, M. (2024) ‘Barriers and facilitators to the implementation of digital technologies in mental health systems: a qualitative systematic review to inform a policy framework’, </w:t>
      </w:r>
      <w:r w:rsidRPr="2088B51C" w:rsidR="5AF4C54E">
        <w:rPr>
          <w:rFonts w:ascii="Arial" w:hAnsi="Arial" w:eastAsia="Arial" w:cs="Arial"/>
          <w:i w:val="1"/>
          <w:iCs w:val="1"/>
          <w:noProof w:val="0"/>
          <w:sz w:val="22"/>
          <w:szCs w:val="22"/>
          <w:lang w:val="en-GB"/>
        </w:rPr>
        <w:t>BMC Health Services Research</w:t>
      </w:r>
      <w:r w:rsidRPr="2088B51C" w:rsidR="5AF4C54E">
        <w:rPr>
          <w:rFonts w:ascii="Arial" w:hAnsi="Arial" w:eastAsia="Arial" w:cs="Arial"/>
          <w:noProof w:val="0"/>
          <w:sz w:val="22"/>
          <w:szCs w:val="22"/>
          <w:lang w:val="en-GB"/>
        </w:rPr>
        <w:t xml:space="preserve">, 24(1), p. 243. Available at: </w:t>
      </w:r>
      <w:hyperlink r:id="Recae037166a94a46">
        <w:r w:rsidRPr="2088B51C" w:rsidR="5AF4C54E">
          <w:rPr>
            <w:rStyle w:val="Hyperlink"/>
            <w:rFonts w:ascii="Arial" w:hAnsi="Arial" w:eastAsia="Arial" w:cs="Arial"/>
            <w:noProof w:val="0"/>
            <w:sz w:val="22"/>
            <w:szCs w:val="22"/>
            <w:lang w:val="en-GB"/>
          </w:rPr>
          <w:t>https://bmchealthservres.biomedcentral.com/articles/10.1186/s12913-023-10536-1</w:t>
        </w:r>
      </w:hyperlink>
      <w:r w:rsidRPr="2088B51C" w:rsidR="5AF4C54E">
        <w:rPr>
          <w:rFonts w:ascii="Arial" w:hAnsi="Arial" w:eastAsia="Arial" w:cs="Arial"/>
          <w:noProof w:val="0"/>
          <w:sz w:val="22"/>
          <w:szCs w:val="22"/>
          <w:lang w:val="en-GB"/>
        </w:rPr>
        <w:t xml:space="preserve"> (Accessed: 24 June 2026).</w:t>
      </w:r>
    </w:p>
    <w:p w:rsidR="5AF4C54E" w:rsidP="2088B51C" w:rsidRDefault="5AF4C54E" w14:paraId="0ABF2364" w14:textId="7A364AE3">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Care Act 2014. London: HMSO.</w:t>
      </w:r>
    </w:p>
    <w:p w:rsidR="5AF4C54E" w:rsidP="2088B51C" w:rsidRDefault="5AF4C54E" w14:paraId="4050EF0F" w14:textId="4CF032F8">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Care Quality Commission (2021) </w:t>
      </w:r>
      <w:r w:rsidRPr="2088B51C" w:rsidR="5AF4C54E">
        <w:rPr>
          <w:rFonts w:ascii="Arial" w:hAnsi="Arial" w:eastAsia="Arial" w:cs="Arial"/>
          <w:i w:val="1"/>
          <w:iCs w:val="1"/>
          <w:noProof w:val="0"/>
          <w:sz w:val="22"/>
          <w:szCs w:val="22"/>
          <w:lang w:val="en-GB"/>
        </w:rPr>
        <w:t>The State of Health Care and Adult Social Care in England</w:t>
      </w:r>
      <w:r w:rsidRPr="2088B51C" w:rsidR="5AF4C54E">
        <w:rPr>
          <w:rFonts w:ascii="Arial" w:hAnsi="Arial" w:eastAsia="Arial" w:cs="Arial"/>
          <w:noProof w:val="0"/>
          <w:sz w:val="22"/>
          <w:szCs w:val="22"/>
          <w:lang w:val="en-GB"/>
        </w:rPr>
        <w:t>. London: CQC.</w:t>
      </w:r>
    </w:p>
    <w:p w:rsidR="5AF4C54E" w:rsidP="2088B51C" w:rsidRDefault="5AF4C54E" w14:paraId="176D8798" w14:textId="225AE7EA">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Department of Health and Social Care (2021) </w:t>
      </w:r>
      <w:r w:rsidRPr="2088B51C" w:rsidR="5AF4C54E">
        <w:rPr>
          <w:rFonts w:ascii="Arial" w:hAnsi="Arial" w:eastAsia="Arial" w:cs="Arial"/>
          <w:i w:val="1"/>
          <w:iCs w:val="1"/>
          <w:noProof w:val="0"/>
          <w:sz w:val="22"/>
          <w:szCs w:val="22"/>
          <w:lang w:val="en-GB"/>
        </w:rPr>
        <w:t>National Strategy for Autistic Children, Young People and Adults: 2021 to 2026</w:t>
      </w:r>
      <w:r w:rsidRPr="2088B51C" w:rsidR="5AF4C54E">
        <w:rPr>
          <w:rFonts w:ascii="Arial" w:hAnsi="Arial" w:eastAsia="Arial" w:cs="Arial"/>
          <w:noProof w:val="0"/>
          <w:sz w:val="22"/>
          <w:szCs w:val="22"/>
          <w:lang w:val="en-GB"/>
        </w:rPr>
        <w:t>. London: DHSC.</w:t>
      </w:r>
    </w:p>
    <w:p w:rsidR="5AF4C54E" w:rsidP="2088B51C" w:rsidRDefault="5AF4C54E" w14:paraId="7CAA9C6F" w14:textId="7B0B9BFF">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Equality Act 2010. London: HMSO.</w:t>
      </w:r>
    </w:p>
    <w:p w:rsidR="5AF4C54E" w:rsidP="2088B51C" w:rsidRDefault="5AF4C54E" w14:paraId="618DC214" w14:textId="627B9E47">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Hamdan, S.Z. and Bennett, A. (2024) ‘Autism-Friendly Healthcare: A Narrative Review of the Literature’, </w:t>
      </w:r>
      <w:r w:rsidRPr="2088B51C" w:rsidR="5AF4C54E">
        <w:rPr>
          <w:rFonts w:ascii="Arial" w:hAnsi="Arial" w:eastAsia="Arial" w:cs="Arial"/>
          <w:i w:val="1"/>
          <w:iCs w:val="1"/>
          <w:noProof w:val="0"/>
          <w:sz w:val="22"/>
          <w:szCs w:val="22"/>
          <w:lang w:val="en-GB"/>
        </w:rPr>
        <w:t>Cureus</w:t>
      </w:r>
      <w:r w:rsidRPr="2088B51C" w:rsidR="5AF4C54E">
        <w:rPr>
          <w:rFonts w:ascii="Arial" w:hAnsi="Arial" w:eastAsia="Arial" w:cs="Arial"/>
          <w:noProof w:val="0"/>
          <w:sz w:val="22"/>
          <w:szCs w:val="22"/>
          <w:lang w:val="en-GB"/>
        </w:rPr>
        <w:t xml:space="preserve">, 16(7). Available at: </w:t>
      </w:r>
      <w:hyperlink r:id="R232f3859cdee4d77">
        <w:r w:rsidRPr="2088B51C" w:rsidR="5AF4C54E">
          <w:rPr>
            <w:rStyle w:val="Hyperlink"/>
            <w:rFonts w:ascii="Arial" w:hAnsi="Arial" w:eastAsia="Arial" w:cs="Arial"/>
            <w:noProof w:val="0"/>
            <w:sz w:val="22"/>
            <w:szCs w:val="22"/>
            <w:lang w:val="en-GB"/>
          </w:rPr>
          <w:t>https://www.cureus.com/articles/270015-autism-friendly-healthcare-a-narrative-review-of-the-literature.pdf</w:t>
        </w:r>
      </w:hyperlink>
      <w:r w:rsidRPr="2088B51C" w:rsidR="5AF4C54E">
        <w:rPr>
          <w:rFonts w:ascii="Arial" w:hAnsi="Arial" w:eastAsia="Arial" w:cs="Arial"/>
          <w:noProof w:val="0"/>
          <w:sz w:val="22"/>
          <w:szCs w:val="22"/>
          <w:lang w:val="en-GB"/>
        </w:rPr>
        <w:t xml:space="preserve"> (Accessed: 18 June 2026).</w:t>
      </w:r>
    </w:p>
    <w:p w:rsidR="5AF4C54E" w:rsidP="2088B51C" w:rsidRDefault="5AF4C54E" w14:paraId="0FFCD0F2" w14:textId="2552A065">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Hamid, S., Ul Hoque, T., Bahaj, B. and Mohiuddin, R. (2026) ‘Effectiveness of Digital Health Technologies in the Management of Autism Spectrum Disorder in Children and Adolescents: A Systematic Review’, </w:t>
      </w:r>
      <w:r w:rsidRPr="2088B51C" w:rsidR="5AF4C54E">
        <w:rPr>
          <w:rFonts w:ascii="Arial" w:hAnsi="Arial" w:eastAsia="Arial" w:cs="Arial"/>
          <w:i w:val="1"/>
          <w:iCs w:val="1"/>
          <w:noProof w:val="0"/>
          <w:sz w:val="22"/>
          <w:szCs w:val="22"/>
          <w:lang w:val="en-GB"/>
        </w:rPr>
        <w:t>Cureus</w:t>
      </w:r>
      <w:r w:rsidRPr="2088B51C" w:rsidR="5AF4C54E">
        <w:rPr>
          <w:rFonts w:ascii="Arial" w:hAnsi="Arial" w:eastAsia="Arial" w:cs="Arial"/>
          <w:noProof w:val="0"/>
          <w:sz w:val="22"/>
          <w:szCs w:val="22"/>
          <w:lang w:val="en-GB"/>
        </w:rPr>
        <w:t xml:space="preserve">. Available at: </w:t>
      </w:r>
      <w:hyperlink r:id="R12a3ad814fac47f9">
        <w:r w:rsidRPr="2088B51C" w:rsidR="5AF4C54E">
          <w:rPr>
            <w:rStyle w:val="Hyperlink"/>
            <w:rFonts w:ascii="Arial" w:hAnsi="Arial" w:eastAsia="Arial" w:cs="Arial"/>
            <w:noProof w:val="0"/>
            <w:sz w:val="22"/>
            <w:szCs w:val="22"/>
            <w:lang w:val="en-GB"/>
          </w:rPr>
          <w:t>https://www.cureus.com/articles/427489-effectiveness-of-digital-health-technologies-in-the-management-of-autism-spectrum-disorder-in-children-and-adolescents-a-systematic-review</w:t>
        </w:r>
      </w:hyperlink>
      <w:r w:rsidRPr="2088B51C" w:rsidR="5AF4C54E">
        <w:rPr>
          <w:rFonts w:ascii="Arial" w:hAnsi="Arial" w:eastAsia="Arial" w:cs="Arial"/>
          <w:noProof w:val="0"/>
          <w:sz w:val="22"/>
          <w:szCs w:val="22"/>
          <w:lang w:val="en-GB"/>
        </w:rPr>
        <w:t xml:space="preserve"> (Accessed: 26 June 2026).</w:t>
      </w:r>
    </w:p>
    <w:p w:rsidR="5AF4C54E" w:rsidP="2088B51C" w:rsidRDefault="5AF4C54E" w14:paraId="178F6CD5" w14:textId="22E23AF0">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National Autistic Society (2023) </w:t>
      </w:r>
      <w:r w:rsidRPr="2088B51C" w:rsidR="5AF4C54E">
        <w:rPr>
          <w:rFonts w:ascii="Arial" w:hAnsi="Arial" w:eastAsia="Arial" w:cs="Arial"/>
          <w:i w:val="1"/>
          <w:iCs w:val="1"/>
          <w:noProof w:val="0"/>
          <w:sz w:val="22"/>
          <w:szCs w:val="22"/>
          <w:lang w:val="en-GB"/>
        </w:rPr>
        <w:t>Autism and Healthcare Inequalities</w:t>
      </w:r>
      <w:r w:rsidRPr="2088B51C" w:rsidR="5AF4C54E">
        <w:rPr>
          <w:rFonts w:ascii="Arial" w:hAnsi="Arial" w:eastAsia="Arial" w:cs="Arial"/>
          <w:noProof w:val="0"/>
          <w:sz w:val="22"/>
          <w:szCs w:val="22"/>
          <w:lang w:val="en-GB"/>
        </w:rPr>
        <w:t>. London: NAS.</w:t>
      </w:r>
    </w:p>
    <w:p w:rsidR="5AF4C54E" w:rsidP="2088B51C" w:rsidRDefault="5AF4C54E" w14:paraId="524762BD" w14:textId="75D2F864">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NHS England (2019) </w:t>
      </w:r>
      <w:r w:rsidRPr="2088B51C" w:rsidR="5AF4C54E">
        <w:rPr>
          <w:rFonts w:ascii="Arial" w:hAnsi="Arial" w:eastAsia="Arial" w:cs="Arial"/>
          <w:i w:val="1"/>
          <w:iCs w:val="1"/>
          <w:noProof w:val="0"/>
          <w:sz w:val="22"/>
          <w:szCs w:val="22"/>
          <w:lang w:val="en-GB"/>
        </w:rPr>
        <w:t>The NHS Long Term Plan</w:t>
      </w:r>
      <w:r w:rsidRPr="2088B51C" w:rsidR="5AF4C54E">
        <w:rPr>
          <w:rFonts w:ascii="Arial" w:hAnsi="Arial" w:eastAsia="Arial" w:cs="Arial"/>
          <w:noProof w:val="0"/>
          <w:sz w:val="22"/>
          <w:szCs w:val="22"/>
          <w:lang w:val="en-GB"/>
        </w:rPr>
        <w:t>. London: NHS England.</w:t>
      </w:r>
    </w:p>
    <w:p w:rsidR="5AF4C54E" w:rsidP="2088B51C" w:rsidRDefault="5AF4C54E" w14:paraId="30D084CF" w14:textId="6937FDF8">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NHS England (2019) </w:t>
      </w:r>
      <w:r w:rsidRPr="2088B51C" w:rsidR="5AF4C54E">
        <w:rPr>
          <w:rFonts w:ascii="Arial" w:hAnsi="Arial" w:eastAsia="Arial" w:cs="Arial"/>
          <w:i w:val="1"/>
          <w:iCs w:val="1"/>
          <w:noProof w:val="0"/>
          <w:sz w:val="22"/>
          <w:szCs w:val="22"/>
          <w:lang w:val="en-GB"/>
        </w:rPr>
        <w:t>Innovation</w:t>
      </w:r>
      <w:r w:rsidRPr="2088B51C" w:rsidR="5AF4C54E">
        <w:rPr>
          <w:rFonts w:ascii="Arial" w:hAnsi="Arial" w:eastAsia="Arial" w:cs="Arial"/>
          <w:noProof w:val="0"/>
          <w:sz w:val="22"/>
          <w:szCs w:val="22"/>
          <w:lang w:val="en-GB"/>
        </w:rPr>
        <w:t xml:space="preserve">. Available at: </w:t>
      </w:r>
      <w:hyperlink r:id="R54cfede5aa5f471b">
        <w:r w:rsidRPr="2088B51C" w:rsidR="5AF4C54E">
          <w:rPr>
            <w:rStyle w:val="Hyperlink"/>
            <w:rFonts w:ascii="Arial" w:hAnsi="Arial" w:eastAsia="Arial" w:cs="Arial"/>
            <w:noProof w:val="0"/>
            <w:sz w:val="22"/>
            <w:szCs w:val="22"/>
            <w:lang w:val="en-GB"/>
          </w:rPr>
          <w:t>https://www.england.nhs.uk/ourwork/innovation/</w:t>
        </w:r>
      </w:hyperlink>
      <w:r w:rsidRPr="2088B51C" w:rsidR="5AF4C54E">
        <w:rPr>
          <w:rFonts w:ascii="Arial" w:hAnsi="Arial" w:eastAsia="Arial" w:cs="Arial"/>
          <w:noProof w:val="0"/>
          <w:sz w:val="22"/>
          <w:szCs w:val="22"/>
          <w:lang w:val="en-GB"/>
        </w:rPr>
        <w:t xml:space="preserve"> (Accessed: 15 June 2026).</w:t>
      </w:r>
    </w:p>
    <w:p w:rsidR="5AF4C54E" w:rsidP="2088B51C" w:rsidRDefault="5AF4C54E" w14:paraId="2C9ABE59" w14:textId="350CEBC0">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NHS England (2022) </w:t>
      </w:r>
      <w:r w:rsidRPr="2088B51C" w:rsidR="5AF4C54E">
        <w:rPr>
          <w:rFonts w:ascii="Arial" w:hAnsi="Arial" w:eastAsia="Arial" w:cs="Arial"/>
          <w:i w:val="1"/>
          <w:iCs w:val="1"/>
          <w:noProof w:val="0"/>
          <w:sz w:val="22"/>
          <w:szCs w:val="22"/>
          <w:lang w:val="en-GB"/>
        </w:rPr>
        <w:t>Core Capabilities Framework for Supporting Autistic People</w:t>
      </w:r>
      <w:r w:rsidRPr="2088B51C" w:rsidR="5AF4C54E">
        <w:rPr>
          <w:rFonts w:ascii="Arial" w:hAnsi="Arial" w:eastAsia="Arial" w:cs="Arial"/>
          <w:noProof w:val="0"/>
          <w:sz w:val="22"/>
          <w:szCs w:val="22"/>
          <w:lang w:val="en-GB"/>
        </w:rPr>
        <w:t>. London: NHS England.</w:t>
      </w:r>
    </w:p>
    <w:p w:rsidR="5AF4C54E" w:rsidP="2088B51C" w:rsidRDefault="5AF4C54E" w14:paraId="1D4CBBCC" w14:textId="25BCEF1E">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Porter, M.E. and Kramer, M.R. (2011) ‘Creating Shared Value’, </w:t>
      </w:r>
      <w:r w:rsidRPr="2088B51C" w:rsidR="5AF4C54E">
        <w:rPr>
          <w:rFonts w:ascii="Arial" w:hAnsi="Arial" w:eastAsia="Arial" w:cs="Arial"/>
          <w:i w:val="1"/>
          <w:iCs w:val="1"/>
          <w:noProof w:val="0"/>
          <w:sz w:val="22"/>
          <w:szCs w:val="22"/>
          <w:lang w:val="en-GB"/>
        </w:rPr>
        <w:t>Harvard Business Review</w:t>
      </w:r>
      <w:r w:rsidRPr="2088B51C" w:rsidR="5AF4C54E">
        <w:rPr>
          <w:rFonts w:ascii="Arial" w:hAnsi="Arial" w:eastAsia="Arial" w:cs="Arial"/>
          <w:noProof w:val="0"/>
          <w:sz w:val="22"/>
          <w:szCs w:val="22"/>
          <w:lang w:val="en-GB"/>
        </w:rPr>
        <w:t>, 89(1), pp. 62–77.</w:t>
      </w:r>
    </w:p>
    <w:p w:rsidR="5AF4C54E" w:rsidP="2088B51C" w:rsidRDefault="5AF4C54E" w14:paraId="7F05236D" w14:textId="02ADA0E6">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Powell, A., Parkin, E., Long, R., Kennedy, S. and Jarrett, T. (2019) </w:t>
      </w:r>
      <w:r w:rsidRPr="2088B51C" w:rsidR="5AF4C54E">
        <w:rPr>
          <w:rFonts w:ascii="Arial" w:hAnsi="Arial" w:eastAsia="Arial" w:cs="Arial"/>
          <w:i w:val="1"/>
          <w:iCs w:val="1"/>
          <w:noProof w:val="0"/>
          <w:sz w:val="22"/>
          <w:szCs w:val="22"/>
          <w:lang w:val="en-GB"/>
        </w:rPr>
        <w:t>Autism: Overview of Policy and Services</w:t>
      </w:r>
      <w:r w:rsidRPr="2088B51C" w:rsidR="5AF4C54E">
        <w:rPr>
          <w:rFonts w:ascii="Arial" w:hAnsi="Arial" w:eastAsia="Arial" w:cs="Arial"/>
          <w:noProof w:val="0"/>
          <w:sz w:val="22"/>
          <w:szCs w:val="22"/>
          <w:lang w:val="en-GB"/>
        </w:rPr>
        <w:t xml:space="preserve">. Available at: </w:t>
      </w:r>
      <w:hyperlink r:id="R21a7abc28aef4cf6">
        <w:r w:rsidRPr="2088B51C" w:rsidR="5AF4C54E">
          <w:rPr>
            <w:rStyle w:val="Hyperlink"/>
            <w:rFonts w:ascii="Arial" w:hAnsi="Arial" w:eastAsia="Arial" w:cs="Arial"/>
            <w:noProof w:val="0"/>
            <w:sz w:val="22"/>
            <w:szCs w:val="22"/>
            <w:lang w:val="en-GB"/>
          </w:rPr>
          <w:t>https://commonslibrary.parliament.uk/research-briefings/cbp-7172/</w:t>
        </w:r>
      </w:hyperlink>
      <w:r w:rsidRPr="2088B51C" w:rsidR="5AF4C54E">
        <w:rPr>
          <w:rFonts w:ascii="Arial" w:hAnsi="Arial" w:eastAsia="Arial" w:cs="Arial"/>
          <w:noProof w:val="0"/>
          <w:sz w:val="22"/>
          <w:szCs w:val="22"/>
          <w:lang w:val="en-GB"/>
        </w:rPr>
        <w:t xml:space="preserve"> (Accessed: 12 June 2026).</w:t>
      </w:r>
    </w:p>
    <w:p w:rsidR="5AF4C54E" w:rsidP="2088B51C" w:rsidRDefault="5AF4C54E" w14:paraId="4864154B" w14:textId="1685404B">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Rehman, M. (2025) </w:t>
      </w:r>
      <w:r w:rsidRPr="2088B51C" w:rsidR="5AF4C54E">
        <w:rPr>
          <w:rFonts w:ascii="Arial" w:hAnsi="Arial" w:eastAsia="Arial" w:cs="Arial"/>
          <w:i w:val="1"/>
          <w:iCs w:val="1"/>
          <w:noProof w:val="0"/>
          <w:sz w:val="22"/>
          <w:szCs w:val="22"/>
          <w:lang w:val="en-GB"/>
        </w:rPr>
        <w:t>What Does Autism Training Do?</w:t>
      </w:r>
      <w:r w:rsidRPr="2088B51C" w:rsidR="5AF4C54E">
        <w:rPr>
          <w:rFonts w:ascii="Arial" w:hAnsi="Arial" w:eastAsia="Arial" w:cs="Arial"/>
          <w:noProof w:val="0"/>
          <w:sz w:val="22"/>
          <w:szCs w:val="22"/>
          <w:lang w:val="en-GB"/>
        </w:rPr>
        <w:t xml:space="preserve"> Available at: </w:t>
      </w:r>
      <w:hyperlink r:id="R38f454b04a4d4e04">
        <w:r w:rsidRPr="2088B51C" w:rsidR="5AF4C54E">
          <w:rPr>
            <w:rStyle w:val="Hyperlink"/>
            <w:rFonts w:ascii="Arial" w:hAnsi="Arial" w:eastAsia="Arial" w:cs="Arial"/>
            <w:noProof w:val="0"/>
            <w:sz w:val="22"/>
            <w:szCs w:val="22"/>
            <w:lang w:val="en-GB"/>
          </w:rPr>
          <w:t>https://ecerttraining.co.uk/resources/what-does-autism-training-do/</w:t>
        </w:r>
      </w:hyperlink>
      <w:r w:rsidRPr="2088B51C" w:rsidR="5AF4C54E">
        <w:rPr>
          <w:rFonts w:ascii="Arial" w:hAnsi="Arial" w:eastAsia="Arial" w:cs="Arial"/>
          <w:noProof w:val="0"/>
          <w:sz w:val="22"/>
          <w:szCs w:val="22"/>
          <w:lang w:val="en-GB"/>
        </w:rPr>
        <w:t xml:space="preserve"> (Accessed: 22 June 2026).</w:t>
      </w:r>
    </w:p>
    <w:p w:rsidR="5AF4C54E" w:rsidP="2088B51C" w:rsidRDefault="5AF4C54E" w14:paraId="0798F7E7" w14:textId="5D776E6F">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Stolte, M., et al. (2022) ‘Characterizing Creative Thinking and Creative Achievements in Relation to Symptoms of Attention-Deficit/Hyperactivity Disorder and Autism Spectrum Disorder’, </w:t>
      </w:r>
      <w:r w:rsidRPr="2088B51C" w:rsidR="5AF4C54E">
        <w:rPr>
          <w:rFonts w:ascii="Arial" w:hAnsi="Arial" w:eastAsia="Arial" w:cs="Arial"/>
          <w:i w:val="1"/>
          <w:iCs w:val="1"/>
          <w:noProof w:val="0"/>
          <w:sz w:val="22"/>
          <w:szCs w:val="22"/>
          <w:lang w:val="en-GB"/>
        </w:rPr>
        <w:t>Frontiers in Psychiatry</w:t>
      </w:r>
      <w:r w:rsidRPr="2088B51C" w:rsidR="5AF4C54E">
        <w:rPr>
          <w:rFonts w:ascii="Arial" w:hAnsi="Arial" w:eastAsia="Arial" w:cs="Arial"/>
          <w:noProof w:val="0"/>
          <w:sz w:val="22"/>
          <w:szCs w:val="22"/>
          <w:lang w:val="en-GB"/>
        </w:rPr>
        <w:t xml:space="preserve">, 13. Available at: </w:t>
      </w:r>
      <w:hyperlink r:id="Rf4b23da3b4a9451f">
        <w:r w:rsidRPr="2088B51C" w:rsidR="5AF4C54E">
          <w:rPr>
            <w:rStyle w:val="Hyperlink"/>
            <w:rFonts w:ascii="Arial" w:hAnsi="Arial" w:eastAsia="Arial" w:cs="Arial"/>
            <w:noProof w:val="0"/>
            <w:sz w:val="22"/>
            <w:szCs w:val="22"/>
            <w:lang w:val="en-GB"/>
          </w:rPr>
          <w:t>https://doi.org/10.3389/fpsyt.2022.909202</w:t>
        </w:r>
      </w:hyperlink>
      <w:r w:rsidRPr="2088B51C" w:rsidR="5AF4C54E">
        <w:rPr>
          <w:rFonts w:ascii="Arial" w:hAnsi="Arial" w:eastAsia="Arial" w:cs="Arial"/>
          <w:noProof w:val="0"/>
          <w:sz w:val="22"/>
          <w:szCs w:val="22"/>
          <w:lang w:val="en-GB"/>
        </w:rPr>
        <w:t xml:space="preserve"> (Accessed: 20 June 2026).</w:t>
      </w:r>
    </w:p>
    <w:p w:rsidR="5AF4C54E" w:rsidP="2088B51C" w:rsidRDefault="5AF4C54E" w14:paraId="24548913" w14:textId="77BEA333">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Strömberg, M., Liman, L., Bang, P. and Igelström, K. (2021) ‘Experiences of Sensory Overload and Communication Barriers by Autistic Adults in Health Care Settings’, </w:t>
      </w:r>
      <w:r w:rsidRPr="2088B51C" w:rsidR="5AF4C54E">
        <w:rPr>
          <w:rFonts w:ascii="Arial" w:hAnsi="Arial" w:eastAsia="Arial" w:cs="Arial"/>
          <w:i w:val="1"/>
          <w:iCs w:val="1"/>
          <w:noProof w:val="0"/>
          <w:sz w:val="22"/>
          <w:szCs w:val="22"/>
          <w:lang w:val="en-GB"/>
        </w:rPr>
        <w:t>Autism in Adulthood</w:t>
      </w:r>
      <w:r w:rsidRPr="2088B51C" w:rsidR="5AF4C54E">
        <w:rPr>
          <w:rFonts w:ascii="Arial" w:hAnsi="Arial" w:eastAsia="Arial" w:cs="Arial"/>
          <w:noProof w:val="0"/>
          <w:sz w:val="22"/>
          <w:szCs w:val="22"/>
          <w:lang w:val="en-GB"/>
        </w:rPr>
        <w:t xml:space="preserve">, 4(1). Available at: </w:t>
      </w:r>
      <w:hyperlink r:id="R8ff832ec6d024a41">
        <w:r w:rsidRPr="2088B51C" w:rsidR="5AF4C54E">
          <w:rPr>
            <w:rStyle w:val="Hyperlink"/>
            <w:rFonts w:ascii="Arial" w:hAnsi="Arial" w:eastAsia="Arial" w:cs="Arial"/>
            <w:noProof w:val="0"/>
            <w:sz w:val="22"/>
            <w:szCs w:val="22"/>
            <w:lang w:val="en-GB"/>
          </w:rPr>
          <w:t>https://www.liebertpub.com/doi/full/10.1089/aut.2020.0074</w:t>
        </w:r>
      </w:hyperlink>
      <w:r w:rsidRPr="2088B51C" w:rsidR="5AF4C54E">
        <w:rPr>
          <w:rFonts w:ascii="Arial" w:hAnsi="Arial" w:eastAsia="Arial" w:cs="Arial"/>
          <w:noProof w:val="0"/>
          <w:sz w:val="22"/>
          <w:szCs w:val="22"/>
          <w:lang w:val="en-GB"/>
        </w:rPr>
        <w:t xml:space="preserve"> (Accessed: 17 June 2026).</w:t>
      </w:r>
    </w:p>
    <w:p w:rsidR="5AF4C54E" w:rsidP="2088B51C" w:rsidRDefault="5AF4C54E" w14:paraId="09677D18" w14:textId="4DF58455">
      <w:pPr>
        <w:spacing w:line="360" w:lineRule="auto"/>
        <w:rPr>
          <w:rFonts w:ascii="Arial" w:hAnsi="Arial" w:eastAsia="Arial" w:cs="Arial"/>
          <w:noProof w:val="0"/>
          <w:sz w:val="22"/>
          <w:szCs w:val="22"/>
          <w:lang w:val="en-GB"/>
        </w:rPr>
      </w:pPr>
      <w:r w:rsidRPr="2088B51C" w:rsidR="5AF4C54E">
        <w:rPr>
          <w:rFonts w:ascii="Arial" w:hAnsi="Arial" w:eastAsia="Arial" w:cs="Arial"/>
          <w:noProof w:val="0"/>
          <w:sz w:val="22"/>
          <w:szCs w:val="22"/>
          <w:lang w:val="en-GB"/>
        </w:rPr>
        <w:t xml:space="preserve">West, M., Armit, K., Loewenthal, L., Eckert, R., West, T. and Lee, A. (2015) </w:t>
      </w:r>
      <w:r w:rsidRPr="2088B51C" w:rsidR="5AF4C54E">
        <w:rPr>
          <w:rFonts w:ascii="Arial" w:hAnsi="Arial" w:eastAsia="Arial" w:cs="Arial"/>
          <w:i w:val="1"/>
          <w:iCs w:val="1"/>
          <w:noProof w:val="0"/>
          <w:sz w:val="22"/>
          <w:szCs w:val="22"/>
          <w:lang w:val="en-GB"/>
        </w:rPr>
        <w:t>Leadership and Leadership Development in Health Care</w:t>
      </w:r>
      <w:r w:rsidRPr="2088B51C" w:rsidR="5AF4C54E">
        <w:rPr>
          <w:rFonts w:ascii="Arial" w:hAnsi="Arial" w:eastAsia="Arial" w:cs="Arial"/>
          <w:noProof w:val="0"/>
          <w:sz w:val="22"/>
          <w:szCs w:val="22"/>
          <w:lang w:val="en-GB"/>
        </w:rPr>
        <w:t>. London: The King’s Fund.</w:t>
      </w:r>
    </w:p>
    <w:p w:rsidR="3A5F6863" w:rsidP="2088B51C" w:rsidRDefault="3A5F6863" w14:paraId="5D2505EF" w14:textId="0656DAF9">
      <w:pPr>
        <w:pStyle w:val="Normal"/>
        <w:spacing w:line="360" w:lineRule="auto"/>
        <w:rPr>
          <w:rFonts w:ascii="Arial" w:hAnsi="Arial" w:eastAsia="Arial" w:cs="Arial"/>
          <w:noProof w:val="0"/>
          <w:sz w:val="22"/>
          <w:szCs w:val="22"/>
          <w:lang w:val="en-GB"/>
        </w:rPr>
      </w:pPr>
    </w:p>
    <w:p w:rsidR="3A5F6863" w:rsidP="3A5F6863" w:rsidRDefault="3A5F6863" w14:paraId="2C94BFB2" w14:textId="006EFA2D">
      <w:pPr>
        <w:pStyle w:val="Heading2"/>
        <w:spacing w:line="360" w:lineRule="auto"/>
        <w:rPr>
          <w:rFonts w:ascii="Arial" w:hAnsi="Arial" w:eastAsia="Arial" w:cs="Arial"/>
          <w:noProof w:val="0"/>
          <w:color w:val="000000" w:themeColor="text1" w:themeTint="FF" w:themeShade="FF"/>
          <w:sz w:val="22"/>
          <w:szCs w:val="22"/>
          <w:lang w:val="en-GB"/>
        </w:rPr>
      </w:pPr>
    </w:p>
    <w:p w:rsidR="3A5F6863" w:rsidP="3A5F6863" w:rsidRDefault="3A5F6863" w14:paraId="15152CFF" w14:textId="5DED06C0">
      <w:pPr>
        <w:pStyle w:val="Heading2"/>
        <w:spacing w:line="360" w:lineRule="auto"/>
        <w:rPr>
          <w:rFonts w:ascii="Arial" w:hAnsi="Arial" w:eastAsia="Arial" w:cs="Arial"/>
          <w:noProof w:val="0"/>
          <w:color w:val="000000" w:themeColor="text1" w:themeTint="FF" w:themeShade="FF"/>
          <w:sz w:val="22"/>
          <w:szCs w:val="22"/>
          <w:lang w:val="en-GB"/>
        </w:rPr>
      </w:pPr>
    </w:p>
    <w:p w:rsidR="3A5F6863" w:rsidP="3A5F6863" w:rsidRDefault="3A5F6863" w14:paraId="01F45DF7" w14:textId="2EE11F7F">
      <w:pPr>
        <w:pStyle w:val="Heading2"/>
        <w:spacing w:line="360" w:lineRule="auto"/>
        <w:rPr>
          <w:rFonts w:ascii="Arial" w:hAnsi="Arial" w:eastAsia="Arial" w:cs="Arial"/>
          <w:noProof w:val="0"/>
          <w:color w:val="000000" w:themeColor="text1" w:themeTint="FF" w:themeShade="FF"/>
          <w:sz w:val="22"/>
          <w:szCs w:val="22"/>
          <w:lang w:val="en-GB"/>
        </w:rPr>
      </w:pPr>
    </w:p>
    <w:p w:rsidR="3A5F6863" w:rsidP="3A5F6863" w:rsidRDefault="3A5F6863" w14:paraId="38CC774B" w14:textId="51D993A8">
      <w:pPr>
        <w:pStyle w:val="Heading2"/>
        <w:spacing w:line="360" w:lineRule="auto"/>
        <w:rPr>
          <w:rFonts w:ascii="Arial" w:hAnsi="Arial" w:eastAsia="Arial" w:cs="Arial"/>
          <w:noProof w:val="0"/>
          <w:color w:val="000000" w:themeColor="text1" w:themeTint="FF" w:themeShade="FF"/>
          <w:sz w:val="22"/>
          <w:szCs w:val="22"/>
          <w:lang w:val="en-GB"/>
        </w:rPr>
      </w:pPr>
    </w:p>
    <w:p w:rsidR="3A5F6863" w:rsidP="3A5F6863" w:rsidRDefault="3A5F6863" w14:paraId="75BE80C0" w14:textId="61B72F85">
      <w:pPr>
        <w:pStyle w:val="Heading2"/>
        <w:spacing w:line="360" w:lineRule="auto"/>
        <w:rPr>
          <w:rFonts w:ascii="Arial" w:hAnsi="Arial" w:eastAsia="Arial" w:cs="Arial"/>
          <w:noProof w:val="0"/>
          <w:color w:val="000000" w:themeColor="text1" w:themeTint="FF" w:themeShade="FF"/>
          <w:sz w:val="22"/>
          <w:szCs w:val="22"/>
          <w:lang w:val="en-GB"/>
        </w:rPr>
      </w:pPr>
    </w:p>
    <w:p w:rsidR="3A5F6863" w:rsidP="3A5F6863" w:rsidRDefault="3A5F6863" w14:paraId="5D50B66E" w14:textId="3A09E666">
      <w:pPr>
        <w:pStyle w:val="Heading2"/>
        <w:spacing w:line="360" w:lineRule="auto"/>
        <w:rPr>
          <w:rFonts w:ascii="Arial" w:hAnsi="Arial" w:eastAsia="Arial" w:cs="Arial"/>
          <w:noProof w:val="0"/>
          <w:color w:val="000000" w:themeColor="text1" w:themeTint="FF" w:themeShade="FF"/>
          <w:sz w:val="24"/>
          <w:szCs w:val="24"/>
          <w:lang w:val="en-GB"/>
        </w:rPr>
      </w:pPr>
    </w:p>
    <w:p w:rsidR="3A5F6863" w:rsidP="3A5F6863" w:rsidRDefault="3A5F6863" w14:paraId="21F59C8A" w14:textId="4D8A2551">
      <w:pPr>
        <w:pStyle w:val="Heading2"/>
        <w:spacing w:line="360" w:lineRule="auto"/>
        <w:rPr>
          <w:rFonts w:ascii="Arial" w:hAnsi="Arial" w:eastAsia="Arial" w:cs="Arial"/>
          <w:noProof w:val="0"/>
          <w:color w:val="000000" w:themeColor="text1" w:themeTint="FF" w:themeShade="FF"/>
          <w:sz w:val="24"/>
          <w:szCs w:val="24"/>
          <w:lang w:val="en-GB"/>
        </w:rPr>
      </w:pPr>
    </w:p>
    <w:p w:rsidR="3A5F6863" w:rsidP="3A5F6863" w:rsidRDefault="3A5F6863" w14:paraId="2B0BE3BD" w14:textId="0C9E7A4E">
      <w:pPr>
        <w:pStyle w:val="Heading2"/>
        <w:spacing w:line="360" w:lineRule="auto"/>
        <w:rPr>
          <w:rFonts w:ascii="Arial" w:hAnsi="Arial" w:eastAsia="Arial" w:cs="Arial"/>
          <w:noProof w:val="0"/>
          <w:color w:val="000000" w:themeColor="text1" w:themeTint="FF" w:themeShade="FF"/>
          <w:sz w:val="24"/>
          <w:szCs w:val="24"/>
          <w:lang w:val="en-GB"/>
        </w:rPr>
      </w:pPr>
    </w:p>
    <w:p w:rsidR="3A5F6863" w:rsidP="3A5F6863" w:rsidRDefault="3A5F6863" w14:paraId="2BAE2876" w14:textId="5361927D">
      <w:pPr>
        <w:pStyle w:val="Heading2"/>
        <w:spacing w:line="360" w:lineRule="auto"/>
        <w:rPr>
          <w:rFonts w:ascii="Arial" w:hAnsi="Arial" w:eastAsia="Arial" w:cs="Arial"/>
          <w:noProof w:val="0"/>
          <w:color w:val="000000" w:themeColor="text1" w:themeTint="FF" w:themeShade="FF"/>
          <w:sz w:val="24"/>
          <w:szCs w:val="24"/>
          <w:lang w:val="en-GB"/>
        </w:rPr>
      </w:pPr>
    </w:p>
    <w:p w:rsidR="3A5F6863" w:rsidP="3A5F6863" w:rsidRDefault="3A5F6863" w14:paraId="6EF02C05" w14:textId="56F2767C">
      <w:pPr>
        <w:spacing w:line="360" w:lineRule="auto"/>
        <w:rPr>
          <w:rFonts w:ascii="Arial" w:hAnsi="Arial" w:eastAsia="Arial" w:cs="Arial"/>
          <w:color w:val="000000" w:themeColor="text1" w:themeTint="FF" w:themeShade="FF"/>
        </w:rPr>
      </w:pPr>
    </w:p>
    <w:p w:rsidR="3A5F6863" w:rsidP="3A5F6863" w:rsidRDefault="3A5F6863" w14:paraId="0C6BE3EF" w14:textId="456B6A0C">
      <w:pPr>
        <w:spacing w:line="360" w:lineRule="auto"/>
        <w:rPr>
          <w:rFonts w:ascii="Arial" w:hAnsi="Arial" w:eastAsia="Arial" w:cs="Arial"/>
          <w:color w:val="000000" w:themeColor="text1" w:themeTint="FF" w:themeShade="FF"/>
        </w:rPr>
      </w:pPr>
    </w:p>
    <w:p w:rsidR="3A5F6863" w:rsidP="3A5F6863" w:rsidRDefault="3A5F6863" w14:paraId="4A546B11" w14:textId="644EEE69">
      <w:pPr>
        <w:spacing w:line="360" w:lineRule="auto"/>
        <w:rPr>
          <w:color w:val="000000" w:themeColor="text1" w:themeTint="FF" w:themeShade="FF"/>
        </w:rPr>
      </w:pPr>
    </w:p>
    <w:p w:rsidR="3A5F6863" w:rsidRDefault="3A5F6863" w14:paraId="0861E92B" w14:textId="73079B43"/>
    <w:p w:rsidR="3A5F6863" w:rsidRDefault="3A5F6863" w14:paraId="41D270D2" w14:textId="411D8D0F"/>
    <w:p w:rsidR="3A5F6863" w:rsidP="3A5F6863" w:rsidRDefault="3A5F6863" w14:paraId="6058FEB8" w14:textId="2EFE5FCD">
      <w:pPr>
        <w:pStyle w:val="Normal"/>
      </w:pPr>
    </w:p>
    <w:sectPr>
      <w:pgSz w:w="11906" w:h="16838" w:orient="portrait"/>
      <w:pgMar w:top="1440" w:right="1440" w:bottom="1440" w:left="1440" w:header="720" w:footer="720" w:gutter="0"/>
      <w:cols w:space="720"/>
      <w:docGrid w:linePitch="360"/>
      <w:headerReference w:type="default" r:id="Rf32021b81c9a44e1"/>
      <w:footerReference w:type="default" r:id="Ra903d64d0e5747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5F6863" w:rsidTr="3A5F6863" w14:paraId="5080FD2A">
      <w:trPr>
        <w:trHeight w:val="300"/>
      </w:trPr>
      <w:tc>
        <w:tcPr>
          <w:tcW w:w="3005" w:type="dxa"/>
          <w:tcMar/>
        </w:tcPr>
        <w:p w:rsidR="3A5F6863" w:rsidP="3A5F6863" w:rsidRDefault="3A5F6863" w14:paraId="53E09C6F" w14:textId="3BD0F26F">
          <w:pPr>
            <w:pStyle w:val="Header"/>
            <w:bidi w:val="0"/>
            <w:ind w:left="-115"/>
            <w:jc w:val="left"/>
          </w:pPr>
        </w:p>
      </w:tc>
      <w:tc>
        <w:tcPr>
          <w:tcW w:w="3005" w:type="dxa"/>
          <w:tcMar/>
        </w:tcPr>
        <w:p w:rsidR="3A5F6863" w:rsidP="3A5F6863" w:rsidRDefault="3A5F6863" w14:paraId="530EB998" w14:textId="747154FA">
          <w:pPr>
            <w:pStyle w:val="Header"/>
            <w:bidi w:val="0"/>
            <w:jc w:val="center"/>
          </w:pPr>
          <w:r>
            <w:fldChar w:fldCharType="begin"/>
          </w:r>
          <w:r>
            <w:instrText xml:space="preserve">PAGE</w:instrText>
          </w:r>
          <w:r>
            <w:fldChar w:fldCharType="separate"/>
          </w:r>
          <w:r>
            <w:fldChar w:fldCharType="end"/>
          </w:r>
        </w:p>
      </w:tc>
      <w:tc>
        <w:tcPr>
          <w:tcW w:w="3005" w:type="dxa"/>
          <w:tcMar/>
        </w:tcPr>
        <w:p w:rsidR="3A5F6863" w:rsidP="3A5F6863" w:rsidRDefault="3A5F6863" w14:paraId="0F3C0A3F" w14:textId="2656B17C">
          <w:pPr>
            <w:pStyle w:val="Header"/>
            <w:bidi w:val="0"/>
            <w:ind w:right="-115"/>
            <w:jc w:val="right"/>
          </w:pPr>
        </w:p>
      </w:tc>
    </w:tr>
  </w:tbl>
  <w:p w:rsidR="3A5F6863" w:rsidP="3A5F6863" w:rsidRDefault="3A5F6863" w14:paraId="3785B261" w14:textId="3609A72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A5F6863" w:rsidTr="3A5F6863" w14:paraId="4E6E41CA">
      <w:trPr>
        <w:trHeight w:val="300"/>
      </w:trPr>
      <w:tc>
        <w:tcPr>
          <w:tcW w:w="3005" w:type="dxa"/>
          <w:tcMar/>
        </w:tcPr>
        <w:p w:rsidR="3A5F6863" w:rsidP="3A5F6863" w:rsidRDefault="3A5F6863" w14:paraId="5D886E8E" w14:textId="16F1330F">
          <w:pPr>
            <w:pStyle w:val="Header"/>
            <w:bidi w:val="0"/>
            <w:ind w:left="-115"/>
            <w:jc w:val="left"/>
          </w:pPr>
        </w:p>
      </w:tc>
      <w:tc>
        <w:tcPr>
          <w:tcW w:w="3005" w:type="dxa"/>
          <w:tcMar/>
        </w:tcPr>
        <w:p w:rsidR="3A5F6863" w:rsidP="3A5F6863" w:rsidRDefault="3A5F6863" w14:paraId="65049282" w14:textId="763CBD8B">
          <w:pPr>
            <w:pStyle w:val="Header"/>
            <w:bidi w:val="0"/>
            <w:jc w:val="center"/>
          </w:pPr>
        </w:p>
      </w:tc>
      <w:tc>
        <w:tcPr>
          <w:tcW w:w="3005" w:type="dxa"/>
          <w:tcMar/>
        </w:tcPr>
        <w:p w:rsidR="3A5F6863" w:rsidP="3A5F6863" w:rsidRDefault="3A5F6863" w14:paraId="41BDEE3B" w14:textId="5D4CC744">
          <w:pPr>
            <w:pStyle w:val="Header"/>
            <w:bidi w:val="0"/>
            <w:ind w:right="-115"/>
            <w:jc w:val="right"/>
          </w:pPr>
        </w:p>
      </w:tc>
    </w:tr>
  </w:tbl>
  <w:p w:rsidR="3A5F6863" w:rsidP="3A5F6863" w:rsidRDefault="3A5F6863" w14:paraId="0BFD7CE4" w14:textId="567572BC">
    <w:pPr>
      <w:pStyle w:val="Header"/>
      <w:bidi w:val="0"/>
    </w:pPr>
  </w:p>
</w:hdr>
</file>

<file path=word/numbering.xml><?xml version="1.0" encoding="utf-8"?>
<w:numbering xmlns:w="http://schemas.openxmlformats.org/wordprocessingml/2006/main">
  <w:abstractNum xmlns:w="http://schemas.openxmlformats.org/wordprocessingml/2006/main" w:abstractNumId="13">
    <w:nsid w:val="6427d4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c54b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56cbf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29d2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3f39a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e0e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9102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2099f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c724a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48ec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f87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79f99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2b5d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34035B"/>
    <w:rsid w:val="01CA3ED0"/>
    <w:rsid w:val="0319046D"/>
    <w:rsid w:val="0408744C"/>
    <w:rsid w:val="04FB1485"/>
    <w:rsid w:val="08894E66"/>
    <w:rsid w:val="092668AF"/>
    <w:rsid w:val="0A15BD4A"/>
    <w:rsid w:val="0B7E776C"/>
    <w:rsid w:val="0BC6C46C"/>
    <w:rsid w:val="0CB2AFF1"/>
    <w:rsid w:val="109B65C5"/>
    <w:rsid w:val="133CADAF"/>
    <w:rsid w:val="16666490"/>
    <w:rsid w:val="1734035B"/>
    <w:rsid w:val="17964BC5"/>
    <w:rsid w:val="1B1A6A06"/>
    <w:rsid w:val="1EC500A7"/>
    <w:rsid w:val="1ECD399E"/>
    <w:rsid w:val="1FD1A205"/>
    <w:rsid w:val="2011B0E0"/>
    <w:rsid w:val="2088B51C"/>
    <w:rsid w:val="226DD3F4"/>
    <w:rsid w:val="23B65183"/>
    <w:rsid w:val="2618FF89"/>
    <w:rsid w:val="279B1044"/>
    <w:rsid w:val="29026311"/>
    <w:rsid w:val="2B899FD9"/>
    <w:rsid w:val="305C8451"/>
    <w:rsid w:val="3066A819"/>
    <w:rsid w:val="374B2FF7"/>
    <w:rsid w:val="3840AC53"/>
    <w:rsid w:val="3A5F6863"/>
    <w:rsid w:val="3AF24D51"/>
    <w:rsid w:val="3DE6B5B9"/>
    <w:rsid w:val="3ED792B1"/>
    <w:rsid w:val="41A2F346"/>
    <w:rsid w:val="4241AAB4"/>
    <w:rsid w:val="44F163B1"/>
    <w:rsid w:val="463D3D3B"/>
    <w:rsid w:val="465EA81C"/>
    <w:rsid w:val="4DA8BAD9"/>
    <w:rsid w:val="4DA9FAC8"/>
    <w:rsid w:val="4E0E786E"/>
    <w:rsid w:val="4E2F3E1C"/>
    <w:rsid w:val="51DA3CBE"/>
    <w:rsid w:val="56872E2F"/>
    <w:rsid w:val="5875A05E"/>
    <w:rsid w:val="5886E122"/>
    <w:rsid w:val="5A1E5D3C"/>
    <w:rsid w:val="5A5B5D3D"/>
    <w:rsid w:val="5AF4C54E"/>
    <w:rsid w:val="5C06CB09"/>
    <w:rsid w:val="5C3D5E3D"/>
    <w:rsid w:val="5D51741F"/>
    <w:rsid w:val="5EC05523"/>
    <w:rsid w:val="5EC34F5D"/>
    <w:rsid w:val="5F406E3D"/>
    <w:rsid w:val="5F64E441"/>
    <w:rsid w:val="5F9CBB59"/>
    <w:rsid w:val="5FA2423F"/>
    <w:rsid w:val="5FCA9D45"/>
    <w:rsid w:val="6308FB36"/>
    <w:rsid w:val="63B46627"/>
    <w:rsid w:val="65145EDC"/>
    <w:rsid w:val="65C493A7"/>
    <w:rsid w:val="697EC6F2"/>
    <w:rsid w:val="69EFA26B"/>
    <w:rsid w:val="6C9821C3"/>
    <w:rsid w:val="6CEBFA64"/>
    <w:rsid w:val="73F8FBA9"/>
    <w:rsid w:val="745F79E6"/>
    <w:rsid w:val="772511B6"/>
    <w:rsid w:val="77A7C114"/>
    <w:rsid w:val="77FC5F95"/>
    <w:rsid w:val="7879EDEE"/>
    <w:rsid w:val="792CDBD6"/>
    <w:rsid w:val="79DBA409"/>
    <w:rsid w:val="7A92C118"/>
    <w:rsid w:val="7BE3B7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A0687"/>
  <w15:chartTrackingRefBased/>
  <w15:docId w15:val="{DF84B127-3823-42BF-AB00-A573FBA364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A5F68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A5F686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A5F686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A5F6863"/>
    <w:pPr>
      <w:spacing/>
      <w:ind w:left="720"/>
      <w:contextualSpacing/>
    </w:pPr>
  </w:style>
  <w:style w:type="paragraph" w:styleId="Header">
    <w:uiPriority w:val="99"/>
    <w:name w:val="header"/>
    <w:basedOn w:val="Normal"/>
    <w:unhideWhenUsed/>
    <w:rsid w:val="3A5F6863"/>
    <w:pPr>
      <w:tabs>
        <w:tab w:val="center" w:leader="none" w:pos="4680"/>
        <w:tab w:val="right" w:leader="none" w:pos="9360"/>
      </w:tabs>
      <w:spacing w:after="0" w:line="240" w:lineRule="auto"/>
    </w:pPr>
  </w:style>
  <w:style w:type="paragraph" w:styleId="Footer">
    <w:uiPriority w:val="99"/>
    <w:name w:val="footer"/>
    <w:basedOn w:val="Normal"/>
    <w:unhideWhenUsed/>
    <w:rsid w:val="3A5F686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A5F686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53533385" /><Relationship Type="http://schemas.openxmlformats.org/officeDocument/2006/relationships/header" Target="/word/header.xml" Id="Rf32021b81c9a44e1" /><Relationship Type="http://schemas.openxmlformats.org/officeDocument/2006/relationships/footer" Target="/word/footer.xml" Id="Ra903d64d0e57473e" /><Relationship Type="http://schemas.openxmlformats.org/officeDocument/2006/relationships/numbering" Target="/word/numbering.xml" Id="Rdc1f066bf2be47d9" /><Relationship Type="http://schemas.openxmlformats.org/officeDocument/2006/relationships/hyperlink" Target="https://bmchealthservres.biomedcentral.com/articles/10.1186/s12913-023-10536-1" TargetMode="External" Id="Recae037166a94a46" /><Relationship Type="http://schemas.openxmlformats.org/officeDocument/2006/relationships/hyperlink" Target="https://www.cureus.com/articles/270015-autism-friendly-healthcare-a-narrative-review-of-the-literature.pdf" TargetMode="External" Id="R232f3859cdee4d77" /><Relationship Type="http://schemas.openxmlformats.org/officeDocument/2006/relationships/hyperlink" Target="https://www.cureus.com/articles/427489-effectiveness-of-digital-health-technologies-in-the-management-of-autism-spectrum-disorder-in-children-and-adolescents-a-systematic-review" TargetMode="External" Id="R12a3ad814fac47f9" /><Relationship Type="http://schemas.openxmlformats.org/officeDocument/2006/relationships/hyperlink" Target="https://www.england.nhs.uk/ourwork/innovation/" TargetMode="External" Id="R54cfede5aa5f471b" /><Relationship Type="http://schemas.openxmlformats.org/officeDocument/2006/relationships/hyperlink" Target="https://commonslibrary.parliament.uk/research-briefings/cbp-7172/" TargetMode="External" Id="R21a7abc28aef4cf6" /><Relationship Type="http://schemas.openxmlformats.org/officeDocument/2006/relationships/hyperlink" Target="https://ecerttraining.co.uk/resources/what-does-autism-training-do/" TargetMode="External" Id="R38f454b04a4d4e04" /><Relationship Type="http://schemas.openxmlformats.org/officeDocument/2006/relationships/hyperlink" Target="https://doi.org/10.3389/fpsyt.2022.909202" TargetMode="External" Id="Rf4b23da3b4a9451f" /><Relationship Type="http://schemas.openxmlformats.org/officeDocument/2006/relationships/hyperlink" Target="https://www.liebertpub.com/doi/full/10.1089/aut.2020.0074" TargetMode="External" Id="R8ff832ec6d024a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 Ansar (2426467)</dc:creator>
  <keywords/>
  <dc:description/>
  <lastModifiedBy>Saba Ansar (2426467)</lastModifiedBy>
  <revision>4</revision>
  <dcterms:created xsi:type="dcterms:W3CDTF">2026-06-27T03:35:24.4404748Z</dcterms:created>
  <dcterms:modified xsi:type="dcterms:W3CDTF">2026-07-27T08:48:18.0745631Z</dcterms:modified>
</coreProperties>
</file>