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left"/>
        <w:rPr>
          <w:rFonts w:ascii="Arial" w:hAnsi="Arial" w:cs="Arial" w:eastAsia="Arial"/>
          <w:color w:val="auto"/>
          <w:spacing w:val="0"/>
          <w:position w:val="0"/>
          <w:sz w:val="22"/>
          <w:shd w:fill="auto" w:val="clear"/>
        </w:rPr>
      </w:pPr>
      <w:r>
        <w:object w:dxaOrig="2736" w:dyaOrig="1094">
          <v:rect xmlns:o="urn:schemas-microsoft-com:office:office" xmlns:v="urn:schemas-microsoft-com:vml" id="rectole0000000000" style="width:136.800000pt;height:54.7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tabs>
          <w:tab w:val="left" w:pos="6540" w:leader="none"/>
        </w:tabs>
        <w:spacing w:before="0" w:after="160" w:line="360"/>
        <w:ind w:right="0" w:left="0" w:firstLine="0"/>
        <w:jc w:val="left"/>
        <w:rPr>
          <w:rFonts w:ascii="Arial" w:hAnsi="Arial" w:cs="Arial" w:eastAsia="Arial"/>
          <w:color w:val="auto"/>
          <w:spacing w:val="0"/>
          <w:position w:val="0"/>
          <w:sz w:val="28"/>
          <w:shd w:fill="auto" w:val="clear"/>
        </w:rPr>
      </w:pPr>
    </w:p>
    <w:p>
      <w:pPr>
        <w:tabs>
          <w:tab w:val="left" w:pos="6540" w:leader="none"/>
        </w:tabs>
        <w:spacing w:before="0" w:after="160" w:line="360"/>
        <w:ind w:right="0" w:left="0" w:firstLine="0"/>
        <w:jc w:val="left"/>
        <w:rPr>
          <w:rFonts w:ascii="Arial" w:hAnsi="Arial" w:cs="Arial" w:eastAsia="Arial"/>
          <w:color w:val="auto"/>
          <w:spacing w:val="0"/>
          <w:position w:val="0"/>
          <w:sz w:val="28"/>
          <w:shd w:fill="auto" w:val="clear"/>
        </w:rPr>
      </w:pPr>
      <w:r>
        <w:rPr>
          <w:rFonts w:ascii="Arial" w:hAnsi="Arial" w:cs="Arial" w:eastAsia="Arial"/>
          <w:b/>
          <w:color w:val="auto"/>
          <w:spacing w:val="0"/>
          <w:position w:val="0"/>
          <w:sz w:val="28"/>
          <w:shd w:fill="auto" w:val="clear"/>
        </w:rPr>
        <w:t xml:space="preserve">Student name</w:t>
      </w:r>
      <w:r>
        <w:rPr>
          <w:rFonts w:ascii="Arial" w:hAnsi="Arial" w:cs="Arial" w:eastAsia="Arial"/>
          <w:color w:val="auto"/>
          <w:spacing w:val="0"/>
          <w:position w:val="0"/>
          <w:sz w:val="28"/>
          <w:shd w:fill="auto" w:val="clear"/>
        </w:rPr>
        <w:t xml:space="preserve">: Versica Batista Da Silva</w:t>
      </w:r>
    </w:p>
    <w:p>
      <w:pPr>
        <w:tabs>
          <w:tab w:val="left" w:pos="6540" w:leader="none"/>
        </w:tabs>
        <w:spacing w:before="0" w:after="160" w:line="360"/>
        <w:ind w:right="0" w:left="0" w:firstLine="0"/>
        <w:jc w:val="left"/>
        <w:rPr>
          <w:rFonts w:ascii="Arial" w:hAnsi="Arial" w:cs="Arial" w:eastAsia="Arial"/>
          <w:color w:val="auto"/>
          <w:spacing w:val="0"/>
          <w:position w:val="0"/>
          <w:sz w:val="28"/>
          <w:shd w:fill="auto" w:val="clear"/>
        </w:rPr>
      </w:pPr>
      <w:r>
        <w:rPr>
          <w:rFonts w:ascii="Arial" w:hAnsi="Arial" w:cs="Arial" w:eastAsia="Arial"/>
          <w:b/>
          <w:color w:val="auto"/>
          <w:spacing w:val="0"/>
          <w:position w:val="0"/>
          <w:sz w:val="28"/>
          <w:shd w:fill="auto" w:val="clear"/>
        </w:rPr>
        <w:t xml:space="preserve">Student ID</w:t>
      </w:r>
      <w:r>
        <w:rPr>
          <w:rFonts w:ascii="Arial" w:hAnsi="Arial" w:cs="Arial" w:eastAsia="Arial"/>
          <w:color w:val="auto"/>
          <w:spacing w:val="0"/>
          <w:position w:val="0"/>
          <w:sz w:val="28"/>
          <w:shd w:fill="auto" w:val="clear"/>
        </w:rPr>
        <w:t xml:space="preserve">: 2530277</w:t>
      </w:r>
    </w:p>
    <w:p>
      <w:pPr>
        <w:tabs>
          <w:tab w:val="left" w:pos="6540" w:leader="none"/>
        </w:tabs>
        <w:spacing w:before="0" w:after="160" w:line="360"/>
        <w:ind w:right="0" w:left="0" w:firstLine="0"/>
        <w:jc w:val="left"/>
        <w:rPr>
          <w:rFonts w:ascii="Arial" w:hAnsi="Arial" w:cs="Arial" w:eastAsia="Arial"/>
          <w:color w:val="auto"/>
          <w:spacing w:val="0"/>
          <w:position w:val="0"/>
          <w:sz w:val="28"/>
          <w:shd w:fill="auto" w:val="clear"/>
        </w:rPr>
      </w:pPr>
    </w:p>
    <w:p>
      <w:pPr>
        <w:tabs>
          <w:tab w:val="left" w:pos="6540" w:leader="none"/>
        </w:tabs>
        <w:spacing w:before="0" w:after="160" w:line="360"/>
        <w:ind w:right="0" w:left="0" w:firstLine="0"/>
        <w:jc w:val="left"/>
        <w:rPr>
          <w:rFonts w:ascii="Arial" w:hAnsi="Arial" w:cs="Arial" w:eastAsia="Arial"/>
          <w:color w:val="auto"/>
          <w:spacing w:val="0"/>
          <w:position w:val="0"/>
          <w:sz w:val="28"/>
          <w:shd w:fill="auto" w:val="clear"/>
        </w:rPr>
      </w:pPr>
      <w:r>
        <w:rPr>
          <w:rFonts w:ascii="Arial" w:hAnsi="Arial" w:cs="Arial" w:eastAsia="Arial"/>
          <w:b/>
          <w:color w:val="auto"/>
          <w:spacing w:val="0"/>
          <w:position w:val="0"/>
          <w:sz w:val="28"/>
          <w:shd w:fill="auto" w:val="clear"/>
        </w:rPr>
        <w:t xml:space="preserve">Module name</w:t>
      </w:r>
      <w:r>
        <w:rPr>
          <w:rFonts w:ascii="Arial" w:hAnsi="Arial" w:cs="Arial" w:eastAsia="Arial"/>
          <w:color w:val="auto"/>
          <w:spacing w:val="0"/>
          <w:position w:val="0"/>
          <w:sz w:val="28"/>
          <w:shd w:fill="auto" w:val="clear"/>
        </w:rPr>
        <w:t xml:space="preserve">: Introduction to Health and Social Care (LCHS4003</w:t>
      </w:r>
    </w:p>
    <w:p>
      <w:pPr>
        <w:tabs>
          <w:tab w:val="left" w:pos="6540" w:leader="none"/>
        </w:tabs>
        <w:spacing w:before="0" w:after="160" w:line="360"/>
        <w:ind w:right="0" w:left="0" w:firstLine="0"/>
        <w:jc w:val="left"/>
        <w:rPr>
          <w:rFonts w:ascii="Arial" w:hAnsi="Arial" w:cs="Arial" w:eastAsia="Arial"/>
          <w:color w:val="auto"/>
          <w:spacing w:val="0"/>
          <w:position w:val="0"/>
          <w:sz w:val="28"/>
          <w:shd w:fill="auto" w:val="clear"/>
        </w:rPr>
      </w:pPr>
      <w:r>
        <w:rPr>
          <w:rFonts w:ascii="Arial" w:hAnsi="Arial" w:cs="Arial" w:eastAsia="Arial"/>
          <w:b/>
          <w:color w:val="auto"/>
          <w:spacing w:val="0"/>
          <w:position w:val="0"/>
          <w:sz w:val="28"/>
          <w:shd w:fill="auto" w:val="clear"/>
        </w:rPr>
        <w:t xml:space="preserve">Module code</w:t>
      </w:r>
      <w:r>
        <w:rPr>
          <w:rFonts w:ascii="Arial" w:hAnsi="Arial" w:cs="Arial" w:eastAsia="Arial"/>
          <w:color w:val="auto"/>
          <w:spacing w:val="0"/>
          <w:position w:val="0"/>
          <w:sz w:val="28"/>
          <w:shd w:fill="auto" w:val="clear"/>
        </w:rPr>
        <w:t xml:space="preserve">: </w:t>
      </w:r>
      <w:r>
        <w:rPr>
          <w:rFonts w:ascii="Arial" w:hAnsi="Arial" w:cs="Arial" w:eastAsia="Arial"/>
          <w:color w:val="auto"/>
          <w:spacing w:val="0"/>
          <w:position w:val="0"/>
          <w:sz w:val="28"/>
          <w:shd w:fill="auto" w:val="clear"/>
        </w:rPr>
        <w:t xml:space="preserve">LCHS4003_LON</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Arial" w:hAnsi="Arial" w:cs="Arial" w:eastAsia="Arial"/>
          <w:b/>
          <w:color w:val="auto"/>
          <w:spacing w:val="0"/>
          <w:position w:val="0"/>
          <w:sz w:val="28"/>
          <w:shd w:fill="auto" w:val="clear"/>
        </w:rPr>
        <w:t xml:space="preserve">Lecturer name</w:t>
      </w: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Content page </w:t>
      </w:r>
    </w:p>
    <w:p>
      <w:pPr>
        <w:spacing w:before="0" w:after="160" w:line="259"/>
        <w:ind w:right="0" w:left="0" w:firstLine="0"/>
        <w:jc w:val="left"/>
        <w:rPr>
          <w:rFonts w:ascii="Arial" w:hAnsi="Arial" w:cs="Arial" w:eastAsia="Arial"/>
          <w:b/>
          <w:color w:val="auto"/>
          <w:spacing w:val="0"/>
          <w:position w:val="0"/>
          <w:sz w:val="28"/>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Arial" w:hAnsi="Arial" w:cs="Arial" w:eastAsia="Arial"/>
          <w:b/>
          <w:color w:val="auto"/>
          <w:spacing w:val="0"/>
          <w:position w:val="0"/>
          <w:sz w:val="28"/>
          <w:shd w:fill="auto" w:val="clear"/>
        </w:rPr>
        <w:t xml:space="preserve">Element 1 …………………………………………………………….. page</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32"/>
          <w:shd w:fill="auto" w:val="clear"/>
        </w:rPr>
      </w:pPr>
      <w:r>
        <w:rPr>
          <w:rFonts w:ascii="Calibri" w:hAnsi="Calibri" w:cs="Calibri" w:eastAsia="Calibri"/>
          <w:color w:val="auto"/>
          <w:spacing w:val="0"/>
          <w:position w:val="0"/>
          <w:sz w:val="32"/>
          <w:shd w:fill="auto" w:val="clear"/>
        </w:rPr>
        <w:t xml:space="preserve">Ambulance Services: Lifeline in Motion(Imagine a poster with a central image of an ambulance with its lights flashing, surrounded by icons representing medical care, speed, and community</w:t>
      </w:r>
    </w:p>
    <w:p>
      <w:pPr>
        <w:spacing w:before="0" w:after="160" w:line="240"/>
        <w:ind w:right="0" w:left="0" w:firstLine="0"/>
        <w:jc w:val="left"/>
        <w:rPr>
          <w:rFonts w:ascii="Calibri" w:hAnsi="Calibri" w:cs="Calibri" w:eastAsia="Calibri"/>
          <w:color w:val="auto"/>
          <w:spacing w:val="0"/>
          <w:position w:val="0"/>
          <w:sz w:val="32"/>
          <w:shd w:fill="auto" w:val="clear"/>
        </w:rPr>
      </w:pPr>
      <w:r>
        <w:object w:dxaOrig="6105" w:dyaOrig="3720">
          <v:rect xmlns:o="urn:schemas-microsoft-com:office:office" xmlns:v="urn:schemas-microsoft-com:vml" id="rectole0000000001" style="width:305.250000pt;height:186.0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Dib" DrawAspect="Content" ObjectID="0000000001" ShapeID="rectole0000000001" r:id="docRId2"/>
        </w:object>
      </w:r>
    </w:p>
    <w:p>
      <w:pPr>
        <w:spacing w:before="0" w:after="160" w:line="259"/>
        <w:ind w:right="0" w:left="0" w:firstLine="0"/>
        <w:jc w:val="left"/>
        <w:rPr>
          <w:rFonts w:ascii="Calibri" w:hAnsi="Calibri" w:cs="Calibri" w:eastAsia="Calibri"/>
          <w:color w:val="auto"/>
          <w:spacing w:val="0"/>
          <w:position w:val="0"/>
          <w:sz w:val="32"/>
          <w:shd w:fill="auto" w:val="clear"/>
        </w:rPr>
      </w:pPr>
    </w:p>
    <w:p>
      <w:pPr>
        <w:spacing w:before="0" w:after="160" w:line="259"/>
        <w:ind w:right="0" w:left="0" w:firstLine="0"/>
        <w:jc w:val="left"/>
        <w:rPr>
          <w:rFonts w:ascii="Calibri" w:hAnsi="Calibri" w:cs="Calibri" w:eastAsia="Calibri"/>
          <w:color w:val="auto"/>
          <w:spacing w:val="0"/>
          <w:position w:val="0"/>
          <w:sz w:val="32"/>
          <w:shd w:fill="auto" w:val="clear"/>
        </w:rPr>
      </w:pPr>
      <w:r>
        <w:rPr>
          <w:rFonts w:ascii="Calibri" w:hAnsi="Calibri" w:cs="Calibri" w:eastAsia="Calibri"/>
          <w:color w:val="auto"/>
          <w:spacing w:val="0"/>
          <w:position w:val="0"/>
          <w:sz w:val="32"/>
          <w:shd w:fill="auto" w:val="clear"/>
        </w:rPr>
        <w:t xml:space="preserve">What are Ambulance Services?</w:t>
      </w:r>
    </w:p>
    <w:p>
      <w:pPr>
        <w:spacing w:before="0" w:after="160" w:line="259"/>
        <w:ind w:right="0" w:left="0" w:firstLine="0"/>
        <w:jc w:val="left"/>
        <w:rPr>
          <w:rFonts w:ascii="Calibri" w:hAnsi="Calibri" w:cs="Calibri" w:eastAsia="Calibri"/>
          <w:color w:val="auto"/>
          <w:spacing w:val="0"/>
          <w:position w:val="0"/>
          <w:sz w:val="32"/>
          <w:shd w:fill="auto" w:val="clear"/>
        </w:rPr>
      </w:pPr>
      <w:r>
        <w:rPr>
          <w:rFonts w:ascii="Calibri" w:hAnsi="Calibri" w:cs="Calibri" w:eastAsia="Calibri"/>
          <w:color w:val="auto"/>
          <w:spacing w:val="0"/>
          <w:position w:val="0"/>
          <w:sz w:val="32"/>
          <w:shd w:fill="auto" w:val="clear"/>
        </w:rPr>
        <w:t xml:space="preserve">  </w:t>
      </w:r>
    </w:p>
    <w:p>
      <w:pPr>
        <w:spacing w:before="0" w:after="160" w:line="259"/>
        <w:ind w:right="0" w:left="0" w:firstLine="0"/>
        <w:jc w:val="left"/>
        <w:rPr>
          <w:rFonts w:ascii="Calibri" w:hAnsi="Calibri" w:cs="Calibri" w:eastAsia="Calibri"/>
          <w:color w:val="auto"/>
          <w:spacing w:val="0"/>
          <w:position w:val="0"/>
          <w:sz w:val="32"/>
          <w:shd w:fill="auto" w:val="clear"/>
        </w:rPr>
      </w:pPr>
      <w:r>
        <w:rPr>
          <w:rFonts w:ascii="Calibri" w:hAnsi="Calibri" w:cs="Calibri" w:eastAsia="Calibri"/>
          <w:color w:val="auto"/>
          <w:spacing w:val="0"/>
          <w:position w:val="0"/>
          <w:sz w:val="32"/>
          <w:shd w:fill="auto" w:val="clear"/>
        </w:rPr>
        <w:t xml:space="preserve">Ambulance services are a critical component of any healthcare system, providing emergency medical care and transportation to individuals who are ill or injured and require immediate medical attention. These services operate 24 hours a day, 7 days a week, responding to a wide range of medical emergencies, from heart attacks and strokes to severe trauma and accidents. The primary goal of ambulance services is to provide rapid assessment, stabilization, and transport of patients to appropriate medical facilities, thereby improving patient outcomes and potentially saving lives. This involves a team of trained medical professionals, typically paramedics and emergency medical technicians (EMTs), equipped with specialized vehicles and medical equipment to deliver advanced life support or basic life support en route to the hospital.</w:t>
      </w:r>
    </w:p>
    <w:p>
      <w:pPr>
        <w:spacing w:before="0" w:after="160" w:line="259"/>
        <w:ind w:right="0" w:left="0" w:firstLine="0"/>
        <w:jc w:val="left"/>
        <w:rPr>
          <w:rFonts w:ascii="Calibri" w:hAnsi="Calibri" w:cs="Calibri" w:eastAsia="Calibri"/>
          <w:color w:val="auto"/>
          <w:spacing w:val="0"/>
          <w:position w:val="0"/>
          <w:sz w:val="32"/>
          <w:shd w:fill="auto" w:val="clear"/>
        </w:rPr>
      </w:pPr>
    </w:p>
    <w:p>
      <w:pPr>
        <w:spacing w:before="0" w:after="160" w:line="259"/>
        <w:ind w:right="0" w:left="0" w:firstLine="0"/>
        <w:jc w:val="left"/>
        <w:rPr>
          <w:rFonts w:ascii="Calibri" w:hAnsi="Calibri" w:cs="Calibri" w:eastAsia="Calibri"/>
          <w:color w:val="auto"/>
          <w:spacing w:val="0"/>
          <w:position w:val="0"/>
          <w:sz w:val="32"/>
          <w:shd w:fill="auto" w:val="clear"/>
        </w:rPr>
      </w:pPr>
      <w:r>
        <w:rPr>
          <w:rFonts w:ascii="Calibri" w:hAnsi="Calibri" w:cs="Calibri" w:eastAsia="Calibri"/>
          <w:color w:val="auto"/>
          <w:spacing w:val="0"/>
          <w:position w:val="0"/>
          <w:sz w:val="32"/>
          <w:shd w:fill="auto" w:val="clear"/>
        </w:rPr>
        <w:t xml:space="preserve">A Brief History of Ambulance Services </w:t>
      </w:r>
    </w:p>
    <w:p>
      <w:pPr>
        <w:spacing w:before="0" w:after="160" w:line="240"/>
        <w:ind w:right="0" w:left="0" w:firstLine="0"/>
        <w:jc w:val="left"/>
        <w:rPr>
          <w:rFonts w:ascii="Calibri" w:hAnsi="Calibri" w:cs="Calibri" w:eastAsia="Calibri"/>
          <w:color w:val="auto"/>
          <w:spacing w:val="0"/>
          <w:position w:val="0"/>
          <w:sz w:val="32"/>
          <w:shd w:fill="auto" w:val="clear"/>
        </w:rPr>
      </w:pPr>
      <w:r>
        <w:object w:dxaOrig="6224" w:dyaOrig="3509">
          <v:rect xmlns:o="urn:schemas-microsoft-com:office:office" xmlns:v="urn:schemas-microsoft-com:vml" id="rectole0000000002" style="width:311.200000pt;height:175.4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160" w:line="259"/>
        <w:ind w:right="0" w:left="0" w:firstLine="0"/>
        <w:jc w:val="left"/>
        <w:rPr>
          <w:rFonts w:ascii="Calibri" w:hAnsi="Calibri" w:cs="Calibri" w:eastAsia="Calibri"/>
          <w:color w:val="auto"/>
          <w:spacing w:val="0"/>
          <w:position w:val="0"/>
          <w:sz w:val="32"/>
          <w:shd w:fill="auto" w:val="clear"/>
        </w:rPr>
      </w:pPr>
    </w:p>
    <w:p>
      <w:pPr>
        <w:spacing w:before="0" w:after="160" w:line="259"/>
        <w:ind w:right="0" w:left="0" w:firstLine="0"/>
        <w:jc w:val="left"/>
        <w:rPr>
          <w:rFonts w:ascii="Calibri" w:hAnsi="Calibri" w:cs="Calibri" w:eastAsia="Calibri"/>
          <w:color w:val="auto"/>
          <w:spacing w:val="0"/>
          <w:position w:val="0"/>
          <w:sz w:val="32"/>
          <w:shd w:fill="auto" w:val="clear"/>
        </w:rPr>
      </w:pPr>
      <w:r>
        <w:rPr>
          <w:rFonts w:ascii="Calibri" w:hAnsi="Calibri" w:cs="Calibri" w:eastAsia="Calibri"/>
          <w:color w:val="auto"/>
          <w:spacing w:val="0"/>
          <w:position w:val="0"/>
          <w:sz w:val="32"/>
          <w:shd w:fill="auto" w:val="clear"/>
        </w:rPr>
        <w:t xml:space="preserve">The concept of organized medical transport dates back centuries, with early forms of "ambulances" used on battlefields to evacuate wounded soldiers. However, the modern ambulance service as we know it began to take shape in the late 19th century. In the United States, the first ambulance service was established in Cincinnati, Ohio, in 1865, using horse-drawn carriages. The advent of the automobile revolutionized ambulance services, allowing for faster response times. Over time, the training of personnel evolved from basic first aid to advanced medical procedures, and the equipment carried on ambulances became increasingly sophisticated, mirroring advancements in emergency medicine. The development of specialized communication systems, such as two-way radios, further enhanced the efficiency and effectiveness of these vital services.</w:t>
      </w:r>
    </w:p>
    <w:p>
      <w:pPr>
        <w:spacing w:before="0" w:after="160" w:line="259"/>
        <w:ind w:right="0" w:left="0" w:firstLine="0"/>
        <w:jc w:val="left"/>
        <w:rPr>
          <w:rFonts w:ascii="Calibri" w:hAnsi="Calibri" w:cs="Calibri" w:eastAsia="Calibri"/>
          <w:color w:val="auto"/>
          <w:spacing w:val="0"/>
          <w:position w:val="0"/>
          <w:sz w:val="32"/>
          <w:shd w:fill="auto" w:val="clear"/>
        </w:rPr>
      </w:pPr>
    </w:p>
    <w:p>
      <w:pPr>
        <w:spacing w:before="0" w:after="160" w:line="259"/>
        <w:ind w:right="0" w:left="0" w:firstLine="0"/>
        <w:jc w:val="left"/>
        <w:rPr>
          <w:rFonts w:ascii="Calibri" w:hAnsi="Calibri" w:cs="Calibri" w:eastAsia="Calibri"/>
          <w:color w:val="auto"/>
          <w:spacing w:val="0"/>
          <w:position w:val="0"/>
          <w:sz w:val="32"/>
          <w:shd w:fill="auto" w:val="clear"/>
        </w:rPr>
      </w:pPr>
    </w:p>
    <w:p>
      <w:pPr>
        <w:spacing w:before="0" w:after="160" w:line="259"/>
        <w:ind w:right="0" w:left="0" w:firstLine="0"/>
        <w:jc w:val="left"/>
        <w:rPr>
          <w:rFonts w:ascii="Calibri" w:hAnsi="Calibri" w:cs="Calibri" w:eastAsia="Calibri"/>
          <w:color w:val="auto"/>
          <w:spacing w:val="0"/>
          <w:position w:val="0"/>
          <w:sz w:val="32"/>
          <w:shd w:fill="auto" w:val="clear"/>
        </w:rPr>
      </w:pPr>
      <w:r>
        <w:rPr>
          <w:rFonts w:ascii="Calibri" w:hAnsi="Calibri" w:cs="Calibri" w:eastAsia="Calibri"/>
          <w:color w:val="auto"/>
          <w:spacing w:val="0"/>
          <w:position w:val="0"/>
          <w:sz w:val="32"/>
          <w:shd w:fill="auto" w:val="clear"/>
        </w:rPr>
        <w:t xml:space="preserve">Current Functioning of Ambulance Services </w:t>
      </w:r>
    </w:p>
    <w:p>
      <w:pPr>
        <w:spacing w:before="0" w:after="160" w:line="259"/>
        <w:ind w:right="0" w:left="0" w:firstLine="0"/>
        <w:jc w:val="left"/>
        <w:rPr>
          <w:rFonts w:ascii="Calibri" w:hAnsi="Calibri" w:cs="Calibri" w:eastAsia="Calibri"/>
          <w:color w:val="auto"/>
          <w:spacing w:val="0"/>
          <w:position w:val="0"/>
          <w:sz w:val="32"/>
          <w:shd w:fill="auto" w:val="clear"/>
        </w:rPr>
      </w:pPr>
      <w:r>
        <w:rPr>
          <w:rFonts w:ascii="Calibri" w:hAnsi="Calibri" w:cs="Calibri" w:eastAsia="Calibri"/>
          <w:color w:val="auto"/>
          <w:spacing w:val="0"/>
          <w:position w:val="0"/>
          <w:sz w:val="32"/>
          <w:shd w:fill="auto" w:val="clear"/>
        </w:rPr>
        <w:t xml:space="preserve">Today, ambulance services are highly organized and integrated into the broader emergency medical services (EMS) network. When an emergency call is received, typically through a central dispatch center (e.g., 911 in the U.S.), the nearest available ambulance is dispatched. Paramedics and EMTs on board assess the patient's condition, administer necessary treatments such as CPR, administer medications, control bleeding, and stabilize fractures. They then transport the patient to the most appropriate hospital, whether it be a local community hospital or a specialized trauma center. Throughout the transport, they continuously monitor the patient's vital signs and communicate with the receiving hospital to provide a handover of critical information. Beyond emergency response, many ambulance services also provide non-emergency medical transportation for patients requiring specialized care or transport between facilities.</w:t>
      </w:r>
    </w:p>
    <w:p>
      <w:pPr>
        <w:spacing w:before="0" w:after="160" w:line="259"/>
        <w:ind w:right="0" w:left="0" w:firstLine="0"/>
        <w:jc w:val="left"/>
        <w:rPr>
          <w:rFonts w:ascii="Calibri" w:hAnsi="Calibri" w:cs="Calibri" w:eastAsia="Calibri"/>
          <w:color w:val="auto"/>
          <w:spacing w:val="0"/>
          <w:position w:val="0"/>
          <w:sz w:val="32"/>
          <w:shd w:fill="auto" w:val="clear"/>
        </w:rPr>
      </w:pPr>
    </w:p>
    <w:p>
      <w:pPr>
        <w:spacing w:before="0" w:after="160" w:line="240"/>
        <w:ind w:right="0" w:left="0" w:firstLine="0"/>
        <w:jc w:val="left"/>
        <w:rPr>
          <w:rFonts w:ascii="Calibri" w:hAnsi="Calibri" w:cs="Calibri" w:eastAsia="Calibri"/>
          <w:color w:val="auto"/>
          <w:spacing w:val="0"/>
          <w:position w:val="0"/>
          <w:sz w:val="32"/>
          <w:shd w:fill="auto" w:val="clear"/>
        </w:rPr>
      </w:pPr>
      <w:r>
        <w:object w:dxaOrig="6284" w:dyaOrig="3479">
          <v:rect xmlns:o="urn:schemas-microsoft-com:office:office" xmlns:v="urn:schemas-microsoft-com:vml" id="rectole0000000003" style="width:314.200000pt;height:173.95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0" w:after="160" w:line="240"/>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Arial" w:hAnsi="Arial" w:cs="Arial" w:eastAsia="Arial"/>
          <w:b/>
          <w:color w:val="333333"/>
          <w:spacing w:val="0"/>
          <w:position w:val="0"/>
          <w:sz w:val="28"/>
          <w:shd w:fill="auto" w:val="clear"/>
        </w:rPr>
      </w:pPr>
      <w:r>
        <w:rPr>
          <w:rFonts w:ascii="Arial" w:hAnsi="Arial" w:cs="Arial" w:eastAsia="Arial"/>
          <w:b/>
          <w:color w:val="auto"/>
          <w:spacing w:val="0"/>
          <w:position w:val="0"/>
          <w:sz w:val="44"/>
          <w:shd w:fill="auto" w:val="clear"/>
        </w:rPr>
        <w:t xml:space="preserve">Element 1      R</w:t>
      </w:r>
      <w:r>
        <w:rPr>
          <w:rFonts w:ascii="Arial" w:hAnsi="Arial" w:cs="Arial" w:eastAsia="Arial"/>
          <w:b/>
          <w:color w:val="333333"/>
          <w:spacing w:val="0"/>
          <w:position w:val="0"/>
          <w:sz w:val="44"/>
          <w:shd w:fill="auto" w:val="clear"/>
        </w:rPr>
        <w:t xml:space="preserve">eferences 6</w:t>
      </w:r>
    </w:p>
    <w:p>
      <w:pPr>
        <w:spacing w:before="0" w:after="160" w:line="259"/>
        <w:ind w:right="0" w:left="0" w:firstLine="0"/>
        <w:jc w:val="left"/>
        <w:rPr>
          <w:rFonts w:ascii="Arial" w:hAnsi="Arial" w:cs="Arial" w:eastAsia="Arial"/>
          <w:b/>
          <w:color w:val="auto"/>
          <w:spacing w:val="0"/>
          <w:position w:val="0"/>
          <w:sz w:val="28"/>
          <w:shd w:fill="auto" w:val="clear"/>
        </w:rPr>
      </w:pPr>
    </w:p>
    <w:p>
      <w:pPr>
        <w:spacing w:before="0" w:after="160" w:line="259"/>
        <w:ind w:right="0" w:left="0" w:firstLine="0"/>
        <w:jc w:val="left"/>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National EMS Museum. (2023). History of EMS.</w:t>
      </w:r>
    </w:p>
    <w:p>
      <w:pPr>
        <w:spacing w:before="0" w:after="160" w:line="259"/>
        <w:ind w:right="0" w:left="0" w:firstLine="0"/>
        <w:jc w:val="left"/>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American Ambulance Association. (2022). EMS</w:t>
      </w:r>
    </w:p>
    <w:p>
      <w:pPr>
        <w:spacing w:before="0" w:after="160" w:line="259"/>
        <w:ind w:right="0" w:left="0" w:firstLine="0"/>
        <w:jc w:val="left"/>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Workforce Report.</w:t>
      </w:r>
    </w:p>
    <w:p>
      <w:pPr>
        <w:spacing w:before="0" w:after="160" w:line="259"/>
        <w:ind w:right="0" w:left="0" w:firstLine="0"/>
        <w:jc w:val="left"/>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Journal of Emergency Nursing. (2021). Evolution of Prehospital Care.</w:t>
      </w:r>
    </w:p>
    <w:p>
      <w:pPr>
        <w:spacing w:before="0" w:after="160" w:line="259"/>
        <w:ind w:right="0" w:left="0" w:firstLine="0"/>
        <w:jc w:val="left"/>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Kaiser Family Foundation. (2023). Challenges in</w:t>
      </w:r>
    </w:p>
    <w:p>
      <w:pPr>
        <w:spacing w:before="0" w:after="160" w:line="259"/>
        <w:ind w:right="0" w:left="0" w:firstLine="0"/>
        <w:jc w:val="left"/>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•Rural EMS Funding.</w:t>
      </w:r>
    </w:p>
    <w:p>
      <w:pPr>
        <w:spacing w:before="0" w:after="160" w:line="259"/>
        <w:ind w:right="0" w:left="0" w:firstLine="0"/>
        <w:jc w:val="left"/>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National Highway Traffic Safety Administration</w:t>
      </w:r>
    </w:p>
    <w:p>
      <w:pPr>
        <w:spacing w:before="0" w:after="160" w:line="259"/>
        <w:ind w:right="0" w:left="0" w:firstLine="0"/>
        <w:jc w:val="left"/>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•(NHTSA). (2020). EMS Agenda 2050.</w:t>
      </w:r>
    </w:p>
    <w:p>
      <w:pPr>
        <w:spacing w:before="0" w:after="160" w:line="259"/>
        <w:ind w:right="0" w:left="0" w:firstLine="0"/>
        <w:jc w:val="left"/>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Prehospital Emergency Care Journal. (2022).</w:t>
      </w:r>
    </w:p>
    <w:p>
      <w:pPr>
        <w:spacing w:before="0" w:after="160" w:line="259"/>
        <w:ind w:right="0" w:left="0" w:firstLine="0"/>
        <w:jc w:val="left"/>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•Staffing and Retention Strategies.</w:t>
      </w:r>
    </w:p>
    <w:p>
      <w:pPr>
        <w:spacing w:before="0" w:after="160" w:line="259"/>
        <w:ind w:right="0" w:left="0" w:firstLine="0"/>
        <w:jc w:val="left"/>
        <w:rPr>
          <w:rFonts w:ascii="Arial" w:hAnsi="Arial" w:cs="Arial" w:eastAsia="Arial"/>
          <w:b/>
          <w:color w:val="auto"/>
          <w:spacing w:val="0"/>
          <w:position w:val="0"/>
          <w:sz w:val="28"/>
          <w:shd w:fill="auto" w:val="clear"/>
        </w:rPr>
      </w:pPr>
    </w:p>
    <w:p>
      <w:pPr>
        <w:spacing w:before="0" w:after="160" w:line="259"/>
        <w:ind w:right="0" w:left="0" w:firstLine="0"/>
        <w:jc w:val="left"/>
        <w:rPr>
          <w:rFonts w:ascii="Arial" w:hAnsi="Arial" w:cs="Arial" w:eastAsia="Arial"/>
          <w:b/>
          <w:color w:val="auto"/>
          <w:spacing w:val="0"/>
          <w:position w:val="0"/>
          <w:sz w:val="28"/>
          <w:shd w:fill="auto" w:val="clear"/>
        </w:rPr>
      </w:pPr>
    </w:p>
    <w:p>
      <w:pPr>
        <w:spacing w:before="0" w:after="160" w:line="259"/>
        <w:ind w:right="0" w:left="0" w:firstLine="0"/>
        <w:jc w:val="left"/>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48"/>
          <w:shd w:fill="auto" w:val="clear"/>
        </w:rPr>
        <w:t xml:space="preserve">Element 2</w:t>
      </w:r>
    </w:p>
    <w:p>
      <w:pPr>
        <w:spacing w:before="0" w:after="160" w:line="259"/>
        <w:ind w:right="0" w:left="0" w:firstLine="0"/>
        <w:jc w:val="left"/>
        <w:rPr>
          <w:rFonts w:ascii="Arial" w:hAnsi="Arial" w:cs="Arial" w:eastAsia="Arial"/>
          <w:b/>
          <w:color w:val="auto"/>
          <w:spacing w:val="0"/>
          <w:position w:val="0"/>
          <w:sz w:val="28"/>
          <w:shd w:fill="auto" w:val="clear"/>
        </w:rPr>
      </w:pPr>
    </w:p>
    <w:p>
      <w:pPr>
        <w:spacing w:before="0" w:after="160" w:line="259"/>
        <w:ind w:right="0" w:left="0" w:firstLine="0"/>
        <w:jc w:val="left"/>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The Vital Role of Community Pharmacies in Modern Healthcare</w:t>
      </w:r>
    </w:p>
    <w:p>
      <w:pPr>
        <w:spacing w:before="0" w:after="160" w:line="240"/>
        <w:ind w:right="0" w:left="0" w:firstLine="0"/>
        <w:jc w:val="left"/>
        <w:rPr>
          <w:rFonts w:ascii="Arial" w:hAnsi="Arial" w:cs="Arial" w:eastAsia="Arial"/>
          <w:b/>
          <w:color w:val="auto"/>
          <w:spacing w:val="0"/>
          <w:position w:val="0"/>
          <w:sz w:val="28"/>
          <w:shd w:fill="auto" w:val="clear"/>
        </w:rPr>
      </w:pPr>
      <w:r>
        <w:object w:dxaOrig="7905" w:dyaOrig="3270">
          <v:rect xmlns:o="urn:schemas-microsoft-com:office:office" xmlns:v="urn:schemas-microsoft-com:vml" id="rectole0000000004" style="width:395.250000pt;height:163.50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4" ShapeID="rectole0000000004" r:id="docRId8"/>
        </w:object>
      </w:r>
    </w:p>
    <w:p>
      <w:pPr>
        <w:spacing w:before="0" w:after="160" w:line="259"/>
        <w:ind w:right="0" w:left="0" w:firstLine="0"/>
        <w:jc w:val="left"/>
        <w:rPr>
          <w:rFonts w:ascii="Arial" w:hAnsi="Arial" w:cs="Arial" w:eastAsia="Arial"/>
          <w:b/>
          <w:color w:val="auto"/>
          <w:spacing w:val="0"/>
          <w:position w:val="0"/>
          <w:sz w:val="28"/>
          <w:shd w:fill="auto" w:val="clear"/>
        </w:rPr>
      </w:pPr>
    </w:p>
    <w:p>
      <w:pPr>
        <w:spacing w:before="0" w:after="160" w:line="259"/>
        <w:ind w:right="0" w:left="0" w:firstLine="0"/>
        <w:jc w:val="left"/>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Community pharmacies are more than just places to pick up prescriptions; they are integral pillars of accessible healthcare, offering a wide array of services that extend far beyond dispensing medication. These neighborhood health hubs play a crucial role in preventive care, chronic disease management, and public health initiatives, making them indispensable to the well-being of communities.</w:t>
      </w:r>
    </w:p>
    <w:p>
      <w:pPr>
        <w:spacing w:before="0" w:after="160" w:line="259"/>
        <w:ind w:right="0" w:left="0" w:firstLine="0"/>
        <w:jc w:val="left"/>
        <w:rPr>
          <w:rFonts w:ascii="Arial" w:hAnsi="Arial" w:cs="Arial" w:eastAsia="Arial"/>
          <w:color w:val="auto"/>
          <w:spacing w:val="0"/>
          <w:position w:val="0"/>
          <w:sz w:val="28"/>
          <w:shd w:fill="auto" w:val="clear"/>
        </w:rPr>
      </w:pPr>
    </w:p>
    <w:p>
      <w:pPr>
        <w:spacing w:before="0" w:after="160" w:line="259"/>
        <w:ind w:right="0" w:left="0" w:firstLine="0"/>
        <w:jc w:val="left"/>
        <w:rPr>
          <w:rFonts w:ascii="Arial" w:hAnsi="Arial" w:cs="Arial" w:eastAsia="Arial"/>
          <w:color w:val="auto"/>
          <w:spacing w:val="0"/>
          <w:position w:val="0"/>
          <w:sz w:val="28"/>
          <w:shd w:fill="auto" w:val="clear"/>
        </w:rPr>
      </w:pPr>
    </w:p>
    <w:p>
      <w:pPr>
        <w:spacing w:before="0" w:after="160" w:line="259"/>
        <w:ind w:right="0" w:left="0" w:firstLine="0"/>
        <w:jc w:val="left"/>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The history of pharmacy services is rooted in the ancient practice of herbalism and apothecaries, where individuals prepared and dispensed remedies. Over centuries, this evolved into a more formalized profession with the establishment of pharmacy schools and regulatory bodies. The 20th century saw a significant expansion of pharmacy services, particularly with the advent of mass-produced pharmaceuticals and the increasing complexity of medical treatments. Community pharmacies transitioned from simple dispensaries to active participants in patient care, offering advice and monitoring medication use.</w:t>
      </w:r>
    </w:p>
    <w:p>
      <w:pPr>
        <w:spacing w:before="0" w:after="160" w:line="259"/>
        <w:ind w:right="0" w:left="0" w:firstLine="0"/>
        <w:jc w:val="left"/>
        <w:rPr>
          <w:rFonts w:ascii="Arial" w:hAnsi="Arial" w:cs="Arial" w:eastAsia="Arial"/>
          <w:color w:val="auto"/>
          <w:spacing w:val="0"/>
          <w:position w:val="0"/>
          <w:sz w:val="28"/>
          <w:shd w:fill="auto" w:val="clear"/>
        </w:rPr>
      </w:pPr>
    </w:p>
    <w:p>
      <w:pPr>
        <w:spacing w:before="0" w:after="160" w:line="259"/>
        <w:ind w:right="0" w:left="0" w:firstLine="0"/>
        <w:jc w:val="left"/>
        <w:rPr>
          <w:rFonts w:ascii="Arial" w:hAnsi="Arial" w:cs="Arial" w:eastAsia="Arial"/>
          <w:color w:val="auto"/>
          <w:spacing w:val="0"/>
          <w:position w:val="0"/>
          <w:sz w:val="28"/>
          <w:shd w:fill="auto" w:val="clear"/>
        </w:rPr>
      </w:pPr>
    </w:p>
    <w:p>
      <w:pPr>
        <w:spacing w:before="0" w:after="160" w:line="259"/>
        <w:ind w:right="0" w:left="0" w:firstLine="0"/>
        <w:jc w:val="left"/>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In their current functioning, community pharmacies are multifaceted healthcare providers. They dispense prescription medications, ensuring accuracy and providing crucial counseling on dosage, side effects, and interactions. Beyond prescriptions, many pharmacies offer over-the-counter medications, health and wellness products, and basic medical supplies. Increasingly, they are becoming centers for immunizations, providing flu shots, travel vaccines, and other preventative injections. Pharmacists also conduct medication therapy management (MTM) services, working with patients and their doctors to optimize drug regimens, improve adherence, and reduce the risk of adverse events. Furthermore, many pharmacies offer health screenings for conditions like high blood pressure, diabetes, and high cholesterol, facilitating early detection and intervention. They also serve as accessible points for health education and advice on managing common ailments and promoting healthy lifestyles.</w:t>
      </w:r>
    </w:p>
    <w:p>
      <w:pPr>
        <w:spacing w:before="0" w:after="160" w:line="259"/>
        <w:ind w:right="0" w:left="0" w:firstLine="0"/>
        <w:jc w:val="left"/>
        <w:rPr>
          <w:rFonts w:ascii="Arial" w:hAnsi="Arial" w:cs="Arial" w:eastAsia="Arial"/>
          <w:color w:val="auto"/>
          <w:spacing w:val="0"/>
          <w:position w:val="0"/>
          <w:sz w:val="28"/>
          <w:shd w:fill="auto" w:val="clear"/>
        </w:rPr>
      </w:pPr>
    </w:p>
    <w:p>
      <w:pPr>
        <w:spacing w:before="0" w:after="160" w:line="259"/>
        <w:ind w:right="0" w:left="0" w:firstLine="0"/>
        <w:jc w:val="left"/>
        <w:rPr>
          <w:rFonts w:ascii="Arial" w:hAnsi="Arial" w:cs="Arial" w:eastAsia="Arial"/>
          <w:color w:val="auto"/>
          <w:spacing w:val="0"/>
          <w:position w:val="0"/>
          <w:sz w:val="28"/>
          <w:shd w:fill="auto" w:val="clear"/>
        </w:rPr>
      </w:pPr>
    </w:p>
    <w:p>
      <w:pPr>
        <w:spacing w:before="0" w:after="160" w:line="259"/>
        <w:ind w:right="0" w:left="0" w:firstLine="0"/>
        <w:jc w:val="left"/>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Despite their critical role, community pharmacies face significant challenges. One major challenge is reimbursement and economic sustainability. Pharmacy benefit managers (PBMs) and insurance companies often dictate reimbursement rates for prescription drugs and services, which can be lower than the actual cost of dispensing. This, coupled with increasing operational costs rent, staffing, inventory, puts a strain on the financial viability of many independent pharmacies, leading to closures and consolidation. The complex and often opaque nature of PBM contracts can further disadvantage pharmacies, making it difficult to negotiate fair terms.</w:t>
      </w:r>
    </w:p>
    <w:p>
      <w:pPr>
        <w:spacing w:before="0" w:after="160" w:line="259"/>
        <w:ind w:right="0" w:left="0" w:firstLine="0"/>
        <w:jc w:val="left"/>
        <w:rPr>
          <w:rFonts w:ascii="Arial" w:hAnsi="Arial" w:cs="Arial" w:eastAsia="Arial"/>
          <w:color w:val="auto"/>
          <w:spacing w:val="0"/>
          <w:position w:val="0"/>
          <w:sz w:val="28"/>
          <w:shd w:fill="auto" w:val="clear"/>
        </w:rPr>
      </w:pPr>
    </w:p>
    <w:p>
      <w:pPr>
        <w:spacing w:before="0" w:after="160" w:line="259"/>
        <w:ind w:right="0" w:left="0" w:firstLine="0"/>
        <w:jc w:val="left"/>
        <w:rPr>
          <w:rFonts w:ascii="Arial" w:hAnsi="Arial" w:cs="Arial" w:eastAsia="Arial"/>
          <w:color w:val="auto"/>
          <w:spacing w:val="0"/>
          <w:position w:val="0"/>
          <w:sz w:val="28"/>
          <w:shd w:fill="auto" w:val="clear"/>
        </w:rPr>
      </w:pPr>
    </w:p>
    <w:p>
      <w:pPr>
        <w:spacing w:before="0" w:after="160" w:line="259"/>
        <w:ind w:right="0" w:left="0" w:firstLine="0"/>
        <w:jc w:val="left"/>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Another significant challenge is the evolving scope of practice and workforce shortages. While the role of the pharmacist has expanded dramatically, the scope of services they can provide is not uniformly recognized or reimbursed across all jurisdictions. This can lead to a disconnect between the potential of pharmacy services and their actual implementation. Moreover, there is a growing shortage of qualified pharmacists and pharmacy technicians. This is due to factors such as burnout from demanding workloads, insufficient training pipelines, and competition from other healthcare sectors. This shortage impacts the ability of pharmacies to maintain adequate staffing levels, offer extended hours, and implement new services, ultimately affecting patient access and care quality.</w:t>
      </w:r>
    </w:p>
    <w:p>
      <w:pPr>
        <w:spacing w:before="0" w:after="160" w:line="259"/>
        <w:ind w:right="0" w:left="0" w:firstLine="0"/>
        <w:jc w:val="left"/>
        <w:rPr>
          <w:rFonts w:ascii="Arial" w:hAnsi="Arial" w:cs="Arial" w:eastAsia="Arial"/>
          <w:color w:val="auto"/>
          <w:spacing w:val="0"/>
          <w:position w:val="0"/>
          <w:sz w:val="28"/>
          <w:shd w:fill="auto" w:val="clear"/>
        </w:rPr>
      </w:pPr>
    </w:p>
    <w:p>
      <w:pPr>
        <w:spacing w:before="0" w:after="160" w:line="259"/>
        <w:ind w:right="0" w:left="0" w:firstLine="0"/>
        <w:jc w:val="left"/>
        <w:rPr>
          <w:rFonts w:ascii="Arial" w:hAnsi="Arial" w:cs="Arial" w:eastAsia="Arial"/>
          <w:color w:val="auto"/>
          <w:spacing w:val="0"/>
          <w:position w:val="0"/>
          <w:sz w:val="28"/>
          <w:shd w:fill="auto" w:val="clear"/>
        </w:rPr>
      </w:pPr>
      <w:r>
        <w:rPr>
          <w:rFonts w:ascii="Arial" w:hAnsi="Arial" w:cs="Arial" w:eastAsia="Arial"/>
          <w:b/>
          <w:color w:val="auto"/>
          <w:spacing w:val="0"/>
          <w:position w:val="0"/>
          <w:sz w:val="28"/>
          <w:shd w:fill="auto" w:val="clear"/>
        </w:rPr>
        <w:t xml:space="preserve">In conclusion, </w:t>
      </w:r>
    </w:p>
    <w:p>
      <w:pPr>
        <w:spacing w:before="0" w:after="160" w:line="259"/>
        <w:ind w:right="0" w:left="0" w:firstLine="0"/>
        <w:jc w:val="left"/>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community pharmacies are indispensable healthcare assets, offering a broad spectrum of services that enhance public health and patient well-being. Their historical evolution has positioned them as accessible and trusted healthcare providers. However, to ensure their continued viability and to fully leverage their potential, addressing the challenges of fair reimbursement and workforce development is paramount. Investing in and supporting community pharmacies will strengthen our healthcare system and improve health outcomes for all.</w:t>
      </w:r>
    </w:p>
    <w:p>
      <w:pPr>
        <w:spacing w:before="0" w:after="160" w:line="259"/>
        <w:ind w:right="0" w:left="0" w:firstLine="0"/>
        <w:jc w:val="left"/>
        <w:rPr>
          <w:rFonts w:ascii="Arial" w:hAnsi="Arial" w:cs="Arial" w:eastAsia="Arial"/>
          <w:color w:val="auto"/>
          <w:spacing w:val="0"/>
          <w:position w:val="0"/>
          <w:sz w:val="28"/>
          <w:shd w:fill="auto" w:val="clear"/>
        </w:rPr>
      </w:pPr>
    </w:p>
    <w:p>
      <w:pPr>
        <w:spacing w:before="0" w:after="160" w:line="259"/>
        <w:ind w:right="0" w:left="0" w:firstLine="0"/>
        <w:jc w:val="left"/>
        <w:rPr>
          <w:rFonts w:ascii="Arial" w:hAnsi="Arial" w:cs="Arial" w:eastAsia="Arial"/>
          <w:color w:val="auto"/>
          <w:spacing w:val="0"/>
          <w:position w:val="0"/>
          <w:sz w:val="28"/>
          <w:shd w:fill="auto" w:val="clear"/>
        </w:rPr>
      </w:pPr>
    </w:p>
    <w:p>
      <w:pPr>
        <w:spacing w:before="0" w:after="160" w:line="259"/>
        <w:ind w:right="0" w:left="0" w:firstLine="0"/>
        <w:jc w:val="left"/>
        <w:rPr>
          <w:rFonts w:ascii="Arial" w:hAnsi="Arial" w:cs="Arial" w:eastAsia="Arial"/>
          <w:b/>
          <w:color w:val="333333"/>
          <w:spacing w:val="0"/>
          <w:position w:val="0"/>
          <w:sz w:val="28"/>
          <w:shd w:fill="auto" w:val="clear"/>
        </w:rPr>
      </w:pPr>
      <w:r>
        <w:rPr>
          <w:rFonts w:ascii="Arial" w:hAnsi="Arial" w:cs="Arial" w:eastAsia="Arial"/>
          <w:color w:val="auto"/>
          <w:spacing w:val="0"/>
          <w:position w:val="0"/>
          <w:sz w:val="28"/>
          <w:shd w:fill="auto" w:val="clear"/>
        </w:rPr>
        <w:t xml:space="preserve">Poster elements would be incorporated here, such as a diagram illustrating the range of pharmacy services, a timeline of pharmacy history, charts showing the impact of MTM, and images representing challenges like a pharmacist counseling a patient or a "closed" sign on a pharmacy door.</w:t>
      </w:r>
    </w:p>
    <w:p>
      <w:pPr>
        <w:spacing w:before="0" w:after="160" w:line="259"/>
        <w:ind w:right="0" w:left="0" w:firstLine="0"/>
        <w:jc w:val="left"/>
        <w:rPr>
          <w:rFonts w:ascii="Arial" w:hAnsi="Arial" w:cs="Arial" w:eastAsia="Arial"/>
          <w:b/>
          <w:color w:val="333333"/>
          <w:spacing w:val="0"/>
          <w:position w:val="0"/>
          <w:sz w:val="28"/>
          <w:shd w:fill="auto" w:val="clear"/>
        </w:rPr>
      </w:pPr>
    </w:p>
    <w:p>
      <w:pPr>
        <w:spacing w:before="0" w:after="160" w:line="259"/>
        <w:ind w:right="0" w:left="0" w:firstLine="0"/>
        <w:jc w:val="left"/>
        <w:rPr>
          <w:rFonts w:ascii="Arial" w:hAnsi="Arial" w:cs="Arial" w:eastAsia="Arial"/>
          <w:b/>
          <w:color w:val="333333"/>
          <w:spacing w:val="0"/>
          <w:position w:val="0"/>
          <w:sz w:val="28"/>
          <w:shd w:fill="auto" w:val="clear"/>
        </w:rPr>
      </w:pPr>
      <w:r>
        <w:rPr>
          <w:rFonts w:ascii="Arial" w:hAnsi="Arial" w:cs="Arial" w:eastAsia="Arial"/>
          <w:b/>
          <w:color w:val="auto"/>
          <w:spacing w:val="0"/>
          <w:position w:val="0"/>
          <w:sz w:val="28"/>
          <w:shd w:fill="auto" w:val="clear"/>
        </w:rPr>
        <w:t xml:space="preserve"> Element 2      R</w:t>
      </w:r>
      <w:r>
        <w:rPr>
          <w:rFonts w:ascii="Arial" w:hAnsi="Arial" w:cs="Arial" w:eastAsia="Arial"/>
          <w:b/>
          <w:color w:val="333333"/>
          <w:spacing w:val="0"/>
          <w:position w:val="0"/>
          <w:sz w:val="28"/>
          <w:shd w:fill="auto" w:val="clear"/>
        </w:rPr>
        <w:t xml:space="preserve">eferences 6</w:t>
      </w:r>
    </w:p>
    <w:p>
      <w:pPr>
        <w:spacing w:before="0" w:after="160" w:line="259"/>
        <w:ind w:right="0" w:left="0" w:firstLine="0"/>
        <w:jc w:val="left"/>
        <w:rPr>
          <w:rFonts w:ascii="Calibri" w:hAnsi="Calibri" w:cs="Calibri" w:eastAsia="Calibri"/>
          <w:color w:val="333333"/>
          <w:spacing w:val="0"/>
          <w:position w:val="0"/>
          <w:sz w:val="22"/>
          <w:shd w:fill="auto" w:val="clear"/>
        </w:rPr>
      </w:pPr>
    </w:p>
    <w:p>
      <w:pPr>
        <w:spacing w:before="0" w:after="160" w:line="259"/>
        <w:ind w:right="0" w:left="0" w:firstLine="0"/>
        <w:jc w:val="left"/>
        <w:rPr>
          <w:rFonts w:ascii="Calibri" w:hAnsi="Calibri" w:cs="Calibri" w:eastAsia="Calibri"/>
          <w:b/>
          <w:color w:val="333333"/>
          <w:spacing w:val="0"/>
          <w:position w:val="0"/>
          <w:sz w:val="28"/>
          <w:shd w:fill="auto" w:val="clear"/>
        </w:rPr>
      </w:pPr>
      <w:r>
        <w:rPr>
          <w:rFonts w:ascii="Calibri" w:hAnsi="Calibri" w:cs="Calibri" w:eastAsia="Calibri"/>
          <w:b/>
          <w:color w:val="333333"/>
          <w:spacing w:val="0"/>
          <w:position w:val="0"/>
          <w:sz w:val="28"/>
          <w:shd w:fill="auto" w:val="clear"/>
        </w:rPr>
        <w:t xml:space="preserve">History</w:t>
      </w:r>
    </w:p>
    <w:p>
      <w:pPr>
        <w:spacing w:before="0" w:after="160" w:line="259"/>
        <w:ind w:right="0" w:left="0" w:firstLine="0"/>
        <w:jc w:val="left"/>
        <w:rPr>
          <w:rFonts w:ascii="Calibri" w:hAnsi="Calibri" w:cs="Calibri" w:eastAsia="Calibri"/>
          <w:b/>
          <w:color w:val="333333"/>
          <w:spacing w:val="0"/>
          <w:position w:val="0"/>
          <w:sz w:val="28"/>
          <w:shd w:fill="auto" w:val="clear"/>
        </w:rPr>
      </w:pPr>
      <w:r>
        <w:rPr>
          <w:rFonts w:ascii="Calibri" w:hAnsi="Calibri" w:cs="Calibri" w:eastAsia="Calibri"/>
          <w:b/>
          <w:color w:val="333333"/>
          <w:spacing w:val="0"/>
          <w:position w:val="0"/>
          <w:sz w:val="28"/>
          <w:shd w:fill="auto" w:val="clear"/>
        </w:rPr>
        <w:t xml:space="preserve">Cowen, D. L., &amp; Helfand, W. H. (1990). Pharmacy:</w:t>
      </w:r>
    </w:p>
    <w:p>
      <w:pPr>
        <w:spacing w:before="0" w:after="160" w:line="259"/>
        <w:ind w:right="0" w:left="0" w:firstLine="0"/>
        <w:jc w:val="left"/>
        <w:rPr>
          <w:rFonts w:ascii="Calibri" w:hAnsi="Calibri" w:cs="Calibri" w:eastAsia="Calibri"/>
          <w:b/>
          <w:color w:val="333333"/>
          <w:spacing w:val="0"/>
          <w:position w:val="0"/>
          <w:sz w:val="28"/>
          <w:shd w:fill="auto" w:val="clear"/>
        </w:rPr>
      </w:pPr>
      <w:r>
        <w:rPr>
          <w:rFonts w:ascii="Calibri" w:hAnsi="Calibri" w:cs="Calibri" w:eastAsia="Calibri"/>
          <w:b/>
          <w:color w:val="333333"/>
          <w:spacing w:val="0"/>
          <w:position w:val="0"/>
          <w:sz w:val="28"/>
          <w:shd w:fill="auto" w:val="clear"/>
        </w:rPr>
        <w:t xml:space="preserve">An Illustrated History.</w:t>
      </w:r>
    </w:p>
    <w:p>
      <w:pPr>
        <w:spacing w:before="0" w:after="160" w:line="259"/>
        <w:ind w:right="0" w:left="0" w:firstLine="0"/>
        <w:jc w:val="left"/>
        <w:rPr>
          <w:rFonts w:ascii="Calibri" w:hAnsi="Calibri" w:cs="Calibri" w:eastAsia="Calibri"/>
          <w:b/>
          <w:color w:val="333333"/>
          <w:spacing w:val="0"/>
          <w:position w:val="0"/>
          <w:sz w:val="28"/>
          <w:shd w:fill="auto" w:val="clear"/>
        </w:rPr>
      </w:pPr>
      <w:r>
        <w:rPr>
          <w:rFonts w:ascii="Calibri" w:hAnsi="Calibri" w:cs="Calibri" w:eastAsia="Calibri"/>
          <w:b/>
          <w:color w:val="333333"/>
          <w:spacing w:val="0"/>
          <w:position w:val="0"/>
          <w:sz w:val="28"/>
          <w:shd w:fill="auto" w:val="clear"/>
        </w:rPr>
        <w:t xml:space="preserve">Current Role</w:t>
      </w:r>
    </w:p>
    <w:p>
      <w:pPr>
        <w:spacing w:before="0" w:after="160" w:line="259"/>
        <w:ind w:right="0" w:left="0" w:firstLine="0"/>
        <w:jc w:val="left"/>
        <w:rPr>
          <w:rFonts w:ascii="Calibri" w:hAnsi="Calibri" w:cs="Calibri" w:eastAsia="Calibri"/>
          <w:b/>
          <w:color w:val="333333"/>
          <w:spacing w:val="0"/>
          <w:position w:val="0"/>
          <w:sz w:val="28"/>
          <w:shd w:fill="auto" w:val="clear"/>
        </w:rPr>
      </w:pPr>
      <w:r>
        <w:rPr>
          <w:rFonts w:ascii="Calibri" w:hAnsi="Calibri" w:cs="Calibri" w:eastAsia="Calibri"/>
          <w:b/>
          <w:color w:val="333333"/>
          <w:spacing w:val="0"/>
          <w:position w:val="0"/>
          <w:sz w:val="28"/>
          <w:shd w:fill="auto" w:val="clear"/>
        </w:rPr>
        <w:t xml:space="preserve">American Pharmacists Association (APhA).</w:t>
      </w:r>
    </w:p>
    <w:p>
      <w:pPr>
        <w:spacing w:before="0" w:after="160" w:line="259"/>
        <w:ind w:right="0" w:left="0" w:firstLine="0"/>
        <w:jc w:val="left"/>
        <w:rPr>
          <w:rFonts w:ascii="Calibri" w:hAnsi="Calibri" w:cs="Calibri" w:eastAsia="Calibri"/>
          <w:b/>
          <w:color w:val="333333"/>
          <w:spacing w:val="0"/>
          <w:position w:val="0"/>
          <w:sz w:val="28"/>
          <w:shd w:fill="auto" w:val="clear"/>
        </w:rPr>
      </w:pPr>
      <w:r>
        <w:rPr>
          <w:rFonts w:ascii="Calibri" w:hAnsi="Calibri" w:cs="Calibri" w:eastAsia="Calibri"/>
          <w:b/>
          <w:color w:val="333333"/>
          <w:spacing w:val="0"/>
          <w:position w:val="0"/>
          <w:sz w:val="28"/>
          <w:shd w:fill="auto" w:val="clear"/>
        </w:rPr>
        <w:t xml:space="preserve">(2023). Role of the Pharmacist.</w:t>
      </w:r>
    </w:p>
    <w:p>
      <w:pPr>
        <w:spacing w:before="0" w:after="160" w:line="259"/>
        <w:ind w:right="0" w:left="0" w:firstLine="0"/>
        <w:jc w:val="left"/>
        <w:rPr>
          <w:rFonts w:ascii="Calibri" w:hAnsi="Calibri" w:cs="Calibri" w:eastAsia="Calibri"/>
          <w:b/>
          <w:color w:val="333333"/>
          <w:spacing w:val="0"/>
          <w:position w:val="0"/>
          <w:sz w:val="28"/>
          <w:shd w:fill="auto" w:val="clear"/>
        </w:rPr>
      </w:pPr>
      <w:r>
        <w:rPr>
          <w:rFonts w:ascii="Calibri" w:hAnsi="Calibri" w:cs="Calibri" w:eastAsia="Calibri"/>
          <w:b/>
          <w:color w:val="333333"/>
          <w:spacing w:val="0"/>
          <w:position w:val="0"/>
          <w:sz w:val="28"/>
          <w:shd w:fill="auto" w:val="clear"/>
        </w:rPr>
        <w:t xml:space="preserve">Challenges</w:t>
      </w:r>
    </w:p>
    <w:p>
      <w:pPr>
        <w:spacing w:before="0" w:after="160" w:line="259"/>
        <w:ind w:right="0" w:left="0" w:firstLine="0"/>
        <w:jc w:val="left"/>
        <w:rPr>
          <w:rFonts w:ascii="Calibri" w:hAnsi="Calibri" w:cs="Calibri" w:eastAsia="Calibri"/>
          <w:b/>
          <w:color w:val="333333"/>
          <w:spacing w:val="0"/>
          <w:position w:val="0"/>
          <w:sz w:val="28"/>
          <w:shd w:fill="auto" w:val="clear"/>
        </w:rPr>
      </w:pPr>
      <w:r>
        <w:rPr>
          <w:rFonts w:ascii="Calibri" w:hAnsi="Calibri" w:cs="Calibri" w:eastAsia="Calibri"/>
          <w:b/>
          <w:color w:val="333333"/>
          <w:spacing w:val="0"/>
          <w:position w:val="0"/>
          <w:sz w:val="28"/>
          <w:shd w:fill="auto" w:val="clear"/>
        </w:rPr>
        <w:t xml:space="preserve">National Community Pharmacists Association</w:t>
      </w:r>
    </w:p>
    <w:p>
      <w:pPr>
        <w:spacing w:before="0" w:after="160" w:line="259"/>
        <w:ind w:right="0" w:left="0" w:firstLine="0"/>
        <w:jc w:val="left"/>
        <w:rPr>
          <w:rFonts w:ascii="Calibri" w:hAnsi="Calibri" w:cs="Calibri" w:eastAsia="Calibri"/>
          <w:b/>
          <w:color w:val="333333"/>
          <w:spacing w:val="0"/>
          <w:position w:val="0"/>
          <w:sz w:val="28"/>
          <w:shd w:fill="auto" w:val="clear"/>
        </w:rPr>
      </w:pPr>
      <w:r>
        <w:rPr>
          <w:rFonts w:ascii="Calibri" w:hAnsi="Calibri" w:cs="Calibri" w:eastAsia="Calibri"/>
          <w:b/>
          <w:color w:val="333333"/>
          <w:spacing w:val="0"/>
          <w:position w:val="0"/>
          <w:sz w:val="28"/>
          <w:shd w:fill="auto" w:val="clear"/>
        </w:rPr>
        <w:t xml:space="preserve">•(NCPA). (2023). Economic Reports.</w:t>
      </w:r>
    </w:p>
    <w:p>
      <w:pPr>
        <w:spacing w:before="0" w:after="160" w:line="259"/>
        <w:ind w:right="0" w:left="0" w:firstLine="0"/>
        <w:jc w:val="left"/>
        <w:rPr>
          <w:rFonts w:ascii="Calibri" w:hAnsi="Calibri" w:cs="Calibri" w:eastAsia="Calibri"/>
          <w:b/>
          <w:color w:val="333333"/>
          <w:spacing w:val="0"/>
          <w:position w:val="0"/>
          <w:sz w:val="28"/>
          <w:shd w:fill="auto" w:val="clear"/>
        </w:rPr>
      </w:pPr>
      <w:r>
        <w:rPr>
          <w:rFonts w:ascii="Calibri" w:hAnsi="Calibri" w:cs="Calibri" w:eastAsia="Calibri"/>
          <w:b/>
          <w:color w:val="333333"/>
          <w:spacing w:val="0"/>
          <w:position w:val="0"/>
          <w:sz w:val="28"/>
          <w:shd w:fill="auto" w:val="clear"/>
        </w:rPr>
        <w:t xml:space="preserve">Scope</w:t>
      </w:r>
    </w:p>
    <w:p>
      <w:pPr>
        <w:spacing w:before="0" w:after="160" w:line="259"/>
        <w:ind w:right="0" w:left="0" w:firstLine="0"/>
        <w:jc w:val="left"/>
        <w:rPr>
          <w:rFonts w:ascii="Calibri" w:hAnsi="Calibri" w:cs="Calibri" w:eastAsia="Calibri"/>
          <w:b/>
          <w:color w:val="333333"/>
          <w:spacing w:val="0"/>
          <w:position w:val="0"/>
          <w:sz w:val="28"/>
          <w:shd w:fill="auto" w:val="clear"/>
        </w:rPr>
      </w:pPr>
      <w:r>
        <w:rPr>
          <w:rFonts w:ascii="Calibri" w:hAnsi="Calibri" w:cs="Calibri" w:eastAsia="Calibri"/>
          <w:b/>
          <w:color w:val="333333"/>
          <w:spacing w:val="0"/>
          <w:position w:val="0"/>
          <w:sz w:val="28"/>
          <w:shd w:fill="auto" w:val="clear"/>
        </w:rPr>
        <w:t xml:space="preserve">World Health Organization. (2022). The Essential</w:t>
      </w:r>
    </w:p>
    <w:p>
      <w:pPr>
        <w:spacing w:before="0" w:after="160" w:line="259"/>
        <w:ind w:right="0" w:left="0" w:firstLine="0"/>
        <w:jc w:val="left"/>
        <w:rPr>
          <w:rFonts w:ascii="Calibri" w:hAnsi="Calibri" w:cs="Calibri" w:eastAsia="Calibri"/>
          <w:b/>
          <w:color w:val="333333"/>
          <w:spacing w:val="0"/>
          <w:position w:val="0"/>
          <w:sz w:val="28"/>
          <w:shd w:fill="auto" w:val="clear"/>
        </w:rPr>
      </w:pPr>
      <w:r>
        <w:rPr>
          <w:rFonts w:ascii="Calibri" w:hAnsi="Calibri" w:cs="Calibri" w:eastAsia="Calibri"/>
          <w:b/>
          <w:color w:val="333333"/>
          <w:spacing w:val="0"/>
          <w:position w:val="0"/>
          <w:sz w:val="28"/>
          <w:shd w:fill="auto" w:val="clear"/>
        </w:rPr>
        <w:t xml:space="preserve">Role of Pharmacists in Primary Care.</w:t>
      </w:r>
    </w:p>
    <w:p>
      <w:pPr>
        <w:spacing w:before="0" w:after="160" w:line="259"/>
        <w:ind w:right="0" w:left="0" w:firstLine="0"/>
        <w:jc w:val="left"/>
        <w:rPr>
          <w:rFonts w:ascii="Calibri" w:hAnsi="Calibri" w:cs="Calibri" w:eastAsia="Calibri"/>
          <w:b/>
          <w:color w:val="333333"/>
          <w:spacing w:val="0"/>
          <w:position w:val="0"/>
          <w:sz w:val="28"/>
          <w:shd w:fill="auto" w:val="clear"/>
        </w:rPr>
      </w:pPr>
      <w:r>
        <w:rPr>
          <w:rFonts w:ascii="Calibri" w:hAnsi="Calibri" w:cs="Calibri" w:eastAsia="Calibri"/>
          <w:b/>
          <w:color w:val="333333"/>
          <w:spacing w:val="0"/>
          <w:position w:val="0"/>
          <w:sz w:val="28"/>
          <w:shd w:fill="auto" w:val="clear"/>
        </w:rPr>
        <w:t xml:space="preserve">Regulation</w:t>
      </w:r>
    </w:p>
    <w:p>
      <w:pPr>
        <w:spacing w:before="0" w:after="160" w:line="259"/>
        <w:ind w:right="0" w:left="0" w:firstLine="0"/>
        <w:jc w:val="left"/>
        <w:rPr>
          <w:rFonts w:ascii="Calibri" w:hAnsi="Calibri" w:cs="Calibri" w:eastAsia="Calibri"/>
          <w:b/>
          <w:color w:val="333333"/>
          <w:spacing w:val="0"/>
          <w:position w:val="0"/>
          <w:sz w:val="28"/>
          <w:shd w:fill="auto" w:val="clear"/>
        </w:rPr>
      </w:pPr>
      <w:r>
        <w:rPr>
          <w:rFonts w:ascii="Calibri" w:hAnsi="Calibri" w:cs="Calibri" w:eastAsia="Calibri"/>
          <w:b/>
          <w:color w:val="333333"/>
          <w:spacing w:val="0"/>
          <w:position w:val="0"/>
          <w:sz w:val="28"/>
          <w:shd w:fill="auto" w:val="clear"/>
        </w:rPr>
        <w:t xml:space="preserve">• Vournal of the American Pharmacists Association.</w:t>
      </w:r>
    </w:p>
    <w:p>
      <w:pPr>
        <w:spacing w:before="0" w:after="160" w:line="259"/>
        <w:ind w:right="0" w:left="0" w:firstLine="0"/>
        <w:jc w:val="left"/>
        <w:rPr>
          <w:rFonts w:ascii="Calibri" w:hAnsi="Calibri" w:cs="Calibri" w:eastAsia="Calibri"/>
          <w:b/>
          <w:color w:val="333333"/>
          <w:spacing w:val="0"/>
          <w:position w:val="0"/>
          <w:sz w:val="28"/>
          <w:shd w:fill="auto" w:val="clear"/>
        </w:rPr>
      </w:pPr>
      <w:r>
        <w:rPr>
          <w:rFonts w:ascii="Calibri" w:hAnsi="Calibri" w:cs="Calibri" w:eastAsia="Calibri"/>
          <w:b/>
          <w:color w:val="333333"/>
          <w:spacing w:val="0"/>
          <w:position w:val="0"/>
          <w:sz w:val="28"/>
          <w:shd w:fill="auto" w:val="clear"/>
        </w:rPr>
        <w:t xml:space="preserve">(2021). Evolution of Pharmacy Practice.</w:t>
      </w:r>
    </w:p>
    <w:p>
      <w:pPr>
        <w:spacing w:before="0" w:after="160" w:line="259"/>
        <w:ind w:right="0" w:left="0" w:firstLine="0"/>
        <w:jc w:val="left"/>
        <w:rPr>
          <w:rFonts w:ascii="Calibri" w:hAnsi="Calibri" w:cs="Calibri" w:eastAsia="Calibri"/>
          <w:b/>
          <w:color w:val="333333"/>
          <w:spacing w:val="0"/>
          <w:position w:val="0"/>
          <w:sz w:val="28"/>
          <w:shd w:fill="auto" w:val="clear"/>
        </w:rPr>
      </w:pPr>
      <w:r>
        <w:rPr>
          <w:rFonts w:ascii="Calibri" w:hAnsi="Calibri" w:cs="Calibri" w:eastAsia="Calibri"/>
          <w:b/>
          <w:color w:val="333333"/>
          <w:spacing w:val="0"/>
          <w:position w:val="0"/>
          <w:sz w:val="28"/>
          <w:shd w:fill="auto" w:val="clear"/>
        </w:rPr>
        <w:t xml:space="preserve">Staffing</w:t>
      </w:r>
    </w:p>
    <w:p>
      <w:pPr>
        <w:spacing w:before="0" w:after="160" w:line="259"/>
        <w:ind w:right="0" w:left="0" w:firstLine="0"/>
        <w:jc w:val="left"/>
        <w:rPr>
          <w:rFonts w:ascii="Calibri" w:hAnsi="Calibri" w:cs="Calibri" w:eastAsia="Calibri"/>
          <w:b/>
          <w:color w:val="333333"/>
          <w:spacing w:val="0"/>
          <w:position w:val="0"/>
          <w:sz w:val="28"/>
          <w:shd w:fill="auto" w:val="clear"/>
        </w:rPr>
      </w:pPr>
      <w:r>
        <w:rPr>
          <w:rFonts w:ascii="Calibri" w:hAnsi="Calibri" w:cs="Calibri" w:eastAsia="Calibri"/>
          <w:b/>
          <w:color w:val="333333"/>
          <w:spacing w:val="0"/>
          <w:position w:val="0"/>
          <w:sz w:val="28"/>
          <w:shd w:fill="auto" w:val="clear"/>
        </w:rPr>
        <w:t xml:space="preserve">Pharmacy Workforce Center. (2023). National</w:t>
      </w:r>
    </w:p>
    <w:p>
      <w:pPr>
        <w:spacing w:before="0" w:after="160" w:line="259"/>
        <w:ind w:right="0" w:left="0" w:firstLine="0"/>
        <w:jc w:val="left"/>
        <w:rPr>
          <w:rFonts w:ascii="Calibri" w:hAnsi="Calibri" w:cs="Calibri" w:eastAsia="Calibri"/>
          <w:b/>
          <w:color w:val="333333"/>
          <w:spacing w:val="0"/>
          <w:position w:val="0"/>
          <w:sz w:val="28"/>
          <w:shd w:fill="auto" w:val="clear"/>
        </w:rPr>
      </w:pPr>
      <w:r>
        <w:rPr>
          <w:rFonts w:ascii="Calibri" w:hAnsi="Calibri" w:cs="Calibri" w:eastAsia="Calibri"/>
          <w:b/>
          <w:color w:val="333333"/>
          <w:spacing w:val="0"/>
          <w:position w:val="0"/>
          <w:sz w:val="28"/>
          <w:shd w:fill="auto" w:val="clear"/>
        </w:rPr>
        <w:t xml:space="preserve">•Pharmacist Workforce Survey.</w:t>
      </w:r>
    </w:p>
    <w:p>
      <w:pPr>
        <w:spacing w:before="0" w:after="160" w:line="259"/>
        <w:ind w:right="0" w:left="0" w:firstLine="0"/>
        <w:jc w:val="left"/>
        <w:rPr>
          <w:rFonts w:ascii="Calibri" w:hAnsi="Calibri" w:cs="Calibri" w:eastAsia="Calibri"/>
          <w:color w:val="333333"/>
          <w:spacing w:val="0"/>
          <w:position w:val="0"/>
          <w:sz w:val="22"/>
          <w:shd w:fill="auto" w:val="clear"/>
        </w:rPr>
      </w:pPr>
    </w:p>
    <w:p>
      <w:pPr>
        <w:spacing w:before="0" w:after="160" w:line="259"/>
        <w:ind w:right="0" w:left="0" w:firstLine="0"/>
        <w:jc w:val="left"/>
        <w:rPr>
          <w:rFonts w:ascii="Calibri" w:hAnsi="Calibri" w:cs="Calibri" w:eastAsia="Calibri"/>
          <w:color w:val="333333"/>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1.wmf" Id="docRId3" Type="http://schemas.openxmlformats.org/officeDocument/2006/relationships/image" /><Relationship Target="media/image3.wmf" Id="docRId7" Type="http://schemas.openxmlformats.org/officeDocument/2006/relationships/image" /><Relationship Target="embeddings/oleObject0.bin" Id="docRId0" Type="http://schemas.openxmlformats.org/officeDocument/2006/relationships/oleObject" /><Relationship Target="numbering.xml" Id="docRId10" Type="http://schemas.openxmlformats.org/officeDocument/2006/relationships/numbering" /><Relationship Target="embeddings/oleObject1.bin" Id="docRId2" Type="http://schemas.openxmlformats.org/officeDocument/2006/relationships/oleObject" /><Relationship Target="embeddings/oleObject2.bin" Id="docRId4" Type="http://schemas.openxmlformats.org/officeDocument/2006/relationships/oleObject" /><Relationship Target="embeddings/oleObject3.bin" Id="docRId6" Type="http://schemas.openxmlformats.org/officeDocument/2006/relationships/oleObject" /><Relationship Target="embeddings/oleObject4.bin" Id="docRId8" Type="http://schemas.openxmlformats.org/officeDocument/2006/relationships/oleObject" /><Relationship Target="media/image0.wmf" Id="docRId1" Type="http://schemas.openxmlformats.org/officeDocument/2006/relationships/image" /><Relationship Target="styles.xml" Id="docRId11" Type="http://schemas.openxmlformats.org/officeDocument/2006/relationships/styles" /><Relationship Target="media/image2.wmf" Id="docRId5" Type="http://schemas.openxmlformats.org/officeDocument/2006/relationships/image" /><Relationship Target="media/image4.wmf" Id="docRId9" Type="http://schemas.openxmlformats.org/officeDocument/2006/relationships/image" /></Relationships>
</file>