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3EB037" w14:textId="0BDA40BE" w:rsidR="00BA2541" w:rsidRDefault="00BA2541" w:rsidP="00BA2541">
      <w:pPr>
        <w:pStyle w:val="NormalWeb"/>
        <w:spacing w:before="0" w:beforeAutospacing="0" w:after="0" w:afterAutospacing="0"/>
        <w:ind w:left="-180" w:right="-334"/>
      </w:pPr>
      <w:r>
        <w:rPr>
          <w:noProof/>
        </w:rPr>
        <w:drawing>
          <wp:inline distT="0" distB="0" distL="0" distR="0" wp14:anchorId="4E0AED4E" wp14:editId="5EE17F37">
            <wp:extent cx="1905000" cy="63817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3FAF084" w14:textId="77777777" w:rsidR="00BA2541" w:rsidRDefault="00BA2541" w:rsidP="00BA2541">
      <w:pPr>
        <w:pStyle w:val="NormalWeb"/>
        <w:spacing w:before="0" w:beforeAutospacing="0" w:after="0" w:afterAutospacing="0"/>
        <w:ind w:left="-180" w:right="-334"/>
      </w:pPr>
    </w:p>
    <w:p w14:paraId="0CE9DD2F" w14:textId="77777777" w:rsidR="00BA2541" w:rsidRDefault="00BA2541" w:rsidP="00BA2541">
      <w:pPr>
        <w:pStyle w:val="NormalWeb"/>
        <w:spacing w:before="0" w:beforeAutospacing="0" w:after="0" w:afterAutospacing="0"/>
        <w:ind w:left="-180" w:right="-334"/>
      </w:pPr>
    </w:p>
    <w:p w14:paraId="02D716C4" w14:textId="77777777" w:rsidR="00BA2541" w:rsidRDefault="00BA2541" w:rsidP="00BA2541">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09103A5" w14:textId="77777777" w:rsidR="00BA2541" w:rsidRPr="00230F35" w:rsidRDefault="00BA2541" w:rsidP="00BA2541">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6458B64" w14:textId="77777777" w:rsidR="00BA2541" w:rsidRPr="00230F35" w:rsidRDefault="00BA2541" w:rsidP="00BA2541">
      <w:pPr>
        <w:rPr>
          <w:sz w:val="28"/>
          <w:szCs w:val="28"/>
          <w:lang w:val="cy-GB"/>
        </w:rPr>
      </w:pPr>
    </w:p>
    <w:p w14:paraId="55013985" w14:textId="77777777" w:rsidR="00BA2541" w:rsidRDefault="00BA2541" w:rsidP="00BA2541">
      <w:pPr>
        <w:pStyle w:val="Heading3"/>
        <w:jc w:val="center"/>
        <w:rPr>
          <w:lang w:val="cy-GB"/>
        </w:rPr>
      </w:pPr>
      <w:r>
        <w:rPr>
          <w:lang w:val="cy-GB"/>
        </w:rPr>
        <w:t>THIS SHEET MUST BE THE FIRST PAGE OF THE ASSIGNMENT YOU ARE SUBMITTING  (DO NOT SEND AS A SEPARATE FILE)</w:t>
      </w:r>
    </w:p>
    <w:p w14:paraId="2B087404" w14:textId="77777777" w:rsidR="00BA2541" w:rsidRDefault="00BA2541" w:rsidP="00BA2541">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A2541" w:rsidRPr="00230F35" w14:paraId="7F2EE29E" w14:textId="77777777" w:rsidTr="00264B22">
        <w:trPr>
          <w:trHeight w:val="614"/>
        </w:trPr>
        <w:tc>
          <w:tcPr>
            <w:tcW w:w="8856" w:type="dxa"/>
            <w:gridSpan w:val="5"/>
          </w:tcPr>
          <w:p w14:paraId="7E5788FA" w14:textId="77777777"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A2541" w:rsidRPr="00230F35" w14:paraId="16DE9A37" w14:textId="77777777" w:rsidTr="00264B22">
        <w:trPr>
          <w:trHeight w:val="718"/>
        </w:trPr>
        <w:tc>
          <w:tcPr>
            <w:tcW w:w="8856" w:type="dxa"/>
            <w:gridSpan w:val="5"/>
          </w:tcPr>
          <w:p w14:paraId="44B8B4B8" w14:textId="5508D7F0" w:rsidR="00BA2541"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Denize Jacques</w:t>
            </w:r>
          </w:p>
          <w:p w14:paraId="7CF9D147" w14:textId="77777777" w:rsidR="00BA2541" w:rsidRPr="00230F35" w:rsidRDefault="00BA2541" w:rsidP="00264B22">
            <w:pPr>
              <w:pStyle w:val="NormalWeb"/>
              <w:spacing w:before="0" w:beforeAutospacing="0" w:after="0" w:afterAutospacing="0"/>
              <w:ind w:right="34"/>
              <w:rPr>
                <w:rFonts w:ascii="Arial" w:hAnsi="Arial" w:cs="Arial"/>
                <w:sz w:val="22"/>
                <w:szCs w:val="22"/>
              </w:rPr>
            </w:pPr>
          </w:p>
        </w:tc>
      </w:tr>
      <w:tr w:rsidR="00BA2541" w:rsidRPr="00230F35" w14:paraId="219621F5" w14:textId="77777777" w:rsidTr="00264B22">
        <w:trPr>
          <w:trHeight w:val="849"/>
        </w:trPr>
        <w:tc>
          <w:tcPr>
            <w:tcW w:w="4788" w:type="dxa"/>
          </w:tcPr>
          <w:p w14:paraId="74CEE88C" w14:textId="4BA5A7B8"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BA2541">
              <w:rPr>
                <w:rFonts w:ascii="Arial" w:hAnsi="Arial" w:cs="Arial"/>
                <w:sz w:val="22"/>
                <w:szCs w:val="22"/>
              </w:rPr>
              <w:t>AHHI 7016</w:t>
            </w:r>
          </w:p>
          <w:p w14:paraId="40BC4862" w14:textId="77777777" w:rsidR="00BA2541" w:rsidRPr="00230F35" w:rsidRDefault="00BA2541" w:rsidP="00264B22">
            <w:pPr>
              <w:pStyle w:val="NormalWeb"/>
              <w:spacing w:before="0" w:beforeAutospacing="0" w:after="0" w:afterAutospacing="0"/>
              <w:ind w:right="34"/>
              <w:rPr>
                <w:rFonts w:ascii="Arial" w:hAnsi="Arial" w:cs="Arial"/>
                <w:sz w:val="22"/>
                <w:szCs w:val="22"/>
              </w:rPr>
            </w:pPr>
          </w:p>
          <w:p w14:paraId="1231A575" w14:textId="5EB23CFA" w:rsidR="00BA2541"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BA2541">
              <w:rPr>
                <w:rFonts w:ascii="Arial" w:hAnsi="Arial" w:cs="Arial"/>
                <w:sz w:val="22"/>
                <w:szCs w:val="22"/>
              </w:rPr>
              <w:t>Studying the Medieval</w:t>
            </w:r>
          </w:p>
          <w:p w14:paraId="15A5226B" w14:textId="77777777" w:rsidR="00BA2541" w:rsidRDefault="00BA2541" w:rsidP="00264B22">
            <w:pPr>
              <w:pStyle w:val="NormalWeb"/>
              <w:spacing w:before="0" w:beforeAutospacing="0" w:after="0" w:afterAutospacing="0"/>
              <w:ind w:right="34"/>
              <w:rPr>
                <w:rFonts w:ascii="Arial" w:hAnsi="Arial" w:cs="Arial"/>
                <w:sz w:val="22"/>
                <w:szCs w:val="22"/>
              </w:rPr>
            </w:pPr>
          </w:p>
          <w:p w14:paraId="7B261D16" w14:textId="77777777" w:rsidR="00BA2541" w:rsidRPr="00230F35" w:rsidRDefault="00BA2541" w:rsidP="00264B22">
            <w:pPr>
              <w:pStyle w:val="NormalWeb"/>
              <w:spacing w:before="0" w:beforeAutospacing="0" w:after="0" w:afterAutospacing="0"/>
              <w:ind w:right="34"/>
              <w:rPr>
                <w:rFonts w:ascii="Arial" w:hAnsi="Arial" w:cs="Arial"/>
                <w:sz w:val="22"/>
                <w:szCs w:val="22"/>
              </w:rPr>
            </w:pPr>
          </w:p>
        </w:tc>
        <w:tc>
          <w:tcPr>
            <w:tcW w:w="2266" w:type="dxa"/>
            <w:gridSpan w:val="3"/>
          </w:tcPr>
          <w:p w14:paraId="0E1CC1E0" w14:textId="77777777" w:rsidR="00BA2541"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036DA5E" w14:textId="79A22416" w:rsidR="00BA2541" w:rsidRPr="00230F35" w:rsidRDefault="00BA2541" w:rsidP="00264B22">
            <w:pPr>
              <w:pStyle w:val="NormalWeb"/>
              <w:spacing w:before="0" w:beforeAutospacing="0" w:after="0" w:afterAutospacing="0"/>
              <w:ind w:right="34"/>
              <w:rPr>
                <w:rFonts w:ascii="Arial" w:hAnsi="Arial" w:cs="Arial"/>
                <w:sz w:val="22"/>
                <w:szCs w:val="22"/>
              </w:rPr>
            </w:pPr>
            <w:r w:rsidRPr="00BA2541">
              <w:rPr>
                <w:rFonts w:ascii="Arial" w:hAnsi="Arial" w:cs="Arial"/>
                <w:sz w:val="22"/>
                <w:szCs w:val="22"/>
              </w:rPr>
              <w:t>1814729</w:t>
            </w:r>
          </w:p>
        </w:tc>
        <w:tc>
          <w:tcPr>
            <w:tcW w:w="1802" w:type="dxa"/>
          </w:tcPr>
          <w:p w14:paraId="536407E9" w14:textId="77777777"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F906597" w14:textId="77777777"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BA2541" w:rsidRPr="00230F35" w14:paraId="5E872708" w14:textId="77777777" w:rsidTr="00264B22">
        <w:trPr>
          <w:trHeight w:val="1139"/>
        </w:trPr>
        <w:tc>
          <w:tcPr>
            <w:tcW w:w="8856" w:type="dxa"/>
            <w:gridSpan w:val="5"/>
          </w:tcPr>
          <w:p w14:paraId="17A16E27" w14:textId="488BCBB6" w:rsidR="00BA2541" w:rsidRPr="00230F35" w:rsidRDefault="00BA2541" w:rsidP="00264B22">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Professor </w:t>
            </w:r>
            <w:r w:rsidRPr="00BA2541">
              <w:rPr>
                <w:rFonts w:ascii="Arial" w:hAnsi="Arial" w:cs="Arial"/>
                <w:sz w:val="22"/>
                <w:szCs w:val="22"/>
              </w:rPr>
              <w:t>Janet Burton</w:t>
            </w:r>
          </w:p>
          <w:p w14:paraId="270B7FD9" w14:textId="77777777" w:rsidR="00BA2541" w:rsidRPr="00230F35" w:rsidRDefault="00BA2541" w:rsidP="00264B22">
            <w:pPr>
              <w:pStyle w:val="NormalWeb"/>
              <w:spacing w:before="0" w:beforeAutospacing="0" w:after="0" w:afterAutospacing="0"/>
              <w:ind w:right="34"/>
              <w:rPr>
                <w:rFonts w:ascii="Arial" w:hAnsi="Arial" w:cs="Arial"/>
                <w:sz w:val="22"/>
                <w:szCs w:val="22"/>
              </w:rPr>
            </w:pPr>
          </w:p>
          <w:p w14:paraId="7F346BB7" w14:textId="77777777" w:rsidR="00BA2541" w:rsidRDefault="00BA2541" w:rsidP="00264B22">
            <w:pPr>
              <w:pStyle w:val="NormalWeb"/>
              <w:spacing w:before="0" w:beforeAutospacing="0" w:after="0" w:afterAutospacing="0"/>
              <w:ind w:right="34"/>
              <w:rPr>
                <w:rFonts w:ascii="Arial" w:hAnsi="Arial" w:cs="Arial"/>
                <w:sz w:val="22"/>
                <w:szCs w:val="22"/>
              </w:rPr>
            </w:pPr>
          </w:p>
          <w:p w14:paraId="19153B0D" w14:textId="777B4B13"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12</w:t>
            </w:r>
            <w:r w:rsidRPr="00BA2541">
              <w:rPr>
                <w:rFonts w:ascii="Arial" w:hAnsi="Arial" w:cs="Arial"/>
                <w:sz w:val="22"/>
                <w:szCs w:val="22"/>
                <w:vertAlign w:val="superscript"/>
              </w:rPr>
              <w:t>th</w:t>
            </w:r>
            <w:r>
              <w:rPr>
                <w:rFonts w:ascii="Arial" w:hAnsi="Arial" w:cs="Arial"/>
                <w:sz w:val="22"/>
                <w:szCs w:val="22"/>
              </w:rPr>
              <w:t xml:space="preserve"> June 2020</w:t>
            </w:r>
          </w:p>
        </w:tc>
      </w:tr>
      <w:tr w:rsidR="00BA2541" w:rsidRPr="00230F35" w14:paraId="578C7328" w14:textId="77777777" w:rsidTr="00264B22">
        <w:trPr>
          <w:trHeight w:val="978"/>
        </w:trPr>
        <w:tc>
          <w:tcPr>
            <w:tcW w:w="8856" w:type="dxa"/>
            <w:gridSpan w:val="5"/>
            <w:tcBorders>
              <w:bottom w:val="single" w:sz="4" w:space="0" w:color="000000"/>
            </w:tcBorders>
          </w:tcPr>
          <w:p w14:paraId="01F1386C" w14:textId="77777777" w:rsidR="00BA2541" w:rsidRDefault="00BA2541" w:rsidP="00264B22">
            <w:r>
              <w:t xml:space="preserve">If your module has multiple </w:t>
            </w:r>
            <w:proofErr w:type="gramStart"/>
            <w:r>
              <w:t>submissions</w:t>
            </w:r>
            <w:proofErr w:type="gramEnd"/>
            <w:r>
              <w:t xml:space="preserve"> please indicate which piece of work this is.</w:t>
            </w:r>
          </w:p>
          <w:p w14:paraId="1E0E4AE6" w14:textId="77777777" w:rsidR="00BA2541" w:rsidRDefault="00BA2541" w:rsidP="00264B22"/>
          <w:p w14:paraId="255C0DDC" w14:textId="35DC375C" w:rsidR="00BA2541" w:rsidRPr="00230F35" w:rsidRDefault="00BA2541" w:rsidP="00264B22">
            <w:r w:rsidRPr="00230F35">
              <w:t>1</w:t>
            </w:r>
            <w:r w:rsidRPr="00230F35">
              <w:rPr>
                <w:vertAlign w:val="superscript"/>
              </w:rPr>
              <w:t xml:space="preserve">st </w:t>
            </w:r>
            <w:r w:rsidRPr="00230F35">
              <w:fldChar w:fldCharType="begin">
                <w:ffData>
                  <w:name w:val="Check13"/>
                  <w:enabled/>
                  <w:calcOnExit w:val="0"/>
                  <w:checkBox>
                    <w:sizeAuto/>
                    <w:default w:val="0"/>
                  </w:checkBox>
                </w:ffData>
              </w:fldChar>
            </w:r>
            <w:bookmarkStart w:id="0" w:name="Check13"/>
            <w:r w:rsidRPr="00230F35">
              <w:instrText xml:space="preserve"> FORMCHECKBOX </w:instrText>
            </w:r>
            <w:r w:rsidRPr="00230F35">
              <w:fldChar w:fldCharType="end"/>
            </w:r>
            <w:bookmarkEnd w:id="0"/>
            <w:r w:rsidRPr="00230F35">
              <w:t xml:space="preserve">    2</w:t>
            </w:r>
            <w:r w:rsidRPr="00230F35">
              <w:rPr>
                <w:vertAlign w:val="superscript"/>
              </w:rPr>
              <w:t>nd</w:t>
            </w:r>
            <w:r w:rsidRPr="00230F35">
              <w:t xml:space="preserve">  </w:t>
            </w:r>
            <w:r>
              <w:fldChar w:fldCharType="begin">
                <w:ffData>
                  <w:name w:val="Check14"/>
                  <w:enabled/>
                  <w:calcOnExit w:val="0"/>
                  <w:checkBox>
                    <w:sizeAuto/>
                    <w:default w:val="1"/>
                  </w:checkBox>
                </w:ffData>
              </w:fldChar>
            </w:r>
            <w:bookmarkStart w:id="1" w:name="Check14"/>
            <w:r>
              <w:instrText xml:space="preserve"> FORMCHECKBOX </w:instrText>
            </w:r>
            <w:r>
              <w:fldChar w:fldCharType="end"/>
            </w:r>
            <w:bookmarkEnd w:id="1"/>
            <w:r w:rsidRPr="00230F35">
              <w:t xml:space="preserve">     3</w:t>
            </w:r>
            <w:r w:rsidRPr="00230F35">
              <w:rPr>
                <w:vertAlign w:val="superscript"/>
              </w:rPr>
              <w:t>rd</w:t>
            </w:r>
            <w:r w:rsidRPr="00230F35">
              <w:t xml:space="preserve">  </w:t>
            </w:r>
            <w:r w:rsidRPr="00230F35">
              <w:fldChar w:fldCharType="begin">
                <w:ffData>
                  <w:name w:val="Check15"/>
                  <w:enabled/>
                  <w:calcOnExit w:val="0"/>
                  <w:checkBox>
                    <w:sizeAuto/>
                    <w:default w:val="0"/>
                  </w:checkBox>
                </w:ffData>
              </w:fldChar>
            </w:r>
            <w:bookmarkStart w:id="2" w:name="Check15"/>
            <w:r w:rsidRPr="00230F35">
              <w:instrText xml:space="preserve"> FORMCHECKBOX </w:instrText>
            </w:r>
            <w:r w:rsidRPr="00230F35">
              <w:fldChar w:fldCharType="end"/>
            </w:r>
            <w:bookmarkEnd w:id="2"/>
            <w:r w:rsidRPr="00230F35">
              <w:t xml:space="preserve">      4</w:t>
            </w:r>
            <w:r w:rsidRPr="00230F35">
              <w:rPr>
                <w:vertAlign w:val="superscript"/>
              </w:rPr>
              <w:t>th</w:t>
            </w:r>
            <w:r w:rsidRPr="00230F35">
              <w:t xml:space="preserve"> </w:t>
            </w:r>
            <w:r w:rsidRPr="00230F35">
              <w:fldChar w:fldCharType="begin">
                <w:ffData>
                  <w:name w:val="Check16"/>
                  <w:enabled/>
                  <w:calcOnExit w:val="0"/>
                  <w:checkBox>
                    <w:sizeAuto/>
                    <w:default w:val="0"/>
                  </w:checkBox>
                </w:ffData>
              </w:fldChar>
            </w:r>
            <w:bookmarkStart w:id="3" w:name="Check16"/>
            <w:r w:rsidRPr="00230F35">
              <w:instrText xml:space="preserve"> FORMCHECKBOX </w:instrText>
            </w:r>
            <w:r w:rsidRPr="00230F35">
              <w:fldChar w:fldCharType="end"/>
            </w:r>
            <w:bookmarkEnd w:id="3"/>
            <w:r w:rsidRPr="00230F35">
              <w:t xml:space="preserve">      5</w:t>
            </w:r>
            <w:r w:rsidRPr="00230F35">
              <w:rPr>
                <w:vertAlign w:val="superscript"/>
              </w:rPr>
              <w:t>th</w:t>
            </w:r>
            <w:r w:rsidRPr="00230F35">
              <w:t xml:space="preserve"> </w:t>
            </w:r>
            <w:r w:rsidRPr="00230F35">
              <w:fldChar w:fldCharType="begin">
                <w:ffData>
                  <w:name w:val="Check17"/>
                  <w:enabled/>
                  <w:calcOnExit w:val="0"/>
                  <w:checkBox>
                    <w:sizeAuto/>
                    <w:default w:val="0"/>
                  </w:checkBox>
                </w:ffData>
              </w:fldChar>
            </w:r>
            <w:bookmarkStart w:id="4" w:name="Check17"/>
            <w:r w:rsidRPr="00230F35">
              <w:instrText xml:space="preserve"> FORMCHECKBOX </w:instrText>
            </w:r>
            <w:r w:rsidRPr="00230F35">
              <w:fldChar w:fldCharType="end"/>
            </w:r>
            <w:bookmarkEnd w:id="4"/>
            <w:r w:rsidRPr="00230F35">
              <w:t xml:space="preserve">      6</w:t>
            </w:r>
            <w:r w:rsidRPr="00230F35">
              <w:rPr>
                <w:vertAlign w:val="superscript"/>
              </w:rPr>
              <w:t>th</w:t>
            </w:r>
            <w:r w:rsidRPr="00230F35">
              <w:t xml:space="preserve"> </w:t>
            </w:r>
            <w:r w:rsidRPr="00230F35">
              <w:fldChar w:fldCharType="begin">
                <w:ffData>
                  <w:name w:val="Check18"/>
                  <w:enabled/>
                  <w:calcOnExit w:val="0"/>
                  <w:checkBox>
                    <w:sizeAuto/>
                    <w:default w:val="0"/>
                  </w:checkBox>
                </w:ffData>
              </w:fldChar>
            </w:r>
            <w:bookmarkStart w:id="5" w:name="Check18"/>
            <w:r w:rsidRPr="00230F35">
              <w:instrText xml:space="preserve"> FORMCHECKBOX </w:instrText>
            </w:r>
            <w:r w:rsidRPr="00230F35">
              <w:fldChar w:fldCharType="end"/>
            </w:r>
            <w:bookmarkEnd w:id="5"/>
          </w:p>
        </w:tc>
      </w:tr>
      <w:tr w:rsidR="00BA2541" w:rsidRPr="00230F35" w14:paraId="5E182BDF" w14:textId="77777777" w:rsidTr="00264B22">
        <w:trPr>
          <w:trHeight w:val="978"/>
        </w:trPr>
        <w:tc>
          <w:tcPr>
            <w:tcW w:w="8856" w:type="dxa"/>
            <w:gridSpan w:val="5"/>
            <w:shd w:val="clear" w:color="auto" w:fill="D9D9D9"/>
          </w:tcPr>
          <w:p w14:paraId="422AB540" w14:textId="77777777" w:rsidR="00BA2541" w:rsidRPr="00230F35"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B782B6B" w14:textId="76AEE1E8" w:rsidR="00BA2541" w:rsidRDefault="00BA2541" w:rsidP="00264B2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DENIZE JACQUES</w:t>
            </w:r>
            <w:r w:rsidRPr="00230F35">
              <w:rPr>
                <w:rFonts w:ascii="Arial" w:hAnsi="Arial" w:cs="Arial"/>
                <w:sz w:val="22"/>
                <w:szCs w:val="22"/>
              </w:rPr>
              <w:t>…………………………………………</w:t>
            </w:r>
          </w:p>
          <w:p w14:paraId="4C269989" w14:textId="7CBB47CB" w:rsidR="00BA2541" w:rsidRDefault="00BA2541" w:rsidP="00264B2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BA2541">
              <w:rPr>
                <w:rFonts w:ascii="Segoe UI Symbol" w:hAnsi="Segoe UI Symbol" w:cs="Segoe UI Symbol"/>
                <w:b/>
                <w:sz w:val="44"/>
                <w:szCs w:val="44"/>
              </w:rPr>
              <w:t>☒</w:t>
            </w:r>
          </w:p>
          <w:p w14:paraId="7FDD0BBC" w14:textId="77777777" w:rsidR="00BA2541" w:rsidRPr="00230F35" w:rsidRDefault="00BA2541" w:rsidP="00264B2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A2541" w:rsidRPr="00230F35" w14:paraId="576AEC46" w14:textId="77777777" w:rsidTr="00264B22">
        <w:trPr>
          <w:trHeight w:val="3972"/>
        </w:trPr>
        <w:tc>
          <w:tcPr>
            <w:tcW w:w="8856" w:type="dxa"/>
            <w:gridSpan w:val="5"/>
          </w:tcPr>
          <w:p w14:paraId="6057FE86" w14:textId="77777777" w:rsidR="00BA2541" w:rsidRDefault="00BA2541" w:rsidP="00264B22">
            <w:pPr>
              <w:rPr>
                <w:b/>
              </w:rPr>
            </w:pPr>
          </w:p>
          <w:p w14:paraId="2ACC45D4" w14:textId="77777777" w:rsidR="00BA2541" w:rsidRPr="00116CE6" w:rsidRDefault="00BA2541" w:rsidP="00264B22">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A2541" w:rsidRPr="00116CE6" w14:paraId="006F0899" w14:textId="77777777" w:rsidTr="00264B22">
              <w:tc>
                <w:tcPr>
                  <w:tcW w:w="6970" w:type="dxa"/>
                </w:tcPr>
                <w:p w14:paraId="799FA61C" w14:textId="77777777" w:rsidR="00BA2541" w:rsidRPr="00116CE6" w:rsidRDefault="00BA2541" w:rsidP="00264B22">
                  <w:pPr>
                    <w:rPr>
                      <w:sz w:val="20"/>
                      <w:szCs w:val="20"/>
                    </w:rPr>
                  </w:pPr>
                </w:p>
                <w:p w14:paraId="7CB4870A" w14:textId="77777777" w:rsidR="00BA2541" w:rsidRPr="00116CE6" w:rsidRDefault="00BA2541" w:rsidP="00264B22">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34AD890A" w14:textId="77777777" w:rsidR="00BA2541" w:rsidRPr="00116CE6" w:rsidRDefault="00BA2541" w:rsidP="00264B22">
                  <w:pPr>
                    <w:rPr>
                      <w:sz w:val="20"/>
                      <w:szCs w:val="20"/>
                    </w:rPr>
                  </w:pPr>
                </w:p>
              </w:tc>
            </w:tr>
            <w:tr w:rsidR="00BA2541" w:rsidRPr="00116CE6" w14:paraId="063102F4" w14:textId="77777777" w:rsidTr="00264B22">
              <w:tc>
                <w:tcPr>
                  <w:tcW w:w="6970" w:type="dxa"/>
                </w:tcPr>
                <w:p w14:paraId="3EA97F64" w14:textId="77777777" w:rsidR="00BA2541" w:rsidRPr="00116CE6" w:rsidRDefault="00BA2541" w:rsidP="00264B22">
                  <w:pPr>
                    <w:rPr>
                      <w:sz w:val="20"/>
                      <w:szCs w:val="20"/>
                    </w:rPr>
                  </w:pPr>
                </w:p>
                <w:p w14:paraId="078906CF" w14:textId="77777777" w:rsidR="00BA2541" w:rsidRPr="00116CE6" w:rsidRDefault="00BA2541" w:rsidP="00264B22">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2ED6EC39" w14:textId="77777777" w:rsidR="00BA2541" w:rsidRPr="00116CE6" w:rsidRDefault="00BA2541" w:rsidP="00264B22">
                  <w:pPr>
                    <w:rPr>
                      <w:sz w:val="20"/>
                      <w:szCs w:val="20"/>
                    </w:rPr>
                  </w:pPr>
                </w:p>
              </w:tc>
            </w:tr>
            <w:tr w:rsidR="00BA2541" w:rsidRPr="00116CE6" w14:paraId="2FDBE63E" w14:textId="77777777" w:rsidTr="00264B22">
              <w:tc>
                <w:tcPr>
                  <w:tcW w:w="6970" w:type="dxa"/>
                </w:tcPr>
                <w:p w14:paraId="214AFF9E" w14:textId="77777777" w:rsidR="00BA2541" w:rsidRPr="00116CE6" w:rsidRDefault="00BA2541" w:rsidP="00264B22">
                  <w:pPr>
                    <w:rPr>
                      <w:sz w:val="20"/>
                      <w:szCs w:val="20"/>
                    </w:rPr>
                  </w:pPr>
                </w:p>
                <w:p w14:paraId="553D13FC" w14:textId="77777777" w:rsidR="00BA2541" w:rsidRPr="00116CE6" w:rsidRDefault="00BA2541" w:rsidP="00264B22">
                  <w:pPr>
                    <w:rPr>
                      <w:sz w:val="20"/>
                      <w:szCs w:val="20"/>
                    </w:rPr>
                  </w:pPr>
                  <w:r w:rsidRPr="00116CE6">
                    <w:rPr>
                      <w:sz w:val="20"/>
                      <w:szCs w:val="20"/>
                    </w:rPr>
                    <w:t>External Examiner’s mark</w:t>
                  </w:r>
                  <w:r>
                    <w:rPr>
                      <w:sz w:val="20"/>
                      <w:szCs w:val="20"/>
                    </w:rPr>
                    <w:t xml:space="preserve"> (if relevant)</w:t>
                  </w:r>
                </w:p>
              </w:tc>
              <w:tc>
                <w:tcPr>
                  <w:tcW w:w="1660" w:type="dxa"/>
                </w:tcPr>
                <w:p w14:paraId="23347E3E" w14:textId="77777777" w:rsidR="00BA2541" w:rsidRPr="00116CE6" w:rsidRDefault="00BA2541" w:rsidP="00264B22">
                  <w:pPr>
                    <w:rPr>
                      <w:sz w:val="20"/>
                      <w:szCs w:val="20"/>
                    </w:rPr>
                  </w:pPr>
                </w:p>
              </w:tc>
            </w:tr>
            <w:tr w:rsidR="00BA2541" w:rsidRPr="00116CE6" w14:paraId="064DD940" w14:textId="77777777" w:rsidTr="00264B22">
              <w:tc>
                <w:tcPr>
                  <w:tcW w:w="6970" w:type="dxa"/>
                </w:tcPr>
                <w:p w14:paraId="221CAA92" w14:textId="77777777" w:rsidR="00BA2541" w:rsidRDefault="00BA2541" w:rsidP="00264B22">
                  <w:pPr>
                    <w:rPr>
                      <w:sz w:val="20"/>
                      <w:szCs w:val="20"/>
                    </w:rPr>
                  </w:pPr>
                </w:p>
                <w:p w14:paraId="40C878E8" w14:textId="77777777" w:rsidR="00BA2541" w:rsidRPr="00022345" w:rsidRDefault="00BA2541" w:rsidP="00264B22">
                  <w:pPr>
                    <w:rPr>
                      <w:b/>
                      <w:sz w:val="20"/>
                      <w:szCs w:val="20"/>
                    </w:rPr>
                  </w:pPr>
                  <w:r w:rsidRPr="00022345">
                    <w:rPr>
                      <w:b/>
                      <w:sz w:val="20"/>
                      <w:szCs w:val="20"/>
                    </w:rPr>
                    <w:t>Final Mark</w:t>
                  </w:r>
                </w:p>
                <w:p w14:paraId="65D33C43" w14:textId="77777777" w:rsidR="00BA2541" w:rsidRPr="00116CE6" w:rsidRDefault="00BA2541" w:rsidP="00264B22">
                  <w:pPr>
                    <w:rPr>
                      <w:sz w:val="20"/>
                      <w:szCs w:val="20"/>
                    </w:rPr>
                  </w:pPr>
                </w:p>
              </w:tc>
              <w:tc>
                <w:tcPr>
                  <w:tcW w:w="1660" w:type="dxa"/>
                </w:tcPr>
                <w:p w14:paraId="73BBCA53" w14:textId="77777777" w:rsidR="00BA2541" w:rsidRPr="00116CE6" w:rsidRDefault="00BA2541" w:rsidP="00264B22">
                  <w:pPr>
                    <w:rPr>
                      <w:sz w:val="20"/>
                      <w:szCs w:val="20"/>
                    </w:rPr>
                  </w:pPr>
                </w:p>
              </w:tc>
            </w:tr>
          </w:tbl>
          <w:p w14:paraId="739432E8" w14:textId="77777777" w:rsidR="00BA2541" w:rsidRDefault="00BA2541" w:rsidP="00264B22">
            <w:pPr>
              <w:pStyle w:val="NormalWeb"/>
              <w:spacing w:before="0" w:beforeAutospacing="0" w:after="0" w:afterAutospacing="0"/>
              <w:ind w:left="142" w:right="34"/>
              <w:rPr>
                <w:rFonts w:ascii="Arial" w:hAnsi="Arial" w:cs="Arial"/>
                <w:b/>
                <w:sz w:val="22"/>
                <w:szCs w:val="22"/>
              </w:rPr>
            </w:pPr>
          </w:p>
          <w:p w14:paraId="1771D323" w14:textId="77777777" w:rsidR="00BA2541" w:rsidRPr="00230F35" w:rsidRDefault="00BA2541" w:rsidP="00264B2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4BDAC14" w14:textId="77777777" w:rsidR="00BA2541" w:rsidRDefault="00BA2541" w:rsidP="00264B22">
            <w:pPr>
              <w:pStyle w:val="NormalWeb"/>
              <w:spacing w:before="0" w:beforeAutospacing="0" w:after="0" w:afterAutospacing="0"/>
              <w:rPr>
                <w:rFonts w:ascii="Arial" w:hAnsi="Arial" w:cs="Arial"/>
                <w:b/>
                <w:sz w:val="22"/>
                <w:szCs w:val="22"/>
              </w:rPr>
            </w:pPr>
          </w:p>
          <w:p w14:paraId="7B7F1DE1" w14:textId="77777777" w:rsidR="00BA2541" w:rsidRDefault="00BA2541" w:rsidP="00264B22">
            <w:pPr>
              <w:pStyle w:val="NormalWeb"/>
              <w:spacing w:before="0" w:beforeAutospacing="0" w:after="0" w:afterAutospacing="0"/>
              <w:rPr>
                <w:rFonts w:ascii="Arial" w:hAnsi="Arial" w:cs="Arial"/>
                <w:b/>
                <w:sz w:val="22"/>
                <w:szCs w:val="22"/>
              </w:rPr>
            </w:pPr>
          </w:p>
          <w:p w14:paraId="56AA3DCB" w14:textId="77777777" w:rsidR="00BA2541" w:rsidRDefault="00BA2541" w:rsidP="00264B22">
            <w:pPr>
              <w:pStyle w:val="NormalWeb"/>
              <w:spacing w:before="0" w:beforeAutospacing="0" w:after="0" w:afterAutospacing="0"/>
              <w:rPr>
                <w:rFonts w:ascii="Arial" w:hAnsi="Arial" w:cs="Arial"/>
                <w:b/>
                <w:sz w:val="22"/>
                <w:szCs w:val="22"/>
              </w:rPr>
            </w:pPr>
          </w:p>
          <w:p w14:paraId="5C1174BA" w14:textId="77777777" w:rsidR="00BA2541" w:rsidRDefault="00BA2541" w:rsidP="00264B22">
            <w:pPr>
              <w:pStyle w:val="NormalWeb"/>
              <w:spacing w:before="0" w:beforeAutospacing="0" w:after="0" w:afterAutospacing="0"/>
              <w:rPr>
                <w:rFonts w:ascii="Arial" w:hAnsi="Arial" w:cs="Arial"/>
                <w:b/>
                <w:sz w:val="22"/>
                <w:szCs w:val="22"/>
              </w:rPr>
            </w:pPr>
          </w:p>
          <w:p w14:paraId="24B7F790" w14:textId="77777777" w:rsidR="00BA2541" w:rsidRDefault="00BA2541" w:rsidP="00264B22">
            <w:pPr>
              <w:pStyle w:val="NormalWeb"/>
              <w:spacing w:before="0" w:beforeAutospacing="0" w:after="0" w:afterAutospacing="0"/>
              <w:rPr>
                <w:rFonts w:ascii="Arial" w:hAnsi="Arial" w:cs="Arial"/>
                <w:b/>
                <w:sz w:val="22"/>
                <w:szCs w:val="22"/>
              </w:rPr>
            </w:pPr>
          </w:p>
          <w:p w14:paraId="40A109AF" w14:textId="77777777" w:rsidR="00BA2541" w:rsidRPr="00230F35" w:rsidRDefault="00BA2541" w:rsidP="00264B2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CFD4527" w14:textId="77777777" w:rsidR="00BA2541" w:rsidRDefault="00BA2541" w:rsidP="00264B2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B52ED6B" w14:textId="77777777" w:rsidR="00BA2541" w:rsidRPr="00001C3B" w:rsidRDefault="00BA2541" w:rsidP="00264B22">
            <w:pPr>
              <w:pStyle w:val="NormalWeb"/>
              <w:rPr>
                <w:rFonts w:ascii="Arial" w:hAnsi="Arial" w:cs="Arial"/>
                <w:sz w:val="22"/>
                <w:szCs w:val="22"/>
              </w:rPr>
            </w:pPr>
          </w:p>
        </w:tc>
      </w:tr>
      <w:tr w:rsidR="00BA2541" w:rsidRPr="00230F35" w14:paraId="7783CC62" w14:textId="77777777" w:rsidTr="00264B22">
        <w:trPr>
          <w:trHeight w:val="492"/>
        </w:trPr>
        <w:tc>
          <w:tcPr>
            <w:tcW w:w="6768" w:type="dxa"/>
            <w:gridSpan w:val="3"/>
          </w:tcPr>
          <w:p w14:paraId="3BF7216E" w14:textId="77777777" w:rsidR="00BA2541" w:rsidRPr="00230F35" w:rsidRDefault="00BA2541" w:rsidP="00264B2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2CA574C" w14:textId="77777777" w:rsidR="00BA2541" w:rsidRPr="00230F35" w:rsidRDefault="00BA2541" w:rsidP="00264B22">
            <w:pPr>
              <w:pStyle w:val="NormalWeb"/>
              <w:spacing w:after="0"/>
              <w:ind w:left="142" w:right="34"/>
              <w:rPr>
                <w:rFonts w:ascii="Arial" w:hAnsi="Arial" w:cs="Arial"/>
                <w:sz w:val="22"/>
                <w:szCs w:val="22"/>
              </w:rPr>
            </w:pPr>
            <w:r w:rsidRPr="00230F35">
              <w:rPr>
                <w:rFonts w:ascii="Arial" w:hAnsi="Arial" w:cs="Arial"/>
                <w:sz w:val="22"/>
                <w:szCs w:val="22"/>
              </w:rPr>
              <w:t>Date:</w:t>
            </w:r>
          </w:p>
        </w:tc>
      </w:tr>
      <w:tr w:rsidR="00BA2541" w:rsidRPr="002F467C" w14:paraId="2C3A2774" w14:textId="77777777" w:rsidTr="00264B22">
        <w:tc>
          <w:tcPr>
            <w:tcW w:w="8856" w:type="dxa"/>
            <w:gridSpan w:val="5"/>
          </w:tcPr>
          <w:p w14:paraId="1644BA46" w14:textId="77777777" w:rsidR="00BA2541" w:rsidRPr="00230F35" w:rsidRDefault="00BA2541" w:rsidP="00264B22">
            <w:pPr>
              <w:pStyle w:val="NormalWeb"/>
              <w:spacing w:before="0" w:beforeAutospacing="0" w:after="0" w:afterAutospacing="0"/>
              <w:ind w:right="-334"/>
              <w:rPr>
                <w:rFonts w:ascii="Arial" w:hAnsi="Arial" w:cs="Arial"/>
                <w:bCs/>
                <w:i/>
                <w:sz w:val="22"/>
                <w:szCs w:val="22"/>
              </w:rPr>
            </w:pPr>
          </w:p>
          <w:p w14:paraId="65AACDD8" w14:textId="77777777" w:rsidR="00BA2541" w:rsidRPr="00230F35" w:rsidRDefault="00BA2541" w:rsidP="00264B2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4A7BD12" w14:textId="77777777" w:rsidR="00BA2541" w:rsidRPr="00230F35" w:rsidRDefault="00BA2541" w:rsidP="00264B22">
            <w:pPr>
              <w:pStyle w:val="NormalWeb"/>
              <w:spacing w:before="0" w:beforeAutospacing="0" w:after="0" w:afterAutospacing="0"/>
              <w:ind w:right="-334"/>
              <w:rPr>
                <w:rFonts w:ascii="Arial" w:hAnsi="Arial" w:cs="Arial"/>
                <w:b/>
                <w:bCs/>
                <w:sz w:val="22"/>
                <w:szCs w:val="22"/>
              </w:rPr>
            </w:pPr>
          </w:p>
          <w:p w14:paraId="120D4112"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8607BD"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p w14:paraId="2DE399FB"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p w14:paraId="0F96EE21"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tc>
      </w:tr>
      <w:tr w:rsidR="00BA2541" w:rsidRPr="002F467C" w14:paraId="5F8BDD5E" w14:textId="77777777" w:rsidTr="00264B22">
        <w:trPr>
          <w:trHeight w:val="720"/>
        </w:trPr>
        <w:tc>
          <w:tcPr>
            <w:tcW w:w="5211" w:type="dxa"/>
            <w:gridSpan w:val="2"/>
          </w:tcPr>
          <w:p w14:paraId="4E086136"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28626D1"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A2541" w:rsidRPr="002F467C" w14:paraId="753111EA" w14:textId="77777777" w:rsidTr="00264B22">
        <w:trPr>
          <w:trHeight w:val="720"/>
        </w:trPr>
        <w:tc>
          <w:tcPr>
            <w:tcW w:w="8856" w:type="dxa"/>
            <w:gridSpan w:val="5"/>
          </w:tcPr>
          <w:p w14:paraId="13B836E4" w14:textId="77777777" w:rsidR="00BA2541" w:rsidRPr="00B34964" w:rsidRDefault="00BA2541" w:rsidP="00264B22">
            <w:pPr>
              <w:rPr>
                <w:b/>
              </w:rPr>
            </w:pPr>
            <w:r w:rsidRPr="00B34964">
              <w:rPr>
                <w:b/>
              </w:rPr>
              <w:t>External Examiner’s comments (if relevant)</w:t>
            </w:r>
          </w:p>
          <w:p w14:paraId="1D1E9735"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p w14:paraId="399B7F95"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p w14:paraId="1D7A3ADE" w14:textId="77777777" w:rsidR="00BA2541" w:rsidRPr="00230F35" w:rsidRDefault="00BA2541" w:rsidP="00264B22">
            <w:pPr>
              <w:pStyle w:val="NormalWeb"/>
              <w:spacing w:before="0" w:beforeAutospacing="0" w:after="0" w:afterAutospacing="0"/>
              <w:ind w:right="-334"/>
              <w:rPr>
                <w:rFonts w:ascii="Arial" w:hAnsi="Arial" w:cs="Arial"/>
                <w:bCs/>
                <w:sz w:val="22"/>
                <w:szCs w:val="22"/>
              </w:rPr>
            </w:pPr>
          </w:p>
        </w:tc>
      </w:tr>
      <w:tr w:rsidR="00BA2541" w:rsidRPr="002F467C" w14:paraId="1F71C322" w14:textId="77777777" w:rsidTr="00264B22">
        <w:trPr>
          <w:trHeight w:val="720"/>
        </w:trPr>
        <w:tc>
          <w:tcPr>
            <w:tcW w:w="5211" w:type="dxa"/>
            <w:gridSpan w:val="2"/>
          </w:tcPr>
          <w:p w14:paraId="768931D8" w14:textId="77777777" w:rsidR="00BA2541" w:rsidRPr="00230F35" w:rsidRDefault="00BA2541" w:rsidP="00264B22">
            <w:r w:rsidRPr="00230F35">
              <w:t>External Examiner’s Signature:</w:t>
            </w:r>
          </w:p>
        </w:tc>
        <w:tc>
          <w:tcPr>
            <w:tcW w:w="3645" w:type="dxa"/>
            <w:gridSpan w:val="3"/>
          </w:tcPr>
          <w:p w14:paraId="084A24C8" w14:textId="77777777" w:rsidR="00BA2541" w:rsidRPr="00230F35" w:rsidRDefault="00BA2541" w:rsidP="00264B22">
            <w:r w:rsidRPr="00230F35">
              <w:t>Date:</w:t>
            </w:r>
          </w:p>
        </w:tc>
      </w:tr>
    </w:tbl>
    <w:p w14:paraId="33EAB412" w14:textId="77777777" w:rsidR="00BA2541" w:rsidRDefault="00BA2541">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17B5C8F2" w:rsidR="00D17C76" w:rsidRDefault="00B70C1B">
      <w:pPr>
        <w:tabs>
          <w:tab w:val="left" w:pos="0"/>
        </w:tabs>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Discuss the ways in which charters were transmitted into cartularies. What problems might cartulary copies pose for the historian? You should give some examples.</w:t>
      </w:r>
    </w:p>
    <w:p w14:paraId="00000002" w14:textId="77777777" w:rsidR="00D17C76" w:rsidRDefault="00D17C76">
      <w:pPr>
        <w:spacing w:line="480" w:lineRule="auto"/>
        <w:rPr>
          <w:rFonts w:ascii="Times New Roman" w:eastAsia="Times New Roman" w:hAnsi="Times New Roman" w:cs="Times New Roman"/>
          <w:sz w:val="24"/>
          <w:szCs w:val="24"/>
        </w:rPr>
      </w:pPr>
    </w:p>
    <w:p w14:paraId="00000003"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cartulary can be defined basically as a codex (or sometimes roll) which includes transcrip</w:t>
      </w:r>
      <w:r>
        <w:rPr>
          <w:rFonts w:ascii="Times New Roman" w:eastAsia="Times New Roman" w:hAnsi="Times New Roman" w:cs="Times New Roman"/>
          <w:sz w:val="24"/>
          <w:szCs w:val="24"/>
        </w:rPr>
        <w:t>tions of the charters and title-deeds of a particular religious or secular institution, household, or individual.</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earliest known cartularies are dated to the ninth century in the Rhineland</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in England the earliest are believed to be those from W</w:t>
      </w:r>
      <w:r>
        <w:rPr>
          <w:rFonts w:ascii="Times New Roman" w:eastAsia="Times New Roman" w:hAnsi="Times New Roman" w:cs="Times New Roman"/>
          <w:sz w:val="24"/>
          <w:szCs w:val="24"/>
        </w:rPr>
        <w:t>orcester Cathedral Priory in the eleventh century. Charters are especially useful in the study of political and socioeconomic change, but original documents are rare and the majority of those that still exist have survived as cartulary copies. For this rea</w:t>
      </w:r>
      <w:r>
        <w:rPr>
          <w:rFonts w:ascii="Times New Roman" w:eastAsia="Times New Roman" w:hAnsi="Times New Roman" w:cs="Times New Roman"/>
          <w:sz w:val="24"/>
          <w:szCs w:val="24"/>
        </w:rPr>
        <w:t xml:space="preserve">son, cartularies are a key source for the period following the Norman Conquest. Although traditional scholarship has viewed cartularies as only compendiums that preserve for posterity all the important documents of an institution, modern scholarship </w:t>
      </w:r>
      <w:proofErr w:type="spellStart"/>
      <w:r>
        <w:rPr>
          <w:rFonts w:ascii="Times New Roman" w:eastAsia="Times New Roman" w:hAnsi="Times New Roman" w:cs="Times New Roman"/>
          <w:sz w:val="24"/>
          <w:szCs w:val="24"/>
        </w:rPr>
        <w:t>recogn</w:t>
      </w:r>
      <w:r>
        <w:rPr>
          <w:rFonts w:ascii="Times New Roman" w:eastAsia="Times New Roman" w:hAnsi="Times New Roman" w:cs="Times New Roman"/>
          <w:sz w:val="24"/>
          <w:szCs w:val="24"/>
        </w:rPr>
        <w:t>ises</w:t>
      </w:r>
      <w:proofErr w:type="spellEnd"/>
      <w:r>
        <w:rPr>
          <w:rFonts w:ascii="Times New Roman" w:eastAsia="Times New Roman" w:hAnsi="Times New Roman" w:cs="Times New Roman"/>
          <w:sz w:val="24"/>
          <w:szCs w:val="24"/>
        </w:rPr>
        <w:t xml:space="preserve"> many functions of cartularies in medieval society besides simple preservation.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Because of this, there are various factors that must be considered by the historian when using cartularies as documentary sources. </w:t>
      </w:r>
    </w:p>
    <w:p w14:paraId="00000004"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05" w14:textId="34DFE8CD"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are various types of cartulary</w:t>
      </w:r>
      <w:r>
        <w:rPr>
          <w:rFonts w:ascii="Times New Roman" w:eastAsia="Times New Roman" w:hAnsi="Times New Roman" w:cs="Times New Roman"/>
          <w:sz w:val="24"/>
          <w:szCs w:val="24"/>
        </w:rPr>
        <w:t xml:space="preserve">. The majority have been </w:t>
      </w:r>
      <w:proofErr w:type="spellStart"/>
      <w:r>
        <w:rPr>
          <w:rFonts w:ascii="Times New Roman" w:eastAsia="Times New Roman" w:hAnsi="Times New Roman" w:cs="Times New Roman"/>
          <w:sz w:val="24"/>
          <w:szCs w:val="24"/>
        </w:rPr>
        <w:t>categorised</w:t>
      </w:r>
      <w:proofErr w:type="spellEnd"/>
      <w:r>
        <w:rPr>
          <w:rFonts w:ascii="Times New Roman" w:eastAsia="Times New Roman" w:hAnsi="Times New Roman" w:cs="Times New Roman"/>
          <w:sz w:val="24"/>
          <w:szCs w:val="24"/>
        </w:rPr>
        <w:t xml:space="preserve"> as general cartularies which usually contain all or most of the corpus of muniments of a </w:t>
      </w:r>
      <w:proofErr w:type="gramStart"/>
      <w:r>
        <w:rPr>
          <w:rFonts w:ascii="Times New Roman" w:eastAsia="Times New Roman" w:hAnsi="Times New Roman" w:cs="Times New Roman"/>
          <w:sz w:val="24"/>
          <w:szCs w:val="24"/>
        </w:rPr>
        <w:t>particular institution</w:t>
      </w:r>
      <w:proofErr w:type="gramEnd"/>
      <w:r>
        <w:rPr>
          <w:rFonts w:ascii="Times New Roman" w:eastAsia="Times New Roman" w:hAnsi="Times New Roman" w:cs="Times New Roman"/>
          <w:sz w:val="24"/>
          <w:szCs w:val="24"/>
        </w:rPr>
        <w:t xml:space="preserve">. The order of transcriptions in the codex can vary, for example, by subject matter, chronology, </w:t>
      </w:r>
      <w:r>
        <w:rPr>
          <w:rFonts w:ascii="Times New Roman" w:eastAsia="Times New Roman" w:hAnsi="Times New Roman" w:cs="Times New Roman"/>
          <w:sz w:val="24"/>
          <w:szCs w:val="24"/>
        </w:rPr>
        <w:lastRenderedPageBreak/>
        <w:t>donor, or t</w:t>
      </w:r>
      <w:r>
        <w:rPr>
          <w:rFonts w:ascii="Times New Roman" w:eastAsia="Times New Roman" w:hAnsi="Times New Roman" w:cs="Times New Roman"/>
          <w:sz w:val="24"/>
          <w:szCs w:val="24"/>
        </w:rPr>
        <w:t>he order in which the original charters were kept.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Varying levels of selectivity can be seen in general cartularies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and due to their nature, they could be of great size over many volumes.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Some examples of this are the Durham Cathedral cartu</w:t>
      </w:r>
      <w:r w:rsidR="006E55B5">
        <w:rPr>
          <w:rFonts w:ascii="Times New Roman" w:eastAsia="Times New Roman" w:hAnsi="Times New Roman" w:cs="Times New Roman"/>
          <w:sz w:val="24"/>
          <w:szCs w:val="24"/>
        </w:rPr>
        <w:t>l</w:t>
      </w:r>
      <w:r>
        <w:rPr>
          <w:rFonts w:ascii="Times New Roman" w:eastAsia="Times New Roman" w:hAnsi="Times New Roman" w:cs="Times New Roman"/>
          <w:sz w:val="24"/>
          <w:szCs w:val="24"/>
        </w:rPr>
        <w:t>ary I, II,</w:t>
      </w:r>
      <w:r>
        <w:rPr>
          <w:rFonts w:ascii="Times New Roman" w:eastAsia="Times New Roman" w:hAnsi="Times New Roman" w:cs="Times New Roman"/>
          <w:sz w:val="24"/>
          <w:szCs w:val="24"/>
        </w:rPr>
        <w:t xml:space="preserve"> and III (c.1400)</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which is a general cartulary in three volumes and Fountains Abbey cartulary (late 14th/early 15th century) which is a cartulary over five volumes.</w:t>
      </w:r>
      <w:r>
        <w:rPr>
          <w:rFonts w:ascii="Times New Roman" w:eastAsia="Times New Roman" w:hAnsi="Times New Roman" w:cs="Times New Roman"/>
          <w:sz w:val="24"/>
          <w:szCs w:val="24"/>
          <w:vertAlign w:val="superscript"/>
        </w:rPr>
        <w:footnoteReference w:id="8"/>
      </w:r>
    </w:p>
    <w:p w14:paraId="00000006"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07"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In order to reduce the size of general cartularies, large religious institutions coul</w:t>
      </w:r>
      <w:r>
        <w:rPr>
          <w:rFonts w:ascii="Times New Roman" w:eastAsia="Times New Roman" w:hAnsi="Times New Roman" w:cs="Times New Roman"/>
          <w:sz w:val="24"/>
          <w:szCs w:val="24"/>
        </w:rPr>
        <w:t>d compile special cartularies which sorted the various categories of charters into different volumes,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such as is the case of the Rochester Cathedral Priory cartulary.</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Similarly, some large religious houses compiled cartularies of rights and privileges,</w:t>
      </w:r>
      <w:r>
        <w:rPr>
          <w:rFonts w:ascii="Times New Roman" w:eastAsia="Times New Roman" w:hAnsi="Times New Roman" w:cs="Times New Roman"/>
          <w:sz w:val="24"/>
          <w:szCs w:val="24"/>
        </w:rPr>
        <w:t xml:space="preserve"> which were separate cartularies of documents which could help solve specific recurring administrative problems.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08"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09"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Another type, the chronicle cartulary, is less common than the general cartulary. They are of a literary nature, relaying a narrative whic</w:t>
      </w:r>
      <w:r>
        <w:rPr>
          <w:rFonts w:ascii="Times New Roman" w:eastAsia="Times New Roman" w:hAnsi="Times New Roman" w:cs="Times New Roman"/>
          <w:sz w:val="24"/>
          <w:szCs w:val="24"/>
        </w:rPr>
        <w:t>h is based on or includes a large number of the house’s muniments with the aim of explaining how titles and possessions were obtained.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An example of these are the cartularies of Ely Cathedral Priory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and Abingdon Abbey.</w:t>
      </w:r>
      <w:r>
        <w:rPr>
          <w:rFonts w:ascii="Times New Roman" w:eastAsia="Times New Roman" w:hAnsi="Times New Roman" w:cs="Times New Roman"/>
          <w:sz w:val="24"/>
          <w:szCs w:val="24"/>
          <w:vertAlign w:val="superscript"/>
        </w:rPr>
        <w:footnoteReference w:id="14"/>
      </w:r>
    </w:p>
    <w:p w14:paraId="0000000A"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0B" w14:textId="57A04F6B" w:rsidR="00D17C76" w:rsidRDefault="00B70C1B">
      <w:pPr>
        <w:tabs>
          <w:tab w:val="left" w:pos="0"/>
        </w:tabs>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early cartularies can als</w:t>
      </w:r>
      <w:r>
        <w:rPr>
          <w:rFonts w:ascii="Times New Roman" w:eastAsia="Times New Roman" w:hAnsi="Times New Roman" w:cs="Times New Roman"/>
          <w:sz w:val="24"/>
          <w:szCs w:val="24"/>
        </w:rPr>
        <w:t>o be found copied into Gospel Books, such as the Oswald Cartulary, which is an 11th century cartulary in an 8th century bible.</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Additionally, inventories could sometimes serve as cartularies. Inventory lists were generally catalogues which helped with locating the contents of muniment rooms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and although they usually only cite brief titles of documents and occasionally note the p</w:t>
      </w:r>
      <w:r>
        <w:rPr>
          <w:rFonts w:ascii="Times New Roman" w:eastAsia="Times New Roman" w:hAnsi="Times New Roman" w:cs="Times New Roman"/>
          <w:sz w:val="24"/>
          <w:szCs w:val="24"/>
        </w:rPr>
        <w:t>resence of seals,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they occasionally include abstracts of contents, suggesting they may have been intended to serve also as a cartulary.</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They are especially useful in trying to understand how muniments were arranged and stored. Examples of this are a</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catalogue of the muniments from Stanley Abbey </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and an inventory of charters in the archbishop of Canterbury’s treasury.</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t>
      </w:r>
    </w:p>
    <w:p w14:paraId="0000000C" w14:textId="77777777" w:rsidR="00D17C76" w:rsidRDefault="00D17C76">
      <w:pPr>
        <w:tabs>
          <w:tab w:val="left" w:pos="0"/>
        </w:tabs>
        <w:spacing w:line="480" w:lineRule="auto"/>
        <w:ind w:firstLine="720"/>
        <w:jc w:val="both"/>
        <w:rPr>
          <w:rFonts w:ascii="Times New Roman" w:eastAsia="Times New Roman" w:hAnsi="Times New Roman" w:cs="Times New Roman"/>
          <w:sz w:val="24"/>
          <w:szCs w:val="24"/>
        </w:rPr>
      </w:pPr>
    </w:p>
    <w:p w14:paraId="0000000D" w14:textId="77777777" w:rsidR="00D17C76" w:rsidRDefault="00B70C1B">
      <w:pPr>
        <w:tabs>
          <w:tab w:val="left" w:pos="0"/>
        </w:tabs>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fact that various types of cartularies exist make it apparent that they served various functions and suggest they were created for varying purposes. This is important to consider when attempting to understand the problems faced by the historian when us</w:t>
      </w:r>
      <w:r>
        <w:rPr>
          <w:rFonts w:ascii="Times New Roman" w:eastAsia="Times New Roman" w:hAnsi="Times New Roman" w:cs="Times New Roman"/>
          <w:sz w:val="24"/>
          <w:szCs w:val="24"/>
        </w:rPr>
        <w:t xml:space="preserve">ing cartularies as documentary sources. </w:t>
      </w:r>
    </w:p>
    <w:p w14:paraId="0000000E"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0F" w14:textId="019F05CF"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assumption of early scholarship was that the cartulary was simply a compendium of important documents in a given monastic archive, compiled with the desire to safeguard legal texts for posterity.</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Hemming’s c</w:t>
      </w:r>
      <w:r>
        <w:rPr>
          <w:rFonts w:ascii="Times New Roman" w:eastAsia="Times New Roman" w:hAnsi="Times New Roman" w:cs="Times New Roman"/>
          <w:sz w:val="24"/>
          <w:szCs w:val="24"/>
        </w:rPr>
        <w:t xml:space="preserve">artulary, produced at Worcester Cathedral in the late eleventh century, </w:t>
      </w:r>
      <w:r>
        <w:rPr>
          <w:rFonts w:ascii="Times New Roman" w:eastAsia="Times New Roman" w:hAnsi="Times New Roman" w:cs="Times New Roman"/>
          <w:sz w:val="24"/>
          <w:szCs w:val="24"/>
        </w:rPr>
        <w:lastRenderedPageBreak/>
        <w:t xml:space="preserve">contains a </w:t>
      </w:r>
      <w:r>
        <w:rPr>
          <w:rFonts w:ascii="Times New Roman" w:eastAsia="Times New Roman" w:hAnsi="Times New Roman" w:cs="Times New Roman"/>
          <w:i/>
          <w:sz w:val="24"/>
          <w:szCs w:val="24"/>
        </w:rPr>
        <w:t xml:space="preserve">Enucleatio libelli, or </w:t>
      </w:r>
      <w:r>
        <w:rPr>
          <w:rFonts w:ascii="Times New Roman" w:eastAsia="Times New Roman" w:hAnsi="Times New Roman" w:cs="Times New Roman"/>
          <w:sz w:val="24"/>
          <w:szCs w:val="24"/>
        </w:rPr>
        <w:t>Explanation of the booklet, which describes the purpose of the cartulary’s compilation as to make it “clear to our posterity which and how many posses</w:t>
      </w:r>
      <w:r>
        <w:rPr>
          <w:rFonts w:ascii="Times New Roman" w:eastAsia="Times New Roman" w:hAnsi="Times New Roman" w:cs="Times New Roman"/>
          <w:sz w:val="24"/>
          <w:szCs w:val="24"/>
        </w:rPr>
        <w:t>sions in land pertain to the endowment of this monastery.”</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Statements of intention such as this are rare, but record-keeping for the sake of posterity is clearly the most obvious reason for the emergence of cartularies. Charters could be more easily dama</w:t>
      </w:r>
      <w:r>
        <w:rPr>
          <w:rFonts w:ascii="Times New Roman" w:eastAsia="Times New Roman" w:hAnsi="Times New Roman" w:cs="Times New Roman"/>
          <w:sz w:val="24"/>
          <w:szCs w:val="24"/>
        </w:rPr>
        <w:t>ged or lost than a compiled manuscript and therefore the process of copying and compiling would gather together and safeguard the important documents of an institution as well as serving as a reference book.</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Similarly, charters could be modernized and im</w:t>
      </w:r>
      <w:r>
        <w:rPr>
          <w:rFonts w:ascii="Times New Roman" w:eastAsia="Times New Roman" w:hAnsi="Times New Roman" w:cs="Times New Roman"/>
          <w:sz w:val="24"/>
          <w:szCs w:val="24"/>
        </w:rPr>
        <w:t>proved, with English documents from before the Norman conquest made more accessible by translating into Latin,</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as is seen in, for example, the Ely </w:t>
      </w:r>
      <w:r w:rsidR="006E55B5">
        <w:rPr>
          <w:rFonts w:ascii="Times New Roman" w:eastAsia="Times New Roman" w:hAnsi="Times New Roman" w:cs="Times New Roman"/>
          <w:sz w:val="24"/>
          <w:szCs w:val="24"/>
        </w:rPr>
        <w:t>cartulary</w:t>
      </w:r>
      <w:r>
        <w:rPr>
          <w:rFonts w:ascii="Times New Roman" w:eastAsia="Times New Roman" w:hAnsi="Times New Roman" w:cs="Times New Roman"/>
          <w:sz w:val="24"/>
          <w:szCs w:val="24"/>
        </w:rPr>
        <w:t xml:space="preserve">. </w:t>
      </w:r>
    </w:p>
    <w:p w14:paraId="00000010"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1"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Despite this, a developing interest in better record keeping cannot be presumed to be the reas</w:t>
      </w:r>
      <w:r>
        <w:rPr>
          <w:rFonts w:ascii="Times New Roman" w:eastAsia="Times New Roman" w:hAnsi="Times New Roman" w:cs="Times New Roman"/>
          <w:sz w:val="24"/>
          <w:szCs w:val="24"/>
        </w:rPr>
        <w:t>on for the emergence of cartularies; the original charters must have been in existence in some form at the time of a cartulary’s composition, even if they are no longer extant, and written records were not a novel idea.</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Therefore, Hemming’s statement, al</w:t>
      </w:r>
      <w:r>
        <w:rPr>
          <w:rFonts w:ascii="Times New Roman" w:eastAsia="Times New Roman" w:hAnsi="Times New Roman" w:cs="Times New Roman"/>
          <w:sz w:val="24"/>
          <w:szCs w:val="24"/>
        </w:rPr>
        <w:t xml:space="preserve">though clear, does not give a comprehensive explanation for the emergence of this type of record keeping. Just as the cartulary itself, prologues, when they do exist, are specific to a particular community at a particular time, and so cannot represent the </w:t>
      </w:r>
      <w:r>
        <w:rPr>
          <w:rFonts w:ascii="Times New Roman" w:eastAsia="Times New Roman" w:hAnsi="Times New Roman" w:cs="Times New Roman"/>
          <w:sz w:val="24"/>
          <w:szCs w:val="24"/>
        </w:rPr>
        <w:t>entire corpus.</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Whilst the study of cartularies as a genre is of course useful, it must also be remembered that each cartulary was made for a specific institution at a specific time. Consequently, modern scholarship recognises various functions and contex</w:t>
      </w:r>
      <w:r>
        <w:rPr>
          <w:rFonts w:ascii="Times New Roman" w:eastAsia="Times New Roman" w:hAnsi="Times New Roman" w:cs="Times New Roman"/>
          <w:sz w:val="24"/>
          <w:szCs w:val="24"/>
        </w:rPr>
        <w:t xml:space="preserve">ts of </w:t>
      </w:r>
      <w:r>
        <w:rPr>
          <w:rFonts w:ascii="Times New Roman" w:eastAsia="Times New Roman" w:hAnsi="Times New Roman" w:cs="Times New Roman"/>
          <w:sz w:val="24"/>
          <w:szCs w:val="24"/>
        </w:rPr>
        <w:lastRenderedPageBreak/>
        <w:t xml:space="preserve">production of cartularies in medieval society. It is therefore important to examine in greater detail the reason for their emergence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understand the problems faced by historians when using them as documentary sources.</w:t>
      </w:r>
    </w:p>
    <w:p w14:paraId="00000012"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3"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compiler of Ram</w:t>
      </w:r>
      <w:r>
        <w:rPr>
          <w:rFonts w:ascii="Times New Roman" w:eastAsia="Times New Roman" w:hAnsi="Times New Roman" w:cs="Times New Roman"/>
          <w:sz w:val="24"/>
          <w:szCs w:val="24"/>
        </w:rPr>
        <w:t xml:space="preserve">sey Abbey’s </w:t>
      </w:r>
      <w:r>
        <w:rPr>
          <w:rFonts w:ascii="Times New Roman" w:eastAsia="Times New Roman" w:hAnsi="Times New Roman" w:cs="Times New Roman"/>
          <w:i/>
          <w:sz w:val="24"/>
          <w:szCs w:val="24"/>
        </w:rPr>
        <w:t>Liber Benefactorum</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explains that the abbey had lost a great deal due to violence and domestic dispute during the reign of King Stephen, and the cartulary was compiled “as a warning for future ages and to instruct our readers.”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This makes it</w:t>
      </w:r>
      <w:r>
        <w:rPr>
          <w:rFonts w:ascii="Times New Roman" w:eastAsia="Times New Roman" w:hAnsi="Times New Roman" w:cs="Times New Roman"/>
          <w:sz w:val="24"/>
          <w:szCs w:val="24"/>
        </w:rPr>
        <w:t xml:space="preserve"> clear that cartularies served as teaching devices, intended to be circulated within their respective communities to instruct later generations. The protection and preservation of charters in the Middle Ages was vital as they served as evidence of right or</w:t>
      </w:r>
      <w:r>
        <w:rPr>
          <w:rFonts w:ascii="Times New Roman" w:eastAsia="Times New Roman" w:hAnsi="Times New Roman" w:cs="Times New Roman"/>
          <w:sz w:val="24"/>
          <w:szCs w:val="24"/>
        </w:rPr>
        <w:t xml:space="preserve"> ownership, and the cartulary could compile these charters not only to ensure they were not lost or forgotten but to instruct subsequent generations on what was owned by a particular institution.</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It does not seem that cartularies were intended for those</w:t>
      </w:r>
      <w:r>
        <w:rPr>
          <w:rFonts w:ascii="Times New Roman" w:eastAsia="Times New Roman" w:hAnsi="Times New Roman" w:cs="Times New Roman"/>
          <w:sz w:val="24"/>
          <w:szCs w:val="24"/>
        </w:rPr>
        <w:t xml:space="preserve"> outside of a particular institution and therefore they protected knowledge by keeping it within the community, thus ensuring the history of the institution survived in the memory of those that succeeded the cartulary’s creation.</w:t>
      </w:r>
      <w:r>
        <w:rPr>
          <w:rFonts w:ascii="Times New Roman" w:eastAsia="Times New Roman" w:hAnsi="Times New Roman" w:cs="Times New Roman"/>
          <w:sz w:val="24"/>
          <w:szCs w:val="24"/>
          <w:vertAlign w:val="superscript"/>
        </w:rPr>
        <w:footnoteReference w:id="30"/>
      </w:r>
    </w:p>
    <w:p w14:paraId="00000014"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5"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This preservation of t</w:t>
      </w:r>
      <w:r>
        <w:rPr>
          <w:rFonts w:ascii="Times New Roman" w:eastAsia="Times New Roman" w:hAnsi="Times New Roman" w:cs="Times New Roman"/>
          <w:sz w:val="24"/>
          <w:szCs w:val="24"/>
        </w:rPr>
        <w:t>he past in order to teach future generations would have helped solidify the identity of a community in post-conquest England.</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Furthermore, the contents of some ecclesiastical cartularies such as that of the Ramsay Abbey are arranged by donor and may have </w:t>
      </w:r>
      <w:r>
        <w:rPr>
          <w:rFonts w:ascii="Times New Roman" w:eastAsia="Times New Roman" w:hAnsi="Times New Roman" w:cs="Times New Roman"/>
          <w:sz w:val="24"/>
          <w:szCs w:val="24"/>
        </w:rPr>
        <w:lastRenderedPageBreak/>
        <w:t>served a role in the memorialisation or liturgical commemoration of benefactors or founders.</w:t>
      </w:r>
      <w:r>
        <w:rPr>
          <w:rFonts w:ascii="Times New Roman" w:eastAsia="Times New Roman" w:hAnsi="Times New Roman" w:cs="Times New Roman"/>
          <w:sz w:val="24"/>
          <w:szCs w:val="24"/>
          <w:vertAlign w:val="superscript"/>
        </w:rPr>
        <w:footnoteReference w:id="32"/>
      </w:r>
      <w:r>
        <w:rPr>
          <w:rFonts w:ascii="Times New Roman" w:eastAsia="Times New Roman" w:hAnsi="Times New Roman" w:cs="Times New Roman"/>
          <w:sz w:val="24"/>
          <w:szCs w:val="24"/>
        </w:rPr>
        <w:t xml:space="preserve"> This arrangement of muniments c</w:t>
      </w:r>
      <w:r>
        <w:rPr>
          <w:rFonts w:ascii="Times New Roman" w:eastAsia="Times New Roman" w:hAnsi="Times New Roman" w:cs="Times New Roman"/>
          <w:sz w:val="24"/>
          <w:szCs w:val="24"/>
        </w:rPr>
        <w:t xml:space="preserve">ould have functioned as a list of names for whom the community should pray, thus making the cartulary an active tool in the ongoing reinforcement and protection of the community’s identity. It must also be remembered that cartularies often did not include </w:t>
      </w:r>
      <w:r>
        <w:rPr>
          <w:rFonts w:ascii="Times New Roman" w:eastAsia="Times New Roman" w:hAnsi="Times New Roman" w:cs="Times New Roman"/>
          <w:sz w:val="24"/>
          <w:szCs w:val="24"/>
        </w:rPr>
        <w:t>all the muniments of an institution, and therefore any idea of community identity will be based on and reinforced by what is present in the cartulary, not what is absent. This meant that ideas of identity and the past could be curated and edited retrospect</w:t>
      </w:r>
      <w:r>
        <w:rPr>
          <w:rFonts w:ascii="Times New Roman" w:eastAsia="Times New Roman" w:hAnsi="Times New Roman" w:cs="Times New Roman"/>
          <w:sz w:val="24"/>
          <w:szCs w:val="24"/>
        </w:rPr>
        <w:t xml:space="preserve">ively by the compiler </w:t>
      </w:r>
      <w:proofErr w:type="gramStart"/>
      <w:r>
        <w:rPr>
          <w:rFonts w:ascii="Times New Roman" w:eastAsia="Times New Roman" w:hAnsi="Times New Roman" w:cs="Times New Roman"/>
          <w:sz w:val="24"/>
          <w:szCs w:val="24"/>
        </w:rPr>
        <w:t>so as to</w:t>
      </w:r>
      <w:proofErr w:type="gramEnd"/>
      <w:r>
        <w:rPr>
          <w:rFonts w:ascii="Times New Roman" w:eastAsia="Times New Roman" w:hAnsi="Times New Roman" w:cs="Times New Roman"/>
          <w:sz w:val="24"/>
          <w:szCs w:val="24"/>
        </w:rPr>
        <w:t xml:space="preserve"> present a particular ideal. An example of this is the 15th century cartulary of the dependent priory of Tutbury in Staffordshire.</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Formerly subject to St. Pierre-sur-Dives, the priory omitted this detail from the cartulary i</w:t>
      </w:r>
      <w:r>
        <w:rPr>
          <w:rFonts w:ascii="Times New Roman" w:eastAsia="Times New Roman" w:hAnsi="Times New Roman" w:cs="Times New Roman"/>
          <w:sz w:val="24"/>
          <w:szCs w:val="24"/>
        </w:rPr>
        <w:t>n order to emphasize its Englishness in a time of political contention with France.</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Therefore, it is clear that cartularies are a conscious effort to establish and maintain the identity of a community; as a compilation of historical documents, they not o</w:t>
      </w:r>
      <w:r>
        <w:rPr>
          <w:rFonts w:ascii="Times New Roman" w:eastAsia="Times New Roman" w:hAnsi="Times New Roman" w:cs="Times New Roman"/>
          <w:sz w:val="24"/>
          <w:szCs w:val="24"/>
        </w:rPr>
        <w:t xml:space="preserve">nly allow subsequent generations to engage with their past in order to memorialise it but the selection and editing process helps curate an identity that will be carried forward. </w:t>
      </w:r>
    </w:p>
    <w:p w14:paraId="00000016"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7"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Social or political disturbance is also implied as a reason for the Ramsey</w:t>
      </w:r>
      <w:r>
        <w:rPr>
          <w:rFonts w:ascii="Times New Roman" w:eastAsia="Times New Roman" w:hAnsi="Times New Roman" w:cs="Times New Roman"/>
          <w:sz w:val="24"/>
          <w:szCs w:val="24"/>
        </w:rPr>
        <w:t xml:space="preserve"> compiler’s creation of the cartulary. It has been argued by historians that cartularies emerged as a response to immediate threat at a local or national level, such as political upheaval, disease, or war.</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The climate in which cartularies emerged in Engl</w:t>
      </w:r>
      <w:r>
        <w:rPr>
          <w:rFonts w:ascii="Times New Roman" w:eastAsia="Times New Roman" w:hAnsi="Times New Roman" w:cs="Times New Roman"/>
          <w:sz w:val="24"/>
          <w:szCs w:val="24"/>
        </w:rPr>
        <w:t xml:space="preserve">and was one of insecurity following the Norman conquest, subsequent civil war, and an increase in monasteries in the twelfth and thirteenth </w:t>
      </w:r>
      <w:r>
        <w:rPr>
          <w:rFonts w:ascii="Times New Roman" w:eastAsia="Times New Roman" w:hAnsi="Times New Roman" w:cs="Times New Roman"/>
          <w:sz w:val="24"/>
          <w:szCs w:val="24"/>
        </w:rPr>
        <w:lastRenderedPageBreak/>
        <w:t>centuries that led to increased monastic competition to acquire and retain lands.</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This threat could also take the </w:t>
      </w:r>
      <w:r>
        <w:rPr>
          <w:rFonts w:ascii="Times New Roman" w:eastAsia="Times New Roman" w:hAnsi="Times New Roman" w:cs="Times New Roman"/>
          <w:sz w:val="24"/>
          <w:szCs w:val="24"/>
        </w:rPr>
        <w:t>form of internal instability or change, such as decreased benefactions,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division of a cathedral’s resources,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or general administrative reform.</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An example of this is the preface of the Dover priory cartulary which explains that its muniments had exper</w:t>
      </w:r>
      <w:r>
        <w:rPr>
          <w:rFonts w:ascii="Times New Roman" w:eastAsia="Times New Roman" w:hAnsi="Times New Roman" w:cs="Times New Roman"/>
          <w:sz w:val="24"/>
          <w:szCs w:val="24"/>
        </w:rPr>
        <w:t>ienced "many disasters and injuries both spiritual and temporal"</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which included theft, arson and decay. Compared to compiled manuscripts, documents that proved title or possession were more easily lost, which could result in loss of income and privileges</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xml:space="preserve"> and it is therefore clear that the cartulary served the purpose of safeguarding these documents in times of upheaval or unease. </w:t>
      </w:r>
    </w:p>
    <w:p w14:paraId="00000018"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9" w14:textId="5C38624C"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There is some debate surrounding the legal function of cartularies. While academic focus leans towards their use as tools of memory and identity which did not serve a legal role,</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their preservation of records might have made them a "second line of defenc</w:t>
      </w:r>
      <w:r>
        <w:rPr>
          <w:rFonts w:ascii="Times New Roman" w:eastAsia="Times New Roman" w:hAnsi="Times New Roman" w:cs="Times New Roman"/>
          <w:sz w:val="24"/>
          <w:szCs w:val="24"/>
        </w:rPr>
        <w:t>e"</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in the event that original documents were lost. Although there is little surviving evidence of this, it is not unreasonable to suggest that a cartulary might have been used as secondary or supporting evidence in a legal sense,</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which is a function th</w:t>
      </w:r>
      <w:r>
        <w:rPr>
          <w:rFonts w:ascii="Times New Roman" w:eastAsia="Times New Roman" w:hAnsi="Times New Roman" w:cs="Times New Roman"/>
          <w:sz w:val="24"/>
          <w:szCs w:val="24"/>
        </w:rPr>
        <w:t>at has been arguably overlooked or downplayed by modern scholarship in favour of commemoration and identity.</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Whatever their intended legal function, some evidence does suggest they may have been used centuries after their initial compilation when </w:t>
      </w:r>
      <w:r>
        <w:rPr>
          <w:rFonts w:ascii="Times New Roman" w:eastAsia="Times New Roman" w:hAnsi="Times New Roman" w:cs="Times New Roman"/>
          <w:sz w:val="24"/>
          <w:szCs w:val="24"/>
        </w:rPr>
        <w:lastRenderedPageBreak/>
        <w:t>no oth</w:t>
      </w:r>
      <w:r>
        <w:rPr>
          <w:rFonts w:ascii="Times New Roman" w:eastAsia="Times New Roman" w:hAnsi="Times New Roman" w:cs="Times New Roman"/>
          <w:sz w:val="24"/>
          <w:szCs w:val="24"/>
        </w:rPr>
        <w:t>er evidence was available,</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with the cartulary’s age serving to give it some degree of perceived authenticity.</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An example of this from the 15th century is the use of a much older cartulary of St Andrews Cathedral Priory which was used as evidence in a d</w:t>
      </w:r>
      <w:r>
        <w:rPr>
          <w:rFonts w:ascii="Times New Roman" w:eastAsia="Times New Roman" w:hAnsi="Times New Roman" w:cs="Times New Roman"/>
          <w:sz w:val="24"/>
          <w:szCs w:val="24"/>
        </w:rPr>
        <w:t>ispute.</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Therefore, even if cartularies were not compiled with the purpose of being used as evidence in court, it seems unlikely that their compilers would not have been aware of their potential use in future disputes, even if this use was only secondary.</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That said, the use of cartularies in legal functions is rare and when it does occur, it is centuries later.</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In regards to the intention of the compiler, it seems unlikely that scribes would fabricate a record in order to affect a legal dispute at a la</w:t>
      </w:r>
      <w:r>
        <w:rPr>
          <w:rFonts w:ascii="Times New Roman" w:eastAsia="Times New Roman" w:hAnsi="Times New Roman" w:cs="Times New Roman"/>
          <w:sz w:val="24"/>
          <w:szCs w:val="24"/>
        </w:rPr>
        <w:t xml:space="preserve">ter date if they did not believe themselves that a </w:t>
      </w:r>
      <w:r w:rsidR="006E55B5">
        <w:rPr>
          <w:rFonts w:ascii="Times New Roman" w:eastAsia="Times New Roman" w:hAnsi="Times New Roman" w:cs="Times New Roman"/>
          <w:sz w:val="24"/>
          <w:szCs w:val="24"/>
        </w:rPr>
        <w:t>cartulary</w:t>
      </w:r>
      <w:r>
        <w:rPr>
          <w:rFonts w:ascii="Times New Roman" w:eastAsia="Times New Roman" w:hAnsi="Times New Roman" w:cs="Times New Roman"/>
          <w:sz w:val="24"/>
          <w:szCs w:val="24"/>
        </w:rPr>
        <w:t xml:space="preserve"> could serve such a legal function.</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That said, forgeries of charters certainly do exist and it would be naive to assume that no cartularies (which, by their nature, are so closely tied to chart</w:t>
      </w:r>
      <w:r>
        <w:rPr>
          <w:rFonts w:ascii="Times New Roman" w:eastAsia="Times New Roman" w:hAnsi="Times New Roman" w:cs="Times New Roman"/>
          <w:sz w:val="24"/>
          <w:szCs w:val="24"/>
        </w:rPr>
        <w:t>ers) could not also exist for this  reason. The truth is that we cannot know whether medieval compilers believed in this legal function or not. Despite this, the idea of cartularies as documents created to fulfil a legal function has been a dominant and pe</w:t>
      </w:r>
      <w:r>
        <w:rPr>
          <w:rFonts w:ascii="Times New Roman" w:eastAsia="Times New Roman" w:hAnsi="Times New Roman" w:cs="Times New Roman"/>
          <w:sz w:val="24"/>
          <w:szCs w:val="24"/>
        </w:rPr>
        <w:t>rvasive concern in the study of cartularies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which must be addressed when attempting to understand problems faced by the historian in using them as documentary sources. </w:t>
      </w:r>
    </w:p>
    <w:p w14:paraId="0000001A"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B"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suspicion surrounding cartularies focuses on the argument that, if cartularies </w:t>
      </w:r>
      <w:r>
        <w:rPr>
          <w:rFonts w:ascii="Times New Roman" w:eastAsia="Times New Roman" w:hAnsi="Times New Roman" w:cs="Times New Roman"/>
          <w:sz w:val="24"/>
          <w:szCs w:val="24"/>
        </w:rPr>
        <w:t xml:space="preserve">served a legal function, the compiler may have fabricated texts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boost their own position</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and the cartulary would thus provide inaccurate and biased information. An inability to ascertain how </w:t>
      </w:r>
      <w:r>
        <w:rPr>
          <w:rFonts w:ascii="Times New Roman" w:eastAsia="Times New Roman" w:hAnsi="Times New Roman" w:cs="Times New Roman"/>
          <w:sz w:val="24"/>
          <w:szCs w:val="24"/>
        </w:rPr>
        <w:lastRenderedPageBreak/>
        <w:t xml:space="preserve">much exists of original charters is especially troublesome in the cases where a cartulary is the only surviving documentary evidence from a </w:t>
      </w:r>
      <w:proofErr w:type="gramStart"/>
      <w:r>
        <w:rPr>
          <w:rFonts w:ascii="Times New Roman" w:eastAsia="Times New Roman" w:hAnsi="Times New Roman" w:cs="Times New Roman"/>
          <w:sz w:val="24"/>
          <w:szCs w:val="24"/>
        </w:rPr>
        <w:t>particular se</w:t>
      </w:r>
      <w:r>
        <w:rPr>
          <w:rFonts w:ascii="Times New Roman" w:eastAsia="Times New Roman" w:hAnsi="Times New Roman" w:cs="Times New Roman"/>
          <w:sz w:val="24"/>
          <w:szCs w:val="24"/>
        </w:rPr>
        <w:t>tting</w:t>
      </w:r>
      <w:proofErr w:type="gramEnd"/>
      <w:r>
        <w:rPr>
          <w:rFonts w:ascii="Times New Roman" w:eastAsia="Times New Roman" w:hAnsi="Times New Roman" w:cs="Times New Roman"/>
          <w:sz w:val="24"/>
          <w:szCs w:val="24"/>
        </w:rPr>
        <w:t>. Although there are instances where both muniments and cartularies survive relatively intact and could be compared (such as those from the Cisterian abbey of Rufford),</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this is certainly not the norm.  As has been shown, scribes were often </w:t>
      </w:r>
      <w:proofErr w:type="gramStart"/>
      <w:r>
        <w:rPr>
          <w:rFonts w:ascii="Times New Roman" w:eastAsia="Times New Roman" w:hAnsi="Times New Roman" w:cs="Times New Roman"/>
          <w:sz w:val="24"/>
          <w:szCs w:val="24"/>
        </w:rPr>
        <w:t>selective</w:t>
      </w:r>
      <w:proofErr w:type="gramEnd"/>
      <w:r>
        <w:rPr>
          <w:rFonts w:ascii="Times New Roman" w:eastAsia="Times New Roman" w:hAnsi="Times New Roman" w:cs="Times New Roman"/>
          <w:sz w:val="24"/>
          <w:szCs w:val="24"/>
        </w:rPr>
        <w:t xml:space="preserve"> and it is not always clear how much or how little was included or omitted. Therefore, a problem faced by historians is the difficulty in ascertaining what remains of the original text and charters, and what has been changed or omitted. </w:t>
      </w:r>
    </w:p>
    <w:p w14:paraId="0000001C"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1D"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0000001E"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exclusion</w:t>
      </w:r>
      <w:r>
        <w:rPr>
          <w:rFonts w:ascii="Times New Roman" w:eastAsia="Times New Roman" w:hAnsi="Times New Roman" w:cs="Times New Roman"/>
          <w:sz w:val="24"/>
          <w:szCs w:val="24"/>
        </w:rPr>
        <w:t xml:space="preserve"> or inaccurate copying of a charter was not always intentional. Transcription was undeniably a monotonous task which may have led to shortcuts, omissions, and other transcriptional inaccuracies</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and similar mistakes could have been made during the process</w:t>
      </w:r>
      <w:r>
        <w:rPr>
          <w:rFonts w:ascii="Times New Roman" w:eastAsia="Times New Roman" w:hAnsi="Times New Roman" w:cs="Times New Roman"/>
          <w:sz w:val="24"/>
          <w:szCs w:val="24"/>
        </w:rPr>
        <w:t xml:space="preserve"> of translating or modernising. Similarly, as has already been discussed, cartularies served various functions and were particular to a specific time and place. Their contents were edited to fulfil particular needs and concerns of the compiler and communit</w:t>
      </w:r>
      <w:r>
        <w:rPr>
          <w:rFonts w:ascii="Times New Roman" w:eastAsia="Times New Roman" w:hAnsi="Times New Roman" w:cs="Times New Roman"/>
          <w:sz w:val="24"/>
          <w:szCs w:val="24"/>
        </w:rPr>
        <w:t xml:space="preserve">y, such as omitting </w:t>
      </w:r>
      <w:proofErr w:type="gramStart"/>
      <w:r>
        <w:rPr>
          <w:rFonts w:ascii="Times New Roman" w:eastAsia="Times New Roman" w:hAnsi="Times New Roman" w:cs="Times New Roman"/>
          <w:sz w:val="24"/>
          <w:szCs w:val="24"/>
        </w:rPr>
        <w:t>less</w:t>
      </w:r>
      <w:proofErr w:type="gramEnd"/>
      <w:r>
        <w:rPr>
          <w:rFonts w:ascii="Times New Roman" w:eastAsia="Times New Roman" w:hAnsi="Times New Roman" w:cs="Times New Roman"/>
          <w:sz w:val="24"/>
          <w:szCs w:val="24"/>
        </w:rPr>
        <w:t xml:space="preserve"> desirable aspects of an institution’s history to better suit the contemporary sociopolitical climate. In regards to these intentional omissions, explanatory notes sometimes exist, such as those in the Thurgaton cartulary, which exp</w:t>
      </w:r>
      <w:r>
        <w:rPr>
          <w:rFonts w:ascii="Times New Roman" w:eastAsia="Times New Roman" w:hAnsi="Times New Roman" w:cs="Times New Roman"/>
          <w:sz w:val="24"/>
          <w:szCs w:val="24"/>
        </w:rPr>
        <w:t>lains that there are many similar charters and the scribe found it unnecessary to copy them all.</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Unfortunately, explanatory notes are not always present and one must be wary of assuming that the lack of such a note implies that cartularies were copied ac</w:t>
      </w:r>
      <w:r>
        <w:rPr>
          <w:rFonts w:ascii="Times New Roman" w:eastAsia="Times New Roman" w:hAnsi="Times New Roman" w:cs="Times New Roman"/>
          <w:sz w:val="24"/>
          <w:szCs w:val="24"/>
        </w:rPr>
        <w:t xml:space="preserve">curately and wholly. That said, it must be remembered that this lack of accuracy could have been both intentional and </w:t>
      </w:r>
      <w:r>
        <w:rPr>
          <w:rFonts w:ascii="Times New Roman" w:eastAsia="Times New Roman" w:hAnsi="Times New Roman" w:cs="Times New Roman"/>
          <w:sz w:val="24"/>
          <w:szCs w:val="24"/>
        </w:rPr>
        <w:lastRenderedPageBreak/>
        <w:t>unintentional, and if there was a desire to use cartularies in a legal function, it was certainly not the only reason for these changes an</w:t>
      </w:r>
      <w:r>
        <w:rPr>
          <w:rFonts w:ascii="Times New Roman" w:eastAsia="Times New Roman" w:hAnsi="Times New Roman" w:cs="Times New Roman"/>
          <w:sz w:val="24"/>
          <w:szCs w:val="24"/>
        </w:rPr>
        <w:t xml:space="preserve">d omissions. </w:t>
      </w:r>
    </w:p>
    <w:p w14:paraId="0000001F"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0"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 similar problem is faced when using later editions of cartularies. The traditional assumption that cartularies were simply compendiums of important documents preserved for posterity has led to the publication of misleading modern editions</w:t>
      </w:r>
      <w:r>
        <w:rPr>
          <w:rFonts w:ascii="Times New Roman" w:eastAsia="Times New Roman" w:hAnsi="Times New Roman" w:cs="Times New Roman"/>
          <w:sz w:val="24"/>
          <w:szCs w:val="24"/>
        </w:rPr>
        <w:t>. The material is often rearranged chronologically by the editor</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which is not always made apparent in the preface. Similarly, some modern editions add "missing" charters and, again, it is not always made clear what text was taken from the original cartul</w:t>
      </w:r>
      <w:r>
        <w:rPr>
          <w:rFonts w:ascii="Times New Roman" w:eastAsia="Times New Roman" w:hAnsi="Times New Roman" w:cs="Times New Roman"/>
          <w:sz w:val="24"/>
          <w:szCs w:val="24"/>
        </w:rPr>
        <w:t>ary and what was added from extant charters.</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This selection and rearrangement to reflect modern understanding of medieval legal texts can potentially compromise understanding of cartularies, medieval archival practices, and the compiler’s own intentions </w:t>
      </w:r>
      <w:r>
        <w:rPr>
          <w:rFonts w:ascii="Times New Roman" w:eastAsia="Times New Roman" w:hAnsi="Times New Roman" w:cs="Times New Roman"/>
          <w:sz w:val="24"/>
          <w:szCs w:val="24"/>
        </w:rPr>
        <w:t>and feelings regarding the contents.</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Therefore, the historian must be critical when using modern editions of cartularies, as they could present ideas that are not present in the original cartulary whilst confusing evidence that otherwise would have been.</w:t>
      </w:r>
    </w:p>
    <w:p w14:paraId="00000021"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2"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ability to examine a cartulary’s contents in context is especially important when it is considered that many transcriptions (and original charters) omit names and dates, making dating of the original texts more difficult. The position of a </w:t>
      </w:r>
      <w:proofErr w:type="gramStart"/>
      <w:r>
        <w:rPr>
          <w:rFonts w:ascii="Times New Roman" w:eastAsia="Times New Roman" w:hAnsi="Times New Roman" w:cs="Times New Roman"/>
          <w:sz w:val="24"/>
          <w:szCs w:val="24"/>
        </w:rPr>
        <w:t>particula</w:t>
      </w:r>
      <w:r>
        <w:rPr>
          <w:rFonts w:ascii="Times New Roman" w:eastAsia="Times New Roman" w:hAnsi="Times New Roman" w:cs="Times New Roman"/>
          <w:sz w:val="24"/>
          <w:szCs w:val="24"/>
        </w:rPr>
        <w:t>r charter</w:t>
      </w:r>
      <w:proofErr w:type="gramEnd"/>
      <w:r>
        <w:rPr>
          <w:rFonts w:ascii="Times New Roman" w:eastAsia="Times New Roman" w:hAnsi="Times New Roman" w:cs="Times New Roman"/>
          <w:sz w:val="24"/>
          <w:szCs w:val="24"/>
        </w:rPr>
        <w:t xml:space="preserve"> within the cartulary may lend evidence to its dating, as well as the study of paleography, description of seals, mentions of scribes’ names, and use of older spellings and formulae.</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w:t>
      </w:r>
    </w:p>
    <w:p w14:paraId="00000023"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4"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Furthermore, just as one should be wary of assuming that a</w:t>
      </w:r>
      <w:r>
        <w:rPr>
          <w:rFonts w:ascii="Times New Roman" w:eastAsia="Times New Roman" w:hAnsi="Times New Roman" w:cs="Times New Roman"/>
          <w:sz w:val="24"/>
          <w:szCs w:val="24"/>
        </w:rPr>
        <w:t>ll cartularies accurately record the entire corpus of muniments from a particular institution, one must be equally wary of viewing cartularies with so much suspicion that their use as documentary sources is underplayed or overlooked. Although the perceived</w:t>
      </w:r>
      <w:r>
        <w:rPr>
          <w:rFonts w:ascii="Times New Roman" w:eastAsia="Times New Roman" w:hAnsi="Times New Roman" w:cs="Times New Roman"/>
          <w:sz w:val="24"/>
          <w:szCs w:val="24"/>
        </w:rPr>
        <w:t xml:space="preserve"> value of cartularies was traditionally based on the accuracy with which they transcribed charters, modern scholarship recognises the cartulary as the product of a complex and creative process. Factors such as selectivity, decoration, ordering of muniments</w:t>
      </w:r>
      <w:r>
        <w:rPr>
          <w:rFonts w:ascii="Times New Roman" w:eastAsia="Times New Roman" w:hAnsi="Times New Roman" w:cs="Times New Roman"/>
          <w:sz w:val="24"/>
          <w:szCs w:val="24"/>
        </w:rPr>
        <w:t>, and accompanying notes often reveal more about a compiler or institution than the charters alone would. Analysis of various aspects of a cartulary can often yield further insight into the values, economic situation, and sociopolitical standing of a parti</w:t>
      </w:r>
      <w:r>
        <w:rPr>
          <w:rFonts w:ascii="Times New Roman" w:eastAsia="Times New Roman" w:hAnsi="Times New Roman" w:cs="Times New Roman"/>
          <w:sz w:val="24"/>
          <w:szCs w:val="24"/>
        </w:rPr>
        <w:t>cular institution at the time of the cartulary’s creation</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and therefore all cartularies are of inherent academic value, since they offer an insight into the time period in which they were created and the community that created  them. </w:t>
      </w:r>
    </w:p>
    <w:p w14:paraId="00000025"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6"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That said, becaus</w:t>
      </w:r>
      <w:r>
        <w:rPr>
          <w:rFonts w:ascii="Times New Roman" w:eastAsia="Times New Roman" w:hAnsi="Times New Roman" w:cs="Times New Roman"/>
          <w:sz w:val="24"/>
          <w:szCs w:val="24"/>
        </w:rPr>
        <w:t xml:space="preserve">e of their varying selectivity and specificity to an individual institution, it is difficult to make comparisons between cartularies. Therefore, another problem for historians is that information gleaned from one cartulary cannot necessarily be applied to </w:t>
      </w:r>
      <w:r>
        <w:rPr>
          <w:rFonts w:ascii="Times New Roman" w:eastAsia="Times New Roman" w:hAnsi="Times New Roman" w:cs="Times New Roman"/>
          <w:sz w:val="24"/>
          <w:szCs w:val="24"/>
        </w:rPr>
        <w:t xml:space="preserve">another as each cartulary is specific to its </w:t>
      </w:r>
      <w:proofErr w:type="gramStart"/>
      <w:r>
        <w:rPr>
          <w:rFonts w:ascii="Times New Roman" w:eastAsia="Times New Roman" w:hAnsi="Times New Roman" w:cs="Times New Roman"/>
          <w:sz w:val="24"/>
          <w:szCs w:val="24"/>
        </w:rPr>
        <w:t>particular community</w:t>
      </w:r>
      <w:proofErr w:type="gramEnd"/>
      <w:r>
        <w:rPr>
          <w:rFonts w:ascii="Times New Roman" w:eastAsia="Times New Roman" w:hAnsi="Times New Roman" w:cs="Times New Roman"/>
          <w:sz w:val="24"/>
          <w:szCs w:val="24"/>
        </w:rPr>
        <w:t xml:space="preserve">. Modern scholarship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bring together thousands of examples of cartularies for comparison, but in doing so it becomes increasingly easy to forget that the cartularies themselves were</w:t>
      </w:r>
      <w:r>
        <w:rPr>
          <w:rFonts w:ascii="Times New Roman" w:eastAsia="Times New Roman" w:hAnsi="Times New Roman" w:cs="Times New Roman"/>
          <w:sz w:val="24"/>
          <w:szCs w:val="24"/>
        </w:rPr>
        <w:t xml:space="preserve"> documents created and used privately by separate institutions.  Each cartulary had its own complex reasons for creation and was compiled without the ability to reference the massive corpus of work that we as modern scholars have access to. The compilation</w:t>
      </w:r>
      <w:r>
        <w:rPr>
          <w:rFonts w:ascii="Times New Roman" w:eastAsia="Times New Roman" w:hAnsi="Times New Roman" w:cs="Times New Roman"/>
          <w:sz w:val="24"/>
          <w:szCs w:val="24"/>
        </w:rPr>
        <w:t xml:space="preserve"> of cartularies certainly shaped how later people would understand and connect to their past but whatever the compilers’ intentions, they could not have known how a cartulary would be </w:t>
      </w:r>
      <w:r>
        <w:rPr>
          <w:rFonts w:ascii="Times New Roman" w:eastAsia="Times New Roman" w:hAnsi="Times New Roman" w:cs="Times New Roman"/>
          <w:sz w:val="24"/>
          <w:szCs w:val="24"/>
        </w:rPr>
        <w:lastRenderedPageBreak/>
        <w:t>used by subsequent generations. It is therefore perhaps more useful to n</w:t>
      </w:r>
      <w:r>
        <w:rPr>
          <w:rFonts w:ascii="Times New Roman" w:eastAsia="Times New Roman" w:hAnsi="Times New Roman" w:cs="Times New Roman"/>
          <w:sz w:val="24"/>
          <w:szCs w:val="24"/>
        </w:rPr>
        <w:t xml:space="preserve">ot view the cartulary as a static document frozen in time and with clear and specific aims but something from which each generation would glean different purpose and meaning.  </w:t>
      </w:r>
    </w:p>
    <w:p w14:paraId="00000027"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8"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It is undeniable that cartularies are an immensely valuable resource in under</w:t>
      </w:r>
      <w:r>
        <w:rPr>
          <w:rFonts w:ascii="Times New Roman" w:eastAsia="Times New Roman" w:hAnsi="Times New Roman" w:cs="Times New Roman"/>
          <w:sz w:val="24"/>
          <w:szCs w:val="24"/>
        </w:rPr>
        <w:t xml:space="preserve">standing the Middle Ages. They compile and preserve texts which might otherwise have been lost and in some cases are the most substantial or only surviving documentary source from a </w:t>
      </w:r>
      <w:proofErr w:type="gramStart"/>
      <w:r>
        <w:rPr>
          <w:rFonts w:ascii="Times New Roman" w:eastAsia="Times New Roman" w:hAnsi="Times New Roman" w:cs="Times New Roman"/>
          <w:sz w:val="24"/>
          <w:szCs w:val="24"/>
        </w:rPr>
        <w:t>particular location</w:t>
      </w:r>
      <w:proofErr w:type="gramEnd"/>
      <w:r>
        <w:rPr>
          <w:rFonts w:ascii="Times New Roman" w:eastAsia="Times New Roman" w:hAnsi="Times New Roman" w:cs="Times New Roman"/>
          <w:sz w:val="24"/>
          <w:szCs w:val="24"/>
        </w:rPr>
        <w:t xml:space="preserve"> or institution. That said, there are certain problems </w:t>
      </w:r>
      <w:r>
        <w:rPr>
          <w:rFonts w:ascii="Times New Roman" w:eastAsia="Times New Roman" w:hAnsi="Times New Roman" w:cs="Times New Roman"/>
          <w:sz w:val="24"/>
          <w:szCs w:val="24"/>
        </w:rPr>
        <w:t xml:space="preserve">that must be considered by the historian when using them as documentary sources. The most obvious problem is trying to ascertain to what extent the contents of a cartulary reflect the original charters, and what this selectivity might mean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w:t>
      </w:r>
      <w:r>
        <w:rPr>
          <w:rFonts w:ascii="Times New Roman" w:eastAsia="Times New Roman" w:hAnsi="Times New Roman" w:cs="Times New Roman"/>
          <w:sz w:val="24"/>
          <w:szCs w:val="24"/>
        </w:rPr>
        <w:t xml:space="preserve">e cartulary’s intended purpose and subsequent use. Other issues to be considered are difficulties in dating, problems with modern editions, and a tendency of traditional scholarship to emphasise more what is missing from cartularies than what is included. </w:t>
      </w:r>
      <w:r>
        <w:rPr>
          <w:rFonts w:ascii="Times New Roman" w:eastAsia="Times New Roman" w:hAnsi="Times New Roman" w:cs="Times New Roman"/>
          <w:sz w:val="24"/>
          <w:szCs w:val="24"/>
        </w:rPr>
        <w:t>Modern scholarship recognises many functions of cartularies in medieval society besides simple preservation. It is through examination of these functions that a better understanding of cartularies as a genre can be formed, as well as a better understanding</w:t>
      </w:r>
      <w:r>
        <w:rPr>
          <w:rFonts w:ascii="Times New Roman" w:eastAsia="Times New Roman" w:hAnsi="Times New Roman" w:cs="Times New Roman"/>
          <w:sz w:val="24"/>
          <w:szCs w:val="24"/>
        </w:rPr>
        <w:t xml:space="preserve">  and appreciation for cartularies as a unique insight into the economic, social, and political history of a particular institution at a particular time. </w:t>
      </w:r>
    </w:p>
    <w:p w14:paraId="00000029" w14:textId="77777777" w:rsidR="00D17C76" w:rsidRDefault="00B70C1B">
      <w:pPr>
        <w:tabs>
          <w:tab w:val="left" w:pos="0"/>
        </w:tabs>
        <w:spacing w:line="480" w:lineRule="auto"/>
        <w:jc w:val="both"/>
        <w:rPr>
          <w:rFonts w:ascii="Times New Roman" w:eastAsia="Times New Roman" w:hAnsi="Times New Roman" w:cs="Times New Roman"/>
          <w:b/>
          <w:sz w:val="24"/>
          <w:szCs w:val="24"/>
        </w:rPr>
      </w:pPr>
      <w:r>
        <w:br w:type="page"/>
      </w:r>
    </w:p>
    <w:p w14:paraId="0000002A" w14:textId="77777777" w:rsidR="00D17C76" w:rsidRDefault="00B70C1B">
      <w:pPr>
        <w:tabs>
          <w:tab w:val="left" w:pos="0"/>
        </w:tabs>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Bibliography</w:t>
      </w:r>
    </w:p>
    <w:p w14:paraId="0000002B"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C"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Bouchard, Constance Brittain, </w:t>
      </w:r>
      <w:r>
        <w:rPr>
          <w:rFonts w:ascii="Times New Roman" w:eastAsia="Times New Roman" w:hAnsi="Times New Roman" w:cs="Times New Roman"/>
          <w:i/>
          <w:sz w:val="24"/>
          <w:szCs w:val="24"/>
        </w:rPr>
        <w:t>Rewriting Saints and Ancestors: Memory and Forgetting in France, 500-1200</w:t>
      </w:r>
      <w:r>
        <w:rPr>
          <w:rFonts w:ascii="Times New Roman" w:eastAsia="Times New Roman" w:hAnsi="Times New Roman" w:cs="Times New Roman"/>
          <w:sz w:val="24"/>
          <w:szCs w:val="24"/>
        </w:rPr>
        <w:t xml:space="preserve"> (Philadelphia, Pennsylvania: University of Pennsylvania Press, 2015)</w:t>
      </w:r>
    </w:p>
    <w:p w14:paraId="0000002D"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2E"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Clanchy, M.T., </w:t>
      </w:r>
      <w:r>
        <w:rPr>
          <w:rFonts w:ascii="Times New Roman" w:eastAsia="Times New Roman" w:hAnsi="Times New Roman" w:cs="Times New Roman"/>
          <w:i/>
          <w:sz w:val="24"/>
          <w:szCs w:val="24"/>
        </w:rPr>
        <w:t>From Memory to Written Record: England 1066 - 1307</w:t>
      </w:r>
      <w:r>
        <w:rPr>
          <w:rFonts w:ascii="Times New Roman" w:eastAsia="Times New Roman" w:hAnsi="Times New Roman" w:cs="Times New Roman"/>
          <w:sz w:val="24"/>
          <w:szCs w:val="24"/>
        </w:rPr>
        <w:t xml:space="preserve"> (Oxford: Blackwell Publishing, 2008)</w:t>
      </w:r>
    </w:p>
    <w:p w14:paraId="0000002F"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0"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Clemens, </w:t>
      </w:r>
      <w:proofErr w:type="gramStart"/>
      <w:r>
        <w:rPr>
          <w:rFonts w:ascii="Times New Roman" w:eastAsia="Times New Roman" w:hAnsi="Times New Roman" w:cs="Times New Roman"/>
          <w:sz w:val="24"/>
          <w:szCs w:val="24"/>
        </w:rPr>
        <w:t>Raymond</w:t>
      </w:r>
      <w:proofErr w:type="gramEnd"/>
      <w:r>
        <w:rPr>
          <w:rFonts w:ascii="Times New Roman" w:eastAsia="Times New Roman" w:hAnsi="Times New Roman" w:cs="Times New Roman"/>
          <w:sz w:val="24"/>
          <w:szCs w:val="24"/>
        </w:rPr>
        <w:t xml:space="preserve"> and Timothy Graham. "Chapter 14: Charters and Cartularies". </w:t>
      </w:r>
      <w:r>
        <w:rPr>
          <w:rFonts w:ascii="Times New Roman" w:eastAsia="Times New Roman" w:hAnsi="Times New Roman" w:cs="Times New Roman"/>
          <w:i/>
          <w:sz w:val="24"/>
          <w:szCs w:val="24"/>
        </w:rPr>
        <w:t>Introduction to Manuscript Studies</w:t>
      </w:r>
      <w:r>
        <w:rPr>
          <w:rFonts w:ascii="Times New Roman" w:eastAsia="Times New Roman" w:hAnsi="Times New Roman" w:cs="Times New Roman"/>
          <w:sz w:val="24"/>
          <w:szCs w:val="24"/>
        </w:rPr>
        <w:t xml:space="preserve"> (Cornell University Press: 2007) p. 222-239</w:t>
      </w:r>
    </w:p>
    <w:p w14:paraId="00000031"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2"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Davis, G.R.C., </w:t>
      </w:r>
      <w:r>
        <w:rPr>
          <w:rFonts w:ascii="Times New Roman" w:eastAsia="Times New Roman" w:hAnsi="Times New Roman" w:cs="Times New Roman"/>
          <w:i/>
          <w:sz w:val="24"/>
          <w:szCs w:val="24"/>
        </w:rPr>
        <w:t>Medieval Cartularies of Great Britain and Ireland</w:t>
      </w:r>
      <w:r>
        <w:rPr>
          <w:rFonts w:ascii="Times New Roman" w:eastAsia="Times New Roman" w:hAnsi="Times New Roman" w:cs="Times New Roman"/>
          <w:sz w:val="24"/>
          <w:szCs w:val="24"/>
        </w:rPr>
        <w:t xml:space="preserve"> (London, UK: British Library, 201</w:t>
      </w:r>
      <w:r>
        <w:rPr>
          <w:rFonts w:ascii="Times New Roman" w:eastAsia="Times New Roman" w:hAnsi="Times New Roman" w:cs="Times New Roman"/>
          <w:sz w:val="24"/>
          <w:szCs w:val="24"/>
        </w:rPr>
        <w:t>0)</w:t>
      </w:r>
    </w:p>
    <w:p w14:paraId="00000033"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4"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Foulds, Trevor, “Medieval Cartularies,” </w:t>
      </w:r>
      <w:r>
        <w:rPr>
          <w:rFonts w:ascii="Times New Roman" w:eastAsia="Times New Roman" w:hAnsi="Times New Roman" w:cs="Times New Roman"/>
          <w:i/>
          <w:sz w:val="24"/>
          <w:szCs w:val="24"/>
        </w:rPr>
        <w:t>Archives 18</w:t>
      </w:r>
      <w:r>
        <w:rPr>
          <w:rFonts w:ascii="Times New Roman" w:eastAsia="Times New Roman" w:hAnsi="Times New Roman" w:cs="Times New Roman"/>
          <w:sz w:val="24"/>
          <w:szCs w:val="24"/>
        </w:rPr>
        <w:t>, no. 77 (1987), p. 3-35</w:t>
      </w:r>
    </w:p>
    <w:p w14:paraId="00000035"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6"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Foulds</w:t>
      </w:r>
      <w:proofErr w:type="spellEnd"/>
      <w:r>
        <w:rPr>
          <w:rFonts w:ascii="Times New Roman" w:eastAsia="Times New Roman" w:hAnsi="Times New Roman" w:cs="Times New Roman"/>
          <w:sz w:val="24"/>
          <w:szCs w:val="24"/>
        </w:rPr>
        <w:t xml:space="preserve">, Trevor, </w:t>
      </w:r>
      <w:r>
        <w:rPr>
          <w:rFonts w:ascii="Times New Roman" w:eastAsia="Times New Roman" w:hAnsi="Times New Roman" w:cs="Times New Roman"/>
          <w:i/>
          <w:sz w:val="24"/>
          <w:szCs w:val="24"/>
        </w:rPr>
        <w:t xml:space="preserve">The </w:t>
      </w:r>
      <w:proofErr w:type="spellStart"/>
      <w:r>
        <w:rPr>
          <w:rFonts w:ascii="Times New Roman" w:eastAsia="Times New Roman" w:hAnsi="Times New Roman" w:cs="Times New Roman"/>
          <w:i/>
          <w:sz w:val="24"/>
          <w:szCs w:val="24"/>
        </w:rPr>
        <w:t>Thurgarton</w:t>
      </w:r>
      <w:proofErr w:type="spellEnd"/>
      <w:r>
        <w:rPr>
          <w:rFonts w:ascii="Times New Roman" w:eastAsia="Times New Roman" w:hAnsi="Times New Roman" w:cs="Times New Roman"/>
          <w:i/>
          <w:sz w:val="24"/>
          <w:szCs w:val="24"/>
        </w:rPr>
        <w:t xml:space="preserve"> Cartulary</w:t>
      </w:r>
      <w:r>
        <w:rPr>
          <w:rFonts w:ascii="Times New Roman" w:eastAsia="Times New Roman" w:hAnsi="Times New Roman" w:cs="Times New Roman"/>
          <w:sz w:val="24"/>
          <w:szCs w:val="24"/>
        </w:rPr>
        <w:t xml:space="preserve"> (Paul Watkins, 1994)</w:t>
      </w:r>
    </w:p>
    <w:p w14:paraId="00000037"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8"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Geary, Patrick J., "Archival Memory and the Destruction of the Past" in </w:t>
      </w:r>
      <w:r>
        <w:rPr>
          <w:rFonts w:ascii="Times New Roman" w:eastAsia="Times New Roman" w:hAnsi="Times New Roman" w:cs="Times New Roman"/>
          <w:i/>
          <w:sz w:val="24"/>
          <w:szCs w:val="24"/>
        </w:rPr>
        <w:t>Phantoms of Remembrance: Memory and O</w:t>
      </w:r>
      <w:r>
        <w:rPr>
          <w:rFonts w:ascii="Times New Roman" w:eastAsia="Times New Roman" w:hAnsi="Times New Roman" w:cs="Times New Roman"/>
          <w:i/>
          <w:sz w:val="24"/>
          <w:szCs w:val="24"/>
        </w:rPr>
        <w:t>blivion at the End of the First Millennium</w:t>
      </w:r>
      <w:r>
        <w:rPr>
          <w:rFonts w:ascii="Times New Roman" w:eastAsia="Times New Roman" w:hAnsi="Times New Roman" w:cs="Times New Roman"/>
          <w:sz w:val="24"/>
          <w:szCs w:val="24"/>
        </w:rPr>
        <w:t xml:space="preserve"> (Princeton University Press, 1994) p. 81-114</w:t>
      </w:r>
    </w:p>
    <w:p w14:paraId="00000039"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A"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Gervers</w:t>
      </w:r>
      <w:proofErr w:type="spellEnd"/>
      <w:r>
        <w:rPr>
          <w:rFonts w:ascii="Times New Roman" w:eastAsia="Times New Roman" w:hAnsi="Times New Roman" w:cs="Times New Roman"/>
          <w:sz w:val="24"/>
          <w:szCs w:val="24"/>
        </w:rPr>
        <w:t xml:space="preserve">, Michael. </w:t>
      </w:r>
      <w:r>
        <w:rPr>
          <w:rFonts w:ascii="Times New Roman" w:eastAsia="Times New Roman" w:hAnsi="Times New Roman" w:cs="Times New Roman"/>
          <w:i/>
          <w:sz w:val="24"/>
          <w:szCs w:val="24"/>
        </w:rPr>
        <w:t>Dating Undated Medieval Charters</w:t>
      </w:r>
      <w:r>
        <w:rPr>
          <w:rFonts w:ascii="Times New Roman" w:eastAsia="Times New Roman" w:hAnsi="Times New Roman" w:cs="Times New Roman"/>
          <w:sz w:val="24"/>
          <w:szCs w:val="24"/>
        </w:rPr>
        <w:t xml:space="preserve"> (Boydell &amp; Brewer, 2000)</w:t>
      </w:r>
    </w:p>
    <w:p w14:paraId="0000003B"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C"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Gransden</w:t>
      </w:r>
      <w:proofErr w:type="spellEnd"/>
      <w:r>
        <w:rPr>
          <w:rFonts w:ascii="Times New Roman" w:eastAsia="Times New Roman" w:hAnsi="Times New Roman" w:cs="Times New Roman"/>
          <w:sz w:val="24"/>
          <w:szCs w:val="24"/>
        </w:rPr>
        <w:t xml:space="preserve">, Antonia, </w:t>
      </w:r>
      <w:r>
        <w:rPr>
          <w:rFonts w:ascii="Times New Roman" w:eastAsia="Times New Roman" w:hAnsi="Times New Roman" w:cs="Times New Roman"/>
          <w:i/>
          <w:sz w:val="24"/>
          <w:szCs w:val="24"/>
        </w:rPr>
        <w:t>Historical Writing in England c.550–1307</w:t>
      </w:r>
      <w:r>
        <w:rPr>
          <w:rFonts w:ascii="Times New Roman" w:eastAsia="Times New Roman" w:hAnsi="Times New Roman" w:cs="Times New Roman"/>
          <w:sz w:val="24"/>
          <w:szCs w:val="24"/>
        </w:rPr>
        <w:t xml:space="preserve"> (Routledge and Kegan Paul, 1</w:t>
      </w:r>
      <w:r>
        <w:rPr>
          <w:rFonts w:ascii="Times New Roman" w:eastAsia="Times New Roman" w:hAnsi="Times New Roman" w:cs="Times New Roman"/>
          <w:sz w:val="24"/>
          <w:szCs w:val="24"/>
        </w:rPr>
        <w:t>974)</w:t>
      </w:r>
    </w:p>
    <w:p w14:paraId="0000003D"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3E"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Holdsworth, C. J., </w:t>
      </w:r>
      <w:proofErr w:type="spellStart"/>
      <w:r>
        <w:rPr>
          <w:rFonts w:ascii="Times New Roman" w:eastAsia="Times New Roman" w:hAnsi="Times New Roman" w:cs="Times New Roman"/>
          <w:sz w:val="24"/>
          <w:szCs w:val="24"/>
        </w:rPr>
        <w:t>Rufford</w:t>
      </w:r>
      <w:proofErr w:type="spellEnd"/>
      <w:r>
        <w:rPr>
          <w:rFonts w:ascii="Times New Roman" w:eastAsia="Times New Roman" w:hAnsi="Times New Roman" w:cs="Times New Roman"/>
          <w:sz w:val="24"/>
          <w:szCs w:val="24"/>
        </w:rPr>
        <w:t xml:space="preserve"> Charters, </w:t>
      </w:r>
      <w:proofErr w:type="spellStart"/>
      <w:r>
        <w:rPr>
          <w:rFonts w:ascii="Times New Roman" w:eastAsia="Times New Roman" w:hAnsi="Times New Roman" w:cs="Times New Roman"/>
          <w:sz w:val="24"/>
          <w:szCs w:val="24"/>
        </w:rPr>
        <w:t>Thoroton</w:t>
      </w:r>
      <w:proofErr w:type="spellEnd"/>
      <w:r>
        <w:rPr>
          <w:rFonts w:ascii="Times New Roman" w:eastAsia="Times New Roman" w:hAnsi="Times New Roman" w:cs="Times New Roman"/>
          <w:sz w:val="24"/>
          <w:szCs w:val="24"/>
        </w:rPr>
        <w:t xml:space="preserve"> Society Record Series 29, 30, 32, 34 (1972-81)</w:t>
      </w:r>
    </w:p>
    <w:p w14:paraId="0000003F"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40"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Ker, </w:t>
      </w:r>
      <w:proofErr w:type="gramStart"/>
      <w:r>
        <w:rPr>
          <w:rFonts w:ascii="Times New Roman" w:eastAsia="Times New Roman" w:hAnsi="Times New Roman" w:cs="Times New Roman"/>
          <w:sz w:val="24"/>
          <w:szCs w:val="24"/>
        </w:rPr>
        <w:t>N.R,.</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Books, Collectors, and Libraries: Studies in the Medieval Heritage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Hambledon</w:t>
      </w:r>
      <w:proofErr w:type="spellEnd"/>
      <w:r>
        <w:rPr>
          <w:rFonts w:ascii="Times New Roman" w:eastAsia="Times New Roman" w:hAnsi="Times New Roman" w:cs="Times New Roman"/>
          <w:sz w:val="24"/>
          <w:szCs w:val="24"/>
        </w:rPr>
        <w:t xml:space="preserve"> Press, 1985)</w:t>
      </w:r>
    </w:p>
    <w:p w14:paraId="00000041"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Paxton, Jennifer, “Forging Communities: Memory and </w:t>
      </w:r>
      <w:r>
        <w:rPr>
          <w:rFonts w:ascii="Times New Roman" w:eastAsia="Times New Roman" w:hAnsi="Times New Roman" w:cs="Times New Roman"/>
          <w:sz w:val="24"/>
          <w:szCs w:val="24"/>
        </w:rPr>
        <w:t xml:space="preserve">Identity in Post-Conquest England” </w:t>
      </w:r>
      <w:proofErr w:type="gramStart"/>
      <w:r>
        <w:rPr>
          <w:rFonts w:ascii="Times New Roman" w:eastAsia="Times New Roman" w:hAnsi="Times New Roman" w:cs="Times New Roman"/>
          <w:sz w:val="24"/>
          <w:szCs w:val="24"/>
        </w:rPr>
        <w:t xml:space="preserve">in  </w:t>
      </w:r>
      <w:r>
        <w:rPr>
          <w:rFonts w:ascii="Times New Roman" w:eastAsia="Times New Roman" w:hAnsi="Times New Roman" w:cs="Times New Roman"/>
          <w:i/>
          <w:sz w:val="24"/>
          <w:szCs w:val="24"/>
        </w:rPr>
        <w:t>Haskins</w:t>
      </w:r>
      <w:proofErr w:type="gramEnd"/>
      <w:r>
        <w:rPr>
          <w:rFonts w:ascii="Times New Roman" w:eastAsia="Times New Roman" w:hAnsi="Times New Roman" w:cs="Times New Roman"/>
          <w:i/>
          <w:sz w:val="24"/>
          <w:szCs w:val="24"/>
        </w:rPr>
        <w:t xml:space="preserve"> Society Journal 10</w:t>
      </w:r>
      <w:r>
        <w:rPr>
          <w:rFonts w:ascii="Times New Roman" w:eastAsia="Times New Roman" w:hAnsi="Times New Roman" w:cs="Times New Roman"/>
          <w:sz w:val="24"/>
          <w:szCs w:val="24"/>
        </w:rPr>
        <w:t xml:space="preserve"> (2001) p. 95-109</w:t>
      </w:r>
    </w:p>
    <w:p w14:paraId="00000042"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43"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Postles</w:t>
      </w:r>
      <w:proofErr w:type="spellEnd"/>
      <w:r>
        <w:rPr>
          <w:rFonts w:ascii="Times New Roman" w:eastAsia="Times New Roman" w:hAnsi="Times New Roman" w:cs="Times New Roman"/>
          <w:sz w:val="24"/>
          <w:szCs w:val="24"/>
        </w:rPr>
        <w:t xml:space="preserve">, David, "The </w:t>
      </w:r>
      <w:proofErr w:type="spellStart"/>
      <w:r>
        <w:rPr>
          <w:rFonts w:ascii="Times New Roman" w:eastAsia="Times New Roman" w:hAnsi="Times New Roman" w:cs="Times New Roman"/>
          <w:sz w:val="24"/>
          <w:szCs w:val="24"/>
        </w:rPr>
        <w:t>Garendon</w:t>
      </w:r>
      <w:proofErr w:type="spellEnd"/>
      <w:r>
        <w:rPr>
          <w:rFonts w:ascii="Times New Roman" w:eastAsia="Times New Roman" w:hAnsi="Times New Roman" w:cs="Times New Roman"/>
          <w:sz w:val="24"/>
          <w:szCs w:val="24"/>
        </w:rPr>
        <w:t xml:space="preserve"> cartularies in BL, Lansdown 415", British Library Journal 22 (British Library, 1996) p. 161-71</w:t>
      </w:r>
    </w:p>
    <w:p w14:paraId="00000044"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45"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Ramsay, Nigel, “Archive books” in </w:t>
      </w:r>
      <w:r>
        <w:rPr>
          <w:rFonts w:ascii="Times New Roman" w:eastAsia="Times New Roman" w:hAnsi="Times New Roman" w:cs="Times New Roman"/>
          <w:i/>
          <w:sz w:val="24"/>
          <w:szCs w:val="24"/>
        </w:rPr>
        <w:t>The Cambri</w:t>
      </w:r>
      <w:r>
        <w:rPr>
          <w:rFonts w:ascii="Times New Roman" w:eastAsia="Times New Roman" w:hAnsi="Times New Roman" w:cs="Times New Roman"/>
          <w:i/>
          <w:sz w:val="24"/>
          <w:szCs w:val="24"/>
        </w:rPr>
        <w:t>dge History of the Book in Britain</w:t>
      </w:r>
      <w:r>
        <w:rPr>
          <w:rFonts w:ascii="Times New Roman" w:eastAsia="Times New Roman" w:hAnsi="Times New Roman" w:cs="Times New Roman"/>
          <w:sz w:val="24"/>
          <w:szCs w:val="24"/>
        </w:rPr>
        <w:t>, ed. Nigel J. Morgan and Rodney M. Thomson (2008)</w:t>
      </w:r>
    </w:p>
    <w:p w14:paraId="00000046"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47"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Sutherland-Harris, Robin, “Authority, Text, and Genre in Accounts of Diocesan Struggle: The Bishops of Bath and Glastonbury and the Uses of Cartulary Evidence”, in </w:t>
      </w:r>
      <w:r>
        <w:rPr>
          <w:rFonts w:ascii="Times New Roman" w:eastAsia="Times New Roman" w:hAnsi="Times New Roman" w:cs="Times New Roman"/>
          <w:i/>
          <w:sz w:val="24"/>
          <w:szCs w:val="24"/>
        </w:rPr>
        <w:t>Autho</w:t>
      </w:r>
      <w:r>
        <w:rPr>
          <w:rFonts w:ascii="Times New Roman" w:eastAsia="Times New Roman" w:hAnsi="Times New Roman" w:cs="Times New Roman"/>
          <w:i/>
          <w:sz w:val="24"/>
          <w:szCs w:val="24"/>
        </w:rPr>
        <w:t>rities in the Middle Ages: Influence, Legitimacy, and Power in Medieval Society</w:t>
      </w:r>
      <w:r>
        <w:rPr>
          <w:rFonts w:ascii="Times New Roman" w:eastAsia="Times New Roman" w:hAnsi="Times New Roman" w:cs="Times New Roman"/>
          <w:sz w:val="24"/>
          <w:szCs w:val="24"/>
        </w:rPr>
        <w:t xml:space="preserve">, ed. by Sini Kangas, Mia </w:t>
      </w:r>
      <w:proofErr w:type="spellStart"/>
      <w:r>
        <w:rPr>
          <w:rFonts w:ascii="Times New Roman" w:eastAsia="Times New Roman" w:hAnsi="Times New Roman" w:cs="Times New Roman"/>
          <w:sz w:val="24"/>
          <w:szCs w:val="24"/>
        </w:rPr>
        <w:t>Korpiola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Tuija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Ainonen</w:t>
      </w:r>
      <w:proofErr w:type="spellEnd"/>
      <w:r>
        <w:rPr>
          <w:rFonts w:ascii="Times New Roman" w:eastAsia="Times New Roman" w:hAnsi="Times New Roman" w:cs="Times New Roman"/>
          <w:sz w:val="24"/>
          <w:szCs w:val="24"/>
        </w:rPr>
        <w:t xml:space="preserve"> (Berlin, Germany: de Gruyter, 2013), p. 107-122</w:t>
      </w:r>
    </w:p>
    <w:p w14:paraId="00000048" w14:textId="77777777" w:rsidR="00D17C76" w:rsidRDefault="00D17C76">
      <w:pPr>
        <w:tabs>
          <w:tab w:val="left" w:pos="0"/>
        </w:tabs>
        <w:spacing w:line="480" w:lineRule="auto"/>
        <w:jc w:val="both"/>
        <w:rPr>
          <w:rFonts w:ascii="Times New Roman" w:eastAsia="Times New Roman" w:hAnsi="Times New Roman" w:cs="Times New Roman"/>
          <w:sz w:val="24"/>
          <w:szCs w:val="24"/>
        </w:rPr>
      </w:pPr>
    </w:p>
    <w:p w14:paraId="00000049" w14:textId="77777777" w:rsidR="00D17C76" w:rsidRDefault="00B70C1B">
      <w:pPr>
        <w:tabs>
          <w:tab w:val="left" w:pos="0"/>
        </w:tabs>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 xml:space="preserve">Tucker, Joanna, “Cartulary Studies” in </w:t>
      </w:r>
      <w:r>
        <w:rPr>
          <w:rFonts w:ascii="Times New Roman" w:eastAsia="Times New Roman" w:hAnsi="Times New Roman" w:cs="Times New Roman"/>
          <w:i/>
          <w:sz w:val="24"/>
          <w:szCs w:val="24"/>
        </w:rPr>
        <w:t>Reading and Shaping Medieval Cartul</w:t>
      </w:r>
      <w:r>
        <w:rPr>
          <w:rFonts w:ascii="Times New Roman" w:eastAsia="Times New Roman" w:hAnsi="Times New Roman" w:cs="Times New Roman"/>
          <w:i/>
          <w:sz w:val="24"/>
          <w:szCs w:val="24"/>
        </w:rPr>
        <w:t xml:space="preserve">aries: Multi-Scribe Manuscripts and their Patterns of Growth. A Study of the Earliest Cartularies of Glasgow Cathedral and </w:t>
      </w:r>
      <w:proofErr w:type="spellStart"/>
      <w:r>
        <w:rPr>
          <w:rFonts w:ascii="Times New Roman" w:eastAsia="Times New Roman" w:hAnsi="Times New Roman" w:cs="Times New Roman"/>
          <w:i/>
          <w:sz w:val="24"/>
          <w:szCs w:val="24"/>
        </w:rPr>
        <w:t>Lindores</w:t>
      </w:r>
      <w:proofErr w:type="spellEnd"/>
      <w:r>
        <w:rPr>
          <w:rFonts w:ascii="Times New Roman" w:eastAsia="Times New Roman" w:hAnsi="Times New Roman" w:cs="Times New Roman"/>
          <w:i/>
          <w:sz w:val="24"/>
          <w:szCs w:val="24"/>
        </w:rPr>
        <w:t xml:space="preserve"> Abbey</w:t>
      </w:r>
      <w:r>
        <w:rPr>
          <w:rFonts w:ascii="Times New Roman" w:eastAsia="Times New Roman" w:hAnsi="Times New Roman" w:cs="Times New Roman"/>
          <w:sz w:val="24"/>
          <w:szCs w:val="24"/>
        </w:rPr>
        <w:t xml:space="preserve"> (Boydell Press, 2020) p. 4-33</w:t>
      </w:r>
    </w:p>
    <w:p w14:paraId="0000004A" w14:textId="77777777" w:rsidR="00D17C76" w:rsidRDefault="00D17C76">
      <w:pPr>
        <w:tabs>
          <w:tab w:val="left" w:pos="0"/>
        </w:tabs>
        <w:spacing w:line="240" w:lineRule="auto"/>
        <w:jc w:val="both"/>
        <w:rPr>
          <w:sz w:val="24"/>
          <w:szCs w:val="24"/>
          <w:highlight w:val="white"/>
        </w:rPr>
      </w:pPr>
    </w:p>
    <w:p w14:paraId="0000004B" w14:textId="77777777" w:rsidR="00D17C76" w:rsidRDefault="00D17C76">
      <w:pPr>
        <w:spacing w:line="240" w:lineRule="auto"/>
        <w:rPr>
          <w:sz w:val="20"/>
          <w:szCs w:val="20"/>
          <w:highlight w:val="yellow"/>
        </w:rPr>
      </w:pPr>
    </w:p>
    <w:p w14:paraId="0000004C" w14:textId="77777777" w:rsidR="00D17C76" w:rsidRDefault="00D17C76">
      <w:pPr>
        <w:spacing w:line="240" w:lineRule="auto"/>
        <w:rPr>
          <w:sz w:val="20"/>
          <w:szCs w:val="20"/>
          <w:highlight w:val="yellow"/>
        </w:rPr>
      </w:pPr>
    </w:p>
    <w:p w14:paraId="0000004D" w14:textId="77777777" w:rsidR="00D17C76" w:rsidRDefault="00D17C76">
      <w:pPr>
        <w:spacing w:line="240" w:lineRule="auto"/>
        <w:rPr>
          <w:sz w:val="20"/>
          <w:szCs w:val="20"/>
          <w:highlight w:val="yellow"/>
        </w:rPr>
      </w:pPr>
    </w:p>
    <w:p w14:paraId="0000004E" w14:textId="77777777" w:rsidR="00D17C76" w:rsidRDefault="00D17C76">
      <w:pPr>
        <w:tabs>
          <w:tab w:val="left" w:pos="0"/>
        </w:tabs>
        <w:spacing w:line="240" w:lineRule="auto"/>
        <w:jc w:val="both"/>
        <w:rPr>
          <w:rFonts w:ascii="Times New Roman" w:eastAsia="Times New Roman" w:hAnsi="Times New Roman" w:cs="Times New Roman"/>
          <w:sz w:val="29"/>
          <w:szCs w:val="29"/>
          <w:highlight w:val="white"/>
        </w:rPr>
      </w:pPr>
    </w:p>
    <w:p w14:paraId="0000004F" w14:textId="77777777" w:rsidR="00D17C76" w:rsidRDefault="00D17C76">
      <w:pPr>
        <w:tabs>
          <w:tab w:val="left" w:pos="0"/>
        </w:tabs>
        <w:spacing w:line="240" w:lineRule="auto"/>
        <w:jc w:val="both"/>
        <w:rPr>
          <w:rFonts w:ascii="Times New Roman" w:eastAsia="Times New Roman" w:hAnsi="Times New Roman" w:cs="Times New Roman"/>
          <w:sz w:val="29"/>
          <w:szCs w:val="29"/>
          <w:highlight w:val="white"/>
        </w:rPr>
      </w:pPr>
    </w:p>
    <w:p w14:paraId="00000050" w14:textId="77777777" w:rsidR="00D17C76" w:rsidRDefault="00D17C76">
      <w:pPr>
        <w:tabs>
          <w:tab w:val="left" w:pos="0"/>
        </w:tabs>
        <w:spacing w:line="240" w:lineRule="auto"/>
        <w:jc w:val="both"/>
        <w:rPr>
          <w:sz w:val="24"/>
          <w:szCs w:val="24"/>
          <w:highlight w:val="yellow"/>
        </w:rPr>
      </w:pPr>
    </w:p>
    <w:p w14:paraId="00000051" w14:textId="77777777" w:rsidR="00D17C76" w:rsidRDefault="00D17C76"/>
    <w:sectPr w:rsidR="00D17C7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AA27CC" w14:textId="77777777" w:rsidR="00B70C1B" w:rsidRDefault="00B70C1B">
      <w:pPr>
        <w:spacing w:line="240" w:lineRule="auto"/>
      </w:pPr>
      <w:r>
        <w:separator/>
      </w:r>
    </w:p>
  </w:endnote>
  <w:endnote w:type="continuationSeparator" w:id="0">
    <w:p w14:paraId="65B0374E" w14:textId="77777777" w:rsidR="00B70C1B" w:rsidRDefault="00B70C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53121" w14:textId="77777777" w:rsidR="00B70C1B" w:rsidRDefault="00B70C1B">
      <w:pPr>
        <w:spacing w:line="240" w:lineRule="auto"/>
      </w:pPr>
      <w:r>
        <w:separator/>
      </w:r>
    </w:p>
  </w:footnote>
  <w:footnote w:type="continuationSeparator" w:id="0">
    <w:p w14:paraId="0CC0004C" w14:textId="77777777" w:rsidR="00B70C1B" w:rsidRDefault="00B70C1B">
      <w:pPr>
        <w:spacing w:line="240" w:lineRule="auto"/>
      </w:pPr>
      <w:r>
        <w:continuationSeparator/>
      </w:r>
    </w:p>
  </w:footnote>
  <w:footnote w:id="1">
    <w:p w14:paraId="00000052" w14:textId="77777777" w:rsidR="00D17C76" w:rsidRDefault="00B70C1B">
      <w:pPr>
        <w:spacing w:line="240" w:lineRule="auto"/>
        <w:rPr>
          <w:sz w:val="20"/>
          <w:szCs w:val="20"/>
        </w:rPr>
      </w:pPr>
      <w:r>
        <w:rPr>
          <w:vertAlign w:val="superscript"/>
        </w:rPr>
        <w:footnoteRef/>
      </w:r>
      <w:r>
        <w:rPr>
          <w:sz w:val="20"/>
          <w:szCs w:val="20"/>
        </w:rPr>
        <w:t xml:space="preserve"> Trevor </w:t>
      </w:r>
      <w:proofErr w:type="spellStart"/>
      <w:r>
        <w:rPr>
          <w:sz w:val="20"/>
          <w:szCs w:val="20"/>
        </w:rPr>
        <w:t>Foulds</w:t>
      </w:r>
      <w:proofErr w:type="spellEnd"/>
      <w:r>
        <w:rPr>
          <w:sz w:val="20"/>
          <w:szCs w:val="20"/>
        </w:rPr>
        <w:t>, “Medieval Cartularies,” Archives 18, no. 77 (1987), p.6</w:t>
      </w:r>
    </w:p>
  </w:footnote>
  <w:footnote w:id="2">
    <w:p w14:paraId="00000053" w14:textId="77777777" w:rsidR="00D17C76" w:rsidRDefault="00B70C1B">
      <w:pPr>
        <w:spacing w:line="240" w:lineRule="auto"/>
        <w:rPr>
          <w:sz w:val="20"/>
          <w:szCs w:val="20"/>
        </w:rPr>
      </w:pPr>
      <w:r>
        <w:rPr>
          <w:vertAlign w:val="superscript"/>
        </w:rPr>
        <w:footnoteRef/>
      </w:r>
      <w:r>
        <w:rPr>
          <w:sz w:val="20"/>
          <w:szCs w:val="20"/>
        </w:rPr>
        <w:t xml:space="preserve"> Constance </w:t>
      </w:r>
      <w:proofErr w:type="spellStart"/>
      <w:r>
        <w:rPr>
          <w:sz w:val="20"/>
          <w:szCs w:val="20"/>
        </w:rPr>
        <w:t>Brittain</w:t>
      </w:r>
      <w:proofErr w:type="spellEnd"/>
      <w:r>
        <w:rPr>
          <w:sz w:val="20"/>
          <w:szCs w:val="20"/>
        </w:rPr>
        <w:t xml:space="preserve"> Bouchard, </w:t>
      </w:r>
      <w:r>
        <w:rPr>
          <w:i/>
          <w:sz w:val="20"/>
          <w:szCs w:val="20"/>
        </w:rPr>
        <w:t>Rewriting Saints and Ancestors: Memory and Forgetting in France, 500-1200</w:t>
      </w:r>
      <w:r>
        <w:rPr>
          <w:sz w:val="20"/>
          <w:szCs w:val="20"/>
        </w:rPr>
        <w:t xml:space="preserve"> (Philadelphia, Pennsylvania: University of Pennsylvania Press, 2015), p.11–13</w:t>
      </w:r>
    </w:p>
  </w:footnote>
  <w:footnote w:id="3">
    <w:p w14:paraId="00000054" w14:textId="77777777" w:rsidR="00D17C76" w:rsidRDefault="00B70C1B">
      <w:pPr>
        <w:spacing w:line="240" w:lineRule="auto"/>
        <w:rPr>
          <w:sz w:val="20"/>
          <w:szCs w:val="20"/>
        </w:rPr>
      </w:pPr>
      <w:r>
        <w:rPr>
          <w:vertAlign w:val="superscript"/>
        </w:rPr>
        <w:footnoteRef/>
      </w:r>
      <w:r>
        <w:rPr>
          <w:sz w:val="20"/>
          <w:szCs w:val="20"/>
        </w:rPr>
        <w:t xml:space="preserve"> Robin Sutherland-Harris, “Authority, Text, and Genre in Accounts of Diocesan Struggle: The Bishops of Bath and Glastonbury and the Uses of Cartulary Evidence”, in </w:t>
      </w:r>
      <w:r>
        <w:rPr>
          <w:i/>
          <w:sz w:val="20"/>
          <w:szCs w:val="20"/>
        </w:rPr>
        <w:t>Authorities in the Middle Ages: Influence, Legitimacy, and Power in Medieval Society</w:t>
      </w:r>
      <w:r>
        <w:rPr>
          <w:sz w:val="20"/>
          <w:szCs w:val="20"/>
        </w:rPr>
        <w:t xml:space="preserve"> (Berlin</w:t>
      </w:r>
      <w:r>
        <w:rPr>
          <w:sz w:val="20"/>
          <w:szCs w:val="20"/>
        </w:rPr>
        <w:t>, Germany: de Gruyter, 2013), p. 112</w:t>
      </w:r>
    </w:p>
  </w:footnote>
  <w:footnote w:id="4">
    <w:p w14:paraId="00000055" w14:textId="77777777" w:rsidR="00D17C76" w:rsidRDefault="00B70C1B">
      <w:pPr>
        <w:spacing w:line="240" w:lineRule="auto"/>
        <w:rPr>
          <w:sz w:val="20"/>
          <w:szCs w:val="20"/>
        </w:rPr>
      </w:pPr>
      <w:r>
        <w:rPr>
          <w:vertAlign w:val="superscript"/>
        </w:rPr>
        <w:footnoteRef/>
      </w:r>
      <w:r>
        <w:rPr>
          <w:sz w:val="20"/>
          <w:szCs w:val="20"/>
        </w:rPr>
        <w:t xml:space="preserve"> G.R.C. Davis, Medieval Cartularies of Great </w:t>
      </w:r>
      <w:proofErr w:type="gramStart"/>
      <w:r>
        <w:rPr>
          <w:sz w:val="20"/>
          <w:szCs w:val="20"/>
        </w:rPr>
        <w:t>Britain</w:t>
      </w:r>
      <w:proofErr w:type="gramEnd"/>
      <w:r>
        <w:rPr>
          <w:sz w:val="20"/>
          <w:szCs w:val="20"/>
        </w:rPr>
        <w:t xml:space="preserve"> and Ireland (London, UK: British Library, 2010) </w:t>
      </w:r>
      <w:proofErr w:type="spellStart"/>
      <w:r>
        <w:rPr>
          <w:sz w:val="20"/>
          <w:szCs w:val="20"/>
        </w:rPr>
        <w:t>p.xv</w:t>
      </w:r>
      <w:proofErr w:type="spellEnd"/>
    </w:p>
  </w:footnote>
  <w:footnote w:id="5">
    <w:p w14:paraId="00000056"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Medieval Cartularies,</w:t>
      </w:r>
      <w:r>
        <w:rPr>
          <w:sz w:val="20"/>
          <w:szCs w:val="20"/>
        </w:rPr>
        <w:t xml:space="preserve"> p.8</w:t>
      </w:r>
    </w:p>
  </w:footnote>
  <w:footnote w:id="6">
    <w:p w14:paraId="00000057" w14:textId="77777777" w:rsidR="00D17C76" w:rsidRDefault="00B70C1B">
      <w:pPr>
        <w:spacing w:line="240" w:lineRule="auto"/>
        <w:rPr>
          <w:sz w:val="20"/>
          <w:szCs w:val="20"/>
        </w:rPr>
      </w:pPr>
      <w:r>
        <w:rPr>
          <w:vertAlign w:val="superscript"/>
        </w:rPr>
        <w:footnoteRef/>
      </w:r>
      <w:r>
        <w:rPr>
          <w:sz w:val="20"/>
          <w:szCs w:val="20"/>
        </w:rPr>
        <w:t xml:space="preserve"> Davis, </w:t>
      </w:r>
      <w:r>
        <w:rPr>
          <w:i/>
          <w:sz w:val="20"/>
          <w:szCs w:val="20"/>
        </w:rPr>
        <w:t>Medieval Cartularies</w:t>
      </w:r>
      <w:r>
        <w:rPr>
          <w:sz w:val="20"/>
          <w:szCs w:val="20"/>
        </w:rPr>
        <w:t xml:space="preserve">, </w:t>
      </w:r>
      <w:proofErr w:type="spellStart"/>
      <w:r>
        <w:rPr>
          <w:sz w:val="20"/>
          <w:szCs w:val="20"/>
        </w:rPr>
        <w:t>p.xv</w:t>
      </w:r>
      <w:proofErr w:type="spellEnd"/>
    </w:p>
  </w:footnote>
  <w:footnote w:id="7">
    <w:p w14:paraId="00000079" w14:textId="77777777" w:rsidR="00D17C76" w:rsidRDefault="00B70C1B">
      <w:pPr>
        <w:spacing w:line="240" w:lineRule="auto"/>
        <w:rPr>
          <w:sz w:val="20"/>
          <w:szCs w:val="20"/>
        </w:rPr>
      </w:pPr>
      <w:r>
        <w:rPr>
          <w:vertAlign w:val="superscript"/>
        </w:rPr>
        <w:footnoteRef/>
      </w:r>
      <w:r>
        <w:rPr>
          <w:sz w:val="20"/>
          <w:szCs w:val="20"/>
        </w:rPr>
        <w:t xml:space="preserve"> Durham, University Library, Archives and Special Collections, Durham Cathedral Muniments, '</w:t>
      </w:r>
      <w:proofErr w:type="spellStart"/>
      <w:r>
        <w:rPr>
          <w:sz w:val="20"/>
          <w:szCs w:val="20"/>
        </w:rPr>
        <w:t>Cartuarium</w:t>
      </w:r>
      <w:proofErr w:type="spellEnd"/>
      <w:r>
        <w:rPr>
          <w:sz w:val="20"/>
          <w:szCs w:val="20"/>
        </w:rPr>
        <w:t xml:space="preserve"> I', '</w:t>
      </w:r>
      <w:proofErr w:type="spellStart"/>
      <w:r>
        <w:rPr>
          <w:sz w:val="20"/>
          <w:szCs w:val="20"/>
        </w:rPr>
        <w:t>Cartuarium</w:t>
      </w:r>
      <w:proofErr w:type="spellEnd"/>
      <w:r>
        <w:rPr>
          <w:sz w:val="20"/>
          <w:szCs w:val="20"/>
        </w:rPr>
        <w:t xml:space="preserve"> II', '</w:t>
      </w:r>
      <w:proofErr w:type="spellStart"/>
      <w:r>
        <w:rPr>
          <w:sz w:val="20"/>
          <w:szCs w:val="20"/>
        </w:rPr>
        <w:t>Cartuarium</w:t>
      </w:r>
      <w:proofErr w:type="spellEnd"/>
      <w:r>
        <w:rPr>
          <w:sz w:val="20"/>
          <w:szCs w:val="20"/>
        </w:rPr>
        <w:t xml:space="preserve"> III', part ii, </w:t>
      </w:r>
      <w:proofErr w:type="spellStart"/>
      <w:r>
        <w:rPr>
          <w:sz w:val="20"/>
          <w:szCs w:val="20"/>
        </w:rPr>
        <w:t>fos</w:t>
      </w:r>
      <w:proofErr w:type="spellEnd"/>
      <w:r>
        <w:rPr>
          <w:sz w:val="20"/>
          <w:szCs w:val="20"/>
        </w:rPr>
        <w:t>. 1-152</w:t>
      </w:r>
    </w:p>
  </w:footnote>
  <w:footnote w:id="8">
    <w:p w14:paraId="00000058" w14:textId="77777777" w:rsidR="00D17C76" w:rsidRDefault="00B70C1B">
      <w:pPr>
        <w:spacing w:line="240" w:lineRule="auto"/>
        <w:rPr>
          <w:sz w:val="20"/>
          <w:szCs w:val="20"/>
        </w:rPr>
      </w:pPr>
      <w:r>
        <w:rPr>
          <w:vertAlign w:val="superscript"/>
        </w:rPr>
        <w:footnoteRef/>
      </w:r>
      <w:r>
        <w:rPr>
          <w:sz w:val="20"/>
          <w:szCs w:val="20"/>
        </w:rPr>
        <w:t xml:space="preserve"> London, British Library, Cotton Tiberi</w:t>
      </w:r>
      <w:r>
        <w:rPr>
          <w:sz w:val="20"/>
          <w:szCs w:val="20"/>
        </w:rPr>
        <w:t>us C. XII; London, British Library, Additional 40009; Leeds, West Yorkshire Archive Service, WYL 150/5385; London, British Library, Additional 37770; Manchester, The John Rylands University Library, Lat. 224</w:t>
      </w:r>
    </w:p>
  </w:footnote>
  <w:footnote w:id="9">
    <w:p w14:paraId="00000059" w14:textId="77777777" w:rsidR="00D17C76" w:rsidRDefault="00B70C1B">
      <w:pPr>
        <w:spacing w:line="240" w:lineRule="auto"/>
        <w:rPr>
          <w:sz w:val="20"/>
          <w:szCs w:val="20"/>
        </w:rPr>
      </w:pPr>
      <w:r>
        <w:rPr>
          <w:vertAlign w:val="superscript"/>
        </w:rPr>
        <w:footnoteRef/>
      </w:r>
      <w:r>
        <w:rPr>
          <w:sz w:val="20"/>
          <w:szCs w:val="20"/>
        </w:rPr>
        <w:t xml:space="preserve"> Davis, </w:t>
      </w:r>
      <w:r>
        <w:rPr>
          <w:i/>
          <w:sz w:val="20"/>
          <w:szCs w:val="20"/>
        </w:rPr>
        <w:t xml:space="preserve">Medieval </w:t>
      </w:r>
      <w:proofErr w:type="gramStart"/>
      <w:r>
        <w:rPr>
          <w:i/>
          <w:sz w:val="20"/>
          <w:szCs w:val="20"/>
        </w:rPr>
        <w:t>Cartularies</w:t>
      </w:r>
      <w:r>
        <w:rPr>
          <w:sz w:val="20"/>
          <w:szCs w:val="20"/>
        </w:rPr>
        <w:t xml:space="preserve">,  </w:t>
      </w:r>
      <w:proofErr w:type="spellStart"/>
      <w:r>
        <w:rPr>
          <w:sz w:val="20"/>
          <w:szCs w:val="20"/>
        </w:rPr>
        <w:t>p.xvi</w:t>
      </w:r>
      <w:proofErr w:type="spellEnd"/>
      <w:proofErr w:type="gramEnd"/>
    </w:p>
  </w:footnote>
  <w:footnote w:id="10">
    <w:p w14:paraId="0000005A" w14:textId="77777777" w:rsidR="00D17C76" w:rsidRDefault="00B70C1B">
      <w:pPr>
        <w:spacing w:line="240" w:lineRule="auto"/>
        <w:rPr>
          <w:sz w:val="20"/>
          <w:szCs w:val="20"/>
        </w:rPr>
      </w:pPr>
      <w:r>
        <w:rPr>
          <w:vertAlign w:val="superscript"/>
        </w:rPr>
        <w:footnoteRef/>
      </w:r>
      <w:r>
        <w:rPr>
          <w:sz w:val="20"/>
          <w:szCs w:val="20"/>
        </w:rPr>
        <w:t xml:space="preserve"> Strood (</w:t>
      </w:r>
      <w:r>
        <w:rPr>
          <w:sz w:val="20"/>
          <w:szCs w:val="20"/>
        </w:rPr>
        <w:t xml:space="preserve">Rochester), Medway Archives and Local History Centre, </w:t>
      </w:r>
      <w:proofErr w:type="spellStart"/>
      <w:r>
        <w:rPr>
          <w:sz w:val="20"/>
          <w:szCs w:val="20"/>
        </w:rPr>
        <w:t>ORe</w:t>
      </w:r>
      <w:proofErr w:type="spellEnd"/>
      <w:r>
        <w:rPr>
          <w:sz w:val="20"/>
          <w:szCs w:val="20"/>
        </w:rPr>
        <w:t xml:space="preserve">/RI, </w:t>
      </w:r>
      <w:proofErr w:type="spellStart"/>
      <w:r>
        <w:rPr>
          <w:sz w:val="20"/>
          <w:szCs w:val="20"/>
        </w:rPr>
        <w:t>fos</w:t>
      </w:r>
      <w:proofErr w:type="spellEnd"/>
      <w:r>
        <w:rPr>
          <w:sz w:val="20"/>
          <w:szCs w:val="20"/>
        </w:rPr>
        <w:t>. 119-235</w:t>
      </w:r>
    </w:p>
  </w:footnote>
  <w:footnote w:id="11">
    <w:p w14:paraId="0000005C" w14:textId="77777777" w:rsidR="00D17C76" w:rsidRDefault="00B70C1B">
      <w:pPr>
        <w:spacing w:line="240" w:lineRule="auto"/>
        <w:rPr>
          <w:sz w:val="20"/>
          <w:szCs w:val="20"/>
        </w:rPr>
      </w:pPr>
      <w:r>
        <w:rPr>
          <w:vertAlign w:val="superscript"/>
        </w:rPr>
        <w:footnoteRef/>
      </w:r>
      <w:r>
        <w:rPr>
          <w:sz w:val="20"/>
          <w:szCs w:val="20"/>
        </w:rPr>
        <w:t xml:space="preserve"> Davis, </w:t>
      </w:r>
      <w:r>
        <w:rPr>
          <w:i/>
          <w:sz w:val="20"/>
          <w:szCs w:val="20"/>
        </w:rPr>
        <w:t xml:space="preserve">Medieval </w:t>
      </w:r>
      <w:proofErr w:type="gramStart"/>
      <w:r>
        <w:rPr>
          <w:i/>
          <w:sz w:val="20"/>
          <w:szCs w:val="20"/>
        </w:rPr>
        <w:t>Cartularies</w:t>
      </w:r>
      <w:r>
        <w:rPr>
          <w:sz w:val="20"/>
          <w:szCs w:val="20"/>
        </w:rPr>
        <w:t xml:space="preserve">,  </w:t>
      </w:r>
      <w:proofErr w:type="spellStart"/>
      <w:r>
        <w:rPr>
          <w:sz w:val="20"/>
          <w:szCs w:val="20"/>
        </w:rPr>
        <w:t>p.xvi</w:t>
      </w:r>
      <w:proofErr w:type="spellEnd"/>
      <w:proofErr w:type="gramEnd"/>
      <w:r>
        <w:rPr>
          <w:sz w:val="20"/>
          <w:szCs w:val="20"/>
        </w:rPr>
        <w:t>.</w:t>
      </w:r>
    </w:p>
  </w:footnote>
  <w:footnote w:id="12">
    <w:p w14:paraId="0000005B"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“Medieval Cartularies” p. 11; Davis, “Medieval Cartularies</w:t>
      </w:r>
      <w:proofErr w:type="gramStart"/>
      <w:r>
        <w:rPr>
          <w:sz w:val="20"/>
          <w:szCs w:val="20"/>
        </w:rPr>
        <w:t>”,  p.</w:t>
      </w:r>
      <w:proofErr w:type="gramEnd"/>
      <w:r>
        <w:rPr>
          <w:sz w:val="20"/>
          <w:szCs w:val="20"/>
        </w:rPr>
        <w:t xml:space="preserve"> xiii.</w:t>
      </w:r>
    </w:p>
  </w:footnote>
  <w:footnote w:id="13">
    <w:p w14:paraId="0000007B" w14:textId="77777777" w:rsidR="00D17C76" w:rsidRDefault="00B70C1B">
      <w:pPr>
        <w:spacing w:line="240" w:lineRule="auto"/>
        <w:rPr>
          <w:sz w:val="20"/>
          <w:szCs w:val="20"/>
        </w:rPr>
      </w:pPr>
      <w:r>
        <w:rPr>
          <w:vertAlign w:val="superscript"/>
        </w:rPr>
        <w:footnoteRef/>
      </w:r>
      <w:r>
        <w:rPr>
          <w:sz w:val="20"/>
          <w:szCs w:val="20"/>
        </w:rPr>
        <w:t xml:space="preserve"> Cambridge, Trinity College, O</w:t>
      </w:r>
      <w:r>
        <w:rPr>
          <w:sz w:val="20"/>
          <w:szCs w:val="20"/>
        </w:rPr>
        <w:t xml:space="preserve">.2.1 (1105); Cambridge, University Library, EDC/1; London, British Library, Cotton Titus A. I, </w:t>
      </w:r>
      <w:proofErr w:type="spellStart"/>
      <w:r>
        <w:rPr>
          <w:sz w:val="20"/>
          <w:szCs w:val="20"/>
        </w:rPr>
        <w:t>fos</w:t>
      </w:r>
      <w:proofErr w:type="spellEnd"/>
      <w:r>
        <w:rPr>
          <w:sz w:val="20"/>
          <w:szCs w:val="20"/>
        </w:rPr>
        <w:t>. 3-56.</w:t>
      </w:r>
    </w:p>
  </w:footnote>
  <w:footnote w:id="14">
    <w:p w14:paraId="0000007A" w14:textId="77777777" w:rsidR="00D17C76" w:rsidRDefault="00B70C1B">
      <w:pPr>
        <w:spacing w:line="240" w:lineRule="auto"/>
        <w:rPr>
          <w:sz w:val="20"/>
          <w:szCs w:val="20"/>
        </w:rPr>
      </w:pPr>
      <w:r>
        <w:rPr>
          <w:vertAlign w:val="superscript"/>
        </w:rPr>
        <w:footnoteRef/>
      </w:r>
      <w:r>
        <w:rPr>
          <w:sz w:val="20"/>
          <w:szCs w:val="20"/>
        </w:rPr>
        <w:t xml:space="preserve"> London, British Library, Cotton Claudius C. IX, </w:t>
      </w:r>
      <w:proofErr w:type="spellStart"/>
      <w:r>
        <w:rPr>
          <w:sz w:val="20"/>
          <w:szCs w:val="20"/>
        </w:rPr>
        <w:t>fos</w:t>
      </w:r>
      <w:proofErr w:type="spellEnd"/>
      <w:r>
        <w:rPr>
          <w:sz w:val="20"/>
          <w:szCs w:val="20"/>
        </w:rPr>
        <w:t>. 105-202</w:t>
      </w:r>
    </w:p>
  </w:footnote>
  <w:footnote w:id="15">
    <w:p w14:paraId="0000005D" w14:textId="77777777" w:rsidR="00D17C76" w:rsidRDefault="00B70C1B">
      <w:pPr>
        <w:spacing w:line="240" w:lineRule="auto"/>
        <w:rPr>
          <w:sz w:val="20"/>
          <w:szCs w:val="20"/>
        </w:rPr>
      </w:pPr>
      <w:r>
        <w:rPr>
          <w:vertAlign w:val="superscript"/>
        </w:rPr>
        <w:footnoteRef/>
      </w:r>
      <w:r>
        <w:rPr>
          <w:sz w:val="20"/>
          <w:szCs w:val="20"/>
        </w:rPr>
        <w:t xml:space="preserve"> London, British Library, Cotton Nero E. I, part ii, </w:t>
      </w:r>
      <w:proofErr w:type="spellStart"/>
      <w:r>
        <w:rPr>
          <w:sz w:val="20"/>
          <w:szCs w:val="20"/>
        </w:rPr>
        <w:t>fos</w:t>
      </w:r>
      <w:proofErr w:type="spellEnd"/>
      <w:r>
        <w:rPr>
          <w:sz w:val="20"/>
          <w:szCs w:val="20"/>
        </w:rPr>
        <w:t>. 18</w:t>
      </w:r>
      <w:r>
        <w:rPr>
          <w:sz w:val="20"/>
          <w:szCs w:val="20"/>
        </w:rPr>
        <w:t>1-184; London, British Library, Additional 46204</w:t>
      </w:r>
    </w:p>
  </w:footnote>
  <w:footnote w:id="16">
    <w:p w14:paraId="0000005E" w14:textId="77777777" w:rsidR="00D17C76" w:rsidRDefault="00B70C1B">
      <w:pPr>
        <w:spacing w:line="240" w:lineRule="auto"/>
        <w:rPr>
          <w:sz w:val="20"/>
          <w:szCs w:val="20"/>
        </w:rPr>
      </w:pPr>
      <w:r>
        <w:rPr>
          <w:vertAlign w:val="superscript"/>
        </w:rPr>
        <w:footnoteRef/>
      </w:r>
      <w:r>
        <w:rPr>
          <w:sz w:val="20"/>
          <w:szCs w:val="20"/>
        </w:rPr>
        <w:t xml:space="preserve"> Davis, </w:t>
      </w:r>
      <w:r>
        <w:rPr>
          <w:i/>
          <w:sz w:val="20"/>
          <w:szCs w:val="20"/>
        </w:rPr>
        <w:t xml:space="preserve">Medieval </w:t>
      </w:r>
      <w:proofErr w:type="gramStart"/>
      <w:r>
        <w:rPr>
          <w:i/>
          <w:sz w:val="20"/>
          <w:szCs w:val="20"/>
        </w:rPr>
        <w:t>Cartularies</w:t>
      </w:r>
      <w:r>
        <w:rPr>
          <w:sz w:val="20"/>
          <w:szCs w:val="20"/>
        </w:rPr>
        <w:t>,  p.</w:t>
      </w:r>
      <w:proofErr w:type="gramEnd"/>
      <w:r>
        <w:rPr>
          <w:sz w:val="20"/>
          <w:szCs w:val="20"/>
        </w:rPr>
        <w:t xml:space="preserve"> xvii.</w:t>
      </w:r>
    </w:p>
  </w:footnote>
  <w:footnote w:id="17">
    <w:p w14:paraId="0000005F" w14:textId="77777777" w:rsidR="00D17C76" w:rsidRDefault="00B70C1B">
      <w:pPr>
        <w:spacing w:line="240" w:lineRule="auto"/>
        <w:rPr>
          <w:sz w:val="20"/>
          <w:szCs w:val="20"/>
        </w:rPr>
      </w:pPr>
      <w:r>
        <w:rPr>
          <w:vertAlign w:val="superscript"/>
        </w:rPr>
        <w:footnoteRef/>
      </w:r>
      <w:r>
        <w:rPr>
          <w:sz w:val="20"/>
          <w:szCs w:val="20"/>
        </w:rPr>
        <w:t xml:space="preserve"> Ibid., p. xvii.</w:t>
      </w:r>
    </w:p>
  </w:footnote>
  <w:footnote w:id="18">
    <w:p w14:paraId="00000060" w14:textId="77777777" w:rsidR="00D17C76" w:rsidRDefault="00B70C1B">
      <w:pPr>
        <w:spacing w:line="240" w:lineRule="auto"/>
        <w:rPr>
          <w:sz w:val="20"/>
          <w:szCs w:val="20"/>
        </w:rPr>
      </w:pPr>
      <w:r>
        <w:rPr>
          <w:vertAlign w:val="superscript"/>
        </w:rPr>
        <w:footnoteRef/>
      </w:r>
      <w:r>
        <w:rPr>
          <w:sz w:val="20"/>
          <w:szCs w:val="20"/>
        </w:rPr>
        <w:t xml:space="preserve"> Ibid., p. xvii.</w:t>
      </w:r>
    </w:p>
  </w:footnote>
  <w:footnote w:id="19">
    <w:p w14:paraId="0000007C" w14:textId="77777777" w:rsidR="00D17C76" w:rsidRDefault="00B70C1B">
      <w:pPr>
        <w:spacing w:line="240" w:lineRule="auto"/>
        <w:rPr>
          <w:sz w:val="20"/>
          <w:szCs w:val="20"/>
        </w:rPr>
      </w:pPr>
      <w:r>
        <w:rPr>
          <w:vertAlign w:val="superscript"/>
        </w:rPr>
        <w:footnoteRef/>
      </w:r>
      <w:r>
        <w:rPr>
          <w:sz w:val="20"/>
          <w:szCs w:val="20"/>
        </w:rPr>
        <w:t xml:space="preserve"> London, British Library, Harley 6716.</w:t>
      </w:r>
    </w:p>
  </w:footnote>
  <w:footnote w:id="20">
    <w:p w14:paraId="00000061" w14:textId="77777777" w:rsidR="00D17C76" w:rsidRDefault="00B70C1B">
      <w:pPr>
        <w:spacing w:line="240" w:lineRule="auto"/>
        <w:rPr>
          <w:sz w:val="20"/>
          <w:szCs w:val="20"/>
        </w:rPr>
      </w:pPr>
      <w:r>
        <w:rPr>
          <w:vertAlign w:val="superscript"/>
        </w:rPr>
        <w:footnoteRef/>
      </w:r>
      <w:r>
        <w:rPr>
          <w:sz w:val="20"/>
          <w:szCs w:val="20"/>
        </w:rPr>
        <w:t xml:space="preserve"> London, The National Archives, E 36/137</w:t>
      </w:r>
    </w:p>
  </w:footnote>
  <w:footnote w:id="21">
    <w:p w14:paraId="0000006A" w14:textId="77777777" w:rsidR="00D17C76" w:rsidRDefault="00B70C1B">
      <w:pPr>
        <w:spacing w:line="240" w:lineRule="auto"/>
        <w:rPr>
          <w:sz w:val="20"/>
          <w:szCs w:val="20"/>
        </w:rPr>
      </w:pPr>
      <w:r>
        <w:rPr>
          <w:vertAlign w:val="superscript"/>
        </w:rPr>
        <w:footnoteRef/>
      </w:r>
      <w:r>
        <w:rPr>
          <w:sz w:val="20"/>
          <w:szCs w:val="20"/>
        </w:rPr>
        <w:t xml:space="preserve"> Patrick J. Geary, "Archival Memory and the Destruction of the Past" in </w:t>
      </w:r>
      <w:r>
        <w:rPr>
          <w:i/>
          <w:sz w:val="20"/>
          <w:szCs w:val="20"/>
        </w:rPr>
        <w:t>Phantoms of Remembrance: Memory and Oblivion at the End of the First Millennium</w:t>
      </w:r>
      <w:r>
        <w:rPr>
          <w:sz w:val="20"/>
          <w:szCs w:val="20"/>
        </w:rPr>
        <w:t xml:space="preserve"> (Princeton University Press, 1994) p. 83.</w:t>
      </w:r>
    </w:p>
  </w:footnote>
  <w:footnote w:id="22">
    <w:p w14:paraId="00000062" w14:textId="77777777" w:rsidR="00D17C76" w:rsidRDefault="00B70C1B">
      <w:pPr>
        <w:spacing w:line="240" w:lineRule="auto"/>
        <w:rPr>
          <w:sz w:val="20"/>
          <w:szCs w:val="20"/>
        </w:rPr>
      </w:pPr>
      <w:r>
        <w:rPr>
          <w:vertAlign w:val="superscript"/>
        </w:rPr>
        <w:footnoteRef/>
      </w:r>
      <w:r>
        <w:rPr>
          <w:sz w:val="20"/>
          <w:szCs w:val="20"/>
        </w:rPr>
        <w:t xml:space="preserve"> N.R. Ker, </w:t>
      </w:r>
      <w:r>
        <w:rPr>
          <w:i/>
          <w:sz w:val="20"/>
          <w:szCs w:val="20"/>
        </w:rPr>
        <w:t>Books, Collectors, and Libraries: Studies in the Medieval Heritage</w:t>
      </w:r>
      <w:r>
        <w:rPr>
          <w:sz w:val="20"/>
          <w:szCs w:val="20"/>
        </w:rPr>
        <w:t xml:space="preserve"> (</w:t>
      </w:r>
      <w:proofErr w:type="spellStart"/>
      <w:r>
        <w:rPr>
          <w:sz w:val="20"/>
          <w:szCs w:val="20"/>
        </w:rPr>
        <w:t>Hambledo</w:t>
      </w:r>
      <w:r>
        <w:rPr>
          <w:sz w:val="20"/>
          <w:szCs w:val="20"/>
        </w:rPr>
        <w:t>n</w:t>
      </w:r>
      <w:proofErr w:type="spellEnd"/>
      <w:r>
        <w:rPr>
          <w:sz w:val="20"/>
          <w:szCs w:val="20"/>
        </w:rPr>
        <w:t xml:space="preserve"> Press, 1985) p. 47</w:t>
      </w:r>
    </w:p>
  </w:footnote>
  <w:footnote w:id="23">
    <w:p w14:paraId="00000069" w14:textId="77777777" w:rsidR="00D17C76" w:rsidRDefault="00B70C1B">
      <w:pPr>
        <w:spacing w:line="240" w:lineRule="auto"/>
        <w:rPr>
          <w:sz w:val="20"/>
          <w:szCs w:val="20"/>
        </w:rPr>
      </w:pPr>
      <w:r>
        <w:rPr>
          <w:vertAlign w:val="superscript"/>
        </w:rPr>
        <w:footnoteRef/>
      </w:r>
      <w:r>
        <w:rPr>
          <w:sz w:val="20"/>
          <w:szCs w:val="20"/>
        </w:rPr>
        <w:t xml:space="preserve"> Bouchard, </w:t>
      </w:r>
      <w:r>
        <w:rPr>
          <w:i/>
          <w:sz w:val="20"/>
          <w:szCs w:val="20"/>
        </w:rPr>
        <w:t>Rewriting Sa</w:t>
      </w:r>
      <w:r>
        <w:rPr>
          <w:i/>
          <w:sz w:val="20"/>
          <w:szCs w:val="20"/>
        </w:rPr>
        <w:t>ints and Ancestors,</w:t>
      </w:r>
      <w:r>
        <w:rPr>
          <w:sz w:val="20"/>
          <w:szCs w:val="20"/>
        </w:rPr>
        <w:t xml:space="preserve"> p.32</w:t>
      </w:r>
    </w:p>
  </w:footnote>
  <w:footnote w:id="24">
    <w:p w14:paraId="00000077" w14:textId="77777777" w:rsidR="00D17C76" w:rsidRDefault="00B70C1B">
      <w:pPr>
        <w:spacing w:line="240" w:lineRule="auto"/>
        <w:rPr>
          <w:sz w:val="20"/>
          <w:szCs w:val="20"/>
        </w:rPr>
      </w:pPr>
      <w:r>
        <w:rPr>
          <w:vertAlign w:val="superscript"/>
        </w:rPr>
        <w:footnoteRef/>
      </w:r>
      <w:r>
        <w:rPr>
          <w:sz w:val="20"/>
          <w:szCs w:val="20"/>
        </w:rPr>
        <w:t xml:space="preserve"> M.T </w:t>
      </w:r>
      <w:proofErr w:type="spellStart"/>
      <w:r>
        <w:rPr>
          <w:sz w:val="20"/>
          <w:szCs w:val="20"/>
        </w:rPr>
        <w:t>Clanchy</w:t>
      </w:r>
      <w:proofErr w:type="spellEnd"/>
      <w:r>
        <w:rPr>
          <w:sz w:val="20"/>
          <w:szCs w:val="20"/>
        </w:rPr>
        <w:t xml:space="preserve">, </w:t>
      </w:r>
      <w:r>
        <w:rPr>
          <w:i/>
          <w:sz w:val="20"/>
          <w:szCs w:val="20"/>
        </w:rPr>
        <w:t>From Memor</w:t>
      </w:r>
      <w:r>
        <w:rPr>
          <w:i/>
          <w:sz w:val="20"/>
          <w:szCs w:val="20"/>
        </w:rPr>
        <w:t>y to Written Record: England 1066 - 1307</w:t>
      </w:r>
      <w:r>
        <w:rPr>
          <w:sz w:val="20"/>
          <w:szCs w:val="20"/>
        </w:rPr>
        <w:t xml:space="preserve"> (Oxford: Blackwell Publishing, 2008), p.102.</w:t>
      </w:r>
    </w:p>
  </w:footnote>
  <w:footnote w:id="25">
    <w:p w14:paraId="00000063" w14:textId="77777777" w:rsidR="00D17C76" w:rsidRDefault="00B70C1B">
      <w:pPr>
        <w:spacing w:line="240" w:lineRule="auto"/>
        <w:rPr>
          <w:sz w:val="20"/>
          <w:szCs w:val="20"/>
        </w:rPr>
      </w:pPr>
      <w:r>
        <w:rPr>
          <w:vertAlign w:val="superscript"/>
        </w:rPr>
        <w:footnoteRef/>
      </w:r>
      <w:r>
        <w:rPr>
          <w:sz w:val="20"/>
          <w:szCs w:val="20"/>
        </w:rPr>
        <w:t xml:space="preserve"> Bouchard, </w:t>
      </w:r>
      <w:r>
        <w:rPr>
          <w:i/>
          <w:sz w:val="20"/>
          <w:szCs w:val="20"/>
        </w:rPr>
        <w:t>Rewriting Saints and Ancestors,</w:t>
      </w:r>
      <w:r>
        <w:rPr>
          <w:sz w:val="20"/>
          <w:szCs w:val="20"/>
        </w:rPr>
        <w:t xml:space="preserve"> p.18.</w:t>
      </w:r>
    </w:p>
  </w:footnote>
  <w:footnote w:id="26">
    <w:p w14:paraId="00000064" w14:textId="77777777" w:rsidR="00D17C76" w:rsidRDefault="00B70C1B">
      <w:pPr>
        <w:spacing w:line="240" w:lineRule="auto"/>
        <w:rPr>
          <w:sz w:val="20"/>
          <w:szCs w:val="20"/>
        </w:rPr>
      </w:pPr>
      <w:r>
        <w:rPr>
          <w:vertAlign w:val="superscript"/>
        </w:rPr>
        <w:footnoteRef/>
      </w:r>
      <w:r>
        <w:rPr>
          <w:sz w:val="20"/>
          <w:szCs w:val="20"/>
        </w:rPr>
        <w:t xml:space="preserve"> Joanna Tucker, “Cartulary Studies” in Reading and Shaping Medieval Cartularies: Multi-Scribe Manuscripts and their Patterns of Growth. A Study of the Earliest Cartularies of Glasgow Cathedral and </w:t>
      </w:r>
      <w:proofErr w:type="spellStart"/>
      <w:r>
        <w:rPr>
          <w:sz w:val="20"/>
          <w:szCs w:val="20"/>
        </w:rPr>
        <w:t>Lindores</w:t>
      </w:r>
      <w:proofErr w:type="spellEnd"/>
      <w:r>
        <w:rPr>
          <w:sz w:val="20"/>
          <w:szCs w:val="20"/>
        </w:rPr>
        <w:t xml:space="preserve"> Abbey (Boydell Press, 2020) p. 12.</w:t>
      </w:r>
    </w:p>
  </w:footnote>
  <w:footnote w:id="27">
    <w:p w14:paraId="0000007D" w14:textId="77777777" w:rsidR="00D17C76" w:rsidRDefault="00B70C1B">
      <w:pPr>
        <w:spacing w:line="240" w:lineRule="auto"/>
        <w:rPr>
          <w:sz w:val="20"/>
          <w:szCs w:val="20"/>
        </w:rPr>
      </w:pPr>
      <w:r>
        <w:rPr>
          <w:vertAlign w:val="superscript"/>
        </w:rPr>
        <w:footnoteRef/>
      </w:r>
      <w:r>
        <w:rPr>
          <w:sz w:val="20"/>
          <w:szCs w:val="20"/>
        </w:rPr>
        <w:t xml:space="preserve"> London, The National Archives, E 164/18</w:t>
      </w:r>
    </w:p>
  </w:footnote>
  <w:footnote w:id="28">
    <w:p w14:paraId="00000065" w14:textId="77777777" w:rsidR="00D17C76" w:rsidRDefault="00B70C1B">
      <w:pPr>
        <w:spacing w:line="240" w:lineRule="auto"/>
        <w:rPr>
          <w:sz w:val="20"/>
          <w:szCs w:val="20"/>
        </w:rPr>
      </w:pPr>
      <w:r>
        <w:rPr>
          <w:vertAlign w:val="superscript"/>
        </w:rPr>
        <w:footnoteRef/>
      </w:r>
      <w:r>
        <w:rPr>
          <w:sz w:val="20"/>
          <w:szCs w:val="20"/>
        </w:rPr>
        <w:t xml:space="preserve"> Antonia </w:t>
      </w:r>
      <w:proofErr w:type="spellStart"/>
      <w:r>
        <w:rPr>
          <w:sz w:val="20"/>
          <w:szCs w:val="20"/>
        </w:rPr>
        <w:t>Gransden</w:t>
      </w:r>
      <w:proofErr w:type="spellEnd"/>
      <w:r>
        <w:rPr>
          <w:sz w:val="20"/>
          <w:szCs w:val="20"/>
        </w:rPr>
        <w:t xml:space="preserve">, </w:t>
      </w:r>
      <w:r>
        <w:rPr>
          <w:i/>
          <w:sz w:val="20"/>
          <w:szCs w:val="20"/>
        </w:rPr>
        <w:t>Historical Writing in England c.550–1307</w:t>
      </w:r>
      <w:r>
        <w:rPr>
          <w:sz w:val="20"/>
          <w:szCs w:val="20"/>
        </w:rPr>
        <w:t xml:space="preserve"> (Routledge and Kegan Paul, 1974)</w:t>
      </w:r>
    </w:p>
  </w:footnote>
  <w:footnote w:id="29">
    <w:p w14:paraId="0000007E"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 xml:space="preserve">Medieval Cartularies, </w:t>
      </w:r>
      <w:r>
        <w:rPr>
          <w:sz w:val="20"/>
          <w:szCs w:val="20"/>
        </w:rPr>
        <w:t>p.23.</w:t>
      </w:r>
    </w:p>
  </w:footnote>
  <w:footnote w:id="30">
    <w:p w14:paraId="00000066" w14:textId="77777777" w:rsidR="00D17C76" w:rsidRDefault="00B70C1B">
      <w:pPr>
        <w:spacing w:line="240" w:lineRule="auto"/>
        <w:rPr>
          <w:sz w:val="20"/>
          <w:szCs w:val="20"/>
        </w:rPr>
      </w:pPr>
      <w:r>
        <w:rPr>
          <w:vertAlign w:val="superscript"/>
        </w:rPr>
        <w:footnoteRef/>
      </w:r>
      <w:r>
        <w:rPr>
          <w:sz w:val="20"/>
          <w:szCs w:val="20"/>
        </w:rPr>
        <w:t xml:space="preserve"> Bouchard, </w:t>
      </w:r>
      <w:r>
        <w:rPr>
          <w:i/>
          <w:sz w:val="20"/>
          <w:szCs w:val="20"/>
        </w:rPr>
        <w:t>Rewriting Saints and Ancestors,</w:t>
      </w:r>
      <w:r>
        <w:rPr>
          <w:sz w:val="20"/>
          <w:szCs w:val="20"/>
        </w:rPr>
        <w:t xml:space="preserve"> p.32-33.</w:t>
      </w:r>
    </w:p>
  </w:footnote>
  <w:footnote w:id="31">
    <w:p w14:paraId="0000006B" w14:textId="77777777" w:rsidR="00D17C76" w:rsidRDefault="00B70C1B">
      <w:pPr>
        <w:spacing w:line="240" w:lineRule="auto"/>
        <w:rPr>
          <w:sz w:val="20"/>
          <w:szCs w:val="20"/>
        </w:rPr>
      </w:pPr>
      <w:r>
        <w:rPr>
          <w:vertAlign w:val="superscript"/>
        </w:rPr>
        <w:footnoteRef/>
      </w:r>
      <w:r>
        <w:rPr>
          <w:sz w:val="20"/>
          <w:szCs w:val="20"/>
        </w:rPr>
        <w:t xml:space="preserve"> Jennifer Paxton, “Forging Communit</w:t>
      </w:r>
      <w:r>
        <w:rPr>
          <w:sz w:val="20"/>
          <w:szCs w:val="20"/>
        </w:rPr>
        <w:t xml:space="preserve">ies: Memory and Identity in Post-Conquest England” </w:t>
      </w:r>
      <w:proofErr w:type="gramStart"/>
      <w:r>
        <w:rPr>
          <w:sz w:val="20"/>
          <w:szCs w:val="20"/>
        </w:rPr>
        <w:t>in  Haskins</w:t>
      </w:r>
      <w:proofErr w:type="gramEnd"/>
      <w:r>
        <w:rPr>
          <w:sz w:val="20"/>
          <w:szCs w:val="20"/>
        </w:rPr>
        <w:t xml:space="preserve"> Society Journal 10 (2001) p. 96.</w:t>
      </w:r>
    </w:p>
  </w:footnote>
  <w:footnote w:id="32">
    <w:p w14:paraId="0000006F" w14:textId="77777777" w:rsidR="00D17C76" w:rsidRDefault="00B70C1B">
      <w:pPr>
        <w:spacing w:line="240" w:lineRule="auto"/>
        <w:rPr>
          <w:sz w:val="20"/>
          <w:szCs w:val="20"/>
        </w:rPr>
      </w:pPr>
      <w:r>
        <w:rPr>
          <w:vertAlign w:val="superscript"/>
        </w:rPr>
        <w:footnoteRef/>
      </w:r>
      <w:r>
        <w:rPr>
          <w:sz w:val="20"/>
          <w:szCs w:val="20"/>
        </w:rPr>
        <w:t xml:space="preserve"> Tucker, “Cartulary Studies” p. 18-19</w:t>
      </w:r>
    </w:p>
  </w:footnote>
  <w:footnote w:id="33">
    <w:p w14:paraId="00000080" w14:textId="77777777" w:rsidR="00D17C76" w:rsidRDefault="00B70C1B">
      <w:pPr>
        <w:spacing w:line="240" w:lineRule="auto"/>
        <w:rPr>
          <w:sz w:val="20"/>
          <w:szCs w:val="20"/>
        </w:rPr>
      </w:pPr>
      <w:r>
        <w:rPr>
          <w:vertAlign w:val="superscript"/>
        </w:rPr>
        <w:footnoteRef/>
      </w:r>
      <w:r>
        <w:rPr>
          <w:sz w:val="20"/>
          <w:szCs w:val="20"/>
        </w:rPr>
        <w:t xml:space="preserve"> London, College of Arms, Arundel 59</w:t>
      </w:r>
    </w:p>
  </w:footnote>
  <w:footnote w:id="34">
    <w:p w14:paraId="0000007F"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Medieval Cartularies</w:t>
      </w:r>
      <w:r>
        <w:rPr>
          <w:i/>
          <w:sz w:val="20"/>
          <w:szCs w:val="20"/>
        </w:rPr>
        <w:t xml:space="preserve">, </w:t>
      </w:r>
      <w:r>
        <w:rPr>
          <w:sz w:val="20"/>
          <w:szCs w:val="20"/>
        </w:rPr>
        <w:t>p.26</w:t>
      </w:r>
    </w:p>
  </w:footnote>
  <w:footnote w:id="35">
    <w:p w14:paraId="00000067" w14:textId="77777777" w:rsidR="00D17C76" w:rsidRDefault="00B70C1B">
      <w:pPr>
        <w:spacing w:line="240" w:lineRule="auto"/>
        <w:rPr>
          <w:sz w:val="20"/>
          <w:szCs w:val="20"/>
        </w:rPr>
      </w:pPr>
      <w:r>
        <w:rPr>
          <w:vertAlign w:val="superscript"/>
        </w:rPr>
        <w:footnoteRef/>
      </w:r>
      <w:r>
        <w:rPr>
          <w:sz w:val="20"/>
          <w:szCs w:val="20"/>
        </w:rPr>
        <w:t xml:space="preserve"> Tucker, “Cartulary Studies” p. 14.</w:t>
      </w:r>
    </w:p>
  </w:footnote>
  <w:footnote w:id="36">
    <w:p w14:paraId="00000068"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Clanchy</w:t>
      </w:r>
      <w:proofErr w:type="spellEnd"/>
      <w:r>
        <w:rPr>
          <w:sz w:val="20"/>
          <w:szCs w:val="20"/>
        </w:rPr>
        <w:t xml:space="preserve">, </w:t>
      </w:r>
      <w:r>
        <w:rPr>
          <w:i/>
          <w:sz w:val="20"/>
          <w:szCs w:val="20"/>
        </w:rPr>
        <w:t>From Memory to Written Record</w:t>
      </w:r>
      <w:r>
        <w:rPr>
          <w:sz w:val="20"/>
          <w:szCs w:val="20"/>
        </w:rPr>
        <w:t>, p.101.</w:t>
      </w:r>
    </w:p>
  </w:footnote>
  <w:footnote w:id="37">
    <w:p w14:paraId="0000006D" w14:textId="77777777" w:rsidR="00D17C76" w:rsidRDefault="00B70C1B">
      <w:pPr>
        <w:spacing w:line="240" w:lineRule="auto"/>
        <w:rPr>
          <w:sz w:val="20"/>
          <w:szCs w:val="20"/>
        </w:rPr>
      </w:pPr>
      <w:r>
        <w:rPr>
          <w:vertAlign w:val="superscript"/>
        </w:rPr>
        <w:footnoteRef/>
      </w:r>
      <w:r>
        <w:rPr>
          <w:sz w:val="20"/>
          <w:szCs w:val="20"/>
        </w:rPr>
        <w:t xml:space="preserve"> David </w:t>
      </w:r>
      <w:proofErr w:type="spellStart"/>
      <w:r>
        <w:rPr>
          <w:sz w:val="20"/>
          <w:szCs w:val="20"/>
        </w:rPr>
        <w:t>Postles</w:t>
      </w:r>
      <w:proofErr w:type="spellEnd"/>
      <w:r>
        <w:rPr>
          <w:sz w:val="20"/>
          <w:szCs w:val="20"/>
        </w:rPr>
        <w:t xml:space="preserve">, "The </w:t>
      </w:r>
      <w:proofErr w:type="spellStart"/>
      <w:r>
        <w:rPr>
          <w:sz w:val="20"/>
          <w:szCs w:val="20"/>
        </w:rPr>
        <w:t>Garendon</w:t>
      </w:r>
      <w:proofErr w:type="spellEnd"/>
      <w:r>
        <w:rPr>
          <w:sz w:val="20"/>
          <w:szCs w:val="20"/>
        </w:rPr>
        <w:t xml:space="preserve"> cartularies in BL, Lansdown 415", </w:t>
      </w:r>
      <w:r>
        <w:rPr>
          <w:i/>
          <w:sz w:val="20"/>
          <w:szCs w:val="20"/>
        </w:rPr>
        <w:t>British Library Journal 22</w:t>
      </w:r>
      <w:r>
        <w:rPr>
          <w:sz w:val="20"/>
          <w:szCs w:val="20"/>
        </w:rPr>
        <w:t xml:space="preserve"> (British Library, 1996) p. 161-7</w:t>
      </w:r>
      <w:r>
        <w:rPr>
          <w:sz w:val="20"/>
          <w:szCs w:val="20"/>
        </w:rPr>
        <w:t>1</w:t>
      </w:r>
    </w:p>
  </w:footnote>
  <w:footnote w:id="38">
    <w:p w14:paraId="0000006E" w14:textId="77777777" w:rsidR="00D17C76" w:rsidRDefault="00B70C1B">
      <w:pPr>
        <w:spacing w:line="240" w:lineRule="auto"/>
        <w:rPr>
          <w:sz w:val="20"/>
          <w:szCs w:val="20"/>
        </w:rPr>
      </w:pPr>
      <w:r>
        <w:rPr>
          <w:vertAlign w:val="superscript"/>
        </w:rPr>
        <w:footnoteRef/>
      </w:r>
      <w:r>
        <w:rPr>
          <w:sz w:val="20"/>
          <w:szCs w:val="20"/>
        </w:rPr>
        <w:t xml:space="preserve"> Nigel Ramsay, “Archive books” in</w:t>
      </w:r>
      <w:r>
        <w:rPr>
          <w:i/>
          <w:sz w:val="20"/>
          <w:szCs w:val="20"/>
        </w:rPr>
        <w:t xml:space="preserve"> The Cambridge History of the Book in Britain,</w:t>
      </w:r>
      <w:r>
        <w:rPr>
          <w:sz w:val="20"/>
          <w:szCs w:val="20"/>
        </w:rPr>
        <w:t xml:space="preserve"> ed. Nigel J. Morgan and Rodney M. Thomson (2008), p. 424</w:t>
      </w:r>
    </w:p>
  </w:footnote>
  <w:footnote w:id="39">
    <w:p w14:paraId="0000006C" w14:textId="77777777" w:rsidR="00D17C76" w:rsidRDefault="00B70C1B">
      <w:pPr>
        <w:spacing w:line="240" w:lineRule="auto"/>
        <w:rPr>
          <w:sz w:val="20"/>
          <w:szCs w:val="20"/>
        </w:rPr>
      </w:pPr>
      <w:r>
        <w:rPr>
          <w:vertAlign w:val="superscript"/>
        </w:rPr>
        <w:footnoteRef/>
      </w:r>
      <w:r>
        <w:rPr>
          <w:sz w:val="20"/>
          <w:szCs w:val="20"/>
        </w:rPr>
        <w:t xml:space="preserve"> Tucker, “Cartulary Studies” p. 14</w:t>
      </w:r>
    </w:p>
  </w:footnote>
  <w:footnote w:id="40">
    <w:p w14:paraId="00000081"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 xml:space="preserve">Medieval Cartularies, </w:t>
      </w:r>
      <w:r>
        <w:rPr>
          <w:sz w:val="20"/>
          <w:szCs w:val="20"/>
        </w:rPr>
        <w:t>p.23</w:t>
      </w:r>
    </w:p>
  </w:footnote>
  <w:footnote w:id="41">
    <w:p w14:paraId="00000082" w14:textId="77777777" w:rsidR="00D17C76" w:rsidRDefault="00B70C1B">
      <w:pPr>
        <w:spacing w:line="240" w:lineRule="auto"/>
        <w:rPr>
          <w:sz w:val="20"/>
          <w:szCs w:val="20"/>
        </w:rPr>
      </w:pPr>
      <w:r>
        <w:rPr>
          <w:vertAlign w:val="superscript"/>
        </w:rPr>
        <w:footnoteRef/>
      </w:r>
      <w:r>
        <w:rPr>
          <w:sz w:val="20"/>
          <w:szCs w:val="20"/>
        </w:rPr>
        <w:t xml:space="preserve"> Ibid.,</w:t>
      </w:r>
      <w:r>
        <w:rPr>
          <w:i/>
          <w:sz w:val="20"/>
          <w:szCs w:val="20"/>
        </w:rPr>
        <w:t xml:space="preserve"> </w:t>
      </w:r>
      <w:r>
        <w:rPr>
          <w:sz w:val="20"/>
          <w:szCs w:val="20"/>
        </w:rPr>
        <w:t>p.24</w:t>
      </w:r>
    </w:p>
  </w:footnote>
  <w:footnote w:id="42">
    <w:p w14:paraId="00000070" w14:textId="77777777" w:rsidR="00D17C76" w:rsidRDefault="00B70C1B">
      <w:pPr>
        <w:spacing w:line="240" w:lineRule="auto"/>
        <w:rPr>
          <w:sz w:val="20"/>
          <w:szCs w:val="20"/>
          <w:highlight w:val="yellow"/>
        </w:rPr>
      </w:pPr>
      <w:r>
        <w:rPr>
          <w:vertAlign w:val="superscript"/>
        </w:rPr>
        <w:footnoteRef/>
      </w:r>
      <w:r>
        <w:rPr>
          <w:sz w:val="20"/>
          <w:szCs w:val="20"/>
        </w:rPr>
        <w:t xml:space="preserve"> Bouchard, </w:t>
      </w:r>
      <w:r>
        <w:rPr>
          <w:i/>
          <w:sz w:val="20"/>
          <w:szCs w:val="20"/>
        </w:rPr>
        <w:t>Rewriting Saints and Ancestors,</w:t>
      </w:r>
      <w:r>
        <w:rPr>
          <w:sz w:val="20"/>
          <w:szCs w:val="20"/>
        </w:rPr>
        <w:t xml:space="preserve"> p. 32</w:t>
      </w:r>
    </w:p>
  </w:footnote>
  <w:footnote w:id="43">
    <w:p w14:paraId="00000071"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Trevor, </w:t>
      </w:r>
      <w:r>
        <w:rPr>
          <w:i/>
          <w:sz w:val="20"/>
          <w:szCs w:val="20"/>
        </w:rPr>
        <w:t xml:space="preserve">The </w:t>
      </w:r>
      <w:proofErr w:type="spellStart"/>
      <w:r>
        <w:rPr>
          <w:i/>
          <w:sz w:val="20"/>
          <w:szCs w:val="20"/>
        </w:rPr>
        <w:t>Thurg</w:t>
      </w:r>
      <w:r>
        <w:rPr>
          <w:i/>
          <w:sz w:val="20"/>
          <w:szCs w:val="20"/>
        </w:rPr>
        <w:t>arton</w:t>
      </w:r>
      <w:proofErr w:type="spellEnd"/>
      <w:r>
        <w:rPr>
          <w:i/>
          <w:sz w:val="20"/>
          <w:szCs w:val="20"/>
        </w:rPr>
        <w:t xml:space="preserve"> Cartulary</w:t>
      </w:r>
      <w:r>
        <w:rPr>
          <w:sz w:val="20"/>
          <w:szCs w:val="20"/>
        </w:rPr>
        <w:t xml:space="preserve"> (Paul Watkins, 1994) p. cxcii. </w:t>
      </w:r>
    </w:p>
  </w:footnote>
  <w:footnote w:id="44">
    <w:p w14:paraId="0000008E" w14:textId="77777777" w:rsidR="00D17C76" w:rsidRDefault="00B70C1B">
      <w:pPr>
        <w:spacing w:line="240" w:lineRule="auto"/>
        <w:rPr>
          <w:sz w:val="20"/>
          <w:szCs w:val="20"/>
        </w:rPr>
      </w:pPr>
      <w:r>
        <w:rPr>
          <w:vertAlign w:val="superscript"/>
        </w:rPr>
        <w:footnoteRef/>
      </w:r>
      <w:r>
        <w:rPr>
          <w:sz w:val="20"/>
          <w:szCs w:val="20"/>
        </w:rPr>
        <w:t xml:space="preserve"> Ibid., p. cxcii. </w:t>
      </w:r>
    </w:p>
  </w:footnote>
  <w:footnote w:id="45">
    <w:p w14:paraId="00000072" w14:textId="77777777" w:rsidR="00D17C76" w:rsidRDefault="00B70C1B">
      <w:pPr>
        <w:spacing w:line="240" w:lineRule="auto"/>
        <w:rPr>
          <w:sz w:val="20"/>
          <w:szCs w:val="20"/>
        </w:rPr>
      </w:pPr>
      <w:r>
        <w:rPr>
          <w:vertAlign w:val="superscript"/>
        </w:rPr>
        <w:footnoteRef/>
      </w:r>
      <w:r>
        <w:rPr>
          <w:i/>
          <w:sz w:val="20"/>
          <w:szCs w:val="20"/>
        </w:rPr>
        <w:t xml:space="preserve"> </w:t>
      </w:r>
      <w:r>
        <w:rPr>
          <w:sz w:val="20"/>
          <w:szCs w:val="20"/>
        </w:rPr>
        <w:t>Sutherland-Harris, “Authority, Text, and Genre” p.113.</w:t>
      </w:r>
      <w:r>
        <w:rPr>
          <w:sz w:val="24"/>
          <w:szCs w:val="24"/>
          <w:highlight w:val="yellow"/>
        </w:rPr>
        <w:t xml:space="preserve"> </w:t>
      </w:r>
    </w:p>
  </w:footnote>
  <w:footnote w:id="46">
    <w:p w14:paraId="00000073" w14:textId="77777777" w:rsidR="00D17C76" w:rsidRDefault="00B70C1B">
      <w:pPr>
        <w:spacing w:line="240" w:lineRule="auto"/>
        <w:rPr>
          <w:sz w:val="20"/>
          <w:szCs w:val="20"/>
        </w:rPr>
      </w:pPr>
      <w:r>
        <w:rPr>
          <w:vertAlign w:val="superscript"/>
        </w:rPr>
        <w:footnoteRef/>
      </w:r>
      <w:r>
        <w:rPr>
          <w:sz w:val="20"/>
          <w:szCs w:val="20"/>
        </w:rPr>
        <w:t xml:space="preserve"> Tucker, “Cartulary Studies” 11</w:t>
      </w:r>
    </w:p>
  </w:footnote>
  <w:footnote w:id="47">
    <w:p w14:paraId="00000076"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 xml:space="preserve">Medieval Cartularies, </w:t>
      </w:r>
      <w:r>
        <w:rPr>
          <w:sz w:val="20"/>
          <w:szCs w:val="20"/>
        </w:rPr>
        <w:t>p.32-33</w:t>
      </w:r>
    </w:p>
  </w:footnote>
  <w:footnote w:id="48">
    <w:p w14:paraId="00000074" w14:textId="77777777" w:rsidR="00D17C76" w:rsidRDefault="00B70C1B">
      <w:pPr>
        <w:spacing w:line="240" w:lineRule="auto"/>
        <w:rPr>
          <w:sz w:val="20"/>
          <w:szCs w:val="20"/>
        </w:rPr>
      </w:pPr>
      <w:r>
        <w:rPr>
          <w:vertAlign w:val="superscript"/>
        </w:rPr>
        <w:footnoteRef/>
      </w:r>
      <w:r>
        <w:rPr>
          <w:sz w:val="20"/>
          <w:szCs w:val="20"/>
        </w:rPr>
        <w:t xml:space="preserve"> Tucker, “Cartulary </w:t>
      </w:r>
      <w:proofErr w:type="gramStart"/>
      <w:r>
        <w:rPr>
          <w:sz w:val="20"/>
          <w:szCs w:val="20"/>
        </w:rPr>
        <w:t>Studies”  p.</w:t>
      </w:r>
      <w:proofErr w:type="gramEnd"/>
      <w:r>
        <w:rPr>
          <w:sz w:val="20"/>
          <w:szCs w:val="20"/>
        </w:rPr>
        <w:t xml:space="preserve"> 11</w:t>
      </w:r>
    </w:p>
  </w:footnote>
  <w:footnote w:id="49">
    <w:p w14:paraId="00000075" w14:textId="77777777" w:rsidR="00D17C76" w:rsidRDefault="00B70C1B">
      <w:pPr>
        <w:spacing w:line="240" w:lineRule="auto"/>
        <w:rPr>
          <w:sz w:val="20"/>
          <w:szCs w:val="20"/>
        </w:rPr>
      </w:pPr>
      <w:r>
        <w:rPr>
          <w:vertAlign w:val="superscript"/>
        </w:rPr>
        <w:footnoteRef/>
      </w:r>
      <w:r>
        <w:rPr>
          <w:sz w:val="20"/>
          <w:szCs w:val="20"/>
        </w:rPr>
        <w:t xml:space="preserve"> Ibid., p. 11</w:t>
      </w:r>
    </w:p>
  </w:footnote>
  <w:footnote w:id="50">
    <w:p w14:paraId="00000078"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 xml:space="preserve">Medieval Cartularies, </w:t>
      </w:r>
      <w:r>
        <w:rPr>
          <w:sz w:val="20"/>
          <w:szCs w:val="20"/>
        </w:rPr>
        <w:t>p.32-33</w:t>
      </w:r>
    </w:p>
  </w:footnote>
  <w:footnote w:id="51">
    <w:p w14:paraId="0000008B" w14:textId="77777777" w:rsidR="00D17C76" w:rsidRDefault="00B70C1B">
      <w:pPr>
        <w:spacing w:line="240" w:lineRule="auto"/>
        <w:rPr>
          <w:sz w:val="20"/>
          <w:szCs w:val="20"/>
        </w:rPr>
      </w:pPr>
      <w:r>
        <w:rPr>
          <w:vertAlign w:val="superscript"/>
        </w:rPr>
        <w:footnoteRef/>
      </w:r>
      <w:r>
        <w:rPr>
          <w:sz w:val="20"/>
          <w:szCs w:val="20"/>
        </w:rPr>
        <w:t xml:space="preserve"> Tucker, “Cartulary Studies” p. 23</w:t>
      </w:r>
    </w:p>
  </w:footnote>
  <w:footnote w:id="52">
    <w:p w14:paraId="00000083" w14:textId="77777777" w:rsidR="00D17C76" w:rsidRDefault="00B70C1B">
      <w:pPr>
        <w:spacing w:line="240" w:lineRule="auto"/>
        <w:rPr>
          <w:sz w:val="20"/>
          <w:szCs w:val="20"/>
        </w:rPr>
      </w:pPr>
      <w:r>
        <w:rPr>
          <w:vertAlign w:val="superscript"/>
        </w:rPr>
        <w:footnoteRef/>
      </w:r>
      <w:r>
        <w:rPr>
          <w:sz w:val="20"/>
          <w:szCs w:val="20"/>
        </w:rPr>
        <w:t xml:space="preserve"> </w:t>
      </w:r>
      <w:proofErr w:type="spellStart"/>
      <w:proofErr w:type="gramStart"/>
      <w:r>
        <w:rPr>
          <w:sz w:val="20"/>
          <w:szCs w:val="20"/>
        </w:rPr>
        <w:t>Ibid.,p</w:t>
      </w:r>
      <w:proofErr w:type="spellEnd"/>
      <w:r>
        <w:rPr>
          <w:sz w:val="20"/>
          <w:szCs w:val="20"/>
        </w:rPr>
        <w:t>.</w:t>
      </w:r>
      <w:proofErr w:type="gramEnd"/>
      <w:r>
        <w:rPr>
          <w:sz w:val="20"/>
          <w:szCs w:val="20"/>
        </w:rPr>
        <w:t xml:space="preserve"> 32-33</w:t>
      </w:r>
    </w:p>
  </w:footnote>
  <w:footnote w:id="53">
    <w:p w14:paraId="00000084" w14:textId="77777777" w:rsidR="00D17C76" w:rsidRDefault="00B70C1B">
      <w:pPr>
        <w:spacing w:line="240" w:lineRule="auto"/>
        <w:rPr>
          <w:sz w:val="20"/>
          <w:szCs w:val="20"/>
        </w:rPr>
      </w:pPr>
      <w:r>
        <w:rPr>
          <w:vertAlign w:val="superscript"/>
        </w:rPr>
        <w:footnoteRef/>
      </w:r>
      <w:r>
        <w:rPr>
          <w:sz w:val="20"/>
          <w:szCs w:val="20"/>
        </w:rPr>
        <w:t xml:space="preserve"> Tucker, “Cartulary Studies” p. 22.</w:t>
      </w:r>
    </w:p>
  </w:footnote>
  <w:footnote w:id="54">
    <w:p w14:paraId="0000008A" w14:textId="77777777" w:rsidR="00D17C76" w:rsidRDefault="00B70C1B">
      <w:pPr>
        <w:spacing w:line="240" w:lineRule="auto"/>
        <w:rPr>
          <w:sz w:val="20"/>
          <w:szCs w:val="20"/>
        </w:rPr>
      </w:pPr>
      <w:r>
        <w:rPr>
          <w:vertAlign w:val="superscript"/>
        </w:rPr>
        <w:footnoteRef/>
      </w:r>
      <w:r>
        <w:rPr>
          <w:sz w:val="20"/>
          <w:szCs w:val="20"/>
        </w:rPr>
        <w:t xml:space="preserve"> London, British Library, Additional 82958; C. J. Holdsworth, </w:t>
      </w:r>
      <w:proofErr w:type="spellStart"/>
      <w:r>
        <w:rPr>
          <w:i/>
          <w:sz w:val="20"/>
          <w:szCs w:val="20"/>
        </w:rPr>
        <w:t>Rufford</w:t>
      </w:r>
      <w:proofErr w:type="spellEnd"/>
      <w:r>
        <w:rPr>
          <w:i/>
          <w:sz w:val="20"/>
          <w:szCs w:val="20"/>
        </w:rPr>
        <w:t xml:space="preserve"> Charters</w:t>
      </w:r>
      <w:r>
        <w:rPr>
          <w:sz w:val="20"/>
          <w:szCs w:val="20"/>
        </w:rPr>
        <w:t xml:space="preserve">, </w:t>
      </w:r>
      <w:proofErr w:type="spellStart"/>
      <w:r>
        <w:rPr>
          <w:sz w:val="20"/>
          <w:szCs w:val="20"/>
        </w:rPr>
        <w:t>Thoroton</w:t>
      </w:r>
      <w:proofErr w:type="spellEnd"/>
      <w:r>
        <w:rPr>
          <w:sz w:val="20"/>
          <w:szCs w:val="20"/>
        </w:rPr>
        <w:t xml:space="preserve"> Society Record Series 29, 30, 32, 34 (197</w:t>
      </w:r>
      <w:r>
        <w:rPr>
          <w:sz w:val="20"/>
          <w:szCs w:val="20"/>
        </w:rPr>
        <w:t>2-81)</w:t>
      </w:r>
    </w:p>
  </w:footnote>
  <w:footnote w:id="55">
    <w:p w14:paraId="00000085" w14:textId="77777777" w:rsidR="00D17C76" w:rsidRDefault="00B70C1B">
      <w:pPr>
        <w:spacing w:line="240" w:lineRule="auto"/>
        <w:rPr>
          <w:sz w:val="20"/>
          <w:szCs w:val="20"/>
        </w:rPr>
      </w:pPr>
      <w:r>
        <w:rPr>
          <w:vertAlign w:val="superscript"/>
        </w:rPr>
        <w:footnoteRef/>
      </w:r>
      <w:r>
        <w:rPr>
          <w:sz w:val="20"/>
          <w:szCs w:val="20"/>
        </w:rPr>
        <w:t xml:space="preserve"> </w:t>
      </w:r>
      <w:proofErr w:type="spellStart"/>
      <w:r>
        <w:rPr>
          <w:sz w:val="20"/>
          <w:szCs w:val="20"/>
        </w:rPr>
        <w:t>Foulds</w:t>
      </w:r>
      <w:proofErr w:type="spellEnd"/>
      <w:r>
        <w:rPr>
          <w:sz w:val="20"/>
          <w:szCs w:val="20"/>
        </w:rPr>
        <w:t xml:space="preserve">, </w:t>
      </w:r>
      <w:r>
        <w:rPr>
          <w:i/>
          <w:sz w:val="20"/>
          <w:szCs w:val="20"/>
        </w:rPr>
        <w:t xml:space="preserve">Medieval Cartularies, </w:t>
      </w:r>
      <w:r>
        <w:rPr>
          <w:sz w:val="20"/>
          <w:szCs w:val="20"/>
        </w:rPr>
        <w:t>p.9</w:t>
      </w:r>
    </w:p>
  </w:footnote>
  <w:footnote w:id="56">
    <w:p w14:paraId="00000086" w14:textId="77777777" w:rsidR="00D17C76" w:rsidRDefault="00B70C1B">
      <w:pPr>
        <w:spacing w:line="240" w:lineRule="auto"/>
        <w:rPr>
          <w:sz w:val="20"/>
          <w:szCs w:val="20"/>
        </w:rPr>
      </w:pPr>
      <w:r>
        <w:rPr>
          <w:vertAlign w:val="superscript"/>
        </w:rPr>
        <w:footnoteRef/>
      </w:r>
      <w:r>
        <w:rPr>
          <w:sz w:val="20"/>
          <w:szCs w:val="20"/>
        </w:rPr>
        <w:t xml:space="preserve"> Ibid., p.9</w:t>
      </w:r>
    </w:p>
  </w:footnote>
  <w:footnote w:id="57">
    <w:p w14:paraId="00000087" w14:textId="77777777" w:rsidR="00D17C76" w:rsidRDefault="00B70C1B">
      <w:pPr>
        <w:spacing w:line="240" w:lineRule="auto"/>
        <w:rPr>
          <w:sz w:val="20"/>
          <w:szCs w:val="20"/>
        </w:rPr>
      </w:pPr>
      <w:r>
        <w:rPr>
          <w:vertAlign w:val="superscript"/>
        </w:rPr>
        <w:footnoteRef/>
      </w:r>
      <w:r>
        <w:rPr>
          <w:sz w:val="20"/>
          <w:szCs w:val="20"/>
        </w:rPr>
        <w:t xml:space="preserve"> Clemens et al. "Charters and Cartularies" p. 238.</w:t>
      </w:r>
    </w:p>
  </w:footnote>
  <w:footnote w:id="58">
    <w:p w14:paraId="00000088" w14:textId="77777777" w:rsidR="00D17C76" w:rsidRDefault="00B70C1B">
      <w:pPr>
        <w:spacing w:line="240" w:lineRule="auto"/>
        <w:rPr>
          <w:sz w:val="20"/>
          <w:szCs w:val="20"/>
        </w:rPr>
      </w:pPr>
      <w:r>
        <w:rPr>
          <w:vertAlign w:val="superscript"/>
        </w:rPr>
        <w:footnoteRef/>
      </w:r>
      <w:r>
        <w:rPr>
          <w:sz w:val="20"/>
          <w:szCs w:val="20"/>
        </w:rPr>
        <w:t xml:space="preserve"> Ibid., p. 238.</w:t>
      </w:r>
    </w:p>
  </w:footnote>
  <w:footnote w:id="59">
    <w:p w14:paraId="00000089" w14:textId="77777777" w:rsidR="00D17C76" w:rsidRDefault="00B70C1B">
      <w:pPr>
        <w:spacing w:line="240" w:lineRule="auto"/>
        <w:rPr>
          <w:sz w:val="20"/>
          <w:szCs w:val="20"/>
        </w:rPr>
      </w:pPr>
      <w:r>
        <w:rPr>
          <w:vertAlign w:val="superscript"/>
        </w:rPr>
        <w:footnoteRef/>
      </w:r>
      <w:r>
        <w:rPr>
          <w:sz w:val="20"/>
          <w:szCs w:val="20"/>
        </w:rPr>
        <w:t xml:space="preserve"> Sutherland-Harris, “Authority, Text, and Genre” p. 113</w:t>
      </w:r>
    </w:p>
  </w:footnote>
  <w:footnote w:id="60">
    <w:p w14:paraId="0000008D" w14:textId="77777777" w:rsidR="00D17C76" w:rsidRDefault="00B70C1B">
      <w:pPr>
        <w:spacing w:line="240" w:lineRule="auto"/>
        <w:rPr>
          <w:sz w:val="20"/>
          <w:szCs w:val="20"/>
        </w:rPr>
      </w:pPr>
      <w:r>
        <w:rPr>
          <w:vertAlign w:val="superscript"/>
        </w:rPr>
        <w:footnoteRef/>
      </w:r>
      <w:r>
        <w:rPr>
          <w:sz w:val="20"/>
          <w:szCs w:val="20"/>
        </w:rPr>
        <w:t xml:space="preserve"> Michael </w:t>
      </w:r>
      <w:proofErr w:type="spellStart"/>
      <w:r>
        <w:rPr>
          <w:sz w:val="20"/>
          <w:szCs w:val="20"/>
        </w:rPr>
        <w:t>Gervers</w:t>
      </w:r>
      <w:proofErr w:type="spellEnd"/>
      <w:r>
        <w:rPr>
          <w:sz w:val="20"/>
          <w:szCs w:val="20"/>
        </w:rPr>
        <w:t xml:space="preserve">, </w:t>
      </w:r>
      <w:r>
        <w:rPr>
          <w:i/>
          <w:sz w:val="20"/>
          <w:szCs w:val="20"/>
        </w:rPr>
        <w:t>Dating Undated Medieval Charters</w:t>
      </w:r>
      <w:r>
        <w:rPr>
          <w:sz w:val="20"/>
          <w:szCs w:val="20"/>
        </w:rPr>
        <w:t xml:space="preserve"> (Boydell</w:t>
      </w:r>
      <w:r>
        <w:rPr>
          <w:sz w:val="20"/>
          <w:szCs w:val="20"/>
        </w:rPr>
        <w:t xml:space="preserve"> &amp; Brewer, 2000)</w:t>
      </w:r>
    </w:p>
  </w:footnote>
  <w:footnote w:id="61">
    <w:p w14:paraId="0000008C" w14:textId="77777777" w:rsidR="00D17C76" w:rsidRDefault="00B70C1B">
      <w:pPr>
        <w:spacing w:line="240" w:lineRule="auto"/>
        <w:rPr>
          <w:sz w:val="20"/>
          <w:szCs w:val="20"/>
        </w:rPr>
      </w:pPr>
      <w:r>
        <w:rPr>
          <w:vertAlign w:val="superscript"/>
        </w:rPr>
        <w:footnoteRef/>
      </w:r>
      <w:r>
        <w:rPr>
          <w:sz w:val="20"/>
          <w:szCs w:val="20"/>
        </w:rPr>
        <w:t xml:space="preserve"> Raymond Clemens and Timothy Graham. "Chapter 14: Charters and Cartularies". Introduction to Manuscript Studies (Cornell University Press: 2007) p. 238.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C76"/>
    <w:rsid w:val="006E55B5"/>
    <w:rsid w:val="00B70C1B"/>
    <w:rsid w:val="00BA2541"/>
    <w:rsid w:val="00D17C76"/>
    <w:rsid w:val="00DA40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E57F2"/>
  <w15:docId w15:val="{3BD66DD6-BCB0-470B-B76B-C404D357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rsid w:val="00BA2541"/>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3454</Words>
  <Characters>19688</Characters>
  <Application>Microsoft Office Word</Application>
  <DocSecurity>0</DocSecurity>
  <Lines>164</Lines>
  <Paragraphs>46</Paragraphs>
  <ScaleCrop>false</ScaleCrop>
  <Company/>
  <LinksUpToDate>false</LinksUpToDate>
  <CharactersWithSpaces>23096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denize jacques</cp:lastModifiedBy>
  <cp:revision>3</cp:revision>
  <dcterms:created xsi:type="dcterms:W3CDTF">2020-06-12T20:09:00Z</dcterms:created>
  <dcterms:modified xsi:type="dcterms:W3CDTF">2020-06-12T20:10:00Z</dcterms:modified>
</cp:coreProperties>
</file>