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B9ECD" w14:textId="77777777" w:rsidR="00D94CDA" w:rsidRPr="0075373A" w:rsidRDefault="00D94CDA" w:rsidP="00D94CDA">
      <w:pPr>
        <w:spacing w:line="259" w:lineRule="auto"/>
        <w:jc w:val="center"/>
        <w:rPr>
          <w:rFonts w:cs="Arial"/>
          <w:b/>
          <w:sz w:val="28"/>
          <w:lang w:val="en-US"/>
        </w:rPr>
      </w:pPr>
      <w:r w:rsidRPr="0075373A">
        <w:rPr>
          <w:rFonts w:cs="Arial"/>
          <w:b/>
          <w:sz w:val="28"/>
          <w:lang w:val="en-US"/>
        </w:rPr>
        <w:t>SERVICE IMPROVEMENT REPORT</w:t>
      </w:r>
      <w:r w:rsidRPr="0075373A">
        <w:rPr>
          <w:rFonts w:cs="Arial"/>
          <w:b/>
          <w:sz w:val="28"/>
          <w:lang w:val="en-US"/>
        </w:rPr>
        <w:br/>
      </w:r>
      <w:r w:rsidRPr="0075373A">
        <w:rPr>
          <w:rFonts w:cs="Arial"/>
          <w:b/>
          <w:i/>
          <w:iCs/>
          <w:sz w:val="28"/>
          <w:lang w:val="en-US"/>
        </w:rPr>
        <w:t>(Component 2)</w:t>
      </w:r>
    </w:p>
    <w:p w14:paraId="10FD3A99" w14:textId="77777777" w:rsidR="00D94CDA" w:rsidRPr="0075373A" w:rsidRDefault="00D94CDA" w:rsidP="00D94CDA">
      <w:pPr>
        <w:spacing w:line="259" w:lineRule="auto"/>
        <w:jc w:val="center"/>
        <w:rPr>
          <w:rFonts w:cs="Arial"/>
          <w:b/>
          <w:sz w:val="28"/>
          <w:lang w:val="en-US"/>
        </w:rPr>
      </w:pPr>
      <w:r w:rsidRPr="0075373A">
        <w:rPr>
          <w:rFonts w:cs="Arial"/>
          <w:b/>
          <w:sz w:val="28"/>
          <w:lang w:val="en-US"/>
        </w:rPr>
        <w:t>Module Title: Quality Assurance and Service Improvements</w:t>
      </w:r>
      <w:r w:rsidRPr="0075373A">
        <w:rPr>
          <w:rFonts w:cs="Arial"/>
          <w:b/>
          <w:sz w:val="28"/>
          <w:lang w:val="en-US"/>
        </w:rPr>
        <w:br/>
        <w:t>Module Code: LCHS7006</w:t>
      </w:r>
    </w:p>
    <w:p w14:paraId="5DBDB588" w14:textId="77777777" w:rsidR="00D94CDA" w:rsidRPr="0075373A" w:rsidRDefault="00D94CDA" w:rsidP="00D94CDA">
      <w:pPr>
        <w:spacing w:line="259" w:lineRule="auto"/>
        <w:jc w:val="center"/>
        <w:rPr>
          <w:rFonts w:cs="Arial"/>
          <w:b/>
          <w:sz w:val="28"/>
          <w:lang w:val="en-US"/>
        </w:rPr>
      </w:pPr>
      <w:proofErr w:type="spellStart"/>
      <w:r w:rsidRPr="0075373A">
        <w:rPr>
          <w:rFonts w:cs="Arial"/>
          <w:b/>
          <w:sz w:val="28"/>
          <w:lang w:val="en-US"/>
        </w:rPr>
        <w:t>Programme</w:t>
      </w:r>
      <w:proofErr w:type="spellEnd"/>
      <w:r w:rsidRPr="0075373A">
        <w:rPr>
          <w:rFonts w:cs="Arial"/>
          <w:b/>
          <w:sz w:val="28"/>
          <w:lang w:val="en-US"/>
        </w:rPr>
        <w:t>: MSc Public Health and Social Care in Practice</w:t>
      </w:r>
    </w:p>
    <w:p w14:paraId="6A871C56" w14:textId="77777777" w:rsidR="00D94CDA" w:rsidRPr="00B12267" w:rsidRDefault="00D94CDA" w:rsidP="00D94CDA">
      <w:pPr>
        <w:spacing w:line="259" w:lineRule="auto"/>
        <w:jc w:val="center"/>
        <w:rPr>
          <w:rFonts w:cs="Arial"/>
          <w:sz w:val="22"/>
          <w:lang w:val="en-US"/>
        </w:rPr>
      </w:pPr>
    </w:p>
    <w:p w14:paraId="40998AA3" w14:textId="4A0315F0" w:rsidR="00D94CDA" w:rsidRPr="00B12267" w:rsidRDefault="00C430E4" w:rsidP="00D94CDA">
      <w:pPr>
        <w:spacing w:line="259" w:lineRule="auto"/>
        <w:jc w:val="center"/>
        <w:rPr>
          <w:rFonts w:cs="Arial"/>
          <w:b/>
          <w:bCs/>
          <w:szCs w:val="24"/>
          <w:lang w:val="en-US"/>
        </w:rPr>
      </w:pPr>
      <w:r w:rsidRPr="00B12267">
        <w:rPr>
          <w:rFonts w:cs="Arial"/>
          <w:b/>
          <w:bCs/>
          <w:szCs w:val="24"/>
        </w:rPr>
        <w:t xml:space="preserve">A Service Improvement Report on Patient Safety Failures: A Systems-Based Analysis of the Lucy </w:t>
      </w:r>
      <w:proofErr w:type="spellStart"/>
      <w:r w:rsidRPr="00B12267">
        <w:rPr>
          <w:rFonts w:cs="Arial"/>
          <w:b/>
          <w:bCs/>
          <w:szCs w:val="24"/>
        </w:rPr>
        <w:t>Letby</w:t>
      </w:r>
      <w:proofErr w:type="spellEnd"/>
      <w:r w:rsidRPr="00B12267">
        <w:rPr>
          <w:rFonts w:cs="Arial"/>
          <w:b/>
          <w:bCs/>
          <w:szCs w:val="24"/>
        </w:rPr>
        <w:t xml:space="preserve"> Case</w:t>
      </w:r>
    </w:p>
    <w:p w14:paraId="7893C90E" w14:textId="77777777" w:rsidR="00D94CDA" w:rsidRPr="00B12267" w:rsidRDefault="00D94CDA" w:rsidP="00C430E4">
      <w:pPr>
        <w:spacing w:line="259" w:lineRule="auto"/>
        <w:rPr>
          <w:rFonts w:cs="Arial"/>
          <w:sz w:val="22"/>
          <w:lang w:val="en-US"/>
        </w:rPr>
      </w:pPr>
    </w:p>
    <w:p w14:paraId="3432B7BD" w14:textId="214E982A" w:rsidR="00D94CDA" w:rsidRPr="00D94CDA" w:rsidRDefault="00D94CDA" w:rsidP="00D94CDA">
      <w:pPr>
        <w:spacing w:line="259" w:lineRule="auto"/>
        <w:jc w:val="center"/>
        <w:rPr>
          <w:rFonts w:cs="Arial"/>
          <w:sz w:val="22"/>
          <w:lang w:val="en-US"/>
        </w:rPr>
      </w:pPr>
      <w:r w:rsidRPr="00D94CDA">
        <w:rPr>
          <w:rFonts w:cs="Arial"/>
          <w:sz w:val="22"/>
          <w:lang w:val="en-US"/>
        </w:rPr>
        <w:t xml:space="preserve">Student Name: </w:t>
      </w:r>
      <w:proofErr w:type="spellStart"/>
      <w:r w:rsidR="00464C71" w:rsidRPr="00464C71">
        <w:rPr>
          <w:rFonts w:cs="Arial"/>
          <w:sz w:val="22"/>
          <w:lang w:val="en-US"/>
        </w:rPr>
        <w:t>Mst</w:t>
      </w:r>
      <w:proofErr w:type="spellEnd"/>
      <w:r w:rsidR="00464C71" w:rsidRPr="00464C71">
        <w:rPr>
          <w:rFonts w:cs="Arial"/>
          <w:sz w:val="22"/>
          <w:lang w:val="en-US"/>
        </w:rPr>
        <w:t xml:space="preserve">. </w:t>
      </w:r>
      <w:proofErr w:type="spellStart"/>
      <w:r w:rsidR="00464C71" w:rsidRPr="00464C71">
        <w:rPr>
          <w:rFonts w:cs="Arial"/>
          <w:sz w:val="22"/>
          <w:lang w:val="en-US"/>
        </w:rPr>
        <w:t>Sima</w:t>
      </w:r>
      <w:proofErr w:type="spellEnd"/>
      <w:r w:rsidR="00464C71" w:rsidRPr="00464C71">
        <w:rPr>
          <w:rFonts w:cs="Arial"/>
          <w:sz w:val="22"/>
          <w:lang w:val="en-US"/>
        </w:rPr>
        <w:t xml:space="preserve"> Begum  </w:t>
      </w:r>
      <w:r w:rsidRPr="00D94CDA">
        <w:rPr>
          <w:rFonts w:cs="Arial"/>
          <w:sz w:val="22"/>
          <w:lang w:val="en-US"/>
        </w:rPr>
        <w:br/>
        <w:t xml:space="preserve">Student ID: </w:t>
      </w:r>
      <w:r w:rsidR="00464C71" w:rsidRPr="00464C71">
        <w:rPr>
          <w:rFonts w:cs="Arial"/>
          <w:sz w:val="22"/>
          <w:lang w:val="en-US"/>
        </w:rPr>
        <w:t>2433426</w:t>
      </w:r>
    </w:p>
    <w:p w14:paraId="34B11D10" w14:textId="1E5AB32C" w:rsidR="00AB39E0" w:rsidRPr="00B12267" w:rsidRDefault="00AB39E0">
      <w:pPr>
        <w:spacing w:line="259" w:lineRule="auto"/>
        <w:jc w:val="left"/>
        <w:rPr>
          <w:rFonts w:cs="Arial"/>
          <w:b/>
          <w:bCs/>
          <w:sz w:val="22"/>
        </w:rPr>
      </w:pPr>
      <w:r w:rsidRPr="00B12267">
        <w:rPr>
          <w:rFonts w:cs="Arial"/>
          <w:b/>
          <w:bCs/>
          <w:sz w:val="22"/>
        </w:rPr>
        <w:br w:type="page"/>
      </w:r>
    </w:p>
    <w:p w14:paraId="2B25C764" w14:textId="5816A2F1" w:rsidR="00DE19D3" w:rsidRPr="00C67334" w:rsidRDefault="009C2809" w:rsidP="00C67334">
      <w:pPr>
        <w:pStyle w:val="Heading1"/>
      </w:pPr>
      <w:bookmarkStart w:id="0" w:name="_Toc226983531"/>
      <w:bookmarkStart w:id="1" w:name="_Toc226983558"/>
      <w:bookmarkStart w:id="2" w:name="_Toc226992461"/>
      <w:r w:rsidRPr="00C67334">
        <w:lastRenderedPageBreak/>
        <w:t>EXECUTIVE SUMMARY</w:t>
      </w:r>
      <w:bookmarkEnd w:id="0"/>
      <w:bookmarkEnd w:id="1"/>
      <w:bookmarkEnd w:id="2"/>
    </w:p>
    <w:p w14:paraId="796B32FD" w14:textId="77777777" w:rsidR="00AB2ACB" w:rsidRPr="00AB2ACB" w:rsidRDefault="00AB2ACB" w:rsidP="00AB2ACB">
      <w:pPr>
        <w:rPr>
          <w:rFonts w:cs="Arial"/>
          <w:sz w:val="22"/>
        </w:rPr>
      </w:pPr>
      <w:r w:rsidRPr="00AB2ACB">
        <w:rPr>
          <w:rFonts w:cs="Arial"/>
          <w:sz w:val="22"/>
        </w:rPr>
        <w:t>In the present report, one of the main healthcare quality and patient safety failures is considered, and the case study chosen is used to investigate the major causes of the problem as well as suggest ways to enhance the service. As has been known in the analysis, the incident was not reported to have been brought about by personal error but a combination of systems errors that involved poor governance, inefficiency of incident reporting systems, workforce shortages and poor safety culture. All these problems connected with each other led to the fact that the organisation did not manage to diagnose and eliminate the emerging risks, which, in turn, preconditioned the emergence of undesirable outcomes in patients.</w:t>
      </w:r>
    </w:p>
    <w:p w14:paraId="20901636" w14:textId="77777777" w:rsidR="00AB2ACB" w:rsidRPr="00AB2ACB" w:rsidRDefault="00AB2ACB" w:rsidP="00AB2ACB">
      <w:pPr>
        <w:rPr>
          <w:rFonts w:cs="Arial"/>
          <w:sz w:val="22"/>
        </w:rPr>
      </w:pPr>
      <w:r w:rsidRPr="00AB2ACB">
        <w:rPr>
          <w:rFonts w:cs="Arial"/>
          <w:sz w:val="22"/>
        </w:rPr>
        <w:t>The report uses some of the main theoretical frameworks, such as the Donabedian Model, Fishbone Diagram, and the 5 Whys, to talk about the roots of the problem in a logical order. These models describe the contribution of failure of the organisational structure, care processes and the safety culture to poor outcomes. The analysis also reveals the loopholes between the national policies on patient safety and their practice, and the contribution of accountability and continuous learning in the organisation is pivotal.</w:t>
      </w:r>
    </w:p>
    <w:p w14:paraId="52B0EAA9" w14:textId="77777777" w:rsidR="00AB2ACB" w:rsidRPr="00AB2ACB" w:rsidRDefault="00AB2ACB" w:rsidP="00AB2ACB">
      <w:pPr>
        <w:rPr>
          <w:rFonts w:cs="Arial"/>
          <w:sz w:val="22"/>
        </w:rPr>
      </w:pPr>
      <w:r w:rsidRPr="00AB2ACB">
        <w:rPr>
          <w:rFonts w:cs="Arial"/>
          <w:sz w:val="22"/>
        </w:rPr>
        <w:t>Such findings have led to a series of evidence-based recommendations in the report that will aid in improving patient safety and the quality of services offered. They are implementing systematic quality improvement programs like the Plan-Do-Study-Act (PDSA) cycle and introducing Lean strategies to enhance their efficiency, investing in the training and development of the workforce, leadership, expansion of digital systems to monitor real-time information and strengthening of governance and accountability.</w:t>
      </w:r>
    </w:p>
    <w:p w14:paraId="75FE71CC" w14:textId="68273573" w:rsidR="00AB39E0" w:rsidRPr="00B12267" w:rsidRDefault="00AB2ACB" w:rsidP="00AB2ACB">
      <w:pPr>
        <w:rPr>
          <w:rFonts w:cs="Arial"/>
          <w:sz w:val="22"/>
        </w:rPr>
      </w:pPr>
      <w:r w:rsidRPr="00AB2ACB">
        <w:rPr>
          <w:rFonts w:cs="Arial"/>
          <w:sz w:val="22"/>
        </w:rPr>
        <w:t>In general, the report finds that a successful service improvement is a system-wide program which is a combination of theory, policy and practice. By means of determining the root causes of failure and establishing an atmosphere of openness and constant advancement, patient safety, reduction of incidences, and improved-quality care can be ensured in healthcare organisations.</w:t>
      </w:r>
      <w:r w:rsidR="00AB39E0" w:rsidRPr="00B12267">
        <w:rPr>
          <w:rFonts w:cs="Arial"/>
          <w:sz w:val="22"/>
        </w:rPr>
        <w:br w:type="page"/>
      </w:r>
    </w:p>
    <w:sdt>
      <w:sdtPr>
        <w:rPr>
          <w:rFonts w:ascii="Times New Roman" w:eastAsiaTheme="minorHAnsi" w:hAnsi="Times New Roman" w:cstheme="minorBidi"/>
          <w:b w:val="0"/>
          <w:bCs w:val="0"/>
          <w:sz w:val="20"/>
          <w:szCs w:val="20"/>
          <w:lang w:val="en-GB"/>
        </w:rPr>
        <w:id w:val="-198319380"/>
        <w:docPartObj>
          <w:docPartGallery w:val="Table of Contents"/>
          <w:docPartUnique/>
        </w:docPartObj>
      </w:sdtPr>
      <w:sdtEndPr>
        <w:rPr>
          <w:rFonts w:ascii="Arial" w:hAnsi="Arial"/>
          <w:noProof/>
          <w:sz w:val="14"/>
          <w:szCs w:val="12"/>
        </w:rPr>
      </w:sdtEndPr>
      <w:sdtContent>
        <w:p w14:paraId="45245BF3" w14:textId="0289C356" w:rsidR="009C2809" w:rsidRPr="006F020B" w:rsidRDefault="009C2809" w:rsidP="00914767">
          <w:pPr>
            <w:pStyle w:val="TOCHeading"/>
            <w:rPr>
              <w:sz w:val="28"/>
              <w:szCs w:val="28"/>
            </w:rPr>
          </w:pPr>
          <w:r w:rsidRPr="006F020B">
            <w:rPr>
              <w:sz w:val="28"/>
              <w:szCs w:val="28"/>
            </w:rPr>
            <w:t>Table of Contents</w:t>
          </w:r>
        </w:p>
        <w:p w14:paraId="771D5474" w14:textId="5B807A7E" w:rsidR="006F020B" w:rsidRPr="006F020B" w:rsidRDefault="009C2809">
          <w:pPr>
            <w:pStyle w:val="TOC1"/>
            <w:tabs>
              <w:tab w:val="right" w:leader="dot" w:pos="9016"/>
            </w:tabs>
            <w:rPr>
              <w:rFonts w:eastAsiaTheme="minorEastAsia" w:cs="Arial"/>
              <w:noProof/>
              <w:kern w:val="2"/>
              <w:sz w:val="22"/>
              <w:lang w:val="en-US"/>
              <w14:ligatures w14:val="standardContextual"/>
            </w:rPr>
          </w:pPr>
          <w:r w:rsidRPr="006F020B">
            <w:rPr>
              <w:rFonts w:cs="Arial"/>
              <w:sz w:val="14"/>
              <w:szCs w:val="12"/>
            </w:rPr>
            <w:fldChar w:fldCharType="begin"/>
          </w:r>
          <w:r w:rsidRPr="006F020B">
            <w:rPr>
              <w:rFonts w:cs="Arial"/>
              <w:sz w:val="14"/>
              <w:szCs w:val="12"/>
            </w:rPr>
            <w:instrText xml:space="preserve"> TOC \o "1-3" \h \z \u </w:instrText>
          </w:r>
          <w:r w:rsidRPr="006F020B">
            <w:rPr>
              <w:rFonts w:cs="Arial"/>
              <w:sz w:val="14"/>
              <w:szCs w:val="12"/>
            </w:rPr>
            <w:fldChar w:fldCharType="separate"/>
          </w:r>
          <w:hyperlink w:anchor="_Toc226992461" w:history="1">
            <w:r w:rsidR="006F020B" w:rsidRPr="006F020B">
              <w:rPr>
                <w:rStyle w:val="Hyperlink"/>
                <w:rFonts w:cs="Arial"/>
                <w:noProof/>
                <w:sz w:val="22"/>
                <w:szCs w:val="20"/>
              </w:rPr>
              <w:t>EXECUTIVE SUMMARY</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_Toc226992461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2</w:t>
            </w:r>
            <w:r w:rsidR="006F020B" w:rsidRPr="006F020B">
              <w:rPr>
                <w:rFonts w:cs="Arial"/>
                <w:noProof/>
                <w:webHidden/>
                <w:sz w:val="22"/>
                <w:szCs w:val="20"/>
              </w:rPr>
              <w:fldChar w:fldCharType="end"/>
            </w:r>
          </w:hyperlink>
        </w:p>
        <w:p w14:paraId="3B3DEF09" w14:textId="470B01D2" w:rsidR="006F020B" w:rsidRPr="006F020B" w:rsidRDefault="00424BC8">
          <w:pPr>
            <w:pStyle w:val="TOC1"/>
            <w:tabs>
              <w:tab w:val="right" w:leader="dot" w:pos="9016"/>
            </w:tabs>
            <w:rPr>
              <w:rFonts w:eastAsiaTheme="minorEastAsia" w:cs="Arial"/>
              <w:noProof/>
              <w:kern w:val="2"/>
              <w:sz w:val="22"/>
              <w:lang w:val="en-US"/>
              <w14:ligatures w14:val="standardContextual"/>
            </w:rPr>
          </w:pPr>
          <w:hyperlink w:anchor="_Toc226992462" w:history="1">
            <w:r w:rsidR="006F020B" w:rsidRPr="006F020B">
              <w:rPr>
                <w:rStyle w:val="Hyperlink"/>
                <w:rFonts w:cs="Arial"/>
                <w:noProof/>
                <w:sz w:val="22"/>
                <w:szCs w:val="20"/>
              </w:rPr>
              <w:t>1. INTRODUCTION</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_Toc226992462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5</w:t>
            </w:r>
            <w:r w:rsidR="006F020B" w:rsidRPr="006F020B">
              <w:rPr>
                <w:rFonts w:cs="Arial"/>
                <w:noProof/>
                <w:webHidden/>
                <w:sz w:val="22"/>
                <w:szCs w:val="20"/>
              </w:rPr>
              <w:fldChar w:fldCharType="end"/>
            </w:r>
          </w:hyperlink>
        </w:p>
        <w:p w14:paraId="520800B7" w14:textId="1AB64B57"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63" w:history="1">
            <w:r w:rsidR="006F020B" w:rsidRPr="006F020B">
              <w:rPr>
                <w:rStyle w:val="Hyperlink"/>
                <w:rFonts w:cs="Arial"/>
                <w:noProof/>
                <w:sz w:val="22"/>
                <w:szCs w:val="20"/>
              </w:rPr>
              <w:t>1.1 Background to Patient Safety and Quality</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_Toc226992463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5</w:t>
            </w:r>
            <w:r w:rsidR="006F020B" w:rsidRPr="006F020B">
              <w:rPr>
                <w:rFonts w:cs="Arial"/>
                <w:noProof/>
                <w:webHidden/>
                <w:sz w:val="22"/>
                <w:szCs w:val="20"/>
              </w:rPr>
              <w:fldChar w:fldCharType="end"/>
            </w:r>
          </w:hyperlink>
        </w:p>
        <w:p w14:paraId="18103B28" w14:textId="7427780B"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64" w:history="1">
            <w:r w:rsidR="006F020B" w:rsidRPr="006F020B">
              <w:rPr>
                <w:rStyle w:val="Hyperlink"/>
                <w:rFonts w:cs="Arial"/>
                <w:noProof/>
                <w:sz w:val="22"/>
                <w:szCs w:val="20"/>
              </w:rPr>
              <w:t>1.2 Case Study Context and Aim of the Report</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_Toc226992464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5</w:t>
            </w:r>
            <w:r w:rsidR="006F020B" w:rsidRPr="006F020B">
              <w:rPr>
                <w:rFonts w:cs="Arial"/>
                <w:noProof/>
                <w:webHidden/>
                <w:sz w:val="22"/>
                <w:szCs w:val="20"/>
              </w:rPr>
              <w:fldChar w:fldCharType="end"/>
            </w:r>
          </w:hyperlink>
        </w:p>
        <w:p w14:paraId="41BA3CBB" w14:textId="2F492950" w:rsidR="006F020B" w:rsidRPr="006F020B" w:rsidRDefault="00424BC8">
          <w:pPr>
            <w:pStyle w:val="TOC1"/>
            <w:tabs>
              <w:tab w:val="right" w:leader="dot" w:pos="9016"/>
            </w:tabs>
            <w:rPr>
              <w:rFonts w:eastAsiaTheme="minorEastAsia" w:cs="Arial"/>
              <w:noProof/>
              <w:kern w:val="2"/>
              <w:sz w:val="22"/>
              <w:lang w:val="en-US"/>
              <w14:ligatures w14:val="standardContextual"/>
            </w:rPr>
          </w:pPr>
          <w:hyperlink w:anchor="_Toc226992465" w:history="1">
            <w:r w:rsidR="006F020B" w:rsidRPr="006F020B">
              <w:rPr>
                <w:rStyle w:val="Hyperlink"/>
                <w:rFonts w:cs="Arial"/>
                <w:noProof/>
                <w:sz w:val="22"/>
                <w:szCs w:val="20"/>
              </w:rPr>
              <w:t>2. ANALYSIS OF PATIENT SAFETY AND QUALITY ISSUES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_Toc226992465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6</w:t>
            </w:r>
            <w:r w:rsidR="006F020B" w:rsidRPr="006F020B">
              <w:rPr>
                <w:rFonts w:cs="Arial"/>
                <w:noProof/>
                <w:webHidden/>
                <w:sz w:val="22"/>
                <w:szCs w:val="20"/>
              </w:rPr>
              <w:fldChar w:fldCharType="end"/>
            </w:r>
          </w:hyperlink>
        </w:p>
        <w:p w14:paraId="20B8AB8D" w14:textId="224A2BED"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66" w:history="1">
            <w:r w:rsidR="006F020B" w:rsidRPr="006F020B">
              <w:rPr>
                <w:rStyle w:val="Hyperlink"/>
                <w:rFonts w:cs="Arial"/>
                <w:noProof/>
                <w:sz w:val="22"/>
                <w:szCs w:val="20"/>
              </w:rPr>
              <w:t>2.1 Understanding Quality and Patient Safety</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_Toc226992466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6</w:t>
            </w:r>
            <w:r w:rsidR="006F020B" w:rsidRPr="006F020B">
              <w:rPr>
                <w:rFonts w:cs="Arial"/>
                <w:noProof/>
                <w:webHidden/>
                <w:sz w:val="22"/>
                <w:szCs w:val="20"/>
              </w:rPr>
              <w:fldChar w:fldCharType="end"/>
            </w:r>
          </w:hyperlink>
        </w:p>
        <w:p w14:paraId="6799FCFD" w14:textId="5DBC82B3"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67" w:history="1">
            <w:r w:rsidR="006F020B" w:rsidRPr="006F020B">
              <w:rPr>
                <w:rStyle w:val="Hyperlink"/>
                <w:rFonts w:cs="Arial"/>
                <w:noProof/>
                <w:sz w:val="22"/>
                <w:szCs w:val="20"/>
              </w:rPr>
              <w:t>2.1.1 Healthcare Quality Definition</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_Toc226992467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6</w:t>
            </w:r>
            <w:r w:rsidR="006F020B" w:rsidRPr="006F020B">
              <w:rPr>
                <w:rFonts w:cs="Arial"/>
                <w:noProof/>
                <w:webHidden/>
                <w:sz w:val="22"/>
                <w:szCs w:val="20"/>
              </w:rPr>
              <w:fldChar w:fldCharType="end"/>
            </w:r>
          </w:hyperlink>
        </w:p>
        <w:p w14:paraId="198B5BAA" w14:textId="629818DF"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68" w:history="1">
            <w:r w:rsidR="006F020B" w:rsidRPr="006F020B">
              <w:rPr>
                <w:rStyle w:val="Hyperlink"/>
                <w:rFonts w:cs="Arial"/>
                <w:noProof/>
                <w:sz w:val="22"/>
                <w:szCs w:val="20"/>
              </w:rPr>
              <w:t>2.1.2 Safety Culture Importance</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_Toc226992468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6</w:t>
            </w:r>
            <w:r w:rsidR="006F020B" w:rsidRPr="006F020B">
              <w:rPr>
                <w:rFonts w:cs="Arial"/>
                <w:noProof/>
                <w:webHidden/>
                <w:sz w:val="22"/>
                <w:szCs w:val="20"/>
              </w:rPr>
              <w:fldChar w:fldCharType="end"/>
            </w:r>
          </w:hyperlink>
        </w:p>
        <w:p w14:paraId="124855DD" w14:textId="0D740985"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69" w:history="1">
            <w:r w:rsidR="006F020B" w:rsidRPr="006F020B">
              <w:rPr>
                <w:rStyle w:val="Hyperlink"/>
                <w:rFonts w:cs="Arial"/>
                <w:noProof/>
                <w:sz w:val="22"/>
                <w:szCs w:val="20"/>
              </w:rPr>
              <w:t>2.2 Root Cause Analysis of the Case</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_Toc226992469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7</w:t>
            </w:r>
            <w:r w:rsidR="006F020B" w:rsidRPr="006F020B">
              <w:rPr>
                <w:rFonts w:cs="Arial"/>
                <w:noProof/>
                <w:webHidden/>
                <w:sz w:val="22"/>
                <w:szCs w:val="20"/>
              </w:rPr>
              <w:fldChar w:fldCharType="end"/>
            </w:r>
          </w:hyperlink>
        </w:p>
        <w:p w14:paraId="7C12AF3C" w14:textId="1ADD1EE5"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70" w:history="1">
            <w:r w:rsidR="006F020B" w:rsidRPr="006F020B">
              <w:rPr>
                <w:rStyle w:val="Hyperlink"/>
                <w:rFonts w:cs="Arial"/>
                <w:noProof/>
                <w:sz w:val="22"/>
                <w:szCs w:val="20"/>
              </w:rPr>
              <w:t>2.2.1 Application of Fishbone Diagram</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_Toc226992470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7</w:t>
            </w:r>
            <w:r w:rsidR="006F020B" w:rsidRPr="006F020B">
              <w:rPr>
                <w:rFonts w:cs="Arial"/>
                <w:noProof/>
                <w:webHidden/>
                <w:sz w:val="22"/>
                <w:szCs w:val="20"/>
              </w:rPr>
              <w:fldChar w:fldCharType="end"/>
            </w:r>
          </w:hyperlink>
        </w:p>
        <w:p w14:paraId="73D99A96" w14:textId="3C1D9B39"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71" w:history="1">
            <w:r w:rsidR="006F020B" w:rsidRPr="006F020B">
              <w:rPr>
                <w:rStyle w:val="Hyperlink"/>
                <w:rFonts w:cs="Arial"/>
                <w:noProof/>
                <w:sz w:val="22"/>
                <w:szCs w:val="20"/>
              </w:rPr>
              <w:t>2.2.2 Application of 5 Whys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_Toc226992471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8</w:t>
            </w:r>
            <w:r w:rsidR="006F020B" w:rsidRPr="006F020B">
              <w:rPr>
                <w:rFonts w:cs="Arial"/>
                <w:noProof/>
                <w:webHidden/>
                <w:sz w:val="22"/>
                <w:szCs w:val="20"/>
              </w:rPr>
              <w:fldChar w:fldCharType="end"/>
            </w:r>
          </w:hyperlink>
        </w:p>
        <w:p w14:paraId="7E0C6E31" w14:textId="719E0020"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72" w:history="1">
            <w:r w:rsidR="006F020B" w:rsidRPr="006F020B">
              <w:rPr>
                <w:rStyle w:val="Hyperlink"/>
                <w:rFonts w:cs="Arial"/>
                <w:noProof/>
                <w:sz w:val="22"/>
                <w:szCs w:val="20"/>
              </w:rPr>
              <w:t>2.2.3 Systems Thinking Perspective</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_Toc226992472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8</w:t>
            </w:r>
            <w:r w:rsidR="006F020B" w:rsidRPr="006F020B">
              <w:rPr>
                <w:rFonts w:cs="Arial"/>
                <w:noProof/>
                <w:webHidden/>
                <w:sz w:val="22"/>
                <w:szCs w:val="20"/>
              </w:rPr>
              <w:fldChar w:fldCharType="end"/>
            </w:r>
          </w:hyperlink>
        </w:p>
        <w:p w14:paraId="3DEC37D3" w14:textId="2F94ACBC"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73" w:history="1">
            <w:r w:rsidR="006F020B" w:rsidRPr="006F020B">
              <w:rPr>
                <w:rStyle w:val="Hyperlink"/>
                <w:rFonts w:cs="Arial"/>
                <w:noProof/>
                <w:sz w:val="22"/>
                <w:szCs w:val="20"/>
              </w:rPr>
              <w:t>2.3 Policy and Organisational Factors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_Toc226992473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9</w:t>
            </w:r>
            <w:r w:rsidR="006F020B" w:rsidRPr="006F020B">
              <w:rPr>
                <w:rFonts w:cs="Arial"/>
                <w:noProof/>
                <w:webHidden/>
                <w:sz w:val="22"/>
                <w:szCs w:val="20"/>
              </w:rPr>
              <w:fldChar w:fldCharType="end"/>
            </w:r>
          </w:hyperlink>
        </w:p>
        <w:p w14:paraId="2A267464" w14:textId="4B5A759F"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74" w:history="1">
            <w:r w:rsidR="006F020B" w:rsidRPr="006F020B">
              <w:rPr>
                <w:rStyle w:val="Hyperlink"/>
                <w:rFonts w:cs="Arial"/>
                <w:noProof/>
                <w:sz w:val="22"/>
                <w:szCs w:val="20"/>
              </w:rPr>
              <w:t>2.3.1 NHS Policy and Governance Issues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_Toc226992474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9</w:t>
            </w:r>
            <w:r w:rsidR="006F020B" w:rsidRPr="006F020B">
              <w:rPr>
                <w:rFonts w:cs="Arial"/>
                <w:noProof/>
                <w:webHidden/>
                <w:sz w:val="22"/>
                <w:szCs w:val="20"/>
              </w:rPr>
              <w:fldChar w:fldCharType="end"/>
            </w:r>
          </w:hyperlink>
        </w:p>
        <w:p w14:paraId="204BF8E5" w14:textId="7DB7793D"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75" w:history="1">
            <w:r w:rsidR="006F020B" w:rsidRPr="006F020B">
              <w:rPr>
                <w:rStyle w:val="Hyperlink"/>
                <w:rFonts w:cs="Arial"/>
                <w:noProof/>
                <w:sz w:val="22"/>
                <w:szCs w:val="20"/>
              </w:rPr>
              <w:t>2.3.2 Incident Reporting and Learning Failures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_Toc226992475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9</w:t>
            </w:r>
            <w:r w:rsidR="006F020B" w:rsidRPr="006F020B">
              <w:rPr>
                <w:rFonts w:cs="Arial"/>
                <w:noProof/>
                <w:webHidden/>
                <w:sz w:val="22"/>
                <w:szCs w:val="20"/>
              </w:rPr>
              <w:fldChar w:fldCharType="end"/>
            </w:r>
          </w:hyperlink>
        </w:p>
        <w:p w14:paraId="1D98377E" w14:textId="4E6D3167" w:rsidR="006F020B" w:rsidRPr="006F020B" w:rsidRDefault="00424BC8">
          <w:pPr>
            <w:pStyle w:val="TOC3"/>
            <w:tabs>
              <w:tab w:val="right" w:leader="dot" w:pos="9016"/>
            </w:tabs>
            <w:rPr>
              <w:rFonts w:eastAsiaTheme="minorEastAsia" w:cs="Arial"/>
              <w:noProof/>
              <w:kern w:val="2"/>
              <w:sz w:val="22"/>
              <w:lang w:val="en-US"/>
              <w14:ligatures w14:val="standardContextual"/>
            </w:rPr>
          </w:pPr>
          <w:hyperlink w:anchor="_Toc226992476" w:history="1">
            <w:r w:rsidR="006F020B" w:rsidRPr="006F020B">
              <w:rPr>
                <w:rStyle w:val="Hyperlink"/>
                <w:rFonts w:cs="Arial"/>
                <w:noProof/>
                <w:sz w:val="22"/>
                <w:szCs w:val="20"/>
              </w:rPr>
              <w:t>2.3.3 Workforce and Staffing Issues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_Toc226992476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9</w:t>
            </w:r>
            <w:r w:rsidR="006F020B" w:rsidRPr="006F020B">
              <w:rPr>
                <w:rFonts w:cs="Arial"/>
                <w:noProof/>
                <w:webHidden/>
                <w:sz w:val="22"/>
                <w:szCs w:val="20"/>
              </w:rPr>
              <w:fldChar w:fldCharType="end"/>
            </w:r>
          </w:hyperlink>
        </w:p>
        <w:p w14:paraId="7395AF7E" w14:textId="2E8F87A7"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77" w:history="1">
            <w:r w:rsidR="006F020B" w:rsidRPr="006F020B">
              <w:rPr>
                <w:rStyle w:val="Hyperlink"/>
                <w:rFonts w:cs="Arial"/>
                <w:noProof/>
                <w:sz w:val="22"/>
                <w:szCs w:val="20"/>
              </w:rPr>
              <w:t>2.4 Strategic Analysis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_Toc226992477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10</w:t>
            </w:r>
            <w:r w:rsidR="006F020B" w:rsidRPr="006F020B">
              <w:rPr>
                <w:rFonts w:cs="Arial"/>
                <w:noProof/>
                <w:webHidden/>
                <w:sz w:val="22"/>
                <w:szCs w:val="20"/>
              </w:rPr>
              <w:fldChar w:fldCharType="end"/>
            </w:r>
          </w:hyperlink>
        </w:p>
        <w:p w14:paraId="507A62FE" w14:textId="2F066DA8"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78" w:history="1">
            <w:r w:rsidR="006F020B" w:rsidRPr="006F020B">
              <w:rPr>
                <w:rStyle w:val="Hyperlink"/>
                <w:rFonts w:cs="Arial"/>
                <w:noProof/>
                <w:sz w:val="22"/>
                <w:szCs w:val="20"/>
              </w:rPr>
              <w:t>2.5 Critical Evaluation of Theories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_Toc226992478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10</w:t>
            </w:r>
            <w:r w:rsidR="006F020B" w:rsidRPr="006F020B">
              <w:rPr>
                <w:rFonts w:cs="Arial"/>
                <w:noProof/>
                <w:webHidden/>
                <w:sz w:val="22"/>
                <w:szCs w:val="20"/>
              </w:rPr>
              <w:fldChar w:fldCharType="end"/>
            </w:r>
          </w:hyperlink>
        </w:p>
        <w:p w14:paraId="02348B9C" w14:textId="66A61D83" w:rsidR="006F020B" w:rsidRPr="006F020B" w:rsidRDefault="00424BC8">
          <w:pPr>
            <w:pStyle w:val="TOC1"/>
            <w:tabs>
              <w:tab w:val="right" w:leader="dot" w:pos="9016"/>
            </w:tabs>
            <w:rPr>
              <w:rFonts w:eastAsiaTheme="minorEastAsia" w:cs="Arial"/>
              <w:noProof/>
              <w:kern w:val="2"/>
              <w:sz w:val="22"/>
              <w:lang w:val="en-US"/>
              <w14:ligatures w14:val="standardContextual"/>
            </w:rPr>
          </w:pPr>
          <w:hyperlink w:anchor="_Toc226992479" w:history="1">
            <w:r w:rsidR="006F020B" w:rsidRPr="006F020B">
              <w:rPr>
                <w:rStyle w:val="Hyperlink"/>
                <w:rFonts w:cs="Arial"/>
                <w:noProof/>
                <w:sz w:val="22"/>
                <w:szCs w:val="20"/>
              </w:rPr>
              <w:t>3. RECOMMENDATIONS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_Toc226992479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11</w:t>
            </w:r>
            <w:r w:rsidR="006F020B" w:rsidRPr="006F020B">
              <w:rPr>
                <w:rFonts w:cs="Arial"/>
                <w:noProof/>
                <w:webHidden/>
                <w:sz w:val="22"/>
                <w:szCs w:val="20"/>
              </w:rPr>
              <w:fldChar w:fldCharType="end"/>
            </w:r>
          </w:hyperlink>
        </w:p>
        <w:p w14:paraId="34DC9147" w14:textId="57F025EF"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0" w:history="1">
            <w:r w:rsidR="006F020B" w:rsidRPr="006F020B">
              <w:rPr>
                <w:rStyle w:val="Hyperlink"/>
                <w:rFonts w:cs="Arial"/>
                <w:noProof/>
                <w:sz w:val="22"/>
                <w:szCs w:val="20"/>
              </w:rPr>
              <w:t>3.1 Overview of Improvement Strategy</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_Toc226992480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11</w:t>
            </w:r>
            <w:r w:rsidR="006F020B" w:rsidRPr="006F020B">
              <w:rPr>
                <w:rFonts w:cs="Arial"/>
                <w:noProof/>
                <w:webHidden/>
                <w:sz w:val="22"/>
                <w:szCs w:val="20"/>
              </w:rPr>
              <w:fldChar w:fldCharType="end"/>
            </w:r>
          </w:hyperlink>
        </w:p>
        <w:p w14:paraId="0CBE0DB7" w14:textId="4E8C6DBE"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1" w:history="1">
            <w:r w:rsidR="006F020B" w:rsidRPr="006F020B">
              <w:rPr>
                <w:rStyle w:val="Hyperlink"/>
                <w:rFonts w:cs="Arial"/>
                <w:noProof/>
                <w:sz w:val="22"/>
                <w:szCs w:val="20"/>
              </w:rPr>
              <w:t>3.2 Implementation Using PDSA Cycle</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_Toc226992481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11</w:t>
            </w:r>
            <w:r w:rsidR="006F020B" w:rsidRPr="006F020B">
              <w:rPr>
                <w:rFonts w:cs="Arial"/>
                <w:noProof/>
                <w:webHidden/>
                <w:sz w:val="22"/>
                <w:szCs w:val="20"/>
              </w:rPr>
              <w:fldChar w:fldCharType="end"/>
            </w:r>
          </w:hyperlink>
        </w:p>
        <w:p w14:paraId="7220E372" w14:textId="32FD094D"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2" w:history="1">
            <w:r w:rsidR="006F020B" w:rsidRPr="006F020B">
              <w:rPr>
                <w:rStyle w:val="Hyperlink"/>
                <w:rFonts w:cs="Arial"/>
                <w:noProof/>
                <w:sz w:val="22"/>
                <w:szCs w:val="20"/>
              </w:rPr>
              <w:t>3.3 Lean Method</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_Toc226992482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12</w:t>
            </w:r>
            <w:r w:rsidR="006F020B" w:rsidRPr="006F020B">
              <w:rPr>
                <w:rFonts w:cs="Arial"/>
                <w:noProof/>
                <w:webHidden/>
                <w:sz w:val="22"/>
                <w:szCs w:val="20"/>
              </w:rPr>
              <w:fldChar w:fldCharType="end"/>
            </w:r>
          </w:hyperlink>
        </w:p>
        <w:p w14:paraId="72C26E91" w14:textId="03F339AC"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3" w:history="1">
            <w:r w:rsidR="006F020B" w:rsidRPr="006F020B">
              <w:rPr>
                <w:rStyle w:val="Hyperlink"/>
                <w:rFonts w:cs="Arial"/>
                <w:noProof/>
                <w:sz w:val="22"/>
                <w:szCs w:val="20"/>
              </w:rPr>
              <w:t>3.4 Intervention of training and staff</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_Toc226992483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13</w:t>
            </w:r>
            <w:r w:rsidR="006F020B" w:rsidRPr="006F020B">
              <w:rPr>
                <w:rFonts w:cs="Arial"/>
                <w:noProof/>
                <w:webHidden/>
                <w:sz w:val="22"/>
                <w:szCs w:val="20"/>
              </w:rPr>
              <w:fldChar w:fldCharType="end"/>
            </w:r>
          </w:hyperlink>
        </w:p>
        <w:p w14:paraId="2818AF15" w14:textId="10B18C65"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4" w:history="1">
            <w:r w:rsidR="006F020B" w:rsidRPr="006F020B">
              <w:rPr>
                <w:rStyle w:val="Hyperlink"/>
                <w:rFonts w:cs="Arial"/>
                <w:noProof/>
                <w:sz w:val="22"/>
                <w:szCs w:val="20"/>
              </w:rPr>
              <w:t>3.5 Digital and System Improvements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_Toc226992484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13</w:t>
            </w:r>
            <w:r w:rsidR="006F020B" w:rsidRPr="006F020B">
              <w:rPr>
                <w:rFonts w:cs="Arial"/>
                <w:noProof/>
                <w:webHidden/>
                <w:sz w:val="22"/>
                <w:szCs w:val="20"/>
              </w:rPr>
              <w:fldChar w:fldCharType="end"/>
            </w:r>
          </w:hyperlink>
        </w:p>
        <w:p w14:paraId="56017C96" w14:textId="37B42E77"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5" w:history="1">
            <w:r w:rsidR="006F020B" w:rsidRPr="006F020B">
              <w:rPr>
                <w:rStyle w:val="Hyperlink"/>
                <w:rFonts w:cs="Arial"/>
                <w:noProof/>
                <w:sz w:val="22"/>
                <w:szCs w:val="20"/>
              </w:rPr>
              <w:t>3.6 Strengthening Governance and Policy</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_Toc226992485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13</w:t>
            </w:r>
            <w:r w:rsidR="006F020B" w:rsidRPr="006F020B">
              <w:rPr>
                <w:rFonts w:cs="Arial"/>
                <w:noProof/>
                <w:webHidden/>
                <w:sz w:val="22"/>
                <w:szCs w:val="20"/>
              </w:rPr>
              <w:fldChar w:fldCharType="end"/>
            </w:r>
          </w:hyperlink>
        </w:p>
        <w:p w14:paraId="12157D08" w14:textId="364F0F1A" w:rsidR="006F020B" w:rsidRPr="006F020B" w:rsidRDefault="00424BC8">
          <w:pPr>
            <w:pStyle w:val="TOC2"/>
            <w:tabs>
              <w:tab w:val="right" w:leader="dot" w:pos="9016"/>
            </w:tabs>
            <w:rPr>
              <w:rFonts w:eastAsiaTheme="minorEastAsia" w:cs="Arial"/>
              <w:noProof/>
              <w:kern w:val="2"/>
              <w:sz w:val="22"/>
              <w:lang w:val="en-US"/>
              <w14:ligatures w14:val="standardContextual"/>
            </w:rPr>
          </w:pPr>
          <w:hyperlink w:anchor="_Toc226992486" w:history="1">
            <w:r w:rsidR="006F020B" w:rsidRPr="006F020B">
              <w:rPr>
                <w:rStyle w:val="Hyperlink"/>
                <w:rFonts w:cs="Arial"/>
                <w:noProof/>
                <w:sz w:val="22"/>
                <w:szCs w:val="20"/>
              </w:rPr>
              <w:t>3.7 Expect Results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_Toc226992486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14</w:t>
            </w:r>
            <w:r w:rsidR="006F020B" w:rsidRPr="006F020B">
              <w:rPr>
                <w:rFonts w:cs="Arial"/>
                <w:noProof/>
                <w:webHidden/>
                <w:sz w:val="22"/>
                <w:szCs w:val="20"/>
              </w:rPr>
              <w:fldChar w:fldCharType="end"/>
            </w:r>
          </w:hyperlink>
        </w:p>
        <w:p w14:paraId="5D6A5D04" w14:textId="798B219A" w:rsidR="006F020B" w:rsidRPr="006F020B" w:rsidRDefault="00424BC8">
          <w:pPr>
            <w:pStyle w:val="TOC1"/>
            <w:tabs>
              <w:tab w:val="right" w:leader="dot" w:pos="9016"/>
            </w:tabs>
            <w:rPr>
              <w:rFonts w:eastAsiaTheme="minorEastAsia" w:cs="Arial"/>
              <w:noProof/>
              <w:kern w:val="2"/>
              <w:sz w:val="22"/>
              <w:lang w:val="en-US"/>
              <w14:ligatures w14:val="standardContextual"/>
            </w:rPr>
          </w:pPr>
          <w:hyperlink w:anchor="_Toc226992487" w:history="1">
            <w:r w:rsidR="006F020B" w:rsidRPr="006F020B">
              <w:rPr>
                <w:rStyle w:val="Hyperlink"/>
                <w:rFonts w:cs="Arial"/>
                <w:noProof/>
                <w:sz w:val="22"/>
                <w:szCs w:val="20"/>
              </w:rPr>
              <w:t>4. CONCLUSION</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_Toc226992487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14</w:t>
            </w:r>
            <w:r w:rsidR="006F020B" w:rsidRPr="006F020B">
              <w:rPr>
                <w:rFonts w:cs="Arial"/>
                <w:noProof/>
                <w:webHidden/>
                <w:sz w:val="22"/>
                <w:szCs w:val="20"/>
              </w:rPr>
              <w:fldChar w:fldCharType="end"/>
            </w:r>
          </w:hyperlink>
        </w:p>
        <w:p w14:paraId="547F5CBC" w14:textId="1FFC6AA4" w:rsidR="006F020B" w:rsidRPr="006F020B" w:rsidRDefault="00424BC8">
          <w:pPr>
            <w:pStyle w:val="TOC1"/>
            <w:tabs>
              <w:tab w:val="right" w:leader="dot" w:pos="9016"/>
            </w:tabs>
            <w:rPr>
              <w:rFonts w:eastAsiaTheme="minorEastAsia" w:cs="Arial"/>
              <w:noProof/>
              <w:kern w:val="2"/>
              <w:sz w:val="22"/>
              <w:lang w:val="en-US"/>
              <w14:ligatures w14:val="standardContextual"/>
            </w:rPr>
          </w:pPr>
          <w:hyperlink w:anchor="_Toc226992488" w:history="1">
            <w:r w:rsidR="006F020B" w:rsidRPr="006F020B">
              <w:rPr>
                <w:rStyle w:val="Hyperlink"/>
                <w:rFonts w:cs="Arial"/>
                <w:noProof/>
                <w:sz w:val="22"/>
                <w:szCs w:val="20"/>
              </w:rPr>
              <w:t>REFERENCES</w:t>
            </w:r>
            <w:r w:rsidR="006F020B" w:rsidRPr="006F020B">
              <w:rPr>
                <w:rFonts w:cs="Arial"/>
                <w:noProof/>
                <w:webHidden/>
                <w:sz w:val="22"/>
                <w:szCs w:val="20"/>
              </w:rPr>
              <w:tab/>
            </w:r>
            <w:r w:rsidR="006F020B" w:rsidRPr="006F020B">
              <w:rPr>
                <w:rFonts w:cs="Arial"/>
                <w:noProof/>
                <w:webHidden/>
                <w:sz w:val="22"/>
                <w:szCs w:val="20"/>
              </w:rPr>
              <w:fldChar w:fldCharType="begin"/>
            </w:r>
            <w:r w:rsidR="006F020B" w:rsidRPr="006F020B">
              <w:rPr>
                <w:rFonts w:cs="Arial"/>
                <w:noProof/>
                <w:webHidden/>
                <w:sz w:val="22"/>
                <w:szCs w:val="20"/>
              </w:rPr>
              <w:instrText xml:space="preserve"> PAGEREF _Toc226992488 \h </w:instrText>
            </w:r>
            <w:r w:rsidR="006F020B" w:rsidRPr="006F020B">
              <w:rPr>
                <w:rFonts w:cs="Arial"/>
                <w:noProof/>
                <w:webHidden/>
                <w:sz w:val="22"/>
                <w:szCs w:val="20"/>
              </w:rPr>
            </w:r>
            <w:r w:rsidR="006F020B" w:rsidRPr="006F020B">
              <w:rPr>
                <w:rFonts w:cs="Arial"/>
                <w:noProof/>
                <w:webHidden/>
                <w:sz w:val="22"/>
                <w:szCs w:val="20"/>
              </w:rPr>
              <w:fldChar w:fldCharType="separate"/>
            </w:r>
            <w:r w:rsidR="006F020B" w:rsidRPr="006F020B">
              <w:rPr>
                <w:rFonts w:cs="Arial"/>
                <w:noProof/>
                <w:webHidden/>
                <w:sz w:val="22"/>
                <w:szCs w:val="20"/>
              </w:rPr>
              <w:t>16</w:t>
            </w:r>
            <w:r w:rsidR="006F020B" w:rsidRPr="006F020B">
              <w:rPr>
                <w:rFonts w:cs="Arial"/>
                <w:noProof/>
                <w:webHidden/>
                <w:sz w:val="22"/>
                <w:szCs w:val="20"/>
              </w:rPr>
              <w:fldChar w:fldCharType="end"/>
            </w:r>
          </w:hyperlink>
        </w:p>
        <w:p w14:paraId="6E058F0F" w14:textId="09E8F132" w:rsidR="00DE19D3" w:rsidRPr="00C67334" w:rsidRDefault="009C2809" w:rsidP="00C67334">
          <w:pPr>
            <w:rPr>
              <w:rFonts w:cs="Arial"/>
            </w:rPr>
          </w:pPr>
          <w:r w:rsidRPr="006F020B">
            <w:rPr>
              <w:rFonts w:cs="Arial"/>
              <w:b/>
              <w:bCs/>
              <w:noProof/>
              <w:sz w:val="14"/>
              <w:szCs w:val="12"/>
            </w:rPr>
            <w:lastRenderedPageBreak/>
            <w:fldChar w:fldCharType="end"/>
          </w:r>
        </w:p>
      </w:sdtContent>
    </w:sdt>
    <w:p w14:paraId="63251394" w14:textId="6B671E62" w:rsidR="002B3C3C" w:rsidRPr="00B12267" w:rsidRDefault="006F13AE" w:rsidP="00914767">
      <w:pPr>
        <w:pStyle w:val="Heading1"/>
      </w:pPr>
      <w:bookmarkStart w:id="3" w:name="_Toc226983533"/>
      <w:bookmarkStart w:id="4" w:name="_Toc226983559"/>
      <w:bookmarkStart w:id="5" w:name="_Toc226992462"/>
      <w:r w:rsidRPr="00B12267">
        <w:t>1. INTRODUCTION</w:t>
      </w:r>
      <w:bookmarkEnd w:id="3"/>
      <w:bookmarkEnd w:id="4"/>
      <w:bookmarkEnd w:id="5"/>
    </w:p>
    <w:p w14:paraId="1303E8B1" w14:textId="4E668334" w:rsidR="002B3C3C" w:rsidRPr="00B12267" w:rsidRDefault="008312C6" w:rsidP="008312C6">
      <w:pPr>
        <w:pStyle w:val="Heading2"/>
      </w:pPr>
      <w:bookmarkStart w:id="6" w:name="_Toc226983534"/>
      <w:bookmarkStart w:id="7" w:name="_Toc226983560"/>
      <w:bookmarkStart w:id="8" w:name="_Toc226992463"/>
      <w:r w:rsidRPr="00B12267">
        <w:t>1.1 Background to Patient Safety and Quality</w:t>
      </w:r>
      <w:bookmarkEnd w:id="6"/>
      <w:bookmarkEnd w:id="7"/>
      <w:bookmarkEnd w:id="8"/>
    </w:p>
    <w:p w14:paraId="3586C674" w14:textId="5A9C6A6B" w:rsidR="002B3C3C" w:rsidRPr="00B12267" w:rsidRDefault="002B3C3C" w:rsidP="002B3C3C">
      <w:pPr>
        <w:rPr>
          <w:rFonts w:cs="Arial"/>
          <w:sz w:val="22"/>
          <w:lang w:val="en-US"/>
        </w:rPr>
      </w:pPr>
      <w:r w:rsidRPr="00B12267">
        <w:rPr>
          <w:rFonts w:cs="Arial"/>
          <w:sz w:val="22"/>
          <w:lang w:val="en-US"/>
        </w:rPr>
        <w:t>Provision of effective healthcare services is based on the area of patient safety and quality assurance, where the care provided is safe, effective and patient-</w:t>
      </w:r>
      <w:proofErr w:type="spellStart"/>
      <w:r w:rsidRPr="00B12267">
        <w:rPr>
          <w:rFonts w:cs="Arial"/>
          <w:sz w:val="22"/>
          <w:lang w:val="en-US"/>
        </w:rPr>
        <w:t>centred</w:t>
      </w:r>
      <w:proofErr w:type="spellEnd"/>
      <w:r w:rsidRPr="00B12267">
        <w:rPr>
          <w:rFonts w:cs="Arial"/>
          <w:sz w:val="22"/>
          <w:lang w:val="en-US"/>
        </w:rPr>
        <w:t>. Quality in healthcare can be defined as the capacity of health systems to enhance patient outcomes in compliance with the set standards on clinical practices and professional knowledge. Despite the better healthcare systems, the non-functionalities of safety mechanisms continue to bring preventable harm; most of the time, they are an intricate interaction between the organisational structures, human factors and system-level processes rather than individual errors.</w:t>
      </w:r>
    </w:p>
    <w:p w14:paraId="32BE760E" w14:textId="11210D5E" w:rsidR="002B3C3C" w:rsidRPr="00B12267" w:rsidRDefault="002B3C3C" w:rsidP="002B3C3C">
      <w:pPr>
        <w:rPr>
          <w:rFonts w:cs="Arial"/>
          <w:sz w:val="22"/>
          <w:lang w:val="en-US"/>
        </w:rPr>
      </w:pPr>
      <w:r w:rsidRPr="00B12267">
        <w:rPr>
          <w:rFonts w:cs="Arial"/>
          <w:sz w:val="22"/>
          <w:lang w:val="en-US"/>
        </w:rPr>
        <w:t xml:space="preserve">Patient safety has increasingly been more of a systems-based approach in modern health care systems, particularly the National Health Service (NHS). This perspective does not deny that sustainable gains require good governance, communication and learning using events within an </w:t>
      </w:r>
      <w:proofErr w:type="spellStart"/>
      <w:r w:rsidRPr="00B12267">
        <w:rPr>
          <w:rFonts w:cs="Arial"/>
          <w:sz w:val="22"/>
          <w:lang w:val="en-US"/>
        </w:rPr>
        <w:t>organisation</w:t>
      </w:r>
      <w:proofErr w:type="spellEnd"/>
      <w:r w:rsidRPr="00B12267">
        <w:rPr>
          <w:rFonts w:cs="Arial"/>
          <w:sz w:val="22"/>
          <w:lang w:val="en-US"/>
        </w:rPr>
        <w:t xml:space="preserve"> (NHS England, 2021). However, the patient safety incidents are still a weakness in these systems. Vital indicators point to the fact that the poor quality of incident reporting and communication and the weak safety cultures may severely affect the quality of provided services and cause the development of negative outcomes (Averill et al., 2024</w:t>
      </w:r>
      <w:r w:rsidR="00AA0B62">
        <w:rPr>
          <w:rFonts w:cs="Arial"/>
          <w:sz w:val="22"/>
          <w:lang w:val="en-US"/>
        </w:rPr>
        <w:t>)</w:t>
      </w:r>
      <w:r w:rsidRPr="00B12267">
        <w:rPr>
          <w:rFonts w:cs="Arial"/>
          <w:sz w:val="22"/>
          <w:lang w:val="en-US"/>
        </w:rPr>
        <w:t>. Moreover, organisational complexity, resource constraints, and practice discrepancy tend to compromise patient safety policy implementation, decreasing its effectiveness in practice (Lalani et al., 2022). These dimensions demonstrate the fact that the weaknesses in the quality of healthcare are multifaceted and tend to be systemic in organisational operations</w:t>
      </w:r>
      <w:r w:rsidR="00EF265E">
        <w:rPr>
          <w:rFonts w:cs="Arial"/>
          <w:sz w:val="22"/>
          <w:lang w:val="en-US"/>
        </w:rPr>
        <w:t xml:space="preserve"> </w:t>
      </w:r>
      <w:r w:rsidR="00EF265E" w:rsidRPr="00EF265E">
        <w:rPr>
          <w:rFonts w:cs="Arial"/>
          <w:sz w:val="22"/>
        </w:rPr>
        <w:t>(Sanderson et al., 2023)</w:t>
      </w:r>
      <w:r w:rsidRPr="00B12267">
        <w:rPr>
          <w:rFonts w:cs="Arial"/>
          <w:sz w:val="22"/>
          <w:lang w:val="en-US"/>
        </w:rPr>
        <w:t>.</w:t>
      </w:r>
    </w:p>
    <w:p w14:paraId="2521D20F" w14:textId="5BE81B8C" w:rsidR="002B3C3C" w:rsidRPr="00B12267" w:rsidRDefault="008312C6" w:rsidP="008312C6">
      <w:pPr>
        <w:pStyle w:val="Heading2"/>
      </w:pPr>
      <w:bookmarkStart w:id="9" w:name="_Toc226983535"/>
      <w:bookmarkStart w:id="10" w:name="_Toc226983561"/>
      <w:bookmarkStart w:id="11" w:name="_Toc226992464"/>
      <w:r w:rsidRPr="00B12267">
        <w:t>1.2 Case Study Context and Aim of the Report</w:t>
      </w:r>
      <w:bookmarkEnd w:id="9"/>
      <w:bookmarkEnd w:id="10"/>
      <w:bookmarkEnd w:id="11"/>
    </w:p>
    <w:p w14:paraId="763EB4F7" w14:textId="5407A8A0" w:rsidR="002B3C3C" w:rsidRPr="00B12267" w:rsidRDefault="002B3C3C" w:rsidP="002B3C3C">
      <w:pPr>
        <w:rPr>
          <w:rFonts w:cs="Arial"/>
          <w:sz w:val="22"/>
          <w:lang w:val="en-US"/>
        </w:rPr>
      </w:pPr>
      <w:r w:rsidRPr="00B12267">
        <w:rPr>
          <w:rFonts w:cs="Arial"/>
          <w:sz w:val="22"/>
          <w:lang w:val="en-US"/>
        </w:rPr>
        <w:t xml:space="preserve">The Lucy </w:t>
      </w:r>
      <w:proofErr w:type="spellStart"/>
      <w:r w:rsidRPr="00B12267">
        <w:rPr>
          <w:rFonts w:cs="Arial"/>
          <w:sz w:val="22"/>
          <w:lang w:val="en-US"/>
        </w:rPr>
        <w:t>Letby</w:t>
      </w:r>
      <w:proofErr w:type="spellEnd"/>
      <w:r w:rsidRPr="00B12267">
        <w:rPr>
          <w:rFonts w:cs="Arial"/>
          <w:sz w:val="22"/>
          <w:lang w:val="en-US"/>
        </w:rPr>
        <w:t xml:space="preserve"> incident at the Countess of Chester Hospital is a drastic example of the failure of systems to deliver quality and patient safety in healthcare. In 2015-2016, medical workers raised awareness of a series of unexplained deaths and clinical events in infants, which were not adequately and efficiently coordinated. Clinical governance, leadership response and incident management processes were found to have vital weaknesses and risks remained unmitigated, resulting in significant damage to the patients (Lawrence and Conn, 2024). This case puts into focus the effects of not escalating promptly, poor accountability, and inefficiency of safety systems in healthcare </w:t>
      </w:r>
      <w:proofErr w:type="spellStart"/>
      <w:r w:rsidRPr="00B12267">
        <w:rPr>
          <w:rFonts w:cs="Arial"/>
          <w:sz w:val="22"/>
          <w:lang w:val="en-US"/>
        </w:rPr>
        <w:t>organisations</w:t>
      </w:r>
      <w:proofErr w:type="spellEnd"/>
      <w:r w:rsidRPr="00B12267">
        <w:rPr>
          <w:rFonts w:cs="Arial"/>
          <w:sz w:val="22"/>
          <w:lang w:val="en-US"/>
        </w:rPr>
        <w:t>.</w:t>
      </w:r>
      <w:r w:rsidR="009E3530">
        <w:rPr>
          <w:rFonts w:cs="Arial"/>
          <w:sz w:val="22"/>
          <w:lang w:val="en-US"/>
        </w:rPr>
        <w:t xml:space="preserve"> </w:t>
      </w:r>
      <w:r w:rsidR="00E64BB6" w:rsidRPr="00E64BB6">
        <w:rPr>
          <w:rFonts w:cs="Arial"/>
          <w:sz w:val="22"/>
          <w:lang w:val="en-US"/>
        </w:rPr>
        <w:t>This report builds on the work done in Component 1 and goes further to examine the underlying factors that led to the patient safety failures that were identified and formulate evidence-based service improvement interventions.</w:t>
      </w:r>
    </w:p>
    <w:p w14:paraId="3C16E8CB" w14:textId="2D480817" w:rsidR="00531CFE" w:rsidRPr="00B12267" w:rsidRDefault="002B3C3C" w:rsidP="00914767">
      <w:pPr>
        <w:rPr>
          <w:rFonts w:cs="Arial"/>
          <w:sz w:val="22"/>
          <w:lang w:val="en-US"/>
        </w:rPr>
      </w:pPr>
      <w:r w:rsidRPr="00B12267">
        <w:rPr>
          <w:rFonts w:cs="Arial"/>
          <w:sz w:val="22"/>
          <w:lang w:val="en-US"/>
        </w:rPr>
        <w:lastRenderedPageBreak/>
        <w:t xml:space="preserve">In response to this, this report aims to critically </w:t>
      </w:r>
      <w:proofErr w:type="spellStart"/>
      <w:r w:rsidRPr="00B12267">
        <w:rPr>
          <w:rFonts w:cs="Arial"/>
          <w:sz w:val="22"/>
          <w:lang w:val="en-US"/>
        </w:rPr>
        <w:t>analyse</w:t>
      </w:r>
      <w:proofErr w:type="spellEnd"/>
      <w:r w:rsidRPr="00B12267">
        <w:rPr>
          <w:rFonts w:cs="Arial"/>
          <w:sz w:val="22"/>
          <w:lang w:val="en-US"/>
        </w:rPr>
        <w:t xml:space="preserve"> the root causes of the specified quality problem against the current theoretical frameworks and evaluate the organisational and policy-related contributing factors that led to such failures. It is also sought to develop evidence-based recommendations to enhance patient safety and quality of the services through the application of structured quality improvement techniques.</w:t>
      </w:r>
    </w:p>
    <w:p w14:paraId="6815F2E7" w14:textId="77777777" w:rsidR="00C67334" w:rsidRDefault="00C67334">
      <w:pPr>
        <w:spacing w:line="259" w:lineRule="auto"/>
        <w:jc w:val="left"/>
        <w:rPr>
          <w:rFonts w:eastAsiaTheme="majorEastAsia" w:cs="Arial"/>
          <w:b/>
          <w:bCs/>
          <w:sz w:val="30"/>
          <w:szCs w:val="30"/>
          <w:lang w:val="en-US"/>
        </w:rPr>
      </w:pPr>
      <w:bookmarkStart w:id="12" w:name="_Toc226983536"/>
      <w:bookmarkStart w:id="13" w:name="_Toc226983562"/>
      <w:bookmarkStart w:id="14" w:name="_Toc226992465"/>
      <w:r>
        <w:br w:type="page"/>
      </w:r>
    </w:p>
    <w:p w14:paraId="73D2C2DE" w14:textId="0E798CA9" w:rsidR="00531CFE" w:rsidRPr="00B12267" w:rsidRDefault="006F020B" w:rsidP="00914767">
      <w:pPr>
        <w:pStyle w:val="Heading1"/>
      </w:pPr>
      <w:r w:rsidRPr="00B12267">
        <w:lastRenderedPageBreak/>
        <w:t xml:space="preserve">2. </w:t>
      </w:r>
      <w:bookmarkEnd w:id="12"/>
      <w:bookmarkEnd w:id="13"/>
      <w:r w:rsidRPr="006F020B">
        <w:rPr>
          <w:lang w:val="en-GB"/>
        </w:rPr>
        <w:t>ANALYSIS OF PATIENT SAFETY AND QUALITY ISSUES</w:t>
      </w:r>
      <w:bookmarkEnd w:id="14"/>
    </w:p>
    <w:p w14:paraId="207526C5" w14:textId="77777777" w:rsidR="00531CFE" w:rsidRPr="00B12267" w:rsidRDefault="00531CFE" w:rsidP="003D3F32">
      <w:pPr>
        <w:pStyle w:val="Heading2"/>
      </w:pPr>
      <w:bookmarkStart w:id="15" w:name="_Toc226983537"/>
      <w:bookmarkStart w:id="16" w:name="_Toc226983563"/>
      <w:bookmarkStart w:id="17" w:name="_Toc226992466"/>
      <w:r w:rsidRPr="00B12267">
        <w:t>2.1 Understanding Quality and Patient Safety</w:t>
      </w:r>
      <w:bookmarkEnd w:id="15"/>
      <w:bookmarkEnd w:id="16"/>
      <w:bookmarkEnd w:id="17"/>
    </w:p>
    <w:p w14:paraId="14505643" w14:textId="77777777" w:rsidR="00E60759" w:rsidRPr="00B12267" w:rsidRDefault="00E60759" w:rsidP="00231069">
      <w:pPr>
        <w:pStyle w:val="Heading3"/>
      </w:pPr>
      <w:bookmarkStart w:id="18" w:name="_Toc226983538"/>
      <w:bookmarkStart w:id="19" w:name="_Toc226983564"/>
      <w:bookmarkStart w:id="20" w:name="_Toc226992467"/>
      <w:r w:rsidRPr="00B12267">
        <w:t>2.1.1 Healthcare Quality Definition</w:t>
      </w:r>
      <w:bookmarkEnd w:id="18"/>
      <w:bookmarkEnd w:id="19"/>
      <w:bookmarkEnd w:id="20"/>
    </w:p>
    <w:p w14:paraId="3666D071" w14:textId="77777777" w:rsidR="00231069" w:rsidRPr="00B12267" w:rsidRDefault="00231069" w:rsidP="00231069">
      <w:pPr>
        <w:rPr>
          <w:rFonts w:cs="Arial"/>
          <w:sz w:val="22"/>
          <w:lang w:val="en-US"/>
        </w:rPr>
      </w:pPr>
      <w:r w:rsidRPr="00B12267">
        <w:rPr>
          <w:rFonts w:cs="Arial"/>
          <w:sz w:val="22"/>
          <w:lang w:val="en-US"/>
        </w:rPr>
        <w:t xml:space="preserve">Quality in healthcare involves services that deliver safe and effective treatment that is </w:t>
      </w:r>
      <w:proofErr w:type="spellStart"/>
      <w:r w:rsidRPr="00B12267">
        <w:rPr>
          <w:rFonts w:cs="Arial"/>
          <w:sz w:val="22"/>
          <w:lang w:val="en-US"/>
        </w:rPr>
        <w:t>centred</w:t>
      </w:r>
      <w:proofErr w:type="spellEnd"/>
      <w:r w:rsidRPr="00B12267">
        <w:rPr>
          <w:rFonts w:cs="Arial"/>
          <w:sz w:val="22"/>
          <w:lang w:val="en-US"/>
        </w:rPr>
        <w:t xml:space="preserve"> on the patient in order to improve their health outcomes. The Donabedian Model is one of the most important paradigms to explain the quality of healthcare as it splits the quality into three categories, namely, structure, procedure, and outcomes. The structure of the </w:t>
      </w:r>
      <w:proofErr w:type="spellStart"/>
      <w:r w:rsidRPr="00B12267">
        <w:rPr>
          <w:rFonts w:cs="Arial"/>
          <w:sz w:val="22"/>
          <w:lang w:val="en-US"/>
        </w:rPr>
        <w:t>organisation</w:t>
      </w:r>
      <w:proofErr w:type="spellEnd"/>
      <w:r w:rsidRPr="00B12267">
        <w:rPr>
          <w:rFonts w:cs="Arial"/>
          <w:sz w:val="22"/>
          <w:lang w:val="en-US"/>
        </w:rPr>
        <w:t xml:space="preserve"> is its staffing, resources, and infrastructure; process is the way care is provided; and outcomes are patient health (NICE, 2021). This model demonstrates the influence of flaws in an organisational system that affects patient safety and service quality.</w:t>
      </w:r>
    </w:p>
    <w:p w14:paraId="21575406" w14:textId="23E9ABCF" w:rsidR="00231069" w:rsidRPr="00B12267" w:rsidRDefault="00231069" w:rsidP="00231069">
      <w:pPr>
        <w:rPr>
          <w:rFonts w:cs="Arial"/>
          <w:sz w:val="22"/>
          <w:lang w:val="en-US"/>
        </w:rPr>
      </w:pPr>
      <w:r w:rsidRPr="00B12267">
        <w:rPr>
          <w:rFonts w:cs="Arial"/>
          <w:sz w:val="22"/>
          <w:lang w:val="en-US"/>
        </w:rPr>
        <w:t>Patient safety failure can occur in these domains, which bring about unwanted outcomes. Cases of insufficient personnel, lack of communication, and increased mortality or injuries are usually related. Patient safety incidents seem to be caused by systemic weaknesses, rather than clinical errors (</w:t>
      </w:r>
      <w:r w:rsidR="00D656EE" w:rsidRPr="00D656EE">
        <w:rPr>
          <w:rFonts w:cs="Arial"/>
          <w:sz w:val="22"/>
        </w:rPr>
        <w:t>Payne et al., 2023</w:t>
      </w:r>
      <w:r w:rsidR="00D656EE">
        <w:rPr>
          <w:rFonts w:cs="Arial"/>
          <w:sz w:val="22"/>
          <w:lang w:val="en-US"/>
        </w:rPr>
        <w:t xml:space="preserve">; </w:t>
      </w:r>
      <w:r w:rsidRPr="00B12267">
        <w:rPr>
          <w:rFonts w:cs="Arial"/>
          <w:sz w:val="22"/>
          <w:lang w:val="en-US"/>
        </w:rPr>
        <w:t xml:space="preserve">Shepard, </w:t>
      </w:r>
      <w:proofErr w:type="spellStart"/>
      <w:r w:rsidRPr="00B12267">
        <w:rPr>
          <w:rFonts w:cs="Arial"/>
          <w:sz w:val="22"/>
          <w:lang w:val="en-US"/>
        </w:rPr>
        <w:t>Buivydaite</w:t>
      </w:r>
      <w:proofErr w:type="spellEnd"/>
      <w:r w:rsidRPr="00B12267">
        <w:rPr>
          <w:rFonts w:cs="Arial"/>
          <w:sz w:val="22"/>
          <w:lang w:val="en-US"/>
        </w:rPr>
        <w:t xml:space="preserve"> and Vincent, 2021). In a bid to measure and enhance care delivery, the NHS has </w:t>
      </w:r>
      <w:proofErr w:type="spellStart"/>
      <w:r w:rsidRPr="00B12267">
        <w:rPr>
          <w:rFonts w:cs="Arial"/>
          <w:sz w:val="22"/>
          <w:lang w:val="en-US"/>
        </w:rPr>
        <w:t>emphasised</w:t>
      </w:r>
      <w:proofErr w:type="spellEnd"/>
      <w:r w:rsidRPr="00B12267">
        <w:rPr>
          <w:rFonts w:cs="Arial"/>
          <w:sz w:val="22"/>
          <w:lang w:val="en-US"/>
        </w:rPr>
        <w:t xml:space="preserve"> quality improvement in various areas (NHS England, 2024).</w:t>
      </w:r>
    </w:p>
    <w:p w14:paraId="2E3F1CE8" w14:textId="77777777" w:rsidR="00231069" w:rsidRPr="00B12267" w:rsidRDefault="00231069" w:rsidP="00231069">
      <w:pPr>
        <w:pStyle w:val="Heading3"/>
      </w:pPr>
      <w:bookmarkStart w:id="21" w:name="_Toc226983539"/>
      <w:bookmarkStart w:id="22" w:name="_Toc226983565"/>
      <w:bookmarkStart w:id="23" w:name="_Toc226992468"/>
      <w:r w:rsidRPr="00B12267">
        <w:t>2.1.2 Safety Culture Importance</w:t>
      </w:r>
      <w:bookmarkEnd w:id="21"/>
      <w:bookmarkEnd w:id="22"/>
      <w:bookmarkEnd w:id="23"/>
    </w:p>
    <w:p w14:paraId="4644C8FF" w14:textId="68986BD5" w:rsidR="00231069" w:rsidRPr="00B12267" w:rsidRDefault="00231069" w:rsidP="00231069">
      <w:pPr>
        <w:rPr>
          <w:rFonts w:cs="Arial"/>
          <w:sz w:val="22"/>
          <w:lang w:val="en-US"/>
        </w:rPr>
      </w:pPr>
      <w:r w:rsidRPr="00B12267">
        <w:rPr>
          <w:rFonts w:cs="Arial"/>
          <w:sz w:val="22"/>
          <w:lang w:val="en-US"/>
        </w:rPr>
        <w:t xml:space="preserve">A robust safety culture is essential for quality healthcare. Safety culture is an </w:t>
      </w:r>
      <w:proofErr w:type="spellStart"/>
      <w:r w:rsidRPr="00B12267">
        <w:rPr>
          <w:rFonts w:cs="Arial"/>
          <w:sz w:val="22"/>
          <w:lang w:val="en-US"/>
        </w:rPr>
        <w:t>organisation's</w:t>
      </w:r>
      <w:proofErr w:type="spellEnd"/>
      <w:r w:rsidRPr="00B12267">
        <w:rPr>
          <w:rFonts w:cs="Arial"/>
          <w:sz w:val="22"/>
          <w:lang w:val="en-US"/>
        </w:rPr>
        <w:t xml:space="preserve"> common values, attitudes, and </w:t>
      </w:r>
      <w:proofErr w:type="spellStart"/>
      <w:r w:rsidRPr="00B12267">
        <w:rPr>
          <w:rFonts w:cs="Arial"/>
          <w:sz w:val="22"/>
          <w:lang w:val="en-US"/>
        </w:rPr>
        <w:t>behaviours</w:t>
      </w:r>
      <w:proofErr w:type="spellEnd"/>
      <w:r w:rsidRPr="00B12267">
        <w:rPr>
          <w:rFonts w:cs="Arial"/>
          <w:sz w:val="22"/>
          <w:lang w:val="en-US"/>
        </w:rPr>
        <w:t xml:space="preserve"> that </w:t>
      </w:r>
      <w:proofErr w:type="spellStart"/>
      <w:r w:rsidRPr="00B12267">
        <w:rPr>
          <w:rFonts w:cs="Arial"/>
          <w:sz w:val="22"/>
          <w:lang w:val="en-US"/>
        </w:rPr>
        <w:t>prioritise</w:t>
      </w:r>
      <w:proofErr w:type="spellEnd"/>
      <w:r w:rsidRPr="00B12267">
        <w:rPr>
          <w:rFonts w:cs="Arial"/>
          <w:sz w:val="22"/>
          <w:lang w:val="en-US"/>
        </w:rPr>
        <w:t xml:space="preserve"> patient safety. An open reporting culture will enable employees to express grievances without fear of consequences</w:t>
      </w:r>
      <w:r w:rsidR="0072645E">
        <w:rPr>
          <w:rFonts w:cs="Arial"/>
          <w:sz w:val="22"/>
          <w:lang w:val="en-US"/>
        </w:rPr>
        <w:t xml:space="preserve"> </w:t>
      </w:r>
      <w:r w:rsidR="0072645E" w:rsidRPr="0072645E">
        <w:rPr>
          <w:rFonts w:cs="Arial"/>
          <w:sz w:val="22"/>
        </w:rPr>
        <w:t>(Kernaghan and Hurst, 2023)</w:t>
      </w:r>
      <w:r w:rsidRPr="00B12267">
        <w:rPr>
          <w:rFonts w:cs="Arial"/>
          <w:sz w:val="22"/>
          <w:lang w:val="en-US"/>
        </w:rPr>
        <w:t>. Risk identification and prevention of harm initiated at an early stage needs open communication and organisational learning.</w:t>
      </w:r>
    </w:p>
    <w:p w14:paraId="3BCCCD64" w14:textId="57DFBADF" w:rsidR="00531CFE" w:rsidRPr="00531CFE" w:rsidRDefault="00231069" w:rsidP="00231069">
      <w:pPr>
        <w:rPr>
          <w:rFonts w:cs="Arial"/>
          <w:sz w:val="22"/>
          <w:lang w:val="en-US"/>
        </w:rPr>
      </w:pPr>
      <w:r w:rsidRPr="00B12267">
        <w:rPr>
          <w:rFonts w:cs="Arial"/>
          <w:sz w:val="22"/>
          <w:lang w:val="en-US"/>
        </w:rPr>
        <w:t>Indeed, adequate evidence indicates that a number of healthcare institutions find it difficult to adopt policy frameworks. The obstacles in safety systems could be due to speaking up and the aid of workers (</w:t>
      </w:r>
      <w:proofErr w:type="spellStart"/>
      <w:r w:rsidRPr="00B12267">
        <w:rPr>
          <w:rFonts w:cs="Arial"/>
          <w:sz w:val="22"/>
          <w:lang w:val="en-US"/>
        </w:rPr>
        <w:t>Delpino</w:t>
      </w:r>
      <w:proofErr w:type="spellEnd"/>
      <w:r w:rsidRPr="00B12267">
        <w:rPr>
          <w:rFonts w:cs="Arial"/>
          <w:sz w:val="22"/>
          <w:lang w:val="en-US"/>
        </w:rPr>
        <w:t xml:space="preserve">, Lees-Deutsch and Solanki, 2023). There was a lack of such precautions in the case of Lucy </w:t>
      </w:r>
      <w:proofErr w:type="spellStart"/>
      <w:r w:rsidRPr="00B12267">
        <w:rPr>
          <w:rFonts w:cs="Arial"/>
          <w:sz w:val="22"/>
          <w:lang w:val="en-US"/>
        </w:rPr>
        <w:t>Letby</w:t>
      </w:r>
      <w:proofErr w:type="spellEnd"/>
      <w:r w:rsidRPr="00B12267">
        <w:rPr>
          <w:rFonts w:cs="Arial"/>
          <w:sz w:val="22"/>
          <w:lang w:val="en-US"/>
        </w:rPr>
        <w:t>, suggesting a breakdown in organisational culture and protocols to escalate (Lawrence and Conn, 2024). Even established policy structures may be sabotaged by weak safety cultures, which harm patients.</w:t>
      </w:r>
    </w:p>
    <w:p w14:paraId="3AF043DB" w14:textId="77777777" w:rsidR="00531CFE" w:rsidRPr="00B12267" w:rsidRDefault="00531CFE" w:rsidP="003D3F32">
      <w:pPr>
        <w:pStyle w:val="Heading2"/>
      </w:pPr>
      <w:bookmarkStart w:id="24" w:name="_Toc226983540"/>
      <w:bookmarkStart w:id="25" w:name="_Toc226983566"/>
      <w:bookmarkStart w:id="26" w:name="_Toc226992469"/>
      <w:r w:rsidRPr="00B12267">
        <w:t>2.2 Root Cause Analysis of the Case</w:t>
      </w:r>
      <w:bookmarkEnd w:id="24"/>
      <w:bookmarkEnd w:id="25"/>
      <w:bookmarkEnd w:id="26"/>
    </w:p>
    <w:p w14:paraId="2E67E9D3" w14:textId="77777777" w:rsidR="00531CFE" w:rsidRPr="00B12267" w:rsidRDefault="00531CFE" w:rsidP="00231069">
      <w:pPr>
        <w:pStyle w:val="Heading3"/>
      </w:pPr>
      <w:bookmarkStart w:id="27" w:name="_Toc226983541"/>
      <w:bookmarkStart w:id="28" w:name="_Toc226983567"/>
      <w:bookmarkStart w:id="29" w:name="_Toc226992470"/>
      <w:r w:rsidRPr="00B12267">
        <w:t>2.2.1 Application of Fishbone Diagram</w:t>
      </w:r>
      <w:bookmarkEnd w:id="27"/>
      <w:bookmarkEnd w:id="28"/>
      <w:bookmarkEnd w:id="29"/>
    </w:p>
    <w:p w14:paraId="377806C7" w14:textId="78D89C80" w:rsidR="003D3F32" w:rsidRPr="00B12267" w:rsidRDefault="003D3F32" w:rsidP="003D3F32">
      <w:pPr>
        <w:rPr>
          <w:rFonts w:cs="Arial"/>
          <w:sz w:val="22"/>
          <w:lang w:val="en-US"/>
        </w:rPr>
      </w:pPr>
      <w:r w:rsidRPr="00B12267">
        <w:rPr>
          <w:rFonts w:cs="Arial"/>
          <w:sz w:val="22"/>
          <w:lang w:val="en-US"/>
        </w:rPr>
        <w:t>The Fishbone Diagram offers a systematic method of finding out the underlying causes of complex healthcare events through a classification of factors</w:t>
      </w:r>
      <w:r w:rsidR="004B518A">
        <w:rPr>
          <w:rFonts w:cs="Arial"/>
          <w:sz w:val="22"/>
          <w:lang w:val="en-US"/>
        </w:rPr>
        <w:t xml:space="preserve"> </w:t>
      </w:r>
      <w:r w:rsidR="004B518A" w:rsidRPr="004B518A">
        <w:rPr>
          <w:rFonts w:cs="Arial"/>
          <w:sz w:val="22"/>
        </w:rPr>
        <w:t>(</w:t>
      </w:r>
      <w:proofErr w:type="spellStart"/>
      <w:r w:rsidR="004B518A" w:rsidRPr="004B518A">
        <w:rPr>
          <w:rFonts w:cs="Arial"/>
          <w:sz w:val="22"/>
        </w:rPr>
        <w:t>Kumah</w:t>
      </w:r>
      <w:proofErr w:type="spellEnd"/>
      <w:r w:rsidR="004B518A" w:rsidRPr="004B518A">
        <w:rPr>
          <w:rFonts w:cs="Arial"/>
          <w:sz w:val="22"/>
        </w:rPr>
        <w:t xml:space="preserve"> et al., 2024)</w:t>
      </w:r>
      <w:r w:rsidRPr="00B12267">
        <w:rPr>
          <w:rFonts w:cs="Arial"/>
          <w:sz w:val="22"/>
          <w:lang w:val="en-US"/>
        </w:rPr>
        <w:t xml:space="preserve">. In the Lucy </w:t>
      </w:r>
      <w:proofErr w:type="spellStart"/>
      <w:r w:rsidRPr="00B12267">
        <w:rPr>
          <w:rFonts w:cs="Arial"/>
          <w:sz w:val="22"/>
          <w:lang w:val="en-US"/>
        </w:rPr>
        <w:t>Letby</w:t>
      </w:r>
      <w:proofErr w:type="spellEnd"/>
      <w:r w:rsidRPr="00B12267">
        <w:rPr>
          <w:rFonts w:cs="Arial"/>
          <w:sz w:val="22"/>
          <w:lang w:val="en-US"/>
        </w:rPr>
        <w:t xml:space="preserve"> case, one can find several interrelated reasons in the major areas.</w:t>
      </w:r>
    </w:p>
    <w:p w14:paraId="12A8DDBB" w14:textId="77777777" w:rsidR="003D3F32" w:rsidRPr="00B12267" w:rsidRDefault="003D3F32" w:rsidP="003D3F32">
      <w:pPr>
        <w:rPr>
          <w:rFonts w:cs="Arial"/>
          <w:sz w:val="22"/>
          <w:lang w:val="en-US"/>
        </w:rPr>
      </w:pPr>
      <w:r w:rsidRPr="00B12267">
        <w:rPr>
          <w:rFonts w:cs="Arial"/>
          <w:sz w:val="22"/>
          <w:lang w:val="en-US"/>
        </w:rPr>
        <w:lastRenderedPageBreak/>
        <w:t>Personnel-wise, the lack of personnel and training added to the lack of supervision and risk in the neonatal unit. The studies prove that low staffing rates are closely related to increased mortality rates and low-quality care (</w:t>
      </w:r>
      <w:proofErr w:type="spellStart"/>
      <w:r w:rsidRPr="00B12267">
        <w:rPr>
          <w:rFonts w:cs="Arial"/>
          <w:sz w:val="22"/>
          <w:lang w:val="en-US"/>
        </w:rPr>
        <w:t>Rubbo</w:t>
      </w:r>
      <w:proofErr w:type="spellEnd"/>
      <w:r w:rsidRPr="00B12267">
        <w:rPr>
          <w:rFonts w:cs="Arial"/>
          <w:sz w:val="22"/>
          <w:lang w:val="en-US"/>
        </w:rPr>
        <w:t xml:space="preserve"> et al., 2023).</w:t>
      </w:r>
    </w:p>
    <w:p w14:paraId="734F15D0" w14:textId="3CBF12E7" w:rsidR="003D3F32" w:rsidRPr="00B12267" w:rsidRDefault="003415F4" w:rsidP="003D3F32">
      <w:pPr>
        <w:rPr>
          <w:rFonts w:cs="Arial"/>
          <w:sz w:val="22"/>
          <w:lang w:val="en-US"/>
        </w:rPr>
      </w:pPr>
      <w:r w:rsidRPr="003415F4">
        <w:rPr>
          <w:rFonts w:cs="Arial"/>
          <w:sz w:val="22"/>
          <w:lang w:val="en-US"/>
        </w:rPr>
        <w:t>On the process front, the processes of incident reporting and escalation had severe process failures.</w:t>
      </w:r>
      <w:r w:rsidR="003D3F32" w:rsidRPr="00B12267">
        <w:rPr>
          <w:rFonts w:cs="Arial"/>
          <w:sz w:val="22"/>
          <w:lang w:val="en-US"/>
        </w:rPr>
        <w:t xml:space="preserve"> Clinician concerns were not under official investigation or action, which suggests a failure in communication and governance systems. There is evidence that inefficient reporting systems restrain organisational learning and let risks go unnoticed (Brummell et al., 2023a).</w:t>
      </w:r>
    </w:p>
    <w:p w14:paraId="3C04C652" w14:textId="128B655F" w:rsidR="003D3F32" w:rsidRDefault="003D3F32" w:rsidP="003D3F32">
      <w:pPr>
        <w:rPr>
          <w:rFonts w:cs="Arial"/>
          <w:sz w:val="22"/>
          <w:lang w:val="en-US"/>
        </w:rPr>
      </w:pPr>
      <w:r w:rsidRPr="00B12267">
        <w:rPr>
          <w:rFonts w:cs="Arial"/>
          <w:sz w:val="22"/>
          <w:lang w:val="en-US"/>
        </w:rPr>
        <w:t xml:space="preserve">The environment was also very important, as the pressures of high workload and organisational stress could have been the critical factors in the decision-making and responsiveness. Low capacity to respond effectively to safety concerns is common in healthcare environments that are </w:t>
      </w:r>
      <w:proofErr w:type="spellStart"/>
      <w:r w:rsidRPr="00B12267">
        <w:rPr>
          <w:rFonts w:cs="Arial"/>
          <w:sz w:val="22"/>
          <w:lang w:val="en-US"/>
        </w:rPr>
        <w:t>characterised</w:t>
      </w:r>
      <w:proofErr w:type="spellEnd"/>
      <w:r w:rsidRPr="00B12267">
        <w:rPr>
          <w:rFonts w:cs="Arial"/>
          <w:sz w:val="22"/>
          <w:lang w:val="en-US"/>
        </w:rPr>
        <w:t xml:space="preserve"> by high demand and limited resources (</w:t>
      </w:r>
      <w:proofErr w:type="spellStart"/>
      <w:r w:rsidRPr="00B12267">
        <w:rPr>
          <w:rFonts w:cs="Arial"/>
          <w:sz w:val="22"/>
          <w:lang w:val="en-US"/>
        </w:rPr>
        <w:t>Gaughan</w:t>
      </w:r>
      <w:proofErr w:type="spellEnd"/>
      <w:r w:rsidRPr="00B12267">
        <w:rPr>
          <w:rFonts w:cs="Arial"/>
          <w:sz w:val="22"/>
          <w:lang w:val="en-US"/>
        </w:rPr>
        <w:t xml:space="preserve"> et al., 2022).</w:t>
      </w:r>
      <w:r w:rsidR="00A95A7D">
        <w:rPr>
          <w:rFonts w:cs="Arial"/>
          <w:sz w:val="22"/>
          <w:lang w:val="en-US"/>
        </w:rPr>
        <w:t xml:space="preserve"> </w:t>
      </w:r>
      <w:r w:rsidR="00A95A7D" w:rsidRPr="00A95A7D">
        <w:rPr>
          <w:rFonts w:cs="Arial"/>
          <w:sz w:val="22"/>
          <w:lang w:val="en-US"/>
        </w:rPr>
        <w:t>A root cause diagram is shown below to show the various factors that contributed to the incident.</w:t>
      </w:r>
    </w:p>
    <w:p w14:paraId="4B3EB021" w14:textId="26F6CB5F" w:rsidR="00A95A7D" w:rsidRDefault="008913A6" w:rsidP="00096E01">
      <w:pPr>
        <w:jc w:val="center"/>
        <w:rPr>
          <w:rFonts w:cs="Arial"/>
          <w:sz w:val="22"/>
          <w:lang w:val="en-US"/>
        </w:rPr>
      </w:pPr>
      <w:r>
        <w:rPr>
          <w:rFonts w:cs="Arial"/>
          <w:noProof/>
          <w:sz w:val="22"/>
          <w:lang w:val="en-US" w:eastAsia="zh-CN"/>
        </w:rPr>
        <w:drawing>
          <wp:inline distT="0" distB="0" distL="0" distR="0" wp14:anchorId="3E45523E" wp14:editId="34E9DD86">
            <wp:extent cx="5210175" cy="2724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211467" cy="2724825"/>
                    </a:xfrm>
                    <a:prstGeom prst="rect">
                      <a:avLst/>
                    </a:prstGeom>
                    <a:noFill/>
                    <a:ln>
                      <a:noFill/>
                    </a:ln>
                    <a:extLst>
                      <a:ext uri="{53640926-AAD7-44D8-BBD7-CCE9431645EC}">
                        <a14:shadowObscured xmlns:a14="http://schemas.microsoft.com/office/drawing/2010/main"/>
                      </a:ext>
                    </a:extLst>
                  </pic:spPr>
                </pic:pic>
              </a:graphicData>
            </a:graphic>
          </wp:inline>
        </w:drawing>
      </w:r>
    </w:p>
    <w:p w14:paraId="70E4923E" w14:textId="1105C7A8" w:rsidR="00096E01" w:rsidRPr="00B12267" w:rsidRDefault="00C848B2" w:rsidP="00096E01">
      <w:pPr>
        <w:jc w:val="center"/>
        <w:rPr>
          <w:rFonts w:cs="Arial"/>
          <w:sz w:val="22"/>
          <w:lang w:val="en-US"/>
        </w:rPr>
      </w:pPr>
      <w:r w:rsidRPr="00C848B2">
        <w:rPr>
          <w:rFonts w:cs="Arial"/>
          <w:sz w:val="22"/>
        </w:rPr>
        <w:t xml:space="preserve">Figure 1: Fishbone Diagram Showing Root Causes of Patient Safety Failure in the Lucy </w:t>
      </w:r>
      <w:proofErr w:type="spellStart"/>
      <w:r w:rsidRPr="00C848B2">
        <w:rPr>
          <w:rFonts w:cs="Arial"/>
          <w:sz w:val="22"/>
        </w:rPr>
        <w:t>Letby</w:t>
      </w:r>
      <w:proofErr w:type="spellEnd"/>
      <w:r w:rsidRPr="00C848B2">
        <w:rPr>
          <w:rFonts w:cs="Arial"/>
          <w:sz w:val="22"/>
        </w:rPr>
        <w:t xml:space="preserve"> Case</w:t>
      </w:r>
      <w:r>
        <w:rPr>
          <w:rFonts w:cs="Arial"/>
          <w:sz w:val="22"/>
        </w:rPr>
        <w:t xml:space="preserve"> </w:t>
      </w:r>
      <w:r w:rsidR="004B518A" w:rsidRPr="004B518A">
        <w:rPr>
          <w:rFonts w:cs="Arial"/>
          <w:sz w:val="22"/>
        </w:rPr>
        <w:t>(</w:t>
      </w:r>
      <w:proofErr w:type="spellStart"/>
      <w:r w:rsidR="004B518A" w:rsidRPr="004B518A">
        <w:rPr>
          <w:rFonts w:cs="Arial"/>
          <w:sz w:val="22"/>
        </w:rPr>
        <w:t>Kumah</w:t>
      </w:r>
      <w:proofErr w:type="spellEnd"/>
      <w:r w:rsidR="004B518A" w:rsidRPr="004B518A">
        <w:rPr>
          <w:rFonts w:cs="Arial"/>
          <w:sz w:val="22"/>
        </w:rPr>
        <w:t xml:space="preserve"> et al., 2024)</w:t>
      </w:r>
    </w:p>
    <w:p w14:paraId="79B75C1E" w14:textId="1E391813" w:rsidR="00531CFE" w:rsidRPr="00531CFE" w:rsidRDefault="003D3F32" w:rsidP="003D3F32">
      <w:pPr>
        <w:rPr>
          <w:rFonts w:cs="Arial"/>
          <w:sz w:val="22"/>
          <w:lang w:val="en-US"/>
        </w:rPr>
      </w:pPr>
      <w:r w:rsidRPr="00B12267">
        <w:rPr>
          <w:rFonts w:cs="Arial"/>
          <w:sz w:val="22"/>
          <w:lang w:val="en-US"/>
        </w:rPr>
        <w:t>Lastly, the causes of equipment and systems, such as the constraints of data systems and monitoring systems, can have slowed down the timely recognition of abnormal patterns of incidents. Risk identification requires digital and information systems, which may slow down interventions without them; inefficient networks may cause delays (Camacho et al., 2024).</w:t>
      </w:r>
    </w:p>
    <w:p w14:paraId="0A55F1B3" w14:textId="77777777" w:rsidR="00531CFE" w:rsidRPr="00B12267" w:rsidRDefault="00531CFE" w:rsidP="00914767">
      <w:pPr>
        <w:pStyle w:val="Heading3"/>
      </w:pPr>
      <w:bookmarkStart w:id="30" w:name="_Toc226992471"/>
      <w:r w:rsidRPr="00B12267">
        <w:t>2.2.2 Application of 5 Whys</w:t>
      </w:r>
      <w:bookmarkEnd w:id="30"/>
    </w:p>
    <w:p w14:paraId="1E260AD0" w14:textId="087BF364" w:rsidR="00531CFE" w:rsidRPr="00531CFE" w:rsidRDefault="00431F04" w:rsidP="00531CFE">
      <w:pPr>
        <w:rPr>
          <w:rFonts w:cs="Arial"/>
          <w:sz w:val="22"/>
          <w:lang w:val="en-US"/>
        </w:rPr>
      </w:pPr>
      <w:r w:rsidRPr="00B12267">
        <w:rPr>
          <w:rFonts w:cs="Arial"/>
          <w:sz w:val="22"/>
          <w:lang w:val="en-US"/>
        </w:rPr>
        <w:t>The 5 Whys methodology enables us to delve deeper into a particular problem, like the inability to take up clinical concerns.</w:t>
      </w:r>
    </w:p>
    <w:p w14:paraId="6044A33A" w14:textId="1BFD5338" w:rsidR="00C67334" w:rsidRDefault="00C67334" w:rsidP="00531CFE">
      <w:pPr>
        <w:rPr>
          <w:rFonts w:cs="Arial"/>
          <w:sz w:val="22"/>
          <w:lang w:val="en-US"/>
        </w:rPr>
      </w:pPr>
      <w:r w:rsidRPr="00C67334">
        <w:rPr>
          <w:rFonts w:cs="Arial"/>
          <w:noProof/>
          <w:sz w:val="22"/>
          <w:lang w:val="en-US"/>
        </w:rPr>
        <w:lastRenderedPageBreak/>
        <w:drawing>
          <wp:inline distT="0" distB="0" distL="0" distR="0" wp14:anchorId="606E45A3" wp14:editId="0408B03A">
            <wp:extent cx="5731510" cy="25222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22220"/>
                    </a:xfrm>
                    <a:prstGeom prst="rect">
                      <a:avLst/>
                    </a:prstGeom>
                  </pic:spPr>
                </pic:pic>
              </a:graphicData>
            </a:graphic>
          </wp:inline>
        </w:drawing>
      </w:r>
    </w:p>
    <w:p w14:paraId="3601ADED" w14:textId="6AA53DE6" w:rsidR="00531CFE" w:rsidRPr="00531CFE" w:rsidRDefault="00431F04" w:rsidP="00531CFE">
      <w:pPr>
        <w:rPr>
          <w:rFonts w:cs="Arial"/>
          <w:sz w:val="22"/>
          <w:lang w:val="en-US"/>
        </w:rPr>
      </w:pPr>
      <w:r w:rsidRPr="00B12267">
        <w:rPr>
          <w:rFonts w:cs="Arial"/>
          <w:sz w:val="22"/>
          <w:lang w:val="en-US"/>
        </w:rPr>
        <w:t xml:space="preserve">This chain shows that the problem was not a singular failure, but it was a symptom of institutional frailty in the system of governance and </w:t>
      </w:r>
      <w:proofErr w:type="spellStart"/>
      <w:r w:rsidRPr="00B12267">
        <w:rPr>
          <w:rFonts w:cs="Arial"/>
          <w:sz w:val="22"/>
          <w:lang w:val="en-US"/>
        </w:rPr>
        <w:t>organisational</w:t>
      </w:r>
      <w:proofErr w:type="spellEnd"/>
      <w:r w:rsidRPr="00B12267">
        <w:rPr>
          <w:rFonts w:cs="Arial"/>
          <w:sz w:val="22"/>
          <w:lang w:val="en-US"/>
        </w:rPr>
        <w:t xml:space="preserve"> culture</w:t>
      </w:r>
      <w:r w:rsidR="0049525C">
        <w:rPr>
          <w:rFonts w:cs="Arial"/>
          <w:sz w:val="22"/>
          <w:lang w:val="en-US"/>
        </w:rPr>
        <w:t xml:space="preserve"> </w:t>
      </w:r>
      <w:r w:rsidR="00422F7B" w:rsidRPr="00422F7B">
        <w:rPr>
          <w:rFonts w:cs="Arial"/>
          <w:sz w:val="22"/>
          <w:lang w:val="en-US"/>
        </w:rPr>
        <w:t>(</w:t>
      </w:r>
      <w:proofErr w:type="spellStart"/>
      <w:r w:rsidR="00422F7B" w:rsidRPr="00422F7B">
        <w:rPr>
          <w:rFonts w:cs="Arial"/>
          <w:sz w:val="22"/>
          <w:lang w:val="en-US"/>
        </w:rPr>
        <w:t>Driesen</w:t>
      </w:r>
      <w:proofErr w:type="spellEnd"/>
      <w:r w:rsidR="00422F7B" w:rsidRPr="00422F7B">
        <w:rPr>
          <w:rFonts w:cs="Arial"/>
          <w:sz w:val="22"/>
          <w:lang w:val="en-US"/>
        </w:rPr>
        <w:t xml:space="preserve"> et al., 2021)</w:t>
      </w:r>
      <w:r w:rsidRPr="00B12267">
        <w:rPr>
          <w:rFonts w:cs="Arial"/>
          <w:sz w:val="22"/>
          <w:lang w:val="en-US"/>
        </w:rPr>
        <w:t>.</w:t>
      </w:r>
    </w:p>
    <w:p w14:paraId="797A3AFB" w14:textId="77777777" w:rsidR="00531CFE" w:rsidRPr="00B12267" w:rsidRDefault="00531CFE" w:rsidP="00914767">
      <w:pPr>
        <w:pStyle w:val="Heading3"/>
      </w:pPr>
      <w:bookmarkStart w:id="31" w:name="_Toc226992472"/>
      <w:r w:rsidRPr="00B12267">
        <w:t>2.2.3 Systems Thinking Perspective</w:t>
      </w:r>
      <w:bookmarkEnd w:id="31"/>
    </w:p>
    <w:p w14:paraId="056EDE8C" w14:textId="0B9CB0FC" w:rsidR="003D3F32" w:rsidRPr="00B12267" w:rsidRDefault="003D3F32" w:rsidP="003D3F32">
      <w:pPr>
        <w:rPr>
          <w:rFonts w:cs="Arial"/>
          <w:sz w:val="22"/>
          <w:lang w:val="en-US"/>
        </w:rPr>
      </w:pPr>
      <w:r w:rsidRPr="00B12267">
        <w:rPr>
          <w:rFonts w:cs="Arial"/>
          <w:sz w:val="22"/>
          <w:lang w:val="en-US"/>
        </w:rPr>
        <w:t xml:space="preserve">The systems thinking approach focuses on highlighting the fact that incidents of patient safety occur as a result of interaction in complex organisational systems and not as a result of individual </w:t>
      </w:r>
      <w:proofErr w:type="spellStart"/>
      <w:r w:rsidRPr="00B12267">
        <w:rPr>
          <w:rFonts w:cs="Arial"/>
          <w:sz w:val="22"/>
          <w:lang w:val="en-US"/>
        </w:rPr>
        <w:t>behaviours</w:t>
      </w:r>
      <w:proofErr w:type="spellEnd"/>
      <w:r w:rsidRPr="00B12267">
        <w:rPr>
          <w:rFonts w:cs="Arial"/>
          <w:sz w:val="22"/>
          <w:lang w:val="en-US"/>
        </w:rPr>
        <w:t xml:space="preserve">. The various levels of </w:t>
      </w:r>
      <w:proofErr w:type="spellStart"/>
      <w:r w:rsidRPr="00B12267">
        <w:rPr>
          <w:rFonts w:cs="Arial"/>
          <w:sz w:val="22"/>
          <w:lang w:val="en-US"/>
        </w:rPr>
        <w:t>defence</w:t>
      </w:r>
      <w:proofErr w:type="spellEnd"/>
      <w:r w:rsidRPr="00B12267">
        <w:rPr>
          <w:rFonts w:cs="Arial"/>
          <w:sz w:val="22"/>
          <w:lang w:val="en-US"/>
        </w:rPr>
        <w:t xml:space="preserve"> in this case all failed in tandem, resulting in damage</w:t>
      </w:r>
      <w:r w:rsidR="00335460">
        <w:rPr>
          <w:rFonts w:cs="Arial"/>
          <w:sz w:val="22"/>
          <w:lang w:val="en-US"/>
        </w:rPr>
        <w:t xml:space="preserve"> </w:t>
      </w:r>
      <w:r w:rsidR="004379AB" w:rsidRPr="004379AB">
        <w:rPr>
          <w:rFonts w:cs="Arial"/>
          <w:sz w:val="22"/>
        </w:rPr>
        <w:t xml:space="preserve">(Averill, </w:t>
      </w:r>
      <w:proofErr w:type="spellStart"/>
      <w:r w:rsidR="004379AB" w:rsidRPr="004379AB">
        <w:rPr>
          <w:rFonts w:cs="Arial"/>
          <w:sz w:val="22"/>
        </w:rPr>
        <w:t>Sevdalis</w:t>
      </w:r>
      <w:proofErr w:type="spellEnd"/>
      <w:r w:rsidR="004379AB" w:rsidRPr="004379AB">
        <w:rPr>
          <w:rFonts w:cs="Arial"/>
          <w:sz w:val="22"/>
        </w:rPr>
        <w:t xml:space="preserve"> and Henderson, 2025)</w:t>
      </w:r>
      <w:r w:rsidRPr="00B12267">
        <w:rPr>
          <w:rFonts w:cs="Arial"/>
          <w:sz w:val="22"/>
          <w:lang w:val="en-US"/>
        </w:rPr>
        <w:t xml:space="preserve">. National reporting systems evidence shows that health </w:t>
      </w:r>
      <w:proofErr w:type="spellStart"/>
      <w:r w:rsidRPr="00B12267">
        <w:rPr>
          <w:rFonts w:cs="Arial"/>
          <w:sz w:val="22"/>
          <w:lang w:val="en-US"/>
        </w:rPr>
        <w:t>organisations</w:t>
      </w:r>
      <w:proofErr w:type="spellEnd"/>
      <w:r w:rsidRPr="00B12267">
        <w:rPr>
          <w:rFonts w:cs="Arial"/>
          <w:sz w:val="22"/>
          <w:lang w:val="en-US"/>
        </w:rPr>
        <w:t xml:space="preserve"> frequently have challenges learning effectively out of incidents because of inefficient process fragmentation and failure to effectively integrate the data (Brummell et al., 2023b).</w:t>
      </w:r>
    </w:p>
    <w:p w14:paraId="6A64B93C" w14:textId="6622ACB1" w:rsidR="00531CFE" w:rsidRDefault="003D3F32" w:rsidP="003D3F32">
      <w:pPr>
        <w:rPr>
          <w:rFonts w:cs="Arial"/>
          <w:sz w:val="22"/>
          <w:lang w:val="en-US"/>
        </w:rPr>
      </w:pPr>
      <w:r w:rsidRPr="00B12267">
        <w:rPr>
          <w:rFonts w:cs="Arial"/>
          <w:sz w:val="22"/>
          <w:lang w:val="en-US"/>
        </w:rPr>
        <w:t>Moreover, obstacles to speaking up and inefficient whistleblowing frameworks can impede the initial risk identification (</w:t>
      </w:r>
      <w:proofErr w:type="spellStart"/>
      <w:r w:rsidRPr="00B12267">
        <w:rPr>
          <w:rFonts w:cs="Arial"/>
          <w:sz w:val="22"/>
          <w:lang w:val="en-US"/>
        </w:rPr>
        <w:t>Delpino</w:t>
      </w:r>
      <w:proofErr w:type="spellEnd"/>
      <w:r w:rsidRPr="00B12267">
        <w:rPr>
          <w:rFonts w:cs="Arial"/>
          <w:sz w:val="22"/>
          <w:lang w:val="en-US"/>
        </w:rPr>
        <w:t>, Lees-Deutsch and Solanki, 2023). This reiterates the need to develop systems that promote transparency, accountability, and lifelong learning.</w:t>
      </w:r>
      <w:r w:rsidR="00CC2358">
        <w:rPr>
          <w:rFonts w:cs="Arial"/>
          <w:sz w:val="22"/>
          <w:lang w:val="en-US"/>
        </w:rPr>
        <w:t xml:space="preserve"> </w:t>
      </w:r>
      <w:r w:rsidR="00CC2358" w:rsidRPr="00CC2358">
        <w:rPr>
          <w:rFonts w:cs="Arial"/>
          <w:sz w:val="22"/>
          <w:lang w:val="en-US"/>
        </w:rPr>
        <w:t xml:space="preserve">In order to </w:t>
      </w:r>
      <w:proofErr w:type="spellStart"/>
      <w:r w:rsidR="00CC2358" w:rsidRPr="00CC2358">
        <w:rPr>
          <w:rFonts w:cs="Arial"/>
          <w:sz w:val="22"/>
          <w:lang w:val="en-US"/>
        </w:rPr>
        <w:t>summarise</w:t>
      </w:r>
      <w:proofErr w:type="spellEnd"/>
      <w:r w:rsidR="00CC2358" w:rsidRPr="00CC2358">
        <w:rPr>
          <w:rFonts w:cs="Arial"/>
          <w:sz w:val="22"/>
          <w:lang w:val="en-US"/>
        </w:rPr>
        <w:t xml:space="preserve"> the main contributory factors that were identified during the analysis, the table below is provided</w:t>
      </w:r>
      <w:r w:rsidR="001C6074">
        <w:rPr>
          <w:rFonts w:cs="Arial"/>
          <w:sz w:val="22"/>
          <w:lang w:val="en-US"/>
        </w:rPr>
        <w:t xml:space="preserve"> </w:t>
      </w:r>
      <w:r w:rsidR="001C6074" w:rsidRPr="001C6074">
        <w:rPr>
          <w:rFonts w:cs="Arial"/>
          <w:sz w:val="22"/>
        </w:rPr>
        <w:t>(Parmar et al., 2026)</w:t>
      </w:r>
      <w:r w:rsidR="00CC2358" w:rsidRPr="00CC2358">
        <w:rPr>
          <w:rFonts w:cs="Arial"/>
          <w:sz w:val="22"/>
          <w:lang w:val="en-US"/>
        </w:rPr>
        <w:t>.</w:t>
      </w:r>
    </w:p>
    <w:p w14:paraId="04C8D936" w14:textId="4BF2BA09" w:rsidR="00CC2358" w:rsidRPr="00C67334" w:rsidRDefault="00032C48" w:rsidP="00D26D22">
      <w:pPr>
        <w:rPr>
          <w:rFonts w:cs="Arial"/>
          <w:i/>
          <w:sz w:val="22"/>
        </w:rPr>
      </w:pPr>
      <w:r w:rsidRPr="00C67334">
        <w:rPr>
          <w:rFonts w:cs="Arial"/>
          <w:i/>
          <w:sz w:val="22"/>
        </w:rPr>
        <w:t>Table 1: Summary of Root Causes Categorised by People, Process, Environment, and System Factors</w:t>
      </w:r>
      <w:r w:rsidR="00C67334" w:rsidRPr="00C67334">
        <w:rPr>
          <w:rFonts w:cs="Arial"/>
          <w:i/>
          <w:sz w:val="22"/>
        </w:rPr>
        <w:t xml:space="preserve"> </w:t>
      </w:r>
      <w:r w:rsidR="00C67334" w:rsidRPr="00C67334">
        <w:rPr>
          <w:i/>
        </w:rPr>
        <w:t>(Self-Made)</w:t>
      </w:r>
    </w:p>
    <w:p w14:paraId="055972B8" w14:textId="0288DA9A" w:rsidR="00032C48" w:rsidRPr="00531CFE" w:rsidRDefault="00D26D22" w:rsidP="003D3F32">
      <w:pPr>
        <w:rPr>
          <w:rFonts w:cs="Arial"/>
          <w:sz w:val="22"/>
          <w:lang w:val="en-US"/>
        </w:rPr>
      </w:pPr>
      <w:r w:rsidRPr="00D26D22">
        <w:rPr>
          <w:rFonts w:cs="Arial"/>
          <w:noProof/>
          <w:sz w:val="22"/>
          <w:lang w:val="en-US" w:eastAsia="zh-CN"/>
        </w:rPr>
        <w:lastRenderedPageBreak/>
        <w:drawing>
          <wp:inline distT="0" distB="0" distL="0" distR="0" wp14:anchorId="5736F0CE" wp14:editId="3A4380BD">
            <wp:extent cx="5731510" cy="22186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18690"/>
                    </a:xfrm>
                    <a:prstGeom prst="rect">
                      <a:avLst/>
                    </a:prstGeom>
                  </pic:spPr>
                </pic:pic>
              </a:graphicData>
            </a:graphic>
          </wp:inline>
        </w:drawing>
      </w:r>
    </w:p>
    <w:p w14:paraId="35232690" w14:textId="77777777" w:rsidR="00531CFE" w:rsidRPr="00B12267" w:rsidRDefault="00531CFE" w:rsidP="003D3F32">
      <w:pPr>
        <w:pStyle w:val="Heading2"/>
      </w:pPr>
      <w:bookmarkStart w:id="32" w:name="_Toc226983542"/>
      <w:bookmarkStart w:id="33" w:name="_Toc226983568"/>
      <w:bookmarkStart w:id="34" w:name="_Toc226992473"/>
      <w:r w:rsidRPr="00B12267">
        <w:t>2.3 Policy and Organisational Factors</w:t>
      </w:r>
      <w:bookmarkEnd w:id="32"/>
      <w:bookmarkEnd w:id="33"/>
      <w:bookmarkEnd w:id="34"/>
    </w:p>
    <w:p w14:paraId="208B2E24" w14:textId="77777777" w:rsidR="00531CFE" w:rsidRPr="00B12267" w:rsidRDefault="00531CFE" w:rsidP="003D3F32">
      <w:pPr>
        <w:pStyle w:val="Heading3"/>
      </w:pPr>
      <w:bookmarkStart w:id="35" w:name="_Toc226983543"/>
      <w:bookmarkStart w:id="36" w:name="_Toc226983569"/>
      <w:bookmarkStart w:id="37" w:name="_Toc226992474"/>
      <w:r w:rsidRPr="00B12267">
        <w:t>2.3.1 NHS Policy and Governance Issues</w:t>
      </w:r>
      <w:bookmarkEnd w:id="35"/>
      <w:bookmarkEnd w:id="36"/>
      <w:bookmarkEnd w:id="37"/>
    </w:p>
    <w:p w14:paraId="1675EE07" w14:textId="7C3AD149" w:rsidR="00531CFE" w:rsidRPr="00531CFE" w:rsidRDefault="00042AA4" w:rsidP="00531CFE">
      <w:pPr>
        <w:rPr>
          <w:rFonts w:cs="Arial"/>
          <w:sz w:val="22"/>
          <w:lang w:val="en-US"/>
        </w:rPr>
      </w:pPr>
      <w:r w:rsidRPr="00B12267">
        <w:rPr>
          <w:rFonts w:cs="Arial"/>
          <w:sz w:val="22"/>
          <w:lang w:val="en-US"/>
        </w:rPr>
        <w:t xml:space="preserve">The NHS has come up with elaborate safety models that seek to enhance patient outcomes, but the implementation has been inconsistent. </w:t>
      </w:r>
      <w:r w:rsidR="00166830" w:rsidRPr="00166830">
        <w:rPr>
          <w:rFonts w:cs="Arial"/>
          <w:sz w:val="22"/>
          <w:lang w:val="en-US"/>
        </w:rPr>
        <w:t>The poor governance structures and accountability may hamper these policies, thereby implying that the effectiveness of a policy depends heavily upon the organisational implementation of the policy and not solely on the design of the policy</w:t>
      </w:r>
      <w:r w:rsidR="001A447C">
        <w:rPr>
          <w:rFonts w:cs="Arial"/>
          <w:sz w:val="22"/>
          <w:lang w:val="en-US"/>
        </w:rPr>
        <w:t xml:space="preserve"> </w:t>
      </w:r>
      <w:r w:rsidR="001A447C" w:rsidRPr="001A447C">
        <w:rPr>
          <w:rFonts w:cs="Arial"/>
          <w:sz w:val="22"/>
        </w:rPr>
        <w:t>(CQC, 2022)</w:t>
      </w:r>
      <w:r w:rsidRPr="00B12267">
        <w:rPr>
          <w:rFonts w:cs="Arial"/>
          <w:sz w:val="22"/>
          <w:lang w:val="en-US"/>
        </w:rPr>
        <w:t>. There is evidence to indicate that organisational complexity and practice variation tend to impede the implementation of national patient safety policies (Lalani et al., 2022).</w:t>
      </w:r>
    </w:p>
    <w:p w14:paraId="453938F1" w14:textId="77777777" w:rsidR="00531CFE" w:rsidRPr="00B12267" w:rsidRDefault="00531CFE" w:rsidP="003D3F32">
      <w:pPr>
        <w:pStyle w:val="Heading3"/>
      </w:pPr>
      <w:bookmarkStart w:id="38" w:name="_Toc226983544"/>
      <w:bookmarkStart w:id="39" w:name="_Toc226983570"/>
      <w:bookmarkStart w:id="40" w:name="_Toc226992475"/>
      <w:r w:rsidRPr="00B12267">
        <w:t>2.3.2 Incident Reporting and Learning Failures</w:t>
      </w:r>
      <w:bookmarkEnd w:id="38"/>
      <w:bookmarkEnd w:id="39"/>
      <w:bookmarkEnd w:id="40"/>
    </w:p>
    <w:p w14:paraId="6741CF2C" w14:textId="7C82035B" w:rsidR="00042AA4" w:rsidRPr="00B12267" w:rsidRDefault="00042AA4" w:rsidP="00042AA4">
      <w:pPr>
        <w:rPr>
          <w:rFonts w:cs="Arial"/>
          <w:sz w:val="22"/>
          <w:lang w:val="en-US"/>
        </w:rPr>
      </w:pPr>
      <w:r w:rsidRPr="00B12267">
        <w:rPr>
          <w:rFonts w:cs="Arial"/>
          <w:sz w:val="22"/>
          <w:lang w:val="en-US"/>
        </w:rPr>
        <w:t xml:space="preserve">Incident reporting systems are extremely needed to define risks and avoid their repetition. Nonetheless, most </w:t>
      </w:r>
      <w:proofErr w:type="spellStart"/>
      <w:r w:rsidRPr="00B12267">
        <w:rPr>
          <w:rFonts w:cs="Arial"/>
          <w:sz w:val="22"/>
          <w:lang w:val="en-US"/>
        </w:rPr>
        <w:t>organisations</w:t>
      </w:r>
      <w:proofErr w:type="spellEnd"/>
      <w:r w:rsidRPr="00B12267">
        <w:rPr>
          <w:rFonts w:cs="Arial"/>
          <w:sz w:val="22"/>
          <w:lang w:val="en-US"/>
        </w:rPr>
        <w:t xml:space="preserve"> do not make good use of these systems, hence missing learning opportunities. </w:t>
      </w:r>
      <w:r w:rsidR="00400126" w:rsidRPr="00400126">
        <w:rPr>
          <w:rFonts w:cs="Arial"/>
          <w:sz w:val="22"/>
          <w:lang w:val="en-US"/>
        </w:rPr>
        <w:t xml:space="preserve">Studies have indicated that reporting systems are seldom or do not fit well into the decision-making process, and this implies a lack of linkage between data collection and </w:t>
      </w:r>
      <w:proofErr w:type="spellStart"/>
      <w:r w:rsidR="00400126" w:rsidRPr="00400126">
        <w:rPr>
          <w:rFonts w:cs="Arial"/>
          <w:sz w:val="22"/>
          <w:lang w:val="en-US"/>
        </w:rPr>
        <w:t>organisational</w:t>
      </w:r>
      <w:proofErr w:type="spellEnd"/>
      <w:r w:rsidR="00400126" w:rsidRPr="00400126">
        <w:rPr>
          <w:rFonts w:cs="Arial"/>
          <w:sz w:val="22"/>
          <w:lang w:val="en-US"/>
        </w:rPr>
        <w:t xml:space="preserve"> learning</w:t>
      </w:r>
      <w:r w:rsidRPr="00B12267">
        <w:rPr>
          <w:rFonts w:cs="Arial"/>
          <w:sz w:val="22"/>
          <w:lang w:val="en-US"/>
        </w:rPr>
        <w:t xml:space="preserve"> (Santos, Ajayi-</w:t>
      </w:r>
      <w:proofErr w:type="spellStart"/>
      <w:r w:rsidRPr="00B12267">
        <w:rPr>
          <w:rFonts w:cs="Arial"/>
          <w:sz w:val="22"/>
          <w:lang w:val="en-US"/>
        </w:rPr>
        <w:t>Obe</w:t>
      </w:r>
      <w:proofErr w:type="spellEnd"/>
      <w:r w:rsidRPr="00B12267">
        <w:rPr>
          <w:rFonts w:cs="Arial"/>
          <w:sz w:val="22"/>
          <w:lang w:val="en-US"/>
        </w:rPr>
        <w:t xml:space="preserve"> and Aurelio, 2025).</w:t>
      </w:r>
    </w:p>
    <w:p w14:paraId="2016C98A" w14:textId="62B5ABA4" w:rsidR="00531CFE" w:rsidRPr="00531CFE" w:rsidRDefault="00042AA4" w:rsidP="00042AA4">
      <w:pPr>
        <w:rPr>
          <w:rFonts w:cs="Arial"/>
          <w:sz w:val="22"/>
          <w:lang w:val="en-US"/>
        </w:rPr>
      </w:pPr>
      <w:r w:rsidRPr="00B12267">
        <w:rPr>
          <w:rFonts w:cs="Arial"/>
          <w:sz w:val="22"/>
          <w:lang w:val="en-US"/>
        </w:rPr>
        <w:t xml:space="preserve">Also, the inability to learn through deaths and severe events points to the inefficiency of the system in </w:t>
      </w:r>
      <w:proofErr w:type="spellStart"/>
      <w:r w:rsidRPr="00B12267">
        <w:rPr>
          <w:rFonts w:cs="Arial"/>
          <w:sz w:val="22"/>
          <w:lang w:val="en-US"/>
        </w:rPr>
        <w:t>analysing</w:t>
      </w:r>
      <w:proofErr w:type="spellEnd"/>
      <w:r w:rsidRPr="00B12267">
        <w:rPr>
          <w:rFonts w:cs="Arial"/>
          <w:sz w:val="22"/>
          <w:lang w:val="en-US"/>
        </w:rPr>
        <w:t xml:space="preserve"> and implementing data to enhance care (Brummell et al., 2023a).</w:t>
      </w:r>
    </w:p>
    <w:p w14:paraId="253E699C" w14:textId="77777777" w:rsidR="00531CFE" w:rsidRPr="00B12267" w:rsidRDefault="00531CFE" w:rsidP="00042AA4">
      <w:pPr>
        <w:pStyle w:val="Heading3"/>
      </w:pPr>
      <w:bookmarkStart w:id="41" w:name="_Toc226983545"/>
      <w:bookmarkStart w:id="42" w:name="_Toc226983571"/>
      <w:bookmarkStart w:id="43" w:name="_Toc226992476"/>
      <w:r w:rsidRPr="00B12267">
        <w:t>2.3.3 Workforce and Staffing Issues</w:t>
      </w:r>
      <w:bookmarkEnd w:id="41"/>
      <w:bookmarkEnd w:id="42"/>
      <w:bookmarkEnd w:id="43"/>
    </w:p>
    <w:p w14:paraId="7AF8D4FB" w14:textId="5E546366" w:rsidR="00531CFE" w:rsidRPr="00531CFE" w:rsidRDefault="00042AA4" w:rsidP="00531CFE">
      <w:pPr>
        <w:rPr>
          <w:rFonts w:cs="Arial"/>
          <w:sz w:val="22"/>
          <w:lang w:val="en-US"/>
        </w:rPr>
      </w:pPr>
      <w:r w:rsidRPr="00B12267">
        <w:rPr>
          <w:rFonts w:cs="Arial"/>
          <w:sz w:val="22"/>
          <w:lang w:val="en-US"/>
        </w:rPr>
        <w:t>Patient safety is greatly affected by challenges in the workforce, such as staff shortages and workload. The understaffing issue may decrease the quality of care and the number of healthcare providers capable of addressing the arising risks (</w:t>
      </w:r>
      <w:proofErr w:type="spellStart"/>
      <w:r w:rsidRPr="00B12267">
        <w:rPr>
          <w:rFonts w:cs="Arial"/>
          <w:sz w:val="22"/>
          <w:lang w:val="en-US"/>
        </w:rPr>
        <w:t>Rubbo</w:t>
      </w:r>
      <w:proofErr w:type="spellEnd"/>
      <w:r w:rsidRPr="00B12267">
        <w:rPr>
          <w:rFonts w:cs="Arial"/>
          <w:sz w:val="22"/>
          <w:lang w:val="en-US"/>
        </w:rPr>
        <w:t xml:space="preserve"> et al., 2023). In addition, workforce pressures may also be the cause of burnout, poor communication, and diminished organisational resilience.</w:t>
      </w:r>
    </w:p>
    <w:p w14:paraId="370FA4C2" w14:textId="22C55A1A" w:rsidR="00531CFE" w:rsidRDefault="00531CFE" w:rsidP="00042AA4">
      <w:pPr>
        <w:pStyle w:val="Heading2"/>
      </w:pPr>
      <w:bookmarkStart w:id="44" w:name="_Toc226983546"/>
      <w:bookmarkStart w:id="45" w:name="_Toc226983572"/>
      <w:bookmarkStart w:id="46" w:name="_Toc226992477"/>
      <w:r w:rsidRPr="00B12267">
        <w:lastRenderedPageBreak/>
        <w:t>2.4 Strategic Analysis</w:t>
      </w:r>
      <w:bookmarkEnd w:id="44"/>
      <w:bookmarkEnd w:id="45"/>
      <w:bookmarkEnd w:id="46"/>
      <w:r w:rsidR="004F04EE">
        <w:t xml:space="preserve"> (SWOT)</w:t>
      </w:r>
    </w:p>
    <w:p w14:paraId="081E6141" w14:textId="358C36DE" w:rsidR="004F04EE" w:rsidRDefault="004F04EE" w:rsidP="004F04EE">
      <w:pPr>
        <w:jc w:val="center"/>
        <w:rPr>
          <w:lang w:val="en-US"/>
        </w:rPr>
      </w:pPr>
      <w:r>
        <w:rPr>
          <w:noProof/>
          <w:lang w:val="en-US" w:eastAsia="zh-CN"/>
        </w:rPr>
        <w:drawing>
          <wp:inline distT="0" distB="0" distL="0" distR="0" wp14:anchorId="0C6F8631" wp14:editId="3EF077AB">
            <wp:extent cx="1968500" cy="1864937"/>
            <wp:effectExtent l="0" t="0" r="0" b="2540"/>
            <wp:docPr id="5" name="Picture 5" descr="How to do a SWOT analysis with examples - S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with examples - SEE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79695" cy="1875543"/>
                    </a:xfrm>
                    <a:prstGeom prst="rect">
                      <a:avLst/>
                    </a:prstGeom>
                    <a:noFill/>
                    <a:ln>
                      <a:noFill/>
                    </a:ln>
                  </pic:spPr>
                </pic:pic>
              </a:graphicData>
            </a:graphic>
          </wp:inline>
        </w:drawing>
      </w:r>
    </w:p>
    <w:p w14:paraId="5F21B00C" w14:textId="10590891" w:rsidR="004F04EE" w:rsidRPr="004F04EE" w:rsidRDefault="004F04EE" w:rsidP="004F04EE">
      <w:pPr>
        <w:jc w:val="center"/>
        <w:rPr>
          <w:lang w:val="en-US"/>
        </w:rPr>
      </w:pPr>
      <w:r>
        <w:rPr>
          <w:lang w:val="en-US"/>
        </w:rPr>
        <w:t xml:space="preserve">Figure 2: SWOT analysis Framework </w:t>
      </w:r>
      <w:r>
        <w:t>(Self-Made)</w:t>
      </w:r>
    </w:p>
    <w:p w14:paraId="6AFE7221" w14:textId="77777777" w:rsidR="00186295" w:rsidRPr="00B12267" w:rsidRDefault="00186295" w:rsidP="00186295">
      <w:pPr>
        <w:rPr>
          <w:rFonts w:cs="Arial"/>
          <w:b/>
          <w:bCs/>
          <w:sz w:val="22"/>
          <w:lang w:val="en-US"/>
        </w:rPr>
      </w:pPr>
      <w:r w:rsidRPr="00B12267">
        <w:rPr>
          <w:rFonts w:cs="Arial"/>
          <w:b/>
          <w:bCs/>
          <w:sz w:val="22"/>
          <w:lang w:val="en-US"/>
        </w:rPr>
        <w:t>Strengths:</w:t>
      </w:r>
    </w:p>
    <w:p w14:paraId="3E6D55F9" w14:textId="77777777" w:rsidR="00186295" w:rsidRPr="00B12267" w:rsidRDefault="00186295" w:rsidP="00186295">
      <w:pPr>
        <w:rPr>
          <w:rFonts w:cs="Arial"/>
          <w:sz w:val="22"/>
          <w:lang w:val="en-US"/>
        </w:rPr>
      </w:pPr>
      <w:r w:rsidRPr="00B12267">
        <w:rPr>
          <w:rFonts w:cs="Arial"/>
          <w:sz w:val="22"/>
          <w:lang w:val="en-US"/>
        </w:rPr>
        <w:t>The NHS enjoys the advantages of safety frameworks, regulatory oversight, and national-level guidelines that enable it to have a robust baseline of quality improvement (NHS England, 2021).</w:t>
      </w:r>
    </w:p>
    <w:p w14:paraId="03880036" w14:textId="77777777" w:rsidR="00186295" w:rsidRPr="00B12267" w:rsidRDefault="00186295" w:rsidP="00186295">
      <w:pPr>
        <w:rPr>
          <w:rFonts w:cs="Arial"/>
          <w:b/>
          <w:bCs/>
          <w:sz w:val="22"/>
          <w:lang w:val="en-US"/>
        </w:rPr>
      </w:pPr>
      <w:r w:rsidRPr="00B12267">
        <w:rPr>
          <w:rFonts w:cs="Arial"/>
          <w:b/>
          <w:bCs/>
          <w:sz w:val="22"/>
          <w:lang w:val="en-US"/>
        </w:rPr>
        <w:t>Weaknesses:</w:t>
      </w:r>
    </w:p>
    <w:p w14:paraId="137CC76D" w14:textId="6A47ABDB" w:rsidR="00186295" w:rsidRPr="00B12267" w:rsidRDefault="00186295" w:rsidP="00186295">
      <w:pPr>
        <w:rPr>
          <w:rFonts w:cs="Arial"/>
          <w:sz w:val="22"/>
          <w:lang w:val="en-US"/>
        </w:rPr>
      </w:pPr>
      <w:r w:rsidRPr="00B12267">
        <w:rPr>
          <w:rFonts w:cs="Arial"/>
          <w:sz w:val="22"/>
          <w:lang w:val="en-US"/>
        </w:rPr>
        <w:t xml:space="preserve">However, these strengths are still accompanied by the weaknesses, such as ineffective communication, inadequate governance, inefficient reporting mechanisms, etc. </w:t>
      </w:r>
      <w:r w:rsidR="003F2D5F" w:rsidRPr="003F2D5F">
        <w:rPr>
          <w:rFonts w:cs="Arial"/>
          <w:sz w:val="22"/>
          <w:lang w:val="en-US"/>
        </w:rPr>
        <w:t>These issues may inhibit the effectiveness of safety programs and be counterproductive</w:t>
      </w:r>
      <w:r w:rsidR="00221E72">
        <w:rPr>
          <w:rFonts w:cs="Arial"/>
          <w:sz w:val="22"/>
          <w:lang w:val="en-US"/>
        </w:rPr>
        <w:t xml:space="preserve"> </w:t>
      </w:r>
      <w:r w:rsidR="000805D8">
        <w:rPr>
          <w:rFonts w:cs="Arial"/>
          <w:sz w:val="22"/>
          <w:lang w:val="en-US"/>
        </w:rPr>
        <w:t>(</w:t>
      </w:r>
      <w:r w:rsidR="00221E72" w:rsidRPr="00221E72">
        <w:rPr>
          <w:rFonts w:cs="Arial"/>
          <w:sz w:val="22"/>
        </w:rPr>
        <w:t>Brummell et al., 2023a</w:t>
      </w:r>
      <w:r w:rsidR="000805D8">
        <w:rPr>
          <w:rFonts w:cs="Arial"/>
          <w:sz w:val="22"/>
        </w:rPr>
        <w:t>)</w:t>
      </w:r>
      <w:r w:rsidR="003F2D5F" w:rsidRPr="003F2D5F">
        <w:rPr>
          <w:rFonts w:cs="Arial"/>
          <w:sz w:val="22"/>
          <w:lang w:val="en-US"/>
        </w:rPr>
        <w:t>.</w:t>
      </w:r>
    </w:p>
    <w:p w14:paraId="34FB4FBB" w14:textId="77777777" w:rsidR="00186295" w:rsidRPr="00B12267" w:rsidRDefault="00186295" w:rsidP="00186295">
      <w:pPr>
        <w:rPr>
          <w:rFonts w:cs="Arial"/>
          <w:b/>
          <w:bCs/>
          <w:sz w:val="22"/>
          <w:lang w:val="en-US"/>
        </w:rPr>
      </w:pPr>
      <w:r w:rsidRPr="00B12267">
        <w:rPr>
          <w:rFonts w:cs="Arial"/>
          <w:b/>
          <w:bCs/>
          <w:sz w:val="22"/>
          <w:lang w:val="en-US"/>
        </w:rPr>
        <w:t>Opportunities:</w:t>
      </w:r>
    </w:p>
    <w:p w14:paraId="282E7614" w14:textId="77777777" w:rsidR="00186295" w:rsidRPr="00B12267" w:rsidRDefault="00186295" w:rsidP="00186295">
      <w:pPr>
        <w:rPr>
          <w:rFonts w:cs="Arial"/>
          <w:sz w:val="22"/>
          <w:lang w:val="en-US"/>
        </w:rPr>
      </w:pPr>
      <w:r w:rsidRPr="00B12267">
        <w:rPr>
          <w:rFonts w:cs="Arial"/>
          <w:sz w:val="22"/>
          <w:lang w:val="en-US"/>
        </w:rPr>
        <w:t xml:space="preserve">There are opportunities within the implementation of digital technologies, improved data systems and structured quality improvement </w:t>
      </w:r>
      <w:proofErr w:type="spellStart"/>
      <w:r w:rsidRPr="00B12267">
        <w:rPr>
          <w:rFonts w:cs="Arial"/>
          <w:sz w:val="22"/>
          <w:lang w:val="en-US"/>
        </w:rPr>
        <w:t>programmes</w:t>
      </w:r>
      <w:proofErr w:type="spellEnd"/>
      <w:r w:rsidRPr="00B12267">
        <w:rPr>
          <w:rFonts w:cs="Arial"/>
          <w:sz w:val="22"/>
          <w:lang w:val="en-US"/>
        </w:rPr>
        <w:t>. Digital innovations have been found to enhance patient safety because of the increased information sharing and monitoring (Camacho et al., 2024).</w:t>
      </w:r>
    </w:p>
    <w:p w14:paraId="19749923" w14:textId="77777777" w:rsidR="00186295" w:rsidRPr="00B12267" w:rsidRDefault="00186295" w:rsidP="00186295">
      <w:pPr>
        <w:rPr>
          <w:rFonts w:cs="Arial"/>
          <w:b/>
          <w:bCs/>
          <w:sz w:val="22"/>
          <w:lang w:val="en-US"/>
        </w:rPr>
      </w:pPr>
      <w:r w:rsidRPr="00B12267">
        <w:rPr>
          <w:rFonts w:cs="Arial"/>
          <w:b/>
          <w:bCs/>
          <w:sz w:val="22"/>
          <w:lang w:val="en-US"/>
        </w:rPr>
        <w:t>Threats:</w:t>
      </w:r>
    </w:p>
    <w:p w14:paraId="3C29A83B" w14:textId="38A85D0D" w:rsidR="00531CFE" w:rsidRPr="00531CFE" w:rsidRDefault="00186295" w:rsidP="00186295">
      <w:pPr>
        <w:rPr>
          <w:rFonts w:cs="Arial"/>
          <w:sz w:val="22"/>
          <w:lang w:val="en-US"/>
        </w:rPr>
      </w:pPr>
      <w:r w:rsidRPr="00B12267">
        <w:rPr>
          <w:rFonts w:cs="Arial"/>
          <w:sz w:val="22"/>
          <w:lang w:val="en-US"/>
        </w:rPr>
        <w:t>Staffing shortage, resource scarcity, and cultural obstacles that can impede improvement efforts continue to be persistent. These may compound the weaknesses present and reduce organisational ability to change</w:t>
      </w:r>
      <w:r w:rsidR="000805D8">
        <w:rPr>
          <w:rFonts w:cs="Arial"/>
          <w:sz w:val="22"/>
          <w:lang w:val="en-US"/>
        </w:rPr>
        <w:t xml:space="preserve"> </w:t>
      </w:r>
      <w:r w:rsidR="000805D8" w:rsidRPr="000805D8">
        <w:rPr>
          <w:rFonts w:cs="Arial"/>
          <w:sz w:val="22"/>
        </w:rPr>
        <w:t>(</w:t>
      </w:r>
      <w:proofErr w:type="spellStart"/>
      <w:r w:rsidR="000805D8" w:rsidRPr="000805D8">
        <w:rPr>
          <w:rFonts w:cs="Arial"/>
          <w:sz w:val="22"/>
        </w:rPr>
        <w:t>Rubbo</w:t>
      </w:r>
      <w:proofErr w:type="spellEnd"/>
      <w:r w:rsidR="000805D8" w:rsidRPr="000805D8">
        <w:rPr>
          <w:rFonts w:cs="Arial"/>
          <w:sz w:val="22"/>
        </w:rPr>
        <w:t xml:space="preserve"> et al., 2023)</w:t>
      </w:r>
      <w:r w:rsidRPr="00B12267">
        <w:rPr>
          <w:rFonts w:cs="Arial"/>
          <w:sz w:val="22"/>
          <w:lang w:val="en-US"/>
        </w:rPr>
        <w:t>.</w:t>
      </w:r>
    </w:p>
    <w:p w14:paraId="7C890BCD" w14:textId="5ABCD849" w:rsidR="00531CFE" w:rsidRPr="00531CFE" w:rsidRDefault="00CD7E25" w:rsidP="00531CFE">
      <w:pPr>
        <w:rPr>
          <w:rFonts w:cs="Arial"/>
          <w:sz w:val="22"/>
          <w:lang w:val="en-US"/>
        </w:rPr>
      </w:pPr>
      <w:r w:rsidRPr="00B12267">
        <w:rPr>
          <w:rFonts w:cs="Arial"/>
          <w:sz w:val="22"/>
          <w:lang w:val="en-US"/>
        </w:rPr>
        <w:t xml:space="preserve">Political influences entail ongoing NHS reforms to enhance safety and efficiency. Budget limitations are still impacting staffing and budget allocations. Patient safety within the scope of social expectations is on the rise, which puts more pressure on the healthcare systems. </w:t>
      </w:r>
      <w:r w:rsidRPr="00B12267">
        <w:rPr>
          <w:rFonts w:cs="Arial"/>
          <w:sz w:val="22"/>
          <w:lang w:val="en-US"/>
        </w:rPr>
        <w:lastRenderedPageBreak/>
        <w:t xml:space="preserve">Technological development can be used to improve, but needs to be </w:t>
      </w:r>
      <w:proofErr w:type="spellStart"/>
      <w:r w:rsidRPr="00B12267">
        <w:rPr>
          <w:rFonts w:cs="Arial"/>
          <w:sz w:val="22"/>
          <w:lang w:val="en-US"/>
        </w:rPr>
        <w:t>realised</w:t>
      </w:r>
      <w:proofErr w:type="spellEnd"/>
      <w:r w:rsidRPr="00B12267">
        <w:rPr>
          <w:rFonts w:cs="Arial"/>
          <w:sz w:val="22"/>
          <w:lang w:val="en-US"/>
        </w:rPr>
        <w:t xml:space="preserve"> and regulated efficiently.</w:t>
      </w:r>
    </w:p>
    <w:p w14:paraId="20E05BDF" w14:textId="77777777" w:rsidR="00531CFE" w:rsidRPr="00B12267" w:rsidRDefault="00531CFE" w:rsidP="009C2809">
      <w:pPr>
        <w:pStyle w:val="Heading2"/>
      </w:pPr>
      <w:bookmarkStart w:id="47" w:name="_Toc226983547"/>
      <w:bookmarkStart w:id="48" w:name="_Toc226983573"/>
      <w:bookmarkStart w:id="49" w:name="_Toc226992478"/>
      <w:r w:rsidRPr="00B12267">
        <w:t>2.5 Critical Evaluation of Theories</w:t>
      </w:r>
      <w:bookmarkEnd w:id="47"/>
      <w:bookmarkEnd w:id="48"/>
      <w:bookmarkEnd w:id="49"/>
    </w:p>
    <w:p w14:paraId="3C85CB82" w14:textId="77777777" w:rsidR="00EC2935" w:rsidRPr="00EC2935" w:rsidRDefault="00EC2935" w:rsidP="00EC2935">
      <w:pPr>
        <w:rPr>
          <w:rFonts w:cs="Arial"/>
          <w:sz w:val="22"/>
          <w:lang w:val="en-US"/>
        </w:rPr>
      </w:pPr>
      <w:r w:rsidRPr="00EC2935">
        <w:rPr>
          <w:rFonts w:cs="Arial"/>
          <w:sz w:val="22"/>
          <w:lang w:val="en-US"/>
        </w:rPr>
        <w:t>The use of various theoretical perspectives gives a holistic view of the problem of quality identified. A Fishbone Diagram is a methodical approach to the classification of the contributing factors, and the 5 Whys method will allow a chance to look into the causative factors in greater detail. The tools together are complementary as they offer breadth and depth in the analysis (Martin et al., 2024).</w:t>
      </w:r>
    </w:p>
    <w:p w14:paraId="73DD0108" w14:textId="77777777" w:rsidR="00EC2935" w:rsidRPr="00EC2935" w:rsidRDefault="00EC2935" w:rsidP="00EC2935">
      <w:pPr>
        <w:rPr>
          <w:rFonts w:cs="Arial"/>
          <w:sz w:val="22"/>
          <w:lang w:val="en-US"/>
        </w:rPr>
      </w:pPr>
      <w:r w:rsidRPr="00EC2935">
        <w:rPr>
          <w:rFonts w:cs="Arial"/>
          <w:sz w:val="22"/>
          <w:lang w:val="en-US"/>
        </w:rPr>
        <w:t>But there are limitations to these models. A Fishbone Diagram can be used to simplify complicated interactions between factors, whereas the 5 Whys can be simplified to line-related causes of events that are not fully descriptive of systemic complexity. In comparison, the Donabedian Model is more holistic since it is the model that links structural and process variables to outcomes, but may not be as focused as the root causes (Vincent et al., 2025).</w:t>
      </w:r>
    </w:p>
    <w:p w14:paraId="58334EEB" w14:textId="007D82B3" w:rsidR="00DB74D4" w:rsidRPr="00B12267" w:rsidRDefault="00EC2935" w:rsidP="00EC2935">
      <w:pPr>
        <w:rPr>
          <w:rFonts w:cs="Arial"/>
          <w:sz w:val="22"/>
          <w:lang w:val="en-US"/>
        </w:rPr>
      </w:pPr>
      <w:r w:rsidRPr="00EC2935">
        <w:rPr>
          <w:rFonts w:cs="Arial"/>
          <w:sz w:val="22"/>
          <w:lang w:val="en-US"/>
        </w:rPr>
        <w:t xml:space="preserve">The mixture of both models, despite all these limitations, enables </w:t>
      </w:r>
      <w:proofErr w:type="spellStart"/>
      <w:r w:rsidRPr="00EC2935">
        <w:rPr>
          <w:rFonts w:cs="Arial"/>
          <w:sz w:val="22"/>
          <w:lang w:val="en-US"/>
        </w:rPr>
        <w:t>analysing</w:t>
      </w:r>
      <w:proofErr w:type="spellEnd"/>
      <w:r w:rsidRPr="00EC2935">
        <w:rPr>
          <w:rFonts w:cs="Arial"/>
          <w:sz w:val="22"/>
          <w:lang w:val="en-US"/>
        </w:rPr>
        <w:t xml:space="preserve"> it in a more detailed way, with macro-level and micro-level variables. This form of mixed methodology is highly significant to the formulation of workable and reasonable service improvement strategies in the complicated model of healthcare.</w:t>
      </w:r>
    </w:p>
    <w:p w14:paraId="3889D780" w14:textId="77777777" w:rsidR="00A43FCE" w:rsidRDefault="00A43FCE">
      <w:pPr>
        <w:spacing w:line="259" w:lineRule="auto"/>
        <w:jc w:val="left"/>
        <w:rPr>
          <w:rFonts w:eastAsiaTheme="majorEastAsia" w:cs="Arial"/>
          <w:b/>
          <w:bCs/>
          <w:sz w:val="30"/>
          <w:szCs w:val="30"/>
          <w:lang w:val="en-US"/>
        </w:rPr>
      </w:pPr>
      <w:bookmarkStart w:id="50" w:name="_Toc226983548"/>
      <w:bookmarkStart w:id="51" w:name="_Toc226983574"/>
      <w:bookmarkStart w:id="52" w:name="_Toc226992479"/>
      <w:r>
        <w:br w:type="page"/>
      </w:r>
    </w:p>
    <w:p w14:paraId="3D942995" w14:textId="47418B4D" w:rsidR="00DB74D4" w:rsidRPr="00B12267" w:rsidRDefault="00DB74D4" w:rsidP="00914767">
      <w:pPr>
        <w:pStyle w:val="Heading1"/>
      </w:pPr>
      <w:r w:rsidRPr="00B12267">
        <w:lastRenderedPageBreak/>
        <w:t>3. RECOMMENDATIONS</w:t>
      </w:r>
      <w:bookmarkEnd w:id="50"/>
      <w:bookmarkEnd w:id="51"/>
      <w:bookmarkEnd w:id="52"/>
    </w:p>
    <w:p w14:paraId="780C0F12" w14:textId="77777777" w:rsidR="00DB74D4" w:rsidRPr="00B12267" w:rsidRDefault="00DB74D4" w:rsidP="009C2809">
      <w:pPr>
        <w:pStyle w:val="Heading2"/>
      </w:pPr>
      <w:bookmarkStart w:id="53" w:name="_Toc226983549"/>
      <w:bookmarkStart w:id="54" w:name="_Toc226983575"/>
      <w:bookmarkStart w:id="55" w:name="_Toc226992480"/>
      <w:r w:rsidRPr="00B12267">
        <w:t>3.1 Overview of Improvement Strategy</w:t>
      </w:r>
      <w:bookmarkEnd w:id="53"/>
      <w:bookmarkEnd w:id="54"/>
      <w:bookmarkEnd w:id="55"/>
    </w:p>
    <w:p w14:paraId="4035190B" w14:textId="77777777" w:rsidR="00A3507C" w:rsidRPr="00A3507C" w:rsidRDefault="00A3507C" w:rsidP="00A3507C">
      <w:pPr>
        <w:rPr>
          <w:rFonts w:cs="Arial"/>
          <w:sz w:val="22"/>
          <w:szCs w:val="20"/>
          <w:lang w:val="en-US"/>
        </w:rPr>
      </w:pPr>
      <w:r w:rsidRPr="00A3507C">
        <w:rPr>
          <w:rFonts w:cs="Arial"/>
          <w:sz w:val="22"/>
          <w:szCs w:val="20"/>
          <w:lang w:val="en-US"/>
        </w:rPr>
        <w:t>According to the root cause analysis, the failure in the quality of the case study that happened is due to weak governance, ineffective incident reporting, inadequate staffing and poor organisational culture. The improvement plan should address the structural, process, and cultural elements of a healthcare delivery system-wide. Contemporary quality improvement strategies aim at organisational learning, connected systems, and continuous monitoring in order to guarantee patient safety (Santos, Ajayi-</w:t>
      </w:r>
      <w:proofErr w:type="spellStart"/>
      <w:r w:rsidRPr="00A3507C">
        <w:rPr>
          <w:rFonts w:cs="Arial"/>
          <w:sz w:val="22"/>
          <w:szCs w:val="20"/>
          <w:lang w:val="en-US"/>
        </w:rPr>
        <w:t>Obe</w:t>
      </w:r>
      <w:proofErr w:type="spellEnd"/>
      <w:r w:rsidRPr="00A3507C">
        <w:rPr>
          <w:rFonts w:cs="Arial"/>
          <w:sz w:val="22"/>
          <w:szCs w:val="20"/>
          <w:lang w:val="en-US"/>
        </w:rPr>
        <w:t xml:space="preserve"> and Aurelio, 2025). </w:t>
      </w:r>
    </w:p>
    <w:p w14:paraId="500E9CDA" w14:textId="77777777" w:rsidR="00A3507C" w:rsidRPr="00A3507C" w:rsidRDefault="00A3507C" w:rsidP="00A3507C">
      <w:pPr>
        <w:rPr>
          <w:rFonts w:cs="Arial"/>
          <w:sz w:val="22"/>
          <w:szCs w:val="20"/>
          <w:lang w:val="en-US"/>
        </w:rPr>
      </w:pPr>
      <w:r w:rsidRPr="00A3507C">
        <w:rPr>
          <w:rFonts w:cs="Arial"/>
          <w:sz w:val="22"/>
          <w:szCs w:val="20"/>
          <w:lang w:val="en-US"/>
        </w:rPr>
        <w:t xml:space="preserve">The suggested enhancements are reporting processes, the competence of the workforce, digital infrastructure, and governance frameworks. These are solutions that deal with root causes and enhance the sustainability of </w:t>
      </w:r>
      <w:proofErr w:type="spellStart"/>
      <w:r w:rsidRPr="00A3507C">
        <w:rPr>
          <w:rFonts w:cs="Arial"/>
          <w:sz w:val="22"/>
          <w:szCs w:val="20"/>
          <w:lang w:val="en-US"/>
        </w:rPr>
        <w:t>organisations</w:t>
      </w:r>
      <w:proofErr w:type="spellEnd"/>
      <w:r w:rsidRPr="00A3507C">
        <w:rPr>
          <w:rFonts w:cs="Arial"/>
          <w:sz w:val="22"/>
          <w:szCs w:val="20"/>
          <w:lang w:val="en-US"/>
        </w:rPr>
        <w:t>.</w:t>
      </w:r>
    </w:p>
    <w:p w14:paraId="5BA43993" w14:textId="77777777" w:rsidR="00A3507C" w:rsidRPr="00B12267" w:rsidRDefault="00A3507C" w:rsidP="009C2809">
      <w:pPr>
        <w:pStyle w:val="Heading2"/>
      </w:pPr>
      <w:bookmarkStart w:id="56" w:name="_Toc226983550"/>
      <w:bookmarkStart w:id="57" w:name="_Toc226983576"/>
      <w:bookmarkStart w:id="58" w:name="_Toc226992481"/>
      <w:r w:rsidRPr="00B12267">
        <w:t>3.2 Implementation Using PDSA Cycle</w:t>
      </w:r>
      <w:bookmarkEnd w:id="56"/>
      <w:bookmarkEnd w:id="57"/>
      <w:bookmarkEnd w:id="58"/>
    </w:p>
    <w:p w14:paraId="4641A933" w14:textId="77777777" w:rsidR="00A3507C" w:rsidRPr="00A3507C" w:rsidRDefault="00A3507C" w:rsidP="00A3507C">
      <w:pPr>
        <w:rPr>
          <w:rFonts w:cs="Arial"/>
          <w:sz w:val="22"/>
          <w:szCs w:val="20"/>
          <w:lang w:val="en-US"/>
        </w:rPr>
      </w:pPr>
      <w:r w:rsidRPr="00A3507C">
        <w:rPr>
          <w:rFonts w:cs="Arial"/>
          <w:sz w:val="22"/>
          <w:szCs w:val="20"/>
          <w:lang w:val="en-US"/>
        </w:rPr>
        <w:t>Plan-Do-Study-Act (PDSA) cycle offers a systematic approach to applying and assessing change within healthcare facilities.</w:t>
      </w:r>
    </w:p>
    <w:p w14:paraId="6004D979" w14:textId="77777777" w:rsidR="00A3507C" w:rsidRPr="00A43FCE" w:rsidRDefault="00A3507C" w:rsidP="00A43FCE">
      <w:pPr>
        <w:spacing w:after="0"/>
        <w:ind w:left="720"/>
        <w:rPr>
          <w:rFonts w:cs="Arial"/>
          <w:b/>
          <w:bCs/>
          <w:sz w:val="22"/>
          <w:szCs w:val="20"/>
          <w:u w:val="single"/>
          <w:lang w:val="en-US"/>
        </w:rPr>
      </w:pPr>
      <w:r w:rsidRPr="00A43FCE">
        <w:rPr>
          <w:rFonts w:cs="Arial"/>
          <w:b/>
          <w:bCs/>
          <w:sz w:val="22"/>
          <w:szCs w:val="20"/>
          <w:u w:val="single"/>
          <w:lang w:val="en-US"/>
        </w:rPr>
        <w:t>Plan:</w:t>
      </w:r>
    </w:p>
    <w:p w14:paraId="3517EFE4" w14:textId="77777777" w:rsidR="00A3507C" w:rsidRPr="00A3507C" w:rsidRDefault="00A3507C" w:rsidP="00A3507C">
      <w:pPr>
        <w:rPr>
          <w:rFonts w:cs="Arial"/>
          <w:sz w:val="22"/>
          <w:szCs w:val="20"/>
          <w:lang w:val="en-US"/>
        </w:rPr>
      </w:pPr>
      <w:r w:rsidRPr="00A3507C">
        <w:rPr>
          <w:rFonts w:cs="Arial"/>
          <w:sz w:val="22"/>
          <w:szCs w:val="20"/>
          <w:lang w:val="en-US"/>
        </w:rPr>
        <w:t xml:space="preserve">The first stage includes the determination of the main problem, i.e., incident reporting and escalation failures. The development of a </w:t>
      </w:r>
      <w:proofErr w:type="spellStart"/>
      <w:r w:rsidRPr="00A3507C">
        <w:rPr>
          <w:rFonts w:cs="Arial"/>
          <w:sz w:val="22"/>
          <w:szCs w:val="20"/>
          <w:lang w:val="en-US"/>
        </w:rPr>
        <w:t>standardised</w:t>
      </w:r>
      <w:proofErr w:type="spellEnd"/>
      <w:r w:rsidRPr="00A3507C">
        <w:rPr>
          <w:rFonts w:cs="Arial"/>
          <w:sz w:val="22"/>
          <w:szCs w:val="20"/>
          <w:lang w:val="en-US"/>
        </w:rPr>
        <w:t xml:space="preserve"> digital incident reporting system with the possibility to capture and escalate data in real-time would be an appropriate intervention. It should devise clear procedures of reporting and accountability where the issues should be recorded and addressed on a regular basis.</w:t>
      </w:r>
    </w:p>
    <w:p w14:paraId="725ADE1C" w14:textId="77777777" w:rsidR="00A3507C" w:rsidRPr="00A43FCE" w:rsidRDefault="00A3507C" w:rsidP="00A43FCE">
      <w:pPr>
        <w:spacing w:after="0"/>
        <w:ind w:left="720"/>
        <w:rPr>
          <w:rFonts w:cs="Arial"/>
          <w:b/>
          <w:bCs/>
          <w:sz w:val="22"/>
          <w:szCs w:val="20"/>
          <w:u w:val="single"/>
          <w:lang w:val="en-US"/>
        </w:rPr>
      </w:pPr>
      <w:r w:rsidRPr="00A43FCE">
        <w:rPr>
          <w:rFonts w:cs="Arial"/>
          <w:b/>
          <w:bCs/>
          <w:sz w:val="22"/>
          <w:szCs w:val="20"/>
          <w:u w:val="single"/>
          <w:lang w:val="en-US"/>
        </w:rPr>
        <w:t>Do:</w:t>
      </w:r>
    </w:p>
    <w:p w14:paraId="2307C1AC" w14:textId="44DB750D" w:rsidR="00A3507C" w:rsidRPr="00A3507C" w:rsidRDefault="00A3507C" w:rsidP="00A3507C">
      <w:pPr>
        <w:rPr>
          <w:rFonts w:cs="Arial"/>
          <w:sz w:val="22"/>
          <w:szCs w:val="20"/>
          <w:lang w:val="en-US"/>
        </w:rPr>
      </w:pPr>
      <w:r w:rsidRPr="00A3507C">
        <w:rPr>
          <w:rFonts w:cs="Arial"/>
          <w:sz w:val="22"/>
          <w:szCs w:val="20"/>
          <w:lang w:val="en-US"/>
        </w:rPr>
        <w:t>Piloting the intervention in a particular unit should occur in one of them, i.e. in the neonatal department, to determine the feasibility and challenges the intervention might face. At this stage, employees are to be trained on how to operate the system and learn the reporting process</w:t>
      </w:r>
      <w:r w:rsidR="00CD44B7">
        <w:rPr>
          <w:rFonts w:cs="Arial"/>
          <w:sz w:val="22"/>
          <w:szCs w:val="20"/>
          <w:lang w:val="en-US"/>
        </w:rPr>
        <w:t xml:space="preserve"> </w:t>
      </w:r>
      <w:r w:rsidR="00CD44B7" w:rsidRPr="00CD44B7">
        <w:rPr>
          <w:rFonts w:cs="Arial"/>
          <w:sz w:val="22"/>
          <w:szCs w:val="20"/>
        </w:rPr>
        <w:t xml:space="preserve">(Zhang, </w:t>
      </w:r>
      <w:proofErr w:type="spellStart"/>
      <w:r w:rsidR="00CD44B7" w:rsidRPr="00CD44B7">
        <w:rPr>
          <w:rFonts w:cs="Arial"/>
          <w:sz w:val="22"/>
          <w:szCs w:val="20"/>
        </w:rPr>
        <w:t>Cosimetti</w:t>
      </w:r>
      <w:proofErr w:type="spellEnd"/>
      <w:r w:rsidR="00CD44B7" w:rsidRPr="00CD44B7">
        <w:rPr>
          <w:rFonts w:cs="Arial"/>
          <w:sz w:val="22"/>
          <w:szCs w:val="20"/>
        </w:rPr>
        <w:t xml:space="preserve"> and Montagu, 2025)</w:t>
      </w:r>
      <w:r w:rsidRPr="00A3507C">
        <w:rPr>
          <w:rFonts w:cs="Arial"/>
          <w:sz w:val="22"/>
          <w:szCs w:val="20"/>
          <w:lang w:val="en-US"/>
        </w:rPr>
        <w:t>.</w:t>
      </w:r>
    </w:p>
    <w:p w14:paraId="7B9DB3BB" w14:textId="77777777" w:rsidR="00A3507C" w:rsidRPr="00A43FCE" w:rsidRDefault="00A3507C" w:rsidP="00A43FCE">
      <w:pPr>
        <w:spacing w:after="0"/>
        <w:ind w:left="720"/>
        <w:rPr>
          <w:rFonts w:cs="Arial"/>
          <w:b/>
          <w:bCs/>
          <w:sz w:val="22"/>
          <w:szCs w:val="20"/>
          <w:u w:val="single"/>
          <w:lang w:val="en-US"/>
        </w:rPr>
      </w:pPr>
      <w:r w:rsidRPr="00A43FCE">
        <w:rPr>
          <w:rFonts w:cs="Arial"/>
          <w:b/>
          <w:bCs/>
          <w:sz w:val="22"/>
          <w:szCs w:val="20"/>
          <w:u w:val="single"/>
          <w:lang w:val="en-US"/>
        </w:rPr>
        <w:t>Study:</w:t>
      </w:r>
    </w:p>
    <w:p w14:paraId="6C04FB60" w14:textId="460ABBE9" w:rsidR="00A3507C" w:rsidRPr="00A3507C" w:rsidRDefault="00A3507C" w:rsidP="00A3507C">
      <w:pPr>
        <w:rPr>
          <w:rFonts w:cs="Arial"/>
          <w:sz w:val="22"/>
          <w:szCs w:val="20"/>
          <w:lang w:val="en-US"/>
        </w:rPr>
      </w:pPr>
      <w:r w:rsidRPr="00A3507C">
        <w:rPr>
          <w:rFonts w:cs="Arial"/>
          <w:sz w:val="22"/>
          <w:szCs w:val="20"/>
          <w:lang w:val="en-US"/>
        </w:rPr>
        <w:t>Key performance indicators should be used to assess the effectiveness of the intervention, such as reporting rates, response times, and the number of incidents detected</w:t>
      </w:r>
      <w:r w:rsidR="005C0197">
        <w:rPr>
          <w:rFonts w:cs="Arial"/>
          <w:sz w:val="22"/>
          <w:szCs w:val="20"/>
          <w:lang w:val="en-US"/>
        </w:rPr>
        <w:t xml:space="preserve"> </w:t>
      </w:r>
      <w:r w:rsidR="005C0197" w:rsidRPr="005C0197">
        <w:rPr>
          <w:rFonts w:cs="Arial"/>
          <w:sz w:val="22"/>
          <w:szCs w:val="20"/>
        </w:rPr>
        <w:t>(</w:t>
      </w:r>
      <w:proofErr w:type="spellStart"/>
      <w:r w:rsidR="005C0197" w:rsidRPr="005C0197">
        <w:rPr>
          <w:rFonts w:cs="Arial"/>
          <w:sz w:val="22"/>
          <w:szCs w:val="20"/>
        </w:rPr>
        <w:t>Oyeneyin</w:t>
      </w:r>
      <w:proofErr w:type="spellEnd"/>
      <w:r w:rsidR="005C0197" w:rsidRPr="005C0197">
        <w:rPr>
          <w:rFonts w:cs="Arial"/>
          <w:sz w:val="22"/>
          <w:szCs w:val="20"/>
        </w:rPr>
        <w:t xml:space="preserve"> et al., 2024)</w:t>
      </w:r>
      <w:r w:rsidRPr="00A3507C">
        <w:rPr>
          <w:rFonts w:cs="Arial"/>
          <w:sz w:val="22"/>
          <w:szCs w:val="20"/>
          <w:lang w:val="en-US"/>
        </w:rPr>
        <w:t>. There are indications that systematic review is crucial to comprehending the effect of quality improvement interventions and to correct interventions (Boot et al., 2023).</w:t>
      </w:r>
    </w:p>
    <w:p w14:paraId="162C8831" w14:textId="77777777" w:rsidR="00A3507C" w:rsidRPr="00A43FCE" w:rsidRDefault="00A3507C" w:rsidP="00A43FCE">
      <w:pPr>
        <w:spacing w:after="0"/>
        <w:ind w:left="720"/>
        <w:rPr>
          <w:rFonts w:cs="Arial"/>
          <w:b/>
          <w:bCs/>
          <w:sz w:val="22"/>
          <w:szCs w:val="20"/>
          <w:u w:val="single"/>
          <w:lang w:val="en-US"/>
        </w:rPr>
      </w:pPr>
      <w:r w:rsidRPr="00A43FCE">
        <w:rPr>
          <w:rFonts w:cs="Arial"/>
          <w:b/>
          <w:bCs/>
          <w:sz w:val="22"/>
          <w:szCs w:val="20"/>
          <w:u w:val="single"/>
          <w:lang w:val="en-US"/>
        </w:rPr>
        <w:t>Act:</w:t>
      </w:r>
    </w:p>
    <w:p w14:paraId="45716C15" w14:textId="3531C8D4" w:rsidR="00A3507C" w:rsidRDefault="00A3507C" w:rsidP="00A3507C">
      <w:pPr>
        <w:rPr>
          <w:rFonts w:cs="Arial"/>
          <w:sz w:val="22"/>
          <w:szCs w:val="20"/>
          <w:lang w:val="en-US"/>
        </w:rPr>
      </w:pPr>
      <w:r w:rsidRPr="00A3507C">
        <w:rPr>
          <w:rFonts w:cs="Arial"/>
          <w:sz w:val="22"/>
          <w:szCs w:val="20"/>
          <w:lang w:val="en-US"/>
        </w:rPr>
        <w:lastRenderedPageBreak/>
        <w:t xml:space="preserve">According to the results, some changes need to be implemented prior to scaling the intervention to the wider </w:t>
      </w:r>
      <w:proofErr w:type="spellStart"/>
      <w:r w:rsidRPr="00A3507C">
        <w:rPr>
          <w:rFonts w:cs="Arial"/>
          <w:sz w:val="22"/>
          <w:szCs w:val="20"/>
          <w:lang w:val="en-US"/>
        </w:rPr>
        <w:t>organisation</w:t>
      </w:r>
      <w:proofErr w:type="spellEnd"/>
      <w:r w:rsidRPr="00A3507C">
        <w:rPr>
          <w:rFonts w:cs="Arial"/>
          <w:sz w:val="22"/>
          <w:szCs w:val="20"/>
          <w:lang w:val="en-US"/>
        </w:rPr>
        <w:t>. Constant observation is necessary to maintain prolonged enhancement and adjustment with time.</w:t>
      </w:r>
      <w:r w:rsidR="0039753B">
        <w:rPr>
          <w:rFonts w:cs="Arial"/>
          <w:sz w:val="22"/>
          <w:szCs w:val="20"/>
          <w:lang w:val="en-US"/>
        </w:rPr>
        <w:t xml:space="preserve"> </w:t>
      </w:r>
    </w:p>
    <w:p w14:paraId="52FEEDE7" w14:textId="35B7BEE8" w:rsidR="0062421F" w:rsidRDefault="0062421F" w:rsidP="00A3507C">
      <w:pPr>
        <w:rPr>
          <w:rFonts w:cs="Arial"/>
          <w:sz w:val="22"/>
          <w:szCs w:val="20"/>
          <w:lang w:val="en-US"/>
        </w:rPr>
      </w:pPr>
      <w:r w:rsidRPr="0062421F">
        <w:rPr>
          <w:rFonts w:cs="Arial"/>
          <w:sz w:val="22"/>
          <w:szCs w:val="20"/>
          <w:lang w:val="en-US"/>
        </w:rPr>
        <w:t>The following circle illustrates the implementation process to show the structured improvement process.</w:t>
      </w:r>
    </w:p>
    <w:p w14:paraId="21C99D0B" w14:textId="60FB129C" w:rsidR="0062421F" w:rsidRDefault="0062421F" w:rsidP="0062421F">
      <w:pPr>
        <w:jc w:val="center"/>
        <w:rPr>
          <w:rFonts w:cs="Arial"/>
          <w:sz w:val="22"/>
          <w:szCs w:val="20"/>
          <w:lang w:val="en-US"/>
        </w:rPr>
      </w:pPr>
      <w:r>
        <w:rPr>
          <w:rFonts w:cs="Arial"/>
          <w:noProof/>
          <w:sz w:val="22"/>
          <w:szCs w:val="20"/>
          <w:lang w:val="en-US" w:eastAsia="zh-CN"/>
        </w:rPr>
        <w:drawing>
          <wp:inline distT="0" distB="0" distL="0" distR="0" wp14:anchorId="2A47C33F" wp14:editId="1927083A">
            <wp:extent cx="2657475" cy="233058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663969" cy="2336282"/>
                    </a:xfrm>
                    <a:prstGeom prst="rect">
                      <a:avLst/>
                    </a:prstGeom>
                    <a:noFill/>
                    <a:ln>
                      <a:noFill/>
                    </a:ln>
                    <a:extLst>
                      <a:ext uri="{53640926-AAD7-44D8-BBD7-CCE9431645EC}">
                        <a14:shadowObscured xmlns:a14="http://schemas.microsoft.com/office/drawing/2010/main"/>
                      </a:ext>
                    </a:extLst>
                  </pic:spPr>
                </pic:pic>
              </a:graphicData>
            </a:graphic>
          </wp:inline>
        </w:drawing>
      </w:r>
    </w:p>
    <w:p w14:paraId="6B35ADE6" w14:textId="2E9A2BAC" w:rsidR="0062421F" w:rsidRPr="00A3507C" w:rsidRDefault="00B96FD9" w:rsidP="0062421F">
      <w:pPr>
        <w:jc w:val="center"/>
        <w:rPr>
          <w:rFonts w:cs="Arial"/>
          <w:sz w:val="22"/>
          <w:szCs w:val="20"/>
          <w:lang w:val="en-US"/>
        </w:rPr>
      </w:pPr>
      <w:r w:rsidRPr="00B96FD9">
        <w:rPr>
          <w:rFonts w:cs="Arial"/>
          <w:sz w:val="22"/>
          <w:szCs w:val="20"/>
        </w:rPr>
        <w:t>Figure</w:t>
      </w:r>
      <w:r w:rsidR="00A43FCE">
        <w:rPr>
          <w:rFonts w:cs="Arial"/>
          <w:sz w:val="22"/>
          <w:szCs w:val="20"/>
        </w:rPr>
        <w:t xml:space="preserve"> 3</w:t>
      </w:r>
      <w:r w:rsidRPr="00B96FD9">
        <w:rPr>
          <w:rFonts w:cs="Arial"/>
          <w:sz w:val="22"/>
          <w:szCs w:val="20"/>
        </w:rPr>
        <w:t>: Plan-Do-Study-Act (PDSA) Cycle for Service Improvement Implementation</w:t>
      </w:r>
      <w:r w:rsidR="00A43FCE">
        <w:rPr>
          <w:rFonts w:cs="Arial"/>
          <w:sz w:val="22"/>
          <w:szCs w:val="20"/>
        </w:rPr>
        <w:t xml:space="preserve"> </w:t>
      </w:r>
      <w:r w:rsidR="00A43FCE">
        <w:t>(Self-Made)</w:t>
      </w:r>
    </w:p>
    <w:p w14:paraId="2B4C48E2" w14:textId="77777777" w:rsidR="00A3507C" w:rsidRPr="00B12267" w:rsidRDefault="00A3507C" w:rsidP="009C2809">
      <w:pPr>
        <w:pStyle w:val="Heading2"/>
      </w:pPr>
      <w:bookmarkStart w:id="59" w:name="_Toc226983551"/>
      <w:bookmarkStart w:id="60" w:name="_Toc226983577"/>
      <w:bookmarkStart w:id="61" w:name="_Toc226992482"/>
      <w:r w:rsidRPr="00B12267">
        <w:t>3.3 Lean Method</w:t>
      </w:r>
      <w:bookmarkEnd w:id="59"/>
      <w:bookmarkEnd w:id="60"/>
      <w:bookmarkEnd w:id="61"/>
    </w:p>
    <w:p w14:paraId="2894C51E" w14:textId="00BD8E2A" w:rsidR="00A3507C" w:rsidRPr="00A3507C" w:rsidRDefault="00A3507C" w:rsidP="00A3507C">
      <w:pPr>
        <w:rPr>
          <w:rFonts w:cs="Arial"/>
          <w:sz w:val="22"/>
          <w:szCs w:val="20"/>
          <w:lang w:val="en-US"/>
        </w:rPr>
      </w:pPr>
      <w:r w:rsidRPr="00A3507C">
        <w:rPr>
          <w:rFonts w:cs="Arial"/>
          <w:sz w:val="22"/>
          <w:szCs w:val="20"/>
          <w:lang w:val="en-US"/>
        </w:rPr>
        <w:t>Lean can assist healthcare operations in getting rid of inefficiencies and improving workflow. The lean principles may help to make the reporting systems more efficient, reduce the time lag in the decision-making process, and avoid the unnecessary steps of issue escalation</w:t>
      </w:r>
      <w:r w:rsidR="008908C7">
        <w:rPr>
          <w:rFonts w:cs="Arial"/>
          <w:sz w:val="22"/>
          <w:szCs w:val="20"/>
          <w:lang w:val="en-US"/>
        </w:rPr>
        <w:t xml:space="preserve"> </w:t>
      </w:r>
      <w:r w:rsidR="008908C7" w:rsidRPr="008908C7">
        <w:rPr>
          <w:rFonts w:cs="Arial"/>
          <w:sz w:val="22"/>
          <w:szCs w:val="20"/>
        </w:rPr>
        <w:t>(Jeffery et al., 2023)</w:t>
      </w:r>
      <w:r w:rsidRPr="00A3507C">
        <w:rPr>
          <w:rFonts w:cs="Arial"/>
          <w:sz w:val="22"/>
          <w:szCs w:val="20"/>
          <w:lang w:val="en-US"/>
        </w:rPr>
        <w:t>.</w:t>
      </w:r>
    </w:p>
    <w:p w14:paraId="6E5AE085" w14:textId="2EA3FCFB" w:rsidR="00A3507C" w:rsidRPr="00A3507C" w:rsidRDefault="00A3507C" w:rsidP="00A3507C">
      <w:pPr>
        <w:rPr>
          <w:rFonts w:cs="Arial"/>
          <w:sz w:val="22"/>
          <w:szCs w:val="20"/>
          <w:lang w:val="en-US"/>
        </w:rPr>
      </w:pPr>
      <w:r w:rsidRPr="00A3507C">
        <w:rPr>
          <w:rFonts w:cs="Arial"/>
          <w:sz w:val="22"/>
          <w:szCs w:val="20"/>
          <w:lang w:val="en-US"/>
        </w:rPr>
        <w:t>Patient safety can be enhanced by making communication simpler and preventing unnecessary duplication of documentation. Solutions built on lean enhance service delivery and decrease delays in patient care, particularly in complex healthcare settings (</w:t>
      </w:r>
      <w:r w:rsidR="00766799" w:rsidRPr="00766799">
        <w:rPr>
          <w:rFonts w:cs="Arial"/>
          <w:sz w:val="22"/>
          <w:szCs w:val="20"/>
        </w:rPr>
        <w:t>Smith, 2023</w:t>
      </w:r>
      <w:r w:rsidR="00766799">
        <w:rPr>
          <w:rFonts w:cs="Arial"/>
          <w:sz w:val="22"/>
          <w:szCs w:val="20"/>
          <w:lang w:val="en-US"/>
        </w:rPr>
        <w:t xml:space="preserve">; </w:t>
      </w:r>
      <w:r w:rsidRPr="00A3507C">
        <w:rPr>
          <w:rFonts w:cs="Arial"/>
          <w:sz w:val="22"/>
          <w:szCs w:val="20"/>
          <w:lang w:val="en-US"/>
        </w:rPr>
        <w:t xml:space="preserve">Rollinson et al., 2021). </w:t>
      </w:r>
      <w:proofErr w:type="spellStart"/>
      <w:r w:rsidRPr="00A3507C">
        <w:rPr>
          <w:rFonts w:cs="Arial"/>
          <w:sz w:val="22"/>
          <w:szCs w:val="20"/>
          <w:lang w:val="en-US"/>
        </w:rPr>
        <w:t>Organisations</w:t>
      </w:r>
      <w:proofErr w:type="spellEnd"/>
      <w:r w:rsidRPr="00A3507C">
        <w:rPr>
          <w:rFonts w:cs="Arial"/>
          <w:sz w:val="22"/>
          <w:szCs w:val="20"/>
          <w:lang w:val="en-US"/>
        </w:rPr>
        <w:t xml:space="preserve"> need to focus on value-added activities to improve efficiency and patient outcomes.</w:t>
      </w:r>
    </w:p>
    <w:p w14:paraId="2F64393E" w14:textId="77777777" w:rsidR="00A3507C" w:rsidRPr="00B12267" w:rsidRDefault="00A3507C" w:rsidP="009C2809">
      <w:pPr>
        <w:pStyle w:val="Heading2"/>
      </w:pPr>
      <w:bookmarkStart w:id="62" w:name="_Toc226983552"/>
      <w:bookmarkStart w:id="63" w:name="_Toc226983578"/>
      <w:bookmarkStart w:id="64" w:name="_Toc226992483"/>
      <w:r w:rsidRPr="00B12267">
        <w:t>3.4 Intervention of training and staff</w:t>
      </w:r>
      <w:bookmarkEnd w:id="62"/>
      <w:bookmarkEnd w:id="63"/>
      <w:bookmarkEnd w:id="64"/>
    </w:p>
    <w:p w14:paraId="32F4BACB" w14:textId="77777777" w:rsidR="00A3507C" w:rsidRPr="00A3507C" w:rsidRDefault="00A3507C" w:rsidP="00A3507C">
      <w:pPr>
        <w:rPr>
          <w:rFonts w:cs="Arial"/>
          <w:sz w:val="22"/>
          <w:szCs w:val="20"/>
          <w:lang w:val="en-US"/>
        </w:rPr>
      </w:pPr>
      <w:r w:rsidRPr="00A3507C">
        <w:rPr>
          <w:rFonts w:cs="Arial"/>
          <w:sz w:val="22"/>
          <w:szCs w:val="20"/>
          <w:lang w:val="en-US"/>
        </w:rPr>
        <w:t>The failure in quality was explained by the shortage of staff and low training. Such problems demand targeted measures to enhance the confidence of staff, competency, and involvement.</w:t>
      </w:r>
    </w:p>
    <w:p w14:paraId="71AECB38" w14:textId="6F1C77B7" w:rsidR="00A3507C" w:rsidRPr="00A3507C" w:rsidRDefault="00A3507C" w:rsidP="00A3507C">
      <w:pPr>
        <w:rPr>
          <w:rFonts w:cs="Arial"/>
          <w:sz w:val="22"/>
          <w:szCs w:val="20"/>
          <w:lang w:val="en-US"/>
        </w:rPr>
      </w:pPr>
      <w:r w:rsidRPr="00A3507C">
        <w:rPr>
          <w:rFonts w:cs="Arial"/>
          <w:sz w:val="22"/>
          <w:szCs w:val="20"/>
          <w:lang w:val="en-US"/>
        </w:rPr>
        <w:t xml:space="preserve">One, comprehensive training </w:t>
      </w:r>
      <w:proofErr w:type="spellStart"/>
      <w:r w:rsidRPr="00A3507C">
        <w:rPr>
          <w:rFonts w:cs="Arial"/>
          <w:sz w:val="22"/>
          <w:szCs w:val="20"/>
          <w:lang w:val="en-US"/>
        </w:rPr>
        <w:t>programmes</w:t>
      </w:r>
      <w:proofErr w:type="spellEnd"/>
      <w:r w:rsidRPr="00A3507C">
        <w:rPr>
          <w:rFonts w:cs="Arial"/>
          <w:sz w:val="22"/>
          <w:szCs w:val="20"/>
          <w:lang w:val="en-US"/>
        </w:rPr>
        <w:t xml:space="preserve"> would enhance the understanding of patient safety, event reporting and risk management among staff. The high standards of care should be </w:t>
      </w:r>
      <w:r w:rsidRPr="00A3507C">
        <w:rPr>
          <w:rFonts w:cs="Arial"/>
          <w:sz w:val="22"/>
          <w:szCs w:val="20"/>
          <w:lang w:val="en-US"/>
        </w:rPr>
        <w:lastRenderedPageBreak/>
        <w:t>maintained by continuous professional development to be prepared to identify and deal with safety problems</w:t>
      </w:r>
      <w:r w:rsidR="00D55DBF">
        <w:rPr>
          <w:rFonts w:cs="Arial"/>
          <w:sz w:val="22"/>
          <w:szCs w:val="20"/>
          <w:lang w:val="en-US"/>
        </w:rPr>
        <w:t xml:space="preserve"> </w:t>
      </w:r>
      <w:r w:rsidR="00D55DBF" w:rsidRPr="00D55DBF">
        <w:rPr>
          <w:rFonts w:cs="Arial"/>
          <w:sz w:val="22"/>
          <w:szCs w:val="20"/>
        </w:rPr>
        <w:t>(Baillie et al., 2025)</w:t>
      </w:r>
      <w:r w:rsidRPr="00A3507C">
        <w:rPr>
          <w:rFonts w:cs="Arial"/>
          <w:sz w:val="22"/>
          <w:szCs w:val="20"/>
          <w:lang w:val="en-US"/>
        </w:rPr>
        <w:t>.</w:t>
      </w:r>
    </w:p>
    <w:p w14:paraId="60CD4FC3" w14:textId="24F2E7B7" w:rsidR="00A3507C" w:rsidRPr="00A3507C" w:rsidRDefault="00A3507C" w:rsidP="00A3507C">
      <w:pPr>
        <w:rPr>
          <w:rFonts w:cs="Arial"/>
          <w:sz w:val="22"/>
          <w:szCs w:val="20"/>
          <w:lang w:val="en-US"/>
        </w:rPr>
      </w:pPr>
      <w:r w:rsidRPr="00A3507C">
        <w:rPr>
          <w:rFonts w:cs="Arial"/>
          <w:sz w:val="22"/>
          <w:szCs w:val="20"/>
          <w:lang w:val="en-US"/>
        </w:rPr>
        <w:t xml:space="preserve">Second, leadership training must enhance decision-making, responsibility and supervision of </w:t>
      </w:r>
      <w:proofErr w:type="spellStart"/>
      <w:r w:rsidRPr="00A3507C">
        <w:rPr>
          <w:rFonts w:cs="Arial"/>
          <w:sz w:val="22"/>
          <w:szCs w:val="20"/>
          <w:lang w:val="en-US"/>
        </w:rPr>
        <w:t>organisations</w:t>
      </w:r>
      <w:proofErr w:type="spellEnd"/>
      <w:r w:rsidRPr="00A3507C">
        <w:rPr>
          <w:rFonts w:cs="Arial"/>
          <w:sz w:val="22"/>
          <w:szCs w:val="20"/>
          <w:lang w:val="en-US"/>
        </w:rPr>
        <w:t>. It takes a great leader to promote safety and tackle issues at hand in real time</w:t>
      </w:r>
      <w:r w:rsidR="00DA5C18">
        <w:rPr>
          <w:rFonts w:cs="Arial"/>
          <w:sz w:val="22"/>
          <w:szCs w:val="20"/>
          <w:lang w:val="en-US"/>
        </w:rPr>
        <w:t xml:space="preserve"> </w:t>
      </w:r>
      <w:r w:rsidR="00DA5C18" w:rsidRPr="00DA5C18">
        <w:rPr>
          <w:rFonts w:cs="Arial"/>
          <w:sz w:val="22"/>
          <w:szCs w:val="20"/>
        </w:rPr>
        <w:t>(Tyler et al., 2023)</w:t>
      </w:r>
      <w:r w:rsidRPr="00A3507C">
        <w:rPr>
          <w:rFonts w:cs="Arial"/>
          <w:sz w:val="22"/>
          <w:szCs w:val="20"/>
          <w:lang w:val="en-US"/>
        </w:rPr>
        <w:t>.</w:t>
      </w:r>
      <w:r w:rsidR="00DA5C18">
        <w:rPr>
          <w:rFonts w:cs="Arial"/>
          <w:sz w:val="22"/>
          <w:szCs w:val="20"/>
          <w:lang w:val="en-US"/>
        </w:rPr>
        <w:t xml:space="preserve"> </w:t>
      </w:r>
      <w:r w:rsidRPr="00A3507C">
        <w:rPr>
          <w:rFonts w:cs="Arial"/>
          <w:sz w:val="22"/>
          <w:szCs w:val="20"/>
          <w:lang w:val="en-US"/>
        </w:rPr>
        <w:t xml:space="preserve">Last but not least, firms should consider establishing a culture of speaking up where workers are able to air their concerns without any consequences. </w:t>
      </w:r>
      <w:proofErr w:type="spellStart"/>
      <w:r w:rsidRPr="00A3507C">
        <w:rPr>
          <w:rFonts w:cs="Arial"/>
          <w:sz w:val="22"/>
          <w:szCs w:val="20"/>
          <w:lang w:val="en-US"/>
        </w:rPr>
        <w:t>Delpino</w:t>
      </w:r>
      <w:proofErr w:type="spellEnd"/>
      <w:r w:rsidRPr="00A3507C">
        <w:rPr>
          <w:rFonts w:cs="Arial"/>
          <w:sz w:val="22"/>
          <w:szCs w:val="20"/>
          <w:lang w:val="en-US"/>
        </w:rPr>
        <w:t xml:space="preserve">, Lees-Deutsch, and Solanki (2023) argue that </w:t>
      </w:r>
      <w:proofErr w:type="spellStart"/>
      <w:r w:rsidRPr="00A3507C">
        <w:rPr>
          <w:rFonts w:cs="Arial"/>
          <w:sz w:val="22"/>
          <w:szCs w:val="20"/>
          <w:lang w:val="en-US"/>
        </w:rPr>
        <w:t>favourable</w:t>
      </w:r>
      <w:proofErr w:type="spellEnd"/>
      <w:r w:rsidRPr="00A3507C">
        <w:rPr>
          <w:rFonts w:cs="Arial"/>
          <w:sz w:val="22"/>
          <w:szCs w:val="20"/>
          <w:lang w:val="en-US"/>
        </w:rPr>
        <w:t xml:space="preserve"> </w:t>
      </w:r>
      <w:proofErr w:type="spellStart"/>
      <w:r w:rsidRPr="00A3507C">
        <w:rPr>
          <w:rFonts w:cs="Arial"/>
          <w:sz w:val="22"/>
          <w:szCs w:val="20"/>
          <w:lang w:val="en-US"/>
        </w:rPr>
        <w:t>organisational</w:t>
      </w:r>
      <w:proofErr w:type="spellEnd"/>
      <w:r w:rsidRPr="00A3507C">
        <w:rPr>
          <w:rFonts w:cs="Arial"/>
          <w:sz w:val="22"/>
          <w:szCs w:val="20"/>
          <w:lang w:val="en-US"/>
        </w:rPr>
        <w:t xml:space="preserve"> environments improve reporting practices and improve patient safety outcomes.</w:t>
      </w:r>
    </w:p>
    <w:p w14:paraId="3F79CFF2" w14:textId="77777777" w:rsidR="00A3507C" w:rsidRPr="00B12267" w:rsidRDefault="00A3507C" w:rsidP="009C2809">
      <w:pPr>
        <w:pStyle w:val="Heading2"/>
      </w:pPr>
      <w:bookmarkStart w:id="65" w:name="_Toc226983553"/>
      <w:bookmarkStart w:id="66" w:name="_Toc226983579"/>
      <w:bookmarkStart w:id="67" w:name="_Toc226992484"/>
      <w:r w:rsidRPr="00B12267">
        <w:t>3.5 Digital and System Improvements</w:t>
      </w:r>
      <w:bookmarkEnd w:id="65"/>
      <w:bookmarkEnd w:id="66"/>
      <w:bookmarkEnd w:id="67"/>
    </w:p>
    <w:p w14:paraId="3F2B442A" w14:textId="3E082E11" w:rsidR="00A3507C" w:rsidRPr="00A3507C" w:rsidRDefault="00A3507C" w:rsidP="00A3507C">
      <w:pPr>
        <w:rPr>
          <w:rFonts w:cs="Arial"/>
          <w:sz w:val="22"/>
          <w:szCs w:val="20"/>
          <w:lang w:val="en-US"/>
        </w:rPr>
      </w:pPr>
      <w:r w:rsidRPr="00A3507C">
        <w:rPr>
          <w:rFonts w:cs="Arial"/>
          <w:sz w:val="22"/>
          <w:szCs w:val="20"/>
          <w:lang w:val="en-US"/>
        </w:rPr>
        <w:t>Digital technology will help enhance patient safety and organisational efficiency. Electronic patient records (EPRs) and interconnected systems that contain patient data allow access to patient information in real-time, enhancing clinical decision-making and coordination of care</w:t>
      </w:r>
      <w:r w:rsidR="0030175C">
        <w:rPr>
          <w:rFonts w:cs="Arial"/>
          <w:sz w:val="22"/>
          <w:szCs w:val="20"/>
          <w:lang w:val="en-US"/>
        </w:rPr>
        <w:t xml:space="preserve"> </w:t>
      </w:r>
      <w:r w:rsidR="0030175C" w:rsidRPr="0030175C">
        <w:rPr>
          <w:rFonts w:cs="Arial"/>
          <w:sz w:val="22"/>
          <w:szCs w:val="20"/>
        </w:rPr>
        <w:t>(Reidy et al., 2025)</w:t>
      </w:r>
      <w:r w:rsidRPr="00A3507C">
        <w:rPr>
          <w:rFonts w:cs="Arial"/>
          <w:sz w:val="22"/>
          <w:szCs w:val="20"/>
          <w:lang w:val="en-US"/>
        </w:rPr>
        <w:t>.</w:t>
      </w:r>
    </w:p>
    <w:p w14:paraId="79E2E382" w14:textId="47F3C394" w:rsidR="00A3507C" w:rsidRPr="00A3507C" w:rsidRDefault="00A3507C" w:rsidP="00A3507C">
      <w:pPr>
        <w:rPr>
          <w:rFonts w:cs="Arial"/>
          <w:sz w:val="22"/>
          <w:szCs w:val="20"/>
          <w:lang w:val="en-US"/>
        </w:rPr>
      </w:pPr>
      <w:r w:rsidRPr="00A3507C">
        <w:rPr>
          <w:rFonts w:cs="Arial"/>
          <w:sz w:val="22"/>
          <w:szCs w:val="20"/>
          <w:lang w:val="en-US"/>
        </w:rPr>
        <w:t>Departments can also use data-sharing technologies to share information and maintain important information during care transfers. Real-time monitoring technologies may be employed to detect abnormal patient outcomes and thus early risk detection</w:t>
      </w:r>
      <w:r w:rsidR="005143DD">
        <w:rPr>
          <w:rFonts w:cs="Arial"/>
          <w:sz w:val="22"/>
          <w:szCs w:val="20"/>
          <w:lang w:val="en-US"/>
        </w:rPr>
        <w:t xml:space="preserve"> </w:t>
      </w:r>
      <w:r w:rsidR="005143DD" w:rsidRPr="005143DD">
        <w:rPr>
          <w:rFonts w:cs="Arial"/>
          <w:sz w:val="22"/>
          <w:szCs w:val="20"/>
        </w:rPr>
        <w:t>(</w:t>
      </w:r>
      <w:proofErr w:type="spellStart"/>
      <w:r w:rsidR="005143DD" w:rsidRPr="005143DD">
        <w:rPr>
          <w:rFonts w:cs="Arial"/>
          <w:sz w:val="22"/>
          <w:szCs w:val="20"/>
        </w:rPr>
        <w:t>Salway</w:t>
      </w:r>
      <w:proofErr w:type="spellEnd"/>
      <w:r w:rsidR="005143DD" w:rsidRPr="005143DD">
        <w:rPr>
          <w:rFonts w:cs="Arial"/>
          <w:sz w:val="22"/>
          <w:szCs w:val="20"/>
        </w:rPr>
        <w:t xml:space="preserve"> et al., 2024)</w:t>
      </w:r>
      <w:r w:rsidRPr="00A3507C">
        <w:rPr>
          <w:rFonts w:cs="Arial"/>
          <w:sz w:val="22"/>
          <w:szCs w:val="20"/>
          <w:lang w:val="en-US"/>
        </w:rPr>
        <w:t>.</w:t>
      </w:r>
    </w:p>
    <w:p w14:paraId="103EF3C8" w14:textId="77777777" w:rsidR="00A3507C" w:rsidRPr="00A3507C" w:rsidRDefault="00A3507C" w:rsidP="00A3507C">
      <w:pPr>
        <w:rPr>
          <w:rFonts w:cs="Arial"/>
          <w:sz w:val="22"/>
          <w:szCs w:val="20"/>
          <w:lang w:val="en-US"/>
        </w:rPr>
      </w:pPr>
      <w:r w:rsidRPr="00A3507C">
        <w:rPr>
          <w:rFonts w:cs="Arial"/>
          <w:sz w:val="22"/>
          <w:szCs w:val="20"/>
          <w:lang w:val="en-US"/>
        </w:rPr>
        <w:t>Digital innovations enhance patient safety by increasing the accuracy of the information, reducing mistakes, and proactively managing risk (Camacho et al., 2024). It is important to invest in digital infrastructure in order to enhance service quality.</w:t>
      </w:r>
    </w:p>
    <w:p w14:paraId="5A1AF561" w14:textId="77777777" w:rsidR="00A3507C" w:rsidRPr="00B12267" w:rsidRDefault="00A3507C" w:rsidP="009C2809">
      <w:pPr>
        <w:pStyle w:val="Heading2"/>
      </w:pPr>
      <w:bookmarkStart w:id="68" w:name="_Toc226983554"/>
      <w:bookmarkStart w:id="69" w:name="_Toc226983580"/>
      <w:bookmarkStart w:id="70" w:name="_Toc226992485"/>
      <w:r w:rsidRPr="00B12267">
        <w:t>3.6 Strengthening Governance and Policy</w:t>
      </w:r>
      <w:bookmarkEnd w:id="68"/>
      <w:bookmarkEnd w:id="69"/>
      <w:bookmarkEnd w:id="70"/>
    </w:p>
    <w:p w14:paraId="57446D24" w14:textId="77777777" w:rsidR="00A3507C" w:rsidRPr="00A3507C" w:rsidRDefault="00A3507C" w:rsidP="00A3507C">
      <w:pPr>
        <w:rPr>
          <w:rFonts w:cs="Arial"/>
          <w:sz w:val="22"/>
          <w:szCs w:val="20"/>
          <w:lang w:val="en-US"/>
        </w:rPr>
      </w:pPr>
      <w:r w:rsidRPr="00A3507C">
        <w:rPr>
          <w:rFonts w:cs="Arial"/>
          <w:sz w:val="22"/>
          <w:szCs w:val="20"/>
          <w:lang w:val="en-US"/>
        </w:rPr>
        <w:t xml:space="preserve">Quality care and accountability entail effective mechanisms of governance. In order to manage patient safety concerns, </w:t>
      </w:r>
      <w:proofErr w:type="spellStart"/>
      <w:r w:rsidRPr="00A3507C">
        <w:rPr>
          <w:rFonts w:cs="Arial"/>
          <w:sz w:val="22"/>
          <w:szCs w:val="20"/>
          <w:lang w:val="en-US"/>
        </w:rPr>
        <w:t>organisations</w:t>
      </w:r>
      <w:proofErr w:type="spellEnd"/>
      <w:r w:rsidRPr="00A3507C">
        <w:rPr>
          <w:rFonts w:cs="Arial"/>
          <w:sz w:val="22"/>
          <w:szCs w:val="20"/>
          <w:lang w:val="en-US"/>
        </w:rPr>
        <w:t xml:space="preserve"> need to put in place roles, responsibilities and escalation procedures.</w:t>
      </w:r>
    </w:p>
    <w:p w14:paraId="771BF549" w14:textId="77777777" w:rsidR="00A3507C" w:rsidRPr="00A3507C" w:rsidRDefault="00A3507C" w:rsidP="00A3507C">
      <w:pPr>
        <w:rPr>
          <w:rFonts w:cs="Arial"/>
          <w:sz w:val="22"/>
          <w:szCs w:val="20"/>
          <w:lang w:val="en-US"/>
        </w:rPr>
      </w:pPr>
      <w:r w:rsidRPr="00A3507C">
        <w:rPr>
          <w:rFonts w:cs="Arial"/>
          <w:sz w:val="22"/>
          <w:szCs w:val="20"/>
          <w:lang w:val="en-US"/>
        </w:rPr>
        <w:t>The safety standards should be observed with the help of regular audits and monitoring performance analysis to reveal the points of improvement. These audits must be aided by transparent reporting systems, which record events and results.</w:t>
      </w:r>
    </w:p>
    <w:p w14:paraId="069DF15A" w14:textId="77777777" w:rsidR="00A3507C" w:rsidRPr="00A3507C" w:rsidRDefault="00A3507C" w:rsidP="00A3507C">
      <w:pPr>
        <w:rPr>
          <w:rFonts w:cs="Arial"/>
          <w:sz w:val="22"/>
          <w:szCs w:val="20"/>
          <w:lang w:val="en-US"/>
        </w:rPr>
      </w:pPr>
      <w:r w:rsidRPr="00A3507C">
        <w:rPr>
          <w:rFonts w:cs="Arial"/>
          <w:sz w:val="22"/>
          <w:szCs w:val="20"/>
          <w:lang w:val="en-US"/>
        </w:rPr>
        <w:t xml:space="preserve">Other external review mechanisms, such as regulatory audit and external reviews, can also ensure that </w:t>
      </w:r>
      <w:proofErr w:type="spellStart"/>
      <w:r w:rsidRPr="00A3507C">
        <w:rPr>
          <w:rFonts w:cs="Arial"/>
          <w:sz w:val="22"/>
          <w:szCs w:val="20"/>
          <w:lang w:val="en-US"/>
        </w:rPr>
        <w:t>organisations</w:t>
      </w:r>
      <w:proofErr w:type="spellEnd"/>
      <w:r w:rsidRPr="00A3507C">
        <w:rPr>
          <w:rFonts w:cs="Arial"/>
          <w:sz w:val="22"/>
          <w:szCs w:val="20"/>
          <w:lang w:val="en-US"/>
        </w:rPr>
        <w:t xml:space="preserve"> adhere to national safety standards. Studies show that effective governance mechanisms can be considered the key to averting safety events and promoting sustained improvement (Lalani et al., 2024).</w:t>
      </w:r>
    </w:p>
    <w:p w14:paraId="7440B8AC" w14:textId="77777777" w:rsidR="00A3507C" w:rsidRPr="00B12267" w:rsidRDefault="00A3507C" w:rsidP="009C2809">
      <w:pPr>
        <w:pStyle w:val="Heading2"/>
      </w:pPr>
      <w:bookmarkStart w:id="71" w:name="_Toc226983555"/>
      <w:bookmarkStart w:id="72" w:name="_Toc226983581"/>
      <w:bookmarkStart w:id="73" w:name="_Toc226992486"/>
      <w:r w:rsidRPr="00B12267">
        <w:lastRenderedPageBreak/>
        <w:t>3.7 Expect Results</w:t>
      </w:r>
      <w:bookmarkEnd w:id="71"/>
      <w:bookmarkEnd w:id="72"/>
      <w:bookmarkEnd w:id="73"/>
    </w:p>
    <w:p w14:paraId="71F99A6A" w14:textId="77777777" w:rsidR="00A3507C" w:rsidRPr="00A3507C" w:rsidRDefault="00A3507C" w:rsidP="00A3507C">
      <w:pPr>
        <w:rPr>
          <w:rFonts w:cs="Arial"/>
          <w:sz w:val="22"/>
          <w:szCs w:val="20"/>
          <w:lang w:val="en-US"/>
        </w:rPr>
      </w:pPr>
      <w:r w:rsidRPr="00A3507C">
        <w:rPr>
          <w:rFonts w:cs="Arial"/>
          <w:sz w:val="22"/>
          <w:szCs w:val="20"/>
          <w:lang w:val="en-US"/>
        </w:rPr>
        <w:t>These guidelines should improve the quality and safety of the service provided to the patients. Better reporting mechanisms and controls will be used to detect and control risks, decreasing the undesirable occurrences.</w:t>
      </w:r>
    </w:p>
    <w:p w14:paraId="0FA5BF22" w14:textId="142E6AD3" w:rsidR="00A3507C" w:rsidRDefault="00A3507C" w:rsidP="00A3507C">
      <w:pPr>
        <w:rPr>
          <w:rFonts w:cs="Arial"/>
          <w:sz w:val="22"/>
          <w:szCs w:val="20"/>
          <w:lang w:val="en-US"/>
        </w:rPr>
      </w:pPr>
      <w:r w:rsidRPr="00A3507C">
        <w:rPr>
          <w:rFonts w:cs="Arial"/>
          <w:sz w:val="22"/>
          <w:szCs w:val="20"/>
          <w:lang w:val="en-US"/>
        </w:rPr>
        <w:t xml:space="preserve">Digital technologies will enhance communication, accuracy of information and decision making, whereas workforce capacity and training will enhance clinical </w:t>
      </w:r>
      <w:proofErr w:type="spellStart"/>
      <w:r w:rsidRPr="00A3507C">
        <w:rPr>
          <w:rFonts w:cs="Arial"/>
          <w:sz w:val="22"/>
          <w:szCs w:val="20"/>
          <w:lang w:val="en-US"/>
        </w:rPr>
        <w:t>practise</w:t>
      </w:r>
      <w:proofErr w:type="spellEnd"/>
      <w:r w:rsidRPr="00A3507C">
        <w:rPr>
          <w:rFonts w:cs="Arial"/>
          <w:sz w:val="22"/>
          <w:szCs w:val="20"/>
          <w:lang w:val="en-US"/>
        </w:rPr>
        <w:t xml:space="preserve"> and safety. The measures will reduce the rates of incidents, improve patient outcomes, and make healthcare safer, more efficient, and responsive to patient demands.</w:t>
      </w:r>
      <w:r w:rsidR="00BB28AF">
        <w:rPr>
          <w:rFonts w:cs="Arial"/>
          <w:sz w:val="22"/>
          <w:szCs w:val="20"/>
          <w:lang w:val="en-US"/>
        </w:rPr>
        <w:t xml:space="preserve"> </w:t>
      </w:r>
      <w:r w:rsidR="00BB28AF" w:rsidRPr="00BB28AF">
        <w:rPr>
          <w:rFonts w:cs="Arial"/>
          <w:sz w:val="22"/>
          <w:szCs w:val="20"/>
          <w:lang w:val="en-US"/>
        </w:rPr>
        <w:t>In a bid to outline the recommended strategies and their likely impact, the table below outlines the key interventions.</w:t>
      </w:r>
    </w:p>
    <w:p w14:paraId="4463611F" w14:textId="6BAA6066" w:rsidR="00BB28AF" w:rsidRPr="0075373A" w:rsidRDefault="00BB28AF" w:rsidP="00A3507C">
      <w:pPr>
        <w:rPr>
          <w:rFonts w:cs="Arial"/>
          <w:i/>
          <w:sz w:val="22"/>
          <w:szCs w:val="20"/>
          <w:lang w:val="en-US"/>
        </w:rPr>
      </w:pPr>
      <w:r w:rsidRPr="0075373A">
        <w:rPr>
          <w:rFonts w:cs="Arial"/>
          <w:i/>
          <w:sz w:val="22"/>
          <w:szCs w:val="20"/>
        </w:rPr>
        <w:t>Table 2: Service Improvement Strategies, Implementation Actions, and Expected Outcomes</w:t>
      </w:r>
      <w:r w:rsidR="002B6338" w:rsidRPr="0075373A">
        <w:rPr>
          <w:rFonts w:cs="Arial"/>
          <w:i/>
          <w:sz w:val="22"/>
          <w:szCs w:val="20"/>
        </w:rPr>
        <w:t xml:space="preserve"> </w:t>
      </w:r>
      <w:r w:rsidR="002B6338" w:rsidRPr="0075373A">
        <w:rPr>
          <w:i/>
          <w:sz w:val="22"/>
        </w:rPr>
        <w:t>(Self-Made)</w:t>
      </w:r>
    </w:p>
    <w:p w14:paraId="202C56EF" w14:textId="5BDB5966" w:rsidR="00A3507C" w:rsidRPr="00D064E4" w:rsidRDefault="00437C84" w:rsidP="00D064E4">
      <w:pPr>
        <w:rPr>
          <w:rFonts w:cs="Arial"/>
          <w:sz w:val="22"/>
          <w:szCs w:val="20"/>
          <w:lang w:val="en-US"/>
        </w:rPr>
      </w:pPr>
      <w:r w:rsidRPr="00437C84">
        <w:rPr>
          <w:rFonts w:cs="Arial"/>
          <w:noProof/>
          <w:sz w:val="22"/>
          <w:szCs w:val="20"/>
          <w:lang w:val="en-US" w:eastAsia="zh-CN"/>
        </w:rPr>
        <w:drawing>
          <wp:inline distT="0" distB="0" distL="0" distR="0" wp14:anchorId="55B1457A" wp14:editId="2973F333">
            <wp:extent cx="5731510" cy="26949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94940"/>
                    </a:xfrm>
                    <a:prstGeom prst="rect">
                      <a:avLst/>
                    </a:prstGeom>
                  </pic:spPr>
                </pic:pic>
              </a:graphicData>
            </a:graphic>
          </wp:inline>
        </w:drawing>
      </w:r>
    </w:p>
    <w:p w14:paraId="4080397F" w14:textId="77777777" w:rsidR="00A43FCE" w:rsidRDefault="00A43FCE">
      <w:pPr>
        <w:spacing w:line="259" w:lineRule="auto"/>
        <w:jc w:val="left"/>
        <w:rPr>
          <w:rFonts w:eastAsiaTheme="majorEastAsia" w:cs="Arial"/>
          <w:b/>
          <w:bCs/>
          <w:sz w:val="30"/>
          <w:szCs w:val="30"/>
          <w:lang w:val="en-US"/>
        </w:rPr>
      </w:pPr>
      <w:bookmarkStart w:id="74" w:name="_Toc226983556"/>
      <w:bookmarkStart w:id="75" w:name="_Toc226983582"/>
      <w:bookmarkStart w:id="76" w:name="_Toc226992487"/>
      <w:r>
        <w:br w:type="page"/>
      </w:r>
    </w:p>
    <w:p w14:paraId="447FC120" w14:textId="39A9C1E5" w:rsidR="00811B32" w:rsidRPr="00B12267" w:rsidRDefault="00811B32" w:rsidP="00914767">
      <w:pPr>
        <w:pStyle w:val="Heading1"/>
      </w:pPr>
      <w:r w:rsidRPr="00B12267">
        <w:lastRenderedPageBreak/>
        <w:t>4. CONCLUSION</w:t>
      </w:r>
      <w:bookmarkEnd w:id="74"/>
      <w:bookmarkEnd w:id="75"/>
      <w:bookmarkEnd w:id="76"/>
    </w:p>
    <w:p w14:paraId="28E5147D" w14:textId="280AFB51" w:rsidR="00811B32" w:rsidRPr="00B12267" w:rsidRDefault="00811B32" w:rsidP="00811B32">
      <w:pPr>
        <w:rPr>
          <w:rFonts w:cs="Arial"/>
          <w:sz w:val="22"/>
        </w:rPr>
      </w:pPr>
      <w:r w:rsidRPr="00B12267">
        <w:rPr>
          <w:rFonts w:cs="Arial"/>
          <w:sz w:val="22"/>
        </w:rPr>
        <w:t>The report has critically addressed a significant healthcare quality and patient safety incident, showing that the problem was caused by interrelated systemic flaws as opposed to a single mistake. The notable causative factors included bad governance, lack of a proper system of reporting the incidents, workforce problems and deficiency of organisational culture of safety. Such failures resulted in circumstances where risk would not be identified and dealt with in a timely manner, meaning that the outcomes of patients would be unfavourable.</w:t>
      </w:r>
    </w:p>
    <w:p w14:paraId="7F58D856" w14:textId="085D7CC6" w:rsidR="00811B32" w:rsidRPr="00B12267" w:rsidRDefault="00811B32" w:rsidP="00811B32">
      <w:pPr>
        <w:rPr>
          <w:rFonts w:cs="Arial"/>
          <w:sz w:val="22"/>
        </w:rPr>
      </w:pPr>
      <w:r w:rsidRPr="00B12267">
        <w:rPr>
          <w:rFonts w:cs="Arial"/>
          <w:sz w:val="22"/>
        </w:rPr>
        <w:t>The application of such models as the Donabedian Model, the Fishbone Diagram and 5 Whys also enabled the conduct of a systematic analysis of the organisational and operational factors. These models focused on the impact of structural and process deficiencies, which have a direct influence on the result. However, the approach of systems thinking was also brought to light during the analysis as the means of understanding the complexity of healthcare settings in full.</w:t>
      </w:r>
      <w:r w:rsidR="00FE0D5F">
        <w:rPr>
          <w:rFonts w:cs="Arial"/>
          <w:sz w:val="22"/>
        </w:rPr>
        <w:t xml:space="preserve"> </w:t>
      </w:r>
      <w:r w:rsidRPr="00B12267">
        <w:rPr>
          <w:rFonts w:cs="Arial"/>
          <w:sz w:val="22"/>
        </w:rPr>
        <w:t>The weak areas of policy and practice were also listed in the report, and this implies that the existence of the national systems of safety is not sufficient without the exertion, accountability and learning in organisations.</w:t>
      </w:r>
    </w:p>
    <w:p w14:paraId="26EB2C1D" w14:textId="0E681E0F" w:rsidR="00811B32" w:rsidRPr="00B12267" w:rsidRDefault="00811B32" w:rsidP="00811B32">
      <w:pPr>
        <w:rPr>
          <w:rFonts w:cs="Arial"/>
          <w:sz w:val="22"/>
        </w:rPr>
      </w:pPr>
      <w:r w:rsidRPr="00B12267">
        <w:rPr>
          <w:rFonts w:cs="Arial"/>
          <w:sz w:val="22"/>
        </w:rPr>
        <w:t>The recommendations involved a system-wide improvement plan, which focused on strengthening reporting systems, workforce reinforcing ability, use of digital technologies and governance. Sustainable and measurable change is supported by using quality improvement methods like PDSA and Lean.</w:t>
      </w:r>
      <w:r w:rsidR="00FE0D5F">
        <w:rPr>
          <w:rFonts w:cs="Arial"/>
          <w:sz w:val="22"/>
        </w:rPr>
        <w:t xml:space="preserve"> </w:t>
      </w:r>
      <w:r w:rsidRPr="00B12267">
        <w:rPr>
          <w:rFonts w:cs="Arial"/>
          <w:sz w:val="22"/>
        </w:rPr>
        <w:t>Summing up, the enhancement of patient safety should be a multifaceted solution which deals with systemic problems. By promoting transparency, accountability and continuous learning, healthcare organisations can enhance the quality of the services provided and reduce the risks of harm in future.</w:t>
      </w:r>
    </w:p>
    <w:p w14:paraId="78F47911" w14:textId="77777777" w:rsidR="00811B32" w:rsidRPr="00B12267" w:rsidRDefault="00811B32">
      <w:pPr>
        <w:spacing w:line="259" w:lineRule="auto"/>
        <w:jc w:val="left"/>
        <w:rPr>
          <w:rFonts w:cs="Arial"/>
          <w:sz w:val="22"/>
        </w:rPr>
      </w:pPr>
      <w:r w:rsidRPr="00B12267">
        <w:rPr>
          <w:rFonts w:cs="Arial"/>
          <w:sz w:val="22"/>
        </w:rPr>
        <w:br w:type="page"/>
      </w:r>
    </w:p>
    <w:p w14:paraId="08E832C5" w14:textId="51098BCF" w:rsidR="00291524" w:rsidRPr="00B12267" w:rsidRDefault="00470BEA" w:rsidP="00914767">
      <w:pPr>
        <w:pStyle w:val="Heading1"/>
      </w:pPr>
      <w:bookmarkStart w:id="77" w:name="_Toc226983557"/>
      <w:bookmarkStart w:id="78" w:name="_Toc226983583"/>
      <w:bookmarkStart w:id="79" w:name="_Toc226992488"/>
      <w:r w:rsidRPr="00B12267">
        <w:lastRenderedPageBreak/>
        <w:t>REFERENCES</w:t>
      </w:r>
      <w:bookmarkEnd w:id="77"/>
      <w:bookmarkEnd w:id="78"/>
      <w:bookmarkEnd w:id="79"/>
    </w:p>
    <w:p w14:paraId="7E1AF518" w14:textId="77777777" w:rsidR="005E2760" w:rsidRPr="00FE61F2" w:rsidRDefault="005E2760" w:rsidP="00FE61F2">
      <w:pPr>
        <w:rPr>
          <w:rFonts w:cs="Arial"/>
          <w:sz w:val="22"/>
          <w:szCs w:val="20"/>
          <w:lang w:val="en-US"/>
        </w:rPr>
      </w:pPr>
      <w:r w:rsidRPr="00FE61F2">
        <w:rPr>
          <w:rFonts w:cs="Arial"/>
          <w:sz w:val="22"/>
          <w:szCs w:val="20"/>
          <w:lang w:val="en-US"/>
        </w:rPr>
        <w:t xml:space="preserve">Averill, P., Bowness, B., Henderson, C. and </w:t>
      </w:r>
      <w:proofErr w:type="spellStart"/>
      <w:r w:rsidRPr="00FE61F2">
        <w:rPr>
          <w:rFonts w:cs="Arial"/>
          <w:sz w:val="22"/>
          <w:szCs w:val="20"/>
          <w:lang w:val="en-US"/>
        </w:rPr>
        <w:t>Sevdalis</w:t>
      </w:r>
      <w:proofErr w:type="spellEnd"/>
      <w:r w:rsidRPr="00FE61F2">
        <w:rPr>
          <w:rFonts w:cs="Arial"/>
          <w:sz w:val="22"/>
          <w:szCs w:val="20"/>
          <w:lang w:val="en-US"/>
        </w:rPr>
        <w:t xml:space="preserve">, N. (2024). What does ‘safe care’ mean in the context of community-based mental health services? A qualitative exploration of the perspectives of service users, </w:t>
      </w:r>
      <w:proofErr w:type="spellStart"/>
      <w:r w:rsidRPr="00FE61F2">
        <w:rPr>
          <w:rFonts w:cs="Arial"/>
          <w:sz w:val="22"/>
          <w:szCs w:val="20"/>
          <w:lang w:val="en-US"/>
        </w:rPr>
        <w:t>carers</w:t>
      </w:r>
      <w:proofErr w:type="spellEnd"/>
      <w:r w:rsidRPr="00FE61F2">
        <w:rPr>
          <w:rFonts w:cs="Arial"/>
          <w:sz w:val="22"/>
          <w:szCs w:val="20"/>
          <w:lang w:val="en-US"/>
        </w:rPr>
        <w:t xml:space="preserve">, and healthcare providers in England. </w:t>
      </w:r>
      <w:r w:rsidRPr="00FE61F2">
        <w:rPr>
          <w:rFonts w:cs="Arial"/>
          <w:i/>
          <w:iCs/>
          <w:sz w:val="22"/>
          <w:szCs w:val="20"/>
          <w:lang w:val="en-US"/>
        </w:rPr>
        <w:t>BMC Health Services Research</w:t>
      </w:r>
      <w:r w:rsidRPr="00FE61F2">
        <w:rPr>
          <w:rFonts w:cs="Arial"/>
          <w:sz w:val="22"/>
          <w:szCs w:val="20"/>
          <w:lang w:val="en-US"/>
        </w:rPr>
        <w:t>, 24(1). doi:https://doi.org/10.1186/s12913-024-11473-3.</w:t>
      </w:r>
    </w:p>
    <w:p w14:paraId="6B39956C" w14:textId="77777777" w:rsidR="005E2760" w:rsidRPr="00FE61F2" w:rsidRDefault="005E2760" w:rsidP="00FE61F2">
      <w:pPr>
        <w:rPr>
          <w:rFonts w:cs="Arial"/>
          <w:sz w:val="22"/>
          <w:szCs w:val="20"/>
          <w:lang w:val="en-US"/>
        </w:rPr>
      </w:pPr>
      <w:r w:rsidRPr="00FE61F2">
        <w:rPr>
          <w:rFonts w:cs="Arial"/>
          <w:sz w:val="22"/>
          <w:szCs w:val="20"/>
          <w:lang w:val="en-US"/>
        </w:rPr>
        <w:t xml:space="preserve">Averill, P., </w:t>
      </w:r>
      <w:proofErr w:type="spellStart"/>
      <w:r w:rsidRPr="00FE61F2">
        <w:rPr>
          <w:rFonts w:cs="Arial"/>
          <w:sz w:val="22"/>
          <w:szCs w:val="20"/>
          <w:lang w:val="en-US"/>
        </w:rPr>
        <w:t>Sevdalis</w:t>
      </w:r>
      <w:proofErr w:type="spellEnd"/>
      <w:r w:rsidRPr="00FE61F2">
        <w:rPr>
          <w:rFonts w:cs="Arial"/>
          <w:sz w:val="22"/>
          <w:szCs w:val="20"/>
          <w:lang w:val="en-US"/>
        </w:rPr>
        <w:t xml:space="preserve">, N. and Henderson, C. (2025). Patient safety incidents within adult community-based mental health services in England: A mixed-methods examination of reported incidents, contributory factors, and proposed solutions. </w:t>
      </w:r>
      <w:r w:rsidRPr="00FE61F2">
        <w:rPr>
          <w:rFonts w:cs="Arial"/>
          <w:i/>
          <w:iCs/>
          <w:sz w:val="22"/>
          <w:szCs w:val="20"/>
          <w:lang w:val="en-US"/>
        </w:rPr>
        <w:t>Psychological medicine</w:t>
      </w:r>
      <w:r w:rsidRPr="00FE61F2">
        <w:rPr>
          <w:rFonts w:cs="Arial"/>
          <w:sz w:val="22"/>
          <w:szCs w:val="20"/>
          <w:lang w:val="en-US"/>
        </w:rPr>
        <w:t>, [online] 55(55), p.e8. doi:https://doi.org/10.1017/S0033291724003532.</w:t>
      </w:r>
    </w:p>
    <w:p w14:paraId="1B264C3E" w14:textId="77777777" w:rsidR="005E2760" w:rsidRPr="00F102BB" w:rsidRDefault="005E2760" w:rsidP="00F102BB">
      <w:pPr>
        <w:rPr>
          <w:rFonts w:cs="Arial"/>
          <w:sz w:val="22"/>
          <w:szCs w:val="20"/>
          <w:lang w:val="en-US"/>
        </w:rPr>
      </w:pPr>
      <w:r w:rsidRPr="00F102BB">
        <w:rPr>
          <w:rFonts w:cs="Arial"/>
          <w:sz w:val="22"/>
          <w:szCs w:val="20"/>
          <w:lang w:val="en-US"/>
        </w:rPr>
        <w:t xml:space="preserve">Baillie, J., Bonner, A., </w:t>
      </w:r>
      <w:proofErr w:type="spellStart"/>
      <w:r w:rsidRPr="00F102BB">
        <w:rPr>
          <w:rFonts w:cs="Arial"/>
          <w:sz w:val="22"/>
          <w:szCs w:val="20"/>
          <w:lang w:val="en-US"/>
        </w:rPr>
        <w:t>Guillouet</w:t>
      </w:r>
      <w:proofErr w:type="spellEnd"/>
      <w:r w:rsidRPr="00F102BB">
        <w:rPr>
          <w:rFonts w:cs="Arial"/>
          <w:sz w:val="22"/>
          <w:szCs w:val="20"/>
          <w:lang w:val="en-US"/>
        </w:rPr>
        <w:t xml:space="preserve">, S., </w:t>
      </w:r>
      <w:proofErr w:type="spellStart"/>
      <w:r w:rsidRPr="00F102BB">
        <w:rPr>
          <w:rFonts w:cs="Arial"/>
          <w:sz w:val="22"/>
          <w:szCs w:val="20"/>
          <w:lang w:val="en-US"/>
        </w:rPr>
        <w:t>Mikut</w:t>
      </w:r>
      <w:proofErr w:type="spellEnd"/>
      <w:r w:rsidRPr="00F102BB">
        <w:rPr>
          <w:rFonts w:cs="Arial"/>
          <w:sz w:val="22"/>
          <w:szCs w:val="20"/>
          <w:lang w:val="en-US"/>
        </w:rPr>
        <w:t xml:space="preserve">, C., </w:t>
      </w:r>
      <w:proofErr w:type="spellStart"/>
      <w:r w:rsidRPr="00F102BB">
        <w:rPr>
          <w:rFonts w:cs="Arial"/>
          <w:sz w:val="22"/>
          <w:szCs w:val="20"/>
          <w:lang w:val="en-US"/>
        </w:rPr>
        <w:t>Punzalan</w:t>
      </w:r>
      <w:proofErr w:type="spellEnd"/>
      <w:r w:rsidRPr="00F102BB">
        <w:rPr>
          <w:rFonts w:cs="Arial"/>
          <w:sz w:val="22"/>
          <w:szCs w:val="20"/>
          <w:lang w:val="en-US"/>
        </w:rPr>
        <w:t xml:space="preserve">, S., Kaczmarek, A., </w:t>
      </w:r>
      <w:proofErr w:type="spellStart"/>
      <w:r w:rsidRPr="00F102BB">
        <w:rPr>
          <w:rFonts w:cs="Arial"/>
          <w:sz w:val="22"/>
          <w:szCs w:val="20"/>
          <w:lang w:val="en-US"/>
        </w:rPr>
        <w:t>Wenzyl</w:t>
      </w:r>
      <w:proofErr w:type="spellEnd"/>
      <w:r w:rsidRPr="00F102BB">
        <w:rPr>
          <w:rFonts w:cs="Arial"/>
          <w:sz w:val="22"/>
          <w:szCs w:val="20"/>
          <w:lang w:val="en-US"/>
        </w:rPr>
        <w:t xml:space="preserve">, L.C. and </w:t>
      </w:r>
      <w:proofErr w:type="spellStart"/>
      <w:r w:rsidRPr="00F102BB">
        <w:rPr>
          <w:rFonts w:cs="Arial"/>
          <w:sz w:val="22"/>
          <w:szCs w:val="20"/>
          <w:lang w:val="en-US"/>
        </w:rPr>
        <w:t>Finderup</w:t>
      </w:r>
      <w:proofErr w:type="spellEnd"/>
      <w:r w:rsidRPr="00F102BB">
        <w:rPr>
          <w:rFonts w:cs="Arial"/>
          <w:sz w:val="22"/>
          <w:szCs w:val="20"/>
          <w:lang w:val="en-US"/>
        </w:rPr>
        <w:t>, J. (2025). Co</w:t>
      </w:r>
      <w:r w:rsidRPr="00F102BB">
        <w:rPr>
          <w:rFonts w:ascii="Cambria Math" w:hAnsi="Cambria Math" w:cs="Cambria Math"/>
          <w:sz w:val="22"/>
          <w:szCs w:val="20"/>
          <w:lang w:val="en-US"/>
        </w:rPr>
        <w:t>‐</w:t>
      </w:r>
      <w:r w:rsidRPr="00F102BB">
        <w:rPr>
          <w:rFonts w:cs="Arial"/>
          <w:sz w:val="22"/>
          <w:szCs w:val="20"/>
          <w:lang w:val="en-US"/>
        </w:rPr>
        <w:t xml:space="preserve">Producing Peritoneal Dialysis Nursing Sensitive Indicators for Quality Care: A Multinational Consensus Building Design. </w:t>
      </w:r>
      <w:r w:rsidRPr="00F102BB">
        <w:rPr>
          <w:rFonts w:cs="Arial"/>
          <w:i/>
          <w:iCs/>
          <w:sz w:val="22"/>
          <w:szCs w:val="20"/>
          <w:lang w:val="en-US"/>
        </w:rPr>
        <w:t>Journal of Renal Care</w:t>
      </w:r>
      <w:r w:rsidRPr="00F102BB">
        <w:rPr>
          <w:rFonts w:cs="Arial"/>
          <w:sz w:val="22"/>
          <w:szCs w:val="20"/>
          <w:lang w:val="en-US"/>
        </w:rPr>
        <w:t>, 51(1). doi:https://doi.org/10.1111/jorc.70008.</w:t>
      </w:r>
    </w:p>
    <w:p w14:paraId="2747B1AE" w14:textId="77777777" w:rsidR="005E2760" w:rsidRPr="00FE61F2" w:rsidRDefault="005E2760" w:rsidP="00FE61F2">
      <w:pPr>
        <w:rPr>
          <w:rFonts w:cs="Arial"/>
          <w:sz w:val="22"/>
          <w:szCs w:val="20"/>
          <w:lang w:val="en-US"/>
        </w:rPr>
      </w:pPr>
      <w:r w:rsidRPr="00FE61F2">
        <w:rPr>
          <w:rFonts w:cs="Arial"/>
          <w:sz w:val="22"/>
          <w:szCs w:val="20"/>
          <w:lang w:val="en-US"/>
        </w:rPr>
        <w:t xml:space="preserve">Boot, M., Allison, J., Maguire, J. and O’Driscoll, G. (2023). QI initiative to reduce the number of inpatient falls in an acute hospital Trust. </w:t>
      </w:r>
      <w:r w:rsidRPr="00FE61F2">
        <w:rPr>
          <w:rFonts w:cs="Arial"/>
          <w:i/>
          <w:iCs/>
          <w:sz w:val="22"/>
          <w:szCs w:val="20"/>
          <w:lang w:val="en-US"/>
        </w:rPr>
        <w:t>BMJ Open Quality</w:t>
      </w:r>
      <w:r w:rsidRPr="00FE61F2">
        <w:rPr>
          <w:rFonts w:cs="Arial"/>
          <w:sz w:val="22"/>
          <w:szCs w:val="20"/>
          <w:lang w:val="en-US"/>
        </w:rPr>
        <w:t>, 12(1), p.e002102. doi:https://doi.org/10.1136/bmjoq-2022-002102.</w:t>
      </w:r>
    </w:p>
    <w:p w14:paraId="04781ACF" w14:textId="77777777" w:rsidR="005E2760" w:rsidRPr="00FE61F2" w:rsidRDefault="005E2760" w:rsidP="00FE61F2">
      <w:pPr>
        <w:rPr>
          <w:rFonts w:cs="Arial"/>
          <w:sz w:val="22"/>
          <w:szCs w:val="20"/>
          <w:lang w:val="en-US"/>
        </w:rPr>
      </w:pPr>
      <w:r w:rsidRPr="00FE61F2">
        <w:rPr>
          <w:rFonts w:cs="Arial"/>
          <w:sz w:val="22"/>
          <w:szCs w:val="20"/>
          <w:lang w:val="en-US"/>
        </w:rPr>
        <w:t xml:space="preserve">Brummell, Z., Braun, D., Hussein, Z., </w:t>
      </w:r>
      <w:proofErr w:type="spellStart"/>
      <w:r w:rsidRPr="00FE61F2">
        <w:rPr>
          <w:rFonts w:cs="Arial"/>
          <w:sz w:val="22"/>
          <w:szCs w:val="20"/>
          <w:lang w:val="en-US"/>
        </w:rPr>
        <w:t>Moonesinghe</w:t>
      </w:r>
      <w:proofErr w:type="spellEnd"/>
      <w:r w:rsidRPr="00FE61F2">
        <w:rPr>
          <w:rFonts w:cs="Arial"/>
          <w:sz w:val="22"/>
          <w:szCs w:val="20"/>
          <w:lang w:val="en-US"/>
        </w:rPr>
        <w:t xml:space="preserve">, S.R. and </w:t>
      </w:r>
      <w:proofErr w:type="spellStart"/>
      <w:r w:rsidRPr="00FE61F2">
        <w:rPr>
          <w:rFonts w:cs="Arial"/>
          <w:sz w:val="22"/>
          <w:szCs w:val="20"/>
          <w:lang w:val="en-US"/>
        </w:rPr>
        <w:t>Vindrola-Padros</w:t>
      </w:r>
      <w:proofErr w:type="spellEnd"/>
      <w:r w:rsidRPr="00FE61F2">
        <w:rPr>
          <w:rFonts w:cs="Arial"/>
          <w:sz w:val="22"/>
          <w:szCs w:val="20"/>
          <w:lang w:val="en-US"/>
        </w:rPr>
        <w:t xml:space="preserve">, C. (2023a). Is anybody ‘Learning’ from deaths? Sequential content and reflexive thematic analysis of national statutory reporting within the NHS in England 2017–2020. </w:t>
      </w:r>
      <w:r w:rsidRPr="00FE61F2">
        <w:rPr>
          <w:rFonts w:cs="Arial"/>
          <w:i/>
          <w:iCs/>
          <w:sz w:val="22"/>
          <w:szCs w:val="20"/>
          <w:lang w:val="en-US"/>
        </w:rPr>
        <w:t>BMJ Open Quality</w:t>
      </w:r>
      <w:r w:rsidRPr="00FE61F2">
        <w:rPr>
          <w:rFonts w:cs="Arial"/>
          <w:sz w:val="22"/>
          <w:szCs w:val="20"/>
          <w:lang w:val="en-US"/>
        </w:rPr>
        <w:t>, 12(1), p.e002093. doi:https://doi.org/10.1136/bmjoq-2022-002093.</w:t>
      </w:r>
    </w:p>
    <w:p w14:paraId="0EA92C54" w14:textId="77777777" w:rsidR="005E2760" w:rsidRPr="00FE61F2" w:rsidRDefault="005E2760" w:rsidP="00FE61F2">
      <w:pPr>
        <w:rPr>
          <w:rFonts w:cs="Arial"/>
          <w:sz w:val="22"/>
          <w:szCs w:val="20"/>
          <w:lang w:val="en-US"/>
        </w:rPr>
      </w:pPr>
      <w:r w:rsidRPr="00FE61F2">
        <w:rPr>
          <w:rFonts w:cs="Arial"/>
          <w:sz w:val="22"/>
          <w:szCs w:val="20"/>
          <w:lang w:val="en-US"/>
        </w:rPr>
        <w:t xml:space="preserve">Brummell, Z., Braun, D., Hussein, Z., </w:t>
      </w:r>
      <w:proofErr w:type="spellStart"/>
      <w:r w:rsidRPr="00FE61F2">
        <w:rPr>
          <w:rFonts w:cs="Arial"/>
          <w:sz w:val="22"/>
          <w:szCs w:val="20"/>
          <w:lang w:val="en-US"/>
        </w:rPr>
        <w:t>Moonesinghe</w:t>
      </w:r>
      <w:proofErr w:type="spellEnd"/>
      <w:r w:rsidRPr="00FE61F2">
        <w:rPr>
          <w:rFonts w:cs="Arial"/>
          <w:sz w:val="22"/>
          <w:szCs w:val="20"/>
          <w:lang w:val="en-US"/>
        </w:rPr>
        <w:t xml:space="preserve">, S.R. and </w:t>
      </w:r>
      <w:proofErr w:type="spellStart"/>
      <w:r w:rsidRPr="00FE61F2">
        <w:rPr>
          <w:rFonts w:cs="Arial"/>
          <w:sz w:val="22"/>
          <w:szCs w:val="20"/>
          <w:lang w:val="en-US"/>
        </w:rPr>
        <w:t>Vindrola-Padros</w:t>
      </w:r>
      <w:proofErr w:type="spellEnd"/>
      <w:r w:rsidRPr="00FE61F2">
        <w:rPr>
          <w:rFonts w:cs="Arial"/>
          <w:sz w:val="22"/>
          <w:szCs w:val="20"/>
          <w:lang w:val="en-US"/>
        </w:rPr>
        <w:t xml:space="preserve">, C. (2023b). National statutory reporting: not even ticking the boxes? The quality of ‘Learning from Deaths’ reporting in quality accounts within the NHS in England 2017–2020. </w:t>
      </w:r>
      <w:r w:rsidRPr="00FE61F2">
        <w:rPr>
          <w:rFonts w:cs="Arial"/>
          <w:i/>
          <w:iCs/>
          <w:sz w:val="22"/>
          <w:szCs w:val="20"/>
          <w:lang w:val="en-US"/>
        </w:rPr>
        <w:t>BMJ Open Quality</w:t>
      </w:r>
      <w:r w:rsidRPr="00FE61F2">
        <w:rPr>
          <w:rFonts w:cs="Arial"/>
          <w:sz w:val="22"/>
          <w:szCs w:val="20"/>
          <w:lang w:val="en-US"/>
        </w:rPr>
        <w:t>, 12(1), p.e002092. doi:https://doi.org/10.1136/bmjoq-2022-002092.</w:t>
      </w:r>
    </w:p>
    <w:p w14:paraId="0B163DAE" w14:textId="77777777" w:rsidR="005E2760" w:rsidRPr="00FE61F2" w:rsidRDefault="005E2760" w:rsidP="00FE61F2">
      <w:pPr>
        <w:rPr>
          <w:rFonts w:cs="Arial"/>
          <w:sz w:val="22"/>
          <w:szCs w:val="20"/>
          <w:lang w:val="en-US"/>
        </w:rPr>
      </w:pPr>
      <w:r w:rsidRPr="00FE61F2">
        <w:rPr>
          <w:rFonts w:cs="Arial"/>
          <w:sz w:val="22"/>
          <w:szCs w:val="20"/>
          <w:lang w:val="en-US"/>
        </w:rPr>
        <w:t xml:space="preserve">Camacho, E.M., Gavan, S., </w:t>
      </w:r>
      <w:proofErr w:type="spellStart"/>
      <w:r w:rsidRPr="00FE61F2">
        <w:rPr>
          <w:rFonts w:cs="Arial"/>
          <w:sz w:val="22"/>
          <w:szCs w:val="20"/>
          <w:lang w:val="en-US"/>
        </w:rPr>
        <w:t>Keers</w:t>
      </w:r>
      <w:proofErr w:type="spellEnd"/>
      <w:r w:rsidRPr="00FE61F2">
        <w:rPr>
          <w:rFonts w:cs="Arial"/>
          <w:sz w:val="22"/>
          <w:szCs w:val="20"/>
          <w:lang w:val="en-US"/>
        </w:rPr>
        <w:t xml:space="preserve">, R.N., </w:t>
      </w:r>
      <w:proofErr w:type="spellStart"/>
      <w:r w:rsidRPr="00FE61F2">
        <w:rPr>
          <w:rFonts w:cs="Arial"/>
          <w:sz w:val="22"/>
          <w:szCs w:val="20"/>
          <w:lang w:val="en-US"/>
        </w:rPr>
        <w:t>Chuter</w:t>
      </w:r>
      <w:proofErr w:type="spellEnd"/>
      <w:r w:rsidRPr="00FE61F2">
        <w:rPr>
          <w:rFonts w:cs="Arial"/>
          <w:sz w:val="22"/>
          <w:szCs w:val="20"/>
          <w:lang w:val="en-US"/>
        </w:rPr>
        <w:t xml:space="preserve">, A. and Elliott, R.A. (2024). Estimating the impact on patient safety of enabling the digital transfer of patients’ prescription information in the English NHS. </w:t>
      </w:r>
      <w:r w:rsidRPr="00FE61F2">
        <w:rPr>
          <w:rFonts w:cs="Arial"/>
          <w:i/>
          <w:iCs/>
          <w:sz w:val="22"/>
          <w:szCs w:val="20"/>
          <w:lang w:val="en-US"/>
        </w:rPr>
        <w:t>BMJ Quality &amp; Safety</w:t>
      </w:r>
      <w:r w:rsidRPr="00FE61F2">
        <w:rPr>
          <w:rFonts w:cs="Arial"/>
          <w:sz w:val="22"/>
          <w:szCs w:val="20"/>
          <w:lang w:val="en-US"/>
        </w:rPr>
        <w:t>, 33(11). doi:https://doi.org/10.1136/bmjqs-2023-016675.</w:t>
      </w:r>
    </w:p>
    <w:p w14:paraId="6F48E14C" w14:textId="77777777" w:rsidR="005E2760" w:rsidRPr="00F102BB" w:rsidRDefault="005E2760" w:rsidP="00F102BB">
      <w:pPr>
        <w:rPr>
          <w:rFonts w:cs="Arial"/>
          <w:sz w:val="22"/>
          <w:szCs w:val="20"/>
          <w:lang w:val="en-US"/>
        </w:rPr>
      </w:pPr>
      <w:r w:rsidRPr="00F102BB">
        <w:rPr>
          <w:rFonts w:cs="Arial"/>
          <w:sz w:val="22"/>
          <w:szCs w:val="20"/>
          <w:lang w:val="en-US"/>
        </w:rPr>
        <w:t xml:space="preserve">CQC (2022). </w:t>
      </w:r>
      <w:r w:rsidRPr="00F102BB">
        <w:rPr>
          <w:rFonts w:cs="Arial"/>
          <w:i/>
          <w:iCs/>
          <w:sz w:val="22"/>
          <w:szCs w:val="20"/>
          <w:lang w:val="en-US"/>
        </w:rPr>
        <w:t>Care Quality Commission</w:t>
      </w:r>
      <w:r w:rsidRPr="00F102BB">
        <w:rPr>
          <w:rFonts w:cs="Arial"/>
          <w:sz w:val="22"/>
          <w:szCs w:val="20"/>
          <w:lang w:val="en-US"/>
        </w:rPr>
        <w:t>. [online] https://www.cqc.org.uk/. Available at: https://www.cqc.org.uk/ [Accessed 13 Apr. 2026].</w:t>
      </w:r>
    </w:p>
    <w:p w14:paraId="59F81D70" w14:textId="77777777" w:rsidR="005E2760" w:rsidRPr="00FE61F2" w:rsidRDefault="005E2760" w:rsidP="00FE61F2">
      <w:pPr>
        <w:rPr>
          <w:rFonts w:cs="Arial"/>
          <w:sz w:val="22"/>
          <w:szCs w:val="20"/>
          <w:lang w:val="en-US"/>
        </w:rPr>
      </w:pPr>
      <w:proofErr w:type="spellStart"/>
      <w:r w:rsidRPr="00FE61F2">
        <w:rPr>
          <w:rFonts w:cs="Arial"/>
          <w:sz w:val="22"/>
          <w:szCs w:val="20"/>
          <w:lang w:val="en-US"/>
        </w:rPr>
        <w:t>Delpino</w:t>
      </w:r>
      <w:proofErr w:type="spellEnd"/>
      <w:r w:rsidRPr="00FE61F2">
        <w:rPr>
          <w:rFonts w:cs="Arial"/>
          <w:sz w:val="22"/>
          <w:szCs w:val="20"/>
          <w:lang w:val="en-US"/>
        </w:rPr>
        <w:t xml:space="preserve">, R., Lees-Deutsch, L. and Solanki, B. (2023). ‘Speaking Up’ for patient safety and staff well-being: a qualitative study. </w:t>
      </w:r>
      <w:r w:rsidRPr="00FE61F2">
        <w:rPr>
          <w:rFonts w:cs="Arial"/>
          <w:i/>
          <w:iCs/>
          <w:sz w:val="22"/>
          <w:szCs w:val="20"/>
          <w:lang w:val="en-US"/>
        </w:rPr>
        <w:t>BMJ Open Quality</w:t>
      </w:r>
      <w:r w:rsidRPr="00FE61F2">
        <w:rPr>
          <w:rFonts w:cs="Arial"/>
          <w:sz w:val="22"/>
          <w:szCs w:val="20"/>
          <w:lang w:val="en-US"/>
        </w:rPr>
        <w:t>, 12(2), p.e002047. doi:https://doi.org/10.1136/bmjoq-2022-002047.</w:t>
      </w:r>
    </w:p>
    <w:p w14:paraId="52B502D9" w14:textId="77777777" w:rsidR="005E2760" w:rsidRPr="005E2760" w:rsidRDefault="005E2760" w:rsidP="005E2760">
      <w:pPr>
        <w:rPr>
          <w:rFonts w:cs="Arial"/>
          <w:sz w:val="22"/>
          <w:szCs w:val="20"/>
          <w:lang w:val="en-US"/>
        </w:rPr>
      </w:pPr>
      <w:proofErr w:type="spellStart"/>
      <w:r w:rsidRPr="005E2760">
        <w:rPr>
          <w:rFonts w:cs="Arial"/>
          <w:sz w:val="22"/>
          <w:szCs w:val="20"/>
          <w:lang w:val="en-US"/>
        </w:rPr>
        <w:lastRenderedPageBreak/>
        <w:t>Driesen</w:t>
      </w:r>
      <w:proofErr w:type="spellEnd"/>
      <w:r w:rsidRPr="005E2760">
        <w:rPr>
          <w:rFonts w:cs="Arial"/>
          <w:sz w:val="22"/>
          <w:szCs w:val="20"/>
          <w:lang w:val="en-US"/>
        </w:rPr>
        <w:t xml:space="preserve">, B.E.J.M., </w:t>
      </w:r>
      <w:proofErr w:type="spellStart"/>
      <w:r w:rsidRPr="005E2760">
        <w:rPr>
          <w:rFonts w:cs="Arial"/>
          <w:sz w:val="22"/>
          <w:szCs w:val="20"/>
          <w:lang w:val="en-US"/>
        </w:rPr>
        <w:t>Baartmans</w:t>
      </w:r>
      <w:proofErr w:type="spellEnd"/>
      <w:r w:rsidRPr="005E2760">
        <w:rPr>
          <w:rFonts w:cs="Arial"/>
          <w:sz w:val="22"/>
          <w:szCs w:val="20"/>
          <w:lang w:val="en-US"/>
        </w:rPr>
        <w:t xml:space="preserve">, M., </w:t>
      </w:r>
      <w:proofErr w:type="spellStart"/>
      <w:r w:rsidRPr="005E2760">
        <w:rPr>
          <w:rFonts w:cs="Arial"/>
          <w:sz w:val="22"/>
          <w:szCs w:val="20"/>
          <w:lang w:val="en-US"/>
        </w:rPr>
        <w:t>Merten</w:t>
      </w:r>
      <w:proofErr w:type="spellEnd"/>
      <w:r w:rsidRPr="005E2760">
        <w:rPr>
          <w:rFonts w:cs="Arial"/>
          <w:sz w:val="22"/>
          <w:szCs w:val="20"/>
          <w:lang w:val="en-US"/>
        </w:rPr>
        <w:t xml:space="preserve">, H., Otten, R., Walker, C., </w:t>
      </w:r>
      <w:proofErr w:type="spellStart"/>
      <w:r w:rsidRPr="005E2760">
        <w:rPr>
          <w:rFonts w:cs="Arial"/>
          <w:sz w:val="22"/>
          <w:szCs w:val="20"/>
          <w:lang w:val="en-US"/>
        </w:rPr>
        <w:t>Nanayakkara</w:t>
      </w:r>
      <w:proofErr w:type="spellEnd"/>
      <w:r w:rsidRPr="005E2760">
        <w:rPr>
          <w:rFonts w:cs="Arial"/>
          <w:sz w:val="22"/>
          <w:szCs w:val="20"/>
          <w:lang w:val="en-US"/>
        </w:rPr>
        <w:t xml:space="preserve">, P.W.B. and Wagner, C. (2021). Root Cause Analysis Using the Prevention and Recovery Information System for Monitoring and Analysis Method in Healthcare Facilities. </w:t>
      </w:r>
      <w:r w:rsidRPr="005E2760">
        <w:rPr>
          <w:rFonts w:cs="Arial"/>
          <w:i/>
          <w:iCs/>
          <w:sz w:val="22"/>
          <w:szCs w:val="20"/>
          <w:lang w:val="en-US"/>
        </w:rPr>
        <w:t>Journal of Patient Safety</w:t>
      </w:r>
      <w:r w:rsidRPr="005E2760">
        <w:rPr>
          <w:rFonts w:cs="Arial"/>
          <w:sz w:val="22"/>
          <w:szCs w:val="20"/>
          <w:lang w:val="en-US"/>
        </w:rPr>
        <w:t xml:space="preserve">, Publish Ahead of </w:t>
      </w:r>
      <w:proofErr w:type="gramStart"/>
      <w:r w:rsidRPr="005E2760">
        <w:rPr>
          <w:rFonts w:cs="Arial"/>
          <w:sz w:val="22"/>
          <w:szCs w:val="20"/>
          <w:lang w:val="en-US"/>
        </w:rPr>
        <w:t>Print(</w:t>
      </w:r>
      <w:proofErr w:type="gramEnd"/>
      <w:r w:rsidRPr="005E2760">
        <w:rPr>
          <w:rFonts w:cs="Arial"/>
          <w:sz w:val="22"/>
          <w:szCs w:val="20"/>
          <w:lang w:val="en-US"/>
        </w:rPr>
        <w:t>18). doi:https://doi.org/10.1097/pts.0000000000000925.</w:t>
      </w:r>
    </w:p>
    <w:p w14:paraId="053B1A53" w14:textId="77777777" w:rsidR="005E2760" w:rsidRPr="00FE61F2" w:rsidRDefault="005E2760" w:rsidP="00FE61F2">
      <w:pPr>
        <w:rPr>
          <w:rFonts w:cs="Arial"/>
          <w:sz w:val="22"/>
          <w:szCs w:val="20"/>
          <w:lang w:val="en-US"/>
        </w:rPr>
      </w:pPr>
      <w:proofErr w:type="spellStart"/>
      <w:r w:rsidRPr="00FE61F2">
        <w:rPr>
          <w:rFonts w:cs="Arial"/>
          <w:sz w:val="22"/>
          <w:szCs w:val="20"/>
          <w:lang w:val="en-US"/>
        </w:rPr>
        <w:t>Gaughan</w:t>
      </w:r>
      <w:proofErr w:type="spellEnd"/>
      <w:r w:rsidRPr="00FE61F2">
        <w:rPr>
          <w:rFonts w:cs="Arial"/>
          <w:sz w:val="22"/>
          <w:szCs w:val="20"/>
          <w:lang w:val="en-US"/>
        </w:rPr>
        <w:t xml:space="preserve">, J., Liu, D., </w:t>
      </w:r>
      <w:proofErr w:type="spellStart"/>
      <w:r w:rsidRPr="00FE61F2">
        <w:rPr>
          <w:rFonts w:cs="Arial"/>
          <w:sz w:val="22"/>
          <w:szCs w:val="20"/>
          <w:lang w:val="en-US"/>
        </w:rPr>
        <w:t>Gutacker</w:t>
      </w:r>
      <w:proofErr w:type="spellEnd"/>
      <w:r w:rsidRPr="00FE61F2">
        <w:rPr>
          <w:rFonts w:cs="Arial"/>
          <w:sz w:val="22"/>
          <w:szCs w:val="20"/>
          <w:lang w:val="en-US"/>
        </w:rPr>
        <w:t xml:space="preserve">, N., Bloor, K., Doran, T. and Benger, J.R. (2022). Does the presence of general practitioners in emergency departments affect quality and safety in English NHS hospitals? A retrospective observational study. </w:t>
      </w:r>
      <w:r w:rsidRPr="00FE61F2">
        <w:rPr>
          <w:rFonts w:cs="Arial"/>
          <w:i/>
          <w:iCs/>
          <w:sz w:val="22"/>
          <w:szCs w:val="20"/>
          <w:lang w:val="en-US"/>
        </w:rPr>
        <w:t>BMJ Open</w:t>
      </w:r>
      <w:r w:rsidRPr="00FE61F2">
        <w:rPr>
          <w:rFonts w:cs="Arial"/>
          <w:sz w:val="22"/>
          <w:szCs w:val="20"/>
          <w:lang w:val="en-US"/>
        </w:rPr>
        <w:t>, 12(2), p.e055976. doi:https://doi.org/10.1136/bmjopen-2021-055976.</w:t>
      </w:r>
    </w:p>
    <w:p w14:paraId="476D8D50" w14:textId="77777777" w:rsidR="005E2760" w:rsidRPr="00FE61F2" w:rsidRDefault="005E2760" w:rsidP="00FE61F2">
      <w:pPr>
        <w:rPr>
          <w:rFonts w:cs="Arial"/>
          <w:sz w:val="22"/>
          <w:szCs w:val="20"/>
          <w:lang w:val="en-US"/>
        </w:rPr>
      </w:pPr>
      <w:r w:rsidRPr="00FE61F2">
        <w:rPr>
          <w:rFonts w:cs="Arial"/>
          <w:sz w:val="22"/>
          <w:szCs w:val="20"/>
          <w:lang w:val="en-US"/>
        </w:rPr>
        <w:t xml:space="preserve">Jeffery, S., Monkhouse, J., </w:t>
      </w:r>
      <w:proofErr w:type="spellStart"/>
      <w:r w:rsidRPr="00FE61F2">
        <w:rPr>
          <w:rFonts w:cs="Arial"/>
          <w:sz w:val="22"/>
          <w:szCs w:val="20"/>
          <w:lang w:val="en-US"/>
        </w:rPr>
        <w:t>Bertini</w:t>
      </w:r>
      <w:proofErr w:type="spellEnd"/>
      <w:r w:rsidRPr="00FE61F2">
        <w:rPr>
          <w:rFonts w:cs="Arial"/>
          <w:sz w:val="22"/>
          <w:szCs w:val="20"/>
          <w:lang w:val="en-US"/>
        </w:rPr>
        <w:t xml:space="preserve">, L., Walker, S. and Sharp, R. (2023). Discharge to Assess: an evaluation of three case studies in the southeast of England to inform service improvement. </w:t>
      </w:r>
      <w:r w:rsidRPr="00FE61F2">
        <w:rPr>
          <w:rFonts w:cs="Arial"/>
          <w:i/>
          <w:iCs/>
          <w:sz w:val="22"/>
          <w:szCs w:val="20"/>
          <w:lang w:val="en-US"/>
        </w:rPr>
        <w:t>BMJ Open Quality</w:t>
      </w:r>
      <w:r w:rsidRPr="00FE61F2">
        <w:rPr>
          <w:rFonts w:cs="Arial"/>
          <w:sz w:val="22"/>
          <w:szCs w:val="20"/>
          <w:lang w:val="en-US"/>
        </w:rPr>
        <w:t xml:space="preserve">, 12(4), </w:t>
      </w:r>
      <w:proofErr w:type="gramStart"/>
      <w:r w:rsidRPr="00FE61F2">
        <w:rPr>
          <w:rFonts w:cs="Arial"/>
          <w:sz w:val="22"/>
          <w:szCs w:val="20"/>
          <w:lang w:val="en-US"/>
        </w:rPr>
        <w:t>pp.e</w:t>
      </w:r>
      <w:proofErr w:type="gramEnd"/>
      <w:r w:rsidRPr="00FE61F2">
        <w:rPr>
          <w:rFonts w:cs="Arial"/>
          <w:sz w:val="22"/>
          <w:szCs w:val="20"/>
          <w:lang w:val="en-US"/>
        </w:rPr>
        <w:t>002515–e002515. doi:https://doi.org/10.1136/bmjoq-2023-002515.</w:t>
      </w:r>
    </w:p>
    <w:p w14:paraId="50D30184" w14:textId="77777777" w:rsidR="005E2760" w:rsidRPr="00FE61F2" w:rsidRDefault="005E2760" w:rsidP="00FE61F2">
      <w:pPr>
        <w:rPr>
          <w:rFonts w:cs="Arial"/>
          <w:sz w:val="22"/>
          <w:szCs w:val="20"/>
          <w:lang w:val="en-US"/>
        </w:rPr>
      </w:pPr>
      <w:r w:rsidRPr="00FE61F2">
        <w:rPr>
          <w:rFonts w:cs="Arial"/>
          <w:sz w:val="22"/>
          <w:szCs w:val="20"/>
          <w:lang w:val="en-US"/>
        </w:rPr>
        <w:t xml:space="preserve">Kernaghan, K. and Hurst, K.M. (2023). Reducing Violence and aggression: a Quality Improvement Project for Safety on an Acute Mental Health Ward. </w:t>
      </w:r>
      <w:r w:rsidRPr="00FE61F2">
        <w:rPr>
          <w:rFonts w:cs="Arial"/>
          <w:i/>
          <w:iCs/>
          <w:sz w:val="22"/>
          <w:szCs w:val="20"/>
          <w:lang w:val="en-US"/>
        </w:rPr>
        <w:t>BMJ Open Quality</w:t>
      </w:r>
      <w:r w:rsidRPr="00FE61F2">
        <w:rPr>
          <w:rFonts w:cs="Arial"/>
          <w:sz w:val="22"/>
          <w:szCs w:val="20"/>
          <w:lang w:val="en-US"/>
        </w:rPr>
        <w:t xml:space="preserve">, 12(4), </w:t>
      </w:r>
      <w:proofErr w:type="gramStart"/>
      <w:r w:rsidRPr="00FE61F2">
        <w:rPr>
          <w:rFonts w:cs="Arial"/>
          <w:sz w:val="22"/>
          <w:szCs w:val="20"/>
          <w:lang w:val="en-US"/>
        </w:rPr>
        <w:t>pp.e</w:t>
      </w:r>
      <w:proofErr w:type="gramEnd"/>
      <w:r w:rsidRPr="00FE61F2">
        <w:rPr>
          <w:rFonts w:cs="Arial"/>
          <w:sz w:val="22"/>
          <w:szCs w:val="20"/>
          <w:lang w:val="en-US"/>
        </w:rPr>
        <w:t>002448–e002448. doi:https://doi.org/10.1136/bmjoq-2023-002448.</w:t>
      </w:r>
    </w:p>
    <w:p w14:paraId="49EDFB6C" w14:textId="77777777" w:rsidR="005E2760" w:rsidRPr="00F102BB" w:rsidRDefault="005E2760" w:rsidP="00F102BB">
      <w:pPr>
        <w:rPr>
          <w:rFonts w:cs="Arial"/>
          <w:sz w:val="22"/>
          <w:szCs w:val="20"/>
          <w:lang w:val="en-US"/>
        </w:rPr>
      </w:pPr>
      <w:proofErr w:type="spellStart"/>
      <w:r w:rsidRPr="00F102BB">
        <w:rPr>
          <w:rFonts w:cs="Arial"/>
          <w:sz w:val="22"/>
          <w:szCs w:val="20"/>
          <w:lang w:val="en-US"/>
        </w:rPr>
        <w:t>Kumah</w:t>
      </w:r>
      <w:proofErr w:type="spellEnd"/>
      <w:r w:rsidRPr="00F102BB">
        <w:rPr>
          <w:rFonts w:cs="Arial"/>
          <w:sz w:val="22"/>
          <w:szCs w:val="20"/>
          <w:lang w:val="en-US"/>
        </w:rPr>
        <w:t xml:space="preserve">, A., Nwogu, C.N., </w:t>
      </w:r>
      <w:proofErr w:type="spellStart"/>
      <w:r w:rsidRPr="00F102BB">
        <w:rPr>
          <w:rFonts w:cs="Arial"/>
          <w:sz w:val="22"/>
          <w:szCs w:val="20"/>
          <w:lang w:val="en-US"/>
        </w:rPr>
        <w:t>Issah</w:t>
      </w:r>
      <w:proofErr w:type="spellEnd"/>
      <w:r w:rsidRPr="00F102BB">
        <w:rPr>
          <w:rFonts w:cs="Arial"/>
          <w:sz w:val="22"/>
          <w:szCs w:val="20"/>
          <w:lang w:val="en-US"/>
        </w:rPr>
        <w:t xml:space="preserve">, A.-R., </w:t>
      </w:r>
      <w:proofErr w:type="spellStart"/>
      <w:r w:rsidRPr="00F102BB">
        <w:rPr>
          <w:rFonts w:cs="Arial"/>
          <w:sz w:val="22"/>
          <w:szCs w:val="20"/>
          <w:lang w:val="en-US"/>
        </w:rPr>
        <w:t>Obot</w:t>
      </w:r>
      <w:proofErr w:type="spellEnd"/>
      <w:r w:rsidRPr="00F102BB">
        <w:rPr>
          <w:rFonts w:cs="Arial"/>
          <w:sz w:val="22"/>
          <w:szCs w:val="20"/>
          <w:lang w:val="en-US"/>
        </w:rPr>
        <w:t xml:space="preserve">, E., </w:t>
      </w:r>
      <w:proofErr w:type="spellStart"/>
      <w:r w:rsidRPr="00F102BB">
        <w:rPr>
          <w:rFonts w:cs="Arial"/>
          <w:sz w:val="22"/>
          <w:szCs w:val="20"/>
          <w:lang w:val="en-US"/>
        </w:rPr>
        <w:t>Kanamitie</w:t>
      </w:r>
      <w:proofErr w:type="spellEnd"/>
      <w:r w:rsidRPr="00F102BB">
        <w:rPr>
          <w:rFonts w:cs="Arial"/>
          <w:sz w:val="22"/>
          <w:szCs w:val="20"/>
          <w:lang w:val="en-US"/>
        </w:rPr>
        <w:t xml:space="preserve">, D.T., </w:t>
      </w:r>
      <w:proofErr w:type="spellStart"/>
      <w:r w:rsidRPr="00F102BB">
        <w:rPr>
          <w:rFonts w:cs="Arial"/>
          <w:sz w:val="22"/>
          <w:szCs w:val="20"/>
          <w:lang w:val="en-US"/>
        </w:rPr>
        <w:t>Sifa</w:t>
      </w:r>
      <w:proofErr w:type="spellEnd"/>
      <w:r w:rsidRPr="00F102BB">
        <w:rPr>
          <w:rFonts w:cs="Arial"/>
          <w:sz w:val="22"/>
          <w:szCs w:val="20"/>
          <w:lang w:val="en-US"/>
        </w:rPr>
        <w:t xml:space="preserve">, J.S. and Aidoo, L.A. (2024). Cause-and-Effect (Fishbone) Diagram: </w:t>
      </w:r>
      <w:proofErr w:type="gramStart"/>
      <w:r w:rsidRPr="00F102BB">
        <w:rPr>
          <w:rFonts w:cs="Arial"/>
          <w:sz w:val="22"/>
          <w:szCs w:val="20"/>
          <w:lang w:val="en-US"/>
        </w:rPr>
        <w:t>a</w:t>
      </w:r>
      <w:proofErr w:type="gramEnd"/>
      <w:r w:rsidRPr="00F102BB">
        <w:rPr>
          <w:rFonts w:cs="Arial"/>
          <w:sz w:val="22"/>
          <w:szCs w:val="20"/>
          <w:lang w:val="en-US"/>
        </w:rPr>
        <w:t xml:space="preserve"> Tool for Generating and Organizing Quality Improvement Ideas. </w:t>
      </w:r>
      <w:r w:rsidRPr="00F102BB">
        <w:rPr>
          <w:rFonts w:cs="Arial"/>
          <w:i/>
          <w:iCs/>
          <w:sz w:val="22"/>
          <w:szCs w:val="20"/>
          <w:lang w:val="en-US"/>
        </w:rPr>
        <w:t>Innovations Journals</w:t>
      </w:r>
      <w:r w:rsidRPr="00F102BB">
        <w:rPr>
          <w:rFonts w:cs="Arial"/>
          <w:sz w:val="22"/>
          <w:szCs w:val="20"/>
          <w:lang w:val="en-US"/>
        </w:rPr>
        <w:t>, 7(2), pp.85–87. doi:https://doi.org/10.36401/JQSH-23-42.</w:t>
      </w:r>
    </w:p>
    <w:p w14:paraId="49D3293D" w14:textId="77777777" w:rsidR="005E2760" w:rsidRPr="00FE61F2" w:rsidRDefault="005E2760" w:rsidP="00FE61F2">
      <w:pPr>
        <w:rPr>
          <w:rFonts w:cs="Arial"/>
          <w:sz w:val="22"/>
          <w:szCs w:val="20"/>
          <w:lang w:val="en-US"/>
        </w:rPr>
      </w:pPr>
      <w:r w:rsidRPr="00FE61F2">
        <w:rPr>
          <w:rFonts w:cs="Arial"/>
          <w:sz w:val="22"/>
          <w:szCs w:val="20"/>
          <w:lang w:val="en-US"/>
        </w:rPr>
        <w:t xml:space="preserve">Lalani, M., Morgan, S., </w:t>
      </w:r>
      <w:proofErr w:type="spellStart"/>
      <w:r w:rsidRPr="00FE61F2">
        <w:rPr>
          <w:rFonts w:cs="Arial"/>
          <w:sz w:val="22"/>
          <w:szCs w:val="20"/>
          <w:lang w:val="en-US"/>
        </w:rPr>
        <w:t>Basu</w:t>
      </w:r>
      <w:proofErr w:type="spellEnd"/>
      <w:r w:rsidRPr="00FE61F2">
        <w:rPr>
          <w:rFonts w:cs="Arial"/>
          <w:sz w:val="22"/>
          <w:szCs w:val="20"/>
          <w:lang w:val="en-US"/>
        </w:rPr>
        <w:t xml:space="preserve">, A. and Hogan, H. (2022). Understanding the factors influencing implementation of a new national patient safety policy in England: Lessons from ‘learning from deaths’. </w:t>
      </w:r>
      <w:r w:rsidRPr="00FE61F2">
        <w:rPr>
          <w:rFonts w:cs="Arial"/>
          <w:i/>
          <w:iCs/>
          <w:sz w:val="22"/>
          <w:szCs w:val="20"/>
          <w:lang w:val="en-US"/>
        </w:rPr>
        <w:t>Journal of Health Services Research &amp; Policy</w:t>
      </w:r>
      <w:r w:rsidRPr="00FE61F2">
        <w:rPr>
          <w:rFonts w:cs="Arial"/>
          <w:sz w:val="22"/>
          <w:szCs w:val="20"/>
          <w:lang w:val="en-US"/>
        </w:rPr>
        <w:t>, 28(1), p.135581962210969. doi:https://doi.org/10.1177/13558196221096921.</w:t>
      </w:r>
    </w:p>
    <w:p w14:paraId="44E1DC2E" w14:textId="77777777" w:rsidR="005E2760" w:rsidRPr="00FE61F2" w:rsidRDefault="005E2760" w:rsidP="00FE61F2">
      <w:pPr>
        <w:rPr>
          <w:rFonts w:cs="Arial"/>
          <w:sz w:val="22"/>
          <w:szCs w:val="20"/>
          <w:lang w:val="en-US"/>
        </w:rPr>
      </w:pPr>
      <w:r w:rsidRPr="00FE61F2">
        <w:rPr>
          <w:rFonts w:cs="Arial"/>
          <w:sz w:val="22"/>
          <w:szCs w:val="20"/>
          <w:lang w:val="en-US"/>
        </w:rPr>
        <w:t xml:space="preserve">Lalani, M., Peters, M., </w:t>
      </w:r>
      <w:proofErr w:type="spellStart"/>
      <w:r w:rsidRPr="00FE61F2">
        <w:rPr>
          <w:rFonts w:cs="Arial"/>
          <w:sz w:val="22"/>
          <w:szCs w:val="20"/>
          <w:lang w:val="en-US"/>
        </w:rPr>
        <w:t>Sugavanam</w:t>
      </w:r>
      <w:proofErr w:type="spellEnd"/>
      <w:r w:rsidRPr="00FE61F2">
        <w:rPr>
          <w:rFonts w:cs="Arial"/>
          <w:sz w:val="22"/>
          <w:szCs w:val="20"/>
          <w:lang w:val="en-US"/>
        </w:rPr>
        <w:t xml:space="preserve">, T., Crocker, H., </w:t>
      </w:r>
      <w:proofErr w:type="spellStart"/>
      <w:r w:rsidRPr="00FE61F2">
        <w:rPr>
          <w:rFonts w:cs="Arial"/>
          <w:sz w:val="22"/>
          <w:szCs w:val="20"/>
          <w:lang w:val="en-US"/>
        </w:rPr>
        <w:t>Caiels</w:t>
      </w:r>
      <w:proofErr w:type="spellEnd"/>
      <w:r w:rsidRPr="00FE61F2">
        <w:rPr>
          <w:rFonts w:cs="Arial"/>
          <w:sz w:val="22"/>
          <w:szCs w:val="20"/>
          <w:lang w:val="en-US"/>
        </w:rPr>
        <w:t xml:space="preserve">, J., Hay, H., Gunn, S., Hogan, H., Page, B. and Fitzpatrick, R. (2024). New Ways of Working to Manage and Improve Quality in Integrated Care Systems in England. </w:t>
      </w:r>
      <w:r w:rsidRPr="00FE61F2">
        <w:rPr>
          <w:rFonts w:cs="Arial"/>
          <w:i/>
          <w:iCs/>
          <w:sz w:val="22"/>
          <w:szCs w:val="20"/>
          <w:lang w:val="en-US"/>
        </w:rPr>
        <w:t>International Journal of Health Policy and Management</w:t>
      </w:r>
      <w:r w:rsidRPr="00FE61F2">
        <w:rPr>
          <w:rFonts w:cs="Arial"/>
          <w:sz w:val="22"/>
          <w:szCs w:val="20"/>
          <w:lang w:val="en-US"/>
        </w:rPr>
        <w:t>, 14(1). doi:https://doi.org/10.34172/ijhpm.8424.</w:t>
      </w:r>
    </w:p>
    <w:p w14:paraId="27C8B471" w14:textId="77777777" w:rsidR="005E2760" w:rsidRPr="00FE61F2" w:rsidRDefault="005E2760" w:rsidP="00FE61F2">
      <w:pPr>
        <w:rPr>
          <w:rFonts w:cs="Arial"/>
          <w:sz w:val="22"/>
          <w:szCs w:val="20"/>
          <w:lang w:val="en-US"/>
        </w:rPr>
      </w:pPr>
      <w:r w:rsidRPr="00FE61F2">
        <w:rPr>
          <w:rFonts w:cs="Arial"/>
          <w:sz w:val="22"/>
          <w:szCs w:val="20"/>
          <w:lang w:val="en-US"/>
        </w:rPr>
        <w:t xml:space="preserve">Lawrence, F. and Conn, D. (2024). </w:t>
      </w:r>
      <w:r w:rsidRPr="00FE61F2">
        <w:rPr>
          <w:rFonts w:cs="Arial"/>
          <w:i/>
          <w:iCs/>
          <w:sz w:val="22"/>
          <w:szCs w:val="20"/>
          <w:lang w:val="en-US"/>
        </w:rPr>
        <w:t xml:space="preserve">A superbug, doctor shortages and a neonatal unit ‘out of its depth’: failures at Lucy </w:t>
      </w:r>
      <w:proofErr w:type="spellStart"/>
      <w:r w:rsidRPr="00FE61F2">
        <w:rPr>
          <w:rFonts w:cs="Arial"/>
          <w:i/>
          <w:iCs/>
          <w:sz w:val="22"/>
          <w:szCs w:val="20"/>
          <w:lang w:val="en-US"/>
        </w:rPr>
        <w:t>Letby</w:t>
      </w:r>
      <w:proofErr w:type="spellEnd"/>
      <w:r w:rsidRPr="00FE61F2">
        <w:rPr>
          <w:rFonts w:cs="Arial"/>
          <w:i/>
          <w:iCs/>
          <w:sz w:val="22"/>
          <w:szCs w:val="20"/>
          <w:lang w:val="en-US"/>
        </w:rPr>
        <w:t xml:space="preserve"> hospital revealed</w:t>
      </w:r>
      <w:r w:rsidRPr="00FE61F2">
        <w:rPr>
          <w:rFonts w:cs="Arial"/>
          <w:sz w:val="22"/>
          <w:szCs w:val="20"/>
          <w:lang w:val="en-US"/>
        </w:rPr>
        <w:t>. [online] the Guardian. Available at: https://www.theguardian.com/uk-news/article/2024/sep/08/a-superbug-doctor-shortages-and-a-neonatal-unit-out-of-its-depth-failures-at-lucy-letby-hospital-revealed [Accessed 13 Apr. 2026].</w:t>
      </w:r>
    </w:p>
    <w:p w14:paraId="59BF23D2" w14:textId="77777777" w:rsidR="005E2760" w:rsidRPr="00FE61F2" w:rsidRDefault="005E2760" w:rsidP="00FE61F2">
      <w:pPr>
        <w:rPr>
          <w:rFonts w:cs="Arial"/>
          <w:sz w:val="22"/>
          <w:szCs w:val="20"/>
          <w:lang w:val="en-US"/>
        </w:rPr>
      </w:pPr>
      <w:r w:rsidRPr="00FE61F2">
        <w:rPr>
          <w:rFonts w:cs="Arial"/>
          <w:sz w:val="22"/>
          <w:szCs w:val="20"/>
          <w:lang w:val="en-US"/>
        </w:rPr>
        <w:lastRenderedPageBreak/>
        <w:t xml:space="preserve">Martin, G., </w:t>
      </w:r>
      <w:proofErr w:type="spellStart"/>
      <w:r w:rsidRPr="00FE61F2">
        <w:rPr>
          <w:rFonts w:cs="Arial"/>
          <w:sz w:val="22"/>
          <w:szCs w:val="20"/>
          <w:lang w:val="en-US"/>
        </w:rPr>
        <w:t>Pralat</w:t>
      </w:r>
      <w:proofErr w:type="spellEnd"/>
      <w:r w:rsidRPr="00FE61F2">
        <w:rPr>
          <w:rFonts w:cs="Arial"/>
          <w:sz w:val="22"/>
          <w:szCs w:val="20"/>
          <w:lang w:val="en-US"/>
        </w:rPr>
        <w:t xml:space="preserve">, R., Waring, J., </w:t>
      </w:r>
      <w:proofErr w:type="spellStart"/>
      <w:r w:rsidRPr="00FE61F2">
        <w:rPr>
          <w:rFonts w:cs="Arial"/>
          <w:sz w:val="22"/>
          <w:szCs w:val="20"/>
          <w:lang w:val="en-US"/>
        </w:rPr>
        <w:t>Peerally</w:t>
      </w:r>
      <w:proofErr w:type="spellEnd"/>
      <w:r w:rsidRPr="00FE61F2">
        <w:rPr>
          <w:rFonts w:cs="Arial"/>
          <w:sz w:val="22"/>
          <w:szCs w:val="20"/>
          <w:lang w:val="en-US"/>
        </w:rPr>
        <w:t xml:space="preserve">, M.F. and Lamont, T. (2024). </w:t>
      </w:r>
      <w:proofErr w:type="spellStart"/>
      <w:r w:rsidRPr="00FE61F2">
        <w:rPr>
          <w:rFonts w:cs="Arial"/>
          <w:sz w:val="22"/>
          <w:szCs w:val="20"/>
          <w:lang w:val="en-US"/>
        </w:rPr>
        <w:t>Professionalising</w:t>
      </w:r>
      <w:proofErr w:type="spellEnd"/>
      <w:r w:rsidRPr="00FE61F2">
        <w:rPr>
          <w:rFonts w:cs="Arial"/>
          <w:sz w:val="22"/>
          <w:szCs w:val="20"/>
          <w:lang w:val="en-US"/>
        </w:rPr>
        <w:t xml:space="preserve"> patient safety? Findings from a mixed-methods formative evaluation of the patient safety specialist role in the English National Health Service. </w:t>
      </w:r>
      <w:r w:rsidRPr="00FE61F2">
        <w:rPr>
          <w:rFonts w:cs="Arial"/>
          <w:i/>
          <w:iCs/>
          <w:sz w:val="22"/>
          <w:szCs w:val="20"/>
          <w:lang w:val="en-US"/>
        </w:rPr>
        <w:t>Journal of Health Services Research &amp; Policy</w:t>
      </w:r>
      <w:r w:rsidRPr="00FE61F2">
        <w:rPr>
          <w:rFonts w:cs="Arial"/>
          <w:sz w:val="22"/>
          <w:szCs w:val="20"/>
          <w:lang w:val="en-US"/>
        </w:rPr>
        <w:t>. doi:https://doi.org/10.1177/13558196241268441.</w:t>
      </w:r>
    </w:p>
    <w:p w14:paraId="14CE2827" w14:textId="77777777" w:rsidR="005E2760" w:rsidRPr="00FE61F2" w:rsidRDefault="005E2760" w:rsidP="00FE61F2">
      <w:pPr>
        <w:rPr>
          <w:rFonts w:cs="Arial"/>
          <w:sz w:val="22"/>
          <w:szCs w:val="20"/>
          <w:lang w:val="en-US"/>
        </w:rPr>
      </w:pPr>
      <w:r w:rsidRPr="00FE61F2">
        <w:rPr>
          <w:rFonts w:cs="Arial"/>
          <w:sz w:val="22"/>
          <w:szCs w:val="20"/>
          <w:lang w:val="en-US"/>
        </w:rPr>
        <w:t xml:space="preserve">NHS England (2021). </w:t>
      </w:r>
      <w:r w:rsidRPr="00FE61F2">
        <w:rPr>
          <w:rFonts w:cs="Arial"/>
          <w:i/>
          <w:iCs/>
          <w:sz w:val="22"/>
          <w:szCs w:val="20"/>
          <w:lang w:val="en-US"/>
        </w:rPr>
        <w:t xml:space="preserve">The National Patient Safety Improvement </w:t>
      </w:r>
      <w:proofErr w:type="spellStart"/>
      <w:r w:rsidRPr="00FE61F2">
        <w:rPr>
          <w:rFonts w:cs="Arial"/>
          <w:i/>
          <w:iCs/>
          <w:sz w:val="22"/>
          <w:szCs w:val="20"/>
          <w:lang w:val="en-US"/>
        </w:rPr>
        <w:t>Programmes</w:t>
      </w:r>
      <w:proofErr w:type="spellEnd"/>
      <w:r w:rsidRPr="00FE61F2">
        <w:rPr>
          <w:rFonts w:cs="Arial"/>
          <w:sz w:val="22"/>
          <w:szCs w:val="20"/>
          <w:lang w:val="en-US"/>
        </w:rPr>
        <w:t>. [online] Available at: https://www.england.nhs.uk/patient-safety/patient-safety-improvement-programmes/ [Accessed 12 Apr. 2026].</w:t>
      </w:r>
    </w:p>
    <w:p w14:paraId="43E7131F" w14:textId="77777777" w:rsidR="005E2760" w:rsidRPr="00FE61F2" w:rsidRDefault="005E2760" w:rsidP="00FE61F2">
      <w:pPr>
        <w:rPr>
          <w:rFonts w:cs="Arial"/>
          <w:sz w:val="22"/>
          <w:szCs w:val="20"/>
          <w:lang w:val="en-US"/>
        </w:rPr>
      </w:pPr>
      <w:r w:rsidRPr="00FE61F2">
        <w:rPr>
          <w:rFonts w:cs="Arial"/>
          <w:sz w:val="22"/>
          <w:szCs w:val="20"/>
          <w:lang w:val="en-US"/>
        </w:rPr>
        <w:t xml:space="preserve">NHS England (2024). </w:t>
      </w:r>
      <w:r w:rsidRPr="00FE61F2">
        <w:rPr>
          <w:rFonts w:cs="Arial"/>
          <w:i/>
          <w:iCs/>
          <w:sz w:val="22"/>
          <w:szCs w:val="20"/>
          <w:lang w:val="en-US"/>
        </w:rPr>
        <w:t>Patient Safety Incident Response Framework</w:t>
      </w:r>
      <w:r w:rsidRPr="00FE61F2">
        <w:rPr>
          <w:rFonts w:cs="Arial"/>
          <w:sz w:val="22"/>
          <w:szCs w:val="20"/>
          <w:lang w:val="en-US"/>
        </w:rPr>
        <w:t>. [online] www.england.nhs.uk. Available at: https://www.england.nhs.uk/long-read/patient-safety-incident-response-framework/ [Accessed 13 Apr. 2026].</w:t>
      </w:r>
    </w:p>
    <w:p w14:paraId="12D55386" w14:textId="77777777" w:rsidR="005E2760" w:rsidRPr="00FE61F2" w:rsidRDefault="005E2760" w:rsidP="00FE61F2">
      <w:pPr>
        <w:rPr>
          <w:rFonts w:cs="Arial"/>
          <w:sz w:val="22"/>
          <w:szCs w:val="20"/>
          <w:lang w:val="en-US"/>
        </w:rPr>
      </w:pPr>
      <w:r w:rsidRPr="00FE61F2">
        <w:rPr>
          <w:rFonts w:cs="Arial"/>
          <w:sz w:val="22"/>
          <w:szCs w:val="20"/>
          <w:lang w:val="en-US"/>
        </w:rPr>
        <w:t xml:space="preserve">NICE (2021). </w:t>
      </w:r>
      <w:r w:rsidRPr="00FE61F2">
        <w:rPr>
          <w:rFonts w:cs="Arial"/>
          <w:i/>
          <w:iCs/>
          <w:sz w:val="22"/>
          <w:szCs w:val="20"/>
          <w:lang w:val="en-US"/>
        </w:rPr>
        <w:t>Patient safety</w:t>
      </w:r>
      <w:r w:rsidRPr="00FE61F2">
        <w:rPr>
          <w:rFonts w:cs="Arial"/>
          <w:sz w:val="22"/>
          <w:szCs w:val="20"/>
          <w:lang w:val="en-US"/>
        </w:rPr>
        <w:t>. [online] NICE website: The National Institute for Health and Care Excellence. Available at: https://www.nice.org.uk/patient-safety [Accessed 13 Apr. 2026].</w:t>
      </w:r>
    </w:p>
    <w:p w14:paraId="1CF1E531" w14:textId="77777777" w:rsidR="005E2760" w:rsidRPr="00FE61F2" w:rsidRDefault="005E2760" w:rsidP="00FE61F2">
      <w:pPr>
        <w:rPr>
          <w:rFonts w:cs="Arial"/>
          <w:sz w:val="22"/>
          <w:szCs w:val="20"/>
          <w:lang w:val="en-US"/>
        </w:rPr>
      </w:pPr>
      <w:proofErr w:type="spellStart"/>
      <w:r w:rsidRPr="00FE61F2">
        <w:rPr>
          <w:rFonts w:cs="Arial"/>
          <w:sz w:val="22"/>
          <w:szCs w:val="20"/>
          <w:lang w:val="en-US"/>
        </w:rPr>
        <w:t>Oyeneyin</w:t>
      </w:r>
      <w:proofErr w:type="spellEnd"/>
      <w:r w:rsidRPr="00FE61F2">
        <w:rPr>
          <w:rFonts w:cs="Arial"/>
          <w:sz w:val="22"/>
          <w:szCs w:val="20"/>
          <w:lang w:val="en-US"/>
        </w:rPr>
        <w:t xml:space="preserve">, B., Beech, H., Marshall, A. and Head, K. (2024). Falls prevention in an older adult mental health ward through a quality improvement initiative. </w:t>
      </w:r>
      <w:r w:rsidRPr="00FE61F2">
        <w:rPr>
          <w:rFonts w:cs="Arial"/>
          <w:i/>
          <w:iCs/>
          <w:sz w:val="22"/>
          <w:szCs w:val="20"/>
          <w:lang w:val="en-US"/>
        </w:rPr>
        <w:t>BMJ Open Quality</w:t>
      </w:r>
      <w:r w:rsidRPr="00FE61F2">
        <w:rPr>
          <w:rFonts w:cs="Arial"/>
          <w:sz w:val="22"/>
          <w:szCs w:val="20"/>
          <w:lang w:val="en-US"/>
        </w:rPr>
        <w:t>, 13(4). doi:https://doi.org/10.1136/bmjoq-2024-002794.</w:t>
      </w:r>
    </w:p>
    <w:p w14:paraId="06F25468" w14:textId="77777777" w:rsidR="005E2760" w:rsidRPr="00F102BB" w:rsidRDefault="005E2760" w:rsidP="00F102BB">
      <w:pPr>
        <w:rPr>
          <w:rFonts w:cs="Arial"/>
          <w:sz w:val="22"/>
          <w:szCs w:val="20"/>
          <w:lang w:val="en-US"/>
        </w:rPr>
      </w:pPr>
      <w:r w:rsidRPr="00F102BB">
        <w:rPr>
          <w:rFonts w:cs="Arial"/>
          <w:sz w:val="22"/>
          <w:szCs w:val="20"/>
          <w:lang w:val="en-US"/>
        </w:rPr>
        <w:t>Parmar, D., Patel, N., Kenneth-</w:t>
      </w:r>
      <w:proofErr w:type="spellStart"/>
      <w:r w:rsidRPr="00F102BB">
        <w:rPr>
          <w:rFonts w:cs="Arial"/>
          <w:sz w:val="22"/>
          <w:szCs w:val="20"/>
          <w:lang w:val="en-US"/>
        </w:rPr>
        <w:t>Ogah</w:t>
      </w:r>
      <w:proofErr w:type="spellEnd"/>
      <w:r w:rsidRPr="00F102BB">
        <w:rPr>
          <w:rFonts w:cs="Arial"/>
          <w:sz w:val="22"/>
          <w:szCs w:val="20"/>
          <w:lang w:val="en-US"/>
        </w:rPr>
        <w:t xml:space="preserve">, C., </w:t>
      </w:r>
      <w:proofErr w:type="spellStart"/>
      <w:r w:rsidRPr="00F102BB">
        <w:rPr>
          <w:rFonts w:cs="Arial"/>
          <w:sz w:val="22"/>
          <w:szCs w:val="20"/>
          <w:lang w:val="en-US"/>
        </w:rPr>
        <w:t>Yazdouni</w:t>
      </w:r>
      <w:proofErr w:type="spellEnd"/>
      <w:r w:rsidRPr="00F102BB">
        <w:rPr>
          <w:rFonts w:cs="Arial"/>
          <w:sz w:val="22"/>
          <w:szCs w:val="20"/>
          <w:lang w:val="en-US"/>
        </w:rPr>
        <w:t xml:space="preserve">, S., Desai, C., </w:t>
      </w:r>
      <w:proofErr w:type="spellStart"/>
      <w:r w:rsidRPr="00F102BB">
        <w:rPr>
          <w:rFonts w:cs="Arial"/>
          <w:sz w:val="22"/>
          <w:szCs w:val="20"/>
          <w:lang w:val="en-US"/>
        </w:rPr>
        <w:t>Raveshia</w:t>
      </w:r>
      <w:proofErr w:type="spellEnd"/>
      <w:r w:rsidRPr="00F102BB">
        <w:rPr>
          <w:rFonts w:cs="Arial"/>
          <w:sz w:val="22"/>
          <w:szCs w:val="20"/>
          <w:lang w:val="en-US"/>
        </w:rPr>
        <w:t xml:space="preserve">, D. and Patel, R. (2026). Root causes of surgical never-events: a systematic review. </w:t>
      </w:r>
      <w:r w:rsidRPr="00F102BB">
        <w:rPr>
          <w:rFonts w:cs="Arial"/>
          <w:i/>
          <w:iCs/>
          <w:sz w:val="22"/>
          <w:szCs w:val="20"/>
          <w:lang w:val="en-US"/>
        </w:rPr>
        <w:t>Patient Safety in Surgery</w:t>
      </w:r>
      <w:r w:rsidRPr="00F102BB">
        <w:rPr>
          <w:rFonts w:cs="Arial"/>
          <w:sz w:val="22"/>
          <w:szCs w:val="20"/>
          <w:lang w:val="en-US"/>
        </w:rPr>
        <w:t>. doi:https://doi.org/10.1186/s13037-025-00474-8.</w:t>
      </w:r>
    </w:p>
    <w:p w14:paraId="199CD7D3" w14:textId="77777777" w:rsidR="005E2760" w:rsidRPr="00FE61F2" w:rsidRDefault="005E2760" w:rsidP="00FE61F2">
      <w:pPr>
        <w:rPr>
          <w:rFonts w:cs="Arial"/>
          <w:sz w:val="22"/>
          <w:szCs w:val="20"/>
          <w:lang w:val="en-US"/>
        </w:rPr>
      </w:pPr>
      <w:r w:rsidRPr="00FE61F2">
        <w:rPr>
          <w:rFonts w:cs="Arial"/>
          <w:sz w:val="22"/>
          <w:szCs w:val="20"/>
          <w:lang w:val="en-US"/>
        </w:rPr>
        <w:t xml:space="preserve">Payne, R., Clarke, A., Swann, N., </w:t>
      </w:r>
      <w:proofErr w:type="spellStart"/>
      <w:r w:rsidRPr="00FE61F2">
        <w:rPr>
          <w:rFonts w:cs="Arial"/>
          <w:sz w:val="22"/>
          <w:szCs w:val="20"/>
          <w:lang w:val="en-US"/>
        </w:rPr>
        <w:t>Dael</w:t>
      </w:r>
      <w:proofErr w:type="spellEnd"/>
      <w:r w:rsidRPr="00FE61F2">
        <w:rPr>
          <w:rFonts w:cs="Arial"/>
          <w:sz w:val="22"/>
          <w:szCs w:val="20"/>
          <w:lang w:val="en-US"/>
        </w:rPr>
        <w:t xml:space="preserve">, J. van, </w:t>
      </w:r>
      <w:proofErr w:type="spellStart"/>
      <w:r w:rsidRPr="00FE61F2">
        <w:rPr>
          <w:rFonts w:cs="Arial"/>
          <w:sz w:val="22"/>
          <w:szCs w:val="20"/>
          <w:lang w:val="en-US"/>
        </w:rPr>
        <w:t>Brenman</w:t>
      </w:r>
      <w:proofErr w:type="spellEnd"/>
      <w:r w:rsidRPr="00FE61F2">
        <w:rPr>
          <w:rFonts w:cs="Arial"/>
          <w:sz w:val="22"/>
          <w:szCs w:val="20"/>
          <w:lang w:val="en-US"/>
        </w:rPr>
        <w:t xml:space="preserve">, N., Rosen, R., </w:t>
      </w:r>
      <w:proofErr w:type="spellStart"/>
      <w:r w:rsidRPr="00FE61F2">
        <w:rPr>
          <w:rFonts w:cs="Arial"/>
          <w:sz w:val="22"/>
          <w:szCs w:val="20"/>
          <w:lang w:val="en-US"/>
        </w:rPr>
        <w:t>Mackridge</w:t>
      </w:r>
      <w:proofErr w:type="spellEnd"/>
      <w:r w:rsidRPr="00FE61F2">
        <w:rPr>
          <w:rFonts w:cs="Arial"/>
          <w:sz w:val="22"/>
          <w:szCs w:val="20"/>
          <w:lang w:val="en-US"/>
        </w:rPr>
        <w:t xml:space="preserve">, A., Moore, L., Kalin, A., </w:t>
      </w:r>
      <w:proofErr w:type="spellStart"/>
      <w:r w:rsidRPr="00FE61F2">
        <w:rPr>
          <w:rFonts w:cs="Arial"/>
          <w:sz w:val="22"/>
          <w:szCs w:val="20"/>
          <w:lang w:val="en-US"/>
        </w:rPr>
        <w:t>Ladds</w:t>
      </w:r>
      <w:proofErr w:type="spellEnd"/>
      <w:r w:rsidRPr="00FE61F2">
        <w:rPr>
          <w:rFonts w:cs="Arial"/>
          <w:sz w:val="22"/>
          <w:szCs w:val="20"/>
          <w:lang w:val="en-US"/>
        </w:rPr>
        <w:t xml:space="preserve">, E., Hemmings, N., </w:t>
      </w:r>
      <w:proofErr w:type="spellStart"/>
      <w:r w:rsidRPr="00FE61F2">
        <w:rPr>
          <w:rFonts w:cs="Arial"/>
          <w:sz w:val="22"/>
          <w:szCs w:val="20"/>
          <w:lang w:val="en-US"/>
        </w:rPr>
        <w:t>Rybczynska</w:t>
      </w:r>
      <w:proofErr w:type="spellEnd"/>
      <w:r w:rsidRPr="00FE61F2">
        <w:rPr>
          <w:rFonts w:cs="Arial"/>
          <w:sz w:val="22"/>
          <w:szCs w:val="20"/>
          <w:lang w:val="en-US"/>
        </w:rPr>
        <w:t xml:space="preserve">-Bunt, S., Faulkner, S., Hanson, I., Spitters, S., </w:t>
      </w:r>
      <w:proofErr w:type="spellStart"/>
      <w:r w:rsidRPr="00FE61F2">
        <w:rPr>
          <w:rFonts w:cs="Arial"/>
          <w:sz w:val="22"/>
          <w:szCs w:val="20"/>
          <w:lang w:val="en-US"/>
        </w:rPr>
        <w:t>Wieringa</w:t>
      </w:r>
      <w:proofErr w:type="spellEnd"/>
      <w:r w:rsidRPr="00FE61F2">
        <w:rPr>
          <w:rFonts w:cs="Arial"/>
          <w:sz w:val="22"/>
          <w:szCs w:val="20"/>
          <w:lang w:val="en-US"/>
        </w:rPr>
        <w:t xml:space="preserve">, S., Dakin, F.H., Shaw, S.E., </w:t>
      </w:r>
      <w:proofErr w:type="spellStart"/>
      <w:r w:rsidRPr="00FE61F2">
        <w:rPr>
          <w:rFonts w:cs="Arial"/>
          <w:sz w:val="22"/>
          <w:szCs w:val="20"/>
          <w:lang w:val="en-US"/>
        </w:rPr>
        <w:t>Wherton</w:t>
      </w:r>
      <w:proofErr w:type="spellEnd"/>
      <w:r w:rsidRPr="00FE61F2">
        <w:rPr>
          <w:rFonts w:cs="Arial"/>
          <w:sz w:val="22"/>
          <w:szCs w:val="20"/>
          <w:lang w:val="en-US"/>
        </w:rPr>
        <w:t xml:space="preserve">, J. and Byng, R. (2023). Patient safety in remote primary care encounters: multimethod qualitative study combining Safety I and Safety II analysis. </w:t>
      </w:r>
      <w:r w:rsidRPr="00FE61F2">
        <w:rPr>
          <w:rFonts w:cs="Arial"/>
          <w:i/>
          <w:iCs/>
          <w:sz w:val="22"/>
          <w:szCs w:val="20"/>
          <w:lang w:val="en-US"/>
        </w:rPr>
        <w:t>BMJ Quality &amp; Safety</w:t>
      </w:r>
      <w:r w:rsidRPr="00FE61F2">
        <w:rPr>
          <w:rFonts w:cs="Arial"/>
          <w:sz w:val="22"/>
          <w:szCs w:val="20"/>
          <w:lang w:val="en-US"/>
        </w:rPr>
        <w:t>, 33(9). doi:https://doi.org/10.1136/bmjqs-2023-016674.</w:t>
      </w:r>
    </w:p>
    <w:p w14:paraId="31107C6A" w14:textId="77777777" w:rsidR="005E2760" w:rsidRPr="00FE61F2" w:rsidRDefault="005E2760" w:rsidP="00FE61F2">
      <w:pPr>
        <w:rPr>
          <w:rFonts w:cs="Arial"/>
          <w:sz w:val="22"/>
          <w:szCs w:val="20"/>
          <w:lang w:val="en-US"/>
        </w:rPr>
      </w:pPr>
      <w:r w:rsidRPr="00FE61F2">
        <w:rPr>
          <w:rFonts w:cs="Arial"/>
          <w:sz w:val="22"/>
          <w:szCs w:val="20"/>
          <w:lang w:val="en-US"/>
        </w:rPr>
        <w:t xml:space="preserve">Reidy, C., </w:t>
      </w:r>
      <w:proofErr w:type="spellStart"/>
      <w:r w:rsidRPr="00FE61F2">
        <w:rPr>
          <w:rFonts w:cs="Arial"/>
          <w:sz w:val="22"/>
          <w:szCs w:val="20"/>
          <w:lang w:val="en-US"/>
        </w:rPr>
        <w:t>Papoutsi</w:t>
      </w:r>
      <w:proofErr w:type="spellEnd"/>
      <w:r w:rsidRPr="00FE61F2">
        <w:rPr>
          <w:rFonts w:cs="Arial"/>
          <w:sz w:val="22"/>
          <w:szCs w:val="20"/>
          <w:lang w:val="en-US"/>
        </w:rPr>
        <w:t xml:space="preserve">, C., KC, S., </w:t>
      </w:r>
      <w:proofErr w:type="spellStart"/>
      <w:r w:rsidRPr="00FE61F2">
        <w:rPr>
          <w:rFonts w:cs="Arial"/>
          <w:sz w:val="22"/>
          <w:szCs w:val="20"/>
          <w:lang w:val="en-US"/>
        </w:rPr>
        <w:t>Gudgin</w:t>
      </w:r>
      <w:proofErr w:type="spellEnd"/>
      <w:r w:rsidRPr="00FE61F2">
        <w:rPr>
          <w:rFonts w:cs="Arial"/>
          <w:sz w:val="22"/>
          <w:szCs w:val="20"/>
          <w:lang w:val="en-US"/>
        </w:rPr>
        <w:t xml:space="preserve">, B., Laverty, A.A., Greaves, F. and Powell, J. (2025). Qualitative evaluation of the implementation and national roll-out of the NHS App in England. </w:t>
      </w:r>
      <w:r w:rsidRPr="00FE61F2">
        <w:rPr>
          <w:rFonts w:cs="Arial"/>
          <w:i/>
          <w:iCs/>
          <w:sz w:val="22"/>
          <w:szCs w:val="20"/>
          <w:lang w:val="en-US"/>
        </w:rPr>
        <w:t>BMC Medicine</w:t>
      </w:r>
      <w:r w:rsidRPr="00FE61F2">
        <w:rPr>
          <w:rFonts w:cs="Arial"/>
          <w:sz w:val="22"/>
          <w:szCs w:val="20"/>
          <w:lang w:val="en-US"/>
        </w:rPr>
        <w:t>, 23(1). doi:https://doi.org/10.1186/s12916-024-03842-w.</w:t>
      </w:r>
    </w:p>
    <w:p w14:paraId="6081C247" w14:textId="77777777" w:rsidR="005E2760" w:rsidRPr="00FE61F2" w:rsidRDefault="005E2760" w:rsidP="00FE61F2">
      <w:pPr>
        <w:rPr>
          <w:rFonts w:cs="Arial"/>
          <w:sz w:val="22"/>
          <w:szCs w:val="20"/>
          <w:lang w:val="en-US"/>
        </w:rPr>
      </w:pPr>
      <w:r w:rsidRPr="00FE61F2">
        <w:rPr>
          <w:rFonts w:cs="Arial"/>
          <w:sz w:val="22"/>
          <w:szCs w:val="20"/>
          <w:lang w:val="en-US"/>
        </w:rPr>
        <w:t xml:space="preserve">Rollinson, T.J., </w:t>
      </w:r>
      <w:proofErr w:type="spellStart"/>
      <w:r w:rsidRPr="00FE61F2">
        <w:rPr>
          <w:rFonts w:cs="Arial"/>
          <w:sz w:val="22"/>
          <w:szCs w:val="20"/>
          <w:lang w:val="en-US"/>
        </w:rPr>
        <w:t>Furnival</w:t>
      </w:r>
      <w:proofErr w:type="spellEnd"/>
      <w:r w:rsidRPr="00FE61F2">
        <w:rPr>
          <w:rFonts w:cs="Arial"/>
          <w:sz w:val="22"/>
          <w:szCs w:val="20"/>
          <w:lang w:val="en-US"/>
        </w:rPr>
        <w:t xml:space="preserve">, J., Goldberg, S. and Choudhury, A. (2021). Learning from Lean: a quality improvement project using a Lean-based improvement approach to improve discharge for patients with frailty in an acute care hospital. </w:t>
      </w:r>
      <w:r w:rsidRPr="00FE61F2">
        <w:rPr>
          <w:rFonts w:cs="Arial"/>
          <w:i/>
          <w:iCs/>
          <w:sz w:val="22"/>
          <w:szCs w:val="20"/>
          <w:lang w:val="en-US"/>
        </w:rPr>
        <w:t>BMJ Open Quality</w:t>
      </w:r>
      <w:r w:rsidRPr="00FE61F2">
        <w:rPr>
          <w:rFonts w:cs="Arial"/>
          <w:sz w:val="22"/>
          <w:szCs w:val="20"/>
          <w:lang w:val="en-US"/>
        </w:rPr>
        <w:t>, 10(4), p.e001393. doi:https://doi.org/10.1136/bmjoq-2021-001393.</w:t>
      </w:r>
    </w:p>
    <w:p w14:paraId="6D06FA7A" w14:textId="77777777" w:rsidR="005E2760" w:rsidRPr="00FE61F2" w:rsidRDefault="005E2760" w:rsidP="00FE61F2">
      <w:pPr>
        <w:rPr>
          <w:rFonts w:cs="Arial"/>
          <w:sz w:val="22"/>
          <w:szCs w:val="20"/>
          <w:lang w:val="en-US"/>
        </w:rPr>
      </w:pPr>
      <w:proofErr w:type="spellStart"/>
      <w:r w:rsidRPr="00FE61F2">
        <w:rPr>
          <w:rFonts w:cs="Arial"/>
          <w:sz w:val="22"/>
          <w:szCs w:val="20"/>
          <w:lang w:val="en-US"/>
        </w:rPr>
        <w:t>Rubbo</w:t>
      </w:r>
      <w:proofErr w:type="spellEnd"/>
      <w:r w:rsidRPr="00FE61F2">
        <w:rPr>
          <w:rFonts w:cs="Arial"/>
          <w:sz w:val="22"/>
          <w:szCs w:val="20"/>
          <w:lang w:val="en-US"/>
        </w:rPr>
        <w:t xml:space="preserve">, B., Saville, C., </w:t>
      </w:r>
      <w:proofErr w:type="spellStart"/>
      <w:r w:rsidRPr="00FE61F2">
        <w:rPr>
          <w:rFonts w:cs="Arial"/>
          <w:sz w:val="22"/>
          <w:szCs w:val="20"/>
          <w:lang w:val="en-US"/>
        </w:rPr>
        <w:t>Dall’Ora</w:t>
      </w:r>
      <w:proofErr w:type="spellEnd"/>
      <w:r w:rsidRPr="00FE61F2">
        <w:rPr>
          <w:rFonts w:cs="Arial"/>
          <w:sz w:val="22"/>
          <w:szCs w:val="20"/>
          <w:lang w:val="en-US"/>
        </w:rPr>
        <w:t xml:space="preserve">, C., Turner, L., Jones, J., Ball, J., </w:t>
      </w:r>
      <w:proofErr w:type="spellStart"/>
      <w:r w:rsidRPr="00FE61F2">
        <w:rPr>
          <w:rFonts w:cs="Arial"/>
          <w:sz w:val="22"/>
          <w:szCs w:val="20"/>
          <w:lang w:val="en-US"/>
        </w:rPr>
        <w:t>Culliford</w:t>
      </w:r>
      <w:proofErr w:type="spellEnd"/>
      <w:r w:rsidRPr="00FE61F2">
        <w:rPr>
          <w:rFonts w:cs="Arial"/>
          <w:sz w:val="22"/>
          <w:szCs w:val="20"/>
          <w:lang w:val="en-US"/>
        </w:rPr>
        <w:t xml:space="preserve">, D. and Griffiths, P. (2023). Staffing levels and hospital mortality in England: a national panel study using routinely </w:t>
      </w:r>
      <w:r w:rsidRPr="00FE61F2">
        <w:rPr>
          <w:rFonts w:cs="Arial"/>
          <w:sz w:val="22"/>
          <w:szCs w:val="20"/>
          <w:lang w:val="en-US"/>
        </w:rPr>
        <w:lastRenderedPageBreak/>
        <w:t xml:space="preserve">collected data. </w:t>
      </w:r>
      <w:r w:rsidRPr="00FE61F2">
        <w:rPr>
          <w:rFonts w:cs="Arial"/>
          <w:i/>
          <w:iCs/>
          <w:sz w:val="22"/>
          <w:szCs w:val="20"/>
          <w:lang w:val="en-US"/>
        </w:rPr>
        <w:t>BMJ Open</w:t>
      </w:r>
      <w:r w:rsidRPr="00FE61F2">
        <w:rPr>
          <w:rFonts w:cs="Arial"/>
          <w:sz w:val="22"/>
          <w:szCs w:val="20"/>
          <w:lang w:val="en-US"/>
        </w:rPr>
        <w:t>, 13(5), p.e066702. doi:https://doi.org/10.1136/bmjopen-2022-066702.</w:t>
      </w:r>
    </w:p>
    <w:p w14:paraId="3FC40E9C" w14:textId="77777777" w:rsidR="005E2760" w:rsidRPr="00FE61F2" w:rsidRDefault="005E2760" w:rsidP="00FE61F2">
      <w:pPr>
        <w:rPr>
          <w:rFonts w:cs="Arial"/>
          <w:sz w:val="22"/>
          <w:szCs w:val="20"/>
          <w:lang w:val="en-US"/>
        </w:rPr>
      </w:pPr>
      <w:proofErr w:type="spellStart"/>
      <w:r w:rsidRPr="00FE61F2">
        <w:rPr>
          <w:rFonts w:cs="Arial"/>
          <w:sz w:val="22"/>
          <w:szCs w:val="20"/>
          <w:lang w:val="en-US"/>
        </w:rPr>
        <w:t>Salway</w:t>
      </w:r>
      <w:proofErr w:type="spellEnd"/>
      <w:r w:rsidRPr="00FE61F2">
        <w:rPr>
          <w:rFonts w:cs="Arial"/>
          <w:sz w:val="22"/>
          <w:szCs w:val="20"/>
          <w:lang w:val="en-US"/>
        </w:rPr>
        <w:t xml:space="preserve">, R., </w:t>
      </w:r>
      <w:proofErr w:type="spellStart"/>
      <w:r w:rsidRPr="00FE61F2">
        <w:rPr>
          <w:rFonts w:cs="Arial"/>
          <w:sz w:val="22"/>
          <w:szCs w:val="20"/>
          <w:lang w:val="en-US"/>
        </w:rPr>
        <w:t>Sillero-Rejon</w:t>
      </w:r>
      <w:proofErr w:type="spellEnd"/>
      <w:r w:rsidRPr="00FE61F2">
        <w:rPr>
          <w:rFonts w:cs="Arial"/>
          <w:sz w:val="22"/>
          <w:szCs w:val="20"/>
          <w:lang w:val="en-US"/>
        </w:rPr>
        <w:t xml:space="preserve">, C., Forte, C., Grey, E., </w:t>
      </w:r>
      <w:proofErr w:type="spellStart"/>
      <w:r w:rsidRPr="00FE61F2">
        <w:rPr>
          <w:rFonts w:cs="Arial"/>
          <w:sz w:val="22"/>
          <w:szCs w:val="20"/>
          <w:lang w:val="en-US"/>
        </w:rPr>
        <w:t>Jessiman</w:t>
      </w:r>
      <w:proofErr w:type="spellEnd"/>
      <w:r w:rsidRPr="00FE61F2">
        <w:rPr>
          <w:rFonts w:cs="Arial"/>
          <w:sz w:val="22"/>
          <w:szCs w:val="20"/>
          <w:lang w:val="en-US"/>
        </w:rPr>
        <w:t xml:space="preserve">, P., McLeod, H., </w:t>
      </w:r>
      <w:proofErr w:type="spellStart"/>
      <w:r w:rsidRPr="00FE61F2">
        <w:rPr>
          <w:rFonts w:cs="Arial"/>
          <w:sz w:val="22"/>
          <w:szCs w:val="20"/>
          <w:lang w:val="en-US"/>
        </w:rPr>
        <w:t>Harkes</w:t>
      </w:r>
      <w:proofErr w:type="spellEnd"/>
      <w:r w:rsidRPr="00FE61F2">
        <w:rPr>
          <w:rFonts w:cs="Arial"/>
          <w:sz w:val="22"/>
          <w:szCs w:val="20"/>
          <w:lang w:val="en-US"/>
        </w:rPr>
        <w:t xml:space="preserve">, R., Stokes, P., Vocht, F.D., Campbell, R. and </w:t>
      </w:r>
      <w:proofErr w:type="spellStart"/>
      <w:r w:rsidRPr="00FE61F2">
        <w:rPr>
          <w:rFonts w:cs="Arial"/>
          <w:sz w:val="22"/>
          <w:szCs w:val="20"/>
          <w:lang w:val="en-US"/>
        </w:rPr>
        <w:t>Jago</w:t>
      </w:r>
      <w:proofErr w:type="spellEnd"/>
      <w:r w:rsidRPr="00FE61F2">
        <w:rPr>
          <w:rFonts w:cs="Arial"/>
          <w:sz w:val="22"/>
          <w:szCs w:val="20"/>
          <w:lang w:val="en-US"/>
        </w:rPr>
        <w:t xml:space="preserve">, R. (2024). A service evaluation of the uptake and effectiveness of a digital delivery of the NHS health check service. </w:t>
      </w:r>
      <w:r w:rsidRPr="00FE61F2">
        <w:rPr>
          <w:rFonts w:cs="Arial"/>
          <w:i/>
          <w:iCs/>
          <w:sz w:val="22"/>
          <w:szCs w:val="20"/>
          <w:lang w:val="en-US"/>
        </w:rPr>
        <w:t>BMJ Open</w:t>
      </w:r>
      <w:r w:rsidRPr="00FE61F2">
        <w:rPr>
          <w:rFonts w:cs="Arial"/>
          <w:sz w:val="22"/>
          <w:szCs w:val="20"/>
          <w:lang w:val="en-US"/>
        </w:rPr>
        <w:t xml:space="preserve">, 14(11), </w:t>
      </w:r>
      <w:proofErr w:type="gramStart"/>
      <w:r w:rsidRPr="00FE61F2">
        <w:rPr>
          <w:rFonts w:cs="Arial"/>
          <w:sz w:val="22"/>
          <w:szCs w:val="20"/>
          <w:lang w:val="en-US"/>
        </w:rPr>
        <w:t>pp.e</w:t>
      </w:r>
      <w:proofErr w:type="gramEnd"/>
      <w:r w:rsidRPr="00FE61F2">
        <w:rPr>
          <w:rFonts w:cs="Arial"/>
          <w:sz w:val="22"/>
          <w:szCs w:val="20"/>
          <w:lang w:val="en-US"/>
        </w:rPr>
        <w:t>091417–e091417. doi:https://doi.org/10.1136/bmjopen-2024-091417.</w:t>
      </w:r>
    </w:p>
    <w:p w14:paraId="5F714CEA" w14:textId="77777777" w:rsidR="005E2760" w:rsidRPr="00FE61F2" w:rsidRDefault="005E2760" w:rsidP="00FE61F2">
      <w:pPr>
        <w:rPr>
          <w:rFonts w:cs="Arial"/>
          <w:sz w:val="22"/>
          <w:szCs w:val="20"/>
          <w:lang w:val="en-US"/>
        </w:rPr>
      </w:pPr>
      <w:r w:rsidRPr="00FE61F2">
        <w:rPr>
          <w:rFonts w:cs="Arial"/>
          <w:sz w:val="22"/>
          <w:szCs w:val="20"/>
          <w:lang w:val="en-US"/>
        </w:rPr>
        <w:t xml:space="preserve">Sanderson, M., Allen, P., </w:t>
      </w:r>
      <w:proofErr w:type="spellStart"/>
      <w:r w:rsidRPr="00FE61F2">
        <w:rPr>
          <w:rFonts w:cs="Arial"/>
          <w:sz w:val="22"/>
          <w:szCs w:val="20"/>
          <w:lang w:val="en-US"/>
        </w:rPr>
        <w:t>Osipovic</w:t>
      </w:r>
      <w:proofErr w:type="spellEnd"/>
      <w:r w:rsidRPr="00FE61F2">
        <w:rPr>
          <w:rFonts w:cs="Arial"/>
          <w:sz w:val="22"/>
          <w:szCs w:val="20"/>
          <w:lang w:val="en-US"/>
        </w:rPr>
        <w:t xml:space="preserve">, D., </w:t>
      </w:r>
      <w:proofErr w:type="spellStart"/>
      <w:r w:rsidRPr="00FE61F2">
        <w:rPr>
          <w:rFonts w:cs="Arial"/>
          <w:sz w:val="22"/>
          <w:szCs w:val="20"/>
          <w:lang w:val="en-US"/>
        </w:rPr>
        <w:t>Petsoulas</w:t>
      </w:r>
      <w:proofErr w:type="spellEnd"/>
      <w:r w:rsidRPr="00FE61F2">
        <w:rPr>
          <w:rFonts w:cs="Arial"/>
          <w:sz w:val="22"/>
          <w:szCs w:val="20"/>
          <w:lang w:val="en-US"/>
        </w:rPr>
        <w:t xml:space="preserve">, C., </w:t>
      </w:r>
      <w:proofErr w:type="spellStart"/>
      <w:r w:rsidRPr="00FE61F2">
        <w:rPr>
          <w:rFonts w:cs="Arial"/>
          <w:sz w:val="22"/>
          <w:szCs w:val="20"/>
          <w:lang w:val="en-US"/>
        </w:rPr>
        <w:t>Boiko</w:t>
      </w:r>
      <w:proofErr w:type="spellEnd"/>
      <w:r w:rsidRPr="00FE61F2">
        <w:rPr>
          <w:rFonts w:cs="Arial"/>
          <w:sz w:val="22"/>
          <w:szCs w:val="20"/>
          <w:lang w:val="en-US"/>
        </w:rPr>
        <w:t xml:space="preserve">, O. and Lorne, C. (2023). Developing architecture of system management in the English NHS: evidence from a qualitative study of three Integrated Care Systems. </w:t>
      </w:r>
      <w:r w:rsidRPr="00FE61F2">
        <w:rPr>
          <w:rFonts w:cs="Arial"/>
          <w:i/>
          <w:iCs/>
          <w:sz w:val="22"/>
          <w:szCs w:val="20"/>
          <w:lang w:val="en-US"/>
        </w:rPr>
        <w:t>BMJ Open</w:t>
      </w:r>
      <w:r w:rsidRPr="00FE61F2">
        <w:rPr>
          <w:rFonts w:cs="Arial"/>
          <w:sz w:val="22"/>
          <w:szCs w:val="20"/>
          <w:lang w:val="en-US"/>
        </w:rPr>
        <w:t>, 13(2), p.e065993. doi:https://doi.org/10.1136/bmjopen-2022-065993.</w:t>
      </w:r>
    </w:p>
    <w:p w14:paraId="18A08979" w14:textId="77777777" w:rsidR="005E2760" w:rsidRPr="00FE61F2" w:rsidRDefault="005E2760" w:rsidP="00FE61F2">
      <w:pPr>
        <w:rPr>
          <w:rFonts w:cs="Arial"/>
          <w:sz w:val="22"/>
          <w:szCs w:val="20"/>
          <w:lang w:val="en-US"/>
        </w:rPr>
      </w:pPr>
      <w:r w:rsidRPr="00FE61F2">
        <w:rPr>
          <w:rFonts w:cs="Arial"/>
          <w:sz w:val="22"/>
          <w:szCs w:val="20"/>
          <w:lang w:val="en-US"/>
        </w:rPr>
        <w:t>Santos, C., Ajayi-</w:t>
      </w:r>
      <w:proofErr w:type="spellStart"/>
      <w:r w:rsidRPr="00FE61F2">
        <w:rPr>
          <w:rFonts w:cs="Arial"/>
          <w:sz w:val="22"/>
          <w:szCs w:val="20"/>
          <w:lang w:val="en-US"/>
        </w:rPr>
        <w:t>Obe</w:t>
      </w:r>
      <w:proofErr w:type="spellEnd"/>
      <w:r w:rsidRPr="00FE61F2">
        <w:rPr>
          <w:rFonts w:cs="Arial"/>
          <w:sz w:val="22"/>
          <w:szCs w:val="20"/>
          <w:lang w:val="en-US"/>
        </w:rPr>
        <w:t xml:space="preserve">, A. and Aurelio, M. (2025). Using Quality Improvement to improve serious incident reporting in the English NHS. </w:t>
      </w:r>
      <w:r w:rsidRPr="00FE61F2">
        <w:rPr>
          <w:rFonts w:cs="Arial"/>
          <w:i/>
          <w:iCs/>
          <w:sz w:val="22"/>
          <w:szCs w:val="20"/>
          <w:lang w:val="en-US"/>
        </w:rPr>
        <w:t>BMJ Open Quality</w:t>
      </w:r>
      <w:r w:rsidRPr="00FE61F2">
        <w:rPr>
          <w:rFonts w:cs="Arial"/>
          <w:sz w:val="22"/>
          <w:szCs w:val="20"/>
          <w:lang w:val="en-US"/>
        </w:rPr>
        <w:t>, 14(3). doi:https://doi.org/10.1136/bmjoq-2024-003234.</w:t>
      </w:r>
    </w:p>
    <w:p w14:paraId="61C69FFA" w14:textId="77777777" w:rsidR="005E2760" w:rsidRPr="00FE61F2" w:rsidRDefault="005E2760" w:rsidP="00FE61F2">
      <w:pPr>
        <w:rPr>
          <w:rFonts w:cs="Arial"/>
          <w:sz w:val="22"/>
          <w:szCs w:val="20"/>
          <w:lang w:val="en-US"/>
        </w:rPr>
      </w:pPr>
      <w:r w:rsidRPr="00FE61F2">
        <w:rPr>
          <w:rFonts w:cs="Arial"/>
          <w:sz w:val="22"/>
          <w:szCs w:val="20"/>
          <w:lang w:val="en-US"/>
        </w:rPr>
        <w:t xml:space="preserve">Shepard, K., </w:t>
      </w:r>
      <w:proofErr w:type="spellStart"/>
      <w:r w:rsidRPr="00FE61F2">
        <w:rPr>
          <w:rFonts w:cs="Arial"/>
          <w:sz w:val="22"/>
          <w:szCs w:val="20"/>
          <w:lang w:val="en-US"/>
        </w:rPr>
        <w:t>Buivydaite</w:t>
      </w:r>
      <w:proofErr w:type="spellEnd"/>
      <w:r w:rsidRPr="00FE61F2">
        <w:rPr>
          <w:rFonts w:cs="Arial"/>
          <w:sz w:val="22"/>
          <w:szCs w:val="20"/>
          <w:lang w:val="en-US"/>
        </w:rPr>
        <w:t xml:space="preserve">, R. and Vincent, C. (2021). How do National Health Service (NHS) </w:t>
      </w:r>
      <w:proofErr w:type="spellStart"/>
      <w:r w:rsidRPr="00FE61F2">
        <w:rPr>
          <w:rFonts w:cs="Arial"/>
          <w:sz w:val="22"/>
          <w:szCs w:val="20"/>
          <w:lang w:val="en-US"/>
        </w:rPr>
        <w:t>organisations</w:t>
      </w:r>
      <w:proofErr w:type="spellEnd"/>
      <w:r w:rsidRPr="00FE61F2">
        <w:rPr>
          <w:rFonts w:cs="Arial"/>
          <w:sz w:val="22"/>
          <w:szCs w:val="20"/>
          <w:lang w:val="en-US"/>
        </w:rPr>
        <w:t xml:space="preserve"> respond to patient concerns? A qualitative interview study of the Patient Advice and Liaison Service (PALS). </w:t>
      </w:r>
      <w:r w:rsidRPr="00FE61F2">
        <w:rPr>
          <w:rFonts w:cs="Arial"/>
          <w:i/>
          <w:iCs/>
          <w:sz w:val="22"/>
          <w:szCs w:val="20"/>
          <w:lang w:val="en-US"/>
        </w:rPr>
        <w:t>BMJ Open</w:t>
      </w:r>
      <w:r w:rsidRPr="00FE61F2">
        <w:rPr>
          <w:rFonts w:cs="Arial"/>
          <w:sz w:val="22"/>
          <w:szCs w:val="20"/>
          <w:lang w:val="en-US"/>
        </w:rPr>
        <w:t>, 11(11), p.e053239. doi:https://doi.org/10.1136/bmjopen-2021-053239.</w:t>
      </w:r>
    </w:p>
    <w:p w14:paraId="1BF41C6E" w14:textId="77777777" w:rsidR="005E2760" w:rsidRPr="00FE61F2" w:rsidRDefault="005E2760" w:rsidP="00FE61F2">
      <w:pPr>
        <w:rPr>
          <w:rFonts w:cs="Arial"/>
          <w:sz w:val="22"/>
          <w:szCs w:val="20"/>
          <w:lang w:val="en-US"/>
        </w:rPr>
      </w:pPr>
      <w:r w:rsidRPr="00FE61F2">
        <w:rPr>
          <w:rFonts w:cs="Arial"/>
          <w:sz w:val="22"/>
          <w:szCs w:val="20"/>
          <w:lang w:val="en-US"/>
        </w:rPr>
        <w:t xml:space="preserve">Smith, I.M. (2023). Building lean improvement skills at scale: an evaluation of a massive open online course in the English NHS. </w:t>
      </w:r>
      <w:r w:rsidRPr="00FE61F2">
        <w:rPr>
          <w:rFonts w:cs="Arial"/>
          <w:i/>
          <w:iCs/>
          <w:sz w:val="22"/>
          <w:szCs w:val="20"/>
          <w:lang w:val="en-US"/>
        </w:rPr>
        <w:t>BMJ Open Quality</w:t>
      </w:r>
      <w:r w:rsidRPr="00FE61F2">
        <w:rPr>
          <w:rFonts w:cs="Arial"/>
          <w:sz w:val="22"/>
          <w:szCs w:val="20"/>
          <w:lang w:val="en-US"/>
        </w:rPr>
        <w:t>, 12(4), p.e002357. doi:https://doi.org/10.1136/bmjoq-2023-002357.</w:t>
      </w:r>
    </w:p>
    <w:p w14:paraId="7EF35CEF" w14:textId="77777777" w:rsidR="005E2760" w:rsidRPr="00FE61F2" w:rsidRDefault="005E2760" w:rsidP="00FE61F2">
      <w:pPr>
        <w:rPr>
          <w:rFonts w:cs="Arial"/>
          <w:sz w:val="22"/>
          <w:szCs w:val="20"/>
          <w:lang w:val="en-US"/>
        </w:rPr>
      </w:pPr>
      <w:r w:rsidRPr="00FE61F2">
        <w:rPr>
          <w:rFonts w:cs="Arial"/>
          <w:sz w:val="22"/>
          <w:szCs w:val="20"/>
          <w:lang w:val="en-US"/>
        </w:rPr>
        <w:t xml:space="preserve">Tyler, N., Angelakis, I., </w:t>
      </w:r>
      <w:proofErr w:type="spellStart"/>
      <w:r w:rsidRPr="00FE61F2">
        <w:rPr>
          <w:rFonts w:cs="Arial"/>
          <w:sz w:val="22"/>
          <w:szCs w:val="20"/>
          <w:lang w:val="en-US"/>
        </w:rPr>
        <w:t>Keers</w:t>
      </w:r>
      <w:proofErr w:type="spellEnd"/>
      <w:r w:rsidRPr="00FE61F2">
        <w:rPr>
          <w:rFonts w:cs="Arial"/>
          <w:sz w:val="22"/>
          <w:szCs w:val="20"/>
          <w:lang w:val="en-US"/>
        </w:rPr>
        <w:t xml:space="preserve">, R.N., Planner, C., Hodkinson, A., Giles, S.J., Grundy, A., </w:t>
      </w:r>
      <w:proofErr w:type="spellStart"/>
      <w:r w:rsidRPr="00FE61F2">
        <w:rPr>
          <w:rFonts w:cs="Arial"/>
          <w:sz w:val="22"/>
          <w:szCs w:val="20"/>
          <w:lang w:val="en-US"/>
        </w:rPr>
        <w:t>Kapur</w:t>
      </w:r>
      <w:proofErr w:type="spellEnd"/>
      <w:r w:rsidRPr="00FE61F2">
        <w:rPr>
          <w:rFonts w:cs="Arial"/>
          <w:sz w:val="22"/>
          <w:szCs w:val="20"/>
          <w:lang w:val="en-US"/>
        </w:rPr>
        <w:t xml:space="preserve">, N., Armitage, C., Blakeman, T., Campbell, S.M., Robinson, C., Leather, J. and </w:t>
      </w:r>
      <w:proofErr w:type="spellStart"/>
      <w:r w:rsidRPr="00FE61F2">
        <w:rPr>
          <w:rFonts w:cs="Arial"/>
          <w:sz w:val="22"/>
          <w:szCs w:val="20"/>
          <w:lang w:val="en-US"/>
        </w:rPr>
        <w:t>Panagioti</w:t>
      </w:r>
      <w:proofErr w:type="spellEnd"/>
      <w:r w:rsidRPr="00FE61F2">
        <w:rPr>
          <w:rFonts w:cs="Arial"/>
          <w:sz w:val="22"/>
          <w:szCs w:val="20"/>
          <w:lang w:val="en-US"/>
        </w:rPr>
        <w:t>, M. (2023). Evaluating a co-designed care bundle to improve patient safety at discharge from adult and adolescent mental health services (SAFER-MH and SAFER-YMH): protocol for a non-</w:t>
      </w:r>
      <w:proofErr w:type="spellStart"/>
      <w:r w:rsidRPr="00FE61F2">
        <w:rPr>
          <w:rFonts w:cs="Arial"/>
          <w:sz w:val="22"/>
          <w:szCs w:val="20"/>
          <w:lang w:val="en-US"/>
        </w:rPr>
        <w:t>randomised</w:t>
      </w:r>
      <w:proofErr w:type="spellEnd"/>
      <w:r w:rsidRPr="00FE61F2">
        <w:rPr>
          <w:rFonts w:cs="Arial"/>
          <w:sz w:val="22"/>
          <w:szCs w:val="20"/>
          <w:lang w:val="en-US"/>
        </w:rPr>
        <w:t xml:space="preserve"> feasibility study. </w:t>
      </w:r>
      <w:r w:rsidRPr="00FE61F2">
        <w:rPr>
          <w:rFonts w:cs="Arial"/>
          <w:i/>
          <w:iCs/>
          <w:sz w:val="22"/>
          <w:szCs w:val="20"/>
          <w:lang w:val="en-US"/>
        </w:rPr>
        <w:t>BMJ Open</w:t>
      </w:r>
      <w:r w:rsidRPr="00FE61F2">
        <w:rPr>
          <w:rFonts w:cs="Arial"/>
          <w:sz w:val="22"/>
          <w:szCs w:val="20"/>
          <w:lang w:val="en-US"/>
        </w:rPr>
        <w:t>, 13(4), p.e069216. doi:https://doi.org/10.1136/bmjopen-2022-069216.</w:t>
      </w:r>
    </w:p>
    <w:p w14:paraId="594126C6" w14:textId="77777777" w:rsidR="005E2760" w:rsidRPr="00F102BB" w:rsidRDefault="005E2760" w:rsidP="00F102BB">
      <w:pPr>
        <w:rPr>
          <w:rFonts w:cs="Arial"/>
          <w:sz w:val="22"/>
          <w:szCs w:val="20"/>
          <w:lang w:val="en-US"/>
        </w:rPr>
      </w:pPr>
      <w:r w:rsidRPr="00F102BB">
        <w:rPr>
          <w:rFonts w:cs="Arial"/>
          <w:sz w:val="22"/>
          <w:szCs w:val="20"/>
          <w:lang w:val="en-US"/>
        </w:rPr>
        <w:t xml:space="preserve">Vincent, C., Irving, D., </w:t>
      </w:r>
      <w:proofErr w:type="spellStart"/>
      <w:r w:rsidRPr="00F102BB">
        <w:rPr>
          <w:rFonts w:cs="Arial"/>
          <w:sz w:val="22"/>
          <w:szCs w:val="20"/>
          <w:lang w:val="en-US"/>
        </w:rPr>
        <w:t>Bellandi</w:t>
      </w:r>
      <w:proofErr w:type="spellEnd"/>
      <w:r w:rsidRPr="00F102BB">
        <w:rPr>
          <w:rFonts w:cs="Arial"/>
          <w:sz w:val="22"/>
          <w:szCs w:val="20"/>
          <w:lang w:val="en-US"/>
        </w:rPr>
        <w:t xml:space="preserve">, T., </w:t>
      </w:r>
      <w:proofErr w:type="spellStart"/>
      <w:r w:rsidRPr="00F102BB">
        <w:rPr>
          <w:rFonts w:cs="Arial"/>
          <w:sz w:val="22"/>
          <w:szCs w:val="20"/>
          <w:lang w:val="en-US"/>
        </w:rPr>
        <w:t>Higham</w:t>
      </w:r>
      <w:proofErr w:type="spellEnd"/>
      <w:r w:rsidRPr="00F102BB">
        <w:rPr>
          <w:rFonts w:cs="Arial"/>
          <w:sz w:val="22"/>
          <w:szCs w:val="20"/>
          <w:lang w:val="en-US"/>
        </w:rPr>
        <w:t xml:space="preserve">, H., Michel, P., Staines, A., Adams, S., Brown, J., Hibbert, P.D., </w:t>
      </w:r>
      <w:proofErr w:type="spellStart"/>
      <w:r w:rsidRPr="00F102BB">
        <w:rPr>
          <w:rFonts w:cs="Arial"/>
          <w:sz w:val="22"/>
          <w:szCs w:val="20"/>
          <w:lang w:val="en-US"/>
        </w:rPr>
        <w:t>Hemmelgarn</w:t>
      </w:r>
      <w:proofErr w:type="spellEnd"/>
      <w:r w:rsidRPr="00F102BB">
        <w:rPr>
          <w:rFonts w:cs="Arial"/>
          <w:sz w:val="22"/>
          <w:szCs w:val="20"/>
          <w:lang w:val="en-US"/>
        </w:rPr>
        <w:t xml:space="preserve">, C., Joseph, L., Pires, K., Sheridan, S., Sunol, R., </w:t>
      </w:r>
      <w:proofErr w:type="spellStart"/>
      <w:r w:rsidRPr="00F102BB">
        <w:rPr>
          <w:rFonts w:cs="Arial"/>
          <w:sz w:val="22"/>
          <w:szCs w:val="20"/>
          <w:lang w:val="en-US"/>
        </w:rPr>
        <w:t>Ushiro</w:t>
      </w:r>
      <w:proofErr w:type="spellEnd"/>
      <w:r w:rsidRPr="00F102BB">
        <w:rPr>
          <w:rFonts w:cs="Arial"/>
          <w:sz w:val="22"/>
          <w:szCs w:val="20"/>
          <w:lang w:val="en-US"/>
        </w:rPr>
        <w:t xml:space="preserve">, S., Wu, A.W. and </w:t>
      </w:r>
      <w:proofErr w:type="spellStart"/>
      <w:r w:rsidRPr="00F102BB">
        <w:rPr>
          <w:rFonts w:cs="Arial"/>
          <w:sz w:val="22"/>
          <w:szCs w:val="20"/>
          <w:lang w:val="en-US"/>
        </w:rPr>
        <w:t>Zambon</w:t>
      </w:r>
      <w:proofErr w:type="spellEnd"/>
      <w:r w:rsidRPr="00F102BB">
        <w:rPr>
          <w:rFonts w:cs="Arial"/>
          <w:sz w:val="22"/>
          <w:szCs w:val="20"/>
          <w:lang w:val="en-US"/>
        </w:rPr>
        <w:t xml:space="preserve">, L. (2025). Systems analysis of clinical incidents: development of a new edition of the London Protocol. </w:t>
      </w:r>
      <w:r w:rsidRPr="00F102BB">
        <w:rPr>
          <w:rFonts w:cs="Arial"/>
          <w:i/>
          <w:iCs/>
          <w:sz w:val="22"/>
          <w:szCs w:val="20"/>
          <w:lang w:val="en-US"/>
        </w:rPr>
        <w:t>BMJ Quality &amp; Safety</w:t>
      </w:r>
      <w:r w:rsidRPr="00F102BB">
        <w:rPr>
          <w:rFonts w:cs="Arial"/>
          <w:sz w:val="22"/>
          <w:szCs w:val="20"/>
          <w:lang w:val="en-US"/>
        </w:rPr>
        <w:t xml:space="preserve">, </w:t>
      </w:r>
      <w:proofErr w:type="gramStart"/>
      <w:r w:rsidRPr="00F102BB">
        <w:rPr>
          <w:rFonts w:cs="Arial"/>
          <w:sz w:val="22"/>
          <w:szCs w:val="20"/>
          <w:lang w:val="en-US"/>
        </w:rPr>
        <w:t>p.bmjqs</w:t>
      </w:r>
      <w:proofErr w:type="gramEnd"/>
      <w:r w:rsidRPr="00F102BB">
        <w:rPr>
          <w:rFonts w:cs="Arial"/>
          <w:sz w:val="22"/>
          <w:szCs w:val="20"/>
          <w:lang w:val="en-US"/>
        </w:rPr>
        <w:t>-2024-017987. doi:https://doi.org/10.1136/bmjqs-2024-017987.</w:t>
      </w:r>
    </w:p>
    <w:p w14:paraId="33794DC7" w14:textId="77777777" w:rsidR="005E2760" w:rsidRDefault="005E2760" w:rsidP="00FE61F2">
      <w:pPr>
        <w:rPr>
          <w:rFonts w:cs="Arial"/>
          <w:sz w:val="22"/>
          <w:szCs w:val="20"/>
          <w:lang w:val="en-US"/>
        </w:rPr>
      </w:pPr>
      <w:r w:rsidRPr="00FE61F2">
        <w:rPr>
          <w:rFonts w:cs="Arial"/>
          <w:sz w:val="22"/>
          <w:szCs w:val="20"/>
          <w:lang w:val="en-US"/>
        </w:rPr>
        <w:t xml:space="preserve">Zhang, Y., </w:t>
      </w:r>
      <w:proofErr w:type="spellStart"/>
      <w:r w:rsidRPr="00FE61F2">
        <w:rPr>
          <w:rFonts w:cs="Arial"/>
          <w:sz w:val="22"/>
          <w:szCs w:val="20"/>
          <w:lang w:val="en-US"/>
        </w:rPr>
        <w:t>Cosimetti</w:t>
      </w:r>
      <w:proofErr w:type="spellEnd"/>
      <w:r w:rsidRPr="00FE61F2">
        <w:rPr>
          <w:rFonts w:cs="Arial"/>
          <w:sz w:val="22"/>
          <w:szCs w:val="20"/>
          <w:lang w:val="en-US"/>
        </w:rPr>
        <w:t xml:space="preserve">, A. and Montagu, A. (2025). Identifying frail patients at the front door: a quality improvement project on improving identifying frailty and accuracy of Clinical Frailty </w:t>
      </w:r>
      <w:r w:rsidRPr="00FE61F2">
        <w:rPr>
          <w:rFonts w:cs="Arial"/>
          <w:sz w:val="22"/>
          <w:szCs w:val="20"/>
          <w:lang w:val="en-US"/>
        </w:rPr>
        <w:lastRenderedPageBreak/>
        <w:t xml:space="preserve">Scale in the emergency department in an acute general hospital. </w:t>
      </w:r>
      <w:r w:rsidRPr="00FE61F2">
        <w:rPr>
          <w:rFonts w:cs="Arial"/>
          <w:i/>
          <w:iCs/>
          <w:sz w:val="22"/>
          <w:szCs w:val="20"/>
          <w:lang w:val="en-US"/>
        </w:rPr>
        <w:t>BMJ Open Quality</w:t>
      </w:r>
      <w:r w:rsidRPr="00FE61F2">
        <w:rPr>
          <w:rFonts w:cs="Arial"/>
          <w:sz w:val="22"/>
          <w:szCs w:val="20"/>
          <w:lang w:val="en-US"/>
        </w:rPr>
        <w:t xml:space="preserve">, 14(2), </w:t>
      </w:r>
      <w:proofErr w:type="gramStart"/>
      <w:r w:rsidRPr="00FE61F2">
        <w:rPr>
          <w:rFonts w:cs="Arial"/>
          <w:sz w:val="22"/>
          <w:szCs w:val="20"/>
          <w:lang w:val="en-US"/>
        </w:rPr>
        <w:t>pp.e</w:t>
      </w:r>
      <w:proofErr w:type="gramEnd"/>
      <w:r w:rsidRPr="00FE61F2">
        <w:rPr>
          <w:rFonts w:cs="Arial"/>
          <w:sz w:val="22"/>
          <w:szCs w:val="20"/>
          <w:lang w:val="en-US"/>
        </w:rPr>
        <w:t>003216–e003216. doi:https://doi.org/10.1136/bmjoq-2024-003216.</w:t>
      </w:r>
    </w:p>
    <w:p w14:paraId="7B92DA29" w14:textId="77777777" w:rsidR="005E2760" w:rsidRDefault="005E2760" w:rsidP="00FE61F2">
      <w:pPr>
        <w:rPr>
          <w:rFonts w:cs="Arial"/>
          <w:sz w:val="22"/>
          <w:szCs w:val="20"/>
          <w:lang w:val="en-US"/>
        </w:rPr>
      </w:pPr>
    </w:p>
    <w:p w14:paraId="12661346" w14:textId="77777777" w:rsidR="001B47FC" w:rsidRDefault="001B47FC" w:rsidP="00FE61F2">
      <w:pPr>
        <w:rPr>
          <w:rFonts w:cs="Arial"/>
          <w:sz w:val="22"/>
          <w:szCs w:val="20"/>
          <w:lang w:val="en-US"/>
        </w:rPr>
      </w:pPr>
    </w:p>
    <w:p w14:paraId="75E430EB" w14:textId="77777777" w:rsidR="00F102BB" w:rsidRPr="00FE61F2" w:rsidRDefault="00F102BB" w:rsidP="00FE61F2">
      <w:pPr>
        <w:rPr>
          <w:rFonts w:cs="Arial"/>
          <w:sz w:val="22"/>
          <w:szCs w:val="20"/>
          <w:lang w:val="en-US"/>
        </w:rPr>
      </w:pPr>
    </w:p>
    <w:p w14:paraId="16C447B3" w14:textId="77777777" w:rsidR="00811B32" w:rsidRPr="00B12267" w:rsidRDefault="00811B32" w:rsidP="00811B32">
      <w:pPr>
        <w:rPr>
          <w:rFonts w:cs="Arial"/>
          <w:lang w:val="en-US"/>
        </w:rPr>
      </w:pPr>
    </w:p>
    <w:sectPr w:rsidR="00811B32" w:rsidRPr="00B12267" w:rsidSect="00C10A7D">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0FDE2" w14:textId="77777777" w:rsidR="00424BC8" w:rsidRPr="00405D1C" w:rsidRDefault="00424BC8" w:rsidP="002F172F">
      <w:pPr>
        <w:spacing w:after="0" w:line="240" w:lineRule="auto"/>
      </w:pPr>
      <w:r w:rsidRPr="00405D1C">
        <w:separator/>
      </w:r>
    </w:p>
  </w:endnote>
  <w:endnote w:type="continuationSeparator" w:id="0">
    <w:p w14:paraId="315B280E" w14:textId="77777777" w:rsidR="00424BC8" w:rsidRPr="00405D1C" w:rsidRDefault="00424BC8" w:rsidP="002F172F">
      <w:pPr>
        <w:spacing w:after="0" w:line="240" w:lineRule="auto"/>
      </w:pPr>
      <w:r w:rsidRPr="00405D1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156187"/>
      <w:docPartObj>
        <w:docPartGallery w:val="Page Numbers (Bottom of Page)"/>
        <w:docPartUnique/>
      </w:docPartObj>
    </w:sdtPr>
    <w:sdtEndPr/>
    <w:sdtContent>
      <w:p w14:paraId="436604D8" w14:textId="4DC1FC65" w:rsidR="002F172F" w:rsidRPr="00405D1C" w:rsidRDefault="002F172F">
        <w:pPr>
          <w:pStyle w:val="Footer"/>
          <w:jc w:val="center"/>
        </w:pPr>
        <w:r w:rsidRPr="00405D1C">
          <w:fldChar w:fldCharType="begin"/>
        </w:r>
        <w:r w:rsidRPr="00405D1C">
          <w:instrText xml:space="preserve"> PAGE   \* MERGEFORMAT </w:instrText>
        </w:r>
        <w:r w:rsidRPr="00405D1C">
          <w:fldChar w:fldCharType="separate"/>
        </w:r>
        <w:r w:rsidR="0075373A">
          <w:rPr>
            <w:noProof/>
          </w:rPr>
          <w:t>21</w:t>
        </w:r>
        <w:r w:rsidRPr="00405D1C">
          <w:fldChar w:fldCharType="end"/>
        </w:r>
      </w:p>
    </w:sdtContent>
  </w:sdt>
  <w:p w14:paraId="3BD4A9C3" w14:textId="77777777" w:rsidR="002F172F" w:rsidRPr="00405D1C" w:rsidRDefault="002F1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75CFD" w14:textId="77777777" w:rsidR="00424BC8" w:rsidRPr="00405D1C" w:rsidRDefault="00424BC8" w:rsidP="002F172F">
      <w:pPr>
        <w:spacing w:after="0" w:line="240" w:lineRule="auto"/>
      </w:pPr>
      <w:r w:rsidRPr="00405D1C">
        <w:separator/>
      </w:r>
    </w:p>
  </w:footnote>
  <w:footnote w:type="continuationSeparator" w:id="0">
    <w:p w14:paraId="519FCFDB" w14:textId="77777777" w:rsidR="00424BC8" w:rsidRPr="00405D1C" w:rsidRDefault="00424BC8" w:rsidP="002F172F">
      <w:pPr>
        <w:spacing w:after="0" w:line="240" w:lineRule="auto"/>
      </w:pPr>
      <w:r w:rsidRPr="00405D1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10F9E"/>
    <w:multiLevelType w:val="multilevel"/>
    <w:tmpl w:val="86E21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D4C16"/>
    <w:multiLevelType w:val="multilevel"/>
    <w:tmpl w:val="7B70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40EE7"/>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5E3080"/>
    <w:multiLevelType w:val="hybridMultilevel"/>
    <w:tmpl w:val="AE8262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3E512A"/>
    <w:multiLevelType w:val="multilevel"/>
    <w:tmpl w:val="F12A9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8F1A1D"/>
    <w:multiLevelType w:val="multilevel"/>
    <w:tmpl w:val="DD28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747EE"/>
    <w:multiLevelType w:val="multilevel"/>
    <w:tmpl w:val="8F94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79637E"/>
    <w:multiLevelType w:val="hybridMultilevel"/>
    <w:tmpl w:val="6524A150"/>
    <w:lvl w:ilvl="0" w:tplc="D5F22BA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E7C2380"/>
    <w:multiLevelType w:val="hybridMultilevel"/>
    <w:tmpl w:val="61241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E315CA"/>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813E0"/>
    <w:multiLevelType w:val="multilevel"/>
    <w:tmpl w:val="476C5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6832D0"/>
    <w:multiLevelType w:val="multilevel"/>
    <w:tmpl w:val="3D401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854005"/>
    <w:multiLevelType w:val="multilevel"/>
    <w:tmpl w:val="6A1C2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3C3987"/>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D0474B"/>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017985"/>
    <w:multiLevelType w:val="multilevel"/>
    <w:tmpl w:val="870EA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2632A8"/>
    <w:multiLevelType w:val="hybridMultilevel"/>
    <w:tmpl w:val="177EB948"/>
    <w:lvl w:ilvl="0" w:tplc="D5F22BA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97C06EB"/>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5F419D"/>
    <w:multiLevelType w:val="hybridMultilevel"/>
    <w:tmpl w:val="BB52A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DCC7051"/>
    <w:multiLevelType w:val="hybridMultilevel"/>
    <w:tmpl w:val="353241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3C412E"/>
    <w:multiLevelType w:val="multilevel"/>
    <w:tmpl w:val="66A66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2064BA"/>
    <w:multiLevelType w:val="hybridMultilevel"/>
    <w:tmpl w:val="F9BAE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74E466B"/>
    <w:multiLevelType w:val="hybridMultilevel"/>
    <w:tmpl w:val="EA4CF474"/>
    <w:lvl w:ilvl="0" w:tplc="BC80058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CFB716A"/>
    <w:multiLevelType w:val="hybridMultilevel"/>
    <w:tmpl w:val="8D2A18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F070A80"/>
    <w:multiLevelType w:val="multilevel"/>
    <w:tmpl w:val="27509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3E70DD9"/>
    <w:multiLevelType w:val="multilevel"/>
    <w:tmpl w:val="C6123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C96360"/>
    <w:multiLevelType w:val="hybridMultilevel"/>
    <w:tmpl w:val="6EF87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D096816"/>
    <w:multiLevelType w:val="hybridMultilevel"/>
    <w:tmpl w:val="DFCAD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2617F04"/>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2F5898"/>
    <w:multiLevelType w:val="multilevel"/>
    <w:tmpl w:val="21E00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694D3B"/>
    <w:multiLevelType w:val="hybridMultilevel"/>
    <w:tmpl w:val="2E6C4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FD9397A"/>
    <w:multiLevelType w:val="multilevel"/>
    <w:tmpl w:val="67C20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33A50B1"/>
    <w:multiLevelType w:val="hybridMultilevel"/>
    <w:tmpl w:val="DAF81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C57610D"/>
    <w:multiLevelType w:val="multilevel"/>
    <w:tmpl w:val="DCD0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BB5832"/>
    <w:multiLevelType w:val="multilevel"/>
    <w:tmpl w:val="9AFC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376A20"/>
    <w:multiLevelType w:val="hybridMultilevel"/>
    <w:tmpl w:val="3DC892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7F67782D"/>
    <w:multiLevelType w:val="hybridMultilevel"/>
    <w:tmpl w:val="4E404C6E"/>
    <w:lvl w:ilvl="0" w:tplc="D5F22BA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5"/>
  </w:num>
  <w:num w:numId="3">
    <w:abstractNumId w:val="32"/>
  </w:num>
  <w:num w:numId="4">
    <w:abstractNumId w:val="27"/>
  </w:num>
  <w:num w:numId="5">
    <w:abstractNumId w:val="30"/>
  </w:num>
  <w:num w:numId="6">
    <w:abstractNumId w:val="0"/>
  </w:num>
  <w:num w:numId="7">
    <w:abstractNumId w:val="4"/>
  </w:num>
  <w:num w:numId="8">
    <w:abstractNumId w:val="31"/>
  </w:num>
  <w:num w:numId="9">
    <w:abstractNumId w:val="1"/>
  </w:num>
  <w:num w:numId="10">
    <w:abstractNumId w:val="24"/>
  </w:num>
  <w:num w:numId="11">
    <w:abstractNumId w:val="20"/>
  </w:num>
  <w:num w:numId="12">
    <w:abstractNumId w:val="15"/>
  </w:num>
  <w:num w:numId="13">
    <w:abstractNumId w:val="2"/>
  </w:num>
  <w:num w:numId="14">
    <w:abstractNumId w:val="6"/>
  </w:num>
  <w:num w:numId="15">
    <w:abstractNumId w:val="33"/>
  </w:num>
  <w:num w:numId="16">
    <w:abstractNumId w:val="25"/>
  </w:num>
  <w:num w:numId="17">
    <w:abstractNumId w:val="34"/>
  </w:num>
  <w:num w:numId="18">
    <w:abstractNumId w:val="5"/>
  </w:num>
  <w:num w:numId="19">
    <w:abstractNumId w:val="11"/>
  </w:num>
  <w:num w:numId="20">
    <w:abstractNumId w:val="10"/>
  </w:num>
  <w:num w:numId="21">
    <w:abstractNumId w:val="29"/>
  </w:num>
  <w:num w:numId="22">
    <w:abstractNumId w:val="21"/>
  </w:num>
  <w:num w:numId="23">
    <w:abstractNumId w:val="3"/>
  </w:num>
  <w:num w:numId="24">
    <w:abstractNumId w:val="18"/>
  </w:num>
  <w:num w:numId="25">
    <w:abstractNumId w:val="14"/>
  </w:num>
  <w:num w:numId="26">
    <w:abstractNumId w:val="28"/>
  </w:num>
  <w:num w:numId="27">
    <w:abstractNumId w:val="17"/>
  </w:num>
  <w:num w:numId="28">
    <w:abstractNumId w:val="9"/>
  </w:num>
  <w:num w:numId="29">
    <w:abstractNumId w:val="13"/>
  </w:num>
  <w:num w:numId="30">
    <w:abstractNumId w:val="22"/>
  </w:num>
  <w:num w:numId="31">
    <w:abstractNumId w:val="26"/>
  </w:num>
  <w:num w:numId="32">
    <w:abstractNumId w:val="16"/>
  </w:num>
  <w:num w:numId="33">
    <w:abstractNumId w:val="36"/>
  </w:num>
  <w:num w:numId="34">
    <w:abstractNumId w:val="7"/>
  </w:num>
  <w:num w:numId="35">
    <w:abstractNumId w:val="23"/>
  </w:num>
  <w:num w:numId="36">
    <w:abstractNumId w:val="19"/>
  </w:num>
  <w:num w:numId="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DDD"/>
    <w:rsid w:val="0000134E"/>
    <w:rsid w:val="00005836"/>
    <w:rsid w:val="000069A0"/>
    <w:rsid w:val="0000777F"/>
    <w:rsid w:val="00026DC5"/>
    <w:rsid w:val="00032C48"/>
    <w:rsid w:val="0003477E"/>
    <w:rsid w:val="00040509"/>
    <w:rsid w:val="00042AA4"/>
    <w:rsid w:val="0004394C"/>
    <w:rsid w:val="000450EE"/>
    <w:rsid w:val="00052B16"/>
    <w:rsid w:val="000805D8"/>
    <w:rsid w:val="00081363"/>
    <w:rsid w:val="000964F1"/>
    <w:rsid w:val="00096E01"/>
    <w:rsid w:val="000A18DA"/>
    <w:rsid w:val="000A1B45"/>
    <w:rsid w:val="000A7C91"/>
    <w:rsid w:val="000C3714"/>
    <w:rsid w:val="000C6CBA"/>
    <w:rsid w:val="000C70E2"/>
    <w:rsid w:val="000D16C5"/>
    <w:rsid w:val="000E4C74"/>
    <w:rsid w:val="000F403F"/>
    <w:rsid w:val="000F5786"/>
    <w:rsid w:val="001005B3"/>
    <w:rsid w:val="00101BEC"/>
    <w:rsid w:val="001329A1"/>
    <w:rsid w:val="001401DF"/>
    <w:rsid w:val="00141C9E"/>
    <w:rsid w:val="001461C6"/>
    <w:rsid w:val="00146438"/>
    <w:rsid w:val="00166830"/>
    <w:rsid w:val="0017234F"/>
    <w:rsid w:val="00172E2A"/>
    <w:rsid w:val="001737C7"/>
    <w:rsid w:val="00175EBE"/>
    <w:rsid w:val="00186295"/>
    <w:rsid w:val="00190297"/>
    <w:rsid w:val="00195236"/>
    <w:rsid w:val="001A447C"/>
    <w:rsid w:val="001B203B"/>
    <w:rsid w:val="001B47FC"/>
    <w:rsid w:val="001C4401"/>
    <w:rsid w:val="001C6074"/>
    <w:rsid w:val="001E3305"/>
    <w:rsid w:val="00204CC2"/>
    <w:rsid w:val="00207D2B"/>
    <w:rsid w:val="00210EBF"/>
    <w:rsid w:val="002176AF"/>
    <w:rsid w:val="00221E72"/>
    <w:rsid w:val="00231069"/>
    <w:rsid w:val="0024234D"/>
    <w:rsid w:val="00245EC8"/>
    <w:rsid w:val="00253780"/>
    <w:rsid w:val="0026046C"/>
    <w:rsid w:val="00265E47"/>
    <w:rsid w:val="00272DDD"/>
    <w:rsid w:val="00276C14"/>
    <w:rsid w:val="00276DD2"/>
    <w:rsid w:val="00291524"/>
    <w:rsid w:val="0029176B"/>
    <w:rsid w:val="00291CD0"/>
    <w:rsid w:val="00291FD6"/>
    <w:rsid w:val="002B282C"/>
    <w:rsid w:val="002B3C3C"/>
    <w:rsid w:val="002B5CA4"/>
    <w:rsid w:val="002B6338"/>
    <w:rsid w:val="002D6A6D"/>
    <w:rsid w:val="002E0210"/>
    <w:rsid w:val="002E32D8"/>
    <w:rsid w:val="002E48D9"/>
    <w:rsid w:val="002F172F"/>
    <w:rsid w:val="002F72CB"/>
    <w:rsid w:val="002F7921"/>
    <w:rsid w:val="0030175C"/>
    <w:rsid w:val="003053AE"/>
    <w:rsid w:val="00310E0C"/>
    <w:rsid w:val="003121D0"/>
    <w:rsid w:val="003227B2"/>
    <w:rsid w:val="00325863"/>
    <w:rsid w:val="0033545C"/>
    <w:rsid w:val="00335460"/>
    <w:rsid w:val="003415F4"/>
    <w:rsid w:val="00354BD4"/>
    <w:rsid w:val="0036516B"/>
    <w:rsid w:val="00380B32"/>
    <w:rsid w:val="00392ABA"/>
    <w:rsid w:val="00394FC2"/>
    <w:rsid w:val="0039753B"/>
    <w:rsid w:val="003A0117"/>
    <w:rsid w:val="003B6ED7"/>
    <w:rsid w:val="003C3C4E"/>
    <w:rsid w:val="003D3F32"/>
    <w:rsid w:val="003D5FB8"/>
    <w:rsid w:val="003E7904"/>
    <w:rsid w:val="003F2D5F"/>
    <w:rsid w:val="00400126"/>
    <w:rsid w:val="00405D1C"/>
    <w:rsid w:val="00412084"/>
    <w:rsid w:val="00417FDF"/>
    <w:rsid w:val="004219D6"/>
    <w:rsid w:val="00422DCB"/>
    <w:rsid w:val="00422F7B"/>
    <w:rsid w:val="00424BC8"/>
    <w:rsid w:val="00431F04"/>
    <w:rsid w:val="004379AB"/>
    <w:rsid w:val="00437C84"/>
    <w:rsid w:val="004400FF"/>
    <w:rsid w:val="00440D2F"/>
    <w:rsid w:val="004420B1"/>
    <w:rsid w:val="004471A1"/>
    <w:rsid w:val="00464C71"/>
    <w:rsid w:val="00470BEA"/>
    <w:rsid w:val="004716AB"/>
    <w:rsid w:val="004745C0"/>
    <w:rsid w:val="004747A3"/>
    <w:rsid w:val="004766FE"/>
    <w:rsid w:val="004801B9"/>
    <w:rsid w:val="00482152"/>
    <w:rsid w:val="00490E7A"/>
    <w:rsid w:val="004914B5"/>
    <w:rsid w:val="0049525C"/>
    <w:rsid w:val="004A7BEB"/>
    <w:rsid w:val="004B1658"/>
    <w:rsid w:val="004B518A"/>
    <w:rsid w:val="004D5131"/>
    <w:rsid w:val="004E3FD6"/>
    <w:rsid w:val="004E6E24"/>
    <w:rsid w:val="004E7906"/>
    <w:rsid w:val="004F04EE"/>
    <w:rsid w:val="004F549E"/>
    <w:rsid w:val="00500832"/>
    <w:rsid w:val="005040A4"/>
    <w:rsid w:val="005143DD"/>
    <w:rsid w:val="00520E3D"/>
    <w:rsid w:val="00523900"/>
    <w:rsid w:val="00524C20"/>
    <w:rsid w:val="00531CFE"/>
    <w:rsid w:val="00531D45"/>
    <w:rsid w:val="0054400D"/>
    <w:rsid w:val="00551124"/>
    <w:rsid w:val="00564D89"/>
    <w:rsid w:val="00565A4D"/>
    <w:rsid w:val="0057734A"/>
    <w:rsid w:val="00591058"/>
    <w:rsid w:val="0059359F"/>
    <w:rsid w:val="005A2252"/>
    <w:rsid w:val="005A3D38"/>
    <w:rsid w:val="005B54D0"/>
    <w:rsid w:val="005B6596"/>
    <w:rsid w:val="005B707B"/>
    <w:rsid w:val="005C0197"/>
    <w:rsid w:val="005C66BD"/>
    <w:rsid w:val="005D2EBD"/>
    <w:rsid w:val="005E1F37"/>
    <w:rsid w:val="005E2760"/>
    <w:rsid w:val="005F2E13"/>
    <w:rsid w:val="005F4763"/>
    <w:rsid w:val="005F5E28"/>
    <w:rsid w:val="00612AC2"/>
    <w:rsid w:val="00614B23"/>
    <w:rsid w:val="0062421F"/>
    <w:rsid w:val="00640888"/>
    <w:rsid w:val="00646CD2"/>
    <w:rsid w:val="00647762"/>
    <w:rsid w:val="00650103"/>
    <w:rsid w:val="00674947"/>
    <w:rsid w:val="00676F2E"/>
    <w:rsid w:val="00684D7D"/>
    <w:rsid w:val="00695308"/>
    <w:rsid w:val="006A7B86"/>
    <w:rsid w:val="006B470E"/>
    <w:rsid w:val="006E083A"/>
    <w:rsid w:val="006E0E4B"/>
    <w:rsid w:val="006E354A"/>
    <w:rsid w:val="006F020B"/>
    <w:rsid w:val="006F13AE"/>
    <w:rsid w:val="00701465"/>
    <w:rsid w:val="00717907"/>
    <w:rsid w:val="0072276E"/>
    <w:rsid w:val="00723AE3"/>
    <w:rsid w:val="00724802"/>
    <w:rsid w:val="0072645E"/>
    <w:rsid w:val="00737B2E"/>
    <w:rsid w:val="00746DE9"/>
    <w:rsid w:val="00750202"/>
    <w:rsid w:val="007509DB"/>
    <w:rsid w:val="00751E7D"/>
    <w:rsid w:val="0075373A"/>
    <w:rsid w:val="0075427D"/>
    <w:rsid w:val="0076572D"/>
    <w:rsid w:val="00766799"/>
    <w:rsid w:val="007848EC"/>
    <w:rsid w:val="00790774"/>
    <w:rsid w:val="00793F7B"/>
    <w:rsid w:val="007A1CFF"/>
    <w:rsid w:val="007B7DD4"/>
    <w:rsid w:val="007C122B"/>
    <w:rsid w:val="007D347C"/>
    <w:rsid w:val="007D54B5"/>
    <w:rsid w:val="007D57BF"/>
    <w:rsid w:val="007D5F2A"/>
    <w:rsid w:val="007E2A98"/>
    <w:rsid w:val="00801B34"/>
    <w:rsid w:val="00802650"/>
    <w:rsid w:val="00811B32"/>
    <w:rsid w:val="00815982"/>
    <w:rsid w:val="008312C6"/>
    <w:rsid w:val="00833A77"/>
    <w:rsid w:val="00843704"/>
    <w:rsid w:val="00860551"/>
    <w:rsid w:val="00870D94"/>
    <w:rsid w:val="0087124B"/>
    <w:rsid w:val="00875BD8"/>
    <w:rsid w:val="00876901"/>
    <w:rsid w:val="008803CF"/>
    <w:rsid w:val="008813EA"/>
    <w:rsid w:val="008908C7"/>
    <w:rsid w:val="008913A6"/>
    <w:rsid w:val="008A165B"/>
    <w:rsid w:val="008C133C"/>
    <w:rsid w:val="008C2326"/>
    <w:rsid w:val="008D4B9F"/>
    <w:rsid w:val="008E2268"/>
    <w:rsid w:val="008E618D"/>
    <w:rsid w:val="00900388"/>
    <w:rsid w:val="00914767"/>
    <w:rsid w:val="009435F7"/>
    <w:rsid w:val="009451EA"/>
    <w:rsid w:val="00965FAF"/>
    <w:rsid w:val="00982582"/>
    <w:rsid w:val="009854AA"/>
    <w:rsid w:val="00987460"/>
    <w:rsid w:val="009877E2"/>
    <w:rsid w:val="009922EC"/>
    <w:rsid w:val="00996CD6"/>
    <w:rsid w:val="009A0E59"/>
    <w:rsid w:val="009A6EE9"/>
    <w:rsid w:val="009C2809"/>
    <w:rsid w:val="009D0BBC"/>
    <w:rsid w:val="009D0D86"/>
    <w:rsid w:val="009E3530"/>
    <w:rsid w:val="009E42A4"/>
    <w:rsid w:val="00A06B7D"/>
    <w:rsid w:val="00A13BB3"/>
    <w:rsid w:val="00A13D83"/>
    <w:rsid w:val="00A31CA7"/>
    <w:rsid w:val="00A33BBD"/>
    <w:rsid w:val="00A3507C"/>
    <w:rsid w:val="00A37232"/>
    <w:rsid w:val="00A43FCE"/>
    <w:rsid w:val="00A440D6"/>
    <w:rsid w:val="00A4718D"/>
    <w:rsid w:val="00A80E64"/>
    <w:rsid w:val="00A939C3"/>
    <w:rsid w:val="00A94B69"/>
    <w:rsid w:val="00A95A7D"/>
    <w:rsid w:val="00AA0B62"/>
    <w:rsid w:val="00AB09AD"/>
    <w:rsid w:val="00AB15CF"/>
    <w:rsid w:val="00AB2ACB"/>
    <w:rsid w:val="00AB39E0"/>
    <w:rsid w:val="00AD323C"/>
    <w:rsid w:val="00AD347A"/>
    <w:rsid w:val="00AE7CDD"/>
    <w:rsid w:val="00AE7EDB"/>
    <w:rsid w:val="00AF002D"/>
    <w:rsid w:val="00AF0A56"/>
    <w:rsid w:val="00B12267"/>
    <w:rsid w:val="00B15419"/>
    <w:rsid w:val="00B174E2"/>
    <w:rsid w:val="00B40C39"/>
    <w:rsid w:val="00B529AA"/>
    <w:rsid w:val="00B55169"/>
    <w:rsid w:val="00B70734"/>
    <w:rsid w:val="00B75623"/>
    <w:rsid w:val="00B8626A"/>
    <w:rsid w:val="00B8798F"/>
    <w:rsid w:val="00B96F4B"/>
    <w:rsid w:val="00B96FD9"/>
    <w:rsid w:val="00B97DA1"/>
    <w:rsid w:val="00BA1E82"/>
    <w:rsid w:val="00BA43A6"/>
    <w:rsid w:val="00BB0B6F"/>
    <w:rsid w:val="00BB28AF"/>
    <w:rsid w:val="00BC7EFC"/>
    <w:rsid w:val="00C10A7D"/>
    <w:rsid w:val="00C16360"/>
    <w:rsid w:val="00C214C9"/>
    <w:rsid w:val="00C4019D"/>
    <w:rsid w:val="00C430E4"/>
    <w:rsid w:val="00C534EF"/>
    <w:rsid w:val="00C67334"/>
    <w:rsid w:val="00C7259D"/>
    <w:rsid w:val="00C76178"/>
    <w:rsid w:val="00C812A6"/>
    <w:rsid w:val="00C83CC7"/>
    <w:rsid w:val="00C848B2"/>
    <w:rsid w:val="00C85469"/>
    <w:rsid w:val="00CB08C4"/>
    <w:rsid w:val="00CB3742"/>
    <w:rsid w:val="00CB50E5"/>
    <w:rsid w:val="00CC2358"/>
    <w:rsid w:val="00CC3ED4"/>
    <w:rsid w:val="00CD295A"/>
    <w:rsid w:val="00CD44B7"/>
    <w:rsid w:val="00CD7E25"/>
    <w:rsid w:val="00CE1B0C"/>
    <w:rsid w:val="00CF441C"/>
    <w:rsid w:val="00CF681C"/>
    <w:rsid w:val="00D01E33"/>
    <w:rsid w:val="00D064E4"/>
    <w:rsid w:val="00D1558F"/>
    <w:rsid w:val="00D155FB"/>
    <w:rsid w:val="00D15BB0"/>
    <w:rsid w:val="00D26D22"/>
    <w:rsid w:val="00D344FF"/>
    <w:rsid w:val="00D43F83"/>
    <w:rsid w:val="00D4570C"/>
    <w:rsid w:val="00D52682"/>
    <w:rsid w:val="00D55DBF"/>
    <w:rsid w:val="00D656EE"/>
    <w:rsid w:val="00D6596C"/>
    <w:rsid w:val="00D9194B"/>
    <w:rsid w:val="00D94CDA"/>
    <w:rsid w:val="00DA5C18"/>
    <w:rsid w:val="00DA61C8"/>
    <w:rsid w:val="00DB713F"/>
    <w:rsid w:val="00DB74D4"/>
    <w:rsid w:val="00DE19D3"/>
    <w:rsid w:val="00DE352D"/>
    <w:rsid w:val="00DF5AC7"/>
    <w:rsid w:val="00DF771C"/>
    <w:rsid w:val="00E037E4"/>
    <w:rsid w:val="00E12C9E"/>
    <w:rsid w:val="00E1712B"/>
    <w:rsid w:val="00E245FF"/>
    <w:rsid w:val="00E31FF9"/>
    <w:rsid w:val="00E4050B"/>
    <w:rsid w:val="00E44B85"/>
    <w:rsid w:val="00E60759"/>
    <w:rsid w:val="00E64BB6"/>
    <w:rsid w:val="00E86AE1"/>
    <w:rsid w:val="00E932BF"/>
    <w:rsid w:val="00E95ECE"/>
    <w:rsid w:val="00EB30E4"/>
    <w:rsid w:val="00EC1181"/>
    <w:rsid w:val="00EC2935"/>
    <w:rsid w:val="00ED1259"/>
    <w:rsid w:val="00ED2A04"/>
    <w:rsid w:val="00EE06EB"/>
    <w:rsid w:val="00EF265E"/>
    <w:rsid w:val="00EF5BD9"/>
    <w:rsid w:val="00F00B0C"/>
    <w:rsid w:val="00F07C40"/>
    <w:rsid w:val="00F102BB"/>
    <w:rsid w:val="00F106A9"/>
    <w:rsid w:val="00F23426"/>
    <w:rsid w:val="00F27685"/>
    <w:rsid w:val="00F3343A"/>
    <w:rsid w:val="00F47BAE"/>
    <w:rsid w:val="00F55505"/>
    <w:rsid w:val="00F56A1A"/>
    <w:rsid w:val="00F67759"/>
    <w:rsid w:val="00F760ED"/>
    <w:rsid w:val="00F8175A"/>
    <w:rsid w:val="00F85E22"/>
    <w:rsid w:val="00F96D43"/>
    <w:rsid w:val="00FB20D1"/>
    <w:rsid w:val="00FC5D8F"/>
    <w:rsid w:val="00FE0D5F"/>
    <w:rsid w:val="00FE2F5D"/>
    <w:rsid w:val="00FE61F2"/>
    <w:rsid w:val="00FE7431"/>
    <w:rsid w:val="00FF35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4C29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33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C67334"/>
    <w:pPr>
      <w:keepNext/>
      <w:keepLines/>
      <w:pBdr>
        <w:bottom w:val="single" w:sz="4" w:space="1" w:color="auto"/>
      </w:pBdr>
      <w:spacing w:after="240" w:line="240" w:lineRule="auto"/>
      <w:jc w:val="center"/>
      <w:outlineLvl w:val="0"/>
    </w:pPr>
    <w:rPr>
      <w:rFonts w:eastAsiaTheme="majorEastAsia" w:cs="Arial"/>
      <w:b/>
      <w:bCs/>
      <w:sz w:val="30"/>
      <w:szCs w:val="30"/>
      <w:lang w:val="en-US"/>
    </w:rPr>
  </w:style>
  <w:style w:type="paragraph" w:styleId="Heading2">
    <w:name w:val="heading 2"/>
    <w:basedOn w:val="Normal"/>
    <w:next w:val="Normal"/>
    <w:link w:val="Heading2Char"/>
    <w:uiPriority w:val="9"/>
    <w:unhideWhenUsed/>
    <w:qFormat/>
    <w:rsid w:val="003D3F32"/>
    <w:pPr>
      <w:keepNext/>
      <w:keepLines/>
      <w:spacing w:before="40" w:after="240" w:line="276" w:lineRule="auto"/>
      <w:outlineLvl w:val="1"/>
    </w:pPr>
    <w:rPr>
      <w:rFonts w:eastAsiaTheme="majorEastAsia" w:cs="Arial"/>
      <w:b/>
      <w:color w:val="000000" w:themeColor="text1"/>
      <w:sz w:val="26"/>
      <w:szCs w:val="26"/>
      <w:lang w:val="en-US"/>
    </w:rPr>
  </w:style>
  <w:style w:type="paragraph" w:styleId="Heading3">
    <w:name w:val="heading 3"/>
    <w:basedOn w:val="Normal"/>
    <w:next w:val="Normal"/>
    <w:link w:val="Heading3Char"/>
    <w:uiPriority w:val="9"/>
    <w:unhideWhenUsed/>
    <w:qFormat/>
    <w:rsid w:val="00C67334"/>
    <w:pPr>
      <w:keepNext/>
      <w:keepLines/>
      <w:spacing w:before="40" w:after="0"/>
      <w:ind w:left="720"/>
      <w:outlineLvl w:val="2"/>
    </w:pPr>
    <w:rPr>
      <w:rFonts w:eastAsiaTheme="majorEastAsia" w:cs="Arial"/>
      <w:b/>
      <w:color w:val="000000" w:themeColor="text1"/>
      <w:szCs w:val="24"/>
      <w:lang w:val="en-US"/>
    </w:rPr>
  </w:style>
  <w:style w:type="paragraph" w:styleId="Heading4">
    <w:name w:val="heading 4"/>
    <w:basedOn w:val="Normal"/>
    <w:next w:val="Normal"/>
    <w:link w:val="Heading4Char"/>
    <w:uiPriority w:val="9"/>
    <w:semiHidden/>
    <w:unhideWhenUsed/>
    <w:qFormat/>
    <w:rsid w:val="00B7562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76DD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2DDD"/>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67334"/>
    <w:rPr>
      <w:rFonts w:ascii="Arial" w:eastAsiaTheme="majorEastAsia" w:hAnsi="Arial" w:cs="Arial"/>
      <w:b/>
      <w:bCs/>
      <w:sz w:val="30"/>
      <w:szCs w:val="30"/>
    </w:rPr>
  </w:style>
  <w:style w:type="paragraph" w:styleId="TOCHeading">
    <w:name w:val="TOC Heading"/>
    <w:basedOn w:val="Heading1"/>
    <w:next w:val="Normal"/>
    <w:uiPriority w:val="39"/>
    <w:unhideWhenUsed/>
    <w:qFormat/>
    <w:rsid w:val="002F172F"/>
    <w:pPr>
      <w:outlineLvl w:val="9"/>
    </w:pPr>
  </w:style>
  <w:style w:type="paragraph" w:styleId="TOC1">
    <w:name w:val="toc 1"/>
    <w:basedOn w:val="Normal"/>
    <w:next w:val="Normal"/>
    <w:autoRedefine/>
    <w:uiPriority w:val="39"/>
    <w:unhideWhenUsed/>
    <w:rsid w:val="002F172F"/>
    <w:pPr>
      <w:spacing w:after="100"/>
    </w:pPr>
  </w:style>
  <w:style w:type="paragraph" w:styleId="TOC2">
    <w:name w:val="toc 2"/>
    <w:basedOn w:val="Normal"/>
    <w:next w:val="Normal"/>
    <w:autoRedefine/>
    <w:uiPriority w:val="39"/>
    <w:unhideWhenUsed/>
    <w:rsid w:val="002F172F"/>
    <w:pPr>
      <w:spacing w:after="100"/>
      <w:ind w:left="220"/>
    </w:pPr>
  </w:style>
  <w:style w:type="character" w:styleId="Hyperlink">
    <w:name w:val="Hyperlink"/>
    <w:basedOn w:val="DefaultParagraphFont"/>
    <w:uiPriority w:val="99"/>
    <w:unhideWhenUsed/>
    <w:rsid w:val="002F172F"/>
    <w:rPr>
      <w:color w:val="0563C1" w:themeColor="hyperlink"/>
      <w:u w:val="single"/>
    </w:rPr>
  </w:style>
  <w:style w:type="paragraph" w:styleId="Header">
    <w:name w:val="header"/>
    <w:basedOn w:val="Normal"/>
    <w:link w:val="HeaderChar"/>
    <w:uiPriority w:val="99"/>
    <w:unhideWhenUsed/>
    <w:rsid w:val="002F17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72F"/>
  </w:style>
  <w:style w:type="paragraph" w:styleId="Footer">
    <w:name w:val="footer"/>
    <w:basedOn w:val="Normal"/>
    <w:link w:val="FooterChar"/>
    <w:uiPriority w:val="99"/>
    <w:unhideWhenUsed/>
    <w:rsid w:val="002F17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72F"/>
  </w:style>
  <w:style w:type="character" w:customStyle="1" w:styleId="Heading2Char">
    <w:name w:val="Heading 2 Char"/>
    <w:basedOn w:val="DefaultParagraphFont"/>
    <w:link w:val="Heading2"/>
    <w:uiPriority w:val="9"/>
    <w:rsid w:val="003D3F32"/>
    <w:rPr>
      <w:rFonts w:ascii="Arial" w:eastAsiaTheme="majorEastAsia" w:hAnsi="Arial" w:cs="Arial"/>
      <w:b/>
      <w:color w:val="000000" w:themeColor="text1"/>
      <w:sz w:val="26"/>
      <w:szCs w:val="26"/>
    </w:rPr>
  </w:style>
  <w:style w:type="character" w:customStyle="1" w:styleId="Heading3Char">
    <w:name w:val="Heading 3 Char"/>
    <w:basedOn w:val="DefaultParagraphFont"/>
    <w:link w:val="Heading3"/>
    <w:uiPriority w:val="9"/>
    <w:rsid w:val="00C67334"/>
    <w:rPr>
      <w:rFonts w:ascii="Arial" w:eastAsiaTheme="majorEastAsia" w:hAnsi="Arial" w:cs="Arial"/>
      <w:b/>
      <w:color w:val="000000" w:themeColor="text1"/>
      <w:sz w:val="24"/>
      <w:szCs w:val="24"/>
    </w:rPr>
  </w:style>
  <w:style w:type="paragraph" w:styleId="ListParagraph">
    <w:name w:val="List Paragraph"/>
    <w:basedOn w:val="Normal"/>
    <w:uiPriority w:val="34"/>
    <w:qFormat/>
    <w:rsid w:val="00DA61C8"/>
    <w:pPr>
      <w:ind w:left="720"/>
      <w:contextualSpacing/>
    </w:pPr>
  </w:style>
  <w:style w:type="paragraph" w:styleId="TOC3">
    <w:name w:val="toc 3"/>
    <w:basedOn w:val="Normal"/>
    <w:next w:val="Normal"/>
    <w:autoRedefine/>
    <w:uiPriority w:val="39"/>
    <w:unhideWhenUsed/>
    <w:rsid w:val="00DA61C8"/>
    <w:pPr>
      <w:spacing w:after="100"/>
      <w:ind w:left="480"/>
    </w:pPr>
  </w:style>
  <w:style w:type="paragraph" w:styleId="BodyText">
    <w:name w:val="Body Text"/>
    <w:basedOn w:val="Normal"/>
    <w:link w:val="BodyTextChar"/>
    <w:uiPriority w:val="99"/>
    <w:semiHidden/>
    <w:unhideWhenUsed/>
    <w:rsid w:val="00C812A6"/>
    <w:pPr>
      <w:spacing w:after="120"/>
    </w:pPr>
  </w:style>
  <w:style w:type="character" w:customStyle="1" w:styleId="BodyTextChar">
    <w:name w:val="Body Text Char"/>
    <w:basedOn w:val="DefaultParagraphFont"/>
    <w:link w:val="BodyText"/>
    <w:uiPriority w:val="99"/>
    <w:semiHidden/>
    <w:rsid w:val="00C812A6"/>
    <w:rPr>
      <w:rFonts w:ascii="Times New Roman" w:hAnsi="Times New Roman"/>
      <w:sz w:val="24"/>
    </w:rPr>
  </w:style>
  <w:style w:type="character" w:customStyle="1" w:styleId="UnresolvedMention1">
    <w:name w:val="Unresolved Mention1"/>
    <w:basedOn w:val="DefaultParagraphFont"/>
    <w:uiPriority w:val="99"/>
    <w:semiHidden/>
    <w:unhideWhenUsed/>
    <w:rsid w:val="00C812A6"/>
    <w:rPr>
      <w:color w:val="605E5C"/>
      <w:shd w:val="clear" w:color="auto" w:fill="E1DFDD"/>
    </w:rPr>
  </w:style>
  <w:style w:type="paragraph" w:styleId="NoSpacing">
    <w:name w:val="No Spacing"/>
    <w:uiPriority w:val="1"/>
    <w:qFormat/>
    <w:rsid w:val="00C10A7D"/>
    <w:pPr>
      <w:spacing w:after="0" w:line="240" w:lineRule="auto"/>
      <w:jc w:val="both"/>
    </w:pPr>
    <w:rPr>
      <w:rFonts w:ascii="Times New Roman" w:hAnsi="Times New Roman"/>
      <w:sz w:val="24"/>
      <w:lang w:val="en-GB"/>
    </w:rPr>
  </w:style>
  <w:style w:type="character" w:customStyle="1" w:styleId="Heading5Char">
    <w:name w:val="Heading 5 Char"/>
    <w:basedOn w:val="DefaultParagraphFont"/>
    <w:link w:val="Heading5"/>
    <w:uiPriority w:val="9"/>
    <w:semiHidden/>
    <w:rsid w:val="00276DD2"/>
    <w:rPr>
      <w:rFonts w:asciiTheme="majorHAnsi" w:eastAsiaTheme="majorEastAsia" w:hAnsiTheme="majorHAnsi" w:cstheme="majorBidi"/>
      <w:color w:val="2E74B5" w:themeColor="accent1" w:themeShade="BF"/>
      <w:sz w:val="24"/>
      <w:lang w:val="en-GB"/>
    </w:rPr>
  </w:style>
  <w:style w:type="character" w:customStyle="1" w:styleId="Heading4Char">
    <w:name w:val="Heading 4 Char"/>
    <w:basedOn w:val="DefaultParagraphFont"/>
    <w:link w:val="Heading4"/>
    <w:uiPriority w:val="9"/>
    <w:semiHidden/>
    <w:rsid w:val="00B75623"/>
    <w:rPr>
      <w:rFonts w:asciiTheme="majorHAnsi" w:eastAsiaTheme="majorEastAsia" w:hAnsiTheme="majorHAnsi" w:cstheme="majorBidi"/>
      <w:i/>
      <w:iCs/>
      <w:color w:val="2E74B5" w:themeColor="accent1" w:themeShade="BF"/>
      <w:sz w:val="24"/>
      <w:lang w:val="en-GB"/>
    </w:rPr>
  </w:style>
  <w:style w:type="table" w:styleId="GridTable4-Accent2">
    <w:name w:val="Grid Table 4 Accent 2"/>
    <w:basedOn w:val="TableNormal"/>
    <w:uiPriority w:val="49"/>
    <w:rsid w:val="000069A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3">
    <w:name w:val="Grid Table 3"/>
    <w:basedOn w:val="TableNormal"/>
    <w:uiPriority w:val="48"/>
    <w:rsid w:val="002D6A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
    <w:name w:val="Grid Table 4"/>
    <w:basedOn w:val="TableNormal"/>
    <w:uiPriority w:val="49"/>
    <w:rsid w:val="002D6A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7878">
      <w:bodyDiv w:val="1"/>
      <w:marLeft w:val="0"/>
      <w:marRight w:val="0"/>
      <w:marTop w:val="0"/>
      <w:marBottom w:val="0"/>
      <w:divBdr>
        <w:top w:val="none" w:sz="0" w:space="0" w:color="auto"/>
        <w:left w:val="none" w:sz="0" w:space="0" w:color="auto"/>
        <w:bottom w:val="none" w:sz="0" w:space="0" w:color="auto"/>
        <w:right w:val="none" w:sz="0" w:space="0" w:color="auto"/>
      </w:divBdr>
      <w:divsChild>
        <w:div w:id="559513289">
          <w:marLeft w:val="0"/>
          <w:marRight w:val="0"/>
          <w:marTop w:val="0"/>
          <w:marBottom w:val="0"/>
          <w:divBdr>
            <w:top w:val="none" w:sz="0" w:space="0" w:color="auto"/>
            <w:left w:val="none" w:sz="0" w:space="0" w:color="auto"/>
            <w:bottom w:val="none" w:sz="0" w:space="0" w:color="auto"/>
            <w:right w:val="none" w:sz="0" w:space="0" w:color="auto"/>
          </w:divBdr>
        </w:div>
      </w:divsChild>
    </w:div>
    <w:div w:id="35854699">
      <w:bodyDiv w:val="1"/>
      <w:marLeft w:val="0"/>
      <w:marRight w:val="0"/>
      <w:marTop w:val="0"/>
      <w:marBottom w:val="0"/>
      <w:divBdr>
        <w:top w:val="none" w:sz="0" w:space="0" w:color="auto"/>
        <w:left w:val="none" w:sz="0" w:space="0" w:color="auto"/>
        <w:bottom w:val="none" w:sz="0" w:space="0" w:color="auto"/>
        <w:right w:val="none" w:sz="0" w:space="0" w:color="auto"/>
      </w:divBdr>
    </w:div>
    <w:div w:id="66847383">
      <w:bodyDiv w:val="1"/>
      <w:marLeft w:val="0"/>
      <w:marRight w:val="0"/>
      <w:marTop w:val="0"/>
      <w:marBottom w:val="0"/>
      <w:divBdr>
        <w:top w:val="none" w:sz="0" w:space="0" w:color="auto"/>
        <w:left w:val="none" w:sz="0" w:space="0" w:color="auto"/>
        <w:bottom w:val="none" w:sz="0" w:space="0" w:color="auto"/>
        <w:right w:val="none" w:sz="0" w:space="0" w:color="auto"/>
      </w:divBdr>
    </w:div>
    <w:div w:id="98525808">
      <w:bodyDiv w:val="1"/>
      <w:marLeft w:val="0"/>
      <w:marRight w:val="0"/>
      <w:marTop w:val="0"/>
      <w:marBottom w:val="0"/>
      <w:divBdr>
        <w:top w:val="none" w:sz="0" w:space="0" w:color="auto"/>
        <w:left w:val="none" w:sz="0" w:space="0" w:color="auto"/>
        <w:bottom w:val="none" w:sz="0" w:space="0" w:color="auto"/>
        <w:right w:val="none" w:sz="0" w:space="0" w:color="auto"/>
      </w:divBdr>
    </w:div>
    <w:div w:id="175121682">
      <w:bodyDiv w:val="1"/>
      <w:marLeft w:val="0"/>
      <w:marRight w:val="0"/>
      <w:marTop w:val="0"/>
      <w:marBottom w:val="0"/>
      <w:divBdr>
        <w:top w:val="none" w:sz="0" w:space="0" w:color="auto"/>
        <w:left w:val="none" w:sz="0" w:space="0" w:color="auto"/>
        <w:bottom w:val="none" w:sz="0" w:space="0" w:color="auto"/>
        <w:right w:val="none" w:sz="0" w:space="0" w:color="auto"/>
      </w:divBdr>
    </w:div>
    <w:div w:id="236063190">
      <w:bodyDiv w:val="1"/>
      <w:marLeft w:val="0"/>
      <w:marRight w:val="0"/>
      <w:marTop w:val="0"/>
      <w:marBottom w:val="0"/>
      <w:divBdr>
        <w:top w:val="none" w:sz="0" w:space="0" w:color="auto"/>
        <w:left w:val="none" w:sz="0" w:space="0" w:color="auto"/>
        <w:bottom w:val="none" w:sz="0" w:space="0" w:color="auto"/>
        <w:right w:val="none" w:sz="0" w:space="0" w:color="auto"/>
      </w:divBdr>
    </w:div>
    <w:div w:id="319622350">
      <w:bodyDiv w:val="1"/>
      <w:marLeft w:val="0"/>
      <w:marRight w:val="0"/>
      <w:marTop w:val="0"/>
      <w:marBottom w:val="0"/>
      <w:divBdr>
        <w:top w:val="none" w:sz="0" w:space="0" w:color="auto"/>
        <w:left w:val="none" w:sz="0" w:space="0" w:color="auto"/>
        <w:bottom w:val="none" w:sz="0" w:space="0" w:color="auto"/>
        <w:right w:val="none" w:sz="0" w:space="0" w:color="auto"/>
      </w:divBdr>
    </w:div>
    <w:div w:id="322634663">
      <w:bodyDiv w:val="1"/>
      <w:marLeft w:val="0"/>
      <w:marRight w:val="0"/>
      <w:marTop w:val="0"/>
      <w:marBottom w:val="0"/>
      <w:divBdr>
        <w:top w:val="none" w:sz="0" w:space="0" w:color="auto"/>
        <w:left w:val="none" w:sz="0" w:space="0" w:color="auto"/>
        <w:bottom w:val="none" w:sz="0" w:space="0" w:color="auto"/>
        <w:right w:val="none" w:sz="0" w:space="0" w:color="auto"/>
      </w:divBdr>
    </w:div>
    <w:div w:id="423382526">
      <w:bodyDiv w:val="1"/>
      <w:marLeft w:val="0"/>
      <w:marRight w:val="0"/>
      <w:marTop w:val="0"/>
      <w:marBottom w:val="0"/>
      <w:divBdr>
        <w:top w:val="none" w:sz="0" w:space="0" w:color="auto"/>
        <w:left w:val="none" w:sz="0" w:space="0" w:color="auto"/>
        <w:bottom w:val="none" w:sz="0" w:space="0" w:color="auto"/>
        <w:right w:val="none" w:sz="0" w:space="0" w:color="auto"/>
      </w:divBdr>
    </w:div>
    <w:div w:id="461729497">
      <w:bodyDiv w:val="1"/>
      <w:marLeft w:val="0"/>
      <w:marRight w:val="0"/>
      <w:marTop w:val="0"/>
      <w:marBottom w:val="0"/>
      <w:divBdr>
        <w:top w:val="none" w:sz="0" w:space="0" w:color="auto"/>
        <w:left w:val="none" w:sz="0" w:space="0" w:color="auto"/>
        <w:bottom w:val="none" w:sz="0" w:space="0" w:color="auto"/>
        <w:right w:val="none" w:sz="0" w:space="0" w:color="auto"/>
      </w:divBdr>
    </w:div>
    <w:div w:id="487599593">
      <w:bodyDiv w:val="1"/>
      <w:marLeft w:val="0"/>
      <w:marRight w:val="0"/>
      <w:marTop w:val="0"/>
      <w:marBottom w:val="0"/>
      <w:divBdr>
        <w:top w:val="none" w:sz="0" w:space="0" w:color="auto"/>
        <w:left w:val="none" w:sz="0" w:space="0" w:color="auto"/>
        <w:bottom w:val="none" w:sz="0" w:space="0" w:color="auto"/>
        <w:right w:val="none" w:sz="0" w:space="0" w:color="auto"/>
      </w:divBdr>
    </w:div>
    <w:div w:id="499542236">
      <w:bodyDiv w:val="1"/>
      <w:marLeft w:val="0"/>
      <w:marRight w:val="0"/>
      <w:marTop w:val="0"/>
      <w:marBottom w:val="0"/>
      <w:divBdr>
        <w:top w:val="none" w:sz="0" w:space="0" w:color="auto"/>
        <w:left w:val="none" w:sz="0" w:space="0" w:color="auto"/>
        <w:bottom w:val="none" w:sz="0" w:space="0" w:color="auto"/>
        <w:right w:val="none" w:sz="0" w:space="0" w:color="auto"/>
      </w:divBdr>
    </w:div>
    <w:div w:id="545063135">
      <w:bodyDiv w:val="1"/>
      <w:marLeft w:val="0"/>
      <w:marRight w:val="0"/>
      <w:marTop w:val="0"/>
      <w:marBottom w:val="0"/>
      <w:divBdr>
        <w:top w:val="none" w:sz="0" w:space="0" w:color="auto"/>
        <w:left w:val="none" w:sz="0" w:space="0" w:color="auto"/>
        <w:bottom w:val="none" w:sz="0" w:space="0" w:color="auto"/>
        <w:right w:val="none" w:sz="0" w:space="0" w:color="auto"/>
      </w:divBdr>
    </w:div>
    <w:div w:id="633096718">
      <w:bodyDiv w:val="1"/>
      <w:marLeft w:val="0"/>
      <w:marRight w:val="0"/>
      <w:marTop w:val="0"/>
      <w:marBottom w:val="0"/>
      <w:divBdr>
        <w:top w:val="none" w:sz="0" w:space="0" w:color="auto"/>
        <w:left w:val="none" w:sz="0" w:space="0" w:color="auto"/>
        <w:bottom w:val="none" w:sz="0" w:space="0" w:color="auto"/>
        <w:right w:val="none" w:sz="0" w:space="0" w:color="auto"/>
      </w:divBdr>
      <w:divsChild>
        <w:div w:id="627780679">
          <w:marLeft w:val="0"/>
          <w:marRight w:val="0"/>
          <w:marTop w:val="0"/>
          <w:marBottom w:val="0"/>
          <w:divBdr>
            <w:top w:val="none" w:sz="0" w:space="0" w:color="auto"/>
            <w:left w:val="none" w:sz="0" w:space="0" w:color="auto"/>
            <w:bottom w:val="none" w:sz="0" w:space="0" w:color="auto"/>
            <w:right w:val="none" w:sz="0" w:space="0" w:color="auto"/>
          </w:divBdr>
        </w:div>
      </w:divsChild>
    </w:div>
    <w:div w:id="684792549">
      <w:bodyDiv w:val="1"/>
      <w:marLeft w:val="0"/>
      <w:marRight w:val="0"/>
      <w:marTop w:val="0"/>
      <w:marBottom w:val="0"/>
      <w:divBdr>
        <w:top w:val="none" w:sz="0" w:space="0" w:color="auto"/>
        <w:left w:val="none" w:sz="0" w:space="0" w:color="auto"/>
        <w:bottom w:val="none" w:sz="0" w:space="0" w:color="auto"/>
        <w:right w:val="none" w:sz="0" w:space="0" w:color="auto"/>
      </w:divBdr>
    </w:div>
    <w:div w:id="750004643">
      <w:bodyDiv w:val="1"/>
      <w:marLeft w:val="0"/>
      <w:marRight w:val="0"/>
      <w:marTop w:val="0"/>
      <w:marBottom w:val="0"/>
      <w:divBdr>
        <w:top w:val="none" w:sz="0" w:space="0" w:color="auto"/>
        <w:left w:val="none" w:sz="0" w:space="0" w:color="auto"/>
        <w:bottom w:val="none" w:sz="0" w:space="0" w:color="auto"/>
        <w:right w:val="none" w:sz="0" w:space="0" w:color="auto"/>
      </w:divBdr>
    </w:div>
    <w:div w:id="818423050">
      <w:bodyDiv w:val="1"/>
      <w:marLeft w:val="0"/>
      <w:marRight w:val="0"/>
      <w:marTop w:val="0"/>
      <w:marBottom w:val="0"/>
      <w:divBdr>
        <w:top w:val="none" w:sz="0" w:space="0" w:color="auto"/>
        <w:left w:val="none" w:sz="0" w:space="0" w:color="auto"/>
        <w:bottom w:val="none" w:sz="0" w:space="0" w:color="auto"/>
        <w:right w:val="none" w:sz="0" w:space="0" w:color="auto"/>
      </w:divBdr>
      <w:divsChild>
        <w:div w:id="2019114923">
          <w:marLeft w:val="0"/>
          <w:marRight w:val="0"/>
          <w:marTop w:val="0"/>
          <w:marBottom w:val="0"/>
          <w:divBdr>
            <w:top w:val="none" w:sz="0" w:space="0" w:color="auto"/>
            <w:left w:val="none" w:sz="0" w:space="0" w:color="auto"/>
            <w:bottom w:val="none" w:sz="0" w:space="0" w:color="auto"/>
            <w:right w:val="none" w:sz="0" w:space="0" w:color="auto"/>
          </w:divBdr>
        </w:div>
      </w:divsChild>
    </w:div>
    <w:div w:id="854811634">
      <w:bodyDiv w:val="1"/>
      <w:marLeft w:val="0"/>
      <w:marRight w:val="0"/>
      <w:marTop w:val="0"/>
      <w:marBottom w:val="0"/>
      <w:divBdr>
        <w:top w:val="none" w:sz="0" w:space="0" w:color="auto"/>
        <w:left w:val="none" w:sz="0" w:space="0" w:color="auto"/>
        <w:bottom w:val="none" w:sz="0" w:space="0" w:color="auto"/>
        <w:right w:val="none" w:sz="0" w:space="0" w:color="auto"/>
      </w:divBdr>
    </w:div>
    <w:div w:id="947928600">
      <w:bodyDiv w:val="1"/>
      <w:marLeft w:val="0"/>
      <w:marRight w:val="0"/>
      <w:marTop w:val="0"/>
      <w:marBottom w:val="0"/>
      <w:divBdr>
        <w:top w:val="none" w:sz="0" w:space="0" w:color="auto"/>
        <w:left w:val="none" w:sz="0" w:space="0" w:color="auto"/>
        <w:bottom w:val="none" w:sz="0" w:space="0" w:color="auto"/>
        <w:right w:val="none" w:sz="0" w:space="0" w:color="auto"/>
      </w:divBdr>
      <w:divsChild>
        <w:div w:id="106854033">
          <w:marLeft w:val="0"/>
          <w:marRight w:val="0"/>
          <w:marTop w:val="0"/>
          <w:marBottom w:val="0"/>
          <w:divBdr>
            <w:top w:val="none" w:sz="0" w:space="0" w:color="auto"/>
            <w:left w:val="none" w:sz="0" w:space="0" w:color="auto"/>
            <w:bottom w:val="none" w:sz="0" w:space="0" w:color="auto"/>
            <w:right w:val="none" w:sz="0" w:space="0" w:color="auto"/>
          </w:divBdr>
        </w:div>
      </w:divsChild>
    </w:div>
    <w:div w:id="949975121">
      <w:bodyDiv w:val="1"/>
      <w:marLeft w:val="0"/>
      <w:marRight w:val="0"/>
      <w:marTop w:val="0"/>
      <w:marBottom w:val="0"/>
      <w:divBdr>
        <w:top w:val="none" w:sz="0" w:space="0" w:color="auto"/>
        <w:left w:val="none" w:sz="0" w:space="0" w:color="auto"/>
        <w:bottom w:val="none" w:sz="0" w:space="0" w:color="auto"/>
        <w:right w:val="none" w:sz="0" w:space="0" w:color="auto"/>
      </w:divBdr>
    </w:div>
    <w:div w:id="1035085840">
      <w:bodyDiv w:val="1"/>
      <w:marLeft w:val="0"/>
      <w:marRight w:val="0"/>
      <w:marTop w:val="0"/>
      <w:marBottom w:val="0"/>
      <w:divBdr>
        <w:top w:val="none" w:sz="0" w:space="0" w:color="auto"/>
        <w:left w:val="none" w:sz="0" w:space="0" w:color="auto"/>
        <w:bottom w:val="none" w:sz="0" w:space="0" w:color="auto"/>
        <w:right w:val="none" w:sz="0" w:space="0" w:color="auto"/>
      </w:divBdr>
    </w:div>
    <w:div w:id="1036930166">
      <w:bodyDiv w:val="1"/>
      <w:marLeft w:val="0"/>
      <w:marRight w:val="0"/>
      <w:marTop w:val="0"/>
      <w:marBottom w:val="0"/>
      <w:divBdr>
        <w:top w:val="none" w:sz="0" w:space="0" w:color="auto"/>
        <w:left w:val="none" w:sz="0" w:space="0" w:color="auto"/>
        <w:bottom w:val="none" w:sz="0" w:space="0" w:color="auto"/>
        <w:right w:val="none" w:sz="0" w:space="0" w:color="auto"/>
      </w:divBdr>
    </w:div>
    <w:div w:id="1091046918">
      <w:bodyDiv w:val="1"/>
      <w:marLeft w:val="0"/>
      <w:marRight w:val="0"/>
      <w:marTop w:val="0"/>
      <w:marBottom w:val="0"/>
      <w:divBdr>
        <w:top w:val="none" w:sz="0" w:space="0" w:color="auto"/>
        <w:left w:val="none" w:sz="0" w:space="0" w:color="auto"/>
        <w:bottom w:val="none" w:sz="0" w:space="0" w:color="auto"/>
        <w:right w:val="none" w:sz="0" w:space="0" w:color="auto"/>
      </w:divBdr>
    </w:div>
    <w:div w:id="1125193784">
      <w:bodyDiv w:val="1"/>
      <w:marLeft w:val="0"/>
      <w:marRight w:val="0"/>
      <w:marTop w:val="0"/>
      <w:marBottom w:val="0"/>
      <w:divBdr>
        <w:top w:val="none" w:sz="0" w:space="0" w:color="auto"/>
        <w:left w:val="none" w:sz="0" w:space="0" w:color="auto"/>
        <w:bottom w:val="none" w:sz="0" w:space="0" w:color="auto"/>
        <w:right w:val="none" w:sz="0" w:space="0" w:color="auto"/>
      </w:divBdr>
    </w:div>
    <w:div w:id="1125346907">
      <w:bodyDiv w:val="1"/>
      <w:marLeft w:val="0"/>
      <w:marRight w:val="0"/>
      <w:marTop w:val="0"/>
      <w:marBottom w:val="0"/>
      <w:divBdr>
        <w:top w:val="none" w:sz="0" w:space="0" w:color="auto"/>
        <w:left w:val="none" w:sz="0" w:space="0" w:color="auto"/>
        <w:bottom w:val="none" w:sz="0" w:space="0" w:color="auto"/>
        <w:right w:val="none" w:sz="0" w:space="0" w:color="auto"/>
      </w:divBdr>
    </w:div>
    <w:div w:id="1193348761">
      <w:bodyDiv w:val="1"/>
      <w:marLeft w:val="0"/>
      <w:marRight w:val="0"/>
      <w:marTop w:val="0"/>
      <w:marBottom w:val="0"/>
      <w:divBdr>
        <w:top w:val="none" w:sz="0" w:space="0" w:color="auto"/>
        <w:left w:val="none" w:sz="0" w:space="0" w:color="auto"/>
        <w:bottom w:val="none" w:sz="0" w:space="0" w:color="auto"/>
        <w:right w:val="none" w:sz="0" w:space="0" w:color="auto"/>
      </w:divBdr>
      <w:divsChild>
        <w:div w:id="1355618004">
          <w:marLeft w:val="0"/>
          <w:marRight w:val="0"/>
          <w:marTop w:val="0"/>
          <w:marBottom w:val="0"/>
          <w:divBdr>
            <w:top w:val="none" w:sz="0" w:space="0" w:color="auto"/>
            <w:left w:val="none" w:sz="0" w:space="0" w:color="auto"/>
            <w:bottom w:val="none" w:sz="0" w:space="0" w:color="auto"/>
            <w:right w:val="none" w:sz="0" w:space="0" w:color="auto"/>
          </w:divBdr>
        </w:div>
      </w:divsChild>
    </w:div>
    <w:div w:id="1296713386">
      <w:bodyDiv w:val="1"/>
      <w:marLeft w:val="0"/>
      <w:marRight w:val="0"/>
      <w:marTop w:val="0"/>
      <w:marBottom w:val="0"/>
      <w:divBdr>
        <w:top w:val="none" w:sz="0" w:space="0" w:color="auto"/>
        <w:left w:val="none" w:sz="0" w:space="0" w:color="auto"/>
        <w:bottom w:val="none" w:sz="0" w:space="0" w:color="auto"/>
        <w:right w:val="none" w:sz="0" w:space="0" w:color="auto"/>
      </w:divBdr>
    </w:div>
    <w:div w:id="1380935814">
      <w:bodyDiv w:val="1"/>
      <w:marLeft w:val="0"/>
      <w:marRight w:val="0"/>
      <w:marTop w:val="0"/>
      <w:marBottom w:val="0"/>
      <w:divBdr>
        <w:top w:val="none" w:sz="0" w:space="0" w:color="auto"/>
        <w:left w:val="none" w:sz="0" w:space="0" w:color="auto"/>
        <w:bottom w:val="none" w:sz="0" w:space="0" w:color="auto"/>
        <w:right w:val="none" w:sz="0" w:space="0" w:color="auto"/>
      </w:divBdr>
    </w:div>
    <w:div w:id="1421102339">
      <w:bodyDiv w:val="1"/>
      <w:marLeft w:val="0"/>
      <w:marRight w:val="0"/>
      <w:marTop w:val="0"/>
      <w:marBottom w:val="0"/>
      <w:divBdr>
        <w:top w:val="none" w:sz="0" w:space="0" w:color="auto"/>
        <w:left w:val="none" w:sz="0" w:space="0" w:color="auto"/>
        <w:bottom w:val="none" w:sz="0" w:space="0" w:color="auto"/>
        <w:right w:val="none" w:sz="0" w:space="0" w:color="auto"/>
      </w:divBdr>
      <w:divsChild>
        <w:div w:id="1748720815">
          <w:marLeft w:val="0"/>
          <w:marRight w:val="0"/>
          <w:marTop w:val="0"/>
          <w:marBottom w:val="0"/>
          <w:divBdr>
            <w:top w:val="none" w:sz="0" w:space="0" w:color="auto"/>
            <w:left w:val="none" w:sz="0" w:space="0" w:color="auto"/>
            <w:bottom w:val="none" w:sz="0" w:space="0" w:color="auto"/>
            <w:right w:val="none" w:sz="0" w:space="0" w:color="auto"/>
          </w:divBdr>
        </w:div>
      </w:divsChild>
    </w:div>
    <w:div w:id="1421487510">
      <w:bodyDiv w:val="1"/>
      <w:marLeft w:val="0"/>
      <w:marRight w:val="0"/>
      <w:marTop w:val="0"/>
      <w:marBottom w:val="0"/>
      <w:divBdr>
        <w:top w:val="none" w:sz="0" w:space="0" w:color="auto"/>
        <w:left w:val="none" w:sz="0" w:space="0" w:color="auto"/>
        <w:bottom w:val="none" w:sz="0" w:space="0" w:color="auto"/>
        <w:right w:val="none" w:sz="0" w:space="0" w:color="auto"/>
      </w:divBdr>
    </w:div>
    <w:div w:id="1507205306">
      <w:bodyDiv w:val="1"/>
      <w:marLeft w:val="0"/>
      <w:marRight w:val="0"/>
      <w:marTop w:val="0"/>
      <w:marBottom w:val="0"/>
      <w:divBdr>
        <w:top w:val="none" w:sz="0" w:space="0" w:color="auto"/>
        <w:left w:val="none" w:sz="0" w:space="0" w:color="auto"/>
        <w:bottom w:val="none" w:sz="0" w:space="0" w:color="auto"/>
        <w:right w:val="none" w:sz="0" w:space="0" w:color="auto"/>
      </w:divBdr>
    </w:div>
    <w:div w:id="1515918969">
      <w:bodyDiv w:val="1"/>
      <w:marLeft w:val="0"/>
      <w:marRight w:val="0"/>
      <w:marTop w:val="0"/>
      <w:marBottom w:val="0"/>
      <w:divBdr>
        <w:top w:val="none" w:sz="0" w:space="0" w:color="auto"/>
        <w:left w:val="none" w:sz="0" w:space="0" w:color="auto"/>
        <w:bottom w:val="none" w:sz="0" w:space="0" w:color="auto"/>
        <w:right w:val="none" w:sz="0" w:space="0" w:color="auto"/>
      </w:divBdr>
    </w:div>
    <w:div w:id="1631204200">
      <w:bodyDiv w:val="1"/>
      <w:marLeft w:val="0"/>
      <w:marRight w:val="0"/>
      <w:marTop w:val="0"/>
      <w:marBottom w:val="0"/>
      <w:divBdr>
        <w:top w:val="none" w:sz="0" w:space="0" w:color="auto"/>
        <w:left w:val="none" w:sz="0" w:space="0" w:color="auto"/>
        <w:bottom w:val="none" w:sz="0" w:space="0" w:color="auto"/>
        <w:right w:val="none" w:sz="0" w:space="0" w:color="auto"/>
      </w:divBdr>
    </w:div>
    <w:div w:id="1636597639">
      <w:bodyDiv w:val="1"/>
      <w:marLeft w:val="0"/>
      <w:marRight w:val="0"/>
      <w:marTop w:val="0"/>
      <w:marBottom w:val="0"/>
      <w:divBdr>
        <w:top w:val="none" w:sz="0" w:space="0" w:color="auto"/>
        <w:left w:val="none" w:sz="0" w:space="0" w:color="auto"/>
        <w:bottom w:val="none" w:sz="0" w:space="0" w:color="auto"/>
        <w:right w:val="none" w:sz="0" w:space="0" w:color="auto"/>
      </w:divBdr>
      <w:divsChild>
        <w:div w:id="1101217252">
          <w:marLeft w:val="0"/>
          <w:marRight w:val="0"/>
          <w:marTop w:val="0"/>
          <w:marBottom w:val="0"/>
          <w:divBdr>
            <w:top w:val="none" w:sz="0" w:space="0" w:color="auto"/>
            <w:left w:val="none" w:sz="0" w:space="0" w:color="auto"/>
            <w:bottom w:val="none" w:sz="0" w:space="0" w:color="auto"/>
            <w:right w:val="none" w:sz="0" w:space="0" w:color="auto"/>
          </w:divBdr>
        </w:div>
      </w:divsChild>
    </w:div>
    <w:div w:id="1709791865">
      <w:bodyDiv w:val="1"/>
      <w:marLeft w:val="0"/>
      <w:marRight w:val="0"/>
      <w:marTop w:val="0"/>
      <w:marBottom w:val="0"/>
      <w:divBdr>
        <w:top w:val="none" w:sz="0" w:space="0" w:color="auto"/>
        <w:left w:val="none" w:sz="0" w:space="0" w:color="auto"/>
        <w:bottom w:val="none" w:sz="0" w:space="0" w:color="auto"/>
        <w:right w:val="none" w:sz="0" w:space="0" w:color="auto"/>
      </w:divBdr>
    </w:div>
    <w:div w:id="1714574747">
      <w:bodyDiv w:val="1"/>
      <w:marLeft w:val="0"/>
      <w:marRight w:val="0"/>
      <w:marTop w:val="0"/>
      <w:marBottom w:val="0"/>
      <w:divBdr>
        <w:top w:val="none" w:sz="0" w:space="0" w:color="auto"/>
        <w:left w:val="none" w:sz="0" w:space="0" w:color="auto"/>
        <w:bottom w:val="none" w:sz="0" w:space="0" w:color="auto"/>
        <w:right w:val="none" w:sz="0" w:space="0" w:color="auto"/>
      </w:divBdr>
    </w:div>
    <w:div w:id="1826318448">
      <w:bodyDiv w:val="1"/>
      <w:marLeft w:val="0"/>
      <w:marRight w:val="0"/>
      <w:marTop w:val="0"/>
      <w:marBottom w:val="0"/>
      <w:divBdr>
        <w:top w:val="none" w:sz="0" w:space="0" w:color="auto"/>
        <w:left w:val="none" w:sz="0" w:space="0" w:color="auto"/>
        <w:bottom w:val="none" w:sz="0" w:space="0" w:color="auto"/>
        <w:right w:val="none" w:sz="0" w:space="0" w:color="auto"/>
      </w:divBdr>
      <w:divsChild>
        <w:div w:id="250162522">
          <w:marLeft w:val="0"/>
          <w:marRight w:val="0"/>
          <w:marTop w:val="0"/>
          <w:marBottom w:val="0"/>
          <w:divBdr>
            <w:top w:val="none" w:sz="0" w:space="0" w:color="auto"/>
            <w:left w:val="none" w:sz="0" w:space="0" w:color="auto"/>
            <w:bottom w:val="none" w:sz="0" w:space="0" w:color="auto"/>
            <w:right w:val="none" w:sz="0" w:space="0" w:color="auto"/>
          </w:divBdr>
        </w:div>
      </w:divsChild>
    </w:div>
    <w:div w:id="1838034477">
      <w:bodyDiv w:val="1"/>
      <w:marLeft w:val="0"/>
      <w:marRight w:val="0"/>
      <w:marTop w:val="0"/>
      <w:marBottom w:val="0"/>
      <w:divBdr>
        <w:top w:val="none" w:sz="0" w:space="0" w:color="auto"/>
        <w:left w:val="none" w:sz="0" w:space="0" w:color="auto"/>
        <w:bottom w:val="none" w:sz="0" w:space="0" w:color="auto"/>
        <w:right w:val="none" w:sz="0" w:space="0" w:color="auto"/>
      </w:divBdr>
    </w:div>
    <w:div w:id="1845362869">
      <w:bodyDiv w:val="1"/>
      <w:marLeft w:val="0"/>
      <w:marRight w:val="0"/>
      <w:marTop w:val="0"/>
      <w:marBottom w:val="0"/>
      <w:divBdr>
        <w:top w:val="none" w:sz="0" w:space="0" w:color="auto"/>
        <w:left w:val="none" w:sz="0" w:space="0" w:color="auto"/>
        <w:bottom w:val="none" w:sz="0" w:space="0" w:color="auto"/>
        <w:right w:val="none" w:sz="0" w:space="0" w:color="auto"/>
      </w:divBdr>
    </w:div>
    <w:div w:id="1909263146">
      <w:bodyDiv w:val="1"/>
      <w:marLeft w:val="0"/>
      <w:marRight w:val="0"/>
      <w:marTop w:val="0"/>
      <w:marBottom w:val="0"/>
      <w:divBdr>
        <w:top w:val="none" w:sz="0" w:space="0" w:color="auto"/>
        <w:left w:val="none" w:sz="0" w:space="0" w:color="auto"/>
        <w:bottom w:val="none" w:sz="0" w:space="0" w:color="auto"/>
        <w:right w:val="none" w:sz="0" w:space="0" w:color="auto"/>
      </w:divBdr>
    </w:div>
    <w:div w:id="1911378071">
      <w:bodyDiv w:val="1"/>
      <w:marLeft w:val="0"/>
      <w:marRight w:val="0"/>
      <w:marTop w:val="0"/>
      <w:marBottom w:val="0"/>
      <w:divBdr>
        <w:top w:val="none" w:sz="0" w:space="0" w:color="auto"/>
        <w:left w:val="none" w:sz="0" w:space="0" w:color="auto"/>
        <w:bottom w:val="none" w:sz="0" w:space="0" w:color="auto"/>
        <w:right w:val="none" w:sz="0" w:space="0" w:color="auto"/>
      </w:divBdr>
    </w:div>
    <w:div w:id="1954244462">
      <w:bodyDiv w:val="1"/>
      <w:marLeft w:val="0"/>
      <w:marRight w:val="0"/>
      <w:marTop w:val="0"/>
      <w:marBottom w:val="0"/>
      <w:divBdr>
        <w:top w:val="none" w:sz="0" w:space="0" w:color="auto"/>
        <w:left w:val="none" w:sz="0" w:space="0" w:color="auto"/>
        <w:bottom w:val="none" w:sz="0" w:space="0" w:color="auto"/>
        <w:right w:val="none" w:sz="0" w:space="0" w:color="auto"/>
      </w:divBdr>
    </w:div>
    <w:div w:id="2100519729">
      <w:bodyDiv w:val="1"/>
      <w:marLeft w:val="0"/>
      <w:marRight w:val="0"/>
      <w:marTop w:val="0"/>
      <w:marBottom w:val="0"/>
      <w:divBdr>
        <w:top w:val="none" w:sz="0" w:space="0" w:color="auto"/>
        <w:left w:val="none" w:sz="0" w:space="0" w:color="auto"/>
        <w:bottom w:val="none" w:sz="0" w:space="0" w:color="auto"/>
        <w:right w:val="none" w:sz="0" w:space="0" w:color="auto"/>
      </w:divBdr>
    </w:div>
    <w:div w:id="2123380308">
      <w:bodyDiv w:val="1"/>
      <w:marLeft w:val="0"/>
      <w:marRight w:val="0"/>
      <w:marTop w:val="0"/>
      <w:marBottom w:val="0"/>
      <w:divBdr>
        <w:top w:val="none" w:sz="0" w:space="0" w:color="auto"/>
        <w:left w:val="none" w:sz="0" w:space="0" w:color="auto"/>
        <w:bottom w:val="none" w:sz="0" w:space="0" w:color="auto"/>
        <w:right w:val="none" w:sz="0" w:space="0" w:color="auto"/>
      </w:divBdr>
    </w:div>
    <w:div w:id="2135754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8211D-2E56-4118-84A4-258FD2A50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5568</Words>
  <Characters>31739</Characters>
  <Application>Microsoft Office Word</Application>
  <DocSecurity>0</DocSecurity>
  <Lines>264</Lines>
  <Paragraphs>74</Paragraphs>
  <ScaleCrop>false</ScaleCrop>
  <Company/>
  <LinksUpToDate>false</LinksUpToDate>
  <CharactersWithSpaces>37233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2026-04-15T11:58:00Z</dcterms:created>
  <dcterms:modified xsi:type="dcterms:W3CDTF">2026-04-15T11:59:00Z</dcterms:modified>
</cp:coreProperties>
</file>