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132D3" w14:textId="77777777" w:rsidR="0012143E" w:rsidRDefault="005D3E84">
      <w:pPr>
        <w:spacing w:after="80"/>
        <w:jc w:val="center"/>
      </w:pPr>
      <w:r>
        <w:rPr>
          <w:rFonts w:ascii="Arial" w:eastAsia="Arial" w:hAnsi="Arial" w:cs="Arial"/>
          <w:b/>
          <w:bCs/>
          <w:sz w:val="24"/>
          <w:szCs w:val="24"/>
        </w:rPr>
        <w:t>BMHP5021 – Component 1: Individual Reference List</w:t>
      </w:r>
    </w:p>
    <w:p w14:paraId="0677B587" w14:textId="77777777" w:rsidR="0012143E" w:rsidRDefault="005D3E84">
      <w:pPr>
        <w:spacing w:after="80"/>
        <w:jc w:val="center"/>
      </w:pPr>
      <w:r>
        <w:rPr>
          <w:rFonts w:ascii="Arial" w:eastAsia="Arial" w:hAnsi="Arial" w:cs="Arial"/>
          <w:sz w:val="24"/>
          <w:szCs w:val="24"/>
        </w:rPr>
        <w:t>Case 5: Theo – Role: Police Officer</w:t>
      </w:r>
    </w:p>
    <w:p w14:paraId="397BACAC" w14:textId="5DF44FE0" w:rsidR="0012143E" w:rsidRDefault="005D3E84">
      <w:pPr>
        <w:spacing w:after="360"/>
        <w:jc w:val="center"/>
      </w:pPr>
      <w:r>
        <w:rPr>
          <w:rFonts w:ascii="Arial" w:eastAsia="Arial" w:hAnsi="Arial" w:cs="Arial"/>
          <w:sz w:val="22"/>
          <w:szCs w:val="22"/>
        </w:rPr>
        <w:t xml:space="preserve">Student Name: </w:t>
      </w:r>
      <w:r w:rsidR="004C5AA8">
        <w:rPr>
          <w:rFonts w:ascii="Arial" w:eastAsia="Arial" w:hAnsi="Arial" w:cs="Arial"/>
          <w:sz w:val="22"/>
          <w:szCs w:val="22"/>
        </w:rPr>
        <w:t>Mihaela Ionita</w:t>
      </w:r>
      <w:r>
        <w:rPr>
          <w:rFonts w:ascii="Arial" w:eastAsia="Arial" w:hAnsi="Arial" w:cs="Arial"/>
          <w:sz w:val="22"/>
          <w:szCs w:val="22"/>
        </w:rPr>
        <w:t xml:space="preserve">    Student ID:</w:t>
      </w:r>
      <w:r w:rsidR="004C5AA8">
        <w:rPr>
          <w:rFonts w:ascii="Arial" w:eastAsia="Arial" w:hAnsi="Arial" w:cs="Arial"/>
          <w:sz w:val="22"/>
          <w:szCs w:val="22"/>
        </w:rPr>
        <w:t xml:space="preserve"> 2436853</w:t>
      </w:r>
    </w:p>
    <w:p w14:paraId="589C17E7" w14:textId="77777777" w:rsidR="0012143E" w:rsidRDefault="005D3E84">
      <w:pPr>
        <w:spacing w:after="240"/>
      </w:pPr>
      <w:r>
        <w:rPr>
          <w:rFonts w:ascii="Arial" w:eastAsia="Arial" w:hAnsi="Arial" w:cs="Arial"/>
          <w:b/>
          <w:bCs/>
          <w:sz w:val="28"/>
          <w:szCs w:val="28"/>
        </w:rPr>
        <w:t>Reference List</w:t>
      </w:r>
    </w:p>
    <w:p w14:paraId="02CA2389" w14:textId="77777777" w:rsidR="00EA13E2" w:rsidRDefault="00EA13E2" w:rsidP="00EA13E2">
      <w:pPr>
        <w:spacing w:after="200" w:line="360" w:lineRule="auto"/>
        <w:jc w:val="both"/>
      </w:pPr>
      <w:r>
        <w:rPr>
          <w:rFonts w:ascii="Arial" w:eastAsia="Arial" w:hAnsi="Arial" w:cs="Arial"/>
          <w:sz w:val="24"/>
          <w:szCs w:val="24"/>
        </w:rPr>
        <w:t>Children and Social Work Act 2017, c. 16. Available at: https://www.legislation.gov.uk/ukpga/2017/16 (Accessed: 4 October 2026).</w:t>
      </w:r>
    </w:p>
    <w:p w14:paraId="1FC1FA31" w14:textId="77777777" w:rsidR="00EA13E2" w:rsidRDefault="00EA13E2" w:rsidP="00EA13E2">
      <w:pPr>
        <w:spacing w:after="200" w:line="360" w:lineRule="auto"/>
        <w:jc w:val="both"/>
      </w:pPr>
      <w:r>
        <w:rPr>
          <w:rFonts w:ascii="Arial" w:eastAsia="Arial" w:hAnsi="Arial" w:cs="Arial"/>
          <w:sz w:val="24"/>
          <w:szCs w:val="24"/>
        </w:rPr>
        <w:t xml:space="preserve">College of Policing (2021) </w:t>
      </w:r>
      <w:r>
        <w:rPr>
          <w:rFonts w:ascii="Arial" w:eastAsia="Arial" w:hAnsi="Arial" w:cs="Arial"/>
          <w:i/>
          <w:iCs/>
          <w:sz w:val="24"/>
          <w:szCs w:val="24"/>
        </w:rPr>
        <w:t>Vulnerability-related risks: introduction to vulnerability-related risk</w:t>
      </w:r>
      <w:r>
        <w:rPr>
          <w:rFonts w:ascii="Arial" w:eastAsia="Arial" w:hAnsi="Arial" w:cs="Arial"/>
          <w:sz w:val="24"/>
          <w:szCs w:val="24"/>
        </w:rPr>
        <w:t>. Available at: https://www.college.police.uk/guidance/vulnerability-related-risks/introduction-vulnerability-related-risk (Accessed: 4 October 2026).</w:t>
      </w:r>
    </w:p>
    <w:p w14:paraId="6FA7DEDA" w14:textId="77777777" w:rsidR="00EA13E2" w:rsidRDefault="00EA13E2" w:rsidP="00EA13E2">
      <w:pPr>
        <w:spacing w:after="200" w:line="360" w:lineRule="auto"/>
        <w:jc w:val="both"/>
      </w:pPr>
      <w:r>
        <w:rPr>
          <w:rFonts w:ascii="Arial" w:eastAsia="Arial" w:hAnsi="Arial" w:cs="Arial"/>
          <w:sz w:val="24"/>
          <w:szCs w:val="24"/>
        </w:rPr>
        <w:t xml:space="preserve">Derby and Derbyshire Safeguarding Children Partnership (2024) </w:t>
      </w:r>
      <w:r>
        <w:rPr>
          <w:rFonts w:ascii="Arial" w:eastAsia="Arial" w:hAnsi="Arial" w:cs="Arial"/>
          <w:i/>
          <w:iCs/>
          <w:sz w:val="24"/>
          <w:szCs w:val="24"/>
        </w:rPr>
        <w:t>Theo: Local Child Safeguarding Practice Review (TDS20)</w:t>
      </w:r>
      <w:r>
        <w:rPr>
          <w:rFonts w:ascii="Arial" w:eastAsia="Arial" w:hAnsi="Arial" w:cs="Arial"/>
          <w:sz w:val="24"/>
          <w:szCs w:val="24"/>
        </w:rPr>
        <w:t>. Derby: DDSCP. Available at: https://www.ddscp.org.uk/media/derby-scb/content-assets/documents/serious-case-reviews/ddscp_tds20_lcspr_final(2)_14.03.24.pdf (Accessed: 4 October 2026).</w:t>
      </w:r>
    </w:p>
    <w:p w14:paraId="161D32C1" w14:textId="77777777" w:rsidR="00EA13E2" w:rsidRDefault="00EA13E2" w:rsidP="00EA13E2">
      <w:pPr>
        <w:spacing w:after="200" w:line="360" w:lineRule="auto"/>
        <w:jc w:val="both"/>
      </w:pPr>
      <w:r>
        <w:rPr>
          <w:rFonts w:ascii="Arial" w:eastAsia="Arial" w:hAnsi="Arial" w:cs="Arial"/>
          <w:sz w:val="24"/>
          <w:szCs w:val="24"/>
        </w:rPr>
        <w:t>Domestic Abuse Act 2021, c. 17. Available at: https://www.legislation.gov.uk/ukpga/2021/17 (Accessed: 4 October 2026).</w:t>
      </w:r>
    </w:p>
    <w:p w14:paraId="7930DCC4" w14:textId="77777777" w:rsidR="00EA13E2" w:rsidRDefault="00EA13E2" w:rsidP="00EA13E2">
      <w:pPr>
        <w:spacing w:after="200" w:line="360" w:lineRule="auto"/>
        <w:jc w:val="both"/>
      </w:pPr>
      <w:r>
        <w:rPr>
          <w:rFonts w:ascii="Arial" w:eastAsia="Arial" w:hAnsi="Arial" w:cs="Arial"/>
          <w:sz w:val="24"/>
          <w:szCs w:val="24"/>
        </w:rPr>
        <w:t xml:space="preserve">HM Government (2023) </w:t>
      </w:r>
      <w:r>
        <w:rPr>
          <w:rFonts w:ascii="Arial" w:eastAsia="Arial" w:hAnsi="Arial" w:cs="Arial"/>
          <w:i/>
          <w:iCs/>
          <w:sz w:val="24"/>
          <w:szCs w:val="24"/>
        </w:rPr>
        <w:t>Working Together to Safeguard Children 2023: a guide to multi-agency working to help, protect and promote the welfare of children</w:t>
      </w:r>
      <w:r>
        <w:rPr>
          <w:rFonts w:ascii="Arial" w:eastAsia="Arial" w:hAnsi="Arial" w:cs="Arial"/>
          <w:sz w:val="24"/>
          <w:szCs w:val="24"/>
        </w:rPr>
        <w:t>. London: Department for Education. Available at: https://www.gov.uk/government/publications/working-together-to-safeguard-children--2 (Accessed: 4 October 2026).</w:t>
      </w:r>
    </w:p>
    <w:p w14:paraId="6292566B" w14:textId="77777777" w:rsidR="00EA13E2" w:rsidRDefault="00EA13E2" w:rsidP="00EA13E2">
      <w:pPr>
        <w:spacing w:after="200" w:line="360" w:lineRule="auto"/>
        <w:jc w:val="both"/>
      </w:pPr>
      <w:r>
        <w:rPr>
          <w:rFonts w:ascii="Arial" w:eastAsia="Arial" w:hAnsi="Arial" w:cs="Arial"/>
          <w:sz w:val="24"/>
          <w:szCs w:val="24"/>
        </w:rPr>
        <w:t xml:space="preserve">HM Government (2024) </w:t>
      </w:r>
      <w:r>
        <w:rPr>
          <w:rFonts w:ascii="Arial" w:eastAsia="Arial" w:hAnsi="Arial" w:cs="Arial"/>
          <w:i/>
          <w:iCs/>
          <w:sz w:val="24"/>
          <w:szCs w:val="24"/>
        </w:rPr>
        <w:t>Information sharing: advice for practitioners providing safeguarding services for children, young people, parents and carers</w:t>
      </w:r>
      <w:r>
        <w:rPr>
          <w:rFonts w:ascii="Arial" w:eastAsia="Arial" w:hAnsi="Arial" w:cs="Arial"/>
          <w:sz w:val="24"/>
          <w:szCs w:val="24"/>
        </w:rPr>
        <w:t>. London: Department for Education. Available at: https://www.gov.uk/government/publications/safeguarding-practitioners-information-sharing-advice (Accessed: 4 October 2026).</w:t>
      </w:r>
    </w:p>
    <w:p w14:paraId="230A3398" w14:textId="77777777" w:rsidR="00EA13E2" w:rsidRDefault="00EA13E2" w:rsidP="00EA13E2">
      <w:pPr>
        <w:spacing w:after="200" w:line="360" w:lineRule="auto"/>
        <w:jc w:val="both"/>
      </w:pPr>
      <w:r>
        <w:rPr>
          <w:rFonts w:ascii="Arial" w:eastAsia="Arial" w:hAnsi="Arial" w:cs="Arial"/>
          <w:sz w:val="24"/>
          <w:szCs w:val="24"/>
        </w:rPr>
        <w:t xml:space="preserve">NSPCC (2023) </w:t>
      </w:r>
      <w:r>
        <w:rPr>
          <w:rFonts w:ascii="Arial" w:eastAsia="Arial" w:hAnsi="Arial" w:cs="Arial"/>
          <w:i/>
          <w:iCs/>
          <w:sz w:val="24"/>
          <w:szCs w:val="24"/>
        </w:rPr>
        <w:t>Parents with substance use problems: learning from case reviews</w:t>
      </w:r>
      <w:r>
        <w:rPr>
          <w:rFonts w:ascii="Arial" w:eastAsia="Arial" w:hAnsi="Arial" w:cs="Arial"/>
          <w:sz w:val="24"/>
          <w:szCs w:val="24"/>
        </w:rPr>
        <w:t>. London: NSPCC Learning. Available at: https://learning.nspcc.org.uk/research-resources/learning-from-case-reviews/parents-substance-use-problem (Accessed: 4 October 2026).</w:t>
      </w:r>
    </w:p>
    <w:p w14:paraId="596A1733" w14:textId="7D5BE4BB" w:rsidR="00EA13E2" w:rsidRDefault="00EA13E2" w:rsidP="00EA13E2">
      <w:pPr>
        <w:spacing w:after="200" w:line="360" w:lineRule="auto"/>
        <w:jc w:val="both"/>
      </w:pPr>
      <w:r>
        <w:rPr>
          <w:rFonts w:ascii="Arial" w:eastAsia="Arial" w:hAnsi="Arial" w:cs="Arial"/>
          <w:sz w:val="24"/>
          <w:szCs w:val="24"/>
        </w:rPr>
        <w:t xml:space="preserve">NSPCC (2024) </w:t>
      </w:r>
      <w:r>
        <w:rPr>
          <w:rFonts w:ascii="Arial" w:eastAsia="Arial" w:hAnsi="Arial" w:cs="Arial"/>
          <w:i/>
          <w:iCs/>
          <w:sz w:val="24"/>
          <w:szCs w:val="24"/>
        </w:rPr>
        <w:t>Returning children home from care: learning from case reviews</w:t>
      </w:r>
      <w:r>
        <w:rPr>
          <w:rFonts w:ascii="Arial" w:eastAsia="Arial" w:hAnsi="Arial" w:cs="Arial"/>
          <w:sz w:val="24"/>
          <w:szCs w:val="24"/>
        </w:rPr>
        <w:t>. London: NSPCC Learning. Available at: https://learning.nspcc.org.uk/research-</w:t>
      </w:r>
      <w:r>
        <w:rPr>
          <w:rFonts w:ascii="Arial" w:eastAsia="Arial" w:hAnsi="Arial" w:cs="Arial"/>
          <w:sz w:val="24"/>
          <w:szCs w:val="24"/>
        </w:rPr>
        <w:lastRenderedPageBreak/>
        <w:t>resources/learning-from-case-reviews/returning-children-home-from-care (Accessed: 4 October 2026).</w:t>
      </w:r>
    </w:p>
    <w:sectPr w:rsidR="00EA13E2">
      <w:pgSz w:w="11906" w:h="16838"/>
      <w:pgMar w:top="1300" w:right="1300" w:bottom="1300" w:left="13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B6544C"/>
    <w:multiLevelType w:val="hybridMultilevel"/>
    <w:tmpl w:val="62D4DEB4"/>
    <w:lvl w:ilvl="0" w:tplc="23B4260E">
      <w:start w:val="1"/>
      <w:numFmt w:val="bullet"/>
      <w:lvlText w:val="●"/>
      <w:lvlJc w:val="left"/>
      <w:pPr>
        <w:ind w:left="720" w:hanging="360"/>
      </w:pPr>
    </w:lvl>
    <w:lvl w:ilvl="1" w:tplc="43186420">
      <w:start w:val="1"/>
      <w:numFmt w:val="bullet"/>
      <w:lvlText w:val="○"/>
      <w:lvlJc w:val="left"/>
      <w:pPr>
        <w:ind w:left="1440" w:hanging="360"/>
      </w:pPr>
    </w:lvl>
    <w:lvl w:ilvl="2" w:tplc="A6CED42E">
      <w:start w:val="1"/>
      <w:numFmt w:val="bullet"/>
      <w:lvlText w:val="■"/>
      <w:lvlJc w:val="left"/>
      <w:pPr>
        <w:ind w:left="2160" w:hanging="360"/>
      </w:pPr>
    </w:lvl>
    <w:lvl w:ilvl="3" w:tplc="A9BC3588">
      <w:start w:val="1"/>
      <w:numFmt w:val="bullet"/>
      <w:lvlText w:val="●"/>
      <w:lvlJc w:val="left"/>
      <w:pPr>
        <w:ind w:left="2880" w:hanging="360"/>
      </w:pPr>
    </w:lvl>
    <w:lvl w:ilvl="4" w:tplc="F43EA1E4">
      <w:start w:val="1"/>
      <w:numFmt w:val="bullet"/>
      <w:lvlText w:val="○"/>
      <w:lvlJc w:val="left"/>
      <w:pPr>
        <w:ind w:left="3600" w:hanging="360"/>
      </w:pPr>
    </w:lvl>
    <w:lvl w:ilvl="5" w:tplc="351E32D4">
      <w:start w:val="1"/>
      <w:numFmt w:val="bullet"/>
      <w:lvlText w:val="■"/>
      <w:lvlJc w:val="left"/>
      <w:pPr>
        <w:ind w:left="4320" w:hanging="360"/>
      </w:pPr>
    </w:lvl>
    <w:lvl w:ilvl="6" w:tplc="42C8866C">
      <w:start w:val="1"/>
      <w:numFmt w:val="bullet"/>
      <w:lvlText w:val="●"/>
      <w:lvlJc w:val="left"/>
      <w:pPr>
        <w:ind w:left="5040" w:hanging="360"/>
      </w:pPr>
    </w:lvl>
    <w:lvl w:ilvl="7" w:tplc="58809426">
      <w:start w:val="1"/>
      <w:numFmt w:val="bullet"/>
      <w:lvlText w:val="●"/>
      <w:lvlJc w:val="left"/>
      <w:pPr>
        <w:ind w:left="5760" w:hanging="360"/>
      </w:pPr>
    </w:lvl>
    <w:lvl w:ilvl="8" w:tplc="EF288614">
      <w:start w:val="1"/>
      <w:numFmt w:val="bullet"/>
      <w:lvlText w:val="●"/>
      <w:lvlJc w:val="left"/>
      <w:pPr>
        <w:ind w:left="6480" w:hanging="360"/>
      </w:pPr>
    </w:lvl>
  </w:abstractNum>
  <w:num w:numId="1" w16cid:durableId="3207512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143E"/>
    <w:rsid w:val="0012143E"/>
    <w:rsid w:val="004C5AA8"/>
    <w:rsid w:val="00556397"/>
    <w:rsid w:val="005D3E84"/>
    <w:rsid w:val="00E40542"/>
    <w:rsid w:val="00E75EFC"/>
    <w:rsid w:val="00EA13E2"/>
    <w:rsid w:val="00F5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3962C"/>
  <w15:docId w15:val="{22C53FF3-27FE-49E2-A0C6-1123C0C07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j w</cp:lastModifiedBy>
  <cp:revision>5</cp:revision>
  <dcterms:created xsi:type="dcterms:W3CDTF">2026-10-04T14:08:00Z</dcterms:created>
  <dcterms:modified xsi:type="dcterms:W3CDTF">2026-10-04T23:00:00Z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d379c2cee723a7aafc75e24ecd52364c571bd4f6d50f419bd36301e289ccac9c</vt:lpwstr>
  </property>
</Properties>
</file>