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B925B" w14:textId="77777777" w:rsidR="00446C0F" w:rsidRPr="00991598" w:rsidRDefault="00446C0F" w:rsidP="00991598">
      <w:pPr>
        <w:spacing w:after="0"/>
        <w:rPr>
          <w:rFonts w:cs="Times New Roman"/>
          <w:szCs w:val="24"/>
        </w:rPr>
      </w:pPr>
    </w:p>
    <w:p w14:paraId="086A5081" w14:textId="77777777" w:rsidR="00A91E28" w:rsidRPr="00991598" w:rsidRDefault="00A91E28" w:rsidP="00991598">
      <w:pPr>
        <w:spacing w:after="0"/>
        <w:rPr>
          <w:rFonts w:cs="Times New Roman"/>
          <w:szCs w:val="24"/>
        </w:rPr>
      </w:pPr>
    </w:p>
    <w:p w14:paraId="719F151E" w14:textId="77777777" w:rsidR="00A91E28" w:rsidRPr="00991598" w:rsidRDefault="00A91E28" w:rsidP="00991598">
      <w:pPr>
        <w:spacing w:after="0"/>
        <w:rPr>
          <w:rFonts w:cs="Times New Roman"/>
          <w:szCs w:val="24"/>
        </w:rPr>
      </w:pPr>
    </w:p>
    <w:p w14:paraId="7EFA0736" w14:textId="77777777" w:rsidR="00A91E28" w:rsidRPr="00991598" w:rsidRDefault="00A91E28" w:rsidP="00991598">
      <w:pPr>
        <w:spacing w:after="0"/>
        <w:rPr>
          <w:rFonts w:cs="Times New Roman"/>
          <w:szCs w:val="24"/>
        </w:rPr>
      </w:pPr>
    </w:p>
    <w:p w14:paraId="58F3A61D" w14:textId="77777777" w:rsidR="00A91E28" w:rsidRPr="00991598" w:rsidRDefault="00A91E28" w:rsidP="00991598">
      <w:pPr>
        <w:spacing w:after="0"/>
        <w:jc w:val="center"/>
        <w:rPr>
          <w:rFonts w:cs="Times New Roman"/>
          <w:b/>
          <w:szCs w:val="24"/>
        </w:rPr>
      </w:pPr>
      <w:r w:rsidRPr="00991598">
        <w:rPr>
          <w:rFonts w:cs="Times New Roman"/>
          <w:b/>
          <w:szCs w:val="24"/>
        </w:rPr>
        <w:t>LCBB5012</w:t>
      </w:r>
    </w:p>
    <w:p w14:paraId="16389E59" w14:textId="77777777" w:rsidR="00A91E28" w:rsidRPr="00991598" w:rsidRDefault="00A91E28" w:rsidP="00991598">
      <w:pPr>
        <w:spacing w:after="0"/>
        <w:jc w:val="center"/>
        <w:rPr>
          <w:rFonts w:cs="Times New Roman"/>
          <w:b/>
          <w:szCs w:val="24"/>
        </w:rPr>
      </w:pPr>
      <w:r w:rsidRPr="00991598">
        <w:rPr>
          <w:rFonts w:cs="Times New Roman"/>
          <w:b/>
          <w:szCs w:val="24"/>
        </w:rPr>
        <w:t>Principles of Human Resource Management</w:t>
      </w:r>
    </w:p>
    <w:p w14:paraId="151F80D2" w14:textId="77777777" w:rsidR="00635456" w:rsidRPr="00991598" w:rsidRDefault="00635456" w:rsidP="00991598">
      <w:pPr>
        <w:spacing w:after="0"/>
        <w:jc w:val="center"/>
        <w:rPr>
          <w:rFonts w:cs="Times New Roman"/>
          <w:b/>
          <w:szCs w:val="24"/>
        </w:rPr>
      </w:pPr>
      <w:r w:rsidRPr="00991598">
        <w:rPr>
          <w:rFonts w:cs="Times New Roman"/>
          <w:b/>
          <w:szCs w:val="24"/>
        </w:rPr>
        <w:t>Individual Report</w:t>
      </w:r>
    </w:p>
    <w:p w14:paraId="749DAC83" w14:textId="77777777" w:rsidR="0068688D" w:rsidRPr="00991598" w:rsidRDefault="0068688D" w:rsidP="00991598">
      <w:pPr>
        <w:spacing w:after="0"/>
        <w:jc w:val="center"/>
        <w:rPr>
          <w:rFonts w:cs="Times New Roman"/>
          <w:b/>
          <w:szCs w:val="24"/>
        </w:rPr>
      </w:pPr>
    </w:p>
    <w:p w14:paraId="5FF00E95" w14:textId="77777777" w:rsidR="00635456" w:rsidRDefault="0068688D" w:rsidP="00991598">
      <w:pPr>
        <w:spacing w:after="0"/>
        <w:jc w:val="center"/>
        <w:rPr>
          <w:rFonts w:cs="Times New Roman"/>
          <w:b/>
          <w:szCs w:val="24"/>
        </w:rPr>
      </w:pPr>
      <w:r w:rsidRPr="00991598">
        <w:rPr>
          <w:rFonts w:cs="Times New Roman"/>
          <w:b/>
          <w:szCs w:val="24"/>
        </w:rPr>
        <w:t>The Impact of Internal and External Environmental Factors on HR Practices: Case of Unilever</w:t>
      </w:r>
    </w:p>
    <w:p w14:paraId="301DAD7C" w14:textId="77777777" w:rsidR="00EC5E58" w:rsidRDefault="00EC5E58" w:rsidP="00991598">
      <w:pPr>
        <w:spacing w:after="0"/>
        <w:jc w:val="center"/>
        <w:rPr>
          <w:rFonts w:cs="Times New Roman"/>
          <w:b/>
          <w:szCs w:val="24"/>
        </w:rPr>
      </w:pPr>
    </w:p>
    <w:p w14:paraId="5EA0F2ED" w14:textId="77777777" w:rsidR="00EC5E58" w:rsidRDefault="00EC5E58" w:rsidP="00991598">
      <w:pPr>
        <w:spacing w:after="0"/>
        <w:jc w:val="center"/>
        <w:rPr>
          <w:rFonts w:cs="Times New Roman"/>
          <w:b/>
          <w:szCs w:val="24"/>
        </w:rPr>
      </w:pPr>
    </w:p>
    <w:p w14:paraId="58983CD7" w14:textId="77777777" w:rsidR="00EC5E58" w:rsidRDefault="00EC5E58" w:rsidP="00991598">
      <w:pPr>
        <w:spacing w:after="0"/>
        <w:jc w:val="center"/>
        <w:rPr>
          <w:rFonts w:cs="Times New Roman"/>
          <w:b/>
          <w:szCs w:val="24"/>
        </w:rPr>
      </w:pPr>
    </w:p>
    <w:p w14:paraId="6225E761" w14:textId="77777777" w:rsidR="00EC5E58" w:rsidRDefault="00EC5E58" w:rsidP="00991598">
      <w:pPr>
        <w:spacing w:after="0"/>
        <w:jc w:val="center"/>
        <w:rPr>
          <w:rFonts w:cs="Times New Roman"/>
          <w:b/>
          <w:szCs w:val="24"/>
        </w:rPr>
      </w:pPr>
    </w:p>
    <w:p w14:paraId="6AB15389" w14:textId="77777777" w:rsidR="00EC5E58" w:rsidRDefault="00EC5E58" w:rsidP="00991598">
      <w:pPr>
        <w:spacing w:after="0"/>
        <w:jc w:val="center"/>
        <w:rPr>
          <w:rFonts w:cs="Times New Roman"/>
          <w:b/>
          <w:szCs w:val="24"/>
        </w:rPr>
      </w:pPr>
    </w:p>
    <w:p w14:paraId="0C336069" w14:textId="77777777" w:rsidR="00EC5E58" w:rsidRDefault="00EC5E58" w:rsidP="00991598">
      <w:pPr>
        <w:spacing w:after="0"/>
        <w:jc w:val="center"/>
        <w:rPr>
          <w:rFonts w:cs="Times New Roman"/>
          <w:b/>
          <w:szCs w:val="24"/>
        </w:rPr>
      </w:pPr>
    </w:p>
    <w:p w14:paraId="4E60217C" w14:textId="77777777" w:rsidR="00EC5E58" w:rsidRDefault="00EC5E58" w:rsidP="00991598">
      <w:pPr>
        <w:spacing w:after="0"/>
        <w:jc w:val="center"/>
        <w:rPr>
          <w:rFonts w:cs="Times New Roman"/>
          <w:b/>
          <w:szCs w:val="24"/>
        </w:rPr>
      </w:pPr>
    </w:p>
    <w:p w14:paraId="43B01383" w14:textId="77777777" w:rsidR="00EC5E58" w:rsidRDefault="00EC5E58" w:rsidP="00991598">
      <w:pPr>
        <w:spacing w:after="0"/>
        <w:jc w:val="center"/>
        <w:rPr>
          <w:rFonts w:cs="Times New Roman"/>
          <w:b/>
          <w:szCs w:val="24"/>
        </w:rPr>
      </w:pPr>
    </w:p>
    <w:p w14:paraId="18C823C1" w14:textId="77777777" w:rsidR="00EC5E58" w:rsidRDefault="00EC5E58" w:rsidP="00991598">
      <w:pPr>
        <w:spacing w:after="0"/>
        <w:jc w:val="center"/>
        <w:rPr>
          <w:rFonts w:cs="Times New Roman"/>
          <w:b/>
          <w:szCs w:val="24"/>
        </w:rPr>
      </w:pPr>
    </w:p>
    <w:p w14:paraId="7F3D7DD4" w14:textId="77777777" w:rsidR="00EC5E58" w:rsidRDefault="00EC5E58" w:rsidP="00991598">
      <w:pPr>
        <w:spacing w:after="0"/>
        <w:jc w:val="center"/>
        <w:rPr>
          <w:rFonts w:cs="Times New Roman"/>
          <w:b/>
          <w:szCs w:val="24"/>
        </w:rPr>
      </w:pPr>
    </w:p>
    <w:p w14:paraId="2E74B41C" w14:textId="77777777" w:rsidR="00EC5E58" w:rsidRDefault="00EC5E58" w:rsidP="00991598">
      <w:pPr>
        <w:spacing w:after="0"/>
        <w:jc w:val="center"/>
        <w:rPr>
          <w:rFonts w:cs="Times New Roman"/>
          <w:b/>
          <w:szCs w:val="24"/>
        </w:rPr>
      </w:pPr>
    </w:p>
    <w:p w14:paraId="6594BFE2" w14:textId="77777777" w:rsidR="00EC5E58" w:rsidRDefault="00EC5E58" w:rsidP="00991598">
      <w:pPr>
        <w:spacing w:after="0"/>
        <w:jc w:val="center"/>
        <w:rPr>
          <w:rFonts w:cs="Times New Roman"/>
          <w:b/>
          <w:szCs w:val="24"/>
        </w:rPr>
      </w:pPr>
    </w:p>
    <w:p w14:paraId="7F6DD238" w14:textId="77777777" w:rsidR="00EC5E58" w:rsidRDefault="00EC5E58" w:rsidP="00991598">
      <w:pPr>
        <w:spacing w:after="0"/>
        <w:jc w:val="center"/>
        <w:rPr>
          <w:rFonts w:cs="Times New Roman"/>
          <w:b/>
          <w:szCs w:val="24"/>
        </w:rPr>
      </w:pPr>
    </w:p>
    <w:p w14:paraId="6B4B61E7" w14:textId="77777777" w:rsidR="00EC5E58" w:rsidRDefault="00EC5E58" w:rsidP="00991598">
      <w:pPr>
        <w:spacing w:after="0"/>
        <w:jc w:val="center"/>
        <w:rPr>
          <w:rFonts w:cs="Times New Roman"/>
          <w:b/>
          <w:szCs w:val="24"/>
        </w:rPr>
      </w:pPr>
    </w:p>
    <w:p w14:paraId="4BD29D28" w14:textId="77777777" w:rsidR="00EC5E58" w:rsidRDefault="00EC5E58" w:rsidP="00991598">
      <w:pPr>
        <w:spacing w:after="0"/>
        <w:jc w:val="center"/>
        <w:rPr>
          <w:rFonts w:cs="Times New Roman"/>
          <w:b/>
          <w:szCs w:val="24"/>
        </w:rPr>
      </w:pPr>
    </w:p>
    <w:p w14:paraId="6577F49F" w14:textId="77777777" w:rsidR="00EC5E58" w:rsidRDefault="00EC5E58" w:rsidP="00991598">
      <w:pPr>
        <w:spacing w:after="0"/>
        <w:jc w:val="center"/>
        <w:rPr>
          <w:rFonts w:cs="Times New Roman"/>
          <w:b/>
          <w:szCs w:val="24"/>
        </w:rPr>
      </w:pPr>
    </w:p>
    <w:p w14:paraId="001859B3" w14:textId="34D0FA95" w:rsidR="00EC5E58" w:rsidRPr="00EC5E58" w:rsidRDefault="00EC5E58" w:rsidP="00EC5E58">
      <w:pPr>
        <w:spacing w:after="0"/>
        <w:ind w:firstLine="0"/>
        <w:jc w:val="left"/>
        <w:rPr>
          <w:rFonts w:cs="Times New Roman"/>
          <w:sz w:val="20"/>
          <w:szCs w:val="20"/>
        </w:rPr>
      </w:pPr>
      <w:r w:rsidRPr="00EC5E58">
        <w:rPr>
          <w:rFonts w:cs="Times New Roman"/>
          <w:sz w:val="20"/>
          <w:szCs w:val="20"/>
        </w:rPr>
        <w:t>Module Name: Principles of Human Resource Management</w:t>
      </w:r>
      <w:r w:rsidRPr="00EC5E58">
        <w:rPr>
          <w:rFonts w:cs="Times New Roman"/>
          <w:sz w:val="20"/>
          <w:szCs w:val="20"/>
        </w:rPr>
        <w:br/>
        <w:t>Module Code: LCBB5012</w:t>
      </w:r>
      <w:r w:rsidRPr="00EC5E58">
        <w:rPr>
          <w:rFonts w:cs="Times New Roman"/>
          <w:sz w:val="20"/>
          <w:szCs w:val="20"/>
        </w:rPr>
        <w:br/>
        <w:t xml:space="preserve">Assignment: </w:t>
      </w:r>
      <w:r>
        <w:rPr>
          <w:rFonts w:cs="Times New Roman"/>
          <w:sz w:val="20"/>
          <w:szCs w:val="20"/>
        </w:rPr>
        <w:t>Individual Report</w:t>
      </w:r>
      <w:r w:rsidRPr="00EC5E58">
        <w:rPr>
          <w:rFonts w:cs="Times New Roman"/>
          <w:sz w:val="20"/>
          <w:szCs w:val="20"/>
        </w:rPr>
        <w:br/>
        <w:t>Lecturer: Fouziya Farheen</w:t>
      </w:r>
      <w:r w:rsidRPr="00EC5E58">
        <w:rPr>
          <w:rFonts w:cs="Times New Roman"/>
          <w:sz w:val="20"/>
          <w:szCs w:val="20"/>
        </w:rPr>
        <w:br/>
        <w:t>Student: 2329070</w:t>
      </w:r>
    </w:p>
    <w:sdt>
      <w:sdtPr>
        <w:rPr>
          <w:rFonts w:ascii="Times New Roman" w:eastAsiaTheme="minorHAnsi" w:hAnsi="Times New Roman" w:cs="Times New Roman"/>
          <w:color w:val="000000" w:themeColor="text1"/>
          <w:kern w:val="2"/>
          <w:sz w:val="24"/>
          <w:szCs w:val="24"/>
          <w14:ligatures w14:val="standardContextual"/>
        </w:rPr>
        <w:id w:val="1696735326"/>
        <w:docPartObj>
          <w:docPartGallery w:val="Table of Contents"/>
          <w:docPartUnique/>
        </w:docPartObj>
      </w:sdtPr>
      <w:sdtEndPr>
        <w:rPr>
          <w:b/>
          <w:bCs/>
          <w:noProof/>
        </w:rPr>
      </w:sdtEndPr>
      <w:sdtContent>
        <w:p w14:paraId="2EF9D875" w14:textId="77777777" w:rsidR="00E20BCF" w:rsidRPr="00991598" w:rsidRDefault="00E20BCF" w:rsidP="00991598">
          <w:pPr>
            <w:pStyle w:val="TOCHeading"/>
            <w:spacing w:before="0" w:line="360" w:lineRule="auto"/>
            <w:jc w:val="center"/>
            <w:rPr>
              <w:rFonts w:ascii="Times New Roman" w:hAnsi="Times New Roman" w:cs="Times New Roman"/>
              <w:b/>
              <w:color w:val="000000" w:themeColor="text1"/>
              <w:sz w:val="24"/>
              <w:szCs w:val="24"/>
            </w:rPr>
          </w:pPr>
          <w:r w:rsidRPr="00991598">
            <w:rPr>
              <w:rFonts w:ascii="Times New Roman" w:hAnsi="Times New Roman" w:cs="Times New Roman"/>
              <w:b/>
              <w:color w:val="000000" w:themeColor="text1"/>
              <w:sz w:val="24"/>
              <w:szCs w:val="24"/>
            </w:rPr>
            <w:t>Table of Contents</w:t>
          </w:r>
        </w:p>
        <w:p w14:paraId="41F1CF67" w14:textId="77777777" w:rsidR="00A5623A" w:rsidRPr="00991598" w:rsidRDefault="00E20BCF" w:rsidP="00991598">
          <w:pPr>
            <w:pStyle w:val="TOC1"/>
            <w:spacing w:after="0"/>
            <w:rPr>
              <w:rFonts w:eastAsiaTheme="minorEastAsia" w:cs="Times New Roman"/>
              <w:noProof/>
              <w:color w:val="auto"/>
              <w:kern w:val="0"/>
              <w:szCs w:val="24"/>
              <w14:ligatures w14:val="none"/>
            </w:rPr>
          </w:pPr>
          <w:r w:rsidRPr="00991598">
            <w:rPr>
              <w:rFonts w:cs="Times New Roman"/>
              <w:szCs w:val="24"/>
            </w:rPr>
            <w:fldChar w:fldCharType="begin"/>
          </w:r>
          <w:r w:rsidRPr="00991598">
            <w:rPr>
              <w:rFonts w:cs="Times New Roman"/>
              <w:szCs w:val="24"/>
            </w:rPr>
            <w:instrText xml:space="preserve"> TOC \o "1-3" \h \z \u </w:instrText>
          </w:r>
          <w:r w:rsidRPr="00991598">
            <w:rPr>
              <w:rFonts w:cs="Times New Roman"/>
              <w:szCs w:val="24"/>
            </w:rPr>
            <w:fldChar w:fldCharType="separate"/>
          </w:r>
          <w:hyperlink w:anchor="_Toc220936254" w:history="1">
            <w:r w:rsidR="00A5623A" w:rsidRPr="00991598">
              <w:rPr>
                <w:rStyle w:val="Hyperlink"/>
                <w:rFonts w:cs="Times New Roman"/>
                <w:noProof/>
                <w:szCs w:val="24"/>
              </w:rPr>
              <w:t>1. Introduction</w:t>
            </w:r>
            <w:r w:rsidR="00A5623A" w:rsidRPr="00991598">
              <w:rPr>
                <w:rFonts w:cs="Times New Roman"/>
                <w:noProof/>
                <w:webHidden/>
                <w:szCs w:val="24"/>
              </w:rPr>
              <w:tab/>
            </w:r>
            <w:r w:rsidR="00A5623A" w:rsidRPr="00991598">
              <w:rPr>
                <w:rFonts w:cs="Times New Roman"/>
                <w:noProof/>
                <w:webHidden/>
                <w:szCs w:val="24"/>
              </w:rPr>
              <w:fldChar w:fldCharType="begin"/>
            </w:r>
            <w:r w:rsidR="00A5623A" w:rsidRPr="00991598">
              <w:rPr>
                <w:rFonts w:cs="Times New Roman"/>
                <w:noProof/>
                <w:webHidden/>
                <w:szCs w:val="24"/>
              </w:rPr>
              <w:instrText xml:space="preserve"> PAGEREF _Toc220936254 \h </w:instrText>
            </w:r>
            <w:r w:rsidR="00A5623A" w:rsidRPr="00991598">
              <w:rPr>
                <w:rFonts w:cs="Times New Roman"/>
                <w:noProof/>
                <w:webHidden/>
                <w:szCs w:val="24"/>
              </w:rPr>
            </w:r>
            <w:r w:rsidR="00A5623A" w:rsidRPr="00991598">
              <w:rPr>
                <w:rFonts w:cs="Times New Roman"/>
                <w:noProof/>
                <w:webHidden/>
                <w:szCs w:val="24"/>
              </w:rPr>
              <w:fldChar w:fldCharType="separate"/>
            </w:r>
            <w:r w:rsidR="00A5623A" w:rsidRPr="00991598">
              <w:rPr>
                <w:rFonts w:cs="Times New Roman"/>
                <w:noProof/>
                <w:webHidden/>
                <w:szCs w:val="24"/>
              </w:rPr>
              <w:t>4</w:t>
            </w:r>
            <w:r w:rsidR="00A5623A" w:rsidRPr="00991598">
              <w:rPr>
                <w:rFonts w:cs="Times New Roman"/>
                <w:noProof/>
                <w:webHidden/>
                <w:szCs w:val="24"/>
              </w:rPr>
              <w:fldChar w:fldCharType="end"/>
            </w:r>
          </w:hyperlink>
        </w:p>
        <w:p w14:paraId="74AE8685" w14:textId="77777777" w:rsidR="00A5623A" w:rsidRPr="00991598" w:rsidRDefault="00A5623A" w:rsidP="00991598">
          <w:pPr>
            <w:pStyle w:val="TOC1"/>
            <w:spacing w:after="0"/>
            <w:rPr>
              <w:rFonts w:eastAsiaTheme="minorEastAsia" w:cs="Times New Roman"/>
              <w:noProof/>
              <w:color w:val="auto"/>
              <w:kern w:val="0"/>
              <w:szCs w:val="24"/>
              <w14:ligatures w14:val="none"/>
            </w:rPr>
          </w:pPr>
          <w:hyperlink w:anchor="_Toc220936255" w:history="1">
            <w:r w:rsidRPr="00991598">
              <w:rPr>
                <w:rStyle w:val="Hyperlink"/>
                <w:rFonts w:cs="Times New Roman"/>
                <w:noProof/>
                <w:szCs w:val="24"/>
              </w:rPr>
              <w:t>2. Internal and External Environment</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_Toc220936255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4</w:t>
            </w:r>
            <w:r w:rsidRPr="00991598">
              <w:rPr>
                <w:rFonts w:cs="Times New Roman"/>
                <w:noProof/>
                <w:webHidden/>
                <w:szCs w:val="24"/>
              </w:rPr>
              <w:fldChar w:fldCharType="end"/>
            </w:r>
          </w:hyperlink>
        </w:p>
        <w:p w14:paraId="666B8FEE"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56" w:history="1">
            <w:r w:rsidRPr="00991598">
              <w:rPr>
                <w:rStyle w:val="Hyperlink"/>
                <w:rFonts w:cs="Times New Roman"/>
                <w:noProof/>
                <w:szCs w:val="24"/>
              </w:rPr>
              <w:t>2.1 Business Environment Model: PESTLE Analysis and HR</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_Toc220936256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4</w:t>
            </w:r>
            <w:r w:rsidRPr="00991598">
              <w:rPr>
                <w:rFonts w:cs="Times New Roman"/>
                <w:noProof/>
                <w:webHidden/>
                <w:szCs w:val="24"/>
              </w:rPr>
              <w:fldChar w:fldCharType="end"/>
            </w:r>
          </w:hyperlink>
        </w:p>
        <w:p w14:paraId="477D81CA"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57" w:history="1">
            <w:r w:rsidRPr="00991598">
              <w:rPr>
                <w:rStyle w:val="Hyperlink"/>
                <w:rFonts w:cs="Times New Roman"/>
                <w:noProof/>
                <w:szCs w:val="24"/>
              </w:rPr>
              <w:t>2.1.1 Political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_Toc220936257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4</w:t>
            </w:r>
            <w:r w:rsidRPr="00991598">
              <w:rPr>
                <w:rFonts w:cs="Times New Roman"/>
                <w:noProof/>
                <w:webHidden/>
                <w:szCs w:val="24"/>
              </w:rPr>
              <w:fldChar w:fldCharType="end"/>
            </w:r>
          </w:hyperlink>
        </w:p>
        <w:p w14:paraId="34E9048A"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58" w:history="1">
            <w:r w:rsidRPr="00991598">
              <w:rPr>
                <w:rStyle w:val="Hyperlink"/>
                <w:rFonts w:cs="Times New Roman"/>
                <w:noProof/>
                <w:szCs w:val="24"/>
              </w:rPr>
              <w:t>2.1.2 Economic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_Toc220936258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5</w:t>
            </w:r>
            <w:r w:rsidRPr="00991598">
              <w:rPr>
                <w:rFonts w:cs="Times New Roman"/>
                <w:noProof/>
                <w:webHidden/>
                <w:szCs w:val="24"/>
              </w:rPr>
              <w:fldChar w:fldCharType="end"/>
            </w:r>
          </w:hyperlink>
        </w:p>
        <w:p w14:paraId="6A5FFA05"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59" w:history="1">
            <w:r w:rsidRPr="00991598">
              <w:rPr>
                <w:rStyle w:val="Hyperlink"/>
                <w:rFonts w:cs="Times New Roman"/>
                <w:noProof/>
                <w:szCs w:val="24"/>
              </w:rPr>
              <w:t>2.1.3 Social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_Toc220936259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5</w:t>
            </w:r>
            <w:r w:rsidRPr="00991598">
              <w:rPr>
                <w:rFonts w:cs="Times New Roman"/>
                <w:noProof/>
                <w:webHidden/>
                <w:szCs w:val="24"/>
              </w:rPr>
              <w:fldChar w:fldCharType="end"/>
            </w:r>
          </w:hyperlink>
        </w:p>
        <w:p w14:paraId="7F07947D"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60" w:history="1">
            <w:r w:rsidRPr="00991598">
              <w:rPr>
                <w:rStyle w:val="Hyperlink"/>
                <w:rFonts w:cs="Times New Roman"/>
                <w:noProof/>
                <w:szCs w:val="24"/>
              </w:rPr>
              <w:t>2.14 Technological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_Toc220936260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5</w:t>
            </w:r>
            <w:r w:rsidRPr="00991598">
              <w:rPr>
                <w:rFonts w:cs="Times New Roman"/>
                <w:noProof/>
                <w:webHidden/>
                <w:szCs w:val="24"/>
              </w:rPr>
              <w:fldChar w:fldCharType="end"/>
            </w:r>
          </w:hyperlink>
        </w:p>
        <w:p w14:paraId="60D87738"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61" w:history="1">
            <w:r w:rsidRPr="00991598">
              <w:rPr>
                <w:rStyle w:val="Hyperlink"/>
                <w:rFonts w:cs="Times New Roman"/>
                <w:noProof/>
                <w:szCs w:val="24"/>
              </w:rPr>
              <w:t>2.1.5 Legal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_Toc220936261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5</w:t>
            </w:r>
            <w:r w:rsidRPr="00991598">
              <w:rPr>
                <w:rFonts w:cs="Times New Roman"/>
                <w:noProof/>
                <w:webHidden/>
                <w:szCs w:val="24"/>
              </w:rPr>
              <w:fldChar w:fldCharType="end"/>
            </w:r>
          </w:hyperlink>
        </w:p>
        <w:p w14:paraId="6B628A44"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62" w:history="1">
            <w:r w:rsidRPr="00991598">
              <w:rPr>
                <w:rStyle w:val="Hyperlink"/>
                <w:rFonts w:cs="Times New Roman"/>
                <w:noProof/>
                <w:szCs w:val="24"/>
              </w:rPr>
              <w:t>2.1.6 Environmental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_Toc220936262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6</w:t>
            </w:r>
            <w:r w:rsidRPr="00991598">
              <w:rPr>
                <w:rFonts w:cs="Times New Roman"/>
                <w:noProof/>
                <w:webHidden/>
                <w:szCs w:val="24"/>
              </w:rPr>
              <w:fldChar w:fldCharType="end"/>
            </w:r>
          </w:hyperlink>
        </w:p>
        <w:p w14:paraId="3E5F3443"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63" w:history="1">
            <w:r w:rsidRPr="00991598">
              <w:rPr>
                <w:rStyle w:val="Hyperlink"/>
                <w:rFonts w:cs="Times New Roman"/>
                <w:noProof/>
                <w:szCs w:val="24"/>
              </w:rPr>
              <w:t>2.2 Usefulness of the PESTLE Model</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_Toc220936263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6</w:t>
            </w:r>
            <w:r w:rsidRPr="00991598">
              <w:rPr>
                <w:rFonts w:cs="Times New Roman"/>
                <w:noProof/>
                <w:webHidden/>
                <w:szCs w:val="24"/>
              </w:rPr>
              <w:fldChar w:fldCharType="end"/>
            </w:r>
          </w:hyperlink>
        </w:p>
        <w:p w14:paraId="6564B4FF"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64" w:history="1">
            <w:r w:rsidRPr="00991598">
              <w:rPr>
                <w:rStyle w:val="Hyperlink"/>
                <w:rFonts w:cs="Times New Roman"/>
                <w:noProof/>
                <w:szCs w:val="24"/>
              </w:rPr>
              <w:t>2.3 Limitations of the PESTLE Model</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_Toc220936264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6</w:t>
            </w:r>
            <w:r w:rsidRPr="00991598">
              <w:rPr>
                <w:rFonts w:cs="Times New Roman"/>
                <w:noProof/>
                <w:webHidden/>
                <w:szCs w:val="24"/>
              </w:rPr>
              <w:fldChar w:fldCharType="end"/>
            </w:r>
          </w:hyperlink>
        </w:p>
        <w:p w14:paraId="63807F7D" w14:textId="77777777" w:rsidR="00A5623A" w:rsidRPr="00991598" w:rsidRDefault="00A5623A" w:rsidP="00991598">
          <w:pPr>
            <w:pStyle w:val="TOC1"/>
            <w:spacing w:after="0"/>
            <w:rPr>
              <w:rFonts w:eastAsiaTheme="minorEastAsia" w:cs="Times New Roman"/>
              <w:noProof/>
              <w:color w:val="auto"/>
              <w:kern w:val="0"/>
              <w:szCs w:val="24"/>
              <w14:ligatures w14:val="none"/>
            </w:rPr>
          </w:pPr>
          <w:hyperlink w:anchor="_Toc220936265" w:history="1">
            <w:r w:rsidRPr="00991598">
              <w:rPr>
                <w:rStyle w:val="Hyperlink"/>
                <w:rFonts w:cs="Times New Roman"/>
                <w:noProof/>
                <w:szCs w:val="24"/>
              </w:rPr>
              <w:t>3. Organisation Application</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_Toc220936265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6</w:t>
            </w:r>
            <w:r w:rsidRPr="00991598">
              <w:rPr>
                <w:rFonts w:cs="Times New Roman"/>
                <w:noProof/>
                <w:webHidden/>
                <w:szCs w:val="24"/>
              </w:rPr>
              <w:fldChar w:fldCharType="end"/>
            </w:r>
          </w:hyperlink>
        </w:p>
        <w:p w14:paraId="53A7CAFB"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66" w:history="1">
            <w:r w:rsidRPr="00991598">
              <w:rPr>
                <w:rStyle w:val="Hyperlink"/>
                <w:rFonts w:cs="Times New Roman"/>
                <w:noProof/>
                <w:szCs w:val="24"/>
              </w:rPr>
              <w:t>3.1 Organisation Introduction</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_Toc220936266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6</w:t>
            </w:r>
            <w:r w:rsidRPr="00991598">
              <w:rPr>
                <w:rFonts w:cs="Times New Roman"/>
                <w:noProof/>
                <w:webHidden/>
                <w:szCs w:val="24"/>
              </w:rPr>
              <w:fldChar w:fldCharType="end"/>
            </w:r>
          </w:hyperlink>
        </w:p>
        <w:p w14:paraId="6722E097"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67" w:history="1">
            <w:r w:rsidRPr="00991598">
              <w:rPr>
                <w:rStyle w:val="Hyperlink"/>
                <w:rFonts w:cs="Times New Roman"/>
                <w:noProof/>
                <w:szCs w:val="24"/>
              </w:rPr>
              <w:t>3.2 HR Practices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_Toc220936267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7</w:t>
            </w:r>
            <w:r w:rsidRPr="00991598">
              <w:rPr>
                <w:rFonts w:cs="Times New Roman"/>
                <w:noProof/>
                <w:webHidden/>
                <w:szCs w:val="24"/>
              </w:rPr>
              <w:fldChar w:fldCharType="end"/>
            </w:r>
          </w:hyperlink>
        </w:p>
        <w:p w14:paraId="400EDFCA" w14:textId="77777777" w:rsidR="00A5623A" w:rsidRPr="00991598" w:rsidRDefault="00A5623A" w:rsidP="00991598">
          <w:pPr>
            <w:pStyle w:val="TOC1"/>
            <w:spacing w:after="0"/>
            <w:rPr>
              <w:rFonts w:eastAsiaTheme="minorEastAsia" w:cs="Times New Roman"/>
              <w:noProof/>
              <w:color w:val="auto"/>
              <w:kern w:val="0"/>
              <w:szCs w:val="24"/>
              <w14:ligatures w14:val="none"/>
            </w:rPr>
          </w:pPr>
          <w:hyperlink w:anchor="_Toc220936268" w:history="1">
            <w:r w:rsidRPr="00991598">
              <w:rPr>
                <w:rStyle w:val="Hyperlink"/>
                <w:rFonts w:cs="Times New Roman"/>
                <w:noProof/>
                <w:szCs w:val="24"/>
              </w:rPr>
              <w:t>4. Application of Model</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_Toc220936268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7</w:t>
            </w:r>
            <w:r w:rsidRPr="00991598">
              <w:rPr>
                <w:rFonts w:cs="Times New Roman"/>
                <w:noProof/>
                <w:webHidden/>
                <w:szCs w:val="24"/>
              </w:rPr>
              <w:fldChar w:fldCharType="end"/>
            </w:r>
          </w:hyperlink>
        </w:p>
        <w:p w14:paraId="15AC278B"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69" w:history="1">
            <w:r w:rsidRPr="00991598">
              <w:rPr>
                <w:rStyle w:val="Hyperlink"/>
                <w:rFonts w:cs="Times New Roman"/>
                <w:noProof/>
                <w:szCs w:val="24"/>
              </w:rPr>
              <w:t>4.1 Impact on Organisation</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_Toc220936269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7</w:t>
            </w:r>
            <w:r w:rsidRPr="00991598">
              <w:rPr>
                <w:rFonts w:cs="Times New Roman"/>
                <w:noProof/>
                <w:webHidden/>
                <w:szCs w:val="24"/>
              </w:rPr>
              <w:fldChar w:fldCharType="end"/>
            </w:r>
          </w:hyperlink>
        </w:p>
        <w:p w14:paraId="0875CD33"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0" w:history="1">
            <w:r w:rsidRPr="00991598">
              <w:rPr>
                <w:rStyle w:val="Hyperlink"/>
                <w:rFonts w:cs="Times New Roman"/>
                <w:noProof/>
                <w:szCs w:val="24"/>
              </w:rPr>
              <w:t>4.1.1 Political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_Toc220936270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7</w:t>
            </w:r>
            <w:r w:rsidRPr="00991598">
              <w:rPr>
                <w:rFonts w:cs="Times New Roman"/>
                <w:noProof/>
                <w:webHidden/>
                <w:szCs w:val="24"/>
              </w:rPr>
              <w:fldChar w:fldCharType="end"/>
            </w:r>
          </w:hyperlink>
        </w:p>
        <w:p w14:paraId="2A4DDEDE"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1" w:history="1">
            <w:r w:rsidRPr="00991598">
              <w:rPr>
                <w:rStyle w:val="Hyperlink"/>
                <w:rFonts w:cs="Times New Roman"/>
                <w:noProof/>
                <w:szCs w:val="24"/>
              </w:rPr>
              <w:t>4.1.2 Economic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_Toc220936271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8</w:t>
            </w:r>
            <w:r w:rsidRPr="00991598">
              <w:rPr>
                <w:rFonts w:cs="Times New Roman"/>
                <w:noProof/>
                <w:webHidden/>
                <w:szCs w:val="24"/>
              </w:rPr>
              <w:fldChar w:fldCharType="end"/>
            </w:r>
          </w:hyperlink>
        </w:p>
        <w:p w14:paraId="086BAD1D"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2" w:history="1">
            <w:r w:rsidRPr="00991598">
              <w:rPr>
                <w:rStyle w:val="Hyperlink"/>
                <w:rFonts w:cs="Times New Roman"/>
                <w:noProof/>
                <w:szCs w:val="24"/>
              </w:rPr>
              <w:t>4.1.3 Social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_Toc220936272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8</w:t>
            </w:r>
            <w:r w:rsidRPr="00991598">
              <w:rPr>
                <w:rFonts w:cs="Times New Roman"/>
                <w:noProof/>
                <w:webHidden/>
                <w:szCs w:val="24"/>
              </w:rPr>
              <w:fldChar w:fldCharType="end"/>
            </w:r>
          </w:hyperlink>
        </w:p>
        <w:p w14:paraId="25DCE96F"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3" w:history="1">
            <w:r w:rsidRPr="00991598">
              <w:rPr>
                <w:rStyle w:val="Hyperlink"/>
                <w:rFonts w:cs="Times New Roman"/>
                <w:noProof/>
                <w:szCs w:val="24"/>
              </w:rPr>
              <w:t>4.1.4 Technological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_Toc220936273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8</w:t>
            </w:r>
            <w:r w:rsidRPr="00991598">
              <w:rPr>
                <w:rFonts w:cs="Times New Roman"/>
                <w:noProof/>
                <w:webHidden/>
                <w:szCs w:val="24"/>
              </w:rPr>
              <w:fldChar w:fldCharType="end"/>
            </w:r>
          </w:hyperlink>
        </w:p>
        <w:p w14:paraId="26F40E22"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4" w:history="1">
            <w:r w:rsidRPr="00991598">
              <w:rPr>
                <w:rStyle w:val="Hyperlink"/>
                <w:rFonts w:cs="Times New Roman"/>
                <w:noProof/>
                <w:szCs w:val="24"/>
              </w:rPr>
              <w:t>4.1.5 Legal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_Toc220936274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9</w:t>
            </w:r>
            <w:r w:rsidRPr="00991598">
              <w:rPr>
                <w:rFonts w:cs="Times New Roman"/>
                <w:noProof/>
                <w:webHidden/>
                <w:szCs w:val="24"/>
              </w:rPr>
              <w:fldChar w:fldCharType="end"/>
            </w:r>
          </w:hyperlink>
        </w:p>
        <w:p w14:paraId="7BCEFAC6"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5" w:history="1">
            <w:r w:rsidRPr="00991598">
              <w:rPr>
                <w:rStyle w:val="Hyperlink"/>
                <w:rFonts w:cs="Times New Roman"/>
                <w:noProof/>
                <w:szCs w:val="24"/>
              </w:rPr>
              <w:t>4.1.6 Environmental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_Toc220936275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9</w:t>
            </w:r>
            <w:r w:rsidRPr="00991598">
              <w:rPr>
                <w:rFonts w:cs="Times New Roman"/>
                <w:noProof/>
                <w:webHidden/>
                <w:szCs w:val="24"/>
              </w:rPr>
              <w:fldChar w:fldCharType="end"/>
            </w:r>
          </w:hyperlink>
        </w:p>
        <w:p w14:paraId="4E77889F"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76" w:history="1">
            <w:r w:rsidRPr="00991598">
              <w:rPr>
                <w:rStyle w:val="Hyperlink"/>
                <w:rFonts w:cs="Times New Roman"/>
                <w:noProof/>
                <w:szCs w:val="24"/>
              </w:rPr>
              <w:t>4.2 Country Differences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_Toc220936276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9</w:t>
            </w:r>
            <w:r w:rsidRPr="00991598">
              <w:rPr>
                <w:rFonts w:cs="Times New Roman"/>
                <w:noProof/>
                <w:webHidden/>
                <w:szCs w:val="24"/>
              </w:rPr>
              <w:fldChar w:fldCharType="end"/>
            </w:r>
          </w:hyperlink>
        </w:p>
        <w:p w14:paraId="5AC11DFE" w14:textId="77777777" w:rsidR="00A5623A" w:rsidRPr="00991598" w:rsidRDefault="00A5623A" w:rsidP="00991598">
          <w:pPr>
            <w:pStyle w:val="TOC1"/>
            <w:spacing w:after="0"/>
            <w:rPr>
              <w:rFonts w:eastAsiaTheme="minorEastAsia" w:cs="Times New Roman"/>
              <w:noProof/>
              <w:color w:val="auto"/>
              <w:kern w:val="0"/>
              <w:szCs w:val="24"/>
              <w14:ligatures w14:val="none"/>
            </w:rPr>
          </w:pPr>
          <w:hyperlink w:anchor="_Toc220936277" w:history="1">
            <w:r w:rsidRPr="00991598">
              <w:rPr>
                <w:rStyle w:val="Hyperlink"/>
                <w:rFonts w:cs="Times New Roman"/>
                <w:noProof/>
                <w:szCs w:val="24"/>
              </w:rPr>
              <w:t>5. Conclusion</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_Toc220936277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10</w:t>
            </w:r>
            <w:r w:rsidRPr="00991598">
              <w:rPr>
                <w:rFonts w:cs="Times New Roman"/>
                <w:noProof/>
                <w:webHidden/>
                <w:szCs w:val="24"/>
              </w:rPr>
              <w:fldChar w:fldCharType="end"/>
            </w:r>
          </w:hyperlink>
        </w:p>
        <w:p w14:paraId="3DA87822" w14:textId="32A758F9" w:rsidR="00A5623A" w:rsidRPr="00991598" w:rsidRDefault="00A5623A" w:rsidP="00991598">
          <w:pPr>
            <w:pStyle w:val="TOC1"/>
            <w:spacing w:after="0"/>
            <w:rPr>
              <w:rFonts w:eastAsiaTheme="minorEastAsia" w:cs="Times New Roman"/>
              <w:noProof/>
              <w:color w:val="auto"/>
              <w:kern w:val="0"/>
              <w:szCs w:val="24"/>
              <w14:ligatures w14:val="none"/>
            </w:rPr>
          </w:pPr>
          <w:hyperlink w:anchor="_Toc220936278" w:history="1">
            <w:r w:rsidRPr="00991598">
              <w:rPr>
                <w:rStyle w:val="Hyperlink"/>
                <w:rFonts w:cs="Times New Roman"/>
                <w:noProof/>
                <w:szCs w:val="24"/>
              </w:rPr>
              <w:t>Refer</w:t>
            </w:r>
            <w:r w:rsidR="00E467FF">
              <w:rPr>
                <w:rStyle w:val="Hyperlink"/>
                <w:rFonts w:cs="Times New Roman"/>
                <w:noProof/>
                <w:szCs w:val="24"/>
              </w:rPr>
              <w:t>ences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_Toc220936278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11</w:t>
            </w:r>
            <w:r w:rsidRPr="00991598">
              <w:rPr>
                <w:rFonts w:cs="Times New Roman"/>
                <w:noProof/>
                <w:webHidden/>
                <w:szCs w:val="24"/>
              </w:rPr>
              <w:fldChar w:fldCharType="end"/>
            </w:r>
          </w:hyperlink>
        </w:p>
        <w:p w14:paraId="0315888C" w14:textId="77777777" w:rsidR="00E20BCF" w:rsidRPr="00991598" w:rsidRDefault="00E20BCF" w:rsidP="00991598">
          <w:pPr>
            <w:spacing w:after="0"/>
            <w:rPr>
              <w:rFonts w:cs="Times New Roman"/>
              <w:szCs w:val="24"/>
            </w:rPr>
          </w:pPr>
          <w:r w:rsidRPr="00991598">
            <w:rPr>
              <w:rFonts w:cs="Times New Roman"/>
              <w:b/>
              <w:bCs/>
              <w:noProof/>
              <w:szCs w:val="24"/>
            </w:rPr>
            <w:fldChar w:fldCharType="end"/>
          </w:r>
        </w:p>
      </w:sdtContent>
    </w:sdt>
    <w:p w14:paraId="6C240E51" w14:textId="77777777" w:rsidR="00F618A8" w:rsidRPr="00991598" w:rsidRDefault="00E20BCF" w:rsidP="00991598">
      <w:pPr>
        <w:spacing w:after="0"/>
        <w:rPr>
          <w:rFonts w:cs="Times New Roman"/>
          <w:szCs w:val="24"/>
        </w:rPr>
      </w:pPr>
      <w:r w:rsidRPr="00991598">
        <w:rPr>
          <w:rFonts w:cs="Times New Roman"/>
          <w:szCs w:val="24"/>
        </w:rPr>
        <w:br w:type="page"/>
      </w:r>
    </w:p>
    <w:p w14:paraId="3E4620C1" w14:textId="77777777" w:rsidR="00445936" w:rsidRPr="00991598" w:rsidRDefault="00F618A8" w:rsidP="00991598">
      <w:pPr>
        <w:pStyle w:val="Heading1"/>
        <w:spacing w:before="0" w:line="360" w:lineRule="auto"/>
        <w:rPr>
          <w:rFonts w:cs="Times New Roman"/>
          <w:szCs w:val="24"/>
        </w:rPr>
      </w:pPr>
      <w:bookmarkStart w:id="0" w:name="_Toc220936254"/>
      <w:r w:rsidRPr="00991598">
        <w:rPr>
          <w:rFonts w:cs="Times New Roman"/>
          <w:szCs w:val="24"/>
        </w:rPr>
        <w:lastRenderedPageBreak/>
        <w:t>1. Introduction</w:t>
      </w:r>
      <w:bookmarkEnd w:id="0"/>
      <w:r w:rsidRPr="00991598">
        <w:rPr>
          <w:rFonts w:cs="Times New Roman"/>
          <w:szCs w:val="24"/>
        </w:rPr>
        <w:t xml:space="preserve"> </w:t>
      </w:r>
    </w:p>
    <w:p w14:paraId="2363691A" w14:textId="6BC5EEDB" w:rsidR="001D0D61" w:rsidRPr="00991598" w:rsidRDefault="001D0D61" w:rsidP="00E467FF">
      <w:pPr>
        <w:spacing w:after="0"/>
        <w:ind w:firstLine="0"/>
        <w:rPr>
          <w:rFonts w:cs="Times New Roman"/>
          <w:szCs w:val="24"/>
        </w:rPr>
      </w:pPr>
      <w:r w:rsidRPr="00991598">
        <w:rPr>
          <w:rFonts w:cs="Times New Roman"/>
          <w:szCs w:val="24"/>
        </w:rPr>
        <w:t xml:space="preserve">HR functions are important because they have a role in ensuring global organisations are effective (Rajest et al., 2023). The key HR functions include </w:t>
      </w:r>
      <w:r w:rsidR="00530954" w:rsidRPr="00991598">
        <w:rPr>
          <w:rFonts w:cs="Times New Roman"/>
          <w:szCs w:val="24"/>
        </w:rPr>
        <w:t>recruitment</w:t>
      </w:r>
      <w:r w:rsidRPr="00991598">
        <w:rPr>
          <w:rFonts w:cs="Times New Roman"/>
          <w:szCs w:val="24"/>
        </w:rPr>
        <w:t>, training and development, performance management and employee relations. The process of recruitment will help the organisation to recruit the appropriate talent that meets its needs. The training and development programs will also empower the employees to develop the necessary skills to support</w:t>
      </w:r>
      <w:r w:rsidR="001B678A" w:rsidRPr="00991598">
        <w:rPr>
          <w:rFonts w:cs="Times New Roman"/>
          <w:szCs w:val="24"/>
        </w:rPr>
        <w:t xml:space="preserve"> their career growth and organis</w:t>
      </w:r>
      <w:r w:rsidRPr="00991598">
        <w:rPr>
          <w:rFonts w:cs="Times New Roman"/>
          <w:szCs w:val="24"/>
        </w:rPr>
        <w:t>ational growth (Obeng-Tuaah, 2025). Through performance management, the organisations are able to measure performance of the employees by aligning personal goals with the organisation goals. Employee relations also facilitate good working environment by ensuring that there is good relationship among employees and the management by removing conflicts.</w:t>
      </w:r>
    </w:p>
    <w:p w14:paraId="6734776D" w14:textId="77777777" w:rsidR="00E467FF" w:rsidRDefault="00E467FF" w:rsidP="00E467FF">
      <w:pPr>
        <w:spacing w:after="0"/>
        <w:ind w:firstLine="0"/>
        <w:rPr>
          <w:rFonts w:cs="Times New Roman"/>
          <w:szCs w:val="24"/>
        </w:rPr>
      </w:pPr>
    </w:p>
    <w:p w14:paraId="37C3CDE2" w14:textId="2369437E" w:rsidR="00E2262B" w:rsidRPr="00991598" w:rsidRDefault="001D0D61" w:rsidP="00E467FF">
      <w:pPr>
        <w:spacing w:after="0"/>
        <w:ind w:firstLine="0"/>
        <w:rPr>
          <w:rFonts w:cs="Times New Roman"/>
          <w:szCs w:val="24"/>
        </w:rPr>
      </w:pPr>
      <w:r w:rsidRPr="00991598">
        <w:rPr>
          <w:rFonts w:cs="Times New Roman"/>
          <w:szCs w:val="24"/>
        </w:rPr>
        <w:t xml:space="preserve">Without such HR functions, the organisation will not achieve its objectives, especially in global organisations where other countries require other forms in dealing with diverse workforce (Pattanayak, 2025). </w:t>
      </w:r>
    </w:p>
    <w:p w14:paraId="5B168A4F" w14:textId="77777777" w:rsidR="00E467FF" w:rsidRDefault="00E467FF" w:rsidP="00E467FF">
      <w:pPr>
        <w:spacing w:after="0"/>
        <w:ind w:firstLine="0"/>
        <w:rPr>
          <w:rFonts w:cs="Times New Roman"/>
          <w:szCs w:val="24"/>
        </w:rPr>
      </w:pPr>
    </w:p>
    <w:p w14:paraId="6DBE1CDB" w14:textId="0BA15107" w:rsidR="00F618A8" w:rsidRPr="00991598" w:rsidRDefault="00290A27" w:rsidP="00E467FF">
      <w:pPr>
        <w:spacing w:after="0"/>
        <w:ind w:firstLine="0"/>
        <w:rPr>
          <w:rFonts w:cs="Times New Roman"/>
          <w:szCs w:val="24"/>
        </w:rPr>
      </w:pPr>
      <w:r w:rsidRPr="00991598">
        <w:rPr>
          <w:rFonts w:cs="Times New Roman"/>
          <w:szCs w:val="24"/>
        </w:rPr>
        <w:t xml:space="preserve">In this report, the external and internal factors that influence the HR practices will be provided. To gain a clearer understanding of the overall facets that affect the HR practices, the report offers a summary on one of the relevant business environment models i.e PESTLE. The report will then apply the chosen model to the international human resource practices of Unilever and determine the effect of the environmental forces. </w:t>
      </w:r>
    </w:p>
    <w:p w14:paraId="316601E2" w14:textId="77777777" w:rsidR="00B14F0D" w:rsidRPr="00991598" w:rsidRDefault="00B14F0D" w:rsidP="00991598">
      <w:pPr>
        <w:spacing w:after="0"/>
        <w:ind w:firstLine="0"/>
        <w:rPr>
          <w:rFonts w:cs="Times New Roman"/>
          <w:szCs w:val="24"/>
        </w:rPr>
      </w:pPr>
    </w:p>
    <w:p w14:paraId="31630C8D" w14:textId="77777777" w:rsidR="00CC0C3E" w:rsidRPr="00991598" w:rsidRDefault="00B14F0D" w:rsidP="00991598">
      <w:pPr>
        <w:pStyle w:val="Heading1"/>
        <w:spacing w:before="0" w:line="360" w:lineRule="auto"/>
        <w:rPr>
          <w:rFonts w:cs="Times New Roman"/>
          <w:szCs w:val="24"/>
        </w:rPr>
      </w:pPr>
      <w:bookmarkStart w:id="1" w:name="_Toc220936255"/>
      <w:r w:rsidRPr="00991598">
        <w:rPr>
          <w:rFonts w:cs="Times New Roman"/>
          <w:szCs w:val="24"/>
        </w:rPr>
        <w:t xml:space="preserve">2. </w:t>
      </w:r>
      <w:r w:rsidR="00CC0C3E" w:rsidRPr="00991598">
        <w:rPr>
          <w:rFonts w:cs="Times New Roman"/>
          <w:szCs w:val="24"/>
        </w:rPr>
        <w:t>Internal and External Environment</w:t>
      </w:r>
      <w:bookmarkEnd w:id="1"/>
    </w:p>
    <w:p w14:paraId="3FE541B5" w14:textId="77777777" w:rsidR="00CC0C3E" w:rsidRPr="00991598" w:rsidRDefault="00CC0C3E" w:rsidP="00991598">
      <w:pPr>
        <w:pStyle w:val="Heading2"/>
        <w:spacing w:before="0"/>
        <w:rPr>
          <w:rFonts w:cs="Times New Roman"/>
          <w:szCs w:val="24"/>
        </w:rPr>
      </w:pPr>
      <w:bookmarkStart w:id="2" w:name="_Toc220936256"/>
      <w:r w:rsidRPr="00991598">
        <w:rPr>
          <w:rFonts w:cs="Times New Roman"/>
          <w:szCs w:val="24"/>
        </w:rPr>
        <w:t>2.1 Business Environment Model: PESTLE Analysis and HR</w:t>
      </w:r>
      <w:bookmarkEnd w:id="2"/>
    </w:p>
    <w:p w14:paraId="59169757" w14:textId="6DAC0B3F" w:rsidR="002B3DD6" w:rsidRPr="00991598" w:rsidRDefault="002B3DD6" w:rsidP="00E467FF">
      <w:pPr>
        <w:spacing w:after="0"/>
        <w:ind w:firstLine="0"/>
        <w:rPr>
          <w:rFonts w:cs="Times New Roman"/>
          <w:szCs w:val="24"/>
        </w:rPr>
      </w:pPr>
      <w:r w:rsidRPr="00991598">
        <w:rPr>
          <w:rFonts w:cs="Times New Roman"/>
          <w:szCs w:val="24"/>
        </w:rPr>
        <w:t xml:space="preserve">PESTLE analysis is a strategic </w:t>
      </w:r>
      <w:r w:rsidR="00530954">
        <w:rPr>
          <w:rFonts w:cs="Times New Roman"/>
          <w:szCs w:val="24"/>
        </w:rPr>
        <w:t>system</w:t>
      </w:r>
      <w:r w:rsidRPr="00991598">
        <w:rPr>
          <w:rFonts w:cs="Times New Roman"/>
          <w:szCs w:val="24"/>
        </w:rPr>
        <w:t>, which is used to understand the effects of the macro environment factors on an organisation.</w:t>
      </w:r>
    </w:p>
    <w:p w14:paraId="52B8D599" w14:textId="77777777" w:rsidR="002B3DD6" w:rsidRPr="00991598" w:rsidRDefault="002B3DD6" w:rsidP="00991598">
      <w:pPr>
        <w:spacing w:after="0"/>
        <w:rPr>
          <w:rFonts w:cs="Times New Roman"/>
          <w:szCs w:val="24"/>
        </w:rPr>
      </w:pPr>
    </w:p>
    <w:p w14:paraId="17E72521" w14:textId="77777777" w:rsidR="008B4039" w:rsidRPr="00991598" w:rsidRDefault="008B4039" w:rsidP="00991598">
      <w:pPr>
        <w:pStyle w:val="Heading3"/>
        <w:spacing w:before="0"/>
        <w:rPr>
          <w:rFonts w:cs="Times New Roman"/>
        </w:rPr>
      </w:pPr>
      <w:bookmarkStart w:id="3" w:name="_Toc220936257"/>
      <w:r w:rsidRPr="00991598">
        <w:rPr>
          <w:rFonts w:cs="Times New Roman"/>
        </w:rPr>
        <w:t>2.1.1 Political Factors</w:t>
      </w:r>
      <w:bookmarkEnd w:id="3"/>
    </w:p>
    <w:p w14:paraId="19880E99" w14:textId="4171170F" w:rsidR="00CC0C3E" w:rsidRPr="00991598" w:rsidRDefault="006339FA" w:rsidP="00E467FF">
      <w:pPr>
        <w:spacing w:after="0"/>
        <w:ind w:firstLine="0"/>
        <w:rPr>
          <w:rFonts w:cs="Times New Roman"/>
          <w:szCs w:val="24"/>
        </w:rPr>
      </w:pPr>
      <w:r w:rsidRPr="00991598">
        <w:rPr>
          <w:rFonts w:cs="Times New Roman"/>
          <w:szCs w:val="24"/>
        </w:rPr>
        <w:t xml:space="preserve">Political stability influences the way a business runs its operations, policies of a government and the laws governing taxes. When managing diverse workforce organisations </w:t>
      </w:r>
      <w:r w:rsidR="00530954">
        <w:rPr>
          <w:rFonts w:cs="Times New Roman"/>
          <w:szCs w:val="24"/>
        </w:rPr>
        <w:t>must</w:t>
      </w:r>
      <w:r w:rsidRPr="00991598">
        <w:rPr>
          <w:rFonts w:cs="Times New Roman"/>
          <w:szCs w:val="24"/>
        </w:rPr>
        <w:t xml:space="preserve"> comply with the local labour law, taxation frameworks and government policies that could affect the recruitment and remuneration of the workforce and their working conditions (Haanwinckel and Soares, 2021</w:t>
      </w:r>
      <w:r w:rsidR="00331C97" w:rsidRPr="00991598">
        <w:rPr>
          <w:rFonts w:cs="Times New Roman"/>
          <w:szCs w:val="24"/>
        </w:rPr>
        <w:t>)</w:t>
      </w:r>
      <w:r w:rsidR="00CC0C3E" w:rsidRPr="00991598">
        <w:rPr>
          <w:rFonts w:cs="Times New Roman"/>
          <w:szCs w:val="24"/>
        </w:rPr>
        <w:t>.</w:t>
      </w:r>
    </w:p>
    <w:p w14:paraId="13A4D27C" w14:textId="77777777" w:rsidR="00CC0C3E" w:rsidRPr="00991598" w:rsidRDefault="00CC0C3E" w:rsidP="00991598">
      <w:pPr>
        <w:spacing w:after="0"/>
        <w:ind w:firstLine="0"/>
        <w:rPr>
          <w:rFonts w:cs="Times New Roman"/>
          <w:szCs w:val="24"/>
        </w:rPr>
      </w:pPr>
    </w:p>
    <w:p w14:paraId="352B9CCA" w14:textId="77777777" w:rsidR="008B4039" w:rsidRPr="00991598" w:rsidRDefault="008B4039" w:rsidP="00991598">
      <w:pPr>
        <w:pStyle w:val="Heading3"/>
        <w:spacing w:before="0"/>
        <w:rPr>
          <w:rFonts w:cs="Times New Roman"/>
        </w:rPr>
      </w:pPr>
      <w:bookmarkStart w:id="4" w:name="_Toc220936258"/>
      <w:r w:rsidRPr="00991598">
        <w:rPr>
          <w:rFonts w:cs="Times New Roman"/>
        </w:rPr>
        <w:t>2.1.2 Economic Factors</w:t>
      </w:r>
      <w:bookmarkEnd w:id="4"/>
    </w:p>
    <w:p w14:paraId="652ABEA2" w14:textId="77777777" w:rsidR="00CC0C3E" w:rsidRPr="00991598" w:rsidRDefault="00AF49BA" w:rsidP="00E467FF">
      <w:pPr>
        <w:spacing w:after="0"/>
        <w:ind w:firstLine="0"/>
        <w:rPr>
          <w:rFonts w:cs="Times New Roman"/>
          <w:szCs w:val="24"/>
        </w:rPr>
      </w:pPr>
      <w:r w:rsidRPr="00991598">
        <w:rPr>
          <w:rFonts w:cs="Times New Roman"/>
          <w:szCs w:val="24"/>
        </w:rPr>
        <w:t>Economic forces like inflation rates, interest rates and economic growth determine consumer spending and workforce management. The HR departments must adjust the remuneration plans and recruitment patterns based on the economic situation in various destinations (Bilan et al., 2020). During the downturn of the economy an HR will be able to look into cost-effective training or temporary layoff and during economic booms an HR may do more talent acquisition</w:t>
      </w:r>
      <w:r w:rsidR="00CC0C3E" w:rsidRPr="00991598">
        <w:rPr>
          <w:rFonts w:cs="Times New Roman"/>
          <w:szCs w:val="24"/>
        </w:rPr>
        <w:t>.</w:t>
      </w:r>
    </w:p>
    <w:p w14:paraId="33E0311B" w14:textId="77777777" w:rsidR="00CC0C3E" w:rsidRPr="00991598" w:rsidRDefault="00CC0C3E" w:rsidP="00991598">
      <w:pPr>
        <w:spacing w:after="0"/>
        <w:ind w:firstLine="0"/>
        <w:rPr>
          <w:rFonts w:cs="Times New Roman"/>
          <w:szCs w:val="24"/>
        </w:rPr>
      </w:pPr>
    </w:p>
    <w:p w14:paraId="3AC8B3FF" w14:textId="77777777" w:rsidR="008B4039" w:rsidRPr="00991598" w:rsidRDefault="008B4039" w:rsidP="00991598">
      <w:pPr>
        <w:pStyle w:val="Heading3"/>
        <w:spacing w:before="0"/>
        <w:rPr>
          <w:rFonts w:cs="Times New Roman"/>
        </w:rPr>
      </w:pPr>
      <w:bookmarkStart w:id="5" w:name="_Toc220936259"/>
      <w:r w:rsidRPr="00991598">
        <w:rPr>
          <w:rFonts w:cs="Times New Roman"/>
        </w:rPr>
        <w:t>2.1.3 Social Factors</w:t>
      </w:r>
      <w:bookmarkEnd w:id="5"/>
    </w:p>
    <w:p w14:paraId="40AE19A6" w14:textId="77777777" w:rsidR="00CC0C3E" w:rsidRPr="00991598" w:rsidRDefault="00940C36" w:rsidP="00E467FF">
      <w:pPr>
        <w:spacing w:after="0"/>
        <w:ind w:firstLine="0"/>
        <w:rPr>
          <w:rFonts w:cs="Times New Roman"/>
          <w:szCs w:val="24"/>
        </w:rPr>
      </w:pPr>
      <w:r w:rsidRPr="00991598">
        <w:rPr>
          <w:rFonts w:cs="Times New Roman"/>
          <w:szCs w:val="24"/>
        </w:rPr>
        <w:t>Social and cultural aspects including demographics, lifestyle shift, and social values are fundamental in shaping the HR practices (Onyekwelu et al., 2024). The work culture can be changed because the new flexible work or diversity and inclusion orientation, in this instance, the HR has to adapt to the new workforce recruitment, retention, and engagement strategies to meet the new requirements of the workforce</w:t>
      </w:r>
      <w:r w:rsidR="00CC0C3E" w:rsidRPr="00991598">
        <w:rPr>
          <w:rFonts w:cs="Times New Roman"/>
          <w:szCs w:val="24"/>
        </w:rPr>
        <w:t>.</w:t>
      </w:r>
    </w:p>
    <w:p w14:paraId="721AD13D" w14:textId="77777777" w:rsidR="00CC0C3E" w:rsidRPr="00991598" w:rsidRDefault="00CC0C3E" w:rsidP="00991598">
      <w:pPr>
        <w:spacing w:after="0"/>
        <w:ind w:firstLine="0"/>
        <w:rPr>
          <w:rFonts w:cs="Times New Roman"/>
          <w:szCs w:val="24"/>
        </w:rPr>
      </w:pPr>
    </w:p>
    <w:p w14:paraId="09DA0C7F" w14:textId="77777777" w:rsidR="008B4039" w:rsidRPr="00991598" w:rsidRDefault="008B4039" w:rsidP="00991598">
      <w:pPr>
        <w:pStyle w:val="Heading3"/>
        <w:spacing w:before="0"/>
        <w:rPr>
          <w:rFonts w:cs="Times New Roman"/>
        </w:rPr>
      </w:pPr>
      <w:bookmarkStart w:id="6" w:name="_Toc220936260"/>
      <w:r w:rsidRPr="00991598">
        <w:rPr>
          <w:rFonts w:cs="Times New Roman"/>
        </w:rPr>
        <w:t>2.14 Technological Factors</w:t>
      </w:r>
      <w:bookmarkEnd w:id="6"/>
    </w:p>
    <w:p w14:paraId="0D1E1704" w14:textId="77777777" w:rsidR="00CC0C3E" w:rsidRPr="00991598" w:rsidRDefault="007D63D5" w:rsidP="00E467FF">
      <w:pPr>
        <w:spacing w:after="0"/>
        <w:ind w:firstLine="0"/>
        <w:rPr>
          <w:rFonts w:cs="Times New Roman"/>
          <w:szCs w:val="24"/>
        </w:rPr>
      </w:pPr>
      <w:r w:rsidRPr="00991598">
        <w:rPr>
          <w:rFonts w:cs="Times New Roman"/>
          <w:szCs w:val="24"/>
        </w:rPr>
        <w:t>The technological innovations like automation, artificial intelligence, and digital tools impact on the management of HR functions. The organisations should incorporate new technologies in order to enhance employee training, recruitment and performance management</w:t>
      </w:r>
      <w:r w:rsidR="00DB0DD6" w:rsidRPr="00991598">
        <w:rPr>
          <w:rFonts w:cs="Times New Roman"/>
          <w:szCs w:val="24"/>
        </w:rPr>
        <w:t xml:space="preserve"> (Touriano et al., 2023)</w:t>
      </w:r>
      <w:r w:rsidRPr="00991598">
        <w:rPr>
          <w:rFonts w:cs="Times New Roman"/>
          <w:szCs w:val="24"/>
        </w:rPr>
        <w:t>. HR should make sure that employees undergo constant up-skilling to keep in pace with new technologies</w:t>
      </w:r>
      <w:r w:rsidR="00CC0C3E" w:rsidRPr="00991598">
        <w:rPr>
          <w:rFonts w:cs="Times New Roman"/>
          <w:szCs w:val="24"/>
        </w:rPr>
        <w:t>.</w:t>
      </w:r>
    </w:p>
    <w:p w14:paraId="5665B4BE" w14:textId="77777777" w:rsidR="00CC0C3E" w:rsidRPr="00991598" w:rsidRDefault="00CC0C3E" w:rsidP="00991598">
      <w:pPr>
        <w:spacing w:after="0"/>
        <w:ind w:firstLine="0"/>
        <w:rPr>
          <w:rFonts w:cs="Times New Roman"/>
          <w:szCs w:val="24"/>
        </w:rPr>
      </w:pPr>
    </w:p>
    <w:p w14:paraId="16D3B105" w14:textId="77777777" w:rsidR="008B4039" w:rsidRPr="00991598" w:rsidRDefault="008B4039" w:rsidP="00991598">
      <w:pPr>
        <w:pStyle w:val="Heading3"/>
        <w:spacing w:before="0"/>
        <w:rPr>
          <w:rFonts w:cs="Times New Roman"/>
        </w:rPr>
      </w:pPr>
      <w:bookmarkStart w:id="7" w:name="_Toc220936261"/>
      <w:r w:rsidRPr="00991598">
        <w:rPr>
          <w:rFonts w:cs="Times New Roman"/>
        </w:rPr>
        <w:t>2.1.5 Legal Factors</w:t>
      </w:r>
      <w:bookmarkEnd w:id="7"/>
    </w:p>
    <w:p w14:paraId="523AD80B" w14:textId="77777777" w:rsidR="00CC0C3E" w:rsidRPr="00991598" w:rsidRDefault="0027164E" w:rsidP="00E467FF">
      <w:pPr>
        <w:spacing w:after="0"/>
        <w:ind w:firstLine="0"/>
        <w:rPr>
          <w:rFonts w:cs="Times New Roman"/>
          <w:szCs w:val="24"/>
        </w:rPr>
      </w:pPr>
      <w:r w:rsidRPr="00991598">
        <w:rPr>
          <w:rFonts w:cs="Times New Roman"/>
          <w:szCs w:val="24"/>
        </w:rPr>
        <w:t>Intellectual property laws, health and safety laws as well as labor laws largely influence the HR practices</w:t>
      </w:r>
      <w:r w:rsidR="0016290F" w:rsidRPr="00991598">
        <w:rPr>
          <w:rFonts w:cs="Times New Roman"/>
          <w:szCs w:val="24"/>
        </w:rPr>
        <w:t xml:space="preserve"> (Erwin et al., 2025)</w:t>
      </w:r>
      <w:r w:rsidRPr="00991598">
        <w:rPr>
          <w:rFonts w:cs="Times New Roman"/>
          <w:szCs w:val="24"/>
        </w:rPr>
        <w:t>. The organisations need to align with various legal standards in places where it operates. HR is significant in revision of the policies concerning employment, health benefits and safety at the workplace, as the policies keep on changing in accordance to the new regulations</w:t>
      </w:r>
      <w:r w:rsidR="00CC0C3E" w:rsidRPr="00991598">
        <w:rPr>
          <w:rFonts w:cs="Times New Roman"/>
          <w:szCs w:val="24"/>
        </w:rPr>
        <w:t>.</w:t>
      </w:r>
    </w:p>
    <w:p w14:paraId="367F05EC" w14:textId="77777777" w:rsidR="00CC0C3E" w:rsidRPr="00991598" w:rsidRDefault="00CC0C3E" w:rsidP="00991598">
      <w:pPr>
        <w:spacing w:after="0"/>
        <w:ind w:firstLine="0"/>
        <w:rPr>
          <w:rFonts w:cs="Times New Roman"/>
          <w:szCs w:val="24"/>
        </w:rPr>
      </w:pPr>
    </w:p>
    <w:p w14:paraId="4213061A" w14:textId="77777777" w:rsidR="008B4039" w:rsidRPr="00991598" w:rsidRDefault="008B4039" w:rsidP="00991598">
      <w:pPr>
        <w:pStyle w:val="Heading3"/>
        <w:spacing w:before="0"/>
        <w:rPr>
          <w:rFonts w:cs="Times New Roman"/>
        </w:rPr>
      </w:pPr>
      <w:bookmarkStart w:id="8" w:name="_Toc220936262"/>
      <w:r w:rsidRPr="00991598">
        <w:rPr>
          <w:rFonts w:cs="Times New Roman"/>
        </w:rPr>
        <w:lastRenderedPageBreak/>
        <w:t>2.1.6 Environmental Factors</w:t>
      </w:r>
      <w:bookmarkEnd w:id="8"/>
    </w:p>
    <w:p w14:paraId="6EDDE557" w14:textId="77777777" w:rsidR="00CC0C3E" w:rsidRPr="00991598" w:rsidRDefault="00342C69" w:rsidP="00E467FF">
      <w:pPr>
        <w:spacing w:after="0"/>
        <w:ind w:firstLine="0"/>
        <w:rPr>
          <w:rFonts w:cs="Times New Roman"/>
          <w:szCs w:val="24"/>
        </w:rPr>
      </w:pPr>
      <w:r w:rsidRPr="00991598">
        <w:rPr>
          <w:rFonts w:cs="Times New Roman"/>
          <w:szCs w:val="24"/>
        </w:rPr>
        <w:t>Environmental issues and sustainability are becoming relevant to businesses. The HR needs to enhance sustainability by incorporating environmental friendly practices into the recruitment processes, and motivate the employees to participate in the corporate social responsibility (CSR) activities</w:t>
      </w:r>
      <w:r w:rsidR="0001338D" w:rsidRPr="00991598">
        <w:rPr>
          <w:rFonts w:cs="Times New Roman"/>
          <w:szCs w:val="24"/>
        </w:rPr>
        <w:t xml:space="preserve"> (Adegoke et al., 2024)</w:t>
      </w:r>
      <w:r w:rsidRPr="00991598">
        <w:rPr>
          <w:rFonts w:cs="Times New Roman"/>
          <w:szCs w:val="24"/>
        </w:rPr>
        <w:t xml:space="preserve">. </w:t>
      </w:r>
    </w:p>
    <w:p w14:paraId="51B428E6" w14:textId="77777777" w:rsidR="00CC0C3E" w:rsidRPr="00991598" w:rsidRDefault="00CC0C3E" w:rsidP="00991598">
      <w:pPr>
        <w:spacing w:after="0"/>
        <w:ind w:firstLine="0"/>
        <w:rPr>
          <w:rFonts w:cs="Times New Roman"/>
          <w:szCs w:val="24"/>
        </w:rPr>
      </w:pPr>
    </w:p>
    <w:p w14:paraId="0791E7C9" w14:textId="77777777" w:rsidR="00CC0C3E" w:rsidRPr="00991598" w:rsidRDefault="008B4039" w:rsidP="00991598">
      <w:pPr>
        <w:pStyle w:val="Heading2"/>
        <w:spacing w:before="0"/>
        <w:rPr>
          <w:rFonts w:cs="Times New Roman"/>
          <w:szCs w:val="24"/>
        </w:rPr>
      </w:pPr>
      <w:bookmarkStart w:id="9" w:name="_Toc220936263"/>
      <w:r w:rsidRPr="00991598">
        <w:rPr>
          <w:rFonts w:cs="Times New Roman"/>
          <w:szCs w:val="24"/>
        </w:rPr>
        <w:t xml:space="preserve">2.2 </w:t>
      </w:r>
      <w:r w:rsidR="00CC0C3E" w:rsidRPr="00991598">
        <w:rPr>
          <w:rFonts w:cs="Times New Roman"/>
          <w:szCs w:val="24"/>
        </w:rPr>
        <w:t>Usefulness of the PESTLE Model</w:t>
      </w:r>
      <w:bookmarkEnd w:id="9"/>
    </w:p>
    <w:p w14:paraId="0375B089" w14:textId="77777777" w:rsidR="00CC0C3E" w:rsidRPr="00991598" w:rsidRDefault="00337800" w:rsidP="00E467FF">
      <w:pPr>
        <w:spacing w:after="0"/>
        <w:ind w:firstLine="0"/>
        <w:rPr>
          <w:rFonts w:cs="Times New Roman"/>
          <w:szCs w:val="24"/>
        </w:rPr>
      </w:pPr>
      <w:r w:rsidRPr="00991598">
        <w:rPr>
          <w:rFonts w:cs="Times New Roman"/>
          <w:szCs w:val="24"/>
        </w:rPr>
        <w:t>The PESTLE model is useful in HR management in multinational companies such as Unilever due to the fact that it offers a wide perspective of the external forces that influence business decisions. Knowing the political, economic and social environment, HR will be well-informed of their choices regarding recruitment, training and compensation</w:t>
      </w:r>
      <w:r w:rsidR="005A43E6" w:rsidRPr="00991598">
        <w:rPr>
          <w:rFonts w:cs="Times New Roman"/>
          <w:szCs w:val="24"/>
        </w:rPr>
        <w:t xml:space="preserve"> (Malik, 2018)</w:t>
      </w:r>
      <w:r w:rsidRPr="00991598">
        <w:rPr>
          <w:rFonts w:cs="Times New Roman"/>
          <w:szCs w:val="24"/>
        </w:rPr>
        <w:t>. The HR adopt innovative practices through technological and legal factors as well as maintain compliance through the same, and sustainable HR initiatives are driven by environmental factors</w:t>
      </w:r>
      <w:r w:rsidR="00CC0C3E" w:rsidRPr="00991598">
        <w:rPr>
          <w:rFonts w:cs="Times New Roman"/>
          <w:szCs w:val="24"/>
        </w:rPr>
        <w:t>.</w:t>
      </w:r>
    </w:p>
    <w:p w14:paraId="5502392E" w14:textId="77777777" w:rsidR="00CC0C3E" w:rsidRPr="00991598" w:rsidRDefault="00CC0C3E" w:rsidP="00991598">
      <w:pPr>
        <w:spacing w:after="0"/>
        <w:ind w:firstLine="0"/>
        <w:rPr>
          <w:rFonts w:cs="Times New Roman"/>
          <w:szCs w:val="24"/>
        </w:rPr>
      </w:pPr>
    </w:p>
    <w:p w14:paraId="51588981" w14:textId="77777777" w:rsidR="00CC0C3E" w:rsidRPr="00991598" w:rsidRDefault="008B4039" w:rsidP="00991598">
      <w:pPr>
        <w:pStyle w:val="Heading2"/>
        <w:spacing w:before="0"/>
        <w:rPr>
          <w:rFonts w:cs="Times New Roman"/>
          <w:szCs w:val="24"/>
        </w:rPr>
      </w:pPr>
      <w:bookmarkStart w:id="10" w:name="_Toc220936264"/>
      <w:r w:rsidRPr="00991598">
        <w:rPr>
          <w:rFonts w:cs="Times New Roman"/>
          <w:szCs w:val="24"/>
        </w:rPr>
        <w:t xml:space="preserve">2.3 </w:t>
      </w:r>
      <w:r w:rsidR="00CC0C3E" w:rsidRPr="00991598">
        <w:rPr>
          <w:rFonts w:cs="Times New Roman"/>
          <w:szCs w:val="24"/>
        </w:rPr>
        <w:t>Limitations of the PESTLE Model</w:t>
      </w:r>
      <w:bookmarkEnd w:id="10"/>
    </w:p>
    <w:p w14:paraId="4C9FF400" w14:textId="77777777" w:rsidR="00B14F0D" w:rsidRPr="00991598" w:rsidRDefault="00E161FF" w:rsidP="00CF09F0">
      <w:pPr>
        <w:spacing w:after="0"/>
        <w:ind w:firstLine="0"/>
        <w:rPr>
          <w:rFonts w:cs="Times New Roman"/>
          <w:szCs w:val="24"/>
        </w:rPr>
      </w:pPr>
      <w:r w:rsidRPr="00991598">
        <w:rPr>
          <w:rFonts w:cs="Times New Roman"/>
          <w:szCs w:val="24"/>
        </w:rPr>
        <w:t>Despite its usefulness, the PESTLE model has its weaknesses. It has a broad view but does not relate to a particular industry or organisation (Buye, 2021). The other kind of model can be regarded as dynamic; its consideration is concerned with the current environment and is not focused on the velocity of the unpredictable changes. In addition, a complete PESTLE analysis can be long lasting and may fail to provide the actionable information regarding every HR issue</w:t>
      </w:r>
      <w:r w:rsidR="00CC0C3E" w:rsidRPr="00991598">
        <w:rPr>
          <w:rFonts w:cs="Times New Roman"/>
          <w:szCs w:val="24"/>
        </w:rPr>
        <w:t>.</w:t>
      </w:r>
    </w:p>
    <w:p w14:paraId="2F60918C" w14:textId="77777777" w:rsidR="008B4039" w:rsidRPr="00991598" w:rsidRDefault="008B4039" w:rsidP="00991598">
      <w:pPr>
        <w:spacing w:after="0"/>
        <w:ind w:firstLine="0"/>
        <w:rPr>
          <w:rFonts w:cs="Times New Roman"/>
          <w:szCs w:val="24"/>
        </w:rPr>
      </w:pPr>
    </w:p>
    <w:p w14:paraId="26BC70C4" w14:textId="77777777" w:rsidR="00A33657" w:rsidRPr="00991598" w:rsidRDefault="008B4039" w:rsidP="00991598">
      <w:pPr>
        <w:pStyle w:val="Heading1"/>
        <w:spacing w:before="0" w:line="360" w:lineRule="auto"/>
        <w:rPr>
          <w:rFonts w:cs="Times New Roman"/>
          <w:szCs w:val="24"/>
        </w:rPr>
      </w:pPr>
      <w:bookmarkStart w:id="11" w:name="_Toc220936265"/>
      <w:r w:rsidRPr="00991598">
        <w:rPr>
          <w:rFonts w:cs="Times New Roman"/>
          <w:szCs w:val="24"/>
        </w:rPr>
        <w:t xml:space="preserve">3. </w:t>
      </w:r>
      <w:r w:rsidR="00A33657" w:rsidRPr="00991598">
        <w:rPr>
          <w:rFonts w:cs="Times New Roman"/>
          <w:szCs w:val="24"/>
        </w:rPr>
        <w:t>Organi</w:t>
      </w:r>
      <w:r w:rsidR="00B27A65" w:rsidRPr="00991598">
        <w:rPr>
          <w:rFonts w:cs="Times New Roman"/>
          <w:szCs w:val="24"/>
        </w:rPr>
        <w:t>sa</w:t>
      </w:r>
      <w:r w:rsidR="00A33657" w:rsidRPr="00991598">
        <w:rPr>
          <w:rFonts w:cs="Times New Roman"/>
          <w:szCs w:val="24"/>
        </w:rPr>
        <w:t>tion Application</w:t>
      </w:r>
      <w:bookmarkEnd w:id="11"/>
    </w:p>
    <w:p w14:paraId="263EDEEE" w14:textId="77777777" w:rsidR="00A33657" w:rsidRPr="00991598" w:rsidRDefault="004A072B" w:rsidP="00991598">
      <w:pPr>
        <w:pStyle w:val="Heading2"/>
        <w:spacing w:before="0"/>
        <w:rPr>
          <w:rFonts w:cs="Times New Roman"/>
          <w:szCs w:val="24"/>
        </w:rPr>
      </w:pPr>
      <w:bookmarkStart w:id="12" w:name="_Toc220936266"/>
      <w:r w:rsidRPr="00991598">
        <w:rPr>
          <w:rFonts w:cs="Times New Roman"/>
          <w:szCs w:val="24"/>
        </w:rPr>
        <w:t xml:space="preserve">3.1 </w:t>
      </w:r>
      <w:r w:rsidR="00A33657" w:rsidRPr="00991598">
        <w:rPr>
          <w:rFonts w:cs="Times New Roman"/>
          <w:szCs w:val="24"/>
        </w:rPr>
        <w:t>Organi</w:t>
      </w:r>
      <w:r w:rsidR="00B27A65" w:rsidRPr="00991598">
        <w:rPr>
          <w:rFonts w:cs="Times New Roman"/>
          <w:szCs w:val="24"/>
        </w:rPr>
        <w:t>sa</w:t>
      </w:r>
      <w:r w:rsidR="00A33657" w:rsidRPr="00991598">
        <w:rPr>
          <w:rFonts w:cs="Times New Roman"/>
          <w:szCs w:val="24"/>
        </w:rPr>
        <w:t>tion Introduction</w:t>
      </w:r>
      <w:bookmarkEnd w:id="12"/>
    </w:p>
    <w:p w14:paraId="54FB0E20" w14:textId="77777777" w:rsidR="00A33657" w:rsidRPr="00991598" w:rsidRDefault="00D3639F" w:rsidP="00CF09F0">
      <w:pPr>
        <w:spacing w:after="0"/>
        <w:ind w:firstLine="0"/>
        <w:rPr>
          <w:rFonts w:cs="Times New Roman"/>
          <w:szCs w:val="24"/>
        </w:rPr>
      </w:pPr>
      <w:r w:rsidRPr="00991598">
        <w:rPr>
          <w:rFonts w:cs="Times New Roman"/>
          <w:szCs w:val="24"/>
        </w:rPr>
        <w:t>Unilever is a large multinat</w:t>
      </w:r>
      <w:r w:rsidR="00610831" w:rsidRPr="00991598">
        <w:rPr>
          <w:rFonts w:cs="Times New Roman"/>
          <w:szCs w:val="24"/>
        </w:rPr>
        <w:t>ional corporation that specialis</w:t>
      </w:r>
      <w:r w:rsidRPr="00991598">
        <w:rPr>
          <w:rFonts w:cs="Times New Roman"/>
          <w:szCs w:val="24"/>
        </w:rPr>
        <w:t>es in consumer goods, operating in over 190 countries (Unilever, 2025). The company is credited to diversified products that comprise of food products and beverages, cleaning products, home care products and personal care products. It has such popular brands as Dove, Lipton, Hellmann and Ben and Jerry. Unilever is a pioneer in leading the environmental and social concerns in its practices through its sustainability commitment. It markets its products in various markets, not only in the developed economies like North America and Europe, but also in the emerging markets in Africa, Asia, and Latin America (Unilever PLC, 2024). Unilever is one of the most powerful stakeholders of the FMCG (Fast-</w:t>
      </w:r>
      <w:r w:rsidRPr="00991598">
        <w:rPr>
          <w:rFonts w:cs="Times New Roman"/>
          <w:szCs w:val="24"/>
        </w:rPr>
        <w:lastRenderedPageBreak/>
        <w:t>Moving Consumer Goods) area where they remain the creators of the trends in sustainability, consumer behavior, and corporate responsibility</w:t>
      </w:r>
      <w:r w:rsidR="00A33657" w:rsidRPr="00991598">
        <w:rPr>
          <w:rFonts w:cs="Times New Roman"/>
          <w:szCs w:val="24"/>
        </w:rPr>
        <w:t>.</w:t>
      </w:r>
    </w:p>
    <w:p w14:paraId="3E59CE45" w14:textId="77777777" w:rsidR="00A33657" w:rsidRPr="00991598" w:rsidRDefault="00A33657" w:rsidP="00991598">
      <w:pPr>
        <w:spacing w:after="0"/>
        <w:ind w:firstLine="0"/>
        <w:rPr>
          <w:rFonts w:cs="Times New Roman"/>
          <w:szCs w:val="24"/>
        </w:rPr>
      </w:pPr>
    </w:p>
    <w:p w14:paraId="164B1572" w14:textId="77777777" w:rsidR="00A33657" w:rsidRPr="00991598" w:rsidRDefault="004A072B" w:rsidP="00991598">
      <w:pPr>
        <w:pStyle w:val="Heading2"/>
        <w:spacing w:before="0"/>
        <w:rPr>
          <w:rFonts w:cs="Times New Roman"/>
          <w:szCs w:val="24"/>
        </w:rPr>
      </w:pPr>
      <w:bookmarkStart w:id="13" w:name="_Toc220936267"/>
      <w:r w:rsidRPr="00991598">
        <w:rPr>
          <w:rFonts w:cs="Times New Roman"/>
          <w:szCs w:val="24"/>
        </w:rPr>
        <w:t xml:space="preserve">3.2 </w:t>
      </w:r>
      <w:r w:rsidR="00A33657" w:rsidRPr="00991598">
        <w:rPr>
          <w:rFonts w:cs="Times New Roman"/>
          <w:szCs w:val="24"/>
        </w:rPr>
        <w:t>HR Practices</w:t>
      </w:r>
      <w:bookmarkEnd w:id="13"/>
    </w:p>
    <w:p w14:paraId="59826ADD" w14:textId="77777777" w:rsidR="008B4039" w:rsidRPr="00991598" w:rsidRDefault="004C3F43" w:rsidP="00CF09F0">
      <w:pPr>
        <w:spacing w:after="0"/>
        <w:ind w:firstLine="0"/>
        <w:rPr>
          <w:rFonts w:cs="Times New Roman"/>
          <w:szCs w:val="24"/>
        </w:rPr>
      </w:pPr>
      <w:r w:rsidRPr="00991598">
        <w:rPr>
          <w:rFonts w:cs="Times New Roman"/>
          <w:szCs w:val="24"/>
        </w:rPr>
        <w:t>The HR practices of Unilever are aimed at facilitating the worldwide operations and local market requirements. The company also values its hiring process with a goal of hiring diversified talent according to its sustainability, innovation, and inclusion values</w:t>
      </w:r>
      <w:r w:rsidR="00F73152" w:rsidRPr="00991598">
        <w:rPr>
          <w:rFonts w:cs="Times New Roman"/>
          <w:szCs w:val="24"/>
        </w:rPr>
        <w:t xml:space="preserve"> (Ly and Mujtaba, 2025)</w:t>
      </w:r>
      <w:r w:rsidRPr="00991598">
        <w:rPr>
          <w:rFonts w:cs="Times New Roman"/>
          <w:szCs w:val="24"/>
        </w:rPr>
        <w:t>. It also takes the risk of training and development, providing programs directed to the employees to enable them develop and remain flexible with the trends in the industry. The focus is on performance management, setting clear goals, frequency of feedback and leadership development programs. Unilever promotes free flow of information and teamwork culture in its employee relations, which means that there is a high level of engagement when dealing with different regions and labor legislations and cultural values are observed</w:t>
      </w:r>
      <w:r w:rsidR="00862C61" w:rsidRPr="00991598">
        <w:rPr>
          <w:rFonts w:cs="Times New Roman"/>
          <w:szCs w:val="24"/>
        </w:rPr>
        <w:t xml:space="preserve"> (</w:t>
      </w:r>
      <w:r w:rsidR="00A0215E" w:rsidRPr="00991598">
        <w:rPr>
          <w:rFonts w:cs="Times New Roman"/>
          <w:szCs w:val="24"/>
        </w:rPr>
        <w:t>Tsourvakas and</w:t>
      </w:r>
      <w:r w:rsidR="00862C61" w:rsidRPr="00991598">
        <w:rPr>
          <w:rFonts w:cs="Times New Roman"/>
          <w:szCs w:val="24"/>
        </w:rPr>
        <w:t xml:space="preserve"> Yfantidou, 2018)</w:t>
      </w:r>
      <w:r w:rsidRPr="00991598">
        <w:rPr>
          <w:rFonts w:cs="Times New Roman"/>
          <w:szCs w:val="24"/>
        </w:rPr>
        <w:t xml:space="preserve">. </w:t>
      </w:r>
    </w:p>
    <w:p w14:paraId="7B4A7FD1" w14:textId="77777777" w:rsidR="00BA3A24" w:rsidRPr="00991598" w:rsidRDefault="00BA3A24" w:rsidP="00991598">
      <w:pPr>
        <w:spacing w:after="0"/>
        <w:ind w:firstLine="0"/>
        <w:rPr>
          <w:rFonts w:cs="Times New Roman"/>
          <w:szCs w:val="24"/>
        </w:rPr>
      </w:pPr>
    </w:p>
    <w:p w14:paraId="74166577" w14:textId="77777777" w:rsidR="00434515" w:rsidRPr="00991598" w:rsidRDefault="00D45506" w:rsidP="00991598">
      <w:pPr>
        <w:pStyle w:val="Heading1"/>
        <w:spacing w:before="0" w:line="360" w:lineRule="auto"/>
        <w:rPr>
          <w:rFonts w:cs="Times New Roman"/>
          <w:szCs w:val="24"/>
        </w:rPr>
      </w:pPr>
      <w:bookmarkStart w:id="14" w:name="_Toc220936268"/>
      <w:r w:rsidRPr="00991598">
        <w:rPr>
          <w:rFonts w:cs="Times New Roman"/>
          <w:szCs w:val="24"/>
        </w:rPr>
        <w:t xml:space="preserve">4. </w:t>
      </w:r>
      <w:r w:rsidR="00434515" w:rsidRPr="00991598">
        <w:rPr>
          <w:rFonts w:cs="Times New Roman"/>
          <w:szCs w:val="24"/>
        </w:rPr>
        <w:t>Application of Model</w:t>
      </w:r>
      <w:bookmarkEnd w:id="14"/>
    </w:p>
    <w:p w14:paraId="1A3F7FD7" w14:textId="77777777" w:rsidR="00434515" w:rsidRPr="00991598" w:rsidRDefault="005D2533" w:rsidP="00991598">
      <w:pPr>
        <w:pStyle w:val="Heading2"/>
        <w:spacing w:before="0"/>
        <w:rPr>
          <w:rFonts w:cs="Times New Roman"/>
          <w:szCs w:val="24"/>
        </w:rPr>
      </w:pPr>
      <w:bookmarkStart w:id="15" w:name="_Toc220936269"/>
      <w:r w:rsidRPr="00991598">
        <w:rPr>
          <w:rFonts w:cs="Times New Roman"/>
          <w:szCs w:val="24"/>
        </w:rPr>
        <w:t xml:space="preserve">4.1 </w:t>
      </w:r>
      <w:r w:rsidR="00434515" w:rsidRPr="00991598">
        <w:rPr>
          <w:rFonts w:cs="Times New Roman"/>
          <w:szCs w:val="24"/>
        </w:rPr>
        <w:t>Impact on Organi</w:t>
      </w:r>
      <w:r w:rsidR="00B27A65" w:rsidRPr="00991598">
        <w:rPr>
          <w:rFonts w:cs="Times New Roman"/>
          <w:szCs w:val="24"/>
        </w:rPr>
        <w:t>sa</w:t>
      </w:r>
      <w:r w:rsidR="00434515" w:rsidRPr="00991598">
        <w:rPr>
          <w:rFonts w:cs="Times New Roman"/>
          <w:szCs w:val="24"/>
        </w:rPr>
        <w:t>tion</w:t>
      </w:r>
      <w:bookmarkEnd w:id="15"/>
    </w:p>
    <w:p w14:paraId="11182D74" w14:textId="77777777" w:rsidR="00B971D3" w:rsidRPr="00991598" w:rsidRDefault="004849EA" w:rsidP="00CF09F0">
      <w:pPr>
        <w:spacing w:after="0"/>
        <w:ind w:firstLine="0"/>
        <w:rPr>
          <w:rFonts w:cs="Times New Roman"/>
          <w:szCs w:val="24"/>
        </w:rPr>
      </w:pPr>
      <w:r w:rsidRPr="00991598">
        <w:rPr>
          <w:rFonts w:cs="Times New Roman"/>
          <w:szCs w:val="24"/>
        </w:rPr>
        <w:t>The HR activities of Unilever, including recruitment, performance management, employee development, and employee relations, are majorly affected by political, economic, social, technological, legal, and environmental forces</w:t>
      </w:r>
      <w:r w:rsidR="00B971D3" w:rsidRPr="00991598">
        <w:rPr>
          <w:rFonts w:cs="Times New Roman"/>
          <w:szCs w:val="24"/>
        </w:rPr>
        <w:t>.</w:t>
      </w:r>
    </w:p>
    <w:p w14:paraId="67948684" w14:textId="77777777" w:rsidR="004B67EA" w:rsidRPr="00991598" w:rsidRDefault="004B67EA" w:rsidP="00991598">
      <w:pPr>
        <w:spacing w:after="0"/>
        <w:rPr>
          <w:rFonts w:cs="Times New Roman"/>
          <w:szCs w:val="24"/>
        </w:rPr>
      </w:pPr>
    </w:p>
    <w:p w14:paraId="47F96BD1" w14:textId="77777777" w:rsidR="00934402" w:rsidRPr="00991598" w:rsidRDefault="00934402" w:rsidP="00991598">
      <w:pPr>
        <w:pStyle w:val="Heading3"/>
        <w:spacing w:before="0"/>
        <w:rPr>
          <w:rFonts w:cs="Times New Roman"/>
        </w:rPr>
      </w:pPr>
      <w:bookmarkStart w:id="16" w:name="_Toc220936270"/>
      <w:r w:rsidRPr="00991598">
        <w:rPr>
          <w:rFonts w:cs="Times New Roman"/>
        </w:rPr>
        <w:t>4.1.1 Political Factors</w:t>
      </w:r>
      <w:bookmarkEnd w:id="16"/>
    </w:p>
    <w:p w14:paraId="46AA000D" w14:textId="77777777" w:rsidR="00B971D3" w:rsidRPr="00991598" w:rsidRDefault="00AE5072" w:rsidP="00CF09F0">
      <w:pPr>
        <w:spacing w:after="0"/>
        <w:ind w:firstLine="0"/>
        <w:rPr>
          <w:rFonts w:cs="Times New Roman"/>
          <w:szCs w:val="24"/>
        </w:rPr>
      </w:pPr>
      <w:r w:rsidRPr="00991598">
        <w:rPr>
          <w:rFonts w:cs="Times New Roman"/>
          <w:szCs w:val="24"/>
        </w:rPr>
        <w:t>The HR practice at Unilever is directly affected by political stability and the government policies in recruitment as well as compliance. HR has to remain flexible to new labor legislation and government regulations in politically unstable nations</w:t>
      </w:r>
      <w:r w:rsidR="00BD064F" w:rsidRPr="00991598">
        <w:rPr>
          <w:rFonts w:cs="Times New Roman"/>
          <w:szCs w:val="24"/>
        </w:rPr>
        <w:t xml:space="preserve"> (Griep et al., 2025)</w:t>
      </w:r>
      <w:r w:rsidRPr="00991598">
        <w:rPr>
          <w:rFonts w:cs="Times New Roman"/>
          <w:szCs w:val="24"/>
        </w:rPr>
        <w:t>. As an illustration, in a country such as Venezuela, where the governmental intervention is elevated, Unilever HR unit should adapt recruitment approaches and remuneration methods to the regular alterations of regulations. Conversely, in politically stable nations such as the U.K., HR is not as concerned with the political changes and can concentrate on the long run development plans and talent procurement without any significant impact</w:t>
      </w:r>
      <w:r w:rsidR="00934402" w:rsidRPr="00991598">
        <w:rPr>
          <w:rFonts w:cs="Times New Roman"/>
          <w:szCs w:val="24"/>
        </w:rPr>
        <w:t>.</w:t>
      </w:r>
    </w:p>
    <w:p w14:paraId="02D0C55F" w14:textId="77777777" w:rsidR="00934402" w:rsidRPr="00991598" w:rsidRDefault="00934402" w:rsidP="00991598">
      <w:pPr>
        <w:spacing w:after="0"/>
        <w:ind w:firstLine="0"/>
        <w:rPr>
          <w:rFonts w:cs="Times New Roman"/>
          <w:szCs w:val="24"/>
        </w:rPr>
      </w:pPr>
    </w:p>
    <w:p w14:paraId="1E308E67" w14:textId="77777777" w:rsidR="00934402" w:rsidRPr="00991598" w:rsidRDefault="00934402" w:rsidP="00991598">
      <w:pPr>
        <w:pStyle w:val="Heading3"/>
        <w:spacing w:before="0"/>
        <w:rPr>
          <w:rFonts w:cs="Times New Roman"/>
        </w:rPr>
      </w:pPr>
      <w:bookmarkStart w:id="17" w:name="_Toc220936271"/>
      <w:r w:rsidRPr="00991598">
        <w:rPr>
          <w:rFonts w:cs="Times New Roman"/>
        </w:rPr>
        <w:lastRenderedPageBreak/>
        <w:t>4.1.2 Economic Factors</w:t>
      </w:r>
      <w:bookmarkEnd w:id="17"/>
    </w:p>
    <w:p w14:paraId="47D3C46F" w14:textId="77777777" w:rsidR="00B971D3" w:rsidRPr="00991598" w:rsidRDefault="001025B7" w:rsidP="00CF09F0">
      <w:pPr>
        <w:spacing w:after="0"/>
        <w:ind w:firstLine="0"/>
        <w:rPr>
          <w:rFonts w:cs="Times New Roman"/>
          <w:szCs w:val="24"/>
        </w:rPr>
      </w:pPr>
      <w:r w:rsidRPr="00991598">
        <w:rPr>
          <w:rFonts w:cs="Times New Roman"/>
          <w:szCs w:val="24"/>
        </w:rPr>
        <w:t>The economic situation is an imperative consideration in HR strategies of Unilever. In times of an economic slowdown, the HR might have to engage in cost-cutting steps like halting hiring, lowering bonuses, or bringing voluntary layoffs. Conversely, in times of economic prosperity, HR is concerned with recruiting and keeping the best employees who stand a chance to get competitive wages and career advancement opportunities</w:t>
      </w:r>
      <w:r w:rsidR="001623CE" w:rsidRPr="00991598">
        <w:rPr>
          <w:rFonts w:cs="Times New Roman"/>
          <w:szCs w:val="24"/>
        </w:rPr>
        <w:t xml:space="preserve"> (Urme, 2023)</w:t>
      </w:r>
      <w:r w:rsidRPr="00991598">
        <w:rPr>
          <w:rFonts w:cs="Times New Roman"/>
          <w:szCs w:val="24"/>
        </w:rPr>
        <w:t>. In places such as India, where competition in the labor market is increasing due to rising middle class, HR is concerned about the skills development and retention of employees to ensure that they are not stolen by the competition. HR in developed economies such as the U.S. or U.K. focuses on innovation and high-performance cultures as a way of retaining talent</w:t>
      </w:r>
      <w:r w:rsidR="00B971D3" w:rsidRPr="00991598">
        <w:rPr>
          <w:rFonts w:cs="Times New Roman"/>
          <w:szCs w:val="24"/>
        </w:rPr>
        <w:t>.</w:t>
      </w:r>
    </w:p>
    <w:p w14:paraId="2223BDF4" w14:textId="77777777" w:rsidR="00B971D3" w:rsidRPr="00991598" w:rsidRDefault="00B971D3" w:rsidP="00991598">
      <w:pPr>
        <w:spacing w:after="0"/>
        <w:ind w:firstLine="0"/>
        <w:rPr>
          <w:rFonts w:cs="Times New Roman"/>
          <w:szCs w:val="24"/>
        </w:rPr>
      </w:pPr>
    </w:p>
    <w:p w14:paraId="503AF522" w14:textId="77777777" w:rsidR="00934402" w:rsidRPr="00991598" w:rsidRDefault="00934402" w:rsidP="00991598">
      <w:pPr>
        <w:pStyle w:val="Heading3"/>
        <w:spacing w:before="0"/>
        <w:rPr>
          <w:rFonts w:cs="Times New Roman"/>
        </w:rPr>
      </w:pPr>
      <w:bookmarkStart w:id="18" w:name="_Toc220936272"/>
      <w:r w:rsidRPr="00991598">
        <w:rPr>
          <w:rFonts w:cs="Times New Roman"/>
        </w:rPr>
        <w:t>4.1.3 Social Factors</w:t>
      </w:r>
      <w:bookmarkEnd w:id="18"/>
    </w:p>
    <w:p w14:paraId="00DAFBBD" w14:textId="77777777" w:rsidR="00B971D3" w:rsidRPr="00991598" w:rsidRDefault="00F777E4" w:rsidP="00CF09F0">
      <w:pPr>
        <w:spacing w:after="0"/>
        <w:ind w:firstLine="0"/>
        <w:rPr>
          <w:rFonts w:cs="Times New Roman"/>
          <w:szCs w:val="24"/>
        </w:rPr>
      </w:pPr>
      <w:r w:rsidRPr="00991598">
        <w:rPr>
          <w:rFonts w:cs="Times New Roman"/>
          <w:szCs w:val="24"/>
        </w:rPr>
        <w:t>The HR practices are heavily influenced by the social and cultural factors. Unilever needs to change its HR practices to suit local cultural norms and expectations copied by society to continue with inclusivity and diversity</w:t>
      </w:r>
      <w:r w:rsidR="00B024C4" w:rsidRPr="00991598">
        <w:rPr>
          <w:rFonts w:cs="Times New Roman"/>
          <w:szCs w:val="24"/>
        </w:rPr>
        <w:t xml:space="preserve"> (Ferdowsi, 2024)</w:t>
      </w:r>
      <w:r w:rsidRPr="00991598">
        <w:rPr>
          <w:rFonts w:cs="Times New Roman"/>
          <w:szCs w:val="24"/>
        </w:rPr>
        <w:t>. In the U.S. and the U.K., as an example, the HR activities are aimed at gender equality, racial diversity, and LGBTQ+ inclusion promotion. In the countries such as Saudi Arabia, where the cultural norms are more conservative, however, the HR is more focused on offering opportunities to female employees without violation of local values and traditions</w:t>
      </w:r>
      <w:r w:rsidR="00B971D3" w:rsidRPr="00991598">
        <w:rPr>
          <w:rFonts w:cs="Times New Roman"/>
          <w:szCs w:val="24"/>
        </w:rPr>
        <w:t>.</w:t>
      </w:r>
    </w:p>
    <w:p w14:paraId="6BF821BA" w14:textId="77777777" w:rsidR="00B971D3" w:rsidRPr="00991598" w:rsidRDefault="00B971D3" w:rsidP="00991598">
      <w:pPr>
        <w:spacing w:after="0"/>
        <w:ind w:firstLine="0"/>
        <w:rPr>
          <w:rFonts w:cs="Times New Roman"/>
          <w:szCs w:val="24"/>
        </w:rPr>
      </w:pPr>
    </w:p>
    <w:p w14:paraId="2932D2E3" w14:textId="77777777" w:rsidR="00934402" w:rsidRPr="00991598" w:rsidRDefault="00934402" w:rsidP="00991598">
      <w:pPr>
        <w:pStyle w:val="Heading3"/>
        <w:spacing w:before="0"/>
        <w:rPr>
          <w:rFonts w:cs="Times New Roman"/>
        </w:rPr>
      </w:pPr>
      <w:bookmarkStart w:id="19" w:name="_Toc220936273"/>
      <w:r w:rsidRPr="00991598">
        <w:rPr>
          <w:rFonts w:cs="Times New Roman"/>
        </w:rPr>
        <w:t>4.1.4 Technological Factors</w:t>
      </w:r>
      <w:bookmarkEnd w:id="19"/>
    </w:p>
    <w:p w14:paraId="1DD1064A" w14:textId="77777777" w:rsidR="00B971D3" w:rsidRPr="00991598" w:rsidRDefault="00A4106D" w:rsidP="00CF09F0">
      <w:pPr>
        <w:spacing w:after="0"/>
        <w:ind w:firstLine="0"/>
        <w:rPr>
          <w:rFonts w:cs="Times New Roman"/>
          <w:szCs w:val="24"/>
        </w:rPr>
      </w:pPr>
      <w:r w:rsidRPr="00991598">
        <w:rPr>
          <w:rFonts w:cs="Times New Roman"/>
          <w:szCs w:val="24"/>
        </w:rPr>
        <w:t>Unilever HR practices are guided by the technological advances, such as artificial intelligence and machine learning, and data analytics. HR departments are getting more familiar with technology as a means of streamlining the recruitment process, improving the effectiveness of the performance management, and offering personalised training (Shenbhagavadivu et al., 2024). In developed nations, e.g. U.S. and U.K. Unilever uses new technologies in the HR, yet in regions with less technological envelope, e.g. Africa, the HR focuses on the less complicated tools to help in recruiting and engaging employees</w:t>
      </w:r>
      <w:r w:rsidR="00B971D3" w:rsidRPr="00991598">
        <w:rPr>
          <w:rFonts w:cs="Times New Roman"/>
          <w:szCs w:val="24"/>
        </w:rPr>
        <w:t>.</w:t>
      </w:r>
    </w:p>
    <w:p w14:paraId="76EB04B8" w14:textId="77777777" w:rsidR="00B971D3" w:rsidRPr="00991598" w:rsidRDefault="00B971D3" w:rsidP="00991598">
      <w:pPr>
        <w:spacing w:after="0"/>
        <w:ind w:firstLine="0"/>
        <w:rPr>
          <w:rFonts w:cs="Times New Roman"/>
          <w:szCs w:val="24"/>
        </w:rPr>
      </w:pPr>
    </w:p>
    <w:p w14:paraId="3120FDC2" w14:textId="77777777" w:rsidR="00934402" w:rsidRPr="00991598" w:rsidRDefault="00934402" w:rsidP="00991598">
      <w:pPr>
        <w:pStyle w:val="Heading3"/>
        <w:spacing w:before="0"/>
        <w:rPr>
          <w:rFonts w:cs="Times New Roman"/>
        </w:rPr>
      </w:pPr>
      <w:bookmarkStart w:id="20" w:name="_Toc220936274"/>
      <w:r w:rsidRPr="00991598">
        <w:rPr>
          <w:rFonts w:cs="Times New Roman"/>
        </w:rPr>
        <w:lastRenderedPageBreak/>
        <w:t>4.1.5 Legal Factors</w:t>
      </w:r>
      <w:bookmarkEnd w:id="20"/>
    </w:p>
    <w:p w14:paraId="59B3B924" w14:textId="77777777" w:rsidR="00B971D3" w:rsidRPr="00991598" w:rsidRDefault="00D05DB8" w:rsidP="00CF09F0">
      <w:pPr>
        <w:spacing w:after="0"/>
        <w:ind w:firstLine="0"/>
        <w:rPr>
          <w:rFonts w:cs="Times New Roman"/>
          <w:szCs w:val="24"/>
        </w:rPr>
      </w:pPr>
      <w:r w:rsidRPr="00991598">
        <w:rPr>
          <w:rFonts w:cs="Times New Roman"/>
          <w:szCs w:val="24"/>
        </w:rPr>
        <w:t>Legal concerns that impact on HR practices include labor laws, health and safety regulations. In the regions where the employment law is firm such as the U.K. and the U.S., HR should ensure that the policies do not interfere with the legislation concerning discrimination, work safety, and the rights of the employees (Steingold and Hotfelder, 2021). A non-compliance can lead to legal repercussions, reputation losses, and loss of talent</w:t>
      </w:r>
      <w:r w:rsidR="00B971D3" w:rsidRPr="00991598">
        <w:rPr>
          <w:rFonts w:cs="Times New Roman"/>
          <w:szCs w:val="24"/>
        </w:rPr>
        <w:t>.</w:t>
      </w:r>
    </w:p>
    <w:p w14:paraId="5ED286B9" w14:textId="77777777" w:rsidR="00B971D3" w:rsidRPr="00991598" w:rsidRDefault="00B971D3" w:rsidP="00991598">
      <w:pPr>
        <w:spacing w:after="0"/>
        <w:ind w:firstLine="0"/>
        <w:rPr>
          <w:rFonts w:cs="Times New Roman"/>
          <w:szCs w:val="24"/>
        </w:rPr>
      </w:pPr>
    </w:p>
    <w:p w14:paraId="4D874F95" w14:textId="77777777" w:rsidR="00934402" w:rsidRPr="00991598" w:rsidRDefault="00934402" w:rsidP="00991598">
      <w:pPr>
        <w:pStyle w:val="Heading3"/>
        <w:spacing w:before="0"/>
        <w:rPr>
          <w:rFonts w:cs="Times New Roman"/>
        </w:rPr>
      </w:pPr>
      <w:bookmarkStart w:id="21" w:name="_Toc220936275"/>
      <w:r w:rsidRPr="00991598">
        <w:rPr>
          <w:rFonts w:cs="Times New Roman"/>
        </w:rPr>
        <w:t>4.1.6 Environmental Factors</w:t>
      </w:r>
      <w:bookmarkEnd w:id="21"/>
    </w:p>
    <w:p w14:paraId="5B04E1F1" w14:textId="77777777" w:rsidR="00434515" w:rsidRPr="00991598" w:rsidRDefault="002C339F" w:rsidP="00CF09F0">
      <w:pPr>
        <w:spacing w:after="0"/>
        <w:ind w:firstLine="0"/>
        <w:rPr>
          <w:rFonts w:cs="Times New Roman"/>
          <w:szCs w:val="24"/>
        </w:rPr>
      </w:pPr>
      <w:r w:rsidRPr="00991598">
        <w:rPr>
          <w:rFonts w:cs="Times New Roman"/>
          <w:szCs w:val="24"/>
        </w:rPr>
        <w:t>Unilever has a sustainability mission and the HR also has a role to play in environmental activities (Majid, 2024). In areas like Netherlands where there is a concern on environmental sustainability, HR will help in marketing through promotion programs, which focus on reducing carbon footprints, disposing waste materials, and environmentally friendly practices. Other areas of concern of HR is training the employees on sustainability and how its practices will align with the local environmental laws</w:t>
      </w:r>
      <w:r w:rsidR="00B971D3" w:rsidRPr="00991598">
        <w:rPr>
          <w:rFonts w:cs="Times New Roman"/>
          <w:szCs w:val="24"/>
        </w:rPr>
        <w:t>.</w:t>
      </w:r>
    </w:p>
    <w:p w14:paraId="655CBA15" w14:textId="77777777" w:rsidR="00934402" w:rsidRPr="00991598" w:rsidRDefault="00934402" w:rsidP="00991598">
      <w:pPr>
        <w:spacing w:after="0"/>
        <w:ind w:firstLine="0"/>
        <w:rPr>
          <w:rFonts w:cs="Times New Roman"/>
          <w:szCs w:val="24"/>
        </w:rPr>
      </w:pPr>
    </w:p>
    <w:p w14:paraId="315BA82C" w14:textId="77777777" w:rsidR="00434515" w:rsidRPr="00991598" w:rsidRDefault="00934402" w:rsidP="00991598">
      <w:pPr>
        <w:pStyle w:val="Heading2"/>
        <w:spacing w:before="0"/>
        <w:rPr>
          <w:rFonts w:cs="Times New Roman"/>
          <w:szCs w:val="24"/>
        </w:rPr>
      </w:pPr>
      <w:bookmarkStart w:id="22" w:name="_Toc220936276"/>
      <w:r w:rsidRPr="00991598">
        <w:rPr>
          <w:rFonts w:cs="Times New Roman"/>
          <w:szCs w:val="24"/>
        </w:rPr>
        <w:t xml:space="preserve">4.2 </w:t>
      </w:r>
      <w:r w:rsidR="00434515" w:rsidRPr="00991598">
        <w:rPr>
          <w:rFonts w:cs="Times New Roman"/>
          <w:szCs w:val="24"/>
        </w:rPr>
        <w:t>Country Differences</w:t>
      </w:r>
      <w:bookmarkEnd w:id="22"/>
    </w:p>
    <w:p w14:paraId="244F7315" w14:textId="77777777" w:rsidR="00BA3A24" w:rsidRPr="00991598" w:rsidRDefault="004F6AD1" w:rsidP="00CF09F0">
      <w:pPr>
        <w:spacing w:after="0"/>
        <w:ind w:firstLine="0"/>
        <w:rPr>
          <w:rFonts w:cs="Times New Roman"/>
          <w:szCs w:val="24"/>
        </w:rPr>
      </w:pPr>
      <w:r w:rsidRPr="00991598">
        <w:rPr>
          <w:rFonts w:cs="Times New Roman"/>
          <w:szCs w:val="24"/>
        </w:rPr>
        <w:t>The HR practices within Unilever depend on the political, economic, social, legal and environmental concerns within every nation in which the business is functioning and must evolve as it continues to sustain the global HR goals. In U.K., HR dwells on the legal protection, equality, diversity and work-life balance. The relative stability of the labor market also allows the HR to focus on talent management and the creation of a high-performance culture, progressive hiring and remuneration system to comply with the rigid labor regulations. In India, the HR addresses the emerging competitive workforce, which is rapidly expanding, by means of the upskilling, in particular, the technological and sustainability areas (Khan et al., 2025). The HR in India is a culturally diversity country, thus ensuring that they possess inclusive policies to take into account gender, religion, and caste to facilitate free communication and appreciation among hierarchies. Another area of concern of the U.S. HR is performance management and leader development that attracts the best of tech and innovation (Meyer and Xin, 2018). The HR is compliant with the rules and observes the principles of work-life balance that offers flexible working opportunities and remote working to meet the demands of the dynamic workforce</w:t>
      </w:r>
      <w:r w:rsidR="00D01879" w:rsidRPr="00991598">
        <w:rPr>
          <w:rFonts w:cs="Times New Roman"/>
          <w:szCs w:val="24"/>
        </w:rPr>
        <w:t>.</w:t>
      </w:r>
    </w:p>
    <w:p w14:paraId="16FEB0F7" w14:textId="77777777" w:rsidR="00934402" w:rsidRPr="00991598" w:rsidRDefault="00934402" w:rsidP="00991598">
      <w:pPr>
        <w:spacing w:after="0"/>
        <w:ind w:firstLine="0"/>
        <w:rPr>
          <w:rFonts w:cs="Times New Roman"/>
          <w:szCs w:val="24"/>
        </w:rPr>
      </w:pPr>
    </w:p>
    <w:p w14:paraId="43D7C062" w14:textId="77777777" w:rsidR="008056B7" w:rsidRPr="00991598" w:rsidRDefault="00F333E4" w:rsidP="00991598">
      <w:pPr>
        <w:pStyle w:val="Heading1"/>
        <w:spacing w:before="0" w:line="360" w:lineRule="auto"/>
        <w:rPr>
          <w:rFonts w:cs="Times New Roman"/>
          <w:szCs w:val="24"/>
        </w:rPr>
      </w:pPr>
      <w:bookmarkStart w:id="23" w:name="_Toc220936277"/>
      <w:r w:rsidRPr="00991598">
        <w:rPr>
          <w:rFonts w:cs="Times New Roman"/>
          <w:szCs w:val="24"/>
        </w:rPr>
        <w:lastRenderedPageBreak/>
        <w:t xml:space="preserve">5. </w:t>
      </w:r>
      <w:r w:rsidR="008056B7" w:rsidRPr="00991598">
        <w:rPr>
          <w:rFonts w:cs="Times New Roman"/>
          <w:szCs w:val="24"/>
        </w:rPr>
        <w:t>Conclusion</w:t>
      </w:r>
      <w:bookmarkEnd w:id="23"/>
    </w:p>
    <w:p w14:paraId="46FC4279" w14:textId="36B5274C" w:rsidR="006B2F01" w:rsidRPr="00991598" w:rsidRDefault="00BE7674" w:rsidP="00CF09F0">
      <w:pPr>
        <w:spacing w:after="0"/>
        <w:ind w:firstLine="0"/>
        <w:rPr>
          <w:rFonts w:cs="Times New Roman"/>
          <w:szCs w:val="24"/>
        </w:rPr>
      </w:pPr>
      <w:r w:rsidRPr="00991598">
        <w:rPr>
          <w:rFonts w:cs="Times New Roman"/>
          <w:szCs w:val="24"/>
        </w:rPr>
        <w:t xml:space="preserve">This report has identified how the external environmental factors </w:t>
      </w:r>
      <w:r w:rsidR="00D905D6">
        <w:rPr>
          <w:rFonts w:cs="Times New Roman"/>
          <w:szCs w:val="24"/>
        </w:rPr>
        <w:t>explained</w:t>
      </w:r>
      <w:r w:rsidRPr="00991598">
        <w:rPr>
          <w:rFonts w:cs="Times New Roman"/>
          <w:szCs w:val="24"/>
        </w:rPr>
        <w:t xml:space="preserve"> in PESTLE model have influenced the HR practices of Unilever. The political environment such as government policy and labor laws require the HR to become dynamic in different places to ensure that it complies and at the same time creates a high-performance culture. The impacts of the </w:t>
      </w:r>
      <w:r w:rsidR="00D129D8" w:rsidRPr="00991598">
        <w:rPr>
          <w:rFonts w:cs="Times New Roman"/>
          <w:szCs w:val="24"/>
        </w:rPr>
        <w:t>economic</w:t>
      </w:r>
      <w:r w:rsidRPr="00991598">
        <w:rPr>
          <w:rFonts w:cs="Times New Roman"/>
          <w:szCs w:val="24"/>
        </w:rPr>
        <w:t xml:space="preserve"> conditions on the HR strategy include a chain reaction that involves affecting the recruitment, remuneration and management of human resource such that the more economic boom, the greater the attraction of the best talent during economic recessions and the cost during economic upturn. Social factors such as cultural diversity are necessitated by the need and focus on inclusive HR policies which can align with the demands of a given region. This means that the HR has to adapt to technological advancements in the recruitment and employee development processes through the application of digital tools and platforms. The legal matters ensure that the HR practices are not against the local and international labour laws to safeguard both the employees and the organisation. The environmental concerns force the HR to engage its employees in the enviro</w:t>
      </w:r>
      <w:r w:rsidR="002E1658" w:rsidRPr="00991598">
        <w:rPr>
          <w:rFonts w:cs="Times New Roman"/>
          <w:szCs w:val="24"/>
        </w:rPr>
        <w:t>nmental sustainability programs</w:t>
      </w:r>
      <w:r w:rsidR="006B2F01" w:rsidRPr="00991598">
        <w:rPr>
          <w:rFonts w:cs="Times New Roman"/>
          <w:szCs w:val="24"/>
        </w:rPr>
        <w:t>.</w:t>
      </w:r>
    </w:p>
    <w:p w14:paraId="03F80610" w14:textId="77777777" w:rsidR="00880CDD" w:rsidRDefault="00880CDD" w:rsidP="00880CDD">
      <w:pPr>
        <w:spacing w:after="0"/>
        <w:ind w:firstLine="0"/>
        <w:rPr>
          <w:rFonts w:cs="Times New Roman"/>
          <w:szCs w:val="24"/>
        </w:rPr>
      </w:pPr>
    </w:p>
    <w:p w14:paraId="568EF1C0" w14:textId="2318A82A" w:rsidR="00934402" w:rsidRPr="00991598" w:rsidRDefault="004C278C" w:rsidP="00880CDD">
      <w:pPr>
        <w:spacing w:after="0"/>
        <w:ind w:firstLine="0"/>
        <w:rPr>
          <w:rFonts w:cs="Times New Roman"/>
          <w:szCs w:val="24"/>
        </w:rPr>
      </w:pPr>
      <w:r w:rsidRPr="00991598">
        <w:rPr>
          <w:rFonts w:cs="Times New Roman"/>
          <w:szCs w:val="24"/>
        </w:rPr>
        <w:t xml:space="preserve">The HR managers must be flexible with the dynamic global business environments. The current and future challenges such as the development of technologies and the shift of political landscape and values will require the HR departments to re-assess the approaches on a regular basis. The increased pressure in the sustainability and inclusiveness is also likely to affect the role of HR in enhancing the organisational development. The global HR managers, including Unilever, will be expected to build a robust and diversified workforce, operational </w:t>
      </w:r>
      <w:r w:rsidR="00CB64C7" w:rsidRPr="00991598">
        <w:rPr>
          <w:rFonts w:cs="Times New Roman"/>
          <w:szCs w:val="24"/>
        </w:rPr>
        <w:t>technology to drive performance</w:t>
      </w:r>
      <w:r w:rsidR="008056B7" w:rsidRPr="00991598">
        <w:rPr>
          <w:rFonts w:cs="Times New Roman"/>
          <w:szCs w:val="24"/>
        </w:rPr>
        <w:t>.</w:t>
      </w:r>
    </w:p>
    <w:p w14:paraId="44DD2BC4" w14:textId="77777777" w:rsidR="00D96D6F" w:rsidRPr="00991598" w:rsidRDefault="00D96D6F" w:rsidP="00991598">
      <w:pPr>
        <w:spacing w:after="0"/>
        <w:rPr>
          <w:rFonts w:cs="Times New Roman"/>
          <w:szCs w:val="24"/>
        </w:rPr>
      </w:pPr>
      <w:r w:rsidRPr="00991598">
        <w:rPr>
          <w:rFonts w:cs="Times New Roman"/>
          <w:szCs w:val="24"/>
        </w:rPr>
        <w:br w:type="page"/>
      </w:r>
    </w:p>
    <w:p w14:paraId="73E4CFF2" w14:textId="3C6190B7" w:rsidR="00DF077C" w:rsidRPr="00880CDD" w:rsidRDefault="00D96D6F" w:rsidP="00991598">
      <w:pPr>
        <w:pStyle w:val="Heading1"/>
        <w:spacing w:before="0" w:line="360" w:lineRule="auto"/>
        <w:rPr>
          <w:rFonts w:cs="Times New Roman"/>
          <w:szCs w:val="24"/>
          <w:lang w:val="en-GB"/>
        </w:rPr>
      </w:pPr>
      <w:bookmarkStart w:id="24" w:name="_Toc220936278"/>
      <w:r w:rsidRPr="00991598">
        <w:rPr>
          <w:rFonts w:cs="Times New Roman"/>
          <w:szCs w:val="24"/>
        </w:rPr>
        <w:lastRenderedPageBreak/>
        <w:t>Refer</w:t>
      </w:r>
      <w:bookmarkEnd w:id="24"/>
      <w:r w:rsidR="00880CDD">
        <w:rPr>
          <w:rFonts w:cs="Times New Roman"/>
          <w:szCs w:val="24"/>
          <w:lang w:val="en-GB"/>
        </w:rPr>
        <w:t>ences</w:t>
      </w:r>
    </w:p>
    <w:p w14:paraId="2C0A7DA3"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Adegoke, A.A., Oyindamola, K.A. and Offonabo, N. (2024) ‘The role of HR in sustainability initiatives: A strategic review’, </w:t>
      </w:r>
      <w:r w:rsidRPr="00991598">
        <w:rPr>
          <w:rFonts w:cs="Times New Roman"/>
          <w:i/>
          <w:iCs/>
          <w:szCs w:val="24"/>
        </w:rPr>
        <w:t>International Journal of Research in Engineering, Science and Management</w:t>
      </w:r>
      <w:r w:rsidRPr="00991598">
        <w:rPr>
          <w:rFonts w:cs="Times New Roman"/>
          <w:szCs w:val="24"/>
        </w:rPr>
        <w:t>, 7(5), pp. 31–37.</w:t>
      </w:r>
    </w:p>
    <w:p w14:paraId="2982A078"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Bilan, Y., Mishchuk, H., Roshchyk, I. and Joshi, O. (2020) ‘Hiring and retaining skilled employees in SMEs: problems in human resource practices and links with organizational success’, </w:t>
      </w:r>
      <w:r w:rsidRPr="00991598">
        <w:rPr>
          <w:rFonts w:cs="Times New Roman"/>
          <w:i/>
          <w:iCs/>
          <w:szCs w:val="24"/>
        </w:rPr>
        <w:t>Business: Theory and Practice</w:t>
      </w:r>
      <w:r w:rsidRPr="00991598">
        <w:rPr>
          <w:rFonts w:cs="Times New Roman"/>
          <w:szCs w:val="24"/>
        </w:rPr>
        <w:t>, 21(2), pp. 780–791.</w:t>
      </w:r>
    </w:p>
    <w:p w14:paraId="1352F5A9"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Buye, R. (2021) </w:t>
      </w:r>
      <w:r w:rsidRPr="00991598">
        <w:rPr>
          <w:rFonts w:cs="Times New Roman"/>
          <w:i/>
          <w:iCs/>
          <w:szCs w:val="24"/>
        </w:rPr>
        <w:t>Critical examination of the PESTEL analysis model</w:t>
      </w:r>
      <w:r w:rsidRPr="00991598">
        <w:rPr>
          <w:rFonts w:cs="Times New Roman"/>
          <w:szCs w:val="24"/>
        </w:rPr>
        <w:t>. Action Research for Development Project, pp. 1–12.</w:t>
      </w:r>
    </w:p>
    <w:p w14:paraId="70A7149B"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Erwin, E., Rauf, A. and Idy, M.Y. (2025) ‘The influence of legal regulation on human resource management practices’, </w:t>
      </w:r>
      <w:r w:rsidRPr="00991598">
        <w:rPr>
          <w:rFonts w:cs="Times New Roman"/>
          <w:i/>
          <w:iCs/>
          <w:szCs w:val="24"/>
        </w:rPr>
        <w:t>INJOSEDU: International Journal of Social and Education</w:t>
      </w:r>
      <w:r w:rsidRPr="00991598">
        <w:rPr>
          <w:rFonts w:cs="Times New Roman"/>
          <w:szCs w:val="24"/>
        </w:rPr>
        <w:t>, 2(2), pp. 443–445.</w:t>
      </w:r>
    </w:p>
    <w:p w14:paraId="54CE71B2"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Ferdowsi, J. (2024) </w:t>
      </w:r>
      <w:r w:rsidRPr="00991598">
        <w:rPr>
          <w:rFonts w:cs="Times New Roman"/>
          <w:i/>
          <w:iCs/>
          <w:szCs w:val="24"/>
        </w:rPr>
        <w:t>Navigating HR in a globalized business environment: Managing cross-cultural HR functions and international labour laws</w:t>
      </w:r>
      <w:r w:rsidRPr="00991598">
        <w:rPr>
          <w:rFonts w:cs="Times New Roman"/>
          <w:szCs w:val="24"/>
        </w:rPr>
        <w:t>.</w:t>
      </w:r>
    </w:p>
    <w:p w14:paraId="0EECAF61"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Griep, Y., Hansen, S.D., Kraak, J.M., Sherman, U. and Bankins, S. (2025) ‘Sustainable human resource management: The good, the bad, and making it work’, </w:t>
      </w:r>
      <w:r w:rsidRPr="00991598">
        <w:rPr>
          <w:rFonts w:cs="Times New Roman"/>
          <w:i/>
          <w:iCs/>
          <w:szCs w:val="24"/>
        </w:rPr>
        <w:t>Organizational Dynamics</w:t>
      </w:r>
      <w:r w:rsidRPr="00991598">
        <w:rPr>
          <w:rFonts w:cs="Times New Roman"/>
          <w:szCs w:val="24"/>
        </w:rPr>
        <w:t>, 54(2), p. 101112.</w:t>
      </w:r>
    </w:p>
    <w:p w14:paraId="2910DD6D"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Haanwinckel, D. and Soares, R.R. (2021) ‘Workforce composition, productivity, and labour regulations in a compensating differentials theory of informality’, </w:t>
      </w:r>
      <w:r w:rsidRPr="00991598">
        <w:rPr>
          <w:rFonts w:cs="Times New Roman"/>
          <w:i/>
          <w:iCs/>
          <w:szCs w:val="24"/>
        </w:rPr>
        <w:t>The Review of Economic Studies</w:t>
      </w:r>
      <w:r w:rsidRPr="00991598">
        <w:rPr>
          <w:rFonts w:cs="Times New Roman"/>
          <w:szCs w:val="24"/>
        </w:rPr>
        <w:t>, 88(6), pp. 2970–3010.</w:t>
      </w:r>
    </w:p>
    <w:p w14:paraId="070B797D"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Khan, M., Kumari, A., Jain, V. and Ather, D. (eds.) (2025) </w:t>
      </w:r>
      <w:r w:rsidRPr="00991598">
        <w:rPr>
          <w:rFonts w:cs="Times New Roman"/>
          <w:i/>
          <w:iCs/>
          <w:szCs w:val="24"/>
        </w:rPr>
        <w:t>HR 5.0: Adapting to the AI-enhanced workforce</w:t>
      </w:r>
      <w:r w:rsidRPr="00991598">
        <w:rPr>
          <w:rFonts w:cs="Times New Roman"/>
          <w:szCs w:val="24"/>
        </w:rPr>
        <w:t>. Bingley: Emerald Group Publishing.</w:t>
      </w:r>
    </w:p>
    <w:p w14:paraId="5E40708C"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Ly, H.Q. and Mujtaba, B.G. (2025) ‘From sustainable HR policies to sustainable development: Building a culture of inclusion and meritocracy’, </w:t>
      </w:r>
      <w:r w:rsidRPr="00991598">
        <w:rPr>
          <w:rFonts w:cs="Times New Roman"/>
          <w:i/>
          <w:iCs/>
          <w:szCs w:val="24"/>
        </w:rPr>
        <w:t>Green Transition and Sustainable Development</w:t>
      </w:r>
      <w:r w:rsidRPr="00991598">
        <w:rPr>
          <w:rFonts w:cs="Times New Roman"/>
          <w:szCs w:val="24"/>
        </w:rPr>
        <w:t>, 1(1), pp. 24–36.</w:t>
      </w:r>
    </w:p>
    <w:p w14:paraId="692A9747"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Majid, A. (2024) </w:t>
      </w:r>
      <w:r w:rsidRPr="00991598">
        <w:rPr>
          <w:rFonts w:cs="Times New Roman"/>
          <w:i/>
          <w:iCs/>
          <w:szCs w:val="24"/>
        </w:rPr>
        <w:t>The role of human resource management in corporate social responsibility (CSR)</w:t>
      </w:r>
      <w:r w:rsidRPr="00991598">
        <w:rPr>
          <w:rFonts w:cs="Times New Roman"/>
          <w:szCs w:val="24"/>
        </w:rPr>
        <w:t>.</w:t>
      </w:r>
    </w:p>
    <w:p w14:paraId="21FA78A1"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Malik, A. (2018) </w:t>
      </w:r>
      <w:r w:rsidRPr="00991598">
        <w:rPr>
          <w:rFonts w:cs="Times New Roman"/>
          <w:i/>
          <w:iCs/>
          <w:szCs w:val="24"/>
        </w:rPr>
        <w:t>Strategic human resource management and employment relations: An international perspective</w:t>
      </w:r>
      <w:r w:rsidRPr="00991598">
        <w:rPr>
          <w:rFonts w:cs="Times New Roman"/>
          <w:szCs w:val="24"/>
        </w:rPr>
        <w:t>. Cham: Springer.</w:t>
      </w:r>
    </w:p>
    <w:p w14:paraId="20F2794E"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Meyer, K.E. and Xin, K.R. (2018) ‘Managing talent in emerging economy multinationals: Integrating strategic management and human resource management’, </w:t>
      </w:r>
      <w:r w:rsidRPr="00991598">
        <w:rPr>
          <w:rFonts w:cs="Times New Roman"/>
          <w:i/>
          <w:iCs/>
          <w:szCs w:val="24"/>
        </w:rPr>
        <w:t>The International Journal of Human Resource Management</w:t>
      </w:r>
      <w:r w:rsidRPr="00991598">
        <w:rPr>
          <w:rFonts w:cs="Times New Roman"/>
          <w:szCs w:val="24"/>
        </w:rPr>
        <w:t>, 29(11), pp. 1827–1855.</w:t>
      </w:r>
    </w:p>
    <w:p w14:paraId="11245D63" w14:textId="77777777" w:rsidR="00024F50" w:rsidRPr="00991598" w:rsidRDefault="00024F50" w:rsidP="00991598">
      <w:pPr>
        <w:spacing w:after="0"/>
        <w:ind w:left="720" w:hanging="720"/>
        <w:rPr>
          <w:rFonts w:cs="Times New Roman"/>
          <w:szCs w:val="24"/>
        </w:rPr>
      </w:pPr>
      <w:r w:rsidRPr="00991598">
        <w:rPr>
          <w:rFonts w:cs="Times New Roman"/>
          <w:szCs w:val="24"/>
        </w:rPr>
        <w:lastRenderedPageBreak/>
        <w:t xml:space="preserve">Obeng-Tuaah, M. (2025) ‘Employees training and development to enhance organisational performance’, </w:t>
      </w:r>
      <w:r w:rsidRPr="00991598">
        <w:rPr>
          <w:rFonts w:cs="Times New Roman"/>
          <w:i/>
          <w:iCs/>
          <w:szCs w:val="24"/>
        </w:rPr>
        <w:t>International Journal of Multidisciplinary Studies and Innovative Research</w:t>
      </w:r>
      <w:r w:rsidRPr="00991598">
        <w:rPr>
          <w:rFonts w:cs="Times New Roman"/>
          <w:szCs w:val="24"/>
        </w:rPr>
        <w:t>, 13(1), pp. 1–15.</w:t>
      </w:r>
    </w:p>
    <w:p w14:paraId="3B1F4D59"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Onyekwelu, N.P., Ezeafulukwe, C., Owolabi, O.R., Asuzu, O.F., Bello, B.G. and Onyekwelu, S.C. (2024) ‘Ethics and corporate social responsibility in HR: A comprehensive review of policies and practices’, </w:t>
      </w:r>
      <w:r w:rsidRPr="00991598">
        <w:rPr>
          <w:rFonts w:cs="Times New Roman"/>
          <w:i/>
          <w:iCs/>
          <w:szCs w:val="24"/>
        </w:rPr>
        <w:t>International Journal of Science and Research Archive</w:t>
      </w:r>
      <w:r w:rsidRPr="00991598">
        <w:rPr>
          <w:rFonts w:cs="Times New Roman"/>
          <w:szCs w:val="24"/>
        </w:rPr>
        <w:t>, 11(1), pp. 1294–1303.</w:t>
      </w:r>
    </w:p>
    <w:p w14:paraId="3AE71384"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Pattanayak, B. (2025) </w:t>
      </w:r>
      <w:r w:rsidRPr="00991598">
        <w:rPr>
          <w:rFonts w:cs="Times New Roman"/>
          <w:i/>
          <w:iCs/>
          <w:szCs w:val="24"/>
        </w:rPr>
        <w:t>Human resource management</w:t>
      </w:r>
      <w:r w:rsidRPr="00991598">
        <w:rPr>
          <w:rFonts w:cs="Times New Roman"/>
          <w:szCs w:val="24"/>
        </w:rPr>
        <w:t>. New Delhi: PHI Learning Pvt. Ltd.</w:t>
      </w:r>
    </w:p>
    <w:p w14:paraId="4DE49408"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Rajest, S.S., Shynu, T. and Regin, R. (2023) ‘The effects of effective management of human resources on the overall performance of an organization’, </w:t>
      </w:r>
      <w:r w:rsidRPr="00991598">
        <w:rPr>
          <w:rFonts w:cs="Times New Roman"/>
          <w:i/>
          <w:iCs/>
          <w:szCs w:val="24"/>
        </w:rPr>
        <w:t>Central Asian Journal of Mathematical Theory and Computer Sciences</w:t>
      </w:r>
      <w:r w:rsidRPr="00991598">
        <w:rPr>
          <w:rFonts w:cs="Times New Roman"/>
          <w:szCs w:val="24"/>
        </w:rPr>
        <w:t>, 4(1), pp. 1–20.</w:t>
      </w:r>
    </w:p>
    <w:p w14:paraId="550FD205"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Shenbhagavadivu, T., Poduval, K. and Vinitha, V. (2024) ‘Artificial intelligence in human resource: The key to successful recruiting and performance management’, </w:t>
      </w:r>
      <w:r w:rsidRPr="00991598">
        <w:rPr>
          <w:rFonts w:cs="Times New Roman"/>
          <w:i/>
          <w:iCs/>
          <w:szCs w:val="24"/>
        </w:rPr>
        <w:t>ShodhKosh: Journal of Visual and Performing Arts</w:t>
      </w:r>
      <w:r w:rsidRPr="00991598">
        <w:rPr>
          <w:rFonts w:cs="Times New Roman"/>
          <w:szCs w:val="24"/>
        </w:rPr>
        <w:t>, 5(3), pp. 116–123.</w:t>
      </w:r>
    </w:p>
    <w:p w14:paraId="5AF8DEDC"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Steingold, F.S. and Hotfelder, A. (2021) </w:t>
      </w:r>
      <w:r w:rsidRPr="00991598">
        <w:rPr>
          <w:rFonts w:cs="Times New Roman"/>
          <w:i/>
          <w:iCs/>
          <w:szCs w:val="24"/>
        </w:rPr>
        <w:t>The employer’s legal handbook: How to manage your employees and workplace</w:t>
      </w:r>
      <w:r w:rsidRPr="00991598">
        <w:rPr>
          <w:rFonts w:cs="Times New Roman"/>
          <w:szCs w:val="24"/>
        </w:rPr>
        <w:t>. Berkeley, CA: Nolo.</w:t>
      </w:r>
    </w:p>
    <w:p w14:paraId="188A7DFC"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Touriano, D., Sutrisno, S., Kuraesin, A.D., Santosa, S. and Ausat, A.M.A. (2023) ‘The role of information technology in improving the efficiency and effectiveness of talent management processes’, </w:t>
      </w:r>
      <w:r w:rsidRPr="00991598">
        <w:rPr>
          <w:rFonts w:cs="Times New Roman"/>
          <w:i/>
          <w:iCs/>
          <w:szCs w:val="24"/>
        </w:rPr>
        <w:t>Jurnal Minfo Polgan</w:t>
      </w:r>
      <w:r w:rsidRPr="00991598">
        <w:rPr>
          <w:rFonts w:cs="Times New Roman"/>
          <w:szCs w:val="24"/>
        </w:rPr>
        <w:t>, 12(1), pp. 539–548.</w:t>
      </w:r>
    </w:p>
    <w:p w14:paraId="140FDAC8"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Tsourvakas, G. and Yfantidou, I. (2018) ‘Corporate social responsibility influences employee engagement’, </w:t>
      </w:r>
      <w:r w:rsidRPr="00991598">
        <w:rPr>
          <w:rFonts w:cs="Times New Roman"/>
          <w:i/>
          <w:iCs/>
          <w:szCs w:val="24"/>
        </w:rPr>
        <w:t>Social Responsibility Journal</w:t>
      </w:r>
      <w:r w:rsidRPr="00991598">
        <w:rPr>
          <w:rFonts w:cs="Times New Roman"/>
          <w:szCs w:val="24"/>
        </w:rPr>
        <w:t>, 14(1), pp. 123–137.</w:t>
      </w:r>
    </w:p>
    <w:p w14:paraId="3F48E0E8"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Unilever (2025) </w:t>
      </w:r>
      <w:r w:rsidRPr="00991598">
        <w:rPr>
          <w:rFonts w:cs="Times New Roman"/>
          <w:i/>
          <w:iCs/>
          <w:szCs w:val="24"/>
        </w:rPr>
        <w:t>Our company</w:t>
      </w:r>
      <w:r w:rsidRPr="00991598">
        <w:rPr>
          <w:rFonts w:cs="Times New Roman"/>
          <w:szCs w:val="24"/>
        </w:rPr>
        <w:t xml:space="preserve">. [online] Unilever. Available at: </w:t>
      </w:r>
      <w:hyperlink r:id="rId7" w:tgtFrame="_new" w:history="1">
        <w:r w:rsidRPr="00991598">
          <w:rPr>
            <w:rStyle w:val="Hyperlink"/>
            <w:rFonts w:cs="Times New Roman"/>
            <w:szCs w:val="24"/>
          </w:rPr>
          <w:t>https://www.unilever.com/our-company/</w:t>
        </w:r>
      </w:hyperlink>
      <w:r w:rsidR="006C030B" w:rsidRPr="00991598">
        <w:rPr>
          <w:rFonts w:cs="Times New Roman"/>
          <w:szCs w:val="24"/>
        </w:rPr>
        <w:t xml:space="preserve"> (Accessed: 1</w:t>
      </w:r>
      <w:r w:rsidR="006C030B" w:rsidRPr="00991598">
        <w:rPr>
          <w:rFonts w:cs="Times New Roman"/>
          <w:szCs w:val="24"/>
          <w:vertAlign w:val="superscript"/>
        </w:rPr>
        <w:t>st</w:t>
      </w:r>
      <w:r w:rsidR="006C030B" w:rsidRPr="00991598">
        <w:rPr>
          <w:rFonts w:cs="Times New Roman"/>
          <w:szCs w:val="24"/>
        </w:rPr>
        <w:t xml:space="preserve"> February 2026). </w:t>
      </w:r>
    </w:p>
    <w:p w14:paraId="69E8EB3C"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Unilever PLC (2024) </w:t>
      </w:r>
      <w:r w:rsidRPr="00991598">
        <w:rPr>
          <w:rFonts w:cs="Times New Roman"/>
          <w:i/>
          <w:iCs/>
          <w:szCs w:val="24"/>
        </w:rPr>
        <w:t>Why invest in Unilever</w:t>
      </w:r>
      <w:r w:rsidRPr="00991598">
        <w:rPr>
          <w:rFonts w:cs="Times New Roman"/>
          <w:szCs w:val="24"/>
        </w:rPr>
        <w:t xml:space="preserve">. [online] Unilever. Available at: </w:t>
      </w:r>
      <w:hyperlink r:id="rId8" w:tgtFrame="_new" w:history="1">
        <w:r w:rsidRPr="00991598">
          <w:rPr>
            <w:rStyle w:val="Hyperlink"/>
            <w:rFonts w:cs="Times New Roman"/>
            <w:szCs w:val="24"/>
          </w:rPr>
          <w:t>https://www.unilever.com/investors/why-invest-in-unilever/</w:t>
        </w:r>
      </w:hyperlink>
      <w:r w:rsidR="008A1ED6" w:rsidRPr="00991598">
        <w:rPr>
          <w:rFonts w:cs="Times New Roman"/>
          <w:szCs w:val="24"/>
        </w:rPr>
        <w:t xml:space="preserve"> (Accessed: 1</w:t>
      </w:r>
      <w:r w:rsidR="008A1ED6" w:rsidRPr="00991598">
        <w:rPr>
          <w:rFonts w:cs="Times New Roman"/>
          <w:szCs w:val="24"/>
          <w:vertAlign w:val="superscript"/>
        </w:rPr>
        <w:t>st</w:t>
      </w:r>
      <w:r w:rsidR="008A1ED6" w:rsidRPr="00991598">
        <w:rPr>
          <w:rFonts w:cs="Times New Roman"/>
          <w:szCs w:val="24"/>
        </w:rPr>
        <w:t xml:space="preserve"> February 2026).</w:t>
      </w:r>
    </w:p>
    <w:p w14:paraId="27955D87"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Urme, U.N. (2023) ‘The impact of talent management strategies on employee retention’, </w:t>
      </w:r>
      <w:r w:rsidRPr="00991598">
        <w:rPr>
          <w:rFonts w:cs="Times New Roman"/>
          <w:i/>
          <w:iCs/>
          <w:szCs w:val="24"/>
        </w:rPr>
        <w:t>International Journal of Science and Business</w:t>
      </w:r>
      <w:r w:rsidRPr="00991598">
        <w:rPr>
          <w:rFonts w:cs="Times New Roman"/>
          <w:szCs w:val="24"/>
        </w:rPr>
        <w:t>, 28(1), pp. 127–146.</w:t>
      </w:r>
    </w:p>
    <w:p w14:paraId="2831B9C5" w14:textId="77777777" w:rsidR="00D96D6F" w:rsidRPr="00991598" w:rsidRDefault="00D96D6F" w:rsidP="00991598">
      <w:pPr>
        <w:spacing w:after="0"/>
        <w:ind w:firstLine="0"/>
        <w:rPr>
          <w:rFonts w:cs="Times New Roman"/>
          <w:szCs w:val="24"/>
          <w:lang w:val="ru-RU"/>
        </w:rPr>
      </w:pPr>
    </w:p>
    <w:sectPr w:rsidR="00D96D6F" w:rsidRPr="00991598" w:rsidSect="00A91E28">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F0372" w14:textId="77777777" w:rsidR="004B4CE0" w:rsidRDefault="004B4CE0" w:rsidP="00A91E28">
      <w:pPr>
        <w:spacing w:after="0" w:line="240" w:lineRule="auto"/>
      </w:pPr>
      <w:r>
        <w:separator/>
      </w:r>
    </w:p>
  </w:endnote>
  <w:endnote w:type="continuationSeparator" w:id="0">
    <w:p w14:paraId="21D98869" w14:textId="77777777" w:rsidR="004B4CE0" w:rsidRDefault="004B4CE0" w:rsidP="00A91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BAA19" w14:textId="77777777" w:rsidR="004B4CE0" w:rsidRDefault="004B4CE0" w:rsidP="00A91E28">
      <w:pPr>
        <w:spacing w:after="0" w:line="240" w:lineRule="auto"/>
      </w:pPr>
      <w:r>
        <w:separator/>
      </w:r>
    </w:p>
  </w:footnote>
  <w:footnote w:type="continuationSeparator" w:id="0">
    <w:p w14:paraId="4E96366A" w14:textId="77777777" w:rsidR="004B4CE0" w:rsidRDefault="004B4CE0" w:rsidP="00A91E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536769"/>
      <w:docPartObj>
        <w:docPartGallery w:val="Page Numbers (Top of Page)"/>
        <w:docPartUnique/>
      </w:docPartObj>
    </w:sdtPr>
    <w:sdtEndPr>
      <w:rPr>
        <w:noProof/>
      </w:rPr>
    </w:sdtEndPr>
    <w:sdtContent>
      <w:p w14:paraId="2C373D93" w14:textId="77777777" w:rsidR="00A91E28" w:rsidRDefault="00A91E28">
        <w:pPr>
          <w:pStyle w:val="Header"/>
          <w:jc w:val="right"/>
        </w:pPr>
        <w:r>
          <w:fldChar w:fldCharType="begin"/>
        </w:r>
        <w:r>
          <w:instrText xml:space="preserve"> PAGE   \* MERGEFORMAT </w:instrText>
        </w:r>
        <w:r>
          <w:fldChar w:fldCharType="separate"/>
        </w:r>
        <w:r w:rsidR="00D45230">
          <w:rPr>
            <w:noProof/>
          </w:rPr>
          <w:t>11</w:t>
        </w:r>
        <w:r>
          <w:rPr>
            <w:noProof/>
          </w:rPr>
          <w:fldChar w:fldCharType="end"/>
        </w:r>
      </w:p>
    </w:sdtContent>
  </w:sdt>
  <w:p w14:paraId="5E41F017" w14:textId="77777777" w:rsidR="00A91E28" w:rsidRDefault="00A91E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0A5"/>
    <w:rsid w:val="00001647"/>
    <w:rsid w:val="0001338D"/>
    <w:rsid w:val="000137E3"/>
    <w:rsid w:val="00015F6E"/>
    <w:rsid w:val="000177E9"/>
    <w:rsid w:val="0002044F"/>
    <w:rsid w:val="00024F50"/>
    <w:rsid w:val="00040042"/>
    <w:rsid w:val="00062EA8"/>
    <w:rsid w:val="000B0F4D"/>
    <w:rsid w:val="000B10D5"/>
    <w:rsid w:val="000B6027"/>
    <w:rsid w:val="000D5B73"/>
    <w:rsid w:val="000E6291"/>
    <w:rsid w:val="000F6F29"/>
    <w:rsid w:val="000F7294"/>
    <w:rsid w:val="00100B09"/>
    <w:rsid w:val="00101AF8"/>
    <w:rsid w:val="001025B7"/>
    <w:rsid w:val="00132377"/>
    <w:rsid w:val="001331A5"/>
    <w:rsid w:val="00146719"/>
    <w:rsid w:val="001622AB"/>
    <w:rsid w:val="001623CE"/>
    <w:rsid w:val="0016290F"/>
    <w:rsid w:val="00175DB3"/>
    <w:rsid w:val="00177DFF"/>
    <w:rsid w:val="00181FF2"/>
    <w:rsid w:val="001A1726"/>
    <w:rsid w:val="001A35BF"/>
    <w:rsid w:val="001A57BD"/>
    <w:rsid w:val="001B678A"/>
    <w:rsid w:val="001D0D61"/>
    <w:rsid w:val="00264C2B"/>
    <w:rsid w:val="0027164E"/>
    <w:rsid w:val="0028297A"/>
    <w:rsid w:val="00284CAC"/>
    <w:rsid w:val="00290A27"/>
    <w:rsid w:val="002A21A3"/>
    <w:rsid w:val="002B3DD6"/>
    <w:rsid w:val="002C0493"/>
    <w:rsid w:val="002C339F"/>
    <w:rsid w:val="002D3FEE"/>
    <w:rsid w:val="002E1658"/>
    <w:rsid w:val="002F29AE"/>
    <w:rsid w:val="003015EA"/>
    <w:rsid w:val="0030723D"/>
    <w:rsid w:val="00311874"/>
    <w:rsid w:val="00323E68"/>
    <w:rsid w:val="00331C97"/>
    <w:rsid w:val="00337800"/>
    <w:rsid w:val="003400D7"/>
    <w:rsid w:val="00342C69"/>
    <w:rsid w:val="0037587A"/>
    <w:rsid w:val="003C1149"/>
    <w:rsid w:val="00421648"/>
    <w:rsid w:val="00434515"/>
    <w:rsid w:val="0044278F"/>
    <w:rsid w:val="00445936"/>
    <w:rsid w:val="00446C0F"/>
    <w:rsid w:val="00453C45"/>
    <w:rsid w:val="0047562A"/>
    <w:rsid w:val="004849EA"/>
    <w:rsid w:val="004A072B"/>
    <w:rsid w:val="004A785F"/>
    <w:rsid w:val="004B409D"/>
    <w:rsid w:val="004B4CE0"/>
    <w:rsid w:val="004B67EA"/>
    <w:rsid w:val="004C278C"/>
    <w:rsid w:val="004C3F43"/>
    <w:rsid w:val="004C418E"/>
    <w:rsid w:val="004F6AD1"/>
    <w:rsid w:val="00510490"/>
    <w:rsid w:val="00516237"/>
    <w:rsid w:val="00520786"/>
    <w:rsid w:val="00530954"/>
    <w:rsid w:val="00553A36"/>
    <w:rsid w:val="005818F2"/>
    <w:rsid w:val="00596EBD"/>
    <w:rsid w:val="005A1D08"/>
    <w:rsid w:val="005A43E6"/>
    <w:rsid w:val="005B7C8C"/>
    <w:rsid w:val="005C601D"/>
    <w:rsid w:val="005C705B"/>
    <w:rsid w:val="005C7D18"/>
    <w:rsid w:val="005D2533"/>
    <w:rsid w:val="005D5F3E"/>
    <w:rsid w:val="00601B6A"/>
    <w:rsid w:val="0060547C"/>
    <w:rsid w:val="00610831"/>
    <w:rsid w:val="006137A3"/>
    <w:rsid w:val="00630A53"/>
    <w:rsid w:val="006339FA"/>
    <w:rsid w:val="006349BF"/>
    <w:rsid w:val="00635456"/>
    <w:rsid w:val="00654418"/>
    <w:rsid w:val="006631EF"/>
    <w:rsid w:val="00663573"/>
    <w:rsid w:val="00684B35"/>
    <w:rsid w:val="0068688D"/>
    <w:rsid w:val="00691C95"/>
    <w:rsid w:val="006960AC"/>
    <w:rsid w:val="00696542"/>
    <w:rsid w:val="006B2F01"/>
    <w:rsid w:val="006C030B"/>
    <w:rsid w:val="006F5498"/>
    <w:rsid w:val="00700494"/>
    <w:rsid w:val="00704CD7"/>
    <w:rsid w:val="00723837"/>
    <w:rsid w:val="0073063E"/>
    <w:rsid w:val="00733FAD"/>
    <w:rsid w:val="00750767"/>
    <w:rsid w:val="007667AE"/>
    <w:rsid w:val="00776942"/>
    <w:rsid w:val="00782F23"/>
    <w:rsid w:val="007B3886"/>
    <w:rsid w:val="007B5287"/>
    <w:rsid w:val="007B56C2"/>
    <w:rsid w:val="007C55C8"/>
    <w:rsid w:val="007D3F88"/>
    <w:rsid w:val="007D63D5"/>
    <w:rsid w:val="008056B7"/>
    <w:rsid w:val="00805F45"/>
    <w:rsid w:val="008073C5"/>
    <w:rsid w:val="00811C0D"/>
    <w:rsid w:val="00860773"/>
    <w:rsid w:val="00862C61"/>
    <w:rsid w:val="00872D6B"/>
    <w:rsid w:val="00880CDD"/>
    <w:rsid w:val="008917DF"/>
    <w:rsid w:val="00894774"/>
    <w:rsid w:val="008A1ED6"/>
    <w:rsid w:val="008B4039"/>
    <w:rsid w:val="008D78DD"/>
    <w:rsid w:val="00917AC3"/>
    <w:rsid w:val="00934402"/>
    <w:rsid w:val="009344F8"/>
    <w:rsid w:val="00936EF2"/>
    <w:rsid w:val="00940C36"/>
    <w:rsid w:val="00944E80"/>
    <w:rsid w:val="009451E8"/>
    <w:rsid w:val="009458CD"/>
    <w:rsid w:val="00975F01"/>
    <w:rsid w:val="00981C62"/>
    <w:rsid w:val="00991598"/>
    <w:rsid w:val="009968C5"/>
    <w:rsid w:val="009A4323"/>
    <w:rsid w:val="009B37A8"/>
    <w:rsid w:val="009C1C97"/>
    <w:rsid w:val="009D4A6B"/>
    <w:rsid w:val="009F7889"/>
    <w:rsid w:val="00A0215E"/>
    <w:rsid w:val="00A22814"/>
    <w:rsid w:val="00A23EFE"/>
    <w:rsid w:val="00A33657"/>
    <w:rsid w:val="00A4106D"/>
    <w:rsid w:val="00A518C8"/>
    <w:rsid w:val="00A5623A"/>
    <w:rsid w:val="00A654B7"/>
    <w:rsid w:val="00A730CD"/>
    <w:rsid w:val="00A74163"/>
    <w:rsid w:val="00A760F1"/>
    <w:rsid w:val="00A77F8A"/>
    <w:rsid w:val="00A8544F"/>
    <w:rsid w:val="00A865A3"/>
    <w:rsid w:val="00A91E28"/>
    <w:rsid w:val="00A922F0"/>
    <w:rsid w:val="00AA06D6"/>
    <w:rsid w:val="00AA0D36"/>
    <w:rsid w:val="00AD21CD"/>
    <w:rsid w:val="00AD778C"/>
    <w:rsid w:val="00AE3C7B"/>
    <w:rsid w:val="00AE5072"/>
    <w:rsid w:val="00AF49BA"/>
    <w:rsid w:val="00AF59C7"/>
    <w:rsid w:val="00B024C4"/>
    <w:rsid w:val="00B129F8"/>
    <w:rsid w:val="00B14F0D"/>
    <w:rsid w:val="00B155AA"/>
    <w:rsid w:val="00B16A03"/>
    <w:rsid w:val="00B264B4"/>
    <w:rsid w:val="00B27A65"/>
    <w:rsid w:val="00B3043F"/>
    <w:rsid w:val="00B31150"/>
    <w:rsid w:val="00B36397"/>
    <w:rsid w:val="00B37241"/>
    <w:rsid w:val="00B479F8"/>
    <w:rsid w:val="00B971D3"/>
    <w:rsid w:val="00BA3A24"/>
    <w:rsid w:val="00BB1467"/>
    <w:rsid w:val="00BD064F"/>
    <w:rsid w:val="00BE533B"/>
    <w:rsid w:val="00BE7674"/>
    <w:rsid w:val="00C1540A"/>
    <w:rsid w:val="00C203CA"/>
    <w:rsid w:val="00C3745D"/>
    <w:rsid w:val="00C37F79"/>
    <w:rsid w:val="00C4256A"/>
    <w:rsid w:val="00C4633B"/>
    <w:rsid w:val="00C55FF1"/>
    <w:rsid w:val="00C65CB3"/>
    <w:rsid w:val="00C93148"/>
    <w:rsid w:val="00C964B7"/>
    <w:rsid w:val="00C967AF"/>
    <w:rsid w:val="00CB64C7"/>
    <w:rsid w:val="00CC0C3E"/>
    <w:rsid w:val="00CC5817"/>
    <w:rsid w:val="00CC7713"/>
    <w:rsid w:val="00CE07B7"/>
    <w:rsid w:val="00CE4006"/>
    <w:rsid w:val="00CF09F0"/>
    <w:rsid w:val="00D013B5"/>
    <w:rsid w:val="00D01879"/>
    <w:rsid w:val="00D04379"/>
    <w:rsid w:val="00D05DB8"/>
    <w:rsid w:val="00D129D8"/>
    <w:rsid w:val="00D131FB"/>
    <w:rsid w:val="00D27460"/>
    <w:rsid w:val="00D35BD3"/>
    <w:rsid w:val="00D3639F"/>
    <w:rsid w:val="00D45230"/>
    <w:rsid w:val="00D45506"/>
    <w:rsid w:val="00D50AE4"/>
    <w:rsid w:val="00D7040F"/>
    <w:rsid w:val="00D87866"/>
    <w:rsid w:val="00D905D6"/>
    <w:rsid w:val="00D913D7"/>
    <w:rsid w:val="00D96D6F"/>
    <w:rsid w:val="00DB0DD6"/>
    <w:rsid w:val="00DB5E02"/>
    <w:rsid w:val="00DC3106"/>
    <w:rsid w:val="00DC5906"/>
    <w:rsid w:val="00DE70A5"/>
    <w:rsid w:val="00DF077C"/>
    <w:rsid w:val="00E1483C"/>
    <w:rsid w:val="00E161FF"/>
    <w:rsid w:val="00E179BD"/>
    <w:rsid w:val="00E20BCF"/>
    <w:rsid w:val="00E224A1"/>
    <w:rsid w:val="00E2262B"/>
    <w:rsid w:val="00E31808"/>
    <w:rsid w:val="00E46126"/>
    <w:rsid w:val="00E467FF"/>
    <w:rsid w:val="00E70EA2"/>
    <w:rsid w:val="00E7302B"/>
    <w:rsid w:val="00E77ED4"/>
    <w:rsid w:val="00E96C1F"/>
    <w:rsid w:val="00EA2231"/>
    <w:rsid w:val="00EA2F36"/>
    <w:rsid w:val="00EA6B2B"/>
    <w:rsid w:val="00EC40F5"/>
    <w:rsid w:val="00EC5E58"/>
    <w:rsid w:val="00EC77CA"/>
    <w:rsid w:val="00ED1ABE"/>
    <w:rsid w:val="00EE20B6"/>
    <w:rsid w:val="00EE2285"/>
    <w:rsid w:val="00F020A3"/>
    <w:rsid w:val="00F07CD1"/>
    <w:rsid w:val="00F1420B"/>
    <w:rsid w:val="00F21219"/>
    <w:rsid w:val="00F21B98"/>
    <w:rsid w:val="00F249A8"/>
    <w:rsid w:val="00F259E5"/>
    <w:rsid w:val="00F265CA"/>
    <w:rsid w:val="00F333E4"/>
    <w:rsid w:val="00F618A8"/>
    <w:rsid w:val="00F61D4C"/>
    <w:rsid w:val="00F72D83"/>
    <w:rsid w:val="00F73152"/>
    <w:rsid w:val="00F777E4"/>
    <w:rsid w:val="00F91DC9"/>
    <w:rsid w:val="00FB043A"/>
    <w:rsid w:val="00FB1C24"/>
    <w:rsid w:val="00FD1ED7"/>
    <w:rsid w:val="00FE1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80189"/>
  <w15:chartTrackingRefBased/>
  <w15:docId w15:val="{21A6E756-EDC7-4AD2-A144-ABB17E052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F3E"/>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F618A8"/>
    <w:pPr>
      <w:keepNext/>
      <w:keepLines/>
      <w:spacing w:before="240" w:after="0" w:line="240" w:lineRule="auto"/>
      <w:ind w:firstLine="0"/>
      <w:outlineLvl w:val="0"/>
    </w:pPr>
    <w:rPr>
      <w:rFonts w:eastAsiaTheme="majorEastAsia" w:cstheme="majorBidi"/>
      <w:b/>
      <w:color w:val="auto"/>
      <w:kern w:val="0"/>
      <w:szCs w:val="32"/>
      <w:lang w:val="ru-RU"/>
      <w14:ligatures w14:val="none"/>
    </w:rPr>
  </w:style>
  <w:style w:type="paragraph" w:styleId="Heading2">
    <w:name w:val="heading 2"/>
    <w:basedOn w:val="Normal"/>
    <w:next w:val="Normal"/>
    <w:link w:val="Heading2Char"/>
    <w:uiPriority w:val="9"/>
    <w:unhideWhenUsed/>
    <w:qFormat/>
    <w:rsid w:val="000137E3"/>
    <w:pPr>
      <w:keepNext/>
      <w:keepLines/>
      <w:spacing w:before="40" w:after="0"/>
      <w:ind w:firstLine="0"/>
      <w:outlineLvl w:val="1"/>
    </w:pPr>
    <w:rPr>
      <w:rFonts w:eastAsiaTheme="majorEastAsia" w:cstheme="majorBidi"/>
      <w:b/>
      <w:i/>
      <w:color w:val="auto"/>
      <w:szCs w:val="26"/>
    </w:rPr>
  </w:style>
  <w:style w:type="paragraph" w:styleId="Heading3">
    <w:name w:val="heading 3"/>
    <w:basedOn w:val="Normal"/>
    <w:next w:val="Normal"/>
    <w:link w:val="Heading3Char"/>
    <w:uiPriority w:val="9"/>
    <w:unhideWhenUsed/>
    <w:qFormat/>
    <w:rsid w:val="008B4039"/>
    <w:pPr>
      <w:keepNext/>
      <w:keepLines/>
      <w:spacing w:before="40" w:after="0"/>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37E3"/>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F618A8"/>
    <w:rPr>
      <w:rFonts w:ascii="Times New Roman" w:eastAsiaTheme="majorEastAsia" w:hAnsi="Times New Roman" w:cstheme="majorBidi"/>
      <w:b/>
      <w:kern w:val="0"/>
      <w:sz w:val="24"/>
      <w:szCs w:val="32"/>
      <w:lang w:val="ru-RU"/>
      <w14:ligatures w14:val="none"/>
    </w:rPr>
  </w:style>
  <w:style w:type="character" w:customStyle="1" w:styleId="Heading3Char">
    <w:name w:val="Heading 3 Char"/>
    <w:basedOn w:val="DefaultParagraphFont"/>
    <w:link w:val="Heading3"/>
    <w:uiPriority w:val="9"/>
    <w:rsid w:val="008B4039"/>
    <w:rPr>
      <w:rFonts w:ascii="Times New Roman" w:eastAsiaTheme="majorEastAsia" w:hAnsi="Times New Roman" w:cstheme="majorBidi"/>
      <w:i/>
      <w:color w:val="000000" w:themeColor="text1"/>
      <w:sz w:val="24"/>
      <w:szCs w:val="24"/>
    </w:rPr>
  </w:style>
  <w:style w:type="paragraph" w:styleId="Header">
    <w:name w:val="header"/>
    <w:basedOn w:val="Normal"/>
    <w:link w:val="HeaderChar"/>
    <w:uiPriority w:val="99"/>
    <w:unhideWhenUsed/>
    <w:rsid w:val="00A91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E28"/>
    <w:rPr>
      <w:rFonts w:ascii="Times New Roman" w:hAnsi="Times New Roman"/>
      <w:color w:val="000000" w:themeColor="text1"/>
      <w:sz w:val="24"/>
    </w:rPr>
  </w:style>
  <w:style w:type="paragraph" w:styleId="Footer">
    <w:name w:val="footer"/>
    <w:basedOn w:val="Normal"/>
    <w:link w:val="FooterChar"/>
    <w:uiPriority w:val="99"/>
    <w:unhideWhenUsed/>
    <w:rsid w:val="00A91E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E28"/>
    <w:rPr>
      <w:rFonts w:ascii="Times New Roman" w:hAnsi="Times New Roman"/>
      <w:color w:val="000000" w:themeColor="text1"/>
      <w:sz w:val="24"/>
    </w:rPr>
  </w:style>
  <w:style w:type="paragraph" w:styleId="ListParagraph">
    <w:name w:val="List Paragraph"/>
    <w:basedOn w:val="Normal"/>
    <w:uiPriority w:val="34"/>
    <w:qFormat/>
    <w:rsid w:val="00F618A8"/>
    <w:pPr>
      <w:ind w:left="720"/>
      <w:contextualSpacing/>
    </w:pPr>
  </w:style>
  <w:style w:type="paragraph" w:styleId="TOCHeading">
    <w:name w:val="TOC Heading"/>
    <w:basedOn w:val="Heading1"/>
    <w:next w:val="Normal"/>
    <w:uiPriority w:val="39"/>
    <w:unhideWhenUsed/>
    <w:qFormat/>
    <w:rsid w:val="00E20BC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37F79"/>
    <w:pPr>
      <w:tabs>
        <w:tab w:val="right" w:leader="dot" w:pos="9350"/>
      </w:tabs>
      <w:spacing w:after="100"/>
      <w:ind w:firstLine="0"/>
    </w:pPr>
  </w:style>
  <w:style w:type="paragraph" w:styleId="TOC2">
    <w:name w:val="toc 2"/>
    <w:basedOn w:val="Normal"/>
    <w:next w:val="Normal"/>
    <w:autoRedefine/>
    <w:uiPriority w:val="39"/>
    <w:unhideWhenUsed/>
    <w:rsid w:val="00C37F79"/>
    <w:pPr>
      <w:tabs>
        <w:tab w:val="right" w:leader="dot" w:pos="9350"/>
      </w:tabs>
      <w:spacing w:after="100"/>
      <w:ind w:left="240" w:firstLine="30"/>
    </w:pPr>
  </w:style>
  <w:style w:type="paragraph" w:styleId="TOC3">
    <w:name w:val="toc 3"/>
    <w:basedOn w:val="Normal"/>
    <w:next w:val="Normal"/>
    <w:autoRedefine/>
    <w:uiPriority w:val="39"/>
    <w:unhideWhenUsed/>
    <w:rsid w:val="00C37F79"/>
    <w:pPr>
      <w:tabs>
        <w:tab w:val="right" w:leader="dot" w:pos="9350"/>
      </w:tabs>
      <w:spacing w:after="100"/>
      <w:ind w:left="480" w:hanging="30"/>
    </w:pPr>
  </w:style>
  <w:style w:type="character" w:styleId="Hyperlink">
    <w:name w:val="Hyperlink"/>
    <w:basedOn w:val="DefaultParagraphFont"/>
    <w:uiPriority w:val="99"/>
    <w:unhideWhenUsed/>
    <w:rsid w:val="00E20B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080844">
      <w:bodyDiv w:val="1"/>
      <w:marLeft w:val="0"/>
      <w:marRight w:val="0"/>
      <w:marTop w:val="0"/>
      <w:marBottom w:val="0"/>
      <w:divBdr>
        <w:top w:val="none" w:sz="0" w:space="0" w:color="auto"/>
        <w:left w:val="none" w:sz="0" w:space="0" w:color="auto"/>
        <w:bottom w:val="none" w:sz="0" w:space="0" w:color="auto"/>
        <w:right w:val="none" w:sz="0" w:space="0" w:color="auto"/>
      </w:divBdr>
      <w:divsChild>
        <w:div w:id="1852640100">
          <w:marLeft w:val="0"/>
          <w:marRight w:val="0"/>
          <w:marTop w:val="0"/>
          <w:marBottom w:val="0"/>
          <w:divBdr>
            <w:top w:val="none" w:sz="0" w:space="0" w:color="auto"/>
            <w:left w:val="none" w:sz="0" w:space="0" w:color="auto"/>
            <w:bottom w:val="none" w:sz="0" w:space="0" w:color="auto"/>
            <w:right w:val="none" w:sz="0" w:space="0" w:color="auto"/>
          </w:divBdr>
        </w:div>
      </w:divsChild>
    </w:div>
    <w:div w:id="1384451875">
      <w:bodyDiv w:val="1"/>
      <w:marLeft w:val="0"/>
      <w:marRight w:val="0"/>
      <w:marTop w:val="0"/>
      <w:marBottom w:val="0"/>
      <w:divBdr>
        <w:top w:val="none" w:sz="0" w:space="0" w:color="auto"/>
        <w:left w:val="none" w:sz="0" w:space="0" w:color="auto"/>
        <w:bottom w:val="none" w:sz="0" w:space="0" w:color="auto"/>
        <w:right w:val="none" w:sz="0" w:space="0" w:color="auto"/>
      </w:divBdr>
    </w:div>
    <w:div w:id="1843347974">
      <w:bodyDiv w:val="1"/>
      <w:marLeft w:val="0"/>
      <w:marRight w:val="0"/>
      <w:marTop w:val="0"/>
      <w:marBottom w:val="0"/>
      <w:divBdr>
        <w:top w:val="none" w:sz="0" w:space="0" w:color="auto"/>
        <w:left w:val="none" w:sz="0" w:space="0" w:color="auto"/>
        <w:bottom w:val="none" w:sz="0" w:space="0" w:color="auto"/>
        <w:right w:val="none" w:sz="0" w:space="0" w:color="auto"/>
      </w:divBdr>
      <w:divsChild>
        <w:div w:id="1463504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investors/why-invest-in-unilever/" TargetMode="External"/><Relationship Id="rId3" Type="http://schemas.openxmlformats.org/officeDocument/2006/relationships/settings" Target="settings.xml"/><Relationship Id="rId7" Type="http://schemas.openxmlformats.org/officeDocument/2006/relationships/hyperlink" Target="https://www.unilever.com/our-compan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F3A48-1582-4E9F-A5F5-0B180532D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3186</Words>
  <Characters>18161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Victoria Francis (2329070)</cp:lastModifiedBy>
  <cp:revision>7</cp:revision>
  <dcterms:created xsi:type="dcterms:W3CDTF">2026-03-14T15:35:00Z</dcterms:created>
  <dcterms:modified xsi:type="dcterms:W3CDTF">2026-03-19T07:55:00Z</dcterms:modified>
</cp:coreProperties>
</file>