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73BCD" w14:textId="3DBFA89C" w:rsidR="000220F3" w:rsidRDefault="355AA4D3" w:rsidP="7E4274EB">
      <w:pPr>
        <w:spacing w:line="360" w:lineRule="auto"/>
        <w:jc w:val="center"/>
        <w:rPr>
          <w:rFonts w:ascii="Times New Roman" w:eastAsia="Times New Roman" w:hAnsi="Times New Roman" w:cs="Times New Roman"/>
          <w:color w:val="000000" w:themeColor="text1"/>
          <w:sz w:val="32"/>
          <w:szCs w:val="32"/>
          <w:lang w:val="en-US"/>
        </w:rPr>
      </w:pPr>
      <w:r w:rsidRPr="7E4274EB">
        <w:rPr>
          <w:rFonts w:ascii="Times New Roman" w:eastAsia="Times New Roman" w:hAnsi="Times New Roman" w:cs="Times New Roman"/>
          <w:b/>
          <w:bCs/>
          <w:color w:val="000000" w:themeColor="text1"/>
          <w:sz w:val="32"/>
          <w:szCs w:val="32"/>
        </w:rPr>
        <w:t xml:space="preserve">Miss Sydney Vickery </w:t>
      </w:r>
    </w:p>
    <w:p w14:paraId="0A1F635B" w14:textId="1908DC6C" w:rsidR="000220F3" w:rsidRDefault="355AA4D3" w:rsidP="7E4274EB">
      <w:pPr>
        <w:spacing w:line="360" w:lineRule="auto"/>
        <w:jc w:val="center"/>
        <w:rPr>
          <w:rFonts w:ascii="Times New Roman" w:eastAsia="Times New Roman" w:hAnsi="Times New Roman" w:cs="Times New Roman"/>
          <w:color w:val="000000" w:themeColor="text1"/>
          <w:sz w:val="32"/>
          <w:szCs w:val="32"/>
          <w:lang w:val="en-US"/>
        </w:rPr>
      </w:pPr>
      <w:r w:rsidRPr="7E4274EB">
        <w:rPr>
          <w:rFonts w:ascii="Times New Roman" w:eastAsia="Times New Roman" w:hAnsi="Times New Roman" w:cs="Times New Roman"/>
          <w:b/>
          <w:bCs/>
          <w:color w:val="000000" w:themeColor="text1"/>
          <w:sz w:val="32"/>
          <w:szCs w:val="32"/>
        </w:rPr>
        <w:t>2236215</w:t>
      </w:r>
    </w:p>
    <w:p w14:paraId="4F7FC2B7" w14:textId="4E4A54DE" w:rsidR="000220F3" w:rsidRDefault="000220F3" w:rsidP="7E4274EB">
      <w:pPr>
        <w:spacing w:after="0" w:line="360" w:lineRule="auto"/>
        <w:rPr>
          <w:rFonts w:ascii="Times New Roman" w:eastAsia="Times New Roman" w:hAnsi="Times New Roman" w:cs="Times New Roman"/>
          <w:color w:val="000000" w:themeColor="text1"/>
          <w:sz w:val="32"/>
          <w:szCs w:val="32"/>
          <w:lang w:val="en-US"/>
        </w:rPr>
      </w:pPr>
    </w:p>
    <w:p w14:paraId="2ECA3C3F" w14:textId="647434E4" w:rsidR="000220F3" w:rsidRDefault="355AA4D3" w:rsidP="7E4274EB">
      <w:pPr>
        <w:spacing w:line="360" w:lineRule="auto"/>
        <w:jc w:val="center"/>
        <w:rPr>
          <w:rFonts w:ascii="Times New Roman" w:eastAsia="Times New Roman" w:hAnsi="Times New Roman" w:cs="Times New Roman"/>
          <w:color w:val="000000" w:themeColor="text1"/>
          <w:sz w:val="32"/>
          <w:szCs w:val="32"/>
          <w:lang w:val="en-US"/>
        </w:rPr>
      </w:pPr>
      <w:r w:rsidRPr="7E4274EB">
        <w:rPr>
          <w:rFonts w:ascii="Times New Roman" w:eastAsia="Times New Roman" w:hAnsi="Times New Roman" w:cs="Times New Roman"/>
          <w:b/>
          <w:bCs/>
          <w:color w:val="000000" w:themeColor="text1"/>
          <w:sz w:val="32"/>
          <w:szCs w:val="32"/>
        </w:rPr>
        <w:t>Unit:</w:t>
      </w:r>
      <w:r w:rsidRPr="7E4274EB">
        <w:rPr>
          <w:rFonts w:ascii="Times New Roman" w:eastAsia="Times New Roman" w:hAnsi="Times New Roman" w:cs="Times New Roman"/>
          <w:color w:val="000000" w:themeColor="text1"/>
          <w:sz w:val="32"/>
          <w:szCs w:val="32"/>
        </w:rPr>
        <w:t xml:space="preserve"> 5HR02</w:t>
      </w:r>
      <w:r w:rsidR="00190DEB">
        <w:br/>
      </w:r>
      <w:r w:rsidRPr="7E4274EB">
        <w:rPr>
          <w:rFonts w:ascii="Times New Roman" w:eastAsia="Times New Roman" w:hAnsi="Times New Roman" w:cs="Times New Roman"/>
          <w:b/>
          <w:bCs/>
          <w:color w:val="000000" w:themeColor="text1"/>
          <w:sz w:val="32"/>
          <w:szCs w:val="32"/>
        </w:rPr>
        <w:t>Title:</w:t>
      </w:r>
      <w:r w:rsidRPr="7E4274EB">
        <w:rPr>
          <w:rFonts w:ascii="Times New Roman" w:eastAsia="Times New Roman" w:hAnsi="Times New Roman" w:cs="Times New Roman"/>
          <w:color w:val="000000" w:themeColor="text1"/>
          <w:sz w:val="32"/>
          <w:szCs w:val="32"/>
        </w:rPr>
        <w:t xml:space="preserve"> Talent Management and Workforce planning</w:t>
      </w:r>
    </w:p>
    <w:p w14:paraId="784E559F" w14:textId="4CAF1F99" w:rsidR="000220F3" w:rsidRDefault="355AA4D3" w:rsidP="7E4274EB">
      <w:pPr>
        <w:pStyle w:val="NoSpacing"/>
        <w:spacing w:line="360" w:lineRule="auto"/>
        <w:jc w:val="center"/>
        <w:rPr>
          <w:rFonts w:ascii="Times New Roman" w:eastAsia="Times New Roman" w:hAnsi="Times New Roman" w:cs="Times New Roman"/>
          <w:color w:val="000000" w:themeColor="text1"/>
          <w:sz w:val="32"/>
          <w:szCs w:val="32"/>
        </w:rPr>
      </w:pPr>
      <w:r w:rsidRPr="7E4274EB">
        <w:rPr>
          <w:rFonts w:ascii="Times New Roman" w:eastAsia="Times New Roman" w:hAnsi="Times New Roman" w:cs="Times New Roman"/>
          <w:b/>
          <w:bCs/>
          <w:color w:val="000000" w:themeColor="text1"/>
          <w:sz w:val="32"/>
          <w:szCs w:val="32"/>
        </w:rPr>
        <w:t xml:space="preserve">Total word count: </w:t>
      </w:r>
      <w:r w:rsidR="5CD138FE" w:rsidRPr="7E4274EB">
        <w:rPr>
          <w:rFonts w:ascii="Times New Roman" w:eastAsia="Times New Roman" w:hAnsi="Times New Roman" w:cs="Times New Roman"/>
          <w:color w:val="000000" w:themeColor="text1"/>
          <w:sz w:val="32"/>
          <w:szCs w:val="32"/>
        </w:rPr>
        <w:t>3,818</w:t>
      </w:r>
    </w:p>
    <w:p w14:paraId="2C078E63" w14:textId="4D87602E" w:rsidR="000220F3" w:rsidRDefault="000220F3" w:rsidP="7E4274EB">
      <w:pPr>
        <w:spacing w:line="360" w:lineRule="auto"/>
        <w:rPr>
          <w:rFonts w:ascii="Times New Roman" w:eastAsia="Times New Roman" w:hAnsi="Times New Roman" w:cs="Times New Roman"/>
        </w:rPr>
      </w:pPr>
    </w:p>
    <w:p w14:paraId="397075BD" w14:textId="22A02D7E" w:rsidR="26780FEC" w:rsidRDefault="26780FEC" w:rsidP="7E4274EB">
      <w:pPr>
        <w:spacing w:line="360" w:lineRule="auto"/>
        <w:rPr>
          <w:rFonts w:ascii="Times New Roman" w:eastAsia="Times New Roman" w:hAnsi="Times New Roman" w:cs="Times New Roman"/>
        </w:rPr>
      </w:pPr>
    </w:p>
    <w:p w14:paraId="3309C95F" w14:textId="4714D274" w:rsidR="26780FEC" w:rsidRDefault="26780FEC" w:rsidP="7E4274EB">
      <w:pPr>
        <w:spacing w:line="360" w:lineRule="auto"/>
        <w:rPr>
          <w:rFonts w:ascii="Times New Roman" w:eastAsia="Times New Roman" w:hAnsi="Times New Roman" w:cs="Times New Roman"/>
        </w:rPr>
      </w:pPr>
    </w:p>
    <w:p w14:paraId="3F9D61D7" w14:textId="08FCDFFE" w:rsidR="26780FEC" w:rsidRDefault="26780FEC" w:rsidP="7E4274EB">
      <w:pPr>
        <w:spacing w:line="360" w:lineRule="auto"/>
        <w:rPr>
          <w:rFonts w:ascii="Times New Roman" w:eastAsia="Times New Roman" w:hAnsi="Times New Roman" w:cs="Times New Roman"/>
        </w:rPr>
      </w:pPr>
    </w:p>
    <w:p w14:paraId="157651B2" w14:textId="513EF8F3" w:rsidR="26780FEC" w:rsidRDefault="26780FEC" w:rsidP="7E4274EB">
      <w:pPr>
        <w:spacing w:line="360" w:lineRule="auto"/>
        <w:rPr>
          <w:rFonts w:ascii="Times New Roman" w:eastAsia="Times New Roman" w:hAnsi="Times New Roman" w:cs="Times New Roman"/>
        </w:rPr>
      </w:pPr>
    </w:p>
    <w:p w14:paraId="51837845" w14:textId="27E02F0F" w:rsidR="26780FEC" w:rsidRDefault="26780FEC" w:rsidP="7E4274EB">
      <w:pPr>
        <w:spacing w:line="360" w:lineRule="auto"/>
        <w:rPr>
          <w:rFonts w:ascii="Times New Roman" w:eastAsia="Times New Roman" w:hAnsi="Times New Roman" w:cs="Times New Roman"/>
        </w:rPr>
      </w:pPr>
    </w:p>
    <w:p w14:paraId="644475A5" w14:textId="6782B740" w:rsidR="26780FEC" w:rsidRDefault="26780FEC" w:rsidP="7E4274EB">
      <w:pPr>
        <w:spacing w:line="360" w:lineRule="auto"/>
        <w:rPr>
          <w:rFonts w:ascii="Times New Roman" w:eastAsia="Times New Roman" w:hAnsi="Times New Roman" w:cs="Times New Roman"/>
        </w:rPr>
      </w:pPr>
    </w:p>
    <w:p w14:paraId="29DFCB57" w14:textId="2E8B4DFD" w:rsidR="26780FEC" w:rsidRDefault="26780FEC" w:rsidP="7E4274EB">
      <w:pPr>
        <w:spacing w:line="360" w:lineRule="auto"/>
        <w:rPr>
          <w:rFonts w:ascii="Times New Roman" w:eastAsia="Times New Roman" w:hAnsi="Times New Roman" w:cs="Times New Roman"/>
        </w:rPr>
      </w:pPr>
    </w:p>
    <w:p w14:paraId="6656E690" w14:textId="206F5693" w:rsidR="26780FEC" w:rsidRDefault="26780FEC" w:rsidP="7E4274EB">
      <w:pPr>
        <w:spacing w:line="360" w:lineRule="auto"/>
        <w:rPr>
          <w:rFonts w:ascii="Times New Roman" w:eastAsia="Times New Roman" w:hAnsi="Times New Roman" w:cs="Times New Roman"/>
        </w:rPr>
      </w:pPr>
    </w:p>
    <w:p w14:paraId="619E82D2" w14:textId="1256A7CC" w:rsidR="26780FEC" w:rsidRDefault="26780FEC" w:rsidP="7E4274EB">
      <w:pPr>
        <w:spacing w:line="360" w:lineRule="auto"/>
        <w:rPr>
          <w:rFonts w:ascii="Times New Roman" w:eastAsia="Times New Roman" w:hAnsi="Times New Roman" w:cs="Times New Roman"/>
        </w:rPr>
      </w:pPr>
    </w:p>
    <w:p w14:paraId="5C123B20" w14:textId="6EB5A0A4" w:rsidR="26780FEC" w:rsidRDefault="26780FEC" w:rsidP="7E4274EB">
      <w:pPr>
        <w:spacing w:line="360" w:lineRule="auto"/>
        <w:rPr>
          <w:rFonts w:ascii="Times New Roman" w:eastAsia="Times New Roman" w:hAnsi="Times New Roman" w:cs="Times New Roman"/>
        </w:rPr>
      </w:pPr>
    </w:p>
    <w:p w14:paraId="4FA4E18F" w14:textId="451396EE" w:rsidR="26780FEC" w:rsidRDefault="26780FEC" w:rsidP="7E4274EB">
      <w:pPr>
        <w:spacing w:line="360" w:lineRule="auto"/>
        <w:rPr>
          <w:rFonts w:ascii="Times New Roman" w:eastAsia="Times New Roman" w:hAnsi="Times New Roman" w:cs="Times New Roman"/>
        </w:rPr>
      </w:pPr>
    </w:p>
    <w:p w14:paraId="6B4C0FA8" w14:textId="44FA83CA" w:rsidR="26780FEC" w:rsidRDefault="26780FEC" w:rsidP="7E4274EB">
      <w:pPr>
        <w:spacing w:line="360" w:lineRule="auto"/>
        <w:rPr>
          <w:rFonts w:ascii="Times New Roman" w:eastAsia="Times New Roman" w:hAnsi="Times New Roman" w:cs="Times New Roman"/>
        </w:rPr>
      </w:pPr>
    </w:p>
    <w:p w14:paraId="15A42015" w14:textId="32E84046" w:rsidR="26780FEC" w:rsidRDefault="26780FEC" w:rsidP="7E4274EB">
      <w:pPr>
        <w:spacing w:line="360" w:lineRule="auto"/>
        <w:rPr>
          <w:rFonts w:ascii="Times New Roman" w:eastAsia="Times New Roman" w:hAnsi="Times New Roman" w:cs="Times New Roman"/>
        </w:rPr>
      </w:pPr>
    </w:p>
    <w:p w14:paraId="43B99159" w14:textId="123043C9" w:rsidR="26780FEC" w:rsidRDefault="26780FEC" w:rsidP="7E4274EB">
      <w:pPr>
        <w:spacing w:line="360" w:lineRule="auto"/>
        <w:rPr>
          <w:rFonts w:ascii="Times New Roman" w:eastAsia="Times New Roman" w:hAnsi="Times New Roman" w:cs="Times New Roman"/>
        </w:rPr>
      </w:pPr>
    </w:p>
    <w:p w14:paraId="08EFB98D" w14:textId="6E093332" w:rsidR="355AA4D3" w:rsidRDefault="355AA4D3"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lastRenderedPageBreak/>
        <w:t>AC 1.1 How can organisations strategically position themselves in competitive labour markets?</w:t>
      </w:r>
    </w:p>
    <w:p w14:paraId="17486B5C" w14:textId="33A8E686" w:rsidR="2915F105" w:rsidRDefault="2915F105"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To strategically position themselves in the labour market, organisations need to stay ahead of changes that may impact them. This can be achieved through horizon scanning using techniques such as SWOT or PESTLE to analysis key factors, external or internal, that may affect the business environment (Waite </w:t>
      </w:r>
      <w:r w:rsidRPr="7E4274EB">
        <w:rPr>
          <w:rFonts w:ascii="Times New Roman" w:eastAsia="Times New Roman" w:hAnsi="Times New Roman" w:cs="Times New Roman"/>
          <w:i/>
          <w:iCs/>
        </w:rPr>
        <w:t xml:space="preserve">et al., </w:t>
      </w:r>
      <w:r w:rsidRPr="7E4274EB">
        <w:rPr>
          <w:rFonts w:ascii="Times New Roman" w:eastAsia="Times New Roman" w:hAnsi="Times New Roman" w:cs="Times New Roman"/>
        </w:rPr>
        <w:t xml:space="preserve">2021). </w:t>
      </w:r>
    </w:p>
    <w:p w14:paraId="58850910" w14:textId="11205CAF" w:rsidR="2915F105" w:rsidRDefault="2915F105"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A good first step to determine what will give an organisation competitive advantage is to conduct a competitor analysis. This will give understanding as to what competitors are offering in terms of salary, benefits or development opportunities and allow organisations to strategically position themselves to stand out in the labour market (Taylor &amp; Woodhams, 2022). </w:t>
      </w:r>
      <w:r w:rsidR="569F81B1" w:rsidRPr="7E4274EB">
        <w:rPr>
          <w:rFonts w:ascii="Times New Roman" w:eastAsia="Times New Roman" w:hAnsi="Times New Roman" w:cs="Times New Roman"/>
        </w:rPr>
        <w:t xml:space="preserve">For example, paying at minimum, the real living wage for hourly paid employees </w:t>
      </w:r>
      <w:r w:rsidR="7B9DD276" w:rsidRPr="7E4274EB">
        <w:rPr>
          <w:rFonts w:ascii="Times New Roman" w:eastAsia="Times New Roman" w:hAnsi="Times New Roman" w:cs="Times New Roman"/>
        </w:rPr>
        <w:t xml:space="preserve">at my workplace </w:t>
      </w:r>
      <w:r w:rsidR="569F81B1" w:rsidRPr="7E4274EB">
        <w:rPr>
          <w:rFonts w:ascii="Times New Roman" w:eastAsia="Times New Roman" w:hAnsi="Times New Roman" w:cs="Times New Roman"/>
        </w:rPr>
        <w:t xml:space="preserve">has seen </w:t>
      </w:r>
      <w:r w:rsidR="67A93F87" w:rsidRPr="7E4274EB">
        <w:rPr>
          <w:rFonts w:ascii="Times New Roman" w:eastAsia="Times New Roman" w:hAnsi="Times New Roman" w:cs="Times New Roman"/>
        </w:rPr>
        <w:t xml:space="preserve">an increase in job interest </w:t>
      </w:r>
      <w:r w:rsidR="43B64B58" w:rsidRPr="7E4274EB">
        <w:rPr>
          <w:rFonts w:ascii="Times New Roman" w:eastAsia="Times New Roman" w:hAnsi="Times New Roman" w:cs="Times New Roman"/>
        </w:rPr>
        <w:t>and</w:t>
      </w:r>
      <w:r w:rsidR="67A93F87" w:rsidRPr="7E4274EB">
        <w:rPr>
          <w:rFonts w:ascii="Times New Roman" w:eastAsia="Times New Roman" w:hAnsi="Times New Roman" w:cs="Times New Roman"/>
        </w:rPr>
        <w:t xml:space="preserve"> ex-employees returning</w:t>
      </w:r>
      <w:r w:rsidR="722D92BF" w:rsidRPr="7E4274EB">
        <w:rPr>
          <w:rFonts w:ascii="Times New Roman" w:eastAsia="Times New Roman" w:hAnsi="Times New Roman" w:cs="Times New Roman"/>
        </w:rPr>
        <w:t>.</w:t>
      </w:r>
    </w:p>
    <w:p w14:paraId="205834AA" w14:textId="66626BD1" w:rsidR="2915F105" w:rsidRDefault="2915F105"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Aside from offering a competitive salary, people have become increasingly interested in corporate social responsibility and how organisations are supporting communities or environmental issues (Waite </w:t>
      </w:r>
      <w:r w:rsidRPr="7E4274EB">
        <w:rPr>
          <w:rFonts w:ascii="Times New Roman" w:eastAsia="Times New Roman" w:hAnsi="Times New Roman" w:cs="Times New Roman"/>
          <w:i/>
          <w:iCs/>
        </w:rPr>
        <w:t>et al.,</w:t>
      </w:r>
      <w:r w:rsidRPr="7E4274EB">
        <w:rPr>
          <w:rFonts w:ascii="Times New Roman" w:eastAsia="Times New Roman" w:hAnsi="Times New Roman" w:cs="Times New Roman"/>
        </w:rPr>
        <w:t xml:space="preserve"> 2021). This feeds into building a strong employer brand, which gives organisations competitive advantage to attract, recruit and retain the best talent (Peters, 2023). The CIPD (2022a) found perception of the employer to be one of the most important aspects of employer brand therefore, its important the brand reflects the reality of working for the organisation to avoid disappointment for new employees which can be damaging to reputation (Taylor &amp; Woodhams, 2022).</w:t>
      </w:r>
    </w:p>
    <w:p w14:paraId="0270B013" w14:textId="2756BD59" w:rsidR="2915F105" w:rsidRDefault="2915F105"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Organisations may also strive to achieve ‘employer of choice’ status by paying people well and treating people positively which is perceived as the optional strategic aim and invaluable for talent management in tight labour markets (Taylor &amp; Woodhams, 2022).</w:t>
      </w:r>
    </w:p>
    <w:p w14:paraId="7786A566" w14:textId="1CDCBE83" w:rsidR="7E4274EB" w:rsidRDefault="7E4274EB" w:rsidP="7E4274EB">
      <w:pPr>
        <w:pStyle w:val="Nornal"/>
        <w:spacing w:line="360" w:lineRule="auto"/>
        <w:rPr>
          <w:rFonts w:ascii="Times New Roman" w:eastAsia="Times New Roman" w:hAnsi="Times New Roman" w:cs="Times New Roman"/>
          <w:b/>
          <w:bCs/>
          <w:color w:val="000000" w:themeColor="text1"/>
          <w:sz w:val="24"/>
          <w:szCs w:val="24"/>
        </w:rPr>
      </w:pPr>
    </w:p>
    <w:p w14:paraId="549C5492" w14:textId="0A30593A" w:rsidR="355AA4D3" w:rsidRDefault="03DC53E8" w:rsidP="7E4274EB">
      <w:pPr>
        <w:pStyle w:val="Nornal"/>
        <w:spacing w:line="360" w:lineRule="auto"/>
        <w:rPr>
          <w:rFonts w:ascii="Times New Roman" w:eastAsia="Times New Roman" w:hAnsi="Times New Roman" w:cs="Times New Roman"/>
          <w:b/>
          <w:bCs/>
          <w:color w:val="000000" w:themeColor="text1"/>
          <w:sz w:val="24"/>
          <w:szCs w:val="24"/>
        </w:rPr>
      </w:pPr>
      <w:r w:rsidRPr="7E4274EB">
        <w:rPr>
          <w:rFonts w:ascii="Times New Roman" w:eastAsia="Times New Roman" w:hAnsi="Times New Roman" w:cs="Times New Roman"/>
          <w:b/>
          <w:bCs/>
          <w:color w:val="000000" w:themeColor="text1"/>
          <w:sz w:val="24"/>
          <w:szCs w:val="24"/>
        </w:rPr>
        <w:t>AC 1.2 What is the impact of changing labour market conditions on resourcing decisions?</w:t>
      </w:r>
    </w:p>
    <w:p w14:paraId="50787CAC" w14:textId="621EAC31" w:rsidR="3D189C10" w:rsidRDefault="3D189C10"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A changing labour market, whether that be ‘tight’ or ‘loose’, affects an organisation's ability to recruit and</w:t>
      </w:r>
      <w:r w:rsidR="05567175" w:rsidRPr="7E4274EB">
        <w:rPr>
          <w:rFonts w:ascii="Times New Roman" w:eastAsia="Times New Roman" w:hAnsi="Times New Roman" w:cs="Times New Roman"/>
        </w:rPr>
        <w:t xml:space="preserve"> </w:t>
      </w:r>
      <w:r w:rsidRPr="7E4274EB">
        <w:rPr>
          <w:rFonts w:ascii="Times New Roman" w:eastAsia="Times New Roman" w:hAnsi="Times New Roman" w:cs="Times New Roman"/>
        </w:rPr>
        <w:t xml:space="preserve">influences resourcing decisions. In a tight labour market, there are more job </w:t>
      </w:r>
      <w:r w:rsidRPr="7E4274EB">
        <w:rPr>
          <w:rFonts w:ascii="Times New Roman" w:eastAsia="Times New Roman" w:hAnsi="Times New Roman" w:cs="Times New Roman"/>
        </w:rPr>
        <w:lastRenderedPageBreak/>
        <w:t xml:space="preserve">opportunities than job seekers and in a loose labour market there are more job seekers than job opportunities (Taylor &amp; Woodhams, 2022). </w:t>
      </w:r>
    </w:p>
    <w:p w14:paraId="3C3C9B86" w14:textId="54119C64" w:rsidR="3D189C10" w:rsidRDefault="3D189C10"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Changes in the labour market can be influenced by demographic changes in the population, legislative changes such as limits on working hours driving need for more employees, or fast economic growth trends leading to skills shortages. Skills shortages are often a feature of tight labour markets which makes it difficult for organisations to recruit the right people, with the right skills, at the right time. Organisations may look at upskilling their current workforce by investing in training and development opportunities or work closely with local education centres to increase the number of people with relevant skills </w:t>
      </w:r>
      <w:r w:rsidR="221B1D32" w:rsidRPr="7E4274EB">
        <w:rPr>
          <w:rFonts w:ascii="Times New Roman" w:eastAsia="Times New Roman" w:hAnsi="Times New Roman" w:cs="Times New Roman"/>
        </w:rPr>
        <w:t>for</w:t>
      </w:r>
      <w:r w:rsidRPr="7E4274EB">
        <w:rPr>
          <w:rFonts w:ascii="Times New Roman" w:eastAsia="Times New Roman" w:hAnsi="Times New Roman" w:cs="Times New Roman"/>
        </w:rPr>
        <w:t xml:space="preserve"> the future (Taylor &amp; Woodhams, 2022).</w:t>
      </w:r>
    </w:p>
    <w:p w14:paraId="04FCCFA4" w14:textId="5A30ED5D" w:rsidR="3D189C10" w:rsidRDefault="0233EAD2"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E</w:t>
      </w:r>
      <w:r w:rsidR="3D189C10" w:rsidRPr="7E4274EB">
        <w:rPr>
          <w:rFonts w:ascii="Times New Roman" w:eastAsia="Times New Roman" w:hAnsi="Times New Roman" w:cs="Times New Roman"/>
        </w:rPr>
        <w:t>mployment rates in the current market have fallen and therefore vacancy numbers are high</w:t>
      </w:r>
      <w:r w:rsidR="76B057B2" w:rsidRPr="7E4274EB">
        <w:rPr>
          <w:rFonts w:ascii="Times New Roman" w:eastAsia="Times New Roman" w:hAnsi="Times New Roman" w:cs="Times New Roman"/>
        </w:rPr>
        <w:t>,</w:t>
      </w:r>
      <w:r w:rsidR="3D189C10" w:rsidRPr="7E4274EB">
        <w:rPr>
          <w:rFonts w:ascii="Times New Roman" w:eastAsia="Times New Roman" w:hAnsi="Times New Roman" w:cs="Times New Roman"/>
        </w:rPr>
        <w:t xml:space="preserve"> with 37% of employers having hard to fill vacancies</w:t>
      </w:r>
      <w:r w:rsidR="414BEE13" w:rsidRPr="7E4274EB">
        <w:rPr>
          <w:rFonts w:ascii="Times New Roman" w:eastAsia="Times New Roman" w:hAnsi="Times New Roman" w:cs="Times New Roman"/>
        </w:rPr>
        <w:t xml:space="preserve"> (CIPD, 2024)</w:t>
      </w:r>
      <w:r w:rsidR="3D189C10" w:rsidRPr="7E4274EB">
        <w:rPr>
          <w:rFonts w:ascii="Times New Roman" w:eastAsia="Times New Roman" w:hAnsi="Times New Roman" w:cs="Times New Roman"/>
        </w:rPr>
        <w:t>. These situations may influence an organisation to think more strategically about their employer branding, retention strategies or recruitment. Upskilling existing employees, increasing their duties and raising wages have been the most common employer responses to hard to fill vacancies (CIPD, 2024). Organisations may look at reorganisation of the workforce by changing the way jobs are allocated to reduce the recruitment need for hard to fill staff (Taylor &amp; Woodhams, 2022).</w:t>
      </w:r>
    </w:p>
    <w:p w14:paraId="683B38A3" w14:textId="71AFF6E5" w:rsidR="7E4274EB" w:rsidRDefault="7E4274EB" w:rsidP="7E4274EB">
      <w:pPr>
        <w:pStyle w:val="Nornal"/>
        <w:spacing w:line="360" w:lineRule="auto"/>
        <w:rPr>
          <w:rFonts w:ascii="Times New Roman" w:eastAsia="Times New Roman" w:hAnsi="Times New Roman" w:cs="Times New Roman"/>
          <w:b/>
          <w:bCs/>
          <w:color w:val="000000" w:themeColor="text1"/>
          <w:sz w:val="24"/>
          <w:szCs w:val="24"/>
        </w:rPr>
      </w:pPr>
    </w:p>
    <w:p w14:paraId="6C5DA25D" w14:textId="2DF7040A" w:rsidR="355AA4D3" w:rsidRDefault="03DC53E8" w:rsidP="7E4274EB">
      <w:pPr>
        <w:pStyle w:val="Nornal"/>
        <w:spacing w:line="360" w:lineRule="auto"/>
        <w:rPr>
          <w:rFonts w:ascii="Times New Roman" w:eastAsia="Times New Roman" w:hAnsi="Times New Roman" w:cs="Times New Roman"/>
          <w:b/>
          <w:bCs/>
          <w:color w:val="000000" w:themeColor="text1"/>
          <w:sz w:val="24"/>
          <w:szCs w:val="24"/>
        </w:rPr>
      </w:pPr>
      <w:r w:rsidRPr="7E4274EB">
        <w:rPr>
          <w:rFonts w:ascii="Times New Roman" w:eastAsia="Times New Roman" w:hAnsi="Times New Roman" w:cs="Times New Roman"/>
          <w:b/>
          <w:bCs/>
          <w:color w:val="000000" w:themeColor="text1"/>
          <w:sz w:val="24"/>
          <w:szCs w:val="24"/>
        </w:rPr>
        <w:t xml:space="preserve">AC 1.3 What is the role of government, employers and trade unions in ensuring future skills needs are met? </w:t>
      </w:r>
    </w:p>
    <w:p w14:paraId="1058B48F" w14:textId="391DB805" w:rsidR="39131066" w:rsidRDefault="39131066"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The government play a role in identifying skills gaps through assessment and analysis of adult skills (OECD, no date) and ensure future skills are met through development and implementation of policies and standards. The</w:t>
      </w:r>
      <w:r w:rsidRPr="7E4274EB">
        <w:rPr>
          <w:rFonts w:ascii="Times New Roman" w:eastAsia="Times New Roman" w:hAnsi="Times New Roman" w:cs="Times New Roman"/>
          <w:i/>
          <w:iCs/>
        </w:rPr>
        <w:t xml:space="preserve"> Skills and Post-16 Education Act 2022 </w:t>
      </w:r>
      <w:r w:rsidRPr="7E4274EB">
        <w:rPr>
          <w:rFonts w:ascii="Times New Roman" w:eastAsia="Times New Roman" w:hAnsi="Times New Roman" w:cs="Times New Roman"/>
        </w:rPr>
        <w:t xml:space="preserve">aims to ensure people have access to training and chance to develop the right skills to fill skills gaps with emphasis on reforming the vocational and technical education systems. The Government also provides financial support and resources. For example, part of the Skills Act is transformation of the student loans system to support those in higher education at any point in life (UK Government, 2022). </w:t>
      </w:r>
    </w:p>
    <w:p w14:paraId="0DA8BB3E" w14:textId="661337C9" w:rsidR="39131066" w:rsidRDefault="39131066"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Furthermore, employers play an important role in implementing quality apprenticeships and vocational education (Crowley, 2023). According to the UK Government (2022), employers </w:t>
      </w:r>
      <w:r w:rsidRPr="7E4274EB">
        <w:rPr>
          <w:rFonts w:ascii="Times New Roman" w:eastAsia="Times New Roman" w:hAnsi="Times New Roman" w:cs="Times New Roman"/>
        </w:rPr>
        <w:lastRenderedPageBreak/>
        <w:t xml:space="preserve">across the country have been working with training providers to develop skills plans that align with community needs and provide opportunities to develop skills for individual and business success. By collaborating with educational centres employers can help shape learning and prepare young people for work (CIPD, 2022b). Aside from providing inhouse-development programmes and coaching, employers need to recognise the importance of embedding and encouraging a learning culture to ensure future skills needs are met (Crowley, 2023). </w:t>
      </w:r>
    </w:p>
    <w:p w14:paraId="2C8A79F5" w14:textId="0FD09D60" w:rsidR="39131066" w:rsidRDefault="39131066"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Union led agendas play a role in improving access to learning and training. Since the establishment of the Union learning fund in 1998, union learning reps have supported nearly 250,000 learners, provided advice and guidance sessions to support career development </w:t>
      </w:r>
      <w:r w:rsidR="07569451" w:rsidRPr="7E4274EB">
        <w:rPr>
          <w:rFonts w:ascii="Times New Roman" w:eastAsia="Times New Roman" w:hAnsi="Times New Roman" w:cs="Times New Roman"/>
        </w:rPr>
        <w:t>which helps</w:t>
      </w:r>
      <w:r w:rsidRPr="7E4274EB">
        <w:rPr>
          <w:rFonts w:ascii="Times New Roman" w:eastAsia="Times New Roman" w:hAnsi="Times New Roman" w:cs="Times New Roman"/>
        </w:rPr>
        <w:t xml:space="preserve"> employers by ensuring workforce</w:t>
      </w:r>
      <w:r w:rsidR="1B1C2BB3" w:rsidRPr="7E4274EB">
        <w:rPr>
          <w:rFonts w:ascii="Times New Roman" w:eastAsia="Times New Roman" w:hAnsi="Times New Roman" w:cs="Times New Roman"/>
        </w:rPr>
        <w:t>s</w:t>
      </w:r>
      <w:r w:rsidRPr="7E4274EB">
        <w:rPr>
          <w:rFonts w:ascii="Times New Roman" w:eastAsia="Times New Roman" w:hAnsi="Times New Roman" w:cs="Times New Roman"/>
        </w:rPr>
        <w:t xml:space="preserve"> ha</w:t>
      </w:r>
      <w:r w:rsidR="3352E6C5" w:rsidRPr="7E4274EB">
        <w:rPr>
          <w:rFonts w:ascii="Times New Roman" w:eastAsia="Times New Roman" w:hAnsi="Times New Roman" w:cs="Times New Roman"/>
        </w:rPr>
        <w:t>ve</w:t>
      </w:r>
      <w:r w:rsidRPr="7E4274EB">
        <w:rPr>
          <w:rFonts w:ascii="Times New Roman" w:eastAsia="Times New Roman" w:hAnsi="Times New Roman" w:cs="Times New Roman"/>
        </w:rPr>
        <w:t xml:space="preserve"> training and support required to meet future needs. Union learning has been found to be effective at encouraging lifelong learning leading to acquisition of higher-level qualifications therefore, increasing likeness of employment (TUC, no date).</w:t>
      </w:r>
    </w:p>
    <w:p w14:paraId="4E836F83" w14:textId="6E9BEEAE" w:rsidR="4327A5DB" w:rsidRDefault="4327A5DB" w:rsidP="7E4274EB">
      <w:pPr>
        <w:pStyle w:val="Nornal"/>
        <w:spacing w:line="360" w:lineRule="auto"/>
        <w:rPr>
          <w:rFonts w:ascii="Times New Roman" w:eastAsia="Times New Roman" w:hAnsi="Times New Roman" w:cs="Times New Roman"/>
          <w:b/>
          <w:bCs/>
          <w:color w:val="000000" w:themeColor="text1"/>
          <w:sz w:val="24"/>
          <w:szCs w:val="24"/>
        </w:rPr>
      </w:pPr>
    </w:p>
    <w:p w14:paraId="6C4229C8" w14:textId="3F2A017B" w:rsidR="355AA4D3" w:rsidRDefault="355AA4D3"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t xml:space="preserve">AC 2.1 I am new to people practice and have heard that workforce planning is important. Before I try to convince others of this, I welcome the views of someone with more experience. Could you analyse the impact of effective workforce planning? </w:t>
      </w:r>
    </w:p>
    <w:p w14:paraId="78A8A67E" w14:textId="40D8CF69" w:rsidR="4B7AFB9B" w:rsidRDefault="4B7AFB9B"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‘Workforce planning is the process of balancing labour supply (skills) against the demand (numbers needed)’ (George, 2023). It helps organisations ensure they have the right people with the right skills, in the right place at the right time to meet strategic objectives. Soft workforce planning is about people and focused on factors such as productivity, culture and high-performance working</w:t>
      </w:r>
      <w:r w:rsidR="7C6B4F0C" w:rsidRPr="7E4274EB">
        <w:rPr>
          <w:rFonts w:ascii="Times New Roman" w:eastAsia="Times New Roman" w:hAnsi="Times New Roman" w:cs="Times New Roman"/>
        </w:rPr>
        <w:t xml:space="preserve"> </w:t>
      </w:r>
      <w:r w:rsidRPr="7E4274EB">
        <w:rPr>
          <w:rFonts w:ascii="Times New Roman" w:eastAsia="Times New Roman" w:hAnsi="Times New Roman" w:cs="Times New Roman"/>
        </w:rPr>
        <w:t xml:space="preserve">(Armstrong &amp; Taylor, 2023) whereas hard workforce planning focuses on the numbers, ‘predicting how many people with what skills are likely to be needed’ (George, 2023). </w:t>
      </w:r>
    </w:p>
    <w:p w14:paraId="5927A168" w14:textId="642A60F4" w:rsidR="4B7AFB9B" w:rsidRDefault="4B7AFB9B"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Predicting requirements needed to meet immediate and future needs helps align HR practices such as recruitment and selection, job design, talent management and retention planning with organisational objectives. </w:t>
      </w:r>
    </w:p>
    <w:p w14:paraId="17402A76" w14:textId="051F7F10" w:rsidR="4B7AFB9B" w:rsidRDefault="4B7AFB9B"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Having the right skills, in the right place can increase productivity and organisational efficiency. By forecasting demand against supply, organisations can identify skills gaps and be more </w:t>
      </w:r>
      <w:r w:rsidRPr="7E4274EB">
        <w:rPr>
          <w:rFonts w:ascii="Times New Roman" w:eastAsia="Times New Roman" w:hAnsi="Times New Roman" w:cs="Times New Roman"/>
        </w:rPr>
        <w:lastRenderedPageBreak/>
        <w:t>proactive in addressing them through development and training of existing staff to increase retention of valued people or</w:t>
      </w:r>
      <w:r w:rsidR="7EB41FAD" w:rsidRPr="7E4274EB">
        <w:rPr>
          <w:rFonts w:ascii="Times New Roman" w:eastAsia="Times New Roman" w:hAnsi="Times New Roman" w:cs="Times New Roman"/>
        </w:rPr>
        <w:t>,</w:t>
      </w:r>
      <w:r w:rsidRPr="7E4274EB">
        <w:rPr>
          <w:rFonts w:ascii="Times New Roman" w:eastAsia="Times New Roman" w:hAnsi="Times New Roman" w:cs="Times New Roman"/>
        </w:rPr>
        <w:t xml:space="preserve"> removal of individuals whose skills do not meet future needs (Taylor &amp; Woodhams, 2022). This can help reduce unnecessary labour costs and unnecessary recruitment (George, 2023). </w:t>
      </w:r>
    </w:p>
    <w:p w14:paraId="6CDAA27D" w14:textId="15ABDE0C" w:rsidR="4B7AFB9B" w:rsidRDefault="4B7AFB9B"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By identifying obstacles that may hinder strategic objectives being achieved, workforce planning can also help organisations be more responsive and resilient to change, helping mitigate risks related to staffing and skills shortages (George, 2023). Predicting change and its impact in the future can present challenges (Armstong &amp; Taylor, 2023) however, if it's done effectively organisations can benefit from reduced labour costs, sustainable organisational performance and increased productivity.</w:t>
      </w:r>
    </w:p>
    <w:p w14:paraId="142E675B" w14:textId="1E6FE974" w:rsidR="26780FEC" w:rsidRDefault="26780FEC" w:rsidP="7E4274EB">
      <w:pPr>
        <w:pStyle w:val="Nornal"/>
        <w:spacing w:line="360" w:lineRule="auto"/>
        <w:rPr>
          <w:rFonts w:ascii="Times New Roman" w:eastAsia="Times New Roman" w:hAnsi="Times New Roman" w:cs="Times New Roman"/>
          <w:b/>
          <w:bCs/>
          <w:color w:val="000000" w:themeColor="text1"/>
          <w:sz w:val="24"/>
          <w:szCs w:val="24"/>
        </w:rPr>
      </w:pPr>
    </w:p>
    <w:p w14:paraId="1C496EB4" w14:textId="62715B1C" w:rsidR="355AA4D3" w:rsidRDefault="355AA4D3" w:rsidP="7E4274EB">
      <w:pPr>
        <w:pStyle w:val="Nornal"/>
        <w:spacing w:line="360" w:lineRule="auto"/>
        <w:rPr>
          <w:rFonts w:ascii="Times New Roman" w:eastAsia="Times New Roman" w:hAnsi="Times New Roman" w:cs="Times New Roman"/>
          <w:b/>
          <w:bCs/>
          <w:color w:val="000000" w:themeColor="text1"/>
          <w:sz w:val="24"/>
          <w:szCs w:val="24"/>
        </w:rPr>
      </w:pPr>
      <w:r w:rsidRPr="7E4274EB">
        <w:rPr>
          <w:rFonts w:ascii="Times New Roman" w:eastAsia="Times New Roman" w:hAnsi="Times New Roman" w:cs="Times New Roman"/>
          <w:b/>
          <w:bCs/>
          <w:color w:val="000000" w:themeColor="text1"/>
          <w:sz w:val="24"/>
          <w:szCs w:val="24"/>
        </w:rPr>
        <w:t xml:space="preserve">AC 2.2 I want to introduce workforce planning in my organisation but I’m unsure which technique/s to use. Could you evaluate the techniques used to support the process of workforce planning? </w:t>
      </w:r>
    </w:p>
    <w:p w14:paraId="5238A706" w14:textId="7E50D70A" w:rsidR="77CBD166" w:rsidRDefault="77CBD166"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lang w:val="en-US"/>
        </w:rPr>
        <w:t xml:space="preserve">Techniques used for demand forecasting include systematic techniques such as using past trends to predict future trends, working back from costs by using future budgets to establish how many employees can be afforded and managerial judgement which is based on senior management knowledge and experience of the business and industry (Taylor &amp; Woodhams, 2022). This may either be done by a ‘bottom-up’ or ‘top down’ approach however, judgements may vary between levels of management therefore, Armstrong &amp; Taylor (2023) recommend a combination of both methods as the best approach. </w:t>
      </w:r>
    </w:p>
    <w:p w14:paraId="20F908CB" w14:textId="3F342508" w:rsidR="77CBD166" w:rsidRDefault="77CBD166"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lang w:val="en-US"/>
        </w:rPr>
        <w:t>Predicting demand can be challenging as it will be affected by external factors. Scenario planning can help mitigate risks by looking at alternative views for the future, however, it cannot predict what will happen (CIPD, 2023a).</w:t>
      </w:r>
    </w:p>
    <w:p w14:paraId="722A1A10" w14:textId="3469BC95" w:rsidR="77CBD166" w:rsidRDefault="77CBD166"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lang w:val="en-US"/>
        </w:rPr>
        <w:t xml:space="preserve">To forecast supply, </w:t>
      </w:r>
      <w:proofErr w:type="spellStart"/>
      <w:r w:rsidRPr="7E4274EB">
        <w:rPr>
          <w:rFonts w:ascii="Times New Roman" w:eastAsia="Times New Roman" w:hAnsi="Times New Roman" w:cs="Times New Roman"/>
          <w:lang w:val="en-US"/>
        </w:rPr>
        <w:t>organisations</w:t>
      </w:r>
      <w:proofErr w:type="spellEnd"/>
      <w:r w:rsidRPr="7E4274EB">
        <w:rPr>
          <w:rFonts w:ascii="Times New Roman" w:eastAsia="Times New Roman" w:hAnsi="Times New Roman" w:cs="Times New Roman"/>
          <w:lang w:val="en-US"/>
        </w:rPr>
        <w:t xml:space="preserve"> must understand the current workforce. This can be done by establishing the number of employees, total wage cost and workforce composition before identifying what skills are available by reviewing capabilities and performance data. Employee turnover and retention rates can</w:t>
      </w:r>
      <w:r w:rsidR="4862C8F6" w:rsidRPr="7E4274EB">
        <w:rPr>
          <w:rFonts w:ascii="Times New Roman" w:eastAsia="Times New Roman" w:hAnsi="Times New Roman" w:cs="Times New Roman"/>
          <w:lang w:val="en-US"/>
        </w:rPr>
        <w:t xml:space="preserve"> also</w:t>
      </w:r>
      <w:r w:rsidRPr="7E4274EB">
        <w:rPr>
          <w:rFonts w:ascii="Times New Roman" w:eastAsia="Times New Roman" w:hAnsi="Times New Roman" w:cs="Times New Roman"/>
          <w:lang w:val="en-US"/>
        </w:rPr>
        <w:t xml:space="preserve"> be used as an indicator of how many employees are likely to be employed in the future (Taylor &amp; Woodhams, 2022). The effectiveness of forecasting supply </w:t>
      </w:r>
      <w:r w:rsidRPr="7E4274EB">
        <w:rPr>
          <w:rFonts w:ascii="Times New Roman" w:eastAsia="Times New Roman" w:hAnsi="Times New Roman" w:cs="Times New Roman"/>
          <w:lang w:val="en-US"/>
        </w:rPr>
        <w:lastRenderedPageBreak/>
        <w:t xml:space="preserve">will depend upon the reliability and quality of the data available so </w:t>
      </w:r>
      <w:proofErr w:type="spellStart"/>
      <w:r w:rsidRPr="7E4274EB">
        <w:rPr>
          <w:rFonts w:ascii="Times New Roman" w:eastAsia="Times New Roman" w:hAnsi="Times New Roman" w:cs="Times New Roman"/>
          <w:lang w:val="en-US"/>
        </w:rPr>
        <w:t>organisations</w:t>
      </w:r>
      <w:proofErr w:type="spellEnd"/>
      <w:r w:rsidRPr="7E4274EB">
        <w:rPr>
          <w:rFonts w:ascii="Times New Roman" w:eastAsia="Times New Roman" w:hAnsi="Times New Roman" w:cs="Times New Roman"/>
          <w:lang w:val="en-US"/>
        </w:rPr>
        <w:t xml:space="preserve"> ‘need to understand the risks when making assumptions based on the credibility of the data' (CIPD, 2023a).</w:t>
      </w:r>
      <w:r w:rsidR="6F0AA1AD" w:rsidRPr="7E4274EB">
        <w:rPr>
          <w:rFonts w:ascii="Times New Roman" w:eastAsia="Times New Roman" w:hAnsi="Times New Roman" w:cs="Times New Roman"/>
          <w:lang w:val="en-US"/>
        </w:rPr>
        <w:t xml:space="preserve"> </w:t>
      </w:r>
      <w:r w:rsidRPr="7E4274EB">
        <w:rPr>
          <w:rFonts w:ascii="Times New Roman" w:eastAsia="Times New Roman" w:hAnsi="Times New Roman" w:cs="Times New Roman"/>
          <w:lang w:val="en-US"/>
        </w:rPr>
        <w:t>Gap analysis can then be conducted to identify gaps between supply and demand, identify priorities and inform action plans (CIPD, 2023a).</w:t>
      </w:r>
    </w:p>
    <w:p w14:paraId="0DB25D22" w14:textId="2CB4C6ED" w:rsidR="7E4274EB" w:rsidRDefault="7E4274EB" w:rsidP="7E4274EB">
      <w:pPr>
        <w:pStyle w:val="Nornal"/>
        <w:spacing w:line="360" w:lineRule="auto"/>
        <w:rPr>
          <w:rFonts w:ascii="Times New Roman" w:eastAsia="Times New Roman" w:hAnsi="Times New Roman" w:cs="Times New Roman"/>
          <w:b/>
          <w:bCs/>
          <w:color w:val="000000" w:themeColor="text1"/>
          <w:sz w:val="24"/>
          <w:szCs w:val="24"/>
        </w:rPr>
      </w:pPr>
    </w:p>
    <w:p w14:paraId="4D0A3ADE" w14:textId="2111FE09" w:rsidR="355AA4D3" w:rsidRDefault="77CBD166"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t>A</w:t>
      </w:r>
      <w:r w:rsidR="355AA4D3" w:rsidRPr="7E4274EB">
        <w:rPr>
          <w:rFonts w:ascii="Times New Roman" w:eastAsia="Times New Roman" w:hAnsi="Times New Roman" w:cs="Times New Roman"/>
          <w:b/>
          <w:bCs/>
          <w:color w:val="000000" w:themeColor="text1"/>
          <w:sz w:val="24"/>
          <w:szCs w:val="24"/>
        </w:rPr>
        <w:t xml:space="preserve">C 2.3 Could you explain two approaches to succession and contingency planning aimed at mitigating workforce risks? </w:t>
      </w:r>
    </w:p>
    <w:p w14:paraId="669E5D30" w14:textId="17E464B8" w:rsidR="5B8E9B8E" w:rsidRDefault="5B8E9B8E"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 xml:space="preserve">Succession planning focuses on identifying and developing talent to ensure an organisation has people with the right skills, knowledge and ability to fulfil critical roles to enhance business continuity (George, 2024). </w:t>
      </w:r>
    </w:p>
    <w:p w14:paraId="7A0B5E23" w14:textId="4DD1F8DF" w:rsidR="5B8E9B8E" w:rsidRDefault="5B8E9B8E"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Traditionally succession planning focused on the most senior roles in an organisation, aimed at mitigating risk of fulfilling a vacant position with someone internally who is not prepared or someone externally with lack of organisational knowledge and understanding required (Taylor &amp; Woodhams, 2022). Previous approaches to succession planning have been of confidential nature, aimed at targeting specific individuals for specific roles with focus on lateral moves or secondments for proactive development. Succession planning of internal employees is an advantage at senior level, as they will understand organisational culture however, this needs to be balanced with new perspectives and ideas external candidates can bring (George, 2024).</w:t>
      </w:r>
    </w:p>
    <w:p w14:paraId="6F3BD465" w14:textId="363A0D9E" w:rsidR="5B8E9B8E" w:rsidRDefault="5B8E9B8E"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Progressive organisations now take a</w:t>
      </w:r>
      <w:r w:rsidR="20E3F8BD" w:rsidRPr="7E4274EB">
        <w:rPr>
          <w:rFonts w:ascii="Times New Roman" w:eastAsia="Times New Roman" w:hAnsi="Times New Roman" w:cs="Times New Roman"/>
          <w:color w:val="000000" w:themeColor="text1"/>
        </w:rPr>
        <w:t xml:space="preserve"> more</w:t>
      </w:r>
      <w:r w:rsidRPr="7E4274EB">
        <w:rPr>
          <w:rFonts w:ascii="Times New Roman" w:eastAsia="Times New Roman" w:hAnsi="Times New Roman" w:cs="Times New Roman"/>
          <w:color w:val="000000" w:themeColor="text1"/>
        </w:rPr>
        <w:t xml:space="preserve"> inclusive whole workforce approach to succession planning which not only looks at senior roles but critical roles at all levels. Organisations have started to take a more generic approach which focuses on identifying groups of jobs and developing pools of individuals with skills capable of filling a variety of roles which provides organisations with a broader, more robust contingency plan (George, 2024). This modern approach to succession planning takes a much more open and inclusive form with the use of appraisals (discussed in AC</w:t>
      </w:r>
      <w:r w:rsidR="7009FCCE" w:rsidRPr="7E4274EB">
        <w:rPr>
          <w:rFonts w:ascii="Times New Roman" w:eastAsia="Times New Roman" w:hAnsi="Times New Roman" w:cs="Times New Roman"/>
          <w:color w:val="000000" w:themeColor="text1"/>
        </w:rPr>
        <w:t xml:space="preserve"> </w:t>
      </w:r>
      <w:r w:rsidRPr="7E4274EB">
        <w:rPr>
          <w:rFonts w:ascii="Times New Roman" w:eastAsia="Times New Roman" w:hAnsi="Times New Roman" w:cs="Times New Roman"/>
          <w:color w:val="000000" w:themeColor="text1"/>
        </w:rPr>
        <w:t xml:space="preserve">3.3) being </w:t>
      </w:r>
      <w:proofErr w:type="spellStart"/>
      <w:r w:rsidRPr="7E4274EB">
        <w:rPr>
          <w:rFonts w:ascii="Times New Roman" w:eastAsia="Times New Roman" w:hAnsi="Times New Roman" w:cs="Times New Roman"/>
          <w:color w:val="000000" w:themeColor="text1"/>
        </w:rPr>
        <w:t>cental</w:t>
      </w:r>
      <w:proofErr w:type="spellEnd"/>
      <w:r w:rsidRPr="7E4274EB">
        <w:rPr>
          <w:rFonts w:ascii="Times New Roman" w:eastAsia="Times New Roman" w:hAnsi="Times New Roman" w:cs="Times New Roman"/>
          <w:color w:val="000000" w:themeColor="text1"/>
        </w:rPr>
        <w:t xml:space="preserve"> to the process </w:t>
      </w:r>
      <w:r w:rsidR="5693D094" w:rsidRPr="7E4274EB">
        <w:rPr>
          <w:rFonts w:ascii="Times New Roman" w:eastAsia="Times New Roman" w:hAnsi="Times New Roman" w:cs="Times New Roman"/>
          <w:color w:val="000000" w:themeColor="text1"/>
        </w:rPr>
        <w:t>and</w:t>
      </w:r>
      <w:r w:rsidRPr="7E4274EB">
        <w:rPr>
          <w:rFonts w:ascii="Times New Roman" w:eastAsia="Times New Roman" w:hAnsi="Times New Roman" w:cs="Times New Roman"/>
          <w:color w:val="000000" w:themeColor="text1"/>
        </w:rPr>
        <w:t xml:space="preserve"> individuals taking control of their own careers (Taylor &amp; Woodhams, 2022).</w:t>
      </w:r>
    </w:p>
    <w:p w14:paraId="27226C29" w14:textId="546FB218" w:rsidR="7E4274EB" w:rsidRDefault="7E4274EB" w:rsidP="7E4274EB">
      <w:pPr>
        <w:pStyle w:val="Nornal"/>
        <w:spacing w:line="360" w:lineRule="auto"/>
        <w:rPr>
          <w:rFonts w:ascii="Times New Roman" w:eastAsia="Times New Roman" w:hAnsi="Times New Roman" w:cs="Times New Roman"/>
          <w:b/>
          <w:bCs/>
          <w:color w:val="000000" w:themeColor="text1"/>
          <w:sz w:val="24"/>
          <w:szCs w:val="24"/>
        </w:rPr>
      </w:pPr>
    </w:p>
    <w:p w14:paraId="23995965" w14:textId="56965A38" w:rsidR="2B289AC6" w:rsidRDefault="03DC53E8" w:rsidP="7E4274EB">
      <w:pPr>
        <w:pStyle w:val="Nornal"/>
        <w:spacing w:line="360" w:lineRule="auto"/>
        <w:rPr>
          <w:rFonts w:ascii="Times New Roman" w:eastAsia="Times New Roman" w:hAnsi="Times New Roman" w:cs="Times New Roman"/>
          <w:color w:val="333333"/>
          <w:sz w:val="24"/>
          <w:szCs w:val="24"/>
        </w:rPr>
      </w:pPr>
      <w:r w:rsidRPr="7E4274EB">
        <w:rPr>
          <w:rFonts w:ascii="Times New Roman" w:eastAsia="Times New Roman" w:hAnsi="Times New Roman" w:cs="Times New Roman"/>
          <w:b/>
          <w:bCs/>
          <w:color w:val="000000" w:themeColor="text1"/>
          <w:sz w:val="24"/>
          <w:szCs w:val="24"/>
        </w:rPr>
        <w:lastRenderedPageBreak/>
        <w:t xml:space="preserve">AC 2.4 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w:t>
      </w:r>
    </w:p>
    <w:p w14:paraId="38F12B39" w14:textId="69322972" w:rsidR="2B289AC6" w:rsidRDefault="311CABF8" w:rsidP="7E4274EB">
      <w:pPr>
        <w:pStyle w:val="Nornal"/>
        <w:spacing w:line="360" w:lineRule="auto"/>
        <w:rPr>
          <w:rFonts w:ascii="Times New Roman" w:eastAsia="Times New Roman" w:hAnsi="Times New Roman" w:cs="Times New Roman"/>
          <w:color w:val="333333"/>
          <w:sz w:val="24"/>
          <w:szCs w:val="24"/>
          <w:lang w:val="en-US"/>
        </w:rPr>
      </w:pPr>
      <w:r w:rsidRPr="7E4274EB">
        <w:rPr>
          <w:rFonts w:ascii="Times New Roman" w:eastAsia="Times New Roman" w:hAnsi="Times New Roman" w:cs="Times New Roman"/>
          <w:color w:val="333333"/>
          <w:sz w:val="24"/>
          <w:szCs w:val="24"/>
        </w:rPr>
        <w:t>T</w:t>
      </w:r>
      <w:r w:rsidR="2B289AC6" w:rsidRPr="7E4274EB">
        <w:rPr>
          <w:rFonts w:ascii="Times New Roman" w:eastAsia="Times New Roman" w:hAnsi="Times New Roman" w:cs="Times New Roman"/>
          <w:color w:val="333333"/>
          <w:sz w:val="24"/>
          <w:szCs w:val="24"/>
        </w:rPr>
        <w:t xml:space="preserve">he organisation website is a quick and easy way to upload job advertisement and useful additional information about the organisation (Waite </w:t>
      </w:r>
      <w:r w:rsidR="2B289AC6" w:rsidRPr="7E4274EB">
        <w:rPr>
          <w:rFonts w:ascii="Times New Roman" w:eastAsia="Times New Roman" w:hAnsi="Times New Roman" w:cs="Times New Roman"/>
          <w:i/>
          <w:iCs/>
          <w:color w:val="333333"/>
          <w:sz w:val="24"/>
          <w:szCs w:val="24"/>
        </w:rPr>
        <w:t xml:space="preserve">et al., </w:t>
      </w:r>
      <w:r w:rsidR="2B289AC6" w:rsidRPr="7E4274EB">
        <w:rPr>
          <w:rFonts w:ascii="Times New Roman" w:eastAsia="Times New Roman" w:hAnsi="Times New Roman" w:cs="Times New Roman"/>
          <w:color w:val="333333"/>
          <w:sz w:val="24"/>
          <w:szCs w:val="24"/>
        </w:rPr>
        <w:t>2021). It has the advantage of reaching a wide range of applicants but to be effective, content must be kept up to date which can be time consuming</w:t>
      </w:r>
      <w:r w:rsidR="1CF82A15" w:rsidRPr="7E4274EB">
        <w:rPr>
          <w:rFonts w:ascii="Times New Roman" w:eastAsia="Times New Roman" w:hAnsi="Times New Roman" w:cs="Times New Roman"/>
          <w:color w:val="333333"/>
          <w:sz w:val="24"/>
          <w:szCs w:val="24"/>
        </w:rPr>
        <w:t xml:space="preserve"> al</w:t>
      </w:r>
      <w:r w:rsidR="2B289AC6" w:rsidRPr="7E4274EB">
        <w:rPr>
          <w:rFonts w:ascii="Times New Roman" w:eastAsia="Times New Roman" w:hAnsi="Times New Roman" w:cs="Times New Roman"/>
          <w:color w:val="333333"/>
          <w:sz w:val="24"/>
          <w:szCs w:val="24"/>
        </w:rPr>
        <w:t xml:space="preserve">though, management of the website can be outsourced to recruitment consultants (Armstrong &amp; Taylor, 2023). </w:t>
      </w:r>
    </w:p>
    <w:p w14:paraId="12B595EE" w14:textId="46541A0B" w:rsidR="2B289AC6" w:rsidRDefault="2B289AC6" w:rsidP="7E4274EB">
      <w:pPr>
        <w:spacing w:line="360" w:lineRule="auto"/>
        <w:rPr>
          <w:rFonts w:ascii="Times New Roman" w:eastAsia="Times New Roman" w:hAnsi="Times New Roman" w:cs="Times New Roman"/>
          <w:color w:val="333333"/>
          <w:lang w:val="en-US"/>
        </w:rPr>
      </w:pPr>
      <w:r w:rsidRPr="7E4274EB">
        <w:rPr>
          <w:rFonts w:ascii="Times New Roman" w:eastAsia="Times New Roman" w:hAnsi="Times New Roman" w:cs="Times New Roman"/>
          <w:color w:val="333333"/>
        </w:rPr>
        <w:t xml:space="preserve">However, it relies on potential candidates being attracted to the website. For small organisations that don't have a strong employer brand, utilising job boards may be more effective. Job boards often charge for advertisement but ‘provide value for money by giving the adverts greater visibility’ (Waite </w:t>
      </w:r>
      <w:r w:rsidRPr="7E4274EB">
        <w:rPr>
          <w:rFonts w:ascii="Times New Roman" w:eastAsia="Times New Roman" w:hAnsi="Times New Roman" w:cs="Times New Roman"/>
          <w:i/>
          <w:iCs/>
          <w:color w:val="333333"/>
        </w:rPr>
        <w:t xml:space="preserve">et al., </w:t>
      </w:r>
      <w:r w:rsidRPr="7E4274EB">
        <w:rPr>
          <w:rFonts w:ascii="Times New Roman" w:eastAsia="Times New Roman" w:hAnsi="Times New Roman" w:cs="Times New Roman"/>
          <w:color w:val="333333"/>
        </w:rPr>
        <w:t>2021). Although job boards allow online applications to be submitted, there's no</w:t>
      </w:r>
      <w:r w:rsidR="055332E8" w:rsidRPr="7E4274EB">
        <w:rPr>
          <w:rFonts w:ascii="Times New Roman" w:eastAsia="Times New Roman" w:hAnsi="Times New Roman" w:cs="Times New Roman"/>
          <w:color w:val="333333"/>
        </w:rPr>
        <w:t>t always</w:t>
      </w:r>
      <w:r w:rsidRPr="7E4274EB">
        <w:rPr>
          <w:rFonts w:ascii="Times New Roman" w:eastAsia="Times New Roman" w:hAnsi="Times New Roman" w:cs="Times New Roman"/>
          <w:color w:val="333333"/>
        </w:rPr>
        <w:t xml:space="preserve"> screening process so organisations may be inundated with applications that don't match</w:t>
      </w:r>
      <w:r w:rsidR="7489D273" w:rsidRPr="7E4274EB">
        <w:rPr>
          <w:rFonts w:ascii="Times New Roman" w:eastAsia="Times New Roman" w:hAnsi="Times New Roman" w:cs="Times New Roman"/>
          <w:color w:val="333333"/>
        </w:rPr>
        <w:t xml:space="preserve"> </w:t>
      </w:r>
      <w:r w:rsidRPr="7E4274EB">
        <w:rPr>
          <w:rFonts w:ascii="Times New Roman" w:eastAsia="Times New Roman" w:hAnsi="Times New Roman" w:cs="Times New Roman"/>
          <w:color w:val="333333"/>
        </w:rPr>
        <w:t>requirements.</w:t>
      </w:r>
    </w:p>
    <w:p w14:paraId="07F04350" w14:textId="53ECDA55" w:rsidR="2B289AC6" w:rsidRDefault="2B289AC6" w:rsidP="7E4274EB">
      <w:pPr>
        <w:shd w:val="clear" w:color="auto" w:fill="FFFFFF" w:themeFill="background1"/>
        <w:spacing w:after="0" w:line="360" w:lineRule="auto"/>
        <w:rPr>
          <w:rFonts w:ascii="Times New Roman" w:eastAsia="Times New Roman" w:hAnsi="Times New Roman" w:cs="Times New Roman"/>
          <w:color w:val="333333"/>
          <w:lang w:val="en-US"/>
        </w:rPr>
      </w:pPr>
      <w:r w:rsidRPr="7E4274EB">
        <w:rPr>
          <w:rFonts w:ascii="Times New Roman" w:eastAsia="Times New Roman" w:hAnsi="Times New Roman" w:cs="Times New Roman"/>
          <w:color w:val="333333"/>
        </w:rPr>
        <w:t>Interviews provide opportunity for employers to give a positive impression of the organisation</w:t>
      </w:r>
      <w:r w:rsidR="249A0E02" w:rsidRPr="7E4274EB">
        <w:rPr>
          <w:rFonts w:ascii="Times New Roman" w:eastAsia="Times New Roman" w:hAnsi="Times New Roman" w:cs="Times New Roman"/>
          <w:color w:val="333333"/>
        </w:rPr>
        <w:t xml:space="preserve">, </w:t>
      </w:r>
      <w:r w:rsidRPr="7E4274EB">
        <w:rPr>
          <w:rFonts w:ascii="Times New Roman" w:eastAsia="Times New Roman" w:hAnsi="Times New Roman" w:cs="Times New Roman"/>
          <w:color w:val="333333"/>
        </w:rPr>
        <w:t xml:space="preserve">gauge candidates experience and abilities and allow candidates to ask questions that help decide if the jobs for them. However, opinions are often </w:t>
      </w:r>
      <w:r w:rsidR="49C52D88" w:rsidRPr="7E4274EB">
        <w:rPr>
          <w:rFonts w:ascii="Times New Roman" w:eastAsia="Times New Roman" w:hAnsi="Times New Roman" w:cs="Times New Roman"/>
          <w:color w:val="333333"/>
        </w:rPr>
        <w:t>subjective</w:t>
      </w:r>
      <w:r w:rsidRPr="7E4274EB">
        <w:rPr>
          <w:rFonts w:ascii="Times New Roman" w:eastAsia="Times New Roman" w:hAnsi="Times New Roman" w:cs="Times New Roman"/>
          <w:color w:val="333333"/>
        </w:rPr>
        <w:t xml:space="preserve"> </w:t>
      </w:r>
      <w:r w:rsidR="01DBBD8B" w:rsidRPr="7E4274EB">
        <w:rPr>
          <w:rFonts w:ascii="Times New Roman" w:eastAsia="Times New Roman" w:hAnsi="Times New Roman" w:cs="Times New Roman"/>
          <w:color w:val="333333"/>
        </w:rPr>
        <w:t>with</w:t>
      </w:r>
      <w:r w:rsidRPr="7E4274EB">
        <w:rPr>
          <w:rFonts w:ascii="Times New Roman" w:eastAsia="Times New Roman" w:hAnsi="Times New Roman" w:cs="Times New Roman"/>
          <w:color w:val="333333"/>
        </w:rPr>
        <w:t xml:space="preserve"> risk of bias (Armstrong &amp; Taylor, 2023). A poor interview can be damaging to the employee brand (McCartney, 2023) therefore</w:t>
      </w:r>
      <w:r w:rsidR="5458B5E1" w:rsidRPr="7E4274EB">
        <w:rPr>
          <w:rFonts w:ascii="Times New Roman" w:eastAsia="Times New Roman" w:hAnsi="Times New Roman" w:cs="Times New Roman"/>
          <w:color w:val="333333"/>
        </w:rPr>
        <w:t>,</w:t>
      </w:r>
      <w:r w:rsidRPr="7E4274EB">
        <w:rPr>
          <w:rFonts w:ascii="Times New Roman" w:eastAsia="Times New Roman" w:hAnsi="Times New Roman" w:cs="Times New Roman"/>
          <w:color w:val="333333"/>
        </w:rPr>
        <w:t xml:space="preserve"> its important managers have interview skills training. </w:t>
      </w:r>
    </w:p>
    <w:p w14:paraId="124BCCC5" w14:textId="0637F425" w:rsidR="4327A5DB" w:rsidRDefault="4327A5DB" w:rsidP="7E4274EB">
      <w:pPr>
        <w:shd w:val="clear" w:color="auto" w:fill="FFFFFF" w:themeFill="background1"/>
        <w:spacing w:after="0" w:line="360" w:lineRule="auto"/>
        <w:rPr>
          <w:rFonts w:ascii="Times New Roman" w:eastAsia="Times New Roman" w:hAnsi="Times New Roman" w:cs="Times New Roman"/>
          <w:color w:val="333333"/>
          <w:lang w:val="en-US"/>
        </w:rPr>
      </w:pPr>
    </w:p>
    <w:p w14:paraId="3D147926" w14:textId="2E75ADA7" w:rsidR="2B289AC6" w:rsidRDefault="2B289AC6" w:rsidP="7E4274EB">
      <w:pPr>
        <w:shd w:val="clear" w:color="auto" w:fill="FFFFFF" w:themeFill="background1"/>
        <w:spacing w:after="0" w:line="360" w:lineRule="auto"/>
        <w:rPr>
          <w:rFonts w:ascii="Times New Roman" w:eastAsia="Times New Roman" w:hAnsi="Times New Roman" w:cs="Times New Roman"/>
          <w:color w:val="333333"/>
          <w:lang w:val="en-US"/>
        </w:rPr>
      </w:pPr>
      <w:r w:rsidRPr="7E4274EB">
        <w:rPr>
          <w:rFonts w:ascii="Times New Roman" w:eastAsia="Times New Roman" w:hAnsi="Times New Roman" w:cs="Times New Roman"/>
          <w:color w:val="333333"/>
        </w:rPr>
        <w:t>Psychometric testing can be a good indicator of job performance but should</w:t>
      </w:r>
      <w:r w:rsidR="4726FCC5" w:rsidRPr="7E4274EB">
        <w:rPr>
          <w:rFonts w:ascii="Times New Roman" w:eastAsia="Times New Roman" w:hAnsi="Times New Roman" w:cs="Times New Roman"/>
          <w:color w:val="333333"/>
        </w:rPr>
        <w:t xml:space="preserve">n’t </w:t>
      </w:r>
      <w:r w:rsidRPr="7E4274EB">
        <w:rPr>
          <w:rFonts w:ascii="Times New Roman" w:eastAsia="Times New Roman" w:hAnsi="Times New Roman" w:cs="Times New Roman"/>
          <w:color w:val="333333"/>
        </w:rPr>
        <w:t xml:space="preserve">be used in isolation and </w:t>
      </w:r>
      <w:r w:rsidR="6FD6EDA5" w:rsidRPr="7E4274EB">
        <w:rPr>
          <w:rFonts w:ascii="Times New Roman" w:eastAsia="Times New Roman" w:hAnsi="Times New Roman" w:cs="Times New Roman"/>
          <w:color w:val="333333"/>
        </w:rPr>
        <w:t>is</w:t>
      </w:r>
      <w:r w:rsidRPr="7E4274EB">
        <w:rPr>
          <w:rFonts w:ascii="Times New Roman" w:eastAsia="Times New Roman" w:hAnsi="Times New Roman" w:cs="Times New Roman"/>
          <w:color w:val="333333"/>
        </w:rPr>
        <w:t xml:space="preserve"> most effective when used in combination with structured interviews (Armstrong &amp; Taylor, 2023). T</w:t>
      </w:r>
      <w:r w:rsidR="434D20DD" w:rsidRPr="7E4274EB">
        <w:rPr>
          <w:rFonts w:ascii="Times New Roman" w:eastAsia="Times New Roman" w:hAnsi="Times New Roman" w:cs="Times New Roman"/>
          <w:color w:val="333333"/>
        </w:rPr>
        <w:t xml:space="preserve">ests </w:t>
      </w:r>
      <w:r w:rsidRPr="7E4274EB">
        <w:rPr>
          <w:rFonts w:ascii="Times New Roman" w:eastAsia="Times New Roman" w:hAnsi="Times New Roman" w:cs="Times New Roman"/>
          <w:color w:val="333333"/>
        </w:rPr>
        <w:t xml:space="preserve">can be administered online and are useful where high volumes of applicants </w:t>
      </w:r>
      <w:r w:rsidR="3F3204F2" w:rsidRPr="7E4274EB">
        <w:rPr>
          <w:rFonts w:ascii="Times New Roman" w:eastAsia="Times New Roman" w:hAnsi="Times New Roman" w:cs="Times New Roman"/>
          <w:color w:val="333333"/>
        </w:rPr>
        <w:t>exist,</w:t>
      </w:r>
      <w:r w:rsidRPr="7E4274EB">
        <w:rPr>
          <w:rFonts w:ascii="Times New Roman" w:eastAsia="Times New Roman" w:hAnsi="Times New Roman" w:cs="Times New Roman"/>
          <w:color w:val="333333"/>
        </w:rPr>
        <w:t xml:space="preserve"> </w:t>
      </w:r>
      <w:r w:rsidR="41D20B38" w:rsidRPr="7E4274EB">
        <w:rPr>
          <w:rFonts w:ascii="Times New Roman" w:eastAsia="Times New Roman" w:hAnsi="Times New Roman" w:cs="Times New Roman"/>
          <w:color w:val="333333"/>
        </w:rPr>
        <w:t>yet they</w:t>
      </w:r>
      <w:r w:rsidRPr="7E4274EB">
        <w:rPr>
          <w:rFonts w:ascii="Times New Roman" w:eastAsia="Times New Roman" w:hAnsi="Times New Roman" w:cs="Times New Roman"/>
          <w:color w:val="333333"/>
        </w:rPr>
        <w:t xml:space="preserve"> need to be administered and analysed correctly which requires training and certification (McCartney, 2023).</w:t>
      </w:r>
    </w:p>
    <w:p w14:paraId="0D96F05C" w14:textId="32FF2196" w:rsidR="4327A5DB" w:rsidRDefault="4327A5DB" w:rsidP="7E4274EB">
      <w:pPr>
        <w:shd w:val="clear" w:color="auto" w:fill="FFFFFF" w:themeFill="background1"/>
        <w:spacing w:after="0" w:line="360" w:lineRule="auto"/>
        <w:rPr>
          <w:rFonts w:ascii="Times New Roman" w:eastAsia="Times New Roman" w:hAnsi="Times New Roman" w:cs="Times New Roman"/>
          <w:color w:val="333333"/>
        </w:rPr>
      </w:pPr>
    </w:p>
    <w:p w14:paraId="1A6F5F16" w14:textId="02D4AE8B" w:rsidR="26780FEC" w:rsidRDefault="26780FEC" w:rsidP="7E4274EB">
      <w:pPr>
        <w:pStyle w:val="Nornal"/>
        <w:spacing w:line="360" w:lineRule="auto"/>
        <w:rPr>
          <w:rFonts w:ascii="Times New Roman" w:eastAsia="Times New Roman" w:hAnsi="Times New Roman" w:cs="Times New Roman"/>
          <w:b/>
          <w:bCs/>
          <w:color w:val="000000" w:themeColor="text1"/>
          <w:sz w:val="24"/>
          <w:szCs w:val="24"/>
        </w:rPr>
      </w:pPr>
    </w:p>
    <w:p w14:paraId="581BF00E" w14:textId="68E598CB" w:rsidR="355AA4D3" w:rsidRDefault="355AA4D3"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lastRenderedPageBreak/>
        <w:t>AC 3.1 I am aware employee turnover rates vary from one organisation to another but what turnover and retention trends exist and what factors influence why people choose to leave or remain?</w:t>
      </w:r>
    </w:p>
    <w:p w14:paraId="0719ADBE" w14:textId="3B646CB4" w:rsidR="5ACA7E45" w:rsidRDefault="5ACA7E45"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The pandemic was a catalyst for the great resignation with an influx of people quitting their jobs as they reassessed their values and what work looks like to them (Morgan, 2022). Now in 2024, the Office of National Statistics (ONS) (2024) estimated </w:t>
      </w:r>
      <w:r w:rsidR="0DD5EBA1" w:rsidRPr="7E4274EB">
        <w:rPr>
          <w:rFonts w:ascii="Times New Roman" w:eastAsia="Times New Roman" w:hAnsi="Times New Roman" w:cs="Times New Roman"/>
        </w:rPr>
        <w:t xml:space="preserve">that the </w:t>
      </w:r>
      <w:r w:rsidRPr="7E4274EB">
        <w:rPr>
          <w:rFonts w:ascii="Times New Roman" w:eastAsia="Times New Roman" w:hAnsi="Times New Roman" w:cs="Times New Roman"/>
        </w:rPr>
        <w:t xml:space="preserve">number of vacancies in the UK has fallen. Turnover rates vary across sectors and are typically higher in retail, hospitality or construction (Peters, 2024) however, </w:t>
      </w:r>
      <w:r w:rsidR="5D97C8AE" w:rsidRPr="7E4274EB">
        <w:rPr>
          <w:rFonts w:ascii="Times New Roman" w:eastAsia="Times New Roman" w:hAnsi="Times New Roman" w:cs="Times New Roman"/>
        </w:rPr>
        <w:t>t</w:t>
      </w:r>
      <w:r w:rsidRPr="7E4274EB">
        <w:rPr>
          <w:rFonts w:ascii="Times New Roman" w:eastAsia="Times New Roman" w:hAnsi="Times New Roman" w:cs="Times New Roman"/>
        </w:rPr>
        <w:t xml:space="preserve">he CIPD Labour Market Outlook Report (2024) predicts cross-sector turnover rates to fall with net-employment balance on a downward trajectory as more people opt for job stability and 55% of employers aiming to maintain current staffing levels (CIPD, 2024). </w:t>
      </w:r>
    </w:p>
    <w:p w14:paraId="1388A2DE" w14:textId="66680C3C" w:rsidR="5ACA7E45" w:rsidRDefault="5ACA7E45"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Factors that influence people's decisions to leave or remain include culture, employee value proposition, reward and benefits, management and learning and development opportunities (Armstrong &amp; Talyor, 2023). A study by Rakhra (2018) identified different trends in retention factors between genders. The working environment was a top factor for females whereas wages and compensation had the biggest impact on retention for males. </w:t>
      </w:r>
    </w:p>
    <w:p w14:paraId="06149FC6" w14:textId="16B3681C" w:rsidR="5ACA7E45" w:rsidRDefault="5ACA7E45" w:rsidP="7E4274EB">
      <w:pPr>
        <w:pStyle w:val="Nornal"/>
        <w:spacing w:line="360" w:lineRule="auto"/>
        <w:rPr>
          <w:rFonts w:ascii="Times New Roman" w:eastAsia="Times New Roman" w:hAnsi="Times New Roman" w:cs="Times New Roman"/>
          <w:sz w:val="24"/>
          <w:szCs w:val="24"/>
        </w:rPr>
      </w:pPr>
      <w:r w:rsidRPr="7E4274EB">
        <w:rPr>
          <w:rFonts w:ascii="Times New Roman" w:eastAsia="Times New Roman" w:hAnsi="Times New Roman" w:cs="Times New Roman"/>
          <w:sz w:val="24"/>
          <w:szCs w:val="24"/>
        </w:rPr>
        <w:t>Turnover can be affected by both avoidable and unavoidable factors. Unavoidable turnover refers to decisions to leave that have nothing to do with the company, such as ill health or relocation. Avoidable turnover refers to departures related to job dissatisfaction (Taylor &amp; Woodhams, 2022). Dissatisfaction, lack of opportunity and poor working relationships are push factors that lead to disengagement which influences people's decision to leave. Pull factors such as a new job, better salary or career progression are also influencing factors (Peters, 2024).</w:t>
      </w:r>
    </w:p>
    <w:p w14:paraId="7DFA1B70" w14:textId="24DC6A7B" w:rsidR="7E4274EB" w:rsidRDefault="7E4274EB" w:rsidP="7E4274EB">
      <w:pPr>
        <w:pStyle w:val="Nornal"/>
        <w:spacing w:line="360" w:lineRule="auto"/>
        <w:rPr>
          <w:rFonts w:ascii="Times New Roman" w:eastAsia="Times New Roman" w:hAnsi="Times New Roman" w:cs="Times New Roman"/>
          <w:b/>
          <w:bCs/>
          <w:color w:val="000000" w:themeColor="text1"/>
          <w:sz w:val="24"/>
          <w:szCs w:val="24"/>
        </w:rPr>
      </w:pPr>
    </w:p>
    <w:p w14:paraId="3C70A8D6" w14:textId="6ED26369" w:rsidR="355AA4D3" w:rsidRDefault="355AA4D3" w:rsidP="7E4274EB">
      <w:pPr>
        <w:pStyle w:val="Nornal"/>
        <w:spacing w:line="360" w:lineRule="auto"/>
        <w:rPr>
          <w:rFonts w:ascii="Times New Roman" w:eastAsia="Times New Roman" w:hAnsi="Times New Roman" w:cs="Times New Roman"/>
          <w:b/>
          <w:bCs/>
          <w:color w:val="000000" w:themeColor="text1"/>
          <w:sz w:val="24"/>
          <w:szCs w:val="24"/>
        </w:rPr>
      </w:pPr>
      <w:r w:rsidRPr="7E4274EB">
        <w:rPr>
          <w:rFonts w:ascii="Times New Roman" w:eastAsia="Times New Roman" w:hAnsi="Times New Roman" w:cs="Times New Roman"/>
          <w:b/>
          <w:bCs/>
          <w:color w:val="000000" w:themeColor="text1"/>
          <w:sz w:val="24"/>
          <w:szCs w:val="24"/>
        </w:rPr>
        <w:t xml:space="preserve">AC 3.2 I want to compare different approaches to developing and retaining talent on an individual and group level? Could you give me some pointers? </w:t>
      </w:r>
    </w:p>
    <w:p w14:paraId="6D3B22D3" w14:textId="6073CE00" w:rsidR="42A46136" w:rsidRDefault="42A46136" w:rsidP="7E4274EB">
      <w:pPr>
        <w:pStyle w:val="Nornal"/>
        <w:spacing w:line="360" w:lineRule="auto"/>
        <w:rPr>
          <w:rFonts w:ascii="Times New Roman" w:eastAsia="Times New Roman" w:hAnsi="Times New Roman" w:cs="Times New Roman"/>
          <w:sz w:val="24"/>
          <w:szCs w:val="24"/>
        </w:rPr>
      </w:pPr>
      <w:r w:rsidRPr="7E4274EB">
        <w:rPr>
          <w:rFonts w:ascii="Times New Roman" w:eastAsia="Times New Roman" w:hAnsi="Times New Roman" w:cs="Times New Roman"/>
          <w:sz w:val="24"/>
          <w:szCs w:val="24"/>
        </w:rPr>
        <w:t xml:space="preserve">Within the workplace, organisations may use mentoring as a way of developing and retaining talent. Mentoring can be on an individual level where a more senior employee supports the development of a junior colleague or on a group level where members of </w:t>
      </w:r>
      <w:r w:rsidR="7D47D2B1" w:rsidRPr="7E4274EB">
        <w:rPr>
          <w:rFonts w:ascii="Times New Roman" w:eastAsia="Times New Roman" w:hAnsi="Times New Roman" w:cs="Times New Roman"/>
          <w:sz w:val="24"/>
          <w:szCs w:val="24"/>
        </w:rPr>
        <w:t>a</w:t>
      </w:r>
      <w:r w:rsidRPr="7E4274EB">
        <w:rPr>
          <w:rFonts w:ascii="Times New Roman" w:eastAsia="Times New Roman" w:hAnsi="Times New Roman" w:cs="Times New Roman"/>
          <w:sz w:val="24"/>
          <w:szCs w:val="24"/>
        </w:rPr>
        <w:t xml:space="preserve"> mentor group come </w:t>
      </w:r>
      <w:r w:rsidRPr="7E4274EB">
        <w:rPr>
          <w:rFonts w:ascii="Times New Roman" w:eastAsia="Times New Roman" w:hAnsi="Times New Roman" w:cs="Times New Roman"/>
          <w:sz w:val="24"/>
          <w:szCs w:val="24"/>
        </w:rPr>
        <w:lastRenderedPageBreak/>
        <w:t xml:space="preserve">together to explore work issues and provide suggestions or solutions to one another (Waite </w:t>
      </w:r>
      <w:r w:rsidRPr="7E4274EB">
        <w:rPr>
          <w:rFonts w:ascii="Times New Roman" w:eastAsia="Times New Roman" w:hAnsi="Times New Roman" w:cs="Times New Roman"/>
          <w:i/>
          <w:iCs/>
          <w:sz w:val="24"/>
          <w:szCs w:val="24"/>
        </w:rPr>
        <w:t xml:space="preserve">et al., </w:t>
      </w:r>
      <w:r w:rsidRPr="7E4274EB">
        <w:rPr>
          <w:rFonts w:ascii="Times New Roman" w:eastAsia="Times New Roman" w:hAnsi="Times New Roman" w:cs="Times New Roman"/>
          <w:sz w:val="24"/>
          <w:szCs w:val="24"/>
        </w:rPr>
        <w:t xml:space="preserve">2021). </w:t>
      </w:r>
    </w:p>
    <w:p w14:paraId="644C4549" w14:textId="43A8631D" w:rsidR="42A46136" w:rsidRDefault="42A46136" w:rsidP="7E4274EB">
      <w:pPr>
        <w:pStyle w:val="Nornal"/>
        <w:spacing w:line="360" w:lineRule="auto"/>
        <w:rPr>
          <w:rFonts w:ascii="Times New Roman" w:eastAsia="Times New Roman" w:hAnsi="Times New Roman" w:cs="Times New Roman"/>
          <w:sz w:val="24"/>
          <w:szCs w:val="24"/>
        </w:rPr>
      </w:pPr>
      <w:r w:rsidRPr="7E4274EB">
        <w:rPr>
          <w:rFonts w:ascii="Times New Roman" w:eastAsia="Times New Roman" w:hAnsi="Times New Roman" w:cs="Times New Roman"/>
          <w:sz w:val="24"/>
          <w:szCs w:val="24"/>
        </w:rPr>
        <w:t>Coaching is also workplace-based training but takes a different form to mentoring. Rather than teaching an individual, coaches ask questions, listen, reflect and provide the learner with direction to maximi</w:t>
      </w:r>
      <w:r w:rsidR="553B8B2C" w:rsidRPr="7E4274EB">
        <w:rPr>
          <w:rFonts w:ascii="Times New Roman" w:eastAsia="Times New Roman" w:hAnsi="Times New Roman" w:cs="Times New Roman"/>
          <w:sz w:val="24"/>
          <w:szCs w:val="24"/>
        </w:rPr>
        <w:t>s</w:t>
      </w:r>
      <w:r w:rsidRPr="7E4274EB">
        <w:rPr>
          <w:rFonts w:ascii="Times New Roman" w:eastAsia="Times New Roman" w:hAnsi="Times New Roman" w:cs="Times New Roman"/>
          <w:sz w:val="24"/>
          <w:szCs w:val="24"/>
        </w:rPr>
        <w:t xml:space="preserve">e their own performance. Coaching is often task related whereas mentoring is more so career-related (Waite </w:t>
      </w:r>
      <w:r w:rsidRPr="7E4274EB">
        <w:rPr>
          <w:rFonts w:ascii="Times New Roman" w:eastAsia="Times New Roman" w:hAnsi="Times New Roman" w:cs="Times New Roman"/>
          <w:i/>
          <w:iCs/>
          <w:sz w:val="24"/>
          <w:szCs w:val="24"/>
        </w:rPr>
        <w:t xml:space="preserve">et al., </w:t>
      </w:r>
      <w:r w:rsidRPr="7E4274EB">
        <w:rPr>
          <w:rFonts w:ascii="Times New Roman" w:eastAsia="Times New Roman" w:hAnsi="Times New Roman" w:cs="Times New Roman"/>
          <w:sz w:val="24"/>
          <w:szCs w:val="24"/>
        </w:rPr>
        <w:t>2021).</w:t>
      </w:r>
    </w:p>
    <w:p w14:paraId="5A11FC84" w14:textId="2A19E549" w:rsidR="42A46136" w:rsidRDefault="42A46136" w:rsidP="7E4274EB">
      <w:pPr>
        <w:pStyle w:val="Nornal"/>
        <w:spacing w:line="360" w:lineRule="auto"/>
        <w:rPr>
          <w:rFonts w:ascii="Times New Roman" w:eastAsia="Times New Roman" w:hAnsi="Times New Roman" w:cs="Times New Roman"/>
          <w:sz w:val="24"/>
          <w:szCs w:val="24"/>
        </w:rPr>
      </w:pPr>
      <w:r w:rsidRPr="7E4274EB">
        <w:rPr>
          <w:rFonts w:ascii="Times New Roman" w:eastAsia="Times New Roman" w:hAnsi="Times New Roman" w:cs="Times New Roman"/>
          <w:sz w:val="24"/>
          <w:szCs w:val="24"/>
        </w:rPr>
        <w:t xml:space="preserve">Secondments also offer valuable development opportunities for individuals. Secondments allow employees to move to another area of an organisation for a temporary period to support their learning and development (Quilliam, 2023). An employee may also move to a more senior role on a secondment basis, which provides employees with valuable experience for career progression. </w:t>
      </w:r>
    </w:p>
    <w:p w14:paraId="51E7A455" w14:textId="54821825" w:rsidR="42A46136" w:rsidRDefault="42A46136" w:rsidP="7E4274EB">
      <w:pPr>
        <w:pStyle w:val="Nornal"/>
        <w:spacing w:line="360" w:lineRule="auto"/>
        <w:rPr>
          <w:rFonts w:ascii="Times New Roman" w:eastAsia="Times New Roman" w:hAnsi="Times New Roman" w:cs="Times New Roman"/>
          <w:sz w:val="24"/>
          <w:szCs w:val="24"/>
        </w:rPr>
      </w:pPr>
      <w:r w:rsidRPr="7E4274EB">
        <w:rPr>
          <w:rFonts w:ascii="Times New Roman" w:eastAsia="Times New Roman" w:hAnsi="Times New Roman" w:cs="Times New Roman"/>
          <w:sz w:val="24"/>
          <w:szCs w:val="24"/>
        </w:rPr>
        <w:t xml:space="preserve">On a group level, organisation may have reward strategies in place. This goes beyond linking pay and bonuses to performance but total reward, including non-financial reward such as work life balance, job design, being treated fairly, recognition of achievement such as employee of the month or </w:t>
      </w:r>
      <w:r w:rsidR="62FD0DD1" w:rsidRPr="7E4274EB">
        <w:rPr>
          <w:rFonts w:ascii="Times New Roman" w:eastAsia="Times New Roman" w:hAnsi="Times New Roman" w:cs="Times New Roman"/>
          <w:sz w:val="24"/>
          <w:szCs w:val="24"/>
        </w:rPr>
        <w:t>long service awards</w:t>
      </w:r>
      <w:r w:rsidRPr="7E4274EB">
        <w:rPr>
          <w:rFonts w:ascii="Times New Roman" w:eastAsia="Times New Roman" w:hAnsi="Times New Roman" w:cs="Times New Roman"/>
          <w:sz w:val="24"/>
          <w:szCs w:val="24"/>
        </w:rPr>
        <w:t xml:space="preserve"> (NHS Leadership academy, 2015). Alternatively, organisations may offer flexible benefit schemes which allow individuals to select a package that best suits them which can improve job satisfaction (Taylor &amp; Woodhams, 2022).</w:t>
      </w:r>
    </w:p>
    <w:p w14:paraId="7EB7075F" w14:textId="4A46575F" w:rsidR="5BC01C0B" w:rsidRDefault="5BC01C0B" w:rsidP="7E4274EB">
      <w:pPr>
        <w:pStyle w:val="Nornal"/>
        <w:spacing w:line="360" w:lineRule="auto"/>
        <w:rPr>
          <w:rFonts w:ascii="Times New Roman" w:eastAsia="Times New Roman" w:hAnsi="Times New Roman" w:cs="Times New Roman"/>
          <w:color w:val="000000" w:themeColor="text1"/>
          <w:sz w:val="24"/>
          <w:szCs w:val="24"/>
        </w:rPr>
      </w:pPr>
    </w:p>
    <w:p w14:paraId="1D5C0EFC" w14:textId="1AFD3157" w:rsidR="355AA4D3" w:rsidRDefault="355AA4D3"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t xml:space="preserve">AC 3.3 Could you evaluate approaches that an organisation can take to build and support different talent pools? </w:t>
      </w:r>
    </w:p>
    <w:p w14:paraId="73DC674D" w14:textId="4A40F0BA" w:rsidR="0044EECF" w:rsidRDefault="0044EECF"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A talent pool contains a selection of talented people identify as having potential to fill pivotal roles within an organisation to meet business needs (Armstrong &amp; Talyor, 2023). </w:t>
      </w:r>
    </w:p>
    <w:p w14:paraId="319B8F44" w14:textId="56CB18DD" w:rsidR="0044EECF" w:rsidRDefault="0044EECF"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Managers play an important role in identifying potential members of a talent pool however, judgements may be somewhat inconsistent or unreliable if they're not qualified to judge potential for higher-level roles (Armstrong and Taylor, 2023). Performance appraisals can help make informed decisions and identify talent by assessing skills and discussing aspirations for development to which learning activities can be undertaken such as coaching, shadowing or </w:t>
      </w:r>
      <w:r w:rsidRPr="7E4274EB">
        <w:rPr>
          <w:rFonts w:ascii="Times New Roman" w:eastAsia="Times New Roman" w:hAnsi="Times New Roman" w:cs="Times New Roman"/>
        </w:rPr>
        <w:lastRenderedPageBreak/>
        <w:t xml:space="preserve">formal courses to support talented employees by ensuring they the skills and knowledge to advance (Taylor &amp; Woodhams, 2022).  </w:t>
      </w:r>
    </w:p>
    <w:p w14:paraId="21B5FB79" w14:textId="0E74FE01" w:rsidR="0044EECF" w:rsidRDefault="0044EECF"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Career development of individuals within an organisation, which may include career counselling, internal promotions and personal development plans is another approach to nurturing talent and supporting development towards fulfilling senior roles (Armstrong &amp; Taylor, 2022).  However, focusing too much on internal promotion can limit the range of talent available within the organisation (Waite </w:t>
      </w:r>
      <w:r w:rsidRPr="7E4274EB">
        <w:rPr>
          <w:rFonts w:ascii="Times New Roman" w:eastAsia="Times New Roman" w:hAnsi="Times New Roman" w:cs="Times New Roman"/>
          <w:i/>
          <w:iCs/>
        </w:rPr>
        <w:t>et al.,</w:t>
      </w:r>
      <w:r w:rsidRPr="7E4274EB">
        <w:rPr>
          <w:rFonts w:ascii="Times New Roman" w:eastAsia="Times New Roman" w:hAnsi="Times New Roman" w:cs="Times New Roman"/>
        </w:rPr>
        <w:t xml:space="preserve"> 2021). </w:t>
      </w:r>
    </w:p>
    <w:p w14:paraId="24C69E1D" w14:textId="01980817" w:rsidR="0044EECF" w:rsidRDefault="0044EECF"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External recruitment and resourcing can ensure organisations have a wider pool of talent with the right skills for vacant roles now, and in the future (Armstrong &amp; Taylor, 2023).  Recruitment software’s and AI technology have been used by companies to ‘proactively build talent pipelines and engage different talent pools’ which may previously been unconsidered however, organisations have unrealistic expectations that AI will be 100% non-bias (Jacobs, 2024). Online platforms such as LinkedIn have become a popular approach to sourcing and developing pools of potential candidates which can improve diversity of talent (Taylor &amp; Woodhams, 2022).</w:t>
      </w:r>
    </w:p>
    <w:p w14:paraId="21E62976" w14:textId="2FF2FE53" w:rsidR="436165EA" w:rsidRDefault="436165EA" w:rsidP="7E4274EB">
      <w:pPr>
        <w:pStyle w:val="Nornal"/>
        <w:spacing w:line="360" w:lineRule="auto"/>
        <w:rPr>
          <w:rFonts w:ascii="Times New Roman" w:eastAsia="Times New Roman" w:hAnsi="Times New Roman" w:cs="Times New Roman"/>
          <w:b/>
          <w:bCs/>
          <w:color w:val="000000" w:themeColor="text1"/>
          <w:sz w:val="24"/>
          <w:szCs w:val="24"/>
        </w:rPr>
      </w:pPr>
    </w:p>
    <w:p w14:paraId="342C8A12" w14:textId="1C29A007" w:rsidR="355AA4D3" w:rsidRDefault="355AA4D3" w:rsidP="7E4274EB">
      <w:pPr>
        <w:pStyle w:val="Nornal"/>
        <w:spacing w:line="360" w:lineRule="auto"/>
        <w:rPr>
          <w:rFonts w:ascii="Times New Roman" w:eastAsia="Times New Roman" w:hAnsi="Times New Roman" w:cs="Times New Roman"/>
          <w:b/>
          <w:bCs/>
          <w:color w:val="000000" w:themeColor="text1"/>
          <w:sz w:val="24"/>
          <w:szCs w:val="24"/>
        </w:rPr>
      </w:pPr>
      <w:r w:rsidRPr="7E4274EB">
        <w:rPr>
          <w:rFonts w:ascii="Times New Roman" w:eastAsia="Times New Roman" w:hAnsi="Times New Roman" w:cs="Times New Roman"/>
          <w:b/>
          <w:bCs/>
          <w:color w:val="000000" w:themeColor="text1"/>
          <w:sz w:val="24"/>
          <w:szCs w:val="24"/>
        </w:rPr>
        <w:t xml:space="preserve">AC 3.4 Could you evaluate two benefits of diversity in building and supporting talent pools? </w:t>
      </w:r>
    </w:p>
    <w:p w14:paraId="1D539CAE" w14:textId="6B1D5981" w:rsidR="56C69E8F" w:rsidRDefault="56C69E8F"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One benefit of diversity in building and supporting talent pools is improved retention and lower employee turnover. Affleck (2021) suggests ‘a talent pool that reflects the wider society can be instrumental in preventing individuals of different social backgrounds from experiencing imposter syndrome’. Individuals are more likely to feel valued and confident that they are there for the right reasons, which will increase job satisfaction. Supporting the development of employees from all backgrounds is likely to increase sense of belonging and mentoring schemes led by individuals in senior roles from underrepresented groups can empower diverse employees to pursue a career within the organisation (Affleck, 2021).</w:t>
      </w:r>
    </w:p>
    <w:p w14:paraId="340A6C8B" w14:textId="36D69FC9" w:rsidR="56C69E8F" w:rsidRDefault="56C69E8F"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Another benefit for organisations is increased innovation and creativity. Having diverse pools of talent welcomes a variety of a different ideas and perspectives (Taylor &amp; Woodhams, 2022). People from diverse backgrounds can offer solutions to problem solving or provide insights that others may have not considered, promoting a culture of learning where people care share </w:t>
      </w:r>
      <w:r w:rsidRPr="7E4274EB">
        <w:rPr>
          <w:rFonts w:ascii="Times New Roman" w:eastAsia="Times New Roman" w:hAnsi="Times New Roman" w:cs="Times New Roman"/>
        </w:rPr>
        <w:lastRenderedPageBreak/>
        <w:t>knowledge and value other perspectives (CIPD, 2019). Aside from understanding one another, it can provide valuable insights to help understand customers and reach a wider target audience which helps employer branding, enhances an organisations competitive advantage and supports business growth.</w:t>
      </w:r>
    </w:p>
    <w:p w14:paraId="1D0DA1B5" w14:textId="7757C26A" w:rsidR="7CA67B5F" w:rsidRDefault="7CA67B5F"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In summary, having diverse pools </w:t>
      </w:r>
      <w:r w:rsidR="3FBF3A5D" w:rsidRPr="7E4274EB">
        <w:rPr>
          <w:rFonts w:ascii="Times New Roman" w:eastAsia="Times New Roman" w:hAnsi="Times New Roman" w:cs="Times New Roman"/>
        </w:rPr>
        <w:t>offers a wider range of talent</w:t>
      </w:r>
      <w:r w:rsidR="4FF4647D" w:rsidRPr="7E4274EB">
        <w:rPr>
          <w:rFonts w:ascii="Times New Roman" w:eastAsia="Times New Roman" w:hAnsi="Times New Roman" w:cs="Times New Roman"/>
        </w:rPr>
        <w:t>,</w:t>
      </w:r>
      <w:r w:rsidR="3FBF3A5D" w:rsidRPr="7E4274EB">
        <w:rPr>
          <w:rFonts w:ascii="Times New Roman" w:eastAsia="Times New Roman" w:hAnsi="Times New Roman" w:cs="Times New Roman"/>
        </w:rPr>
        <w:t xml:space="preserve"> increasing the likelihood of recruiting the ideal candidate</w:t>
      </w:r>
      <w:r w:rsidR="52E93240" w:rsidRPr="7E4274EB">
        <w:rPr>
          <w:rFonts w:ascii="Times New Roman" w:eastAsia="Times New Roman" w:hAnsi="Times New Roman" w:cs="Times New Roman"/>
        </w:rPr>
        <w:t xml:space="preserve"> and retaining them for business success.</w:t>
      </w:r>
    </w:p>
    <w:p w14:paraId="6E202D1E" w14:textId="2C1C2C14" w:rsidR="7E4274EB" w:rsidRDefault="7E4274EB" w:rsidP="7E4274EB">
      <w:pPr>
        <w:pStyle w:val="Nornal"/>
        <w:spacing w:line="360" w:lineRule="auto"/>
        <w:rPr>
          <w:rFonts w:ascii="Times New Roman" w:eastAsia="Times New Roman" w:hAnsi="Times New Roman" w:cs="Times New Roman"/>
          <w:b/>
          <w:bCs/>
          <w:color w:val="000000" w:themeColor="text1"/>
          <w:sz w:val="24"/>
          <w:szCs w:val="24"/>
        </w:rPr>
      </w:pPr>
    </w:p>
    <w:p w14:paraId="5BC9A268" w14:textId="41F0A9EE" w:rsidR="355AA4D3" w:rsidRDefault="355AA4D3"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t xml:space="preserve">AC 3.5 I am trying to persuade managers in my organisation to take employee turnover more seriously but have been unsuccessful. Could you explain the impact associated with dysfunctional employee turnover? </w:t>
      </w:r>
    </w:p>
    <w:p w14:paraId="40030248" w14:textId="14C6C2E1" w:rsidR="1A6763B4" w:rsidRDefault="1A6763B4"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Dysfunctional turnover refers to departures that negatively impact the organisation in term of cost and loss of skill or knowledge (Taylor &amp; Woodhams, 2022).</w:t>
      </w:r>
    </w:p>
    <w:p w14:paraId="4BC8D2EC" w14:textId="0835B86C" w:rsidR="1A6763B4" w:rsidRDefault="1A6763B4" w:rsidP="7E4274EB">
      <w:pPr>
        <w:spacing w:line="360" w:lineRule="auto"/>
        <w:rPr>
          <w:rFonts w:ascii="Times New Roman" w:eastAsia="Times New Roman" w:hAnsi="Times New Roman" w:cs="Times New Roman"/>
          <w:color w:val="000000" w:themeColor="text1"/>
        </w:rPr>
      </w:pPr>
      <w:r w:rsidRPr="7E4274EB">
        <w:rPr>
          <w:rFonts w:ascii="Times New Roman" w:eastAsia="Times New Roman" w:hAnsi="Times New Roman" w:cs="Times New Roman"/>
          <w:color w:val="000000" w:themeColor="text1"/>
        </w:rPr>
        <w:t xml:space="preserve">There are both indirect and direct costs associated with turnover. Direct costs include administration time regarding leaver and starter processes, training, advertising and covering the vacancy post temporarily. Indirect costs include, decrease in productivity of departing employee and new employee, loss of morale amongst colleagues, lack of return on training and development investment and reputational damage if the employment relationship ends on bad terms (Taylor &amp; Woodhams, 2022). </w:t>
      </w:r>
    </w:p>
    <w:p w14:paraId="2B8BC411" w14:textId="762F8922" w:rsidR="1A6763B4" w:rsidRDefault="1A6763B4"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It’s suggested that it can take up to 13.5 months for a new employee to reach maximum efficiency (Armstrong &amp; Taylor). Aside from this, in 2022, the average cost of employee turnover in the private sector was more than £26,000 (O</w:t>
      </w:r>
      <w:r w:rsidR="307A386F" w:rsidRPr="7E4274EB">
        <w:rPr>
          <w:rFonts w:ascii="Times New Roman" w:eastAsia="Times New Roman" w:hAnsi="Times New Roman" w:cs="Times New Roman"/>
          <w:color w:val="000000" w:themeColor="text1"/>
        </w:rPr>
        <w:t>NS</w:t>
      </w:r>
      <w:r w:rsidRPr="7E4274EB">
        <w:rPr>
          <w:rFonts w:ascii="Times New Roman" w:eastAsia="Times New Roman" w:hAnsi="Times New Roman" w:cs="Times New Roman"/>
          <w:color w:val="000000" w:themeColor="text1"/>
        </w:rPr>
        <w:t>, 2023)</w:t>
      </w:r>
      <w:r w:rsidR="66AE3C7A" w:rsidRPr="7E4274EB">
        <w:rPr>
          <w:rFonts w:ascii="Times New Roman" w:eastAsia="Times New Roman" w:hAnsi="Times New Roman" w:cs="Times New Roman"/>
          <w:color w:val="000000" w:themeColor="text1"/>
        </w:rPr>
        <w:t>. A</w:t>
      </w:r>
      <w:r w:rsidRPr="7E4274EB">
        <w:rPr>
          <w:rFonts w:ascii="Times New Roman" w:eastAsia="Times New Roman" w:hAnsi="Times New Roman" w:cs="Times New Roman"/>
          <w:color w:val="000000" w:themeColor="text1"/>
        </w:rPr>
        <w:t>lthough it can be challenging to distinguish between functional and dysfunctional turnover, calculating associated costs is within the organisation best interest to understand the extent of the problem and to gain by in from management to invest in retention strategies (Taylor &amp; Woodhams, 2022).</w:t>
      </w:r>
    </w:p>
    <w:p w14:paraId="2BB85A02" w14:textId="1FA0C5E7" w:rsidR="1A6763B4" w:rsidRDefault="1A6763B4"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 xml:space="preserve">Methods of calculating turnover include employee turnover or stability index. Employee turnover index can be calculated by diving the number of leavers by the average number of employees during a set period, times by 100, but it can be misleading. The stability index can provide better insight on need for action and can be calculated by number of employees with </w:t>
      </w:r>
      <w:r w:rsidRPr="7E4274EB">
        <w:rPr>
          <w:rFonts w:ascii="Times New Roman" w:eastAsia="Times New Roman" w:hAnsi="Times New Roman" w:cs="Times New Roman"/>
          <w:color w:val="000000" w:themeColor="text1"/>
        </w:rPr>
        <w:lastRenderedPageBreak/>
        <w:t>more than 1 years' service, divided by number of employees 1 year ago, times by 100 (Armstrong &amp; Taylor, 2023).</w:t>
      </w:r>
    </w:p>
    <w:p w14:paraId="3238EB6A" w14:textId="57E5F70C" w:rsidR="34DB3F2C" w:rsidRDefault="34DB3F2C" w:rsidP="7E4274EB">
      <w:pPr>
        <w:pStyle w:val="Nornal"/>
        <w:spacing w:line="360" w:lineRule="auto"/>
        <w:rPr>
          <w:rFonts w:ascii="Times New Roman" w:eastAsia="Times New Roman" w:hAnsi="Times New Roman" w:cs="Times New Roman"/>
          <w:color w:val="000000" w:themeColor="text1"/>
          <w:sz w:val="24"/>
          <w:szCs w:val="24"/>
        </w:rPr>
      </w:pPr>
    </w:p>
    <w:p w14:paraId="3917C0AD" w14:textId="522973E7" w:rsidR="355AA4D3" w:rsidRDefault="355AA4D3"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t xml:space="preserve">AC 4.1 Could you assess suitable types of contractual arrangements dependent on specific workforce need. </w:t>
      </w:r>
    </w:p>
    <w:p w14:paraId="0E720F12" w14:textId="7E0BC841" w:rsidR="5089CB5E" w:rsidRDefault="3FFD8AFF"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Where there’s a need to manage fluctuating demand, or provide flexibility, zero-hours contracts are commonly used (Beatson, 2023). Employers have no obligation to provide work and individuals have no obligation to accept any work offered. National minimum wage must be paid however, as there’s no guaranteed work or regular hours, zero-hours contracts have received criticism for uncertainty of income (Daniels, 2022) and one-sided flexibility in favour of the employer (CIPD, 2024</w:t>
      </w:r>
      <w:r w:rsidR="3FE173B3" w:rsidRPr="7E4274EB">
        <w:rPr>
          <w:rFonts w:ascii="Times New Roman" w:eastAsia="Times New Roman" w:hAnsi="Times New Roman" w:cs="Times New Roman"/>
        </w:rPr>
        <w:t>a</w:t>
      </w:r>
      <w:r w:rsidRPr="7E4274EB">
        <w:rPr>
          <w:rFonts w:ascii="Times New Roman" w:eastAsia="Times New Roman" w:hAnsi="Times New Roman" w:cs="Times New Roman"/>
        </w:rPr>
        <w:t xml:space="preserve">). Consideration needs to be given to employment status as it will determine the rights and conditions individuals are entitled to (Beatson, 2023). </w:t>
      </w:r>
    </w:p>
    <w:p w14:paraId="4FD0BE6B" w14:textId="0E8D6073" w:rsidR="5089CB5E" w:rsidRDefault="3FFD8AFF"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 xml:space="preserve">Agency workers can also be used to manage fluctuating demand or cover gaps in the workforce however, the use of agency workers can be costly due to the additional overheads and agencies mark up. Agency workers have contracts </w:t>
      </w:r>
      <w:r w:rsidR="1512CAD4" w:rsidRPr="7E4274EB">
        <w:rPr>
          <w:rFonts w:ascii="Times New Roman" w:eastAsia="Times New Roman" w:hAnsi="Times New Roman" w:cs="Times New Roman"/>
        </w:rPr>
        <w:t xml:space="preserve">with </w:t>
      </w:r>
      <w:r w:rsidRPr="7E4274EB">
        <w:rPr>
          <w:rFonts w:ascii="Times New Roman" w:eastAsia="Times New Roman" w:hAnsi="Times New Roman" w:cs="Times New Roman"/>
        </w:rPr>
        <w:t>and are paid by the agencies therefore, there</w:t>
      </w:r>
      <w:r w:rsidR="774429F0" w:rsidRPr="7E4274EB">
        <w:rPr>
          <w:rFonts w:ascii="Times New Roman" w:eastAsia="Times New Roman" w:hAnsi="Times New Roman" w:cs="Times New Roman"/>
        </w:rPr>
        <w:t>’s</w:t>
      </w:r>
      <w:r w:rsidRPr="7E4274EB">
        <w:rPr>
          <w:rFonts w:ascii="Times New Roman" w:eastAsia="Times New Roman" w:hAnsi="Times New Roman" w:cs="Times New Roman"/>
        </w:rPr>
        <w:t xml:space="preserve"> no contractual relationship with the hirer</w:t>
      </w:r>
      <w:r w:rsidR="2DE3394D" w:rsidRPr="7E4274EB">
        <w:rPr>
          <w:rFonts w:ascii="Times New Roman" w:eastAsia="Times New Roman" w:hAnsi="Times New Roman" w:cs="Times New Roman"/>
        </w:rPr>
        <w:t>. H</w:t>
      </w:r>
      <w:r w:rsidRPr="7E4274EB">
        <w:rPr>
          <w:rFonts w:ascii="Times New Roman" w:eastAsia="Times New Roman" w:hAnsi="Times New Roman" w:cs="Times New Roman"/>
        </w:rPr>
        <w:t>owever, after 12 weeks continuous employment, agency workers are entitled to the same terms and conditions as permanent employee (CIPD, 2022).</w:t>
      </w:r>
    </w:p>
    <w:p w14:paraId="21F1E655" w14:textId="173DB54A" w:rsidR="5089CB5E" w:rsidRDefault="5089CB5E"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A business may use a fixed-term contract to employ someone for a set period such as covering maternit</w:t>
      </w:r>
      <w:r w:rsidR="3BF77454" w:rsidRPr="7E4274EB">
        <w:rPr>
          <w:rFonts w:ascii="Times New Roman" w:eastAsia="Times New Roman" w:hAnsi="Times New Roman" w:cs="Times New Roman"/>
        </w:rPr>
        <w:t xml:space="preserve">y </w:t>
      </w:r>
      <w:r w:rsidRPr="7E4274EB">
        <w:rPr>
          <w:rFonts w:ascii="Times New Roman" w:eastAsia="Times New Roman" w:hAnsi="Times New Roman" w:cs="Times New Roman"/>
        </w:rPr>
        <w:t xml:space="preserve">or undertaking a specific project. The </w:t>
      </w:r>
      <w:r w:rsidRPr="7E4274EB">
        <w:rPr>
          <w:rFonts w:ascii="Times New Roman" w:eastAsia="Times New Roman" w:hAnsi="Times New Roman" w:cs="Times New Roman"/>
          <w:i/>
          <w:iCs/>
        </w:rPr>
        <w:t>Fixed-Term Employees (Prevention of Less Favourable Treatment) Regulations 2002</w:t>
      </w:r>
      <w:r w:rsidRPr="7E4274EB">
        <w:rPr>
          <w:rFonts w:ascii="Times New Roman" w:eastAsia="Times New Roman" w:hAnsi="Times New Roman" w:cs="Times New Roman"/>
        </w:rPr>
        <w:t>, states fixed-term employees should</w:t>
      </w:r>
      <w:r w:rsidR="21439F8A" w:rsidRPr="7E4274EB">
        <w:rPr>
          <w:rFonts w:ascii="Times New Roman" w:eastAsia="Times New Roman" w:hAnsi="Times New Roman" w:cs="Times New Roman"/>
        </w:rPr>
        <w:t>n’t</w:t>
      </w:r>
      <w:r w:rsidRPr="7E4274EB">
        <w:rPr>
          <w:rFonts w:ascii="Times New Roman" w:eastAsia="Times New Roman" w:hAnsi="Times New Roman" w:cs="Times New Roman"/>
        </w:rPr>
        <w:t xml:space="preserve"> be treated less favourably than a comparator on a permanent contract. A fixed term contract must clearly state when employment will end and if continues beyond four years, the employee would automatically become permanent (Daniels, 2022</w:t>
      </w:r>
      <w:proofErr w:type="gramStart"/>
      <w:r w:rsidRPr="7E4274EB">
        <w:rPr>
          <w:rFonts w:ascii="Times New Roman" w:eastAsia="Times New Roman" w:hAnsi="Times New Roman" w:cs="Times New Roman"/>
        </w:rPr>
        <w:t>).Whilst</w:t>
      </w:r>
      <w:proofErr w:type="gramEnd"/>
      <w:r w:rsidRPr="7E4274EB">
        <w:rPr>
          <w:rFonts w:ascii="Times New Roman" w:eastAsia="Times New Roman" w:hAnsi="Times New Roman" w:cs="Times New Roman"/>
        </w:rPr>
        <w:t xml:space="preserve"> </w:t>
      </w:r>
      <w:r w:rsidR="2AF88E9A" w:rsidRPr="7E4274EB">
        <w:rPr>
          <w:rFonts w:ascii="Times New Roman" w:eastAsia="Times New Roman" w:hAnsi="Times New Roman" w:cs="Times New Roman"/>
        </w:rPr>
        <w:t>there's</w:t>
      </w:r>
      <w:r w:rsidRPr="7E4274EB">
        <w:rPr>
          <w:rFonts w:ascii="Times New Roman" w:eastAsia="Times New Roman" w:hAnsi="Times New Roman" w:cs="Times New Roman"/>
        </w:rPr>
        <w:t xml:space="preserve"> no requirement to renew a fixed-term contract, unless there’s a clause for early termination, an employee may claim for wrongful dismissal if the contract ends early (CIPD, 2023).</w:t>
      </w:r>
    </w:p>
    <w:p w14:paraId="51BDD235" w14:textId="6A306116" w:rsidR="7E4274EB" w:rsidRDefault="7E4274EB" w:rsidP="7E4274EB">
      <w:pPr>
        <w:pStyle w:val="Nornal"/>
        <w:spacing w:line="360" w:lineRule="auto"/>
        <w:rPr>
          <w:rFonts w:ascii="Times New Roman" w:eastAsia="Times New Roman" w:hAnsi="Times New Roman" w:cs="Times New Roman"/>
          <w:b/>
          <w:bCs/>
          <w:color w:val="000000" w:themeColor="text1"/>
          <w:sz w:val="24"/>
          <w:szCs w:val="24"/>
        </w:rPr>
      </w:pPr>
    </w:p>
    <w:p w14:paraId="23A1EED8" w14:textId="303ED1EF" w:rsidR="355AA4D3" w:rsidRDefault="355AA4D3" w:rsidP="7E4274EB">
      <w:pPr>
        <w:pStyle w:val="Nornal"/>
        <w:spacing w:line="360" w:lineRule="auto"/>
        <w:rPr>
          <w:rFonts w:ascii="Times New Roman" w:eastAsia="Times New Roman" w:hAnsi="Times New Roman" w:cs="Times New Roman"/>
          <w:b/>
          <w:bCs/>
          <w:color w:val="000000" w:themeColor="text1"/>
          <w:sz w:val="24"/>
          <w:szCs w:val="24"/>
        </w:rPr>
      </w:pPr>
      <w:r w:rsidRPr="7E4274EB">
        <w:rPr>
          <w:rFonts w:ascii="Times New Roman" w:eastAsia="Times New Roman" w:hAnsi="Times New Roman" w:cs="Times New Roman"/>
          <w:b/>
          <w:bCs/>
          <w:color w:val="000000" w:themeColor="text1"/>
          <w:sz w:val="24"/>
          <w:szCs w:val="24"/>
        </w:rPr>
        <w:t xml:space="preserve">AC 4.2 I have heard there are different types of terms in contracts – surely a term is a term. Can you differentiate between express terms and implied terms? </w:t>
      </w:r>
    </w:p>
    <w:p w14:paraId="750C6610" w14:textId="74703503" w:rsidR="2ED0ADF3" w:rsidRDefault="2ED0ADF3"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lastRenderedPageBreak/>
        <w:t>Express and implied terms both form part of the contract of employment</w:t>
      </w:r>
      <w:r w:rsidR="16DB6C64" w:rsidRPr="7E4274EB">
        <w:rPr>
          <w:rFonts w:ascii="Times New Roman" w:eastAsia="Times New Roman" w:hAnsi="Times New Roman" w:cs="Times New Roman"/>
        </w:rPr>
        <w:t xml:space="preserve"> but</w:t>
      </w:r>
      <w:r w:rsidRPr="7E4274EB">
        <w:rPr>
          <w:rFonts w:ascii="Times New Roman" w:eastAsia="Times New Roman" w:hAnsi="Times New Roman" w:cs="Times New Roman"/>
        </w:rPr>
        <w:t xml:space="preserve"> come from different sources. Express terms are discussed and agreed between the employee and employer whereas implied terms are derived from collective agreements, statute, custom and practice, the courts and work rules</w:t>
      </w:r>
      <w:r w:rsidR="237AAE19" w:rsidRPr="7E4274EB">
        <w:rPr>
          <w:rFonts w:ascii="Times New Roman" w:eastAsia="Times New Roman" w:hAnsi="Times New Roman" w:cs="Times New Roman"/>
        </w:rPr>
        <w:t xml:space="preserve"> (Daniels, 2022).</w:t>
      </w:r>
      <w:r w:rsidRPr="7E4274EB">
        <w:rPr>
          <w:rFonts w:ascii="Times New Roman" w:eastAsia="Times New Roman" w:hAnsi="Times New Roman" w:cs="Times New Roman"/>
        </w:rPr>
        <w:t xml:space="preserve"> </w:t>
      </w:r>
    </w:p>
    <w:p w14:paraId="7EE20516" w14:textId="37A2B868" w:rsidR="2ED0ADF3" w:rsidRDefault="2ED0ADF3"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Although an agreement between two parties, express terms must still comply with law and cannot diminish statutory rights (Daniels, 2022). </w:t>
      </w:r>
      <w:r w:rsidR="5EF364A5" w:rsidRPr="7E4274EB">
        <w:rPr>
          <w:rFonts w:ascii="Times New Roman" w:eastAsia="Times New Roman" w:hAnsi="Times New Roman" w:cs="Times New Roman"/>
        </w:rPr>
        <w:t xml:space="preserve">They can be verbal or written agreements. </w:t>
      </w:r>
      <w:r w:rsidRPr="7E4274EB">
        <w:rPr>
          <w:rFonts w:ascii="Times New Roman" w:eastAsia="Times New Roman" w:hAnsi="Times New Roman" w:cs="Times New Roman"/>
        </w:rPr>
        <w:t xml:space="preserve">Express terms that form part of the written statement of particulars such </w:t>
      </w:r>
      <w:proofErr w:type="gramStart"/>
      <w:r w:rsidRPr="7E4274EB">
        <w:rPr>
          <w:rFonts w:ascii="Times New Roman" w:eastAsia="Times New Roman" w:hAnsi="Times New Roman" w:cs="Times New Roman"/>
        </w:rPr>
        <w:t>as;</w:t>
      </w:r>
      <w:proofErr w:type="gramEnd"/>
      <w:r w:rsidRPr="7E4274EB">
        <w:rPr>
          <w:rFonts w:ascii="Times New Roman" w:eastAsia="Times New Roman" w:hAnsi="Times New Roman" w:cs="Times New Roman"/>
        </w:rPr>
        <w:t xml:space="preserve"> names of both parties, commencement date, rate of pay, working hours, and responsibilities, must be in writing and provided on the first day of employment, if not before. Other express terms such as pension arrangements or disciplinary and grievance procedures must be provided within two months of employment but may be specified in other documents such as the employee handbook (Daniels, 2022). </w:t>
      </w:r>
    </w:p>
    <w:p w14:paraId="4D86C2BD" w14:textId="7D5A26F2" w:rsidR="2ED0ADF3" w:rsidRDefault="2ED0ADF3"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If something isn’t covered by express terms, it’s covered by implied terms which ensure contracts function fairly and effectively. Implied terms aren’t always explicitly stated in the contract such as ‘a duty of mutual trust and confidence between the employer and employee’ (Ayling &amp; </w:t>
      </w:r>
      <w:proofErr w:type="spellStart"/>
      <w:r w:rsidRPr="7E4274EB">
        <w:rPr>
          <w:rFonts w:ascii="Times New Roman" w:eastAsia="Times New Roman" w:hAnsi="Times New Roman" w:cs="Times New Roman"/>
        </w:rPr>
        <w:t>Suff</w:t>
      </w:r>
      <w:proofErr w:type="spellEnd"/>
      <w:r w:rsidRPr="7E4274EB">
        <w:rPr>
          <w:rFonts w:ascii="Times New Roman" w:eastAsia="Times New Roman" w:hAnsi="Times New Roman" w:cs="Times New Roman"/>
        </w:rPr>
        <w:t xml:space="preserve">, 2023) or the employers' duty to provide a safe work environment. These terms are implied by law and place obligations on both employee and employer. Terms implied through </w:t>
      </w:r>
      <w:proofErr w:type="gramStart"/>
      <w:r w:rsidRPr="7E4274EB">
        <w:rPr>
          <w:rFonts w:ascii="Times New Roman" w:eastAsia="Times New Roman" w:hAnsi="Times New Roman" w:cs="Times New Roman"/>
        </w:rPr>
        <w:t>custom</w:t>
      </w:r>
      <w:proofErr w:type="gramEnd"/>
      <w:r w:rsidRPr="7E4274EB">
        <w:rPr>
          <w:rFonts w:ascii="Times New Roman" w:eastAsia="Times New Roman" w:hAnsi="Times New Roman" w:cs="Times New Roman"/>
        </w:rPr>
        <w:t xml:space="preserve"> and practice aren’t always written but have formed part of the employment contract overtime as it's the way something always been do</w:t>
      </w:r>
      <w:r w:rsidR="49F6FF0D" w:rsidRPr="7E4274EB">
        <w:rPr>
          <w:rFonts w:ascii="Times New Roman" w:eastAsia="Times New Roman" w:hAnsi="Times New Roman" w:cs="Times New Roman"/>
        </w:rPr>
        <w:t>ne</w:t>
      </w:r>
      <w:r w:rsidRPr="7E4274EB">
        <w:rPr>
          <w:rFonts w:ascii="Times New Roman" w:eastAsia="Times New Roman" w:hAnsi="Times New Roman" w:cs="Times New Roman"/>
        </w:rPr>
        <w:t xml:space="preserve"> within the business or industry (Daniels, 2022)</w:t>
      </w:r>
      <w:r w:rsidR="44BBF92C" w:rsidRPr="7E4274EB">
        <w:rPr>
          <w:rFonts w:ascii="Times New Roman" w:eastAsia="Times New Roman" w:hAnsi="Times New Roman" w:cs="Times New Roman"/>
        </w:rPr>
        <w:t>.</w:t>
      </w:r>
    </w:p>
    <w:p w14:paraId="325D33AF" w14:textId="4D989021" w:rsidR="7C4243B7" w:rsidRDefault="7C4243B7" w:rsidP="7E4274EB">
      <w:pPr>
        <w:pStyle w:val="Nornal"/>
        <w:spacing w:line="360" w:lineRule="auto"/>
        <w:rPr>
          <w:rFonts w:ascii="Times New Roman" w:eastAsia="Times New Roman" w:hAnsi="Times New Roman" w:cs="Times New Roman"/>
          <w:b/>
          <w:bCs/>
          <w:color w:val="000000" w:themeColor="text1"/>
          <w:sz w:val="24"/>
          <w:szCs w:val="24"/>
        </w:rPr>
      </w:pPr>
    </w:p>
    <w:p w14:paraId="2E409C73" w14:textId="73641557" w:rsidR="355AA4D3" w:rsidRDefault="355AA4D3" w:rsidP="7E4274EB">
      <w:pPr>
        <w:pStyle w:val="Nornal"/>
        <w:spacing w:line="360" w:lineRule="auto"/>
        <w:rPr>
          <w:rFonts w:ascii="Times New Roman" w:eastAsia="Times New Roman" w:hAnsi="Times New Roman" w:cs="Times New Roman"/>
          <w:b/>
          <w:bCs/>
          <w:color w:val="000000" w:themeColor="text1"/>
          <w:sz w:val="24"/>
          <w:szCs w:val="24"/>
          <w:lang w:val="en-US"/>
        </w:rPr>
      </w:pPr>
      <w:r w:rsidRPr="7E4274EB">
        <w:rPr>
          <w:rFonts w:ascii="Times New Roman" w:eastAsia="Times New Roman" w:hAnsi="Times New Roman" w:cs="Times New Roman"/>
          <w:b/>
          <w:bCs/>
          <w:color w:val="000000" w:themeColor="text1"/>
          <w:sz w:val="24"/>
          <w:szCs w:val="24"/>
        </w:rPr>
        <w:t xml:space="preserve">AC 4.3 Could you explain the components and two benefits of effective onboarding? </w:t>
      </w:r>
    </w:p>
    <w:p w14:paraId="16F79AB3" w14:textId="6425FFCC" w:rsidR="71D1D0AF" w:rsidRDefault="71D1D0AF"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Onboarding starts from the point a job offer is made. The quality of communications and information provided before an employees’ first day are essential first steps in building the psychological contract (Waite </w:t>
      </w:r>
      <w:r w:rsidRPr="7E4274EB">
        <w:rPr>
          <w:rFonts w:ascii="Times New Roman" w:eastAsia="Times New Roman" w:hAnsi="Times New Roman" w:cs="Times New Roman"/>
          <w:i/>
          <w:iCs/>
        </w:rPr>
        <w:t>et al.,</w:t>
      </w:r>
      <w:r w:rsidRPr="7E4274EB">
        <w:rPr>
          <w:rFonts w:ascii="Times New Roman" w:eastAsia="Times New Roman" w:hAnsi="Times New Roman" w:cs="Times New Roman"/>
        </w:rPr>
        <w:t xml:space="preserve"> 2021). This includes offer letter, contract, starter pack and pre-employment checks. </w:t>
      </w:r>
    </w:p>
    <w:p w14:paraId="6DB025F8" w14:textId="14CADAFC" w:rsidR="71D1D0AF" w:rsidRDefault="71D1D0AF"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Once a new employee formally joins the business, they should receive an induction. Effective induction includes multiple elements such as providing information about the business, its</w:t>
      </w:r>
      <w:r w:rsidR="0353E8EB" w:rsidRPr="7E4274EB">
        <w:rPr>
          <w:rFonts w:ascii="Times New Roman" w:eastAsia="Times New Roman" w:hAnsi="Times New Roman" w:cs="Times New Roman"/>
        </w:rPr>
        <w:t xml:space="preserve"> </w:t>
      </w:r>
      <w:r w:rsidRPr="7E4274EB">
        <w:rPr>
          <w:rFonts w:ascii="Times New Roman" w:eastAsia="Times New Roman" w:hAnsi="Times New Roman" w:cs="Times New Roman"/>
        </w:rPr>
        <w:t xml:space="preserve">values, health and safety, working arrangements and introduction to policies and procedures such </w:t>
      </w:r>
      <w:r w:rsidRPr="7E4274EB">
        <w:rPr>
          <w:rFonts w:ascii="Times New Roman" w:eastAsia="Times New Roman" w:hAnsi="Times New Roman" w:cs="Times New Roman"/>
        </w:rPr>
        <w:lastRenderedPageBreak/>
        <w:t xml:space="preserve">as pension schemes or what to do when absent. It will also involve issuing staff with equipment or log ins required to perform their role. </w:t>
      </w:r>
    </w:p>
    <w:p w14:paraId="1913F652" w14:textId="0618C44E" w:rsidR="71D1D0AF" w:rsidRDefault="71D1D0AF"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To help new employees learn about their place of work, physical and social orientation may form part of their induction. Physical orientation include</w:t>
      </w:r>
      <w:r w:rsidR="5CF841BA" w:rsidRPr="7E4274EB">
        <w:rPr>
          <w:rFonts w:ascii="Times New Roman" w:eastAsia="Times New Roman" w:hAnsi="Times New Roman" w:cs="Times New Roman"/>
        </w:rPr>
        <w:t>s</w:t>
      </w:r>
      <w:r w:rsidRPr="7E4274EB">
        <w:rPr>
          <w:rFonts w:ascii="Times New Roman" w:eastAsia="Times New Roman" w:hAnsi="Times New Roman" w:cs="Times New Roman"/>
        </w:rPr>
        <w:t xml:space="preserve"> a site tour whereas social orientation allows new employees to meet their team and wider colleagues (Waite</w:t>
      </w:r>
      <w:r w:rsidRPr="7E4274EB">
        <w:rPr>
          <w:rFonts w:ascii="Times New Roman" w:eastAsia="Times New Roman" w:hAnsi="Times New Roman" w:cs="Times New Roman"/>
          <w:i/>
          <w:iCs/>
        </w:rPr>
        <w:t xml:space="preserve"> et al., </w:t>
      </w:r>
      <w:r w:rsidRPr="7E4274EB">
        <w:rPr>
          <w:rFonts w:ascii="Times New Roman" w:eastAsia="Times New Roman" w:hAnsi="Times New Roman" w:cs="Times New Roman"/>
        </w:rPr>
        <w:t xml:space="preserve">2021). For example, some organisations have buddy systems or arrange meetings with managers of different departments to help integrate new employees. </w:t>
      </w:r>
    </w:p>
    <w:p w14:paraId="13CB13E4" w14:textId="39C5D3DE" w:rsidR="71D1D0AF" w:rsidRDefault="706DE711" w:rsidP="7E4274EB">
      <w:pPr>
        <w:spacing w:line="360" w:lineRule="auto"/>
        <w:rPr>
          <w:rFonts w:ascii="Times New Roman" w:eastAsia="Times New Roman" w:hAnsi="Times New Roman" w:cs="Times New Roman"/>
          <w:lang w:val="en-US"/>
        </w:rPr>
      </w:pPr>
      <w:r w:rsidRPr="7E4274EB">
        <w:rPr>
          <w:rFonts w:ascii="Times New Roman" w:eastAsia="Times New Roman" w:hAnsi="Times New Roman" w:cs="Times New Roman"/>
        </w:rPr>
        <w:t>Effective onboarding sets clear expectations and provides deeper understanding of the business which can positively impact employee turnover and absenteeism (McCartney, 2023</w:t>
      </w:r>
      <w:r w:rsidR="1629B586" w:rsidRPr="7E4274EB">
        <w:rPr>
          <w:rFonts w:ascii="Times New Roman" w:eastAsia="Times New Roman" w:hAnsi="Times New Roman" w:cs="Times New Roman"/>
        </w:rPr>
        <w:t>a</w:t>
      </w:r>
      <w:r w:rsidRPr="7E4274EB">
        <w:rPr>
          <w:rFonts w:ascii="Times New Roman" w:eastAsia="Times New Roman" w:hAnsi="Times New Roman" w:cs="Times New Roman"/>
        </w:rPr>
        <w:t>). Setting clear expectations and providing new employees with the equipment, skills and support needed to perform their role can also increase employee commitment and job satisfaction (McCartney, 2023</w:t>
      </w:r>
      <w:r w:rsidR="50627441" w:rsidRPr="7E4274EB">
        <w:rPr>
          <w:rFonts w:ascii="Times New Roman" w:eastAsia="Times New Roman" w:hAnsi="Times New Roman" w:cs="Times New Roman"/>
        </w:rPr>
        <w:t>a</w:t>
      </w:r>
      <w:r w:rsidRPr="7E4274EB">
        <w:rPr>
          <w:rFonts w:ascii="Times New Roman" w:eastAsia="Times New Roman" w:hAnsi="Times New Roman" w:cs="Times New Roman"/>
        </w:rPr>
        <w:t xml:space="preserve">). The induction process can be overwhelming so holding review meetings can help successful integration of new employees and reduce the risk of ‘induction crisis’ (Waite </w:t>
      </w:r>
      <w:r w:rsidRPr="7E4274EB">
        <w:rPr>
          <w:rFonts w:ascii="Times New Roman" w:eastAsia="Times New Roman" w:hAnsi="Times New Roman" w:cs="Times New Roman"/>
          <w:i/>
          <w:iCs/>
        </w:rPr>
        <w:t>et al.,</w:t>
      </w:r>
      <w:r w:rsidRPr="7E4274EB">
        <w:rPr>
          <w:rFonts w:ascii="Times New Roman" w:eastAsia="Times New Roman" w:hAnsi="Times New Roman" w:cs="Times New Roman"/>
        </w:rPr>
        <w:t xml:space="preserve"> 2021).</w:t>
      </w:r>
    </w:p>
    <w:p w14:paraId="39F56FEB" w14:textId="653DB0A8" w:rsidR="6898F2AB" w:rsidRDefault="6898F2AB" w:rsidP="7E4274EB">
      <w:pPr>
        <w:pStyle w:val="Nornal"/>
        <w:spacing w:line="360" w:lineRule="auto"/>
        <w:rPr>
          <w:rFonts w:ascii="Times New Roman" w:eastAsia="Times New Roman" w:hAnsi="Times New Roman" w:cs="Times New Roman"/>
          <w:b/>
          <w:bCs/>
          <w:color w:val="000000" w:themeColor="text1"/>
          <w:sz w:val="24"/>
          <w:szCs w:val="24"/>
        </w:rPr>
      </w:pPr>
    </w:p>
    <w:p w14:paraId="1B5E83D4" w14:textId="3163CAAA" w:rsidR="26780FEC" w:rsidRDefault="13E3AAFF" w:rsidP="7E4274EB">
      <w:pPr>
        <w:spacing w:line="360" w:lineRule="auto"/>
        <w:rPr>
          <w:rFonts w:ascii="Times New Roman" w:eastAsia="Times New Roman" w:hAnsi="Times New Roman" w:cs="Times New Roman"/>
          <w:b/>
          <w:bCs/>
          <w:u w:val="single"/>
        </w:rPr>
      </w:pPr>
      <w:r w:rsidRPr="7E4274EB">
        <w:rPr>
          <w:rFonts w:ascii="Times New Roman" w:eastAsia="Times New Roman" w:hAnsi="Times New Roman" w:cs="Times New Roman"/>
          <w:b/>
          <w:bCs/>
          <w:u w:val="single"/>
        </w:rPr>
        <w:t xml:space="preserve">References </w:t>
      </w:r>
    </w:p>
    <w:p w14:paraId="4D8DDB6B" w14:textId="070AB8BA" w:rsidR="13E3AAFF" w:rsidRDefault="39450986"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Affleck, S. (2021)</w:t>
      </w:r>
      <w:r w:rsidRPr="7E4274EB">
        <w:rPr>
          <w:rFonts w:ascii="Times New Roman" w:eastAsia="Times New Roman" w:hAnsi="Times New Roman" w:cs="Times New Roman"/>
          <w:i/>
          <w:iCs/>
          <w:color w:val="000000" w:themeColor="text1"/>
        </w:rPr>
        <w:t xml:space="preserve"> </w:t>
      </w:r>
      <w:r w:rsidRPr="7E4274EB">
        <w:rPr>
          <w:rFonts w:ascii="Times New Roman" w:eastAsia="Times New Roman" w:hAnsi="Times New Roman" w:cs="Times New Roman"/>
          <w:color w:val="000000" w:themeColor="text1"/>
        </w:rPr>
        <w:t xml:space="preserve">‘Diversity and Inclusion: stretching both ends of the talent pipeline’, </w:t>
      </w:r>
      <w:r w:rsidRPr="7E4274EB">
        <w:rPr>
          <w:rFonts w:ascii="Times New Roman" w:eastAsia="Times New Roman" w:hAnsi="Times New Roman" w:cs="Times New Roman"/>
          <w:i/>
          <w:iCs/>
          <w:color w:val="000000" w:themeColor="text1"/>
        </w:rPr>
        <w:t>HR Magazine</w:t>
      </w:r>
      <w:r w:rsidR="65C6E02F" w:rsidRPr="7E4274EB">
        <w:rPr>
          <w:rFonts w:ascii="Times New Roman" w:eastAsia="Times New Roman" w:hAnsi="Times New Roman" w:cs="Times New Roman"/>
          <w:i/>
          <w:iCs/>
          <w:color w:val="000000" w:themeColor="text1"/>
        </w:rPr>
        <w:t>,</w:t>
      </w:r>
      <w:r w:rsidR="2A327FCF" w:rsidRPr="7E4274EB">
        <w:rPr>
          <w:rFonts w:ascii="Times New Roman" w:eastAsia="Times New Roman" w:hAnsi="Times New Roman" w:cs="Times New Roman"/>
          <w:color w:val="000000" w:themeColor="text1"/>
        </w:rPr>
        <w:t xml:space="preserve"> (15</w:t>
      </w:r>
      <w:r w:rsidR="2A327FCF" w:rsidRPr="7E4274EB">
        <w:rPr>
          <w:rFonts w:ascii="Times New Roman" w:eastAsia="Times New Roman" w:hAnsi="Times New Roman" w:cs="Times New Roman"/>
          <w:color w:val="000000" w:themeColor="text1"/>
          <w:vertAlign w:val="superscript"/>
        </w:rPr>
        <w:t>th</w:t>
      </w:r>
      <w:r w:rsidRPr="7E4274EB">
        <w:rPr>
          <w:rFonts w:ascii="Times New Roman" w:eastAsia="Times New Roman" w:hAnsi="Times New Roman" w:cs="Times New Roman"/>
          <w:color w:val="000000" w:themeColor="text1"/>
        </w:rPr>
        <w:t xml:space="preserve"> </w:t>
      </w:r>
      <w:r w:rsidR="55DE266C" w:rsidRPr="7E4274EB">
        <w:rPr>
          <w:rFonts w:ascii="Times New Roman" w:eastAsia="Times New Roman" w:hAnsi="Times New Roman" w:cs="Times New Roman"/>
          <w:color w:val="000000" w:themeColor="text1"/>
        </w:rPr>
        <w:t>March)</w:t>
      </w:r>
      <w:r w:rsidR="33A32DAD" w:rsidRPr="7E4274EB">
        <w:rPr>
          <w:rFonts w:ascii="Times New Roman" w:eastAsia="Times New Roman" w:hAnsi="Times New Roman" w:cs="Times New Roman"/>
          <w:color w:val="000000" w:themeColor="text1"/>
        </w:rPr>
        <w:t>.</w:t>
      </w:r>
      <w:r w:rsidR="55DE266C" w:rsidRPr="7E4274EB">
        <w:rPr>
          <w:rFonts w:ascii="Times New Roman" w:eastAsia="Times New Roman" w:hAnsi="Times New Roman" w:cs="Times New Roman"/>
          <w:color w:val="000000" w:themeColor="text1"/>
        </w:rPr>
        <w:t xml:space="preserve"> </w:t>
      </w:r>
      <w:r w:rsidRPr="7E4274EB">
        <w:rPr>
          <w:rFonts w:ascii="Times New Roman" w:eastAsia="Times New Roman" w:hAnsi="Times New Roman" w:cs="Times New Roman"/>
          <w:color w:val="000000" w:themeColor="text1"/>
        </w:rPr>
        <w:t xml:space="preserve">Available at: </w:t>
      </w:r>
      <w:hyperlink r:id="rId5">
        <w:r w:rsidRPr="7E4274EB">
          <w:rPr>
            <w:rStyle w:val="Hyperlink"/>
            <w:rFonts w:ascii="Times New Roman" w:eastAsia="Times New Roman" w:hAnsi="Times New Roman" w:cs="Times New Roman"/>
          </w:rPr>
          <w:t>HR Magazine - Diversity and inclusion: stretching both ends of the talent pipeline</w:t>
        </w:r>
      </w:hyperlink>
      <w:r w:rsidRPr="7E4274EB">
        <w:rPr>
          <w:rFonts w:ascii="Times New Roman" w:eastAsia="Times New Roman" w:hAnsi="Times New Roman" w:cs="Times New Roman"/>
          <w:color w:val="000000" w:themeColor="text1"/>
        </w:rPr>
        <w:t xml:space="preserve"> (Accessed: 15/06/2024) </w:t>
      </w:r>
      <w:r w:rsidRPr="7E4274EB">
        <w:rPr>
          <w:rFonts w:ascii="Times New Roman" w:eastAsia="Times New Roman" w:hAnsi="Times New Roman" w:cs="Times New Roman"/>
          <w:lang w:val="en-US"/>
        </w:rPr>
        <w:t xml:space="preserve"> </w:t>
      </w:r>
    </w:p>
    <w:p w14:paraId="0CD982CF" w14:textId="1608F934" w:rsidR="13E3AAFF" w:rsidRDefault="706976AB"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A</w:t>
      </w:r>
      <w:r w:rsidR="0782309B" w:rsidRPr="7E4274EB">
        <w:rPr>
          <w:rFonts w:ascii="Times New Roman" w:eastAsia="Times New Roman" w:hAnsi="Times New Roman" w:cs="Times New Roman"/>
          <w:color w:val="000000" w:themeColor="text1"/>
        </w:rPr>
        <w:t xml:space="preserve">rmstrong, M. &amp; Taylor, S. (2023) </w:t>
      </w:r>
      <w:r w:rsidR="0782309B" w:rsidRPr="7E4274EB">
        <w:rPr>
          <w:rFonts w:ascii="Times New Roman" w:eastAsia="Times New Roman" w:hAnsi="Times New Roman" w:cs="Times New Roman"/>
          <w:i/>
          <w:iCs/>
          <w:color w:val="000000" w:themeColor="text1"/>
        </w:rPr>
        <w:t>Armstrong’s Handbook of Human Resource Management Practice.</w:t>
      </w:r>
      <w:r w:rsidR="0782309B" w:rsidRPr="7E4274EB">
        <w:rPr>
          <w:rFonts w:ascii="Times New Roman" w:eastAsia="Times New Roman" w:hAnsi="Times New Roman" w:cs="Times New Roman"/>
          <w:color w:val="000000" w:themeColor="text1"/>
        </w:rPr>
        <w:t xml:space="preserve"> 16</w:t>
      </w:r>
      <w:r w:rsidR="0782309B" w:rsidRPr="7E4274EB">
        <w:rPr>
          <w:rFonts w:ascii="Times New Roman" w:eastAsia="Times New Roman" w:hAnsi="Times New Roman" w:cs="Times New Roman"/>
          <w:color w:val="000000" w:themeColor="text1"/>
          <w:vertAlign w:val="superscript"/>
        </w:rPr>
        <w:t>th</w:t>
      </w:r>
      <w:r w:rsidR="0782309B" w:rsidRPr="7E4274EB">
        <w:rPr>
          <w:rFonts w:ascii="Times New Roman" w:eastAsia="Times New Roman" w:hAnsi="Times New Roman" w:cs="Times New Roman"/>
          <w:color w:val="000000" w:themeColor="text1"/>
        </w:rPr>
        <w:t xml:space="preserve"> </w:t>
      </w:r>
      <w:proofErr w:type="spellStart"/>
      <w:r w:rsidR="0782309B" w:rsidRPr="7E4274EB">
        <w:rPr>
          <w:rFonts w:ascii="Times New Roman" w:eastAsia="Times New Roman" w:hAnsi="Times New Roman" w:cs="Times New Roman"/>
          <w:color w:val="000000" w:themeColor="text1"/>
        </w:rPr>
        <w:t>edn</w:t>
      </w:r>
      <w:proofErr w:type="spellEnd"/>
      <w:r w:rsidR="0782309B" w:rsidRPr="7E4274EB">
        <w:rPr>
          <w:rFonts w:ascii="Times New Roman" w:eastAsia="Times New Roman" w:hAnsi="Times New Roman" w:cs="Times New Roman"/>
          <w:color w:val="000000" w:themeColor="text1"/>
        </w:rPr>
        <w:t xml:space="preserve">. London: Kogan Page  </w:t>
      </w:r>
    </w:p>
    <w:p w14:paraId="3BCB53E4" w14:textId="417264C8" w:rsidR="13E3AAFF" w:rsidRDefault="368E4302"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202020"/>
        </w:rPr>
        <w:t xml:space="preserve">Ayling, L. &amp; </w:t>
      </w:r>
      <w:proofErr w:type="spellStart"/>
      <w:r w:rsidRPr="7E4274EB">
        <w:rPr>
          <w:rFonts w:ascii="Times New Roman" w:eastAsia="Times New Roman" w:hAnsi="Times New Roman" w:cs="Times New Roman"/>
          <w:color w:val="202020"/>
        </w:rPr>
        <w:t>Suff</w:t>
      </w:r>
      <w:proofErr w:type="spellEnd"/>
      <w:r w:rsidRPr="7E4274EB">
        <w:rPr>
          <w:rFonts w:ascii="Times New Roman" w:eastAsia="Times New Roman" w:hAnsi="Times New Roman" w:cs="Times New Roman"/>
          <w:color w:val="202020"/>
        </w:rPr>
        <w:t xml:space="preserve">, R. (2023) </w:t>
      </w:r>
      <w:r w:rsidRPr="7E4274EB">
        <w:rPr>
          <w:rFonts w:ascii="Times New Roman" w:eastAsia="Times New Roman" w:hAnsi="Times New Roman" w:cs="Times New Roman"/>
          <w:i/>
          <w:iCs/>
          <w:color w:val="202020"/>
        </w:rPr>
        <w:t>Contracts of employment.</w:t>
      </w:r>
      <w:r w:rsidRPr="7E4274EB">
        <w:rPr>
          <w:rFonts w:ascii="Times New Roman" w:eastAsia="Times New Roman" w:hAnsi="Times New Roman" w:cs="Times New Roman"/>
          <w:color w:val="202020"/>
        </w:rPr>
        <w:t xml:space="preserve"> Available at: </w:t>
      </w:r>
      <w:hyperlink r:id="rId6">
        <w:r w:rsidRPr="7E4274EB">
          <w:rPr>
            <w:rStyle w:val="Hyperlink"/>
            <w:rFonts w:ascii="Times New Roman" w:eastAsia="Times New Roman" w:hAnsi="Times New Roman" w:cs="Times New Roman"/>
          </w:rPr>
          <w:t>Contracts of Employment | Factsheets | CIPD</w:t>
        </w:r>
      </w:hyperlink>
      <w:r w:rsidRPr="7E4274EB">
        <w:rPr>
          <w:rFonts w:ascii="Times New Roman" w:eastAsia="Times New Roman" w:hAnsi="Times New Roman" w:cs="Times New Roman"/>
          <w:color w:val="000000" w:themeColor="text1"/>
        </w:rPr>
        <w:t xml:space="preserve"> (Accessed: 18/05/2024) </w:t>
      </w:r>
    </w:p>
    <w:p w14:paraId="40AE8A68" w14:textId="1A7EA013" w:rsidR="7C4243B7" w:rsidRDefault="530D5C96"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 xml:space="preserve">Beatson, M. (2023) </w:t>
      </w:r>
      <w:r w:rsidRPr="7E4274EB">
        <w:rPr>
          <w:rFonts w:ascii="Times New Roman" w:eastAsia="Times New Roman" w:hAnsi="Times New Roman" w:cs="Times New Roman"/>
          <w:i/>
          <w:iCs/>
          <w:color w:val="000000" w:themeColor="text1"/>
        </w:rPr>
        <w:t>Zero-hours contracts.</w:t>
      </w:r>
      <w:r w:rsidRPr="7E4274EB">
        <w:rPr>
          <w:rFonts w:ascii="Times New Roman" w:eastAsia="Times New Roman" w:hAnsi="Times New Roman" w:cs="Times New Roman"/>
          <w:color w:val="000000" w:themeColor="text1"/>
        </w:rPr>
        <w:t xml:space="preserve"> Available at: </w:t>
      </w:r>
      <w:hyperlink r:id="rId7">
        <w:r w:rsidRPr="7E4274EB">
          <w:rPr>
            <w:rStyle w:val="Hyperlink"/>
            <w:rFonts w:ascii="Times New Roman" w:eastAsia="Times New Roman" w:hAnsi="Times New Roman" w:cs="Times New Roman"/>
          </w:rPr>
          <w:t>Zero Hours Contracts | Factsheets | CIPD</w:t>
        </w:r>
      </w:hyperlink>
      <w:r w:rsidRPr="7E4274EB">
        <w:rPr>
          <w:rFonts w:ascii="Times New Roman" w:eastAsia="Times New Roman" w:hAnsi="Times New Roman" w:cs="Times New Roman"/>
          <w:color w:val="000000" w:themeColor="text1"/>
        </w:rPr>
        <w:t xml:space="preserve"> (Accessed: 19/05/2024) </w:t>
      </w:r>
    </w:p>
    <w:p w14:paraId="50431250" w14:textId="25D0FA25" w:rsidR="7C4243B7" w:rsidRDefault="14442AD2"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CIPD (2019) </w:t>
      </w:r>
      <w:r w:rsidRPr="7E4274EB">
        <w:rPr>
          <w:rFonts w:ascii="Times New Roman" w:eastAsia="Times New Roman" w:hAnsi="Times New Roman" w:cs="Times New Roman"/>
          <w:i/>
          <w:iCs/>
        </w:rPr>
        <w:t xml:space="preserve">Building inclusive workplaces. </w:t>
      </w:r>
      <w:r w:rsidRPr="7E4274EB">
        <w:rPr>
          <w:rFonts w:ascii="Times New Roman" w:eastAsia="Times New Roman" w:hAnsi="Times New Roman" w:cs="Times New Roman"/>
        </w:rPr>
        <w:t xml:space="preserve">Available at: </w:t>
      </w:r>
      <w:hyperlink r:id="rId8">
        <w:r w:rsidRPr="7E4274EB">
          <w:rPr>
            <w:rStyle w:val="Hyperlink"/>
            <w:rFonts w:ascii="Times New Roman" w:eastAsia="Times New Roman" w:hAnsi="Times New Roman" w:cs="Times New Roman"/>
          </w:rPr>
          <w:t>Building inclusive workplaces | CIPD</w:t>
        </w:r>
      </w:hyperlink>
      <w:r w:rsidRPr="7E4274EB">
        <w:rPr>
          <w:rFonts w:ascii="Times New Roman" w:eastAsia="Times New Roman" w:hAnsi="Times New Roman" w:cs="Times New Roman"/>
          <w:color w:val="000000" w:themeColor="text1"/>
        </w:rPr>
        <w:t xml:space="preserve"> (Accessed: 15/06/2024)</w:t>
      </w:r>
      <w:r w:rsidRPr="7E4274EB">
        <w:rPr>
          <w:rFonts w:ascii="Times New Roman" w:eastAsia="Times New Roman" w:hAnsi="Times New Roman" w:cs="Times New Roman"/>
        </w:rPr>
        <w:t xml:space="preserve"> </w:t>
      </w:r>
    </w:p>
    <w:p w14:paraId="0402107C" w14:textId="1FEAB138" w:rsidR="7C4243B7" w:rsidRDefault="1BE301D6"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lastRenderedPageBreak/>
        <w:t xml:space="preserve">CIPD (2022) </w:t>
      </w:r>
      <w:r w:rsidRPr="7E4274EB">
        <w:rPr>
          <w:rFonts w:ascii="Times New Roman" w:eastAsia="Times New Roman" w:hAnsi="Times New Roman" w:cs="Times New Roman"/>
          <w:i/>
          <w:iCs/>
          <w:color w:val="000000" w:themeColor="text1"/>
        </w:rPr>
        <w:t>Agency workers: Understanding the law.</w:t>
      </w:r>
      <w:r w:rsidRPr="7E4274EB">
        <w:rPr>
          <w:rFonts w:ascii="Times New Roman" w:eastAsia="Times New Roman" w:hAnsi="Times New Roman" w:cs="Times New Roman"/>
          <w:color w:val="000000" w:themeColor="text1"/>
        </w:rPr>
        <w:t xml:space="preserve"> Available at: </w:t>
      </w:r>
      <w:hyperlink r:id="rId9">
        <w:r w:rsidRPr="7E4274EB">
          <w:rPr>
            <w:rStyle w:val="Hyperlink"/>
            <w:rFonts w:ascii="Times New Roman" w:eastAsia="Times New Roman" w:hAnsi="Times New Roman" w:cs="Times New Roman"/>
          </w:rPr>
          <w:t>Agency workers: Understanding the law | CIPD</w:t>
        </w:r>
      </w:hyperlink>
      <w:r w:rsidRPr="7E4274EB">
        <w:rPr>
          <w:rFonts w:ascii="Times New Roman" w:eastAsia="Times New Roman" w:hAnsi="Times New Roman" w:cs="Times New Roman"/>
          <w:color w:val="000000" w:themeColor="text1"/>
        </w:rPr>
        <w:t xml:space="preserve"> (Accessed: 25/05/2024)</w:t>
      </w:r>
    </w:p>
    <w:p w14:paraId="2EB16440" w14:textId="01120AF4" w:rsidR="7C4243B7" w:rsidRDefault="32C8FBE8" w:rsidP="7E4274EB">
      <w:pPr>
        <w:spacing w:line="360" w:lineRule="auto"/>
        <w:rPr>
          <w:rFonts w:ascii="Times New Roman" w:eastAsia="Times New Roman" w:hAnsi="Times New Roman" w:cs="Times New Roman"/>
          <w:color w:val="000000" w:themeColor="text1"/>
        </w:rPr>
      </w:pPr>
      <w:r w:rsidRPr="7E4274EB">
        <w:rPr>
          <w:rFonts w:ascii="Times New Roman" w:eastAsia="Times New Roman" w:hAnsi="Times New Roman" w:cs="Times New Roman"/>
          <w:color w:val="000000" w:themeColor="text1"/>
        </w:rPr>
        <w:t xml:space="preserve">CIPD (2022a) </w:t>
      </w:r>
      <w:r w:rsidRPr="7E4274EB">
        <w:rPr>
          <w:rFonts w:ascii="Times New Roman" w:eastAsia="Times New Roman" w:hAnsi="Times New Roman" w:cs="Times New Roman"/>
          <w:i/>
          <w:iCs/>
          <w:color w:val="000000" w:themeColor="text1"/>
        </w:rPr>
        <w:t xml:space="preserve">Resourcing and talent planning report. </w:t>
      </w:r>
      <w:r w:rsidRPr="7E4274EB">
        <w:rPr>
          <w:rFonts w:ascii="Times New Roman" w:eastAsia="Times New Roman" w:hAnsi="Times New Roman" w:cs="Times New Roman"/>
          <w:color w:val="000000" w:themeColor="text1"/>
        </w:rPr>
        <w:t>8272. London: CIPD</w:t>
      </w:r>
      <w:r w:rsidR="7077BDF9" w:rsidRPr="7E4274EB">
        <w:rPr>
          <w:rFonts w:ascii="Times New Roman" w:eastAsia="Times New Roman" w:hAnsi="Times New Roman" w:cs="Times New Roman"/>
          <w:color w:val="000000" w:themeColor="text1"/>
        </w:rPr>
        <w:t>.</w:t>
      </w:r>
      <w:r w:rsidRPr="7E4274EB">
        <w:rPr>
          <w:rFonts w:ascii="Times New Roman" w:eastAsia="Times New Roman" w:hAnsi="Times New Roman" w:cs="Times New Roman"/>
          <w:color w:val="000000" w:themeColor="text1"/>
        </w:rPr>
        <w:t xml:space="preserve"> Available at: </w:t>
      </w:r>
      <w:hyperlink r:id="rId10">
        <w:r w:rsidRPr="7E4274EB">
          <w:rPr>
            <w:rStyle w:val="Hyperlink"/>
            <w:rFonts w:ascii="Times New Roman" w:eastAsia="Times New Roman" w:hAnsi="Times New Roman" w:cs="Times New Roman"/>
          </w:rPr>
          <w:t>Resourcing and talent planning survey 2022 (cipd.org)</w:t>
        </w:r>
      </w:hyperlink>
      <w:r w:rsidRPr="7E4274EB">
        <w:rPr>
          <w:rFonts w:ascii="Times New Roman" w:eastAsia="Times New Roman" w:hAnsi="Times New Roman" w:cs="Times New Roman"/>
          <w:color w:val="000000" w:themeColor="text1"/>
        </w:rPr>
        <w:t xml:space="preserve"> (Accessed: 26/05/2024) </w:t>
      </w:r>
    </w:p>
    <w:p w14:paraId="31CE16D4" w14:textId="12A9D039" w:rsidR="7C4243B7" w:rsidRDefault="3E860465" w:rsidP="7E4274EB">
      <w:pPr>
        <w:spacing w:line="360" w:lineRule="auto"/>
        <w:rPr>
          <w:rFonts w:ascii="Times New Roman" w:eastAsia="Times New Roman" w:hAnsi="Times New Roman" w:cs="Times New Roman"/>
          <w:color w:val="000000" w:themeColor="text1"/>
        </w:rPr>
      </w:pPr>
      <w:r w:rsidRPr="7E4274EB">
        <w:rPr>
          <w:rFonts w:ascii="Times New Roman" w:eastAsia="Times New Roman" w:hAnsi="Times New Roman" w:cs="Times New Roman"/>
          <w:color w:val="000000" w:themeColor="text1"/>
        </w:rPr>
        <w:t xml:space="preserve">CIPD (2022b) </w:t>
      </w:r>
      <w:r w:rsidR="46211588" w:rsidRPr="7E4274EB">
        <w:rPr>
          <w:rFonts w:ascii="Times New Roman" w:eastAsia="Times New Roman" w:hAnsi="Times New Roman" w:cs="Times New Roman"/>
          <w:i/>
          <w:iCs/>
          <w:color w:val="000000" w:themeColor="text1"/>
        </w:rPr>
        <w:t xml:space="preserve">Employers views on skills policy in the UK. </w:t>
      </w:r>
      <w:r w:rsidRPr="7E4274EB">
        <w:rPr>
          <w:rFonts w:ascii="Times New Roman" w:eastAsia="Times New Roman" w:hAnsi="Times New Roman" w:cs="Times New Roman"/>
          <w:color w:val="000000" w:themeColor="text1"/>
        </w:rPr>
        <w:t xml:space="preserve">Available at: </w:t>
      </w:r>
      <w:hyperlink r:id="rId11">
        <w:r w:rsidRPr="7E4274EB">
          <w:rPr>
            <w:rStyle w:val="Hyperlink"/>
            <w:rFonts w:ascii="Times New Roman" w:eastAsia="Times New Roman" w:hAnsi="Times New Roman" w:cs="Times New Roman"/>
          </w:rPr>
          <w:t>Employer views on skills policy in the UK | CIPD</w:t>
        </w:r>
      </w:hyperlink>
      <w:r w:rsidRPr="7E4274EB">
        <w:rPr>
          <w:rFonts w:ascii="Times New Roman" w:eastAsia="Times New Roman" w:hAnsi="Times New Roman" w:cs="Times New Roman"/>
          <w:color w:val="000000" w:themeColor="text1"/>
        </w:rPr>
        <w:t xml:space="preserve"> (Accessed: 23/06/2024) </w:t>
      </w:r>
      <w:r w:rsidR="0048AFFA" w:rsidRPr="7E4274EB">
        <w:rPr>
          <w:rFonts w:ascii="Times New Roman" w:eastAsia="Times New Roman" w:hAnsi="Times New Roman" w:cs="Times New Roman"/>
          <w:color w:val="000000" w:themeColor="text1"/>
        </w:rPr>
        <w:t>2</w:t>
      </w:r>
    </w:p>
    <w:p w14:paraId="5435D819" w14:textId="743221D0" w:rsidR="7C4243B7" w:rsidRDefault="1BE301D6"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 xml:space="preserve">CIPD (2023) </w:t>
      </w:r>
      <w:r w:rsidRPr="7E4274EB">
        <w:rPr>
          <w:rFonts w:ascii="Times New Roman" w:eastAsia="Times New Roman" w:hAnsi="Times New Roman" w:cs="Times New Roman"/>
          <w:i/>
          <w:iCs/>
          <w:color w:val="000000" w:themeColor="text1"/>
        </w:rPr>
        <w:t xml:space="preserve">Fixed-term contracts: Guide for employers. </w:t>
      </w:r>
      <w:r w:rsidRPr="7E4274EB">
        <w:rPr>
          <w:rFonts w:ascii="Times New Roman" w:eastAsia="Times New Roman" w:hAnsi="Times New Roman" w:cs="Times New Roman"/>
          <w:color w:val="000000" w:themeColor="text1"/>
        </w:rPr>
        <w:t xml:space="preserve">Available at: </w:t>
      </w:r>
      <w:hyperlink r:id="rId12" w:anchor=":~:text=Fixed%2Dterm%20employees%20are%20employed,example%2C%20funding%20runs%20out).">
        <w:r w:rsidRPr="7E4274EB">
          <w:rPr>
            <w:rStyle w:val="Hyperlink"/>
            <w:rFonts w:ascii="Times New Roman" w:eastAsia="Times New Roman" w:hAnsi="Times New Roman" w:cs="Times New Roman"/>
          </w:rPr>
          <w:t>Fixed-term contracts: Guide for employers | CIPD</w:t>
        </w:r>
      </w:hyperlink>
      <w:r w:rsidRPr="7E4274EB">
        <w:rPr>
          <w:rFonts w:ascii="Times New Roman" w:eastAsia="Times New Roman" w:hAnsi="Times New Roman" w:cs="Times New Roman"/>
          <w:color w:val="000000" w:themeColor="text1"/>
        </w:rPr>
        <w:t xml:space="preserve"> (Accessed: 19/05/2024) </w:t>
      </w:r>
    </w:p>
    <w:p w14:paraId="26A3008A" w14:textId="66A1969E" w:rsidR="096E072D" w:rsidRDefault="096E072D"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lang w:val="en-US"/>
        </w:rPr>
        <w:t xml:space="preserve">CIPD (2023a) </w:t>
      </w:r>
      <w:r w:rsidRPr="7E4274EB">
        <w:rPr>
          <w:rFonts w:ascii="Times New Roman" w:eastAsia="Times New Roman" w:hAnsi="Times New Roman" w:cs="Times New Roman"/>
          <w:i/>
          <w:iCs/>
          <w:color w:val="000000" w:themeColor="text1"/>
          <w:lang w:val="en-US"/>
        </w:rPr>
        <w:t>Strategic workforce planning: Guide for people professionals.</w:t>
      </w:r>
      <w:r w:rsidRPr="7E4274EB">
        <w:rPr>
          <w:rFonts w:ascii="Times New Roman" w:eastAsia="Times New Roman" w:hAnsi="Times New Roman" w:cs="Times New Roman"/>
          <w:color w:val="000000" w:themeColor="text1"/>
          <w:lang w:val="en-US"/>
        </w:rPr>
        <w:t xml:space="preserve"> Available at: </w:t>
      </w:r>
      <w:hyperlink r:id="rId13">
        <w:r w:rsidRPr="7E4274EB">
          <w:rPr>
            <w:rStyle w:val="Hyperlink"/>
            <w:rFonts w:ascii="Times New Roman" w:eastAsia="Times New Roman" w:hAnsi="Times New Roman" w:cs="Times New Roman"/>
            <w:lang w:val="en-US"/>
          </w:rPr>
          <w:t>Strategic workforce planning: Guide for people professionals | CIPD</w:t>
        </w:r>
      </w:hyperlink>
      <w:r w:rsidRPr="7E4274EB">
        <w:rPr>
          <w:rFonts w:ascii="Times New Roman" w:eastAsia="Times New Roman" w:hAnsi="Times New Roman" w:cs="Times New Roman"/>
          <w:color w:val="000000" w:themeColor="text1"/>
          <w:lang w:val="en-US"/>
        </w:rPr>
        <w:t xml:space="preserve"> (Accessed: 16/06/2024)</w:t>
      </w:r>
    </w:p>
    <w:p w14:paraId="37565628" w14:textId="54E25949" w:rsidR="7C4243B7" w:rsidRDefault="51731C57"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 xml:space="preserve">CIPD (2024) </w:t>
      </w:r>
      <w:r w:rsidRPr="7E4274EB">
        <w:rPr>
          <w:rFonts w:ascii="Times New Roman" w:eastAsia="Times New Roman" w:hAnsi="Times New Roman" w:cs="Times New Roman"/>
          <w:i/>
          <w:iCs/>
          <w:color w:val="000000" w:themeColor="text1"/>
        </w:rPr>
        <w:t>Labour Market Outlook: Views from employers</w:t>
      </w:r>
      <w:r w:rsidR="1B1035A3" w:rsidRPr="7E4274EB">
        <w:rPr>
          <w:rFonts w:ascii="Times New Roman" w:eastAsia="Times New Roman" w:hAnsi="Times New Roman" w:cs="Times New Roman"/>
          <w:i/>
          <w:iCs/>
          <w:color w:val="000000" w:themeColor="text1"/>
        </w:rPr>
        <w:t>. Spring 2024</w:t>
      </w:r>
      <w:r w:rsidRPr="7E4274EB">
        <w:rPr>
          <w:rFonts w:ascii="Times New Roman" w:eastAsia="Times New Roman" w:hAnsi="Times New Roman" w:cs="Times New Roman"/>
          <w:i/>
          <w:iCs/>
          <w:color w:val="000000" w:themeColor="text1"/>
        </w:rPr>
        <w:t>.</w:t>
      </w:r>
      <w:r w:rsidRPr="7E4274EB">
        <w:rPr>
          <w:rFonts w:ascii="Times New Roman" w:eastAsia="Times New Roman" w:hAnsi="Times New Roman" w:cs="Times New Roman"/>
          <w:color w:val="000000" w:themeColor="text1"/>
        </w:rPr>
        <w:t xml:space="preserve"> 8614. </w:t>
      </w:r>
      <w:r w:rsidR="319CC991" w:rsidRPr="7E4274EB">
        <w:rPr>
          <w:rFonts w:ascii="Times New Roman" w:eastAsia="Times New Roman" w:hAnsi="Times New Roman" w:cs="Times New Roman"/>
          <w:color w:val="000000" w:themeColor="text1"/>
        </w:rPr>
        <w:t xml:space="preserve">London: CIPD. </w:t>
      </w:r>
      <w:r w:rsidRPr="7E4274EB">
        <w:rPr>
          <w:rFonts w:ascii="Times New Roman" w:eastAsia="Times New Roman" w:hAnsi="Times New Roman" w:cs="Times New Roman"/>
          <w:color w:val="000000" w:themeColor="text1"/>
        </w:rPr>
        <w:t xml:space="preserve">Available at: </w:t>
      </w:r>
      <w:hyperlink r:id="rId14">
        <w:r w:rsidRPr="7E4274EB">
          <w:rPr>
            <w:rStyle w:val="Hyperlink"/>
            <w:rFonts w:ascii="Times New Roman" w:eastAsia="Times New Roman" w:hAnsi="Times New Roman" w:cs="Times New Roman"/>
          </w:rPr>
          <w:t>Labour Market Outlook: Spring 2024 (cipd.org)</w:t>
        </w:r>
      </w:hyperlink>
      <w:r w:rsidRPr="7E4274EB">
        <w:rPr>
          <w:rFonts w:ascii="Times New Roman" w:eastAsia="Times New Roman" w:hAnsi="Times New Roman" w:cs="Times New Roman"/>
        </w:rPr>
        <w:t xml:space="preserve"> (Accessed: 01/06/2024) </w:t>
      </w:r>
    </w:p>
    <w:p w14:paraId="38D38E2B" w14:textId="4335C429" w:rsidR="7C4243B7" w:rsidRDefault="51B8C1DF"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CIPD (2024</w:t>
      </w:r>
      <w:r w:rsidR="68195AFF" w:rsidRPr="7E4274EB">
        <w:rPr>
          <w:rFonts w:ascii="Times New Roman" w:eastAsia="Times New Roman" w:hAnsi="Times New Roman" w:cs="Times New Roman"/>
          <w:color w:val="000000" w:themeColor="text1"/>
        </w:rPr>
        <w:t>a</w:t>
      </w:r>
      <w:r w:rsidRPr="7E4274EB">
        <w:rPr>
          <w:rFonts w:ascii="Times New Roman" w:eastAsia="Times New Roman" w:hAnsi="Times New Roman" w:cs="Times New Roman"/>
          <w:color w:val="000000" w:themeColor="text1"/>
        </w:rPr>
        <w:t xml:space="preserve">) </w:t>
      </w:r>
      <w:r w:rsidRPr="7E4274EB">
        <w:rPr>
          <w:rFonts w:ascii="Times New Roman" w:eastAsia="Times New Roman" w:hAnsi="Times New Roman" w:cs="Times New Roman"/>
          <w:i/>
          <w:iCs/>
          <w:color w:val="000000" w:themeColor="text1"/>
        </w:rPr>
        <w:t>An employer’s guide to atypical working</w:t>
      </w:r>
      <w:r w:rsidRPr="7E4274EB">
        <w:rPr>
          <w:rFonts w:ascii="Times New Roman" w:eastAsia="Times New Roman" w:hAnsi="Times New Roman" w:cs="Times New Roman"/>
          <w:color w:val="000000" w:themeColor="text1"/>
        </w:rPr>
        <w:t xml:space="preserve">. Available at: </w:t>
      </w:r>
      <w:hyperlink r:id="rId15">
        <w:r w:rsidRPr="7E4274EB">
          <w:rPr>
            <w:rStyle w:val="Hyperlink"/>
            <w:rFonts w:ascii="Times New Roman" w:eastAsia="Times New Roman" w:hAnsi="Times New Roman" w:cs="Times New Roman"/>
          </w:rPr>
          <w:t>An employer's guide to atypical working | CIPD | CIPD</w:t>
        </w:r>
      </w:hyperlink>
      <w:r w:rsidRPr="7E4274EB">
        <w:rPr>
          <w:rFonts w:ascii="Times New Roman" w:eastAsia="Times New Roman" w:hAnsi="Times New Roman" w:cs="Times New Roman"/>
          <w:color w:val="000000" w:themeColor="text1"/>
        </w:rPr>
        <w:t xml:space="preserve"> (Accessed: 19/05/2024)</w:t>
      </w:r>
    </w:p>
    <w:p w14:paraId="7C9B90E6" w14:textId="6A8C70B0" w:rsidR="20AC752B" w:rsidRDefault="20AC752B"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Crowley, L. (2023)</w:t>
      </w:r>
      <w:r w:rsidR="0DD350EA" w:rsidRPr="7E4274EB">
        <w:rPr>
          <w:rFonts w:ascii="Times New Roman" w:eastAsia="Times New Roman" w:hAnsi="Times New Roman" w:cs="Times New Roman"/>
          <w:color w:val="000000" w:themeColor="text1"/>
        </w:rPr>
        <w:t xml:space="preserve"> </w:t>
      </w:r>
      <w:r w:rsidR="0DD350EA" w:rsidRPr="7E4274EB">
        <w:rPr>
          <w:rFonts w:ascii="Times New Roman" w:eastAsia="Times New Roman" w:hAnsi="Times New Roman" w:cs="Times New Roman"/>
          <w:i/>
          <w:iCs/>
          <w:color w:val="000000" w:themeColor="text1"/>
        </w:rPr>
        <w:t>Skills development in the UK workplace.</w:t>
      </w:r>
      <w:r w:rsidRPr="7E4274EB">
        <w:rPr>
          <w:rFonts w:ascii="Times New Roman" w:eastAsia="Times New Roman" w:hAnsi="Times New Roman" w:cs="Times New Roman"/>
          <w:color w:val="000000" w:themeColor="text1"/>
        </w:rPr>
        <w:t xml:space="preserve"> Available at: </w:t>
      </w:r>
      <w:hyperlink r:id="rId16">
        <w:r w:rsidRPr="7E4274EB">
          <w:rPr>
            <w:rStyle w:val="Hyperlink"/>
            <w:rFonts w:ascii="Times New Roman" w:eastAsia="Times New Roman" w:hAnsi="Times New Roman" w:cs="Times New Roman"/>
          </w:rPr>
          <w:t>Skills Development in the UK Workplace | Factsheets | CIPD</w:t>
        </w:r>
      </w:hyperlink>
      <w:r w:rsidRPr="7E4274EB">
        <w:rPr>
          <w:rFonts w:ascii="Times New Roman" w:eastAsia="Times New Roman" w:hAnsi="Times New Roman" w:cs="Times New Roman"/>
          <w:color w:val="000000" w:themeColor="text1"/>
        </w:rPr>
        <w:t xml:space="preserve"> (Accessed</w:t>
      </w:r>
      <w:r w:rsidR="33F0B843" w:rsidRPr="7E4274EB">
        <w:rPr>
          <w:rFonts w:ascii="Times New Roman" w:eastAsia="Times New Roman" w:hAnsi="Times New Roman" w:cs="Times New Roman"/>
          <w:color w:val="000000" w:themeColor="text1"/>
        </w:rPr>
        <w:t>:</w:t>
      </w:r>
      <w:r w:rsidRPr="7E4274EB">
        <w:rPr>
          <w:rFonts w:ascii="Times New Roman" w:eastAsia="Times New Roman" w:hAnsi="Times New Roman" w:cs="Times New Roman"/>
          <w:color w:val="000000" w:themeColor="text1"/>
        </w:rPr>
        <w:t xml:space="preserve"> 23/06/2024) </w:t>
      </w:r>
    </w:p>
    <w:p w14:paraId="6AFDA0D5" w14:textId="68CBC82D" w:rsidR="7C4243B7" w:rsidRDefault="4165BC75"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 xml:space="preserve">Daniels, K. (2022) </w:t>
      </w:r>
      <w:r w:rsidRPr="7E4274EB">
        <w:rPr>
          <w:rFonts w:ascii="Times New Roman" w:eastAsia="Times New Roman" w:hAnsi="Times New Roman" w:cs="Times New Roman"/>
          <w:i/>
          <w:iCs/>
          <w:color w:val="000000" w:themeColor="text1"/>
        </w:rPr>
        <w:t>Introduction to Employment Law: Fundamentals for HR and business students</w:t>
      </w:r>
      <w:r w:rsidRPr="7E4274EB">
        <w:rPr>
          <w:rFonts w:ascii="Times New Roman" w:eastAsia="Times New Roman" w:hAnsi="Times New Roman" w:cs="Times New Roman"/>
          <w:color w:val="000000" w:themeColor="text1"/>
        </w:rPr>
        <w:t xml:space="preserve">. 6th </w:t>
      </w:r>
      <w:proofErr w:type="spellStart"/>
      <w:r w:rsidRPr="7E4274EB">
        <w:rPr>
          <w:rFonts w:ascii="Times New Roman" w:eastAsia="Times New Roman" w:hAnsi="Times New Roman" w:cs="Times New Roman"/>
          <w:color w:val="000000" w:themeColor="text1"/>
        </w:rPr>
        <w:t>Edn</w:t>
      </w:r>
      <w:proofErr w:type="spellEnd"/>
      <w:r w:rsidRPr="7E4274EB">
        <w:rPr>
          <w:rFonts w:ascii="Times New Roman" w:eastAsia="Times New Roman" w:hAnsi="Times New Roman" w:cs="Times New Roman"/>
          <w:color w:val="000000" w:themeColor="text1"/>
        </w:rPr>
        <w:t xml:space="preserve">. London: Kogan Page. </w:t>
      </w:r>
      <w:r w:rsidRPr="7E4274EB">
        <w:rPr>
          <w:rFonts w:ascii="Times New Roman" w:eastAsia="Times New Roman" w:hAnsi="Times New Roman" w:cs="Times New Roman"/>
        </w:rPr>
        <w:t xml:space="preserve"> </w:t>
      </w:r>
    </w:p>
    <w:p w14:paraId="25A7FEA5" w14:textId="6B2EF649" w:rsidR="7C4243B7" w:rsidRDefault="51B8C1DF"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i/>
          <w:iCs/>
          <w:color w:val="000000" w:themeColor="text1"/>
        </w:rPr>
        <w:t xml:space="preserve">Fixed-Term Employees (Prevention of Less Favourable Treatment) Regulations 2002. No. 2034. </w:t>
      </w:r>
      <w:r w:rsidRPr="7E4274EB">
        <w:rPr>
          <w:rFonts w:ascii="Times New Roman" w:eastAsia="Times New Roman" w:hAnsi="Times New Roman" w:cs="Times New Roman"/>
          <w:color w:val="000000" w:themeColor="text1"/>
        </w:rPr>
        <w:t xml:space="preserve">Available at: </w:t>
      </w:r>
      <w:hyperlink r:id="rId17">
        <w:r w:rsidRPr="7E4274EB">
          <w:rPr>
            <w:rStyle w:val="Hyperlink"/>
            <w:rFonts w:ascii="Times New Roman" w:eastAsia="Times New Roman" w:hAnsi="Times New Roman" w:cs="Times New Roman"/>
          </w:rPr>
          <w:t>The Fixed-term Employees (Prevention of Less Favourable Treatment) Regulations 2002 (legislation.gov.uk)</w:t>
        </w:r>
      </w:hyperlink>
      <w:r w:rsidRPr="7E4274EB">
        <w:rPr>
          <w:rFonts w:ascii="Times New Roman" w:eastAsia="Times New Roman" w:hAnsi="Times New Roman" w:cs="Times New Roman"/>
          <w:color w:val="000000" w:themeColor="text1"/>
        </w:rPr>
        <w:t xml:space="preserve"> (Accessed: 19/05/2024)</w:t>
      </w:r>
    </w:p>
    <w:p w14:paraId="2CAB19D0" w14:textId="208183F0" w:rsidR="42E06E76" w:rsidRDefault="42E06E76"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 xml:space="preserve">George, S. (2023) </w:t>
      </w:r>
      <w:r w:rsidRPr="7E4274EB">
        <w:rPr>
          <w:rFonts w:ascii="Times New Roman" w:eastAsia="Times New Roman" w:hAnsi="Times New Roman" w:cs="Times New Roman"/>
          <w:i/>
          <w:iCs/>
          <w:color w:val="000000" w:themeColor="text1"/>
        </w:rPr>
        <w:t>Workforce planning.</w:t>
      </w:r>
      <w:r w:rsidRPr="7E4274EB">
        <w:rPr>
          <w:rFonts w:ascii="Times New Roman" w:eastAsia="Times New Roman" w:hAnsi="Times New Roman" w:cs="Times New Roman"/>
          <w:color w:val="000000" w:themeColor="text1"/>
        </w:rPr>
        <w:t xml:space="preserve"> Available at: </w:t>
      </w:r>
      <w:hyperlink r:id="rId18">
        <w:r w:rsidRPr="7E4274EB">
          <w:rPr>
            <w:rStyle w:val="Hyperlink"/>
            <w:rFonts w:ascii="Times New Roman" w:eastAsia="Times New Roman" w:hAnsi="Times New Roman" w:cs="Times New Roman"/>
          </w:rPr>
          <w:t>https://www.cipd.co.uk/knowledge/strategy/organisational-development/workforce-planning-factsheet</w:t>
        </w:r>
      </w:hyperlink>
      <w:r w:rsidRPr="7E4274EB">
        <w:rPr>
          <w:rFonts w:ascii="Times New Roman" w:eastAsia="Times New Roman" w:hAnsi="Times New Roman" w:cs="Times New Roman"/>
          <w:color w:val="000000" w:themeColor="text1"/>
        </w:rPr>
        <w:t xml:space="preserve"> (Accessed: 02/06/2024)</w:t>
      </w:r>
    </w:p>
    <w:p w14:paraId="19D3BD3D" w14:textId="0BC5BC14" w:rsidR="091E7E9F" w:rsidRDefault="091E7E9F"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George, S. (2024)</w:t>
      </w:r>
      <w:r w:rsidRPr="7E4274EB">
        <w:rPr>
          <w:rFonts w:ascii="Times New Roman" w:eastAsia="Times New Roman" w:hAnsi="Times New Roman" w:cs="Times New Roman"/>
          <w:i/>
          <w:iCs/>
          <w:color w:val="000000" w:themeColor="text1"/>
        </w:rPr>
        <w:t xml:space="preserve"> Succession Planning. </w:t>
      </w:r>
      <w:r w:rsidRPr="7E4274EB">
        <w:rPr>
          <w:rFonts w:ascii="Times New Roman" w:eastAsia="Times New Roman" w:hAnsi="Times New Roman" w:cs="Times New Roman"/>
          <w:color w:val="000000" w:themeColor="text1"/>
        </w:rPr>
        <w:t xml:space="preserve">Available at: </w:t>
      </w:r>
      <w:hyperlink r:id="rId19" w:anchor=":~:text=The">
        <w:r w:rsidRPr="7E4274EB">
          <w:rPr>
            <w:rStyle w:val="Hyperlink"/>
            <w:rFonts w:ascii="Times New Roman" w:eastAsia="Times New Roman" w:hAnsi="Times New Roman" w:cs="Times New Roman"/>
          </w:rPr>
          <w:t>Succession Planning | Factsheets | CIPD</w:t>
        </w:r>
      </w:hyperlink>
      <w:r w:rsidRPr="7E4274EB">
        <w:rPr>
          <w:rFonts w:ascii="Times New Roman" w:eastAsia="Times New Roman" w:hAnsi="Times New Roman" w:cs="Times New Roman"/>
          <w:color w:val="000000" w:themeColor="text1"/>
        </w:rPr>
        <w:t xml:space="preserve"> (Accessed: 21/06/2024)</w:t>
      </w:r>
    </w:p>
    <w:p w14:paraId="10CB74BF" w14:textId="0D2E62DD" w:rsidR="37A706DC" w:rsidRDefault="18E43FE8" w:rsidP="7E4274EB">
      <w:pPr>
        <w:shd w:val="clear" w:color="auto" w:fill="FFFFFF" w:themeFill="background1"/>
        <w:spacing w:after="0" w:line="360" w:lineRule="auto"/>
        <w:rPr>
          <w:rFonts w:ascii="Times New Roman" w:eastAsia="Times New Roman" w:hAnsi="Times New Roman" w:cs="Times New Roman"/>
          <w:lang w:val="en-US"/>
        </w:rPr>
      </w:pPr>
      <w:r w:rsidRPr="7E4274EB">
        <w:rPr>
          <w:rFonts w:ascii="Times New Roman" w:eastAsia="Times New Roman" w:hAnsi="Times New Roman" w:cs="Times New Roman"/>
          <w:color w:val="333333"/>
        </w:rPr>
        <w:lastRenderedPageBreak/>
        <w:t xml:space="preserve">McCartney, C. (2023) </w:t>
      </w:r>
      <w:r w:rsidRPr="7E4274EB">
        <w:rPr>
          <w:rFonts w:ascii="Times New Roman" w:eastAsia="Times New Roman" w:hAnsi="Times New Roman" w:cs="Times New Roman"/>
          <w:i/>
          <w:iCs/>
          <w:color w:val="333333"/>
        </w:rPr>
        <w:t xml:space="preserve">Selection methods. </w:t>
      </w:r>
      <w:r w:rsidRPr="7E4274EB">
        <w:rPr>
          <w:rFonts w:ascii="Times New Roman" w:eastAsia="Times New Roman" w:hAnsi="Times New Roman" w:cs="Times New Roman"/>
          <w:color w:val="333333"/>
        </w:rPr>
        <w:t xml:space="preserve">Available at: </w:t>
      </w:r>
      <w:hyperlink r:id="rId20" w:anchor="candidatesselected">
        <w:r w:rsidRPr="7E4274EB">
          <w:rPr>
            <w:rStyle w:val="Hyperlink"/>
            <w:rFonts w:ascii="Times New Roman" w:eastAsia="Times New Roman" w:hAnsi="Times New Roman" w:cs="Times New Roman"/>
          </w:rPr>
          <w:t>Selection Methods | CIPD</w:t>
        </w:r>
      </w:hyperlink>
      <w:r w:rsidRPr="7E4274EB">
        <w:rPr>
          <w:rFonts w:ascii="Times New Roman" w:eastAsia="Times New Roman" w:hAnsi="Times New Roman" w:cs="Times New Roman"/>
          <w:color w:val="000000" w:themeColor="text1"/>
        </w:rPr>
        <w:t xml:space="preserve"> (Accessed: 04/06/2024)</w:t>
      </w:r>
    </w:p>
    <w:p w14:paraId="712DFF78" w14:textId="03A4E74E" w:rsidR="37A706DC" w:rsidRDefault="37A706DC" w:rsidP="7E4274EB">
      <w:pPr>
        <w:shd w:val="clear" w:color="auto" w:fill="FFFFFF" w:themeFill="background1"/>
        <w:spacing w:after="0" w:line="360" w:lineRule="auto"/>
        <w:rPr>
          <w:rFonts w:ascii="Times New Roman" w:eastAsia="Times New Roman" w:hAnsi="Times New Roman" w:cs="Times New Roman"/>
        </w:rPr>
      </w:pPr>
    </w:p>
    <w:p w14:paraId="4EE5B1DE" w14:textId="1E42A740" w:rsidR="37A706DC" w:rsidRDefault="578488ED" w:rsidP="7E4274EB">
      <w:pPr>
        <w:shd w:val="clear" w:color="auto" w:fill="FFFFFF" w:themeFill="background1"/>
        <w:spacing w:after="0" w:line="360" w:lineRule="auto"/>
        <w:rPr>
          <w:rFonts w:ascii="Times New Roman" w:eastAsia="Times New Roman" w:hAnsi="Times New Roman" w:cs="Times New Roman"/>
        </w:rPr>
      </w:pPr>
      <w:r w:rsidRPr="7E4274EB">
        <w:rPr>
          <w:rFonts w:ascii="Times New Roman" w:eastAsia="Times New Roman" w:hAnsi="Times New Roman" w:cs="Times New Roman"/>
        </w:rPr>
        <w:t>McCartney, C. (2023</w:t>
      </w:r>
      <w:r w:rsidR="595E2CEE" w:rsidRPr="7E4274EB">
        <w:rPr>
          <w:rFonts w:ascii="Times New Roman" w:eastAsia="Times New Roman" w:hAnsi="Times New Roman" w:cs="Times New Roman"/>
        </w:rPr>
        <w:t>a</w:t>
      </w:r>
      <w:r w:rsidRPr="7E4274EB">
        <w:rPr>
          <w:rFonts w:ascii="Times New Roman" w:eastAsia="Times New Roman" w:hAnsi="Times New Roman" w:cs="Times New Roman"/>
        </w:rPr>
        <w:t>)</w:t>
      </w:r>
      <w:r w:rsidRPr="7E4274EB">
        <w:rPr>
          <w:rFonts w:ascii="Times New Roman" w:eastAsia="Times New Roman" w:hAnsi="Times New Roman" w:cs="Times New Roman"/>
          <w:i/>
          <w:iCs/>
        </w:rPr>
        <w:t xml:space="preserve"> Induction. </w:t>
      </w:r>
      <w:r w:rsidRPr="7E4274EB">
        <w:rPr>
          <w:rFonts w:ascii="Times New Roman" w:eastAsia="Times New Roman" w:hAnsi="Times New Roman" w:cs="Times New Roman"/>
        </w:rPr>
        <w:t xml:space="preserve">Available at: </w:t>
      </w:r>
      <w:hyperlink r:id="rId21">
        <w:r w:rsidRPr="7E4274EB">
          <w:rPr>
            <w:rStyle w:val="Hyperlink"/>
            <w:rFonts w:ascii="Times New Roman" w:eastAsia="Times New Roman" w:hAnsi="Times New Roman" w:cs="Times New Roman"/>
          </w:rPr>
          <w:t>Induction | Factsheets | CIPD</w:t>
        </w:r>
      </w:hyperlink>
      <w:r w:rsidRPr="7E4274EB">
        <w:rPr>
          <w:rFonts w:ascii="Times New Roman" w:eastAsia="Times New Roman" w:hAnsi="Times New Roman" w:cs="Times New Roman"/>
          <w:color w:val="000000" w:themeColor="text1"/>
        </w:rPr>
        <w:t xml:space="preserve"> (Accessed: 25/05/2024)</w:t>
      </w:r>
    </w:p>
    <w:p w14:paraId="53FF6FAA" w14:textId="31EF7942" w:rsidR="37A706DC" w:rsidRDefault="37A706DC" w:rsidP="7E4274EB">
      <w:pPr>
        <w:shd w:val="clear" w:color="auto" w:fill="FFFFFF" w:themeFill="background1"/>
        <w:spacing w:after="0" w:line="360" w:lineRule="auto"/>
        <w:rPr>
          <w:rFonts w:ascii="Times New Roman" w:eastAsia="Times New Roman" w:hAnsi="Times New Roman" w:cs="Times New Roman"/>
          <w:color w:val="000000" w:themeColor="text1"/>
        </w:rPr>
      </w:pPr>
    </w:p>
    <w:p w14:paraId="15163D55" w14:textId="4F0C3C7E" w:rsidR="37A706DC" w:rsidRDefault="37A706DC" w:rsidP="7E4274EB">
      <w:pPr>
        <w:shd w:val="clear" w:color="auto" w:fill="FFFFFF" w:themeFill="background1"/>
        <w:spacing w:after="0"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 xml:space="preserve">Morgan, K. (2022) </w:t>
      </w:r>
      <w:r w:rsidRPr="7E4274EB">
        <w:rPr>
          <w:rFonts w:ascii="Times New Roman" w:eastAsia="Times New Roman" w:hAnsi="Times New Roman" w:cs="Times New Roman"/>
          <w:i/>
          <w:iCs/>
          <w:color w:val="000000" w:themeColor="text1"/>
        </w:rPr>
        <w:t>Why workers just won't stop quitting</w:t>
      </w:r>
      <w:r w:rsidRPr="7E4274EB">
        <w:rPr>
          <w:rFonts w:ascii="Times New Roman" w:eastAsia="Times New Roman" w:hAnsi="Times New Roman" w:cs="Times New Roman"/>
          <w:color w:val="000000" w:themeColor="text1"/>
        </w:rPr>
        <w:t xml:space="preserve">. Available at: </w:t>
      </w:r>
      <w:hyperlink r:id="rId22">
        <w:r w:rsidRPr="7E4274EB">
          <w:rPr>
            <w:rStyle w:val="Hyperlink"/>
            <w:rFonts w:ascii="Times New Roman" w:eastAsia="Times New Roman" w:hAnsi="Times New Roman" w:cs="Times New Roman"/>
          </w:rPr>
          <w:t xml:space="preserve">Why workers just won’t stop quitting - BBC </w:t>
        </w:r>
        <w:proofErr w:type="spellStart"/>
        <w:r w:rsidRPr="7E4274EB">
          <w:rPr>
            <w:rStyle w:val="Hyperlink"/>
            <w:rFonts w:ascii="Times New Roman" w:eastAsia="Times New Roman" w:hAnsi="Times New Roman" w:cs="Times New Roman"/>
          </w:rPr>
          <w:t>Worklife</w:t>
        </w:r>
        <w:proofErr w:type="spellEnd"/>
      </w:hyperlink>
      <w:r w:rsidRPr="7E4274EB">
        <w:rPr>
          <w:rFonts w:ascii="Times New Roman" w:eastAsia="Times New Roman" w:hAnsi="Times New Roman" w:cs="Times New Roman"/>
          <w:color w:val="000000" w:themeColor="text1"/>
        </w:rPr>
        <w:t xml:space="preserve"> (Accessed: 09/06/2024)</w:t>
      </w:r>
    </w:p>
    <w:p w14:paraId="53EF7D27" w14:textId="3120F826" w:rsidR="34DB3F2C" w:rsidRDefault="78A97C2A" w:rsidP="7E4274EB">
      <w:pPr>
        <w:shd w:val="clear" w:color="auto" w:fill="FFFFFF" w:themeFill="background1"/>
        <w:spacing w:before="270" w:after="270" w:line="360" w:lineRule="auto"/>
        <w:rPr>
          <w:rFonts w:ascii="Times New Roman" w:eastAsia="Times New Roman" w:hAnsi="Times New Roman" w:cs="Times New Roman"/>
        </w:rPr>
      </w:pPr>
      <w:r w:rsidRPr="7E4274EB">
        <w:rPr>
          <w:rFonts w:ascii="Times New Roman" w:eastAsia="Times New Roman" w:hAnsi="Times New Roman" w:cs="Times New Roman"/>
        </w:rPr>
        <w:t xml:space="preserve">NHS Leadership Academy (2015) </w:t>
      </w:r>
      <w:r w:rsidRPr="7E4274EB">
        <w:rPr>
          <w:rFonts w:ascii="Times New Roman" w:eastAsia="Times New Roman" w:hAnsi="Times New Roman" w:cs="Times New Roman"/>
          <w:i/>
          <w:iCs/>
        </w:rPr>
        <w:t>Talent and talent management insights: Insight 5. Retaining talented people.</w:t>
      </w:r>
      <w:r w:rsidRPr="7E4274EB">
        <w:rPr>
          <w:rFonts w:ascii="Times New Roman" w:eastAsia="Times New Roman" w:hAnsi="Times New Roman" w:cs="Times New Roman"/>
        </w:rPr>
        <w:t xml:space="preserve"> Available at:</w:t>
      </w:r>
      <w:r w:rsidRPr="7E4274EB">
        <w:rPr>
          <w:rFonts w:ascii="Times New Roman" w:eastAsia="Times New Roman" w:hAnsi="Times New Roman" w:cs="Times New Roman"/>
          <w:color w:val="FF0000"/>
        </w:rPr>
        <w:t xml:space="preserve"> </w:t>
      </w:r>
      <w:hyperlink r:id="rId23">
        <w:r w:rsidRPr="7E4274EB">
          <w:rPr>
            <w:rStyle w:val="Hyperlink"/>
            <w:rFonts w:ascii="Times New Roman" w:eastAsia="Times New Roman" w:hAnsi="Times New Roman" w:cs="Times New Roman"/>
          </w:rPr>
          <w:t>Talent and Talent Management (leadershipacademy.nhs.uk)</w:t>
        </w:r>
      </w:hyperlink>
      <w:r w:rsidRPr="7E4274EB">
        <w:rPr>
          <w:rFonts w:ascii="Times New Roman" w:eastAsia="Times New Roman" w:hAnsi="Times New Roman" w:cs="Times New Roman"/>
          <w:color w:val="000000" w:themeColor="text1"/>
        </w:rPr>
        <w:t xml:space="preserve"> (Accessed: 09/06/2024)</w:t>
      </w:r>
    </w:p>
    <w:p w14:paraId="767A34B1" w14:textId="44CB5F1E" w:rsidR="2837C355" w:rsidRDefault="675D1A5B" w:rsidP="7E4274EB">
      <w:pPr>
        <w:spacing w:line="360" w:lineRule="auto"/>
        <w:rPr>
          <w:rFonts w:ascii="Times New Roman" w:eastAsia="Times New Roman" w:hAnsi="Times New Roman" w:cs="Times New Roman"/>
          <w:color w:val="000000" w:themeColor="text1"/>
        </w:rPr>
      </w:pPr>
      <w:r w:rsidRPr="7E4274EB">
        <w:rPr>
          <w:rFonts w:ascii="Times New Roman" w:eastAsia="Times New Roman" w:hAnsi="Times New Roman" w:cs="Times New Roman"/>
          <w:color w:val="000000" w:themeColor="text1"/>
        </w:rPr>
        <w:t xml:space="preserve">OECD (No date) </w:t>
      </w:r>
      <w:r w:rsidRPr="7E4274EB">
        <w:rPr>
          <w:rFonts w:ascii="Times New Roman" w:eastAsia="Times New Roman" w:hAnsi="Times New Roman" w:cs="Times New Roman"/>
          <w:i/>
          <w:iCs/>
          <w:color w:val="000000" w:themeColor="text1"/>
        </w:rPr>
        <w:t>Survey of adult skills.</w:t>
      </w:r>
      <w:r w:rsidRPr="7E4274EB">
        <w:rPr>
          <w:rFonts w:ascii="Times New Roman" w:eastAsia="Times New Roman" w:hAnsi="Times New Roman" w:cs="Times New Roman"/>
          <w:color w:val="000000" w:themeColor="text1"/>
        </w:rPr>
        <w:t xml:space="preserve"> Available at: </w:t>
      </w:r>
      <w:hyperlink r:id="rId24">
        <w:r w:rsidRPr="7E4274EB">
          <w:rPr>
            <w:rStyle w:val="Hyperlink"/>
            <w:rFonts w:ascii="Times New Roman" w:eastAsia="Times New Roman" w:hAnsi="Times New Roman" w:cs="Times New Roman"/>
          </w:rPr>
          <w:t>Survey of Adult Skills (PIAAC) - PIAAC, the OECD's programme of assessment and analysis of adult skills</w:t>
        </w:r>
      </w:hyperlink>
      <w:r w:rsidRPr="7E4274EB">
        <w:rPr>
          <w:rFonts w:ascii="Times New Roman" w:eastAsia="Times New Roman" w:hAnsi="Times New Roman" w:cs="Times New Roman"/>
          <w:color w:val="000000" w:themeColor="text1"/>
        </w:rPr>
        <w:t xml:space="preserve"> (Accessed: 23/06/2024) </w:t>
      </w:r>
    </w:p>
    <w:p w14:paraId="74C7156B" w14:textId="3C7BC5E3" w:rsidR="2837C355" w:rsidRDefault="2837C355"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O</w:t>
      </w:r>
      <w:r w:rsidR="104EC5B0" w:rsidRPr="7E4274EB">
        <w:rPr>
          <w:rFonts w:ascii="Times New Roman" w:eastAsia="Times New Roman" w:hAnsi="Times New Roman" w:cs="Times New Roman"/>
          <w:color w:val="000000" w:themeColor="text1"/>
        </w:rPr>
        <w:t>NS</w:t>
      </w:r>
      <w:r w:rsidRPr="7E4274EB">
        <w:rPr>
          <w:rFonts w:ascii="Times New Roman" w:eastAsia="Times New Roman" w:hAnsi="Times New Roman" w:cs="Times New Roman"/>
          <w:color w:val="000000" w:themeColor="text1"/>
        </w:rPr>
        <w:t xml:space="preserve"> (2023) </w:t>
      </w:r>
      <w:r w:rsidRPr="7E4274EB">
        <w:rPr>
          <w:rFonts w:ascii="Times New Roman" w:eastAsia="Times New Roman" w:hAnsi="Times New Roman" w:cs="Times New Roman"/>
          <w:i/>
          <w:iCs/>
          <w:color w:val="000000" w:themeColor="text1"/>
        </w:rPr>
        <w:t>Average employment and turnover by status.</w:t>
      </w:r>
      <w:r w:rsidRPr="7E4274EB">
        <w:rPr>
          <w:rFonts w:ascii="Times New Roman" w:eastAsia="Times New Roman" w:hAnsi="Times New Roman" w:cs="Times New Roman"/>
          <w:color w:val="000000" w:themeColor="text1"/>
        </w:rPr>
        <w:t xml:space="preserve"> </w:t>
      </w:r>
      <w:hyperlink r:id="rId25">
        <w:r w:rsidRPr="7E4274EB">
          <w:rPr>
            <w:rStyle w:val="Hyperlink"/>
            <w:rFonts w:ascii="Times New Roman" w:eastAsia="Times New Roman" w:hAnsi="Times New Roman" w:cs="Times New Roman"/>
          </w:rPr>
          <w:t>Average employment and turnover by status - Office for National Statistics (ons.gov.uk)</w:t>
        </w:r>
      </w:hyperlink>
      <w:r w:rsidRPr="7E4274EB">
        <w:rPr>
          <w:rFonts w:ascii="Times New Roman" w:eastAsia="Times New Roman" w:hAnsi="Times New Roman" w:cs="Times New Roman"/>
          <w:color w:val="000000" w:themeColor="text1"/>
        </w:rPr>
        <w:t xml:space="preserve"> (Accessed: 07/06/2023)</w:t>
      </w:r>
    </w:p>
    <w:p w14:paraId="4F7297D3" w14:textId="41D43A7A" w:rsidR="313237CC" w:rsidRDefault="313237CC" w:rsidP="7E4274EB">
      <w:pPr>
        <w:spacing w:line="360" w:lineRule="auto"/>
        <w:rPr>
          <w:rFonts w:ascii="Times New Roman" w:eastAsia="Times New Roman" w:hAnsi="Times New Roman" w:cs="Times New Roman"/>
          <w:color w:val="000000" w:themeColor="text1"/>
        </w:rPr>
      </w:pPr>
      <w:r w:rsidRPr="7E4274EB">
        <w:rPr>
          <w:rFonts w:ascii="Times New Roman" w:eastAsia="Times New Roman" w:hAnsi="Times New Roman" w:cs="Times New Roman"/>
        </w:rPr>
        <w:t xml:space="preserve">ONS (2024) </w:t>
      </w:r>
      <w:r w:rsidRPr="7E4274EB">
        <w:rPr>
          <w:rFonts w:ascii="Times New Roman" w:eastAsia="Times New Roman" w:hAnsi="Times New Roman" w:cs="Times New Roman"/>
          <w:i/>
          <w:iCs/>
        </w:rPr>
        <w:t>Labour market overview, UK: March 2024.</w:t>
      </w:r>
      <w:r w:rsidRPr="7E4274EB">
        <w:rPr>
          <w:rFonts w:ascii="Times New Roman" w:eastAsia="Times New Roman" w:hAnsi="Times New Roman" w:cs="Times New Roman"/>
        </w:rPr>
        <w:t xml:space="preserve"> Available at: </w:t>
      </w:r>
      <w:hyperlink r:id="rId26" w:anchor=":~:text=The%20UK%20employment%20rate%20(for,November%202023%20to%20January%202024.">
        <w:r w:rsidRPr="7E4274EB">
          <w:rPr>
            <w:rStyle w:val="Hyperlink"/>
            <w:rFonts w:ascii="Times New Roman" w:eastAsia="Times New Roman" w:hAnsi="Times New Roman" w:cs="Times New Roman"/>
          </w:rPr>
          <w:t>Labour market overview, UK - Office for National Statistics (ons.gov.uk)</w:t>
        </w:r>
      </w:hyperlink>
      <w:r w:rsidRPr="7E4274EB">
        <w:rPr>
          <w:rFonts w:ascii="Times New Roman" w:eastAsia="Times New Roman" w:hAnsi="Times New Roman" w:cs="Times New Roman"/>
          <w:color w:val="000000" w:themeColor="text1"/>
        </w:rPr>
        <w:t xml:space="preserve"> (Accessed: 09/06/2024)</w:t>
      </w:r>
    </w:p>
    <w:p w14:paraId="70DCDEB9" w14:textId="0A967828" w:rsidR="34DB3F2C" w:rsidRDefault="634CA7A2" w:rsidP="7E4274EB">
      <w:pPr>
        <w:spacing w:line="360" w:lineRule="auto"/>
        <w:rPr>
          <w:rFonts w:ascii="Times New Roman" w:eastAsia="Times New Roman" w:hAnsi="Times New Roman" w:cs="Times New Roman"/>
          <w:color w:val="000000" w:themeColor="text1"/>
        </w:rPr>
      </w:pPr>
      <w:r w:rsidRPr="7E4274EB">
        <w:rPr>
          <w:rFonts w:ascii="Times New Roman" w:eastAsia="Times New Roman" w:hAnsi="Times New Roman" w:cs="Times New Roman"/>
          <w:color w:val="000000" w:themeColor="text1"/>
        </w:rPr>
        <w:t>Jacobs, K.</w:t>
      </w:r>
      <w:r w:rsidR="41245254" w:rsidRPr="7E4274EB">
        <w:rPr>
          <w:rFonts w:ascii="Times New Roman" w:eastAsia="Times New Roman" w:hAnsi="Times New Roman" w:cs="Times New Roman"/>
          <w:color w:val="000000" w:themeColor="text1"/>
        </w:rPr>
        <w:t xml:space="preserve"> (2024) </w:t>
      </w:r>
      <w:r w:rsidR="5E55710F" w:rsidRPr="7E4274EB">
        <w:rPr>
          <w:rFonts w:ascii="Times New Roman" w:eastAsia="Times New Roman" w:hAnsi="Times New Roman" w:cs="Times New Roman"/>
          <w:color w:val="000000" w:themeColor="text1"/>
        </w:rPr>
        <w:t xml:space="preserve">‘Which one would the AI recruitment hire?’, </w:t>
      </w:r>
      <w:r w:rsidR="0D15E75D" w:rsidRPr="7E4274EB">
        <w:rPr>
          <w:rFonts w:ascii="Times New Roman" w:eastAsia="Times New Roman" w:hAnsi="Times New Roman" w:cs="Times New Roman"/>
          <w:i/>
          <w:iCs/>
          <w:color w:val="000000" w:themeColor="text1"/>
        </w:rPr>
        <w:t>People Management</w:t>
      </w:r>
      <w:r w:rsidR="1AB5F683" w:rsidRPr="7E4274EB">
        <w:rPr>
          <w:rFonts w:ascii="Times New Roman" w:eastAsia="Times New Roman" w:hAnsi="Times New Roman" w:cs="Times New Roman"/>
          <w:i/>
          <w:iCs/>
          <w:color w:val="000000" w:themeColor="text1"/>
        </w:rPr>
        <w:t>,</w:t>
      </w:r>
      <w:r w:rsidR="0D15E75D" w:rsidRPr="7E4274EB">
        <w:rPr>
          <w:rFonts w:ascii="Times New Roman" w:eastAsia="Times New Roman" w:hAnsi="Times New Roman" w:cs="Times New Roman"/>
          <w:i/>
          <w:iCs/>
          <w:color w:val="000000" w:themeColor="text1"/>
        </w:rPr>
        <w:t xml:space="preserve"> </w:t>
      </w:r>
      <w:r w:rsidR="0D15E75D" w:rsidRPr="7E4274EB">
        <w:rPr>
          <w:rFonts w:ascii="Times New Roman" w:eastAsia="Times New Roman" w:hAnsi="Times New Roman" w:cs="Times New Roman"/>
          <w:color w:val="000000" w:themeColor="text1"/>
        </w:rPr>
        <w:t>(May – July 2024)</w:t>
      </w:r>
      <w:r w:rsidR="057AB641" w:rsidRPr="7E4274EB">
        <w:rPr>
          <w:rFonts w:ascii="Times New Roman" w:eastAsia="Times New Roman" w:hAnsi="Times New Roman" w:cs="Times New Roman"/>
          <w:color w:val="000000" w:themeColor="text1"/>
        </w:rPr>
        <w:t>,</w:t>
      </w:r>
      <w:r w:rsidR="0D15E75D" w:rsidRPr="7E4274EB">
        <w:rPr>
          <w:rFonts w:ascii="Times New Roman" w:eastAsia="Times New Roman" w:hAnsi="Times New Roman" w:cs="Times New Roman"/>
          <w:color w:val="000000" w:themeColor="text1"/>
        </w:rPr>
        <w:t xml:space="preserve"> pp. 31.</w:t>
      </w:r>
    </w:p>
    <w:p w14:paraId="759B029F" w14:textId="450EFD32" w:rsidR="4DADA065" w:rsidRDefault="0899FC75"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000000" w:themeColor="text1"/>
        </w:rPr>
        <w:t xml:space="preserve">Peters, R. (2023) </w:t>
      </w:r>
      <w:r w:rsidRPr="7E4274EB">
        <w:rPr>
          <w:rFonts w:ascii="Times New Roman" w:eastAsia="Times New Roman" w:hAnsi="Times New Roman" w:cs="Times New Roman"/>
          <w:i/>
          <w:iCs/>
          <w:color w:val="000000" w:themeColor="text1"/>
        </w:rPr>
        <w:t>Employer brand.</w:t>
      </w:r>
      <w:r w:rsidRPr="7E4274EB">
        <w:rPr>
          <w:rFonts w:ascii="Times New Roman" w:eastAsia="Times New Roman" w:hAnsi="Times New Roman" w:cs="Times New Roman"/>
          <w:color w:val="000000" w:themeColor="text1"/>
        </w:rPr>
        <w:t xml:space="preserve"> Available at: </w:t>
      </w:r>
      <w:hyperlink r:id="rId27">
        <w:r w:rsidRPr="7E4274EB">
          <w:rPr>
            <w:rStyle w:val="Hyperlink"/>
            <w:rFonts w:ascii="Times New Roman" w:eastAsia="Times New Roman" w:hAnsi="Times New Roman" w:cs="Times New Roman"/>
          </w:rPr>
          <w:t>Employer Brand | Factsheets | CIPD</w:t>
        </w:r>
      </w:hyperlink>
      <w:r w:rsidRPr="7E4274EB">
        <w:rPr>
          <w:rFonts w:ascii="Times New Roman" w:eastAsia="Times New Roman" w:hAnsi="Times New Roman" w:cs="Times New Roman"/>
          <w:color w:val="000000" w:themeColor="text1"/>
        </w:rPr>
        <w:t xml:space="preserve"> (Accessed: 26/05/2024) </w:t>
      </w:r>
    </w:p>
    <w:p w14:paraId="3617F558" w14:textId="5666C814" w:rsidR="102B90D2" w:rsidRDefault="102B90D2"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 xml:space="preserve">Peters, R. (2024) </w:t>
      </w:r>
      <w:r w:rsidRPr="7E4274EB">
        <w:rPr>
          <w:rFonts w:ascii="Times New Roman" w:eastAsia="Times New Roman" w:hAnsi="Times New Roman" w:cs="Times New Roman"/>
          <w:i/>
          <w:iCs/>
          <w:color w:val="000000" w:themeColor="text1"/>
        </w:rPr>
        <w:t>Employee turnover and retention.</w:t>
      </w:r>
      <w:r w:rsidRPr="7E4274EB">
        <w:rPr>
          <w:rFonts w:ascii="Times New Roman" w:eastAsia="Times New Roman" w:hAnsi="Times New Roman" w:cs="Times New Roman"/>
          <w:color w:val="000000" w:themeColor="text1"/>
        </w:rPr>
        <w:t xml:space="preserve"> Available at: </w:t>
      </w:r>
      <w:hyperlink r:id="rId28">
        <w:r w:rsidRPr="7E4274EB">
          <w:rPr>
            <w:rStyle w:val="Hyperlink"/>
            <w:rFonts w:ascii="Times New Roman" w:eastAsia="Times New Roman" w:hAnsi="Times New Roman" w:cs="Times New Roman"/>
          </w:rPr>
          <w:t>Employee turnover and retention | Factsheets | CIPD</w:t>
        </w:r>
      </w:hyperlink>
      <w:r w:rsidRPr="7E4274EB">
        <w:rPr>
          <w:rFonts w:ascii="Times New Roman" w:eastAsia="Times New Roman" w:hAnsi="Times New Roman" w:cs="Times New Roman"/>
          <w:color w:val="000000" w:themeColor="text1"/>
        </w:rPr>
        <w:t xml:space="preserve"> (Accessed: 07/06/2024)</w:t>
      </w:r>
      <w:r w:rsidRPr="7E4274EB">
        <w:rPr>
          <w:rFonts w:ascii="Times New Roman" w:eastAsia="Times New Roman" w:hAnsi="Times New Roman" w:cs="Times New Roman"/>
          <w:color w:val="FF0000"/>
        </w:rPr>
        <w:t xml:space="preserve"> </w:t>
      </w:r>
      <w:r w:rsidRPr="7E4274EB">
        <w:rPr>
          <w:rFonts w:ascii="Times New Roman" w:eastAsia="Times New Roman" w:hAnsi="Times New Roman" w:cs="Times New Roman"/>
        </w:rPr>
        <w:t xml:space="preserve"> </w:t>
      </w:r>
    </w:p>
    <w:p w14:paraId="380B51FD" w14:textId="0FB1A421" w:rsidR="34DB3F2C" w:rsidRDefault="1855D5AC" w:rsidP="7E4274EB">
      <w:pPr>
        <w:shd w:val="clear" w:color="auto" w:fill="FFFFFF" w:themeFill="background1"/>
        <w:spacing w:before="270" w:after="270"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 xml:space="preserve">Quilliam, G, G. (2023) </w:t>
      </w:r>
      <w:r w:rsidRPr="7E4274EB">
        <w:rPr>
          <w:rFonts w:ascii="Times New Roman" w:eastAsia="Times New Roman" w:hAnsi="Times New Roman" w:cs="Times New Roman"/>
          <w:i/>
          <w:iCs/>
          <w:color w:val="000000" w:themeColor="text1"/>
        </w:rPr>
        <w:t xml:space="preserve">Talent management. </w:t>
      </w:r>
      <w:r w:rsidRPr="7E4274EB">
        <w:rPr>
          <w:rFonts w:ascii="Times New Roman" w:eastAsia="Times New Roman" w:hAnsi="Times New Roman" w:cs="Times New Roman"/>
          <w:color w:val="000000" w:themeColor="text1"/>
        </w:rPr>
        <w:t xml:space="preserve">Available at: </w:t>
      </w:r>
      <w:hyperlink r:id="rId29" w:anchor=":~:text=Retaining">
        <w:r w:rsidRPr="7E4274EB">
          <w:rPr>
            <w:rStyle w:val="Hyperlink"/>
            <w:rFonts w:ascii="Times New Roman" w:eastAsia="Times New Roman" w:hAnsi="Times New Roman" w:cs="Times New Roman"/>
          </w:rPr>
          <w:t>Talent management | Factsheets | CIPD</w:t>
        </w:r>
      </w:hyperlink>
      <w:r w:rsidRPr="7E4274EB">
        <w:rPr>
          <w:rFonts w:ascii="Times New Roman" w:eastAsia="Times New Roman" w:hAnsi="Times New Roman" w:cs="Times New Roman"/>
          <w:color w:val="000000" w:themeColor="text1"/>
        </w:rPr>
        <w:t xml:space="preserve"> (Accessed: 09/06/2023)</w:t>
      </w:r>
    </w:p>
    <w:p w14:paraId="1C2A2356" w14:textId="77CF416B" w:rsidR="102B90D2" w:rsidRDefault="102B90D2"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lastRenderedPageBreak/>
        <w:t xml:space="preserve">Rakhra, H, K. (2018) ‘Study on factors influencing employee retention in companies’, </w:t>
      </w:r>
      <w:r w:rsidRPr="7E4274EB">
        <w:rPr>
          <w:rFonts w:ascii="Times New Roman" w:eastAsia="Times New Roman" w:hAnsi="Times New Roman" w:cs="Times New Roman"/>
          <w:i/>
          <w:iCs/>
          <w:color w:val="000000" w:themeColor="text1"/>
        </w:rPr>
        <w:t>Int. J. Public Sector Performance Management</w:t>
      </w:r>
      <w:r w:rsidRPr="7E4274EB">
        <w:rPr>
          <w:rFonts w:ascii="Times New Roman" w:eastAsia="Times New Roman" w:hAnsi="Times New Roman" w:cs="Times New Roman"/>
          <w:color w:val="000000" w:themeColor="text1"/>
        </w:rPr>
        <w:t xml:space="preserve">, 4(1), pp.57–79. Available at: </w:t>
      </w:r>
      <w:hyperlink r:id="rId30">
        <w:r w:rsidRPr="7E4274EB">
          <w:rPr>
            <w:rStyle w:val="Hyperlink"/>
            <w:rFonts w:ascii="Times New Roman" w:eastAsia="Times New Roman" w:hAnsi="Times New Roman" w:cs="Times New Roman"/>
          </w:rPr>
          <w:t>10.1504/IJPSPM.2018.10009505</w:t>
        </w:r>
      </w:hyperlink>
      <w:r w:rsidRPr="7E4274EB">
        <w:rPr>
          <w:rFonts w:ascii="Times New Roman" w:eastAsia="Times New Roman" w:hAnsi="Times New Roman" w:cs="Times New Roman"/>
          <w:color w:val="000000" w:themeColor="text1"/>
        </w:rPr>
        <w:t xml:space="preserve"> (Accessed: 07/06/2024)</w:t>
      </w:r>
    </w:p>
    <w:p w14:paraId="6FB1EA58" w14:textId="0EC5D734" w:rsidR="4C5A8110" w:rsidRDefault="4C5A8110"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i/>
          <w:iCs/>
        </w:rPr>
        <w:t>Skills and Post-16 Education Act 2022</w:t>
      </w:r>
      <w:r w:rsidR="0AD8E304" w:rsidRPr="7E4274EB">
        <w:rPr>
          <w:rFonts w:ascii="Times New Roman" w:eastAsia="Times New Roman" w:hAnsi="Times New Roman" w:cs="Times New Roman"/>
          <w:i/>
          <w:iCs/>
        </w:rPr>
        <w:t xml:space="preserve">, c. 21. </w:t>
      </w:r>
      <w:r w:rsidRPr="7E4274EB">
        <w:rPr>
          <w:rFonts w:ascii="Times New Roman" w:eastAsia="Times New Roman" w:hAnsi="Times New Roman" w:cs="Times New Roman"/>
        </w:rPr>
        <w:t xml:space="preserve">Available at: </w:t>
      </w:r>
      <w:hyperlink r:id="rId31">
        <w:r w:rsidRPr="7E4274EB">
          <w:rPr>
            <w:rStyle w:val="Hyperlink"/>
            <w:rFonts w:ascii="Times New Roman" w:eastAsia="Times New Roman" w:hAnsi="Times New Roman" w:cs="Times New Roman"/>
          </w:rPr>
          <w:t>Skills and Post-16 Education Act 2022 - Parliamentary Bills - UK Parliament</w:t>
        </w:r>
      </w:hyperlink>
      <w:r w:rsidRPr="7E4274EB">
        <w:rPr>
          <w:rFonts w:ascii="Times New Roman" w:eastAsia="Times New Roman" w:hAnsi="Times New Roman" w:cs="Times New Roman"/>
        </w:rPr>
        <w:t xml:space="preserve"> (Accessed: 23/06/2024)</w:t>
      </w:r>
    </w:p>
    <w:p w14:paraId="0D979CE0" w14:textId="4D8C30AF" w:rsidR="4DADA065" w:rsidRDefault="0899FC75" w:rsidP="7E4274EB">
      <w:pPr>
        <w:spacing w:line="360" w:lineRule="auto"/>
        <w:rPr>
          <w:rFonts w:ascii="Times New Roman" w:eastAsia="Times New Roman" w:hAnsi="Times New Roman" w:cs="Times New Roman"/>
          <w:color w:val="000000" w:themeColor="text1"/>
          <w:lang w:val="en-US"/>
        </w:rPr>
      </w:pPr>
      <w:r w:rsidRPr="7E4274EB">
        <w:rPr>
          <w:rFonts w:ascii="Times New Roman" w:eastAsia="Times New Roman" w:hAnsi="Times New Roman" w:cs="Times New Roman"/>
          <w:color w:val="333333"/>
        </w:rPr>
        <w:t xml:space="preserve">Taylor, S. and Woodhams, C. (2022) </w:t>
      </w:r>
      <w:r w:rsidRPr="7E4274EB">
        <w:rPr>
          <w:rFonts w:ascii="Times New Roman" w:eastAsia="Times New Roman" w:hAnsi="Times New Roman" w:cs="Times New Roman"/>
          <w:i/>
          <w:iCs/>
          <w:color w:val="333333"/>
        </w:rPr>
        <w:t>Human Resource Management: People and Organisations</w:t>
      </w:r>
      <w:r w:rsidRPr="7E4274EB">
        <w:rPr>
          <w:rFonts w:ascii="Times New Roman" w:eastAsia="Times New Roman" w:hAnsi="Times New Roman" w:cs="Times New Roman"/>
          <w:color w:val="333333"/>
        </w:rPr>
        <w:t xml:space="preserve">. 3rd </w:t>
      </w:r>
      <w:proofErr w:type="spellStart"/>
      <w:r w:rsidRPr="7E4274EB">
        <w:rPr>
          <w:rFonts w:ascii="Times New Roman" w:eastAsia="Times New Roman" w:hAnsi="Times New Roman" w:cs="Times New Roman"/>
          <w:color w:val="333333"/>
        </w:rPr>
        <w:t>edn</w:t>
      </w:r>
      <w:proofErr w:type="spellEnd"/>
      <w:r w:rsidRPr="7E4274EB">
        <w:rPr>
          <w:rFonts w:ascii="Times New Roman" w:eastAsia="Times New Roman" w:hAnsi="Times New Roman" w:cs="Times New Roman"/>
          <w:color w:val="333333"/>
        </w:rPr>
        <w:t>. New York: Kogan Page</w:t>
      </w:r>
      <w:r w:rsidRPr="7E4274EB">
        <w:rPr>
          <w:rFonts w:ascii="Times New Roman" w:eastAsia="Times New Roman" w:hAnsi="Times New Roman" w:cs="Times New Roman"/>
          <w:color w:val="000000" w:themeColor="text1"/>
        </w:rPr>
        <w:t xml:space="preserve"> </w:t>
      </w:r>
    </w:p>
    <w:p w14:paraId="4B4777DC" w14:textId="000E6031" w:rsidR="5B0B01BD" w:rsidRDefault="5B0B01BD"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rPr>
        <w:t>TUC (No date)</w:t>
      </w:r>
      <w:r w:rsidRPr="7E4274EB">
        <w:rPr>
          <w:rFonts w:ascii="Times New Roman" w:eastAsia="Times New Roman" w:hAnsi="Times New Roman" w:cs="Times New Roman"/>
          <w:i/>
          <w:iCs/>
        </w:rPr>
        <w:t xml:space="preserve"> Towards a high-skill, high-productivity economy: the role of trade union-led learning and training. </w:t>
      </w:r>
      <w:r w:rsidRPr="7E4274EB">
        <w:rPr>
          <w:rFonts w:ascii="Times New Roman" w:eastAsia="Times New Roman" w:hAnsi="Times New Roman" w:cs="Times New Roman"/>
        </w:rPr>
        <w:t>Available at:</w:t>
      </w:r>
      <w:r w:rsidRPr="7E4274EB">
        <w:rPr>
          <w:rFonts w:ascii="Times New Roman" w:eastAsia="Times New Roman" w:hAnsi="Times New Roman" w:cs="Times New Roman"/>
          <w:color w:val="FF0000"/>
        </w:rPr>
        <w:t xml:space="preserve"> </w:t>
      </w:r>
      <w:hyperlink r:id="rId32">
        <w:r w:rsidRPr="7E4274EB">
          <w:rPr>
            <w:rStyle w:val="Hyperlink"/>
            <w:rFonts w:ascii="Times New Roman" w:eastAsia="Times New Roman" w:hAnsi="Times New Roman" w:cs="Times New Roman"/>
          </w:rPr>
          <w:t>Towardsahigh.pdf (tuc.org.uk)</w:t>
        </w:r>
      </w:hyperlink>
      <w:r w:rsidRPr="7E4274EB">
        <w:rPr>
          <w:rFonts w:ascii="Times New Roman" w:eastAsia="Times New Roman" w:hAnsi="Times New Roman" w:cs="Times New Roman"/>
          <w:color w:val="000000" w:themeColor="text1"/>
        </w:rPr>
        <w:t xml:space="preserve"> (Accessed: 23/06/2024)</w:t>
      </w:r>
    </w:p>
    <w:p w14:paraId="2589383F" w14:textId="600ECCAB" w:rsidR="58A2686D" w:rsidRDefault="58A2686D"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UK Government (2022)</w:t>
      </w:r>
      <w:r w:rsidR="21C55A86" w:rsidRPr="7E4274EB">
        <w:rPr>
          <w:rFonts w:ascii="Times New Roman" w:eastAsia="Times New Roman" w:hAnsi="Times New Roman" w:cs="Times New Roman"/>
          <w:color w:val="000000" w:themeColor="text1"/>
        </w:rPr>
        <w:t xml:space="preserve"> </w:t>
      </w:r>
      <w:r w:rsidR="21C55A86" w:rsidRPr="7E4274EB">
        <w:rPr>
          <w:rFonts w:ascii="Times New Roman" w:eastAsia="Times New Roman" w:hAnsi="Times New Roman" w:cs="Times New Roman"/>
          <w:i/>
          <w:iCs/>
          <w:color w:val="000000" w:themeColor="text1"/>
        </w:rPr>
        <w:t>Everything you need to know about the Skills Act.</w:t>
      </w:r>
      <w:r w:rsidR="21C55A86" w:rsidRPr="7E4274EB">
        <w:rPr>
          <w:rFonts w:ascii="Times New Roman" w:eastAsia="Times New Roman" w:hAnsi="Times New Roman" w:cs="Times New Roman"/>
          <w:color w:val="000000" w:themeColor="text1"/>
        </w:rPr>
        <w:t xml:space="preserve"> </w:t>
      </w:r>
      <w:hyperlink r:id="rId33">
        <w:r w:rsidRPr="7E4274EB">
          <w:rPr>
            <w:rStyle w:val="Hyperlink"/>
            <w:rFonts w:ascii="Times New Roman" w:eastAsia="Times New Roman" w:hAnsi="Times New Roman" w:cs="Times New Roman"/>
          </w:rPr>
          <w:t>Everything you need to know about the Skills Act – The Education Hub (blog.gov.uk)</w:t>
        </w:r>
      </w:hyperlink>
      <w:r w:rsidR="54CE2470" w:rsidRPr="7E4274EB">
        <w:rPr>
          <w:rFonts w:ascii="Times New Roman" w:eastAsia="Times New Roman" w:hAnsi="Times New Roman" w:cs="Times New Roman"/>
        </w:rPr>
        <w:t xml:space="preserve"> (Accessed: 23/06/2024)</w:t>
      </w:r>
    </w:p>
    <w:p w14:paraId="71847132" w14:textId="5A88ABAC" w:rsidR="4DADA065" w:rsidRDefault="4DADA065" w:rsidP="7E4274EB">
      <w:pPr>
        <w:spacing w:line="360" w:lineRule="auto"/>
        <w:rPr>
          <w:rFonts w:ascii="Times New Roman" w:eastAsia="Times New Roman" w:hAnsi="Times New Roman" w:cs="Times New Roman"/>
        </w:rPr>
      </w:pPr>
      <w:r w:rsidRPr="7E4274EB">
        <w:rPr>
          <w:rFonts w:ascii="Times New Roman" w:eastAsia="Times New Roman" w:hAnsi="Times New Roman" w:cs="Times New Roman"/>
          <w:color w:val="000000" w:themeColor="text1"/>
        </w:rPr>
        <w:t xml:space="preserve">Waite, K., Beevers, K., Small, N., Tomlinson, K. &amp; Hussain, S. (2021). </w:t>
      </w:r>
      <w:r w:rsidRPr="7E4274EB">
        <w:rPr>
          <w:rFonts w:ascii="Times New Roman" w:eastAsia="Times New Roman" w:hAnsi="Times New Roman" w:cs="Times New Roman"/>
          <w:i/>
          <w:iCs/>
          <w:color w:val="000000" w:themeColor="text1"/>
        </w:rPr>
        <w:t xml:space="preserve">People Practice: A complete guide. </w:t>
      </w:r>
      <w:r w:rsidRPr="7E4274EB">
        <w:rPr>
          <w:rFonts w:ascii="Times New Roman" w:eastAsia="Times New Roman" w:hAnsi="Times New Roman" w:cs="Times New Roman"/>
          <w:color w:val="000000" w:themeColor="text1"/>
        </w:rPr>
        <w:t xml:space="preserve">United Kingdom: Kogan Page. </w:t>
      </w:r>
      <w:r w:rsidRPr="7E4274EB">
        <w:rPr>
          <w:rFonts w:ascii="Times New Roman" w:eastAsia="Times New Roman" w:hAnsi="Times New Roman" w:cs="Times New Roman"/>
        </w:rPr>
        <w:t xml:space="preserve"> </w:t>
      </w:r>
    </w:p>
    <w:p w14:paraId="03B88ECF" w14:textId="42F20A63" w:rsidR="6898F2AB" w:rsidRDefault="6898F2AB" w:rsidP="7E4274EB">
      <w:pPr>
        <w:spacing w:line="360" w:lineRule="auto"/>
        <w:rPr>
          <w:rFonts w:ascii="Times New Roman" w:eastAsia="Times New Roman" w:hAnsi="Times New Roman" w:cs="Times New Roman"/>
          <w:color w:val="000000" w:themeColor="text1"/>
          <w:lang w:val="en-US"/>
        </w:rPr>
      </w:pPr>
    </w:p>
    <w:sectPr w:rsidR="6898F2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DAE86"/>
    <w:multiLevelType w:val="hybridMultilevel"/>
    <w:tmpl w:val="387A2E6A"/>
    <w:lvl w:ilvl="0" w:tplc="040ECEB6">
      <w:start w:val="8"/>
      <w:numFmt w:val="decimal"/>
      <w:lvlText w:val="%1."/>
      <w:lvlJc w:val="left"/>
      <w:pPr>
        <w:ind w:left="720" w:hanging="360"/>
      </w:pPr>
    </w:lvl>
    <w:lvl w:ilvl="1" w:tplc="CAA00066">
      <w:start w:val="1"/>
      <w:numFmt w:val="lowerLetter"/>
      <w:lvlText w:val="%2."/>
      <w:lvlJc w:val="left"/>
      <w:pPr>
        <w:ind w:left="1440" w:hanging="360"/>
      </w:pPr>
    </w:lvl>
    <w:lvl w:ilvl="2" w:tplc="B3AA1296">
      <w:start w:val="1"/>
      <w:numFmt w:val="lowerRoman"/>
      <w:lvlText w:val="%3."/>
      <w:lvlJc w:val="right"/>
      <w:pPr>
        <w:ind w:left="2160" w:hanging="180"/>
      </w:pPr>
    </w:lvl>
    <w:lvl w:ilvl="3" w:tplc="61B4D638">
      <w:start w:val="1"/>
      <w:numFmt w:val="decimal"/>
      <w:lvlText w:val="%4."/>
      <w:lvlJc w:val="left"/>
      <w:pPr>
        <w:ind w:left="2880" w:hanging="360"/>
      </w:pPr>
    </w:lvl>
    <w:lvl w:ilvl="4" w:tplc="A738A134">
      <w:start w:val="1"/>
      <w:numFmt w:val="lowerLetter"/>
      <w:lvlText w:val="%5."/>
      <w:lvlJc w:val="left"/>
      <w:pPr>
        <w:ind w:left="3600" w:hanging="360"/>
      </w:pPr>
    </w:lvl>
    <w:lvl w:ilvl="5" w:tplc="DB087ACA">
      <w:start w:val="1"/>
      <w:numFmt w:val="lowerRoman"/>
      <w:lvlText w:val="%6."/>
      <w:lvlJc w:val="right"/>
      <w:pPr>
        <w:ind w:left="4320" w:hanging="180"/>
      </w:pPr>
    </w:lvl>
    <w:lvl w:ilvl="6" w:tplc="3A3C7FD4">
      <w:start w:val="1"/>
      <w:numFmt w:val="decimal"/>
      <w:lvlText w:val="%7."/>
      <w:lvlJc w:val="left"/>
      <w:pPr>
        <w:ind w:left="5040" w:hanging="360"/>
      </w:pPr>
    </w:lvl>
    <w:lvl w:ilvl="7" w:tplc="54303980">
      <w:start w:val="1"/>
      <w:numFmt w:val="lowerLetter"/>
      <w:lvlText w:val="%8."/>
      <w:lvlJc w:val="left"/>
      <w:pPr>
        <w:ind w:left="5760" w:hanging="360"/>
      </w:pPr>
    </w:lvl>
    <w:lvl w:ilvl="8" w:tplc="2C6E02FC">
      <w:start w:val="1"/>
      <w:numFmt w:val="lowerRoman"/>
      <w:lvlText w:val="%9."/>
      <w:lvlJc w:val="right"/>
      <w:pPr>
        <w:ind w:left="6480" w:hanging="180"/>
      </w:pPr>
    </w:lvl>
  </w:abstractNum>
  <w:abstractNum w:abstractNumId="1" w15:restartNumberingAfterBreak="0">
    <w:nsid w:val="0D411BD9"/>
    <w:multiLevelType w:val="hybridMultilevel"/>
    <w:tmpl w:val="BD8E9BA4"/>
    <w:lvl w:ilvl="0" w:tplc="75B8B30A">
      <w:start w:val="10"/>
      <w:numFmt w:val="decimal"/>
      <w:lvlText w:val="%1."/>
      <w:lvlJc w:val="left"/>
      <w:pPr>
        <w:ind w:left="720" w:hanging="360"/>
      </w:pPr>
    </w:lvl>
    <w:lvl w:ilvl="1" w:tplc="091A8B30">
      <w:start w:val="1"/>
      <w:numFmt w:val="lowerLetter"/>
      <w:lvlText w:val="%2."/>
      <w:lvlJc w:val="left"/>
      <w:pPr>
        <w:ind w:left="1440" w:hanging="360"/>
      </w:pPr>
    </w:lvl>
    <w:lvl w:ilvl="2" w:tplc="53CE95E0">
      <w:start w:val="1"/>
      <w:numFmt w:val="lowerRoman"/>
      <w:lvlText w:val="%3."/>
      <w:lvlJc w:val="right"/>
      <w:pPr>
        <w:ind w:left="2160" w:hanging="180"/>
      </w:pPr>
    </w:lvl>
    <w:lvl w:ilvl="3" w:tplc="30E89686">
      <w:start w:val="1"/>
      <w:numFmt w:val="decimal"/>
      <w:lvlText w:val="%4."/>
      <w:lvlJc w:val="left"/>
      <w:pPr>
        <w:ind w:left="2880" w:hanging="360"/>
      </w:pPr>
    </w:lvl>
    <w:lvl w:ilvl="4" w:tplc="0590B7F2">
      <w:start w:val="1"/>
      <w:numFmt w:val="lowerLetter"/>
      <w:lvlText w:val="%5."/>
      <w:lvlJc w:val="left"/>
      <w:pPr>
        <w:ind w:left="3600" w:hanging="360"/>
      </w:pPr>
    </w:lvl>
    <w:lvl w:ilvl="5" w:tplc="5CC4368C">
      <w:start w:val="1"/>
      <w:numFmt w:val="lowerRoman"/>
      <w:lvlText w:val="%6."/>
      <w:lvlJc w:val="right"/>
      <w:pPr>
        <w:ind w:left="4320" w:hanging="180"/>
      </w:pPr>
    </w:lvl>
    <w:lvl w:ilvl="6" w:tplc="01C2ED74">
      <w:start w:val="1"/>
      <w:numFmt w:val="decimal"/>
      <w:lvlText w:val="%7."/>
      <w:lvlJc w:val="left"/>
      <w:pPr>
        <w:ind w:left="5040" w:hanging="360"/>
      </w:pPr>
    </w:lvl>
    <w:lvl w:ilvl="7" w:tplc="3D3237FC">
      <w:start w:val="1"/>
      <w:numFmt w:val="lowerLetter"/>
      <w:lvlText w:val="%8."/>
      <w:lvlJc w:val="left"/>
      <w:pPr>
        <w:ind w:left="5760" w:hanging="360"/>
      </w:pPr>
    </w:lvl>
    <w:lvl w:ilvl="8" w:tplc="4BE61DF2">
      <w:start w:val="1"/>
      <w:numFmt w:val="lowerRoman"/>
      <w:lvlText w:val="%9."/>
      <w:lvlJc w:val="right"/>
      <w:pPr>
        <w:ind w:left="6480" w:hanging="180"/>
      </w:pPr>
    </w:lvl>
  </w:abstractNum>
  <w:abstractNum w:abstractNumId="2" w15:restartNumberingAfterBreak="0">
    <w:nsid w:val="1247C0C3"/>
    <w:multiLevelType w:val="hybridMultilevel"/>
    <w:tmpl w:val="A3B6F126"/>
    <w:lvl w:ilvl="0" w:tplc="C5889872">
      <w:start w:val="12"/>
      <w:numFmt w:val="decimal"/>
      <w:lvlText w:val="%1."/>
      <w:lvlJc w:val="left"/>
      <w:pPr>
        <w:ind w:left="720" w:hanging="360"/>
      </w:pPr>
    </w:lvl>
    <w:lvl w:ilvl="1" w:tplc="FC362D18">
      <w:start w:val="1"/>
      <w:numFmt w:val="lowerLetter"/>
      <w:lvlText w:val="%2."/>
      <w:lvlJc w:val="left"/>
      <w:pPr>
        <w:ind w:left="1440" w:hanging="360"/>
      </w:pPr>
    </w:lvl>
    <w:lvl w:ilvl="2" w:tplc="5E566AAA">
      <w:start w:val="1"/>
      <w:numFmt w:val="lowerRoman"/>
      <w:lvlText w:val="%3."/>
      <w:lvlJc w:val="right"/>
      <w:pPr>
        <w:ind w:left="2160" w:hanging="180"/>
      </w:pPr>
    </w:lvl>
    <w:lvl w:ilvl="3" w:tplc="898AFF42">
      <w:start w:val="1"/>
      <w:numFmt w:val="decimal"/>
      <w:lvlText w:val="%4."/>
      <w:lvlJc w:val="left"/>
      <w:pPr>
        <w:ind w:left="2880" w:hanging="360"/>
      </w:pPr>
    </w:lvl>
    <w:lvl w:ilvl="4" w:tplc="101A2028">
      <w:start w:val="1"/>
      <w:numFmt w:val="lowerLetter"/>
      <w:lvlText w:val="%5."/>
      <w:lvlJc w:val="left"/>
      <w:pPr>
        <w:ind w:left="3600" w:hanging="360"/>
      </w:pPr>
    </w:lvl>
    <w:lvl w:ilvl="5" w:tplc="E9E82812">
      <w:start w:val="1"/>
      <w:numFmt w:val="lowerRoman"/>
      <w:lvlText w:val="%6."/>
      <w:lvlJc w:val="right"/>
      <w:pPr>
        <w:ind w:left="4320" w:hanging="180"/>
      </w:pPr>
    </w:lvl>
    <w:lvl w:ilvl="6" w:tplc="AC4C8952">
      <w:start w:val="1"/>
      <w:numFmt w:val="decimal"/>
      <w:lvlText w:val="%7."/>
      <w:lvlJc w:val="left"/>
      <w:pPr>
        <w:ind w:left="5040" w:hanging="360"/>
      </w:pPr>
    </w:lvl>
    <w:lvl w:ilvl="7" w:tplc="965A740C">
      <w:start w:val="1"/>
      <w:numFmt w:val="lowerLetter"/>
      <w:lvlText w:val="%8."/>
      <w:lvlJc w:val="left"/>
      <w:pPr>
        <w:ind w:left="5760" w:hanging="360"/>
      </w:pPr>
    </w:lvl>
    <w:lvl w:ilvl="8" w:tplc="58148D90">
      <w:start w:val="1"/>
      <w:numFmt w:val="lowerRoman"/>
      <w:lvlText w:val="%9."/>
      <w:lvlJc w:val="right"/>
      <w:pPr>
        <w:ind w:left="6480" w:hanging="180"/>
      </w:pPr>
    </w:lvl>
  </w:abstractNum>
  <w:abstractNum w:abstractNumId="3" w15:restartNumberingAfterBreak="0">
    <w:nsid w:val="1F00E09C"/>
    <w:multiLevelType w:val="hybridMultilevel"/>
    <w:tmpl w:val="D0FA8D24"/>
    <w:lvl w:ilvl="0" w:tplc="44107C1A">
      <w:start w:val="5"/>
      <w:numFmt w:val="decimal"/>
      <w:lvlText w:val="%1."/>
      <w:lvlJc w:val="left"/>
      <w:pPr>
        <w:ind w:left="720" w:hanging="360"/>
      </w:pPr>
    </w:lvl>
    <w:lvl w:ilvl="1" w:tplc="889414CA">
      <w:start w:val="1"/>
      <w:numFmt w:val="lowerLetter"/>
      <w:lvlText w:val="%2."/>
      <w:lvlJc w:val="left"/>
      <w:pPr>
        <w:ind w:left="1440" w:hanging="360"/>
      </w:pPr>
    </w:lvl>
    <w:lvl w:ilvl="2" w:tplc="E4BA766C">
      <w:start w:val="1"/>
      <w:numFmt w:val="lowerRoman"/>
      <w:lvlText w:val="%3."/>
      <w:lvlJc w:val="right"/>
      <w:pPr>
        <w:ind w:left="2160" w:hanging="180"/>
      </w:pPr>
    </w:lvl>
    <w:lvl w:ilvl="3" w:tplc="7D0487E0">
      <w:start w:val="1"/>
      <w:numFmt w:val="decimal"/>
      <w:lvlText w:val="%4."/>
      <w:lvlJc w:val="left"/>
      <w:pPr>
        <w:ind w:left="2880" w:hanging="360"/>
      </w:pPr>
    </w:lvl>
    <w:lvl w:ilvl="4" w:tplc="FD0E84DE">
      <w:start w:val="1"/>
      <w:numFmt w:val="lowerLetter"/>
      <w:lvlText w:val="%5."/>
      <w:lvlJc w:val="left"/>
      <w:pPr>
        <w:ind w:left="3600" w:hanging="360"/>
      </w:pPr>
    </w:lvl>
    <w:lvl w:ilvl="5" w:tplc="A57AB1A4">
      <w:start w:val="1"/>
      <w:numFmt w:val="lowerRoman"/>
      <w:lvlText w:val="%6."/>
      <w:lvlJc w:val="right"/>
      <w:pPr>
        <w:ind w:left="4320" w:hanging="180"/>
      </w:pPr>
    </w:lvl>
    <w:lvl w:ilvl="6" w:tplc="8BBE8010">
      <w:start w:val="1"/>
      <w:numFmt w:val="decimal"/>
      <w:lvlText w:val="%7."/>
      <w:lvlJc w:val="left"/>
      <w:pPr>
        <w:ind w:left="5040" w:hanging="360"/>
      </w:pPr>
    </w:lvl>
    <w:lvl w:ilvl="7" w:tplc="786AE3DC">
      <w:start w:val="1"/>
      <w:numFmt w:val="lowerLetter"/>
      <w:lvlText w:val="%8."/>
      <w:lvlJc w:val="left"/>
      <w:pPr>
        <w:ind w:left="5760" w:hanging="360"/>
      </w:pPr>
    </w:lvl>
    <w:lvl w:ilvl="8" w:tplc="FF306514">
      <w:start w:val="1"/>
      <w:numFmt w:val="lowerRoman"/>
      <w:lvlText w:val="%9."/>
      <w:lvlJc w:val="right"/>
      <w:pPr>
        <w:ind w:left="6480" w:hanging="180"/>
      </w:pPr>
    </w:lvl>
  </w:abstractNum>
  <w:abstractNum w:abstractNumId="4" w15:restartNumberingAfterBreak="0">
    <w:nsid w:val="206A7BEF"/>
    <w:multiLevelType w:val="hybridMultilevel"/>
    <w:tmpl w:val="6638128C"/>
    <w:lvl w:ilvl="0" w:tplc="DBECA962">
      <w:start w:val="7"/>
      <w:numFmt w:val="decimal"/>
      <w:lvlText w:val="%1."/>
      <w:lvlJc w:val="left"/>
      <w:pPr>
        <w:ind w:left="720" w:hanging="360"/>
      </w:pPr>
    </w:lvl>
    <w:lvl w:ilvl="1" w:tplc="B32C4BB8">
      <w:start w:val="1"/>
      <w:numFmt w:val="lowerLetter"/>
      <w:lvlText w:val="%2."/>
      <w:lvlJc w:val="left"/>
      <w:pPr>
        <w:ind w:left="1440" w:hanging="360"/>
      </w:pPr>
    </w:lvl>
    <w:lvl w:ilvl="2" w:tplc="294CB824">
      <w:start w:val="1"/>
      <w:numFmt w:val="lowerRoman"/>
      <w:lvlText w:val="%3."/>
      <w:lvlJc w:val="right"/>
      <w:pPr>
        <w:ind w:left="2160" w:hanging="180"/>
      </w:pPr>
    </w:lvl>
    <w:lvl w:ilvl="3" w:tplc="D6AADDBA">
      <w:start w:val="1"/>
      <w:numFmt w:val="decimal"/>
      <w:lvlText w:val="%4."/>
      <w:lvlJc w:val="left"/>
      <w:pPr>
        <w:ind w:left="2880" w:hanging="360"/>
      </w:pPr>
    </w:lvl>
    <w:lvl w:ilvl="4" w:tplc="C03EB4F6">
      <w:start w:val="1"/>
      <w:numFmt w:val="lowerLetter"/>
      <w:lvlText w:val="%5."/>
      <w:lvlJc w:val="left"/>
      <w:pPr>
        <w:ind w:left="3600" w:hanging="360"/>
      </w:pPr>
    </w:lvl>
    <w:lvl w:ilvl="5" w:tplc="EDA6883E">
      <w:start w:val="1"/>
      <w:numFmt w:val="lowerRoman"/>
      <w:lvlText w:val="%6."/>
      <w:lvlJc w:val="right"/>
      <w:pPr>
        <w:ind w:left="4320" w:hanging="180"/>
      </w:pPr>
    </w:lvl>
    <w:lvl w:ilvl="6" w:tplc="3DA44B82">
      <w:start w:val="1"/>
      <w:numFmt w:val="decimal"/>
      <w:lvlText w:val="%7."/>
      <w:lvlJc w:val="left"/>
      <w:pPr>
        <w:ind w:left="5040" w:hanging="360"/>
      </w:pPr>
    </w:lvl>
    <w:lvl w:ilvl="7" w:tplc="1D189DF0">
      <w:start w:val="1"/>
      <w:numFmt w:val="lowerLetter"/>
      <w:lvlText w:val="%8."/>
      <w:lvlJc w:val="left"/>
      <w:pPr>
        <w:ind w:left="5760" w:hanging="360"/>
      </w:pPr>
    </w:lvl>
    <w:lvl w:ilvl="8" w:tplc="89527002">
      <w:start w:val="1"/>
      <w:numFmt w:val="lowerRoman"/>
      <w:lvlText w:val="%9."/>
      <w:lvlJc w:val="right"/>
      <w:pPr>
        <w:ind w:left="6480" w:hanging="180"/>
      </w:pPr>
    </w:lvl>
  </w:abstractNum>
  <w:abstractNum w:abstractNumId="5" w15:restartNumberingAfterBreak="0">
    <w:nsid w:val="2F963523"/>
    <w:multiLevelType w:val="hybridMultilevel"/>
    <w:tmpl w:val="C4C68660"/>
    <w:lvl w:ilvl="0" w:tplc="8CAAFD96">
      <w:start w:val="15"/>
      <w:numFmt w:val="decimal"/>
      <w:lvlText w:val="%1."/>
      <w:lvlJc w:val="left"/>
      <w:pPr>
        <w:ind w:left="720" w:hanging="360"/>
      </w:pPr>
    </w:lvl>
    <w:lvl w:ilvl="1" w:tplc="EA3CA7D0">
      <w:start w:val="1"/>
      <w:numFmt w:val="lowerLetter"/>
      <w:lvlText w:val="%2."/>
      <w:lvlJc w:val="left"/>
      <w:pPr>
        <w:ind w:left="1440" w:hanging="360"/>
      </w:pPr>
    </w:lvl>
    <w:lvl w:ilvl="2" w:tplc="55B69562">
      <w:start w:val="1"/>
      <w:numFmt w:val="lowerRoman"/>
      <w:lvlText w:val="%3."/>
      <w:lvlJc w:val="right"/>
      <w:pPr>
        <w:ind w:left="2160" w:hanging="180"/>
      </w:pPr>
    </w:lvl>
    <w:lvl w:ilvl="3" w:tplc="69E85EBC">
      <w:start w:val="1"/>
      <w:numFmt w:val="decimal"/>
      <w:lvlText w:val="%4."/>
      <w:lvlJc w:val="left"/>
      <w:pPr>
        <w:ind w:left="2880" w:hanging="360"/>
      </w:pPr>
    </w:lvl>
    <w:lvl w:ilvl="4" w:tplc="E83867A4">
      <w:start w:val="1"/>
      <w:numFmt w:val="lowerLetter"/>
      <w:lvlText w:val="%5."/>
      <w:lvlJc w:val="left"/>
      <w:pPr>
        <w:ind w:left="3600" w:hanging="360"/>
      </w:pPr>
    </w:lvl>
    <w:lvl w:ilvl="5" w:tplc="70D2A2C4">
      <w:start w:val="1"/>
      <w:numFmt w:val="lowerRoman"/>
      <w:lvlText w:val="%6."/>
      <w:lvlJc w:val="right"/>
      <w:pPr>
        <w:ind w:left="4320" w:hanging="180"/>
      </w:pPr>
    </w:lvl>
    <w:lvl w:ilvl="6" w:tplc="D7D8FA60">
      <w:start w:val="1"/>
      <w:numFmt w:val="decimal"/>
      <w:lvlText w:val="%7."/>
      <w:lvlJc w:val="left"/>
      <w:pPr>
        <w:ind w:left="5040" w:hanging="360"/>
      </w:pPr>
    </w:lvl>
    <w:lvl w:ilvl="7" w:tplc="C22CC472">
      <w:start w:val="1"/>
      <w:numFmt w:val="lowerLetter"/>
      <w:lvlText w:val="%8."/>
      <w:lvlJc w:val="left"/>
      <w:pPr>
        <w:ind w:left="5760" w:hanging="360"/>
      </w:pPr>
    </w:lvl>
    <w:lvl w:ilvl="8" w:tplc="F130740E">
      <w:start w:val="1"/>
      <w:numFmt w:val="lowerRoman"/>
      <w:lvlText w:val="%9."/>
      <w:lvlJc w:val="right"/>
      <w:pPr>
        <w:ind w:left="6480" w:hanging="180"/>
      </w:pPr>
    </w:lvl>
  </w:abstractNum>
  <w:abstractNum w:abstractNumId="6" w15:restartNumberingAfterBreak="0">
    <w:nsid w:val="32B9C66B"/>
    <w:multiLevelType w:val="hybridMultilevel"/>
    <w:tmpl w:val="65B0895A"/>
    <w:lvl w:ilvl="0" w:tplc="EA6826FA">
      <w:start w:val="13"/>
      <w:numFmt w:val="decimal"/>
      <w:lvlText w:val="%1."/>
      <w:lvlJc w:val="left"/>
      <w:pPr>
        <w:ind w:left="720" w:hanging="360"/>
      </w:pPr>
    </w:lvl>
    <w:lvl w:ilvl="1" w:tplc="B504EB26">
      <w:start w:val="1"/>
      <w:numFmt w:val="lowerLetter"/>
      <w:lvlText w:val="%2."/>
      <w:lvlJc w:val="left"/>
      <w:pPr>
        <w:ind w:left="1440" w:hanging="360"/>
      </w:pPr>
    </w:lvl>
    <w:lvl w:ilvl="2" w:tplc="9946818C">
      <w:start w:val="1"/>
      <w:numFmt w:val="lowerRoman"/>
      <w:lvlText w:val="%3."/>
      <w:lvlJc w:val="right"/>
      <w:pPr>
        <w:ind w:left="2160" w:hanging="180"/>
      </w:pPr>
    </w:lvl>
    <w:lvl w:ilvl="3" w:tplc="53EAB8EE">
      <w:start w:val="1"/>
      <w:numFmt w:val="decimal"/>
      <w:lvlText w:val="%4."/>
      <w:lvlJc w:val="left"/>
      <w:pPr>
        <w:ind w:left="2880" w:hanging="360"/>
      </w:pPr>
    </w:lvl>
    <w:lvl w:ilvl="4" w:tplc="17E4EAD0">
      <w:start w:val="1"/>
      <w:numFmt w:val="lowerLetter"/>
      <w:lvlText w:val="%5."/>
      <w:lvlJc w:val="left"/>
      <w:pPr>
        <w:ind w:left="3600" w:hanging="360"/>
      </w:pPr>
    </w:lvl>
    <w:lvl w:ilvl="5" w:tplc="DD824136">
      <w:start w:val="1"/>
      <w:numFmt w:val="lowerRoman"/>
      <w:lvlText w:val="%6."/>
      <w:lvlJc w:val="right"/>
      <w:pPr>
        <w:ind w:left="4320" w:hanging="180"/>
      </w:pPr>
    </w:lvl>
    <w:lvl w:ilvl="6" w:tplc="25D01234">
      <w:start w:val="1"/>
      <w:numFmt w:val="decimal"/>
      <w:lvlText w:val="%7."/>
      <w:lvlJc w:val="left"/>
      <w:pPr>
        <w:ind w:left="5040" w:hanging="360"/>
      </w:pPr>
    </w:lvl>
    <w:lvl w:ilvl="7" w:tplc="C4E64E3A">
      <w:start w:val="1"/>
      <w:numFmt w:val="lowerLetter"/>
      <w:lvlText w:val="%8."/>
      <w:lvlJc w:val="left"/>
      <w:pPr>
        <w:ind w:left="5760" w:hanging="360"/>
      </w:pPr>
    </w:lvl>
    <w:lvl w:ilvl="8" w:tplc="7DDAB3D8">
      <w:start w:val="1"/>
      <w:numFmt w:val="lowerRoman"/>
      <w:lvlText w:val="%9."/>
      <w:lvlJc w:val="right"/>
      <w:pPr>
        <w:ind w:left="6480" w:hanging="180"/>
      </w:pPr>
    </w:lvl>
  </w:abstractNum>
  <w:abstractNum w:abstractNumId="7" w15:restartNumberingAfterBreak="0">
    <w:nsid w:val="358EE0FA"/>
    <w:multiLevelType w:val="hybridMultilevel"/>
    <w:tmpl w:val="DB3E89BC"/>
    <w:lvl w:ilvl="0" w:tplc="75861C3E">
      <w:start w:val="14"/>
      <w:numFmt w:val="decimal"/>
      <w:lvlText w:val="%1."/>
      <w:lvlJc w:val="left"/>
      <w:pPr>
        <w:ind w:left="720" w:hanging="360"/>
      </w:pPr>
    </w:lvl>
    <w:lvl w:ilvl="1" w:tplc="EDCC6726">
      <w:start w:val="1"/>
      <w:numFmt w:val="lowerLetter"/>
      <w:lvlText w:val="%2."/>
      <w:lvlJc w:val="left"/>
      <w:pPr>
        <w:ind w:left="1440" w:hanging="360"/>
      </w:pPr>
    </w:lvl>
    <w:lvl w:ilvl="2" w:tplc="A70C2A9C">
      <w:start w:val="1"/>
      <w:numFmt w:val="lowerRoman"/>
      <w:lvlText w:val="%3."/>
      <w:lvlJc w:val="right"/>
      <w:pPr>
        <w:ind w:left="2160" w:hanging="180"/>
      </w:pPr>
    </w:lvl>
    <w:lvl w:ilvl="3" w:tplc="F1EEDD04">
      <w:start w:val="1"/>
      <w:numFmt w:val="decimal"/>
      <w:lvlText w:val="%4."/>
      <w:lvlJc w:val="left"/>
      <w:pPr>
        <w:ind w:left="2880" w:hanging="360"/>
      </w:pPr>
    </w:lvl>
    <w:lvl w:ilvl="4" w:tplc="972E6FCC">
      <w:start w:val="1"/>
      <w:numFmt w:val="lowerLetter"/>
      <w:lvlText w:val="%5."/>
      <w:lvlJc w:val="left"/>
      <w:pPr>
        <w:ind w:left="3600" w:hanging="360"/>
      </w:pPr>
    </w:lvl>
    <w:lvl w:ilvl="5" w:tplc="6316B6DA">
      <w:start w:val="1"/>
      <w:numFmt w:val="lowerRoman"/>
      <w:lvlText w:val="%6."/>
      <w:lvlJc w:val="right"/>
      <w:pPr>
        <w:ind w:left="4320" w:hanging="180"/>
      </w:pPr>
    </w:lvl>
    <w:lvl w:ilvl="6" w:tplc="5AB66C9E">
      <w:start w:val="1"/>
      <w:numFmt w:val="decimal"/>
      <w:lvlText w:val="%7."/>
      <w:lvlJc w:val="left"/>
      <w:pPr>
        <w:ind w:left="5040" w:hanging="360"/>
      </w:pPr>
    </w:lvl>
    <w:lvl w:ilvl="7" w:tplc="7C8C894C">
      <w:start w:val="1"/>
      <w:numFmt w:val="lowerLetter"/>
      <w:lvlText w:val="%8."/>
      <w:lvlJc w:val="left"/>
      <w:pPr>
        <w:ind w:left="5760" w:hanging="360"/>
      </w:pPr>
    </w:lvl>
    <w:lvl w:ilvl="8" w:tplc="A502C6C4">
      <w:start w:val="1"/>
      <w:numFmt w:val="lowerRoman"/>
      <w:lvlText w:val="%9."/>
      <w:lvlJc w:val="right"/>
      <w:pPr>
        <w:ind w:left="6480" w:hanging="180"/>
      </w:pPr>
    </w:lvl>
  </w:abstractNum>
  <w:abstractNum w:abstractNumId="8" w15:restartNumberingAfterBreak="0">
    <w:nsid w:val="3C27D439"/>
    <w:multiLevelType w:val="hybridMultilevel"/>
    <w:tmpl w:val="CC929C30"/>
    <w:lvl w:ilvl="0" w:tplc="5906AFEE">
      <w:start w:val="4"/>
      <w:numFmt w:val="decimal"/>
      <w:lvlText w:val="%1."/>
      <w:lvlJc w:val="left"/>
      <w:pPr>
        <w:ind w:left="720" w:hanging="360"/>
      </w:pPr>
    </w:lvl>
    <w:lvl w:ilvl="1" w:tplc="D94AAD72">
      <w:start w:val="1"/>
      <w:numFmt w:val="lowerLetter"/>
      <w:lvlText w:val="%2."/>
      <w:lvlJc w:val="left"/>
      <w:pPr>
        <w:ind w:left="1440" w:hanging="360"/>
      </w:pPr>
    </w:lvl>
    <w:lvl w:ilvl="2" w:tplc="7DEE8B7C">
      <w:start w:val="1"/>
      <w:numFmt w:val="lowerRoman"/>
      <w:lvlText w:val="%3."/>
      <w:lvlJc w:val="right"/>
      <w:pPr>
        <w:ind w:left="2160" w:hanging="180"/>
      </w:pPr>
    </w:lvl>
    <w:lvl w:ilvl="3" w:tplc="79367AC4">
      <w:start w:val="1"/>
      <w:numFmt w:val="decimal"/>
      <w:lvlText w:val="%4."/>
      <w:lvlJc w:val="left"/>
      <w:pPr>
        <w:ind w:left="2880" w:hanging="360"/>
      </w:pPr>
    </w:lvl>
    <w:lvl w:ilvl="4" w:tplc="43D6F472">
      <w:start w:val="1"/>
      <w:numFmt w:val="lowerLetter"/>
      <w:lvlText w:val="%5."/>
      <w:lvlJc w:val="left"/>
      <w:pPr>
        <w:ind w:left="3600" w:hanging="360"/>
      </w:pPr>
    </w:lvl>
    <w:lvl w:ilvl="5" w:tplc="3C2009DA">
      <w:start w:val="1"/>
      <w:numFmt w:val="lowerRoman"/>
      <w:lvlText w:val="%6."/>
      <w:lvlJc w:val="right"/>
      <w:pPr>
        <w:ind w:left="4320" w:hanging="180"/>
      </w:pPr>
    </w:lvl>
    <w:lvl w:ilvl="6" w:tplc="6B60C870">
      <w:start w:val="1"/>
      <w:numFmt w:val="decimal"/>
      <w:lvlText w:val="%7."/>
      <w:lvlJc w:val="left"/>
      <w:pPr>
        <w:ind w:left="5040" w:hanging="360"/>
      </w:pPr>
    </w:lvl>
    <w:lvl w:ilvl="7" w:tplc="14484DC4">
      <w:start w:val="1"/>
      <w:numFmt w:val="lowerLetter"/>
      <w:lvlText w:val="%8."/>
      <w:lvlJc w:val="left"/>
      <w:pPr>
        <w:ind w:left="5760" w:hanging="360"/>
      </w:pPr>
    </w:lvl>
    <w:lvl w:ilvl="8" w:tplc="EA5208A6">
      <w:start w:val="1"/>
      <w:numFmt w:val="lowerRoman"/>
      <w:lvlText w:val="%9."/>
      <w:lvlJc w:val="right"/>
      <w:pPr>
        <w:ind w:left="6480" w:hanging="180"/>
      </w:pPr>
    </w:lvl>
  </w:abstractNum>
  <w:abstractNum w:abstractNumId="9" w15:restartNumberingAfterBreak="0">
    <w:nsid w:val="4174F636"/>
    <w:multiLevelType w:val="hybridMultilevel"/>
    <w:tmpl w:val="5EF8D2FE"/>
    <w:lvl w:ilvl="0" w:tplc="D0AAA9EC">
      <w:start w:val="6"/>
      <w:numFmt w:val="decimal"/>
      <w:lvlText w:val="%1."/>
      <w:lvlJc w:val="left"/>
      <w:pPr>
        <w:ind w:left="720" w:hanging="360"/>
      </w:pPr>
    </w:lvl>
    <w:lvl w:ilvl="1" w:tplc="6332D9E4">
      <w:start w:val="1"/>
      <w:numFmt w:val="lowerLetter"/>
      <w:lvlText w:val="%2."/>
      <w:lvlJc w:val="left"/>
      <w:pPr>
        <w:ind w:left="1440" w:hanging="360"/>
      </w:pPr>
    </w:lvl>
    <w:lvl w:ilvl="2" w:tplc="81C62BB4">
      <w:start w:val="1"/>
      <w:numFmt w:val="lowerRoman"/>
      <w:lvlText w:val="%3."/>
      <w:lvlJc w:val="right"/>
      <w:pPr>
        <w:ind w:left="2160" w:hanging="180"/>
      </w:pPr>
    </w:lvl>
    <w:lvl w:ilvl="3" w:tplc="216687E4">
      <w:start w:val="1"/>
      <w:numFmt w:val="decimal"/>
      <w:lvlText w:val="%4."/>
      <w:lvlJc w:val="left"/>
      <w:pPr>
        <w:ind w:left="2880" w:hanging="360"/>
      </w:pPr>
    </w:lvl>
    <w:lvl w:ilvl="4" w:tplc="A2840CFC">
      <w:start w:val="1"/>
      <w:numFmt w:val="lowerLetter"/>
      <w:lvlText w:val="%5."/>
      <w:lvlJc w:val="left"/>
      <w:pPr>
        <w:ind w:left="3600" w:hanging="360"/>
      </w:pPr>
    </w:lvl>
    <w:lvl w:ilvl="5" w:tplc="6A328576">
      <w:start w:val="1"/>
      <w:numFmt w:val="lowerRoman"/>
      <w:lvlText w:val="%6."/>
      <w:lvlJc w:val="right"/>
      <w:pPr>
        <w:ind w:left="4320" w:hanging="180"/>
      </w:pPr>
    </w:lvl>
    <w:lvl w:ilvl="6" w:tplc="632019E8">
      <w:start w:val="1"/>
      <w:numFmt w:val="decimal"/>
      <w:lvlText w:val="%7."/>
      <w:lvlJc w:val="left"/>
      <w:pPr>
        <w:ind w:left="5040" w:hanging="360"/>
      </w:pPr>
    </w:lvl>
    <w:lvl w:ilvl="7" w:tplc="34DC35E6">
      <w:start w:val="1"/>
      <w:numFmt w:val="lowerLetter"/>
      <w:lvlText w:val="%8."/>
      <w:lvlJc w:val="left"/>
      <w:pPr>
        <w:ind w:left="5760" w:hanging="360"/>
      </w:pPr>
    </w:lvl>
    <w:lvl w:ilvl="8" w:tplc="2E6C7428">
      <w:start w:val="1"/>
      <w:numFmt w:val="lowerRoman"/>
      <w:lvlText w:val="%9."/>
      <w:lvlJc w:val="right"/>
      <w:pPr>
        <w:ind w:left="6480" w:hanging="180"/>
      </w:pPr>
    </w:lvl>
  </w:abstractNum>
  <w:abstractNum w:abstractNumId="10" w15:restartNumberingAfterBreak="0">
    <w:nsid w:val="458C6DCE"/>
    <w:multiLevelType w:val="hybridMultilevel"/>
    <w:tmpl w:val="017679C4"/>
    <w:lvl w:ilvl="0" w:tplc="EEB8BF16">
      <w:start w:val="3"/>
      <w:numFmt w:val="decimal"/>
      <w:lvlText w:val="%1."/>
      <w:lvlJc w:val="left"/>
      <w:pPr>
        <w:ind w:left="720" w:hanging="360"/>
      </w:pPr>
    </w:lvl>
    <w:lvl w:ilvl="1" w:tplc="3632A004">
      <w:start w:val="1"/>
      <w:numFmt w:val="lowerLetter"/>
      <w:lvlText w:val="%2."/>
      <w:lvlJc w:val="left"/>
      <w:pPr>
        <w:ind w:left="1440" w:hanging="360"/>
      </w:pPr>
    </w:lvl>
    <w:lvl w:ilvl="2" w:tplc="2D6CD0CC">
      <w:start w:val="1"/>
      <w:numFmt w:val="lowerRoman"/>
      <w:lvlText w:val="%3."/>
      <w:lvlJc w:val="right"/>
      <w:pPr>
        <w:ind w:left="2160" w:hanging="180"/>
      </w:pPr>
    </w:lvl>
    <w:lvl w:ilvl="3" w:tplc="BB38C1BA">
      <w:start w:val="1"/>
      <w:numFmt w:val="decimal"/>
      <w:lvlText w:val="%4."/>
      <w:lvlJc w:val="left"/>
      <w:pPr>
        <w:ind w:left="2880" w:hanging="360"/>
      </w:pPr>
    </w:lvl>
    <w:lvl w:ilvl="4" w:tplc="70AA9B28">
      <w:start w:val="1"/>
      <w:numFmt w:val="lowerLetter"/>
      <w:lvlText w:val="%5."/>
      <w:lvlJc w:val="left"/>
      <w:pPr>
        <w:ind w:left="3600" w:hanging="360"/>
      </w:pPr>
    </w:lvl>
    <w:lvl w:ilvl="5" w:tplc="E3FCE4EE">
      <w:start w:val="1"/>
      <w:numFmt w:val="lowerRoman"/>
      <w:lvlText w:val="%6."/>
      <w:lvlJc w:val="right"/>
      <w:pPr>
        <w:ind w:left="4320" w:hanging="180"/>
      </w:pPr>
    </w:lvl>
    <w:lvl w:ilvl="6" w:tplc="3E664BFE">
      <w:start w:val="1"/>
      <w:numFmt w:val="decimal"/>
      <w:lvlText w:val="%7."/>
      <w:lvlJc w:val="left"/>
      <w:pPr>
        <w:ind w:left="5040" w:hanging="360"/>
      </w:pPr>
    </w:lvl>
    <w:lvl w:ilvl="7" w:tplc="E7E4AF70">
      <w:start w:val="1"/>
      <w:numFmt w:val="lowerLetter"/>
      <w:lvlText w:val="%8."/>
      <w:lvlJc w:val="left"/>
      <w:pPr>
        <w:ind w:left="5760" w:hanging="360"/>
      </w:pPr>
    </w:lvl>
    <w:lvl w:ilvl="8" w:tplc="C75CC988">
      <w:start w:val="1"/>
      <w:numFmt w:val="lowerRoman"/>
      <w:lvlText w:val="%9."/>
      <w:lvlJc w:val="right"/>
      <w:pPr>
        <w:ind w:left="6480" w:hanging="180"/>
      </w:pPr>
    </w:lvl>
  </w:abstractNum>
  <w:abstractNum w:abstractNumId="11" w15:restartNumberingAfterBreak="0">
    <w:nsid w:val="584F968F"/>
    <w:multiLevelType w:val="hybridMultilevel"/>
    <w:tmpl w:val="5D90E6DA"/>
    <w:lvl w:ilvl="0" w:tplc="FF9EE556">
      <w:start w:val="1"/>
      <w:numFmt w:val="decimal"/>
      <w:lvlText w:val="%1."/>
      <w:lvlJc w:val="left"/>
      <w:pPr>
        <w:ind w:left="720" w:hanging="360"/>
      </w:pPr>
    </w:lvl>
    <w:lvl w:ilvl="1" w:tplc="AD92650A">
      <w:start w:val="1"/>
      <w:numFmt w:val="lowerLetter"/>
      <w:lvlText w:val="%2."/>
      <w:lvlJc w:val="left"/>
      <w:pPr>
        <w:ind w:left="1440" w:hanging="360"/>
      </w:pPr>
    </w:lvl>
    <w:lvl w:ilvl="2" w:tplc="960E3EC2">
      <w:start w:val="1"/>
      <w:numFmt w:val="lowerRoman"/>
      <w:lvlText w:val="%3."/>
      <w:lvlJc w:val="right"/>
      <w:pPr>
        <w:ind w:left="2160" w:hanging="180"/>
      </w:pPr>
    </w:lvl>
    <w:lvl w:ilvl="3" w:tplc="E7D8CC52">
      <w:start w:val="1"/>
      <w:numFmt w:val="decimal"/>
      <w:lvlText w:val="%4."/>
      <w:lvlJc w:val="left"/>
      <w:pPr>
        <w:ind w:left="2880" w:hanging="360"/>
      </w:pPr>
    </w:lvl>
    <w:lvl w:ilvl="4" w:tplc="06B6D30A">
      <w:start w:val="1"/>
      <w:numFmt w:val="lowerLetter"/>
      <w:lvlText w:val="%5."/>
      <w:lvlJc w:val="left"/>
      <w:pPr>
        <w:ind w:left="3600" w:hanging="360"/>
      </w:pPr>
    </w:lvl>
    <w:lvl w:ilvl="5" w:tplc="B5C49C12">
      <w:start w:val="1"/>
      <w:numFmt w:val="lowerRoman"/>
      <w:lvlText w:val="%6."/>
      <w:lvlJc w:val="right"/>
      <w:pPr>
        <w:ind w:left="4320" w:hanging="180"/>
      </w:pPr>
    </w:lvl>
    <w:lvl w:ilvl="6" w:tplc="FC421A96">
      <w:start w:val="1"/>
      <w:numFmt w:val="decimal"/>
      <w:lvlText w:val="%7."/>
      <w:lvlJc w:val="left"/>
      <w:pPr>
        <w:ind w:left="5040" w:hanging="360"/>
      </w:pPr>
    </w:lvl>
    <w:lvl w:ilvl="7" w:tplc="51DA93E2">
      <w:start w:val="1"/>
      <w:numFmt w:val="lowerLetter"/>
      <w:lvlText w:val="%8."/>
      <w:lvlJc w:val="left"/>
      <w:pPr>
        <w:ind w:left="5760" w:hanging="360"/>
      </w:pPr>
    </w:lvl>
    <w:lvl w:ilvl="8" w:tplc="EE689E66">
      <w:start w:val="1"/>
      <w:numFmt w:val="lowerRoman"/>
      <w:lvlText w:val="%9."/>
      <w:lvlJc w:val="right"/>
      <w:pPr>
        <w:ind w:left="6480" w:hanging="180"/>
      </w:pPr>
    </w:lvl>
  </w:abstractNum>
  <w:abstractNum w:abstractNumId="12" w15:restartNumberingAfterBreak="0">
    <w:nsid w:val="644F9617"/>
    <w:multiLevelType w:val="hybridMultilevel"/>
    <w:tmpl w:val="B4BC1EA4"/>
    <w:lvl w:ilvl="0" w:tplc="04E0418E">
      <w:start w:val="9"/>
      <w:numFmt w:val="decimal"/>
      <w:lvlText w:val="%1."/>
      <w:lvlJc w:val="left"/>
      <w:pPr>
        <w:ind w:left="720" w:hanging="360"/>
      </w:pPr>
    </w:lvl>
    <w:lvl w:ilvl="1" w:tplc="4A6A44A0">
      <w:start w:val="1"/>
      <w:numFmt w:val="lowerLetter"/>
      <w:lvlText w:val="%2."/>
      <w:lvlJc w:val="left"/>
      <w:pPr>
        <w:ind w:left="1440" w:hanging="360"/>
      </w:pPr>
    </w:lvl>
    <w:lvl w:ilvl="2" w:tplc="2228C952">
      <w:start w:val="1"/>
      <w:numFmt w:val="lowerRoman"/>
      <w:lvlText w:val="%3."/>
      <w:lvlJc w:val="right"/>
      <w:pPr>
        <w:ind w:left="2160" w:hanging="180"/>
      </w:pPr>
    </w:lvl>
    <w:lvl w:ilvl="3" w:tplc="D79054BE">
      <w:start w:val="1"/>
      <w:numFmt w:val="decimal"/>
      <w:lvlText w:val="%4."/>
      <w:lvlJc w:val="left"/>
      <w:pPr>
        <w:ind w:left="2880" w:hanging="360"/>
      </w:pPr>
    </w:lvl>
    <w:lvl w:ilvl="4" w:tplc="89809218">
      <w:start w:val="1"/>
      <w:numFmt w:val="lowerLetter"/>
      <w:lvlText w:val="%5."/>
      <w:lvlJc w:val="left"/>
      <w:pPr>
        <w:ind w:left="3600" w:hanging="360"/>
      </w:pPr>
    </w:lvl>
    <w:lvl w:ilvl="5" w:tplc="0B4CDEE6">
      <w:start w:val="1"/>
      <w:numFmt w:val="lowerRoman"/>
      <w:lvlText w:val="%6."/>
      <w:lvlJc w:val="right"/>
      <w:pPr>
        <w:ind w:left="4320" w:hanging="180"/>
      </w:pPr>
    </w:lvl>
    <w:lvl w:ilvl="6" w:tplc="AA34F89C">
      <w:start w:val="1"/>
      <w:numFmt w:val="decimal"/>
      <w:lvlText w:val="%7."/>
      <w:lvlJc w:val="left"/>
      <w:pPr>
        <w:ind w:left="5040" w:hanging="360"/>
      </w:pPr>
    </w:lvl>
    <w:lvl w:ilvl="7" w:tplc="14DEFCE8">
      <w:start w:val="1"/>
      <w:numFmt w:val="lowerLetter"/>
      <w:lvlText w:val="%8."/>
      <w:lvlJc w:val="left"/>
      <w:pPr>
        <w:ind w:left="5760" w:hanging="360"/>
      </w:pPr>
    </w:lvl>
    <w:lvl w:ilvl="8" w:tplc="FC027DEA">
      <w:start w:val="1"/>
      <w:numFmt w:val="lowerRoman"/>
      <w:lvlText w:val="%9."/>
      <w:lvlJc w:val="right"/>
      <w:pPr>
        <w:ind w:left="6480" w:hanging="180"/>
      </w:pPr>
    </w:lvl>
  </w:abstractNum>
  <w:abstractNum w:abstractNumId="13" w15:restartNumberingAfterBreak="0">
    <w:nsid w:val="64A6A745"/>
    <w:multiLevelType w:val="hybridMultilevel"/>
    <w:tmpl w:val="D636709E"/>
    <w:lvl w:ilvl="0" w:tplc="FF6C6E68">
      <w:start w:val="11"/>
      <w:numFmt w:val="decimal"/>
      <w:lvlText w:val="%1."/>
      <w:lvlJc w:val="left"/>
      <w:pPr>
        <w:ind w:left="720" w:hanging="360"/>
      </w:pPr>
    </w:lvl>
    <w:lvl w:ilvl="1" w:tplc="084250D2">
      <w:start w:val="1"/>
      <w:numFmt w:val="lowerLetter"/>
      <w:lvlText w:val="%2."/>
      <w:lvlJc w:val="left"/>
      <w:pPr>
        <w:ind w:left="1440" w:hanging="360"/>
      </w:pPr>
    </w:lvl>
    <w:lvl w:ilvl="2" w:tplc="10EA1CD6">
      <w:start w:val="1"/>
      <w:numFmt w:val="lowerRoman"/>
      <w:lvlText w:val="%3."/>
      <w:lvlJc w:val="right"/>
      <w:pPr>
        <w:ind w:left="2160" w:hanging="180"/>
      </w:pPr>
    </w:lvl>
    <w:lvl w:ilvl="3" w:tplc="9DB0E376">
      <w:start w:val="1"/>
      <w:numFmt w:val="decimal"/>
      <w:lvlText w:val="%4."/>
      <w:lvlJc w:val="left"/>
      <w:pPr>
        <w:ind w:left="2880" w:hanging="360"/>
      </w:pPr>
    </w:lvl>
    <w:lvl w:ilvl="4" w:tplc="B3A0AA36">
      <w:start w:val="1"/>
      <w:numFmt w:val="lowerLetter"/>
      <w:lvlText w:val="%5."/>
      <w:lvlJc w:val="left"/>
      <w:pPr>
        <w:ind w:left="3600" w:hanging="360"/>
      </w:pPr>
    </w:lvl>
    <w:lvl w:ilvl="5" w:tplc="8B26D150">
      <w:start w:val="1"/>
      <w:numFmt w:val="lowerRoman"/>
      <w:lvlText w:val="%6."/>
      <w:lvlJc w:val="right"/>
      <w:pPr>
        <w:ind w:left="4320" w:hanging="180"/>
      </w:pPr>
    </w:lvl>
    <w:lvl w:ilvl="6" w:tplc="9A74EE66">
      <w:start w:val="1"/>
      <w:numFmt w:val="decimal"/>
      <w:lvlText w:val="%7."/>
      <w:lvlJc w:val="left"/>
      <w:pPr>
        <w:ind w:left="5040" w:hanging="360"/>
      </w:pPr>
    </w:lvl>
    <w:lvl w:ilvl="7" w:tplc="66B24138">
      <w:start w:val="1"/>
      <w:numFmt w:val="lowerLetter"/>
      <w:lvlText w:val="%8."/>
      <w:lvlJc w:val="left"/>
      <w:pPr>
        <w:ind w:left="5760" w:hanging="360"/>
      </w:pPr>
    </w:lvl>
    <w:lvl w:ilvl="8" w:tplc="73E6BDC6">
      <w:start w:val="1"/>
      <w:numFmt w:val="lowerRoman"/>
      <w:lvlText w:val="%9."/>
      <w:lvlJc w:val="right"/>
      <w:pPr>
        <w:ind w:left="6480" w:hanging="180"/>
      </w:pPr>
    </w:lvl>
  </w:abstractNum>
  <w:abstractNum w:abstractNumId="14" w15:restartNumberingAfterBreak="0">
    <w:nsid w:val="743AC30B"/>
    <w:multiLevelType w:val="hybridMultilevel"/>
    <w:tmpl w:val="986AB4E6"/>
    <w:lvl w:ilvl="0" w:tplc="8EC8FA2A">
      <w:start w:val="2"/>
      <w:numFmt w:val="decimal"/>
      <w:lvlText w:val="%1."/>
      <w:lvlJc w:val="left"/>
      <w:pPr>
        <w:ind w:left="720" w:hanging="360"/>
      </w:pPr>
    </w:lvl>
    <w:lvl w:ilvl="1" w:tplc="9FB8EB26">
      <w:start w:val="1"/>
      <w:numFmt w:val="lowerLetter"/>
      <w:lvlText w:val="%2."/>
      <w:lvlJc w:val="left"/>
      <w:pPr>
        <w:ind w:left="1440" w:hanging="360"/>
      </w:pPr>
    </w:lvl>
    <w:lvl w:ilvl="2" w:tplc="B784CD7E">
      <w:start w:val="1"/>
      <w:numFmt w:val="lowerRoman"/>
      <w:lvlText w:val="%3."/>
      <w:lvlJc w:val="right"/>
      <w:pPr>
        <w:ind w:left="2160" w:hanging="180"/>
      </w:pPr>
    </w:lvl>
    <w:lvl w:ilvl="3" w:tplc="D180A61C">
      <w:start w:val="1"/>
      <w:numFmt w:val="decimal"/>
      <w:lvlText w:val="%4."/>
      <w:lvlJc w:val="left"/>
      <w:pPr>
        <w:ind w:left="2880" w:hanging="360"/>
      </w:pPr>
    </w:lvl>
    <w:lvl w:ilvl="4" w:tplc="21F291D0">
      <w:start w:val="1"/>
      <w:numFmt w:val="lowerLetter"/>
      <w:lvlText w:val="%5."/>
      <w:lvlJc w:val="left"/>
      <w:pPr>
        <w:ind w:left="3600" w:hanging="360"/>
      </w:pPr>
    </w:lvl>
    <w:lvl w:ilvl="5" w:tplc="6C103F50">
      <w:start w:val="1"/>
      <w:numFmt w:val="lowerRoman"/>
      <w:lvlText w:val="%6."/>
      <w:lvlJc w:val="right"/>
      <w:pPr>
        <w:ind w:left="4320" w:hanging="180"/>
      </w:pPr>
    </w:lvl>
    <w:lvl w:ilvl="6" w:tplc="4718D09A">
      <w:start w:val="1"/>
      <w:numFmt w:val="decimal"/>
      <w:lvlText w:val="%7."/>
      <w:lvlJc w:val="left"/>
      <w:pPr>
        <w:ind w:left="5040" w:hanging="360"/>
      </w:pPr>
    </w:lvl>
    <w:lvl w:ilvl="7" w:tplc="1B029C6A">
      <w:start w:val="1"/>
      <w:numFmt w:val="lowerLetter"/>
      <w:lvlText w:val="%8."/>
      <w:lvlJc w:val="left"/>
      <w:pPr>
        <w:ind w:left="5760" w:hanging="360"/>
      </w:pPr>
    </w:lvl>
    <w:lvl w:ilvl="8" w:tplc="30B26DEE">
      <w:start w:val="1"/>
      <w:numFmt w:val="lowerRoman"/>
      <w:lvlText w:val="%9."/>
      <w:lvlJc w:val="right"/>
      <w:pPr>
        <w:ind w:left="6480" w:hanging="180"/>
      </w:pPr>
    </w:lvl>
  </w:abstractNum>
  <w:num w:numId="1" w16cid:durableId="1234900661">
    <w:abstractNumId w:val="5"/>
  </w:num>
  <w:num w:numId="2" w16cid:durableId="1583177968">
    <w:abstractNumId w:val="7"/>
  </w:num>
  <w:num w:numId="3" w16cid:durableId="893152483">
    <w:abstractNumId w:val="6"/>
  </w:num>
  <w:num w:numId="4" w16cid:durableId="1603876148">
    <w:abstractNumId w:val="2"/>
  </w:num>
  <w:num w:numId="5" w16cid:durableId="1117219275">
    <w:abstractNumId w:val="13"/>
  </w:num>
  <w:num w:numId="6" w16cid:durableId="176160815">
    <w:abstractNumId w:val="1"/>
  </w:num>
  <w:num w:numId="7" w16cid:durableId="1320764962">
    <w:abstractNumId w:val="12"/>
  </w:num>
  <w:num w:numId="8" w16cid:durableId="2092771264">
    <w:abstractNumId w:val="0"/>
  </w:num>
  <w:num w:numId="9" w16cid:durableId="1553542295">
    <w:abstractNumId w:val="4"/>
  </w:num>
  <w:num w:numId="10" w16cid:durableId="1265963287">
    <w:abstractNumId w:val="9"/>
  </w:num>
  <w:num w:numId="11" w16cid:durableId="1744528179">
    <w:abstractNumId w:val="3"/>
  </w:num>
  <w:num w:numId="12" w16cid:durableId="2032337115">
    <w:abstractNumId w:val="8"/>
  </w:num>
  <w:num w:numId="13" w16cid:durableId="1185557952">
    <w:abstractNumId w:val="10"/>
  </w:num>
  <w:num w:numId="14" w16cid:durableId="715935504">
    <w:abstractNumId w:val="14"/>
  </w:num>
  <w:num w:numId="15" w16cid:durableId="12197829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DCE6BD"/>
    <w:rsid w:val="000220F3"/>
    <w:rsid w:val="00190DEB"/>
    <w:rsid w:val="0044EECF"/>
    <w:rsid w:val="0048AFFA"/>
    <w:rsid w:val="0062648A"/>
    <w:rsid w:val="01107F1A"/>
    <w:rsid w:val="01358A3A"/>
    <w:rsid w:val="01B40F56"/>
    <w:rsid w:val="01DBBD8B"/>
    <w:rsid w:val="01E5912C"/>
    <w:rsid w:val="0233EAD2"/>
    <w:rsid w:val="02DD2054"/>
    <w:rsid w:val="0353E8EB"/>
    <w:rsid w:val="037EFC8B"/>
    <w:rsid w:val="03DC53E8"/>
    <w:rsid w:val="047ACAC8"/>
    <w:rsid w:val="04D3FB3F"/>
    <w:rsid w:val="051E92A7"/>
    <w:rsid w:val="055332E8"/>
    <w:rsid w:val="05567175"/>
    <w:rsid w:val="057AB641"/>
    <w:rsid w:val="06601226"/>
    <w:rsid w:val="0755A3B9"/>
    <w:rsid w:val="07569451"/>
    <w:rsid w:val="0782309B"/>
    <w:rsid w:val="082FD4C7"/>
    <w:rsid w:val="0878DDD6"/>
    <w:rsid w:val="0899FC75"/>
    <w:rsid w:val="0909227C"/>
    <w:rsid w:val="091E7E9F"/>
    <w:rsid w:val="096E072D"/>
    <w:rsid w:val="09DD404B"/>
    <w:rsid w:val="0AD8E304"/>
    <w:rsid w:val="0BFDF48D"/>
    <w:rsid w:val="0CFDDAF7"/>
    <w:rsid w:val="0D15E75D"/>
    <w:rsid w:val="0DD350EA"/>
    <w:rsid w:val="0DD5EBA1"/>
    <w:rsid w:val="0E86B610"/>
    <w:rsid w:val="0E8B1910"/>
    <w:rsid w:val="0F28C1D9"/>
    <w:rsid w:val="0F6CC66C"/>
    <w:rsid w:val="0FF7B24A"/>
    <w:rsid w:val="102B90D2"/>
    <w:rsid w:val="104EC5B0"/>
    <w:rsid w:val="106557D6"/>
    <w:rsid w:val="10792115"/>
    <w:rsid w:val="10F048DF"/>
    <w:rsid w:val="116B3214"/>
    <w:rsid w:val="13011DC1"/>
    <w:rsid w:val="137CC58E"/>
    <w:rsid w:val="13E3AAFF"/>
    <w:rsid w:val="14321F85"/>
    <w:rsid w:val="143C69BB"/>
    <w:rsid w:val="14442AD2"/>
    <w:rsid w:val="149CEE22"/>
    <w:rsid w:val="14D4CE6F"/>
    <w:rsid w:val="14E9AA15"/>
    <w:rsid w:val="1512CAD4"/>
    <w:rsid w:val="15616488"/>
    <w:rsid w:val="1629B586"/>
    <w:rsid w:val="16DB6C64"/>
    <w:rsid w:val="172A2276"/>
    <w:rsid w:val="1816DBE2"/>
    <w:rsid w:val="1855D5AC"/>
    <w:rsid w:val="18E43FE8"/>
    <w:rsid w:val="198E6E0A"/>
    <w:rsid w:val="19FFD07E"/>
    <w:rsid w:val="1A6763B4"/>
    <w:rsid w:val="1AB5F683"/>
    <w:rsid w:val="1AC3F8C5"/>
    <w:rsid w:val="1AE02D52"/>
    <w:rsid w:val="1B1035A3"/>
    <w:rsid w:val="1B1C2BB3"/>
    <w:rsid w:val="1B7902EC"/>
    <w:rsid w:val="1B8C003C"/>
    <w:rsid w:val="1BE13548"/>
    <w:rsid w:val="1BE301D6"/>
    <w:rsid w:val="1CF82A15"/>
    <w:rsid w:val="1D007700"/>
    <w:rsid w:val="1D14D34D"/>
    <w:rsid w:val="1E6AF94F"/>
    <w:rsid w:val="1EE67A5C"/>
    <w:rsid w:val="1F23520B"/>
    <w:rsid w:val="1FB7A535"/>
    <w:rsid w:val="20014A4D"/>
    <w:rsid w:val="20AC752B"/>
    <w:rsid w:val="20D86819"/>
    <w:rsid w:val="20E3F8BD"/>
    <w:rsid w:val="20E5C817"/>
    <w:rsid w:val="21439F8A"/>
    <w:rsid w:val="21C55A86"/>
    <w:rsid w:val="21ED4A36"/>
    <w:rsid w:val="221B1D32"/>
    <w:rsid w:val="221E12BD"/>
    <w:rsid w:val="22C3B672"/>
    <w:rsid w:val="23506856"/>
    <w:rsid w:val="237AAE19"/>
    <w:rsid w:val="23A0C322"/>
    <w:rsid w:val="246D0E4B"/>
    <w:rsid w:val="249A0E02"/>
    <w:rsid w:val="24A82FC9"/>
    <w:rsid w:val="253C9383"/>
    <w:rsid w:val="25E7463F"/>
    <w:rsid w:val="26780FEC"/>
    <w:rsid w:val="278EFA96"/>
    <w:rsid w:val="2837C355"/>
    <w:rsid w:val="287D503C"/>
    <w:rsid w:val="28CFA2D5"/>
    <w:rsid w:val="2915F105"/>
    <w:rsid w:val="293DD86E"/>
    <w:rsid w:val="29EDA206"/>
    <w:rsid w:val="2A327FCF"/>
    <w:rsid w:val="2AD9A8CF"/>
    <w:rsid w:val="2AF88E9A"/>
    <w:rsid w:val="2B289AC6"/>
    <w:rsid w:val="2B40F063"/>
    <w:rsid w:val="2BABD507"/>
    <w:rsid w:val="2BB2E380"/>
    <w:rsid w:val="2BD30E44"/>
    <w:rsid w:val="2C416ACE"/>
    <w:rsid w:val="2D16086A"/>
    <w:rsid w:val="2D8D6427"/>
    <w:rsid w:val="2DE3394D"/>
    <w:rsid w:val="2E390875"/>
    <w:rsid w:val="2E9856A3"/>
    <w:rsid w:val="2EB4401D"/>
    <w:rsid w:val="2EBC1D9A"/>
    <w:rsid w:val="2ED0ADF3"/>
    <w:rsid w:val="307A386F"/>
    <w:rsid w:val="30A97283"/>
    <w:rsid w:val="311CABF8"/>
    <w:rsid w:val="313237CC"/>
    <w:rsid w:val="315477D1"/>
    <w:rsid w:val="319CC991"/>
    <w:rsid w:val="32726B40"/>
    <w:rsid w:val="327BC392"/>
    <w:rsid w:val="32C8FBE8"/>
    <w:rsid w:val="33231E93"/>
    <w:rsid w:val="3352E6C5"/>
    <w:rsid w:val="33A32DAD"/>
    <w:rsid w:val="33F0B843"/>
    <w:rsid w:val="3455A1D0"/>
    <w:rsid w:val="349E78CF"/>
    <w:rsid w:val="34DB3F2C"/>
    <w:rsid w:val="355AA4D3"/>
    <w:rsid w:val="368E4302"/>
    <w:rsid w:val="36EF78D5"/>
    <w:rsid w:val="375AAB34"/>
    <w:rsid w:val="37A706DC"/>
    <w:rsid w:val="39131066"/>
    <w:rsid w:val="39450986"/>
    <w:rsid w:val="3B0B4A9B"/>
    <w:rsid w:val="3B160E6B"/>
    <w:rsid w:val="3B720F69"/>
    <w:rsid w:val="3B9939AD"/>
    <w:rsid w:val="3BCD6404"/>
    <w:rsid w:val="3BF77454"/>
    <w:rsid w:val="3C7561B2"/>
    <w:rsid w:val="3CE7847E"/>
    <w:rsid w:val="3D189C10"/>
    <w:rsid w:val="3D6C450B"/>
    <w:rsid w:val="3D96E8B6"/>
    <w:rsid w:val="3DD37C13"/>
    <w:rsid w:val="3E860465"/>
    <w:rsid w:val="3E99C831"/>
    <w:rsid w:val="3EFCA475"/>
    <w:rsid w:val="3F3204F2"/>
    <w:rsid w:val="3F92AFFE"/>
    <w:rsid w:val="3FBF3A5D"/>
    <w:rsid w:val="3FD43429"/>
    <w:rsid w:val="3FE173B3"/>
    <w:rsid w:val="3FFD8AFF"/>
    <w:rsid w:val="4071ED58"/>
    <w:rsid w:val="41245254"/>
    <w:rsid w:val="414BEE13"/>
    <w:rsid w:val="4165BC75"/>
    <w:rsid w:val="4170048A"/>
    <w:rsid w:val="41D134F9"/>
    <w:rsid w:val="41D20B38"/>
    <w:rsid w:val="42164FC5"/>
    <w:rsid w:val="426B8968"/>
    <w:rsid w:val="428FD164"/>
    <w:rsid w:val="42A46136"/>
    <w:rsid w:val="42E06E76"/>
    <w:rsid w:val="431E2776"/>
    <w:rsid w:val="4327A5DB"/>
    <w:rsid w:val="434D20DD"/>
    <w:rsid w:val="4357AB5D"/>
    <w:rsid w:val="436165EA"/>
    <w:rsid w:val="4383C4AE"/>
    <w:rsid w:val="43A0B30B"/>
    <w:rsid w:val="43B64B58"/>
    <w:rsid w:val="43CB5C2E"/>
    <w:rsid w:val="44157CB7"/>
    <w:rsid w:val="44BBF92C"/>
    <w:rsid w:val="461BC41A"/>
    <w:rsid w:val="46211588"/>
    <w:rsid w:val="464375AD"/>
    <w:rsid w:val="4726FCC5"/>
    <w:rsid w:val="472E5B02"/>
    <w:rsid w:val="4862C8F6"/>
    <w:rsid w:val="48A9F229"/>
    <w:rsid w:val="493ECB8D"/>
    <w:rsid w:val="495B7F0D"/>
    <w:rsid w:val="49A4F46E"/>
    <w:rsid w:val="49BF80AD"/>
    <w:rsid w:val="49C52D88"/>
    <w:rsid w:val="49F6FF0D"/>
    <w:rsid w:val="4A127961"/>
    <w:rsid w:val="4ADDC911"/>
    <w:rsid w:val="4B279F85"/>
    <w:rsid w:val="4B5795D0"/>
    <w:rsid w:val="4B7AFB9B"/>
    <w:rsid w:val="4C5A8110"/>
    <w:rsid w:val="4D1B760D"/>
    <w:rsid w:val="4D3CAC0F"/>
    <w:rsid w:val="4D872E70"/>
    <w:rsid w:val="4DADA065"/>
    <w:rsid w:val="4DF9F5CB"/>
    <w:rsid w:val="4F332CD0"/>
    <w:rsid w:val="4F9EB2C7"/>
    <w:rsid w:val="4FF4647D"/>
    <w:rsid w:val="50627441"/>
    <w:rsid w:val="5089CB5E"/>
    <w:rsid w:val="50B9C119"/>
    <w:rsid w:val="51046755"/>
    <w:rsid w:val="51731C57"/>
    <w:rsid w:val="51B8C1DF"/>
    <w:rsid w:val="51CD0A81"/>
    <w:rsid w:val="521C57C3"/>
    <w:rsid w:val="52E93240"/>
    <w:rsid w:val="530D5C96"/>
    <w:rsid w:val="5458B5E1"/>
    <w:rsid w:val="54B8AED5"/>
    <w:rsid w:val="54CE2470"/>
    <w:rsid w:val="553B8B2C"/>
    <w:rsid w:val="55BDEAA9"/>
    <w:rsid w:val="55CA4CE0"/>
    <w:rsid w:val="55DE266C"/>
    <w:rsid w:val="56917604"/>
    <w:rsid w:val="5693D094"/>
    <w:rsid w:val="569F81B1"/>
    <w:rsid w:val="56C69E8F"/>
    <w:rsid w:val="56F46425"/>
    <w:rsid w:val="578488ED"/>
    <w:rsid w:val="57B562A5"/>
    <w:rsid w:val="583A9695"/>
    <w:rsid w:val="58A2686D"/>
    <w:rsid w:val="59127393"/>
    <w:rsid w:val="595E2CEE"/>
    <w:rsid w:val="59C4CB20"/>
    <w:rsid w:val="5A3C245D"/>
    <w:rsid w:val="5ACA7E45"/>
    <w:rsid w:val="5AE57712"/>
    <w:rsid w:val="5B0B01BD"/>
    <w:rsid w:val="5B1515E9"/>
    <w:rsid w:val="5B20119E"/>
    <w:rsid w:val="5B8E9B8E"/>
    <w:rsid w:val="5BA0363D"/>
    <w:rsid w:val="5BC01C0B"/>
    <w:rsid w:val="5BDE199A"/>
    <w:rsid w:val="5C27E2ED"/>
    <w:rsid w:val="5CD138FE"/>
    <w:rsid w:val="5CF841BA"/>
    <w:rsid w:val="5D28BAE1"/>
    <w:rsid w:val="5D2B4D06"/>
    <w:rsid w:val="5D3A273C"/>
    <w:rsid w:val="5D97C8AE"/>
    <w:rsid w:val="5DC97213"/>
    <w:rsid w:val="5E55710F"/>
    <w:rsid w:val="5EF151EE"/>
    <w:rsid w:val="5EF364A5"/>
    <w:rsid w:val="5EF4972C"/>
    <w:rsid w:val="5F9DAC85"/>
    <w:rsid w:val="5FEB8B3D"/>
    <w:rsid w:val="6019363F"/>
    <w:rsid w:val="609C1C99"/>
    <w:rsid w:val="6167D53E"/>
    <w:rsid w:val="6255CD07"/>
    <w:rsid w:val="62FD0DD1"/>
    <w:rsid w:val="63303811"/>
    <w:rsid w:val="634CA7A2"/>
    <w:rsid w:val="6456BCB8"/>
    <w:rsid w:val="645B8F0A"/>
    <w:rsid w:val="65C6E02F"/>
    <w:rsid w:val="668CDB47"/>
    <w:rsid w:val="66AE3C7A"/>
    <w:rsid w:val="66B9720C"/>
    <w:rsid w:val="67017B09"/>
    <w:rsid w:val="675D1A5B"/>
    <w:rsid w:val="677C59E9"/>
    <w:rsid w:val="67A93F87"/>
    <w:rsid w:val="68195AFF"/>
    <w:rsid w:val="68768515"/>
    <w:rsid w:val="687D95F7"/>
    <w:rsid w:val="6898F2AB"/>
    <w:rsid w:val="690DCEA8"/>
    <w:rsid w:val="6A02D9E3"/>
    <w:rsid w:val="6A540F71"/>
    <w:rsid w:val="6A593C50"/>
    <w:rsid w:val="6ADFDA4E"/>
    <w:rsid w:val="6B069F01"/>
    <w:rsid w:val="6B21CA33"/>
    <w:rsid w:val="6BEFDFD2"/>
    <w:rsid w:val="6BFB4950"/>
    <w:rsid w:val="6C22155A"/>
    <w:rsid w:val="6C40B244"/>
    <w:rsid w:val="6C430C9E"/>
    <w:rsid w:val="6C60BB1B"/>
    <w:rsid w:val="6D1AE8FD"/>
    <w:rsid w:val="6E20119E"/>
    <w:rsid w:val="6E6D9F74"/>
    <w:rsid w:val="6EA97A62"/>
    <w:rsid w:val="6EC3D913"/>
    <w:rsid w:val="6EE9A6CB"/>
    <w:rsid w:val="6F0AA1AD"/>
    <w:rsid w:val="6F305E58"/>
    <w:rsid w:val="6F60CB48"/>
    <w:rsid w:val="6F93E5A1"/>
    <w:rsid w:val="6FD6EDA5"/>
    <w:rsid w:val="6FD90983"/>
    <w:rsid w:val="7009FCCE"/>
    <w:rsid w:val="706976AB"/>
    <w:rsid w:val="706DE711"/>
    <w:rsid w:val="7077BDF9"/>
    <w:rsid w:val="70ED6C14"/>
    <w:rsid w:val="71573AA1"/>
    <w:rsid w:val="717875ED"/>
    <w:rsid w:val="71D1D0AF"/>
    <w:rsid w:val="71F80184"/>
    <w:rsid w:val="722D92BF"/>
    <w:rsid w:val="726EA1A9"/>
    <w:rsid w:val="72F87C32"/>
    <w:rsid w:val="7312B1B9"/>
    <w:rsid w:val="7314464E"/>
    <w:rsid w:val="74299390"/>
    <w:rsid w:val="745C6BC6"/>
    <w:rsid w:val="747D41E7"/>
    <w:rsid w:val="74875636"/>
    <w:rsid w:val="7489D273"/>
    <w:rsid w:val="74C9AF9C"/>
    <w:rsid w:val="74D74995"/>
    <w:rsid w:val="74EF943F"/>
    <w:rsid w:val="75BBEBE7"/>
    <w:rsid w:val="75F83C27"/>
    <w:rsid w:val="769D9035"/>
    <w:rsid w:val="76B057B2"/>
    <w:rsid w:val="76D5D24D"/>
    <w:rsid w:val="76EA4C43"/>
    <w:rsid w:val="774429F0"/>
    <w:rsid w:val="77CBD166"/>
    <w:rsid w:val="7807ABCA"/>
    <w:rsid w:val="78A97C2A"/>
    <w:rsid w:val="78DCB956"/>
    <w:rsid w:val="7918E4EB"/>
    <w:rsid w:val="79BD2C98"/>
    <w:rsid w:val="79D65FD8"/>
    <w:rsid w:val="7A6783E0"/>
    <w:rsid w:val="7AB7E040"/>
    <w:rsid w:val="7B9DD276"/>
    <w:rsid w:val="7C4243B7"/>
    <w:rsid w:val="7C52E998"/>
    <w:rsid w:val="7C6B4F0C"/>
    <w:rsid w:val="7CA67B5F"/>
    <w:rsid w:val="7D47D2B1"/>
    <w:rsid w:val="7DAF7392"/>
    <w:rsid w:val="7DDCE6BD"/>
    <w:rsid w:val="7E4274EB"/>
    <w:rsid w:val="7E86E647"/>
    <w:rsid w:val="7EB1E3D6"/>
    <w:rsid w:val="7EB41FAD"/>
    <w:rsid w:val="7F285D77"/>
    <w:rsid w:val="7F71B13C"/>
    <w:rsid w:val="7FE260ED"/>
    <w:rsid w:val="7FE8E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E6BD"/>
  <w15:chartTrackingRefBased/>
  <w15:docId w15:val="{D63537DD-8833-4859-8DCF-B1C06E84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BC01C0B"/>
    <w:rPr>
      <w:lang w:val="en-GB"/>
    </w:rPr>
  </w:style>
  <w:style w:type="paragraph" w:styleId="Heading1">
    <w:name w:val="heading 1"/>
    <w:basedOn w:val="Normal"/>
    <w:next w:val="Normal"/>
    <w:link w:val="Heading1Char"/>
    <w:uiPriority w:val="9"/>
    <w:qFormat/>
    <w:rsid w:val="5BC01C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BC01C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5BC01C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BC01C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BC01C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BC01C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BC01C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BC01C0B"/>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BC01C0B"/>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5BC01C0B"/>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5BC01C0B"/>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5BC01C0B"/>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5BC01C0B"/>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Nornal">
    <w:name w:val="Nornal"/>
    <w:basedOn w:val="Normal"/>
    <w:link w:val="NornalChar"/>
    <w:uiPriority w:val="1"/>
    <w:qFormat/>
    <w:rsid w:val="5BC01C0B"/>
    <w:pPr>
      <w:spacing w:line="264" w:lineRule="auto"/>
    </w:pPr>
    <w:rPr>
      <w:rFonts w:ascii="Arial" w:hAnsi="Arial" w:cs="Arial"/>
      <w:sz w:val="22"/>
      <w:szCs w:val="22"/>
    </w:rPr>
  </w:style>
  <w:style w:type="character" w:customStyle="1" w:styleId="NornalChar">
    <w:name w:val="Nornal Char"/>
    <w:basedOn w:val="DefaultParagraphFont"/>
    <w:link w:val="Nornal"/>
    <w:uiPriority w:val="1"/>
    <w:rsid w:val="26780FEC"/>
    <w:rPr>
      <w:rFonts w:ascii="Arial" w:hAnsi="Arial" w:cs="Arial"/>
      <w:sz w:val="22"/>
      <w:szCs w:val="22"/>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5BC01C0B"/>
    <w:pPr>
      <w:ind w:left="720"/>
      <w:contextualSpacing/>
    </w:pPr>
  </w:style>
  <w:style w:type="paragraph" w:styleId="TOC1">
    <w:name w:val="toc 1"/>
    <w:basedOn w:val="Normal"/>
    <w:next w:val="Normal"/>
    <w:uiPriority w:val="39"/>
    <w:unhideWhenUsed/>
    <w:rsid w:val="5BC01C0B"/>
    <w:pPr>
      <w:spacing w:after="100"/>
    </w:pPr>
  </w:style>
  <w:style w:type="paragraph" w:styleId="TOC2">
    <w:name w:val="toc 2"/>
    <w:basedOn w:val="Normal"/>
    <w:next w:val="Normal"/>
    <w:uiPriority w:val="39"/>
    <w:unhideWhenUsed/>
    <w:rsid w:val="5BC01C0B"/>
    <w:pPr>
      <w:spacing w:after="100"/>
      <w:ind w:left="220"/>
    </w:pPr>
  </w:style>
  <w:style w:type="paragraph" w:styleId="TOC3">
    <w:name w:val="toc 3"/>
    <w:basedOn w:val="Normal"/>
    <w:next w:val="Normal"/>
    <w:uiPriority w:val="39"/>
    <w:unhideWhenUsed/>
    <w:rsid w:val="5BC01C0B"/>
    <w:pPr>
      <w:spacing w:after="100"/>
      <w:ind w:left="440"/>
    </w:pPr>
  </w:style>
  <w:style w:type="paragraph" w:styleId="TOC4">
    <w:name w:val="toc 4"/>
    <w:basedOn w:val="Normal"/>
    <w:next w:val="Normal"/>
    <w:uiPriority w:val="39"/>
    <w:unhideWhenUsed/>
    <w:rsid w:val="5BC01C0B"/>
    <w:pPr>
      <w:spacing w:after="100"/>
      <w:ind w:left="660"/>
    </w:pPr>
  </w:style>
  <w:style w:type="paragraph" w:styleId="TOC5">
    <w:name w:val="toc 5"/>
    <w:basedOn w:val="Normal"/>
    <w:next w:val="Normal"/>
    <w:uiPriority w:val="39"/>
    <w:unhideWhenUsed/>
    <w:rsid w:val="5BC01C0B"/>
    <w:pPr>
      <w:spacing w:after="100"/>
      <w:ind w:left="880"/>
    </w:pPr>
  </w:style>
  <w:style w:type="paragraph" w:styleId="TOC6">
    <w:name w:val="toc 6"/>
    <w:basedOn w:val="Normal"/>
    <w:next w:val="Normal"/>
    <w:uiPriority w:val="39"/>
    <w:unhideWhenUsed/>
    <w:rsid w:val="5BC01C0B"/>
    <w:pPr>
      <w:spacing w:after="100"/>
      <w:ind w:left="1100"/>
    </w:pPr>
  </w:style>
  <w:style w:type="paragraph" w:styleId="TOC7">
    <w:name w:val="toc 7"/>
    <w:basedOn w:val="Normal"/>
    <w:next w:val="Normal"/>
    <w:uiPriority w:val="39"/>
    <w:unhideWhenUsed/>
    <w:rsid w:val="5BC01C0B"/>
    <w:pPr>
      <w:spacing w:after="100"/>
      <w:ind w:left="1320"/>
    </w:pPr>
  </w:style>
  <w:style w:type="paragraph" w:styleId="TOC8">
    <w:name w:val="toc 8"/>
    <w:basedOn w:val="Normal"/>
    <w:next w:val="Normal"/>
    <w:uiPriority w:val="39"/>
    <w:unhideWhenUsed/>
    <w:rsid w:val="5BC01C0B"/>
    <w:pPr>
      <w:spacing w:after="100"/>
      <w:ind w:left="1540"/>
    </w:pPr>
  </w:style>
  <w:style w:type="paragraph" w:styleId="TOC9">
    <w:name w:val="toc 9"/>
    <w:basedOn w:val="Normal"/>
    <w:next w:val="Normal"/>
    <w:uiPriority w:val="39"/>
    <w:unhideWhenUsed/>
    <w:rsid w:val="5BC01C0B"/>
    <w:pPr>
      <w:spacing w:after="100"/>
      <w:ind w:left="1760"/>
    </w:pPr>
  </w:style>
  <w:style w:type="paragraph" w:styleId="EndnoteText">
    <w:name w:val="endnote text"/>
    <w:basedOn w:val="Normal"/>
    <w:uiPriority w:val="99"/>
    <w:semiHidden/>
    <w:unhideWhenUsed/>
    <w:rsid w:val="5BC01C0B"/>
    <w:pPr>
      <w:spacing w:after="0" w:line="240" w:lineRule="auto"/>
    </w:pPr>
    <w:rPr>
      <w:sz w:val="20"/>
      <w:szCs w:val="20"/>
    </w:rPr>
  </w:style>
  <w:style w:type="paragraph" w:styleId="Footer">
    <w:name w:val="footer"/>
    <w:basedOn w:val="Normal"/>
    <w:uiPriority w:val="99"/>
    <w:unhideWhenUsed/>
    <w:rsid w:val="5BC01C0B"/>
    <w:pPr>
      <w:tabs>
        <w:tab w:val="center" w:pos="4680"/>
        <w:tab w:val="right" w:pos="9360"/>
      </w:tabs>
      <w:spacing w:after="0" w:line="240" w:lineRule="auto"/>
    </w:pPr>
  </w:style>
  <w:style w:type="paragraph" w:styleId="FootnoteText">
    <w:name w:val="footnote text"/>
    <w:basedOn w:val="Normal"/>
    <w:uiPriority w:val="99"/>
    <w:semiHidden/>
    <w:unhideWhenUsed/>
    <w:rsid w:val="5BC01C0B"/>
    <w:pPr>
      <w:spacing w:after="0" w:line="240" w:lineRule="auto"/>
    </w:pPr>
    <w:rPr>
      <w:sz w:val="20"/>
      <w:szCs w:val="20"/>
    </w:rPr>
  </w:style>
  <w:style w:type="paragraph" w:styleId="Header">
    <w:name w:val="header"/>
    <w:basedOn w:val="Normal"/>
    <w:uiPriority w:val="99"/>
    <w:unhideWhenUsed/>
    <w:rsid w:val="5BC01C0B"/>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guides/strategic-workforce-planning/" TargetMode="External"/><Relationship Id="rId18" Type="http://schemas.openxmlformats.org/officeDocument/2006/relationships/hyperlink" Target="https://www.cipd.co.uk/knowledge/strategy/organisational-development/workforce-planning-factsheet" TargetMode="External"/><Relationship Id="rId26" Type="http://schemas.openxmlformats.org/officeDocument/2006/relationships/hyperlink" Target="https://www.ons.gov.uk/employmentandlabourmarket/peopleinwork/employmentandemployeetypes/bulletins/uklabourmarket/march2024" TargetMode="External"/><Relationship Id="rId3" Type="http://schemas.openxmlformats.org/officeDocument/2006/relationships/settings" Target="settings.xml"/><Relationship Id="rId21" Type="http://schemas.openxmlformats.org/officeDocument/2006/relationships/hyperlink" Target="https://www.cipd.org/uk/knowledge/factsheets/induction-factsheet/" TargetMode="External"/><Relationship Id="rId34" Type="http://schemas.openxmlformats.org/officeDocument/2006/relationships/fontTable" Target="fontTable.xml"/><Relationship Id="rId7" Type="http://schemas.openxmlformats.org/officeDocument/2006/relationships/hyperlink" Target="https://www.cipd.org/uk/knowledge/factsheets/zero-hours-reality-report/" TargetMode="External"/><Relationship Id="rId12" Type="http://schemas.openxmlformats.org/officeDocument/2006/relationships/hyperlink" Target="https://www.cipd.org/uk/knowledge/guides/fixed-term-contracts-guide/" TargetMode="External"/><Relationship Id="rId17" Type="http://schemas.openxmlformats.org/officeDocument/2006/relationships/hyperlink" Target="https://www.legislation.gov.uk/uksi/2002/2034/contents/made" TargetMode="External"/><Relationship Id="rId25" Type="http://schemas.openxmlformats.org/officeDocument/2006/relationships/hyperlink" Target="https://www.ons.gov.uk/businessindustryandtrade/business/activitysizeandlocation/adhocs/15532averageemploymentandturnoverbystatus" TargetMode="External"/><Relationship Id="rId33" Type="http://schemas.openxmlformats.org/officeDocument/2006/relationships/hyperlink" Target="https://educationhub.blog.gov.uk/2022/04/28/everything-you-need-to-know-about-the-skills-act/" TargetMode="External"/><Relationship Id="rId2" Type="http://schemas.openxmlformats.org/officeDocument/2006/relationships/styles" Target="styles.xml"/><Relationship Id="rId16" Type="http://schemas.openxmlformats.org/officeDocument/2006/relationships/hyperlink" Target="https://www.cipd.org/uk/knowledge/factsheets/skills-factsheet/" TargetMode="External"/><Relationship Id="rId20" Type="http://schemas.openxmlformats.org/officeDocument/2006/relationships/hyperlink" Target="https://www.cipd.org/uk/knowledge/factsheets/selection-factsheet/" TargetMode="External"/><Relationship Id="rId29" Type="http://schemas.openxmlformats.org/officeDocument/2006/relationships/hyperlink" Target="https://www.cipd.org/uk/knowledge/factsheets/talent-factsheet/" TargetMode="External"/><Relationship Id="rId1" Type="http://schemas.openxmlformats.org/officeDocument/2006/relationships/numbering" Target="numbering.xml"/><Relationship Id="rId6" Type="http://schemas.openxmlformats.org/officeDocument/2006/relationships/hyperlink" Target="https://www.cipd.org/uk/knowledge/factsheets/terms-conditions-contracts-factsheet/" TargetMode="External"/><Relationship Id="rId11" Type="http://schemas.openxmlformats.org/officeDocument/2006/relationships/hyperlink" Target="https://www.cipd.org/uk/knowledge/reports/employer-skills-view-uk/" TargetMode="External"/><Relationship Id="rId24" Type="http://schemas.openxmlformats.org/officeDocument/2006/relationships/hyperlink" Target="https://www.oecd.org/skills/piaac/" TargetMode="External"/><Relationship Id="rId32" Type="http://schemas.openxmlformats.org/officeDocument/2006/relationships/hyperlink" Target="https://www.tuc.org.uk/sites/default/files/Towardsahigh.pdf" TargetMode="External"/><Relationship Id="rId5" Type="http://schemas.openxmlformats.org/officeDocument/2006/relationships/hyperlink" Target="https://www.hrmagazine.co.uk/content/comment/diversity-and-inclusion-stretching-both-ends-of-the-talent-pipeline/" TargetMode="External"/><Relationship Id="rId15" Type="http://schemas.openxmlformats.org/officeDocument/2006/relationships/hyperlink" Target="https://www.cipd.org/uk/knowledge/guides/atypical-working-guide/" TargetMode="External"/><Relationship Id="rId23" Type="http://schemas.openxmlformats.org/officeDocument/2006/relationships/hyperlink" Target="https://eoe.leadershipacademy.nhs.uk/wp-content/uploads/sites/6/2019/04/Insight-5-retaining-talented-people.pdf" TargetMode="External"/><Relationship Id="rId28" Type="http://schemas.openxmlformats.org/officeDocument/2006/relationships/hyperlink" Target="https://www.cipd.org/uk/knowledge/factsheets/turnover-retention-factsheet/" TargetMode="External"/><Relationship Id="rId10" Type="http://schemas.openxmlformats.org/officeDocument/2006/relationships/hyperlink" Target="https://www.cipd.org/globalassets/media/knowledge/knowledge-hub/reports/resourcing-and-talent-planning-report-2022-1_tcm18-111500.pdf" TargetMode="External"/><Relationship Id="rId19" Type="http://schemas.openxmlformats.org/officeDocument/2006/relationships/hyperlink" Target="https://www.cipd.org/uk/knowledge/factsheets/succession-planning-factsheet/" TargetMode="External"/><Relationship Id="rId31" Type="http://schemas.openxmlformats.org/officeDocument/2006/relationships/hyperlink" Target="https://bills.parliament.uk/bills/2868" TargetMode="External"/><Relationship Id="rId4" Type="http://schemas.openxmlformats.org/officeDocument/2006/relationships/webSettings" Target="webSettings.xml"/><Relationship Id="rId9" Type="http://schemas.openxmlformats.org/officeDocument/2006/relationships/hyperlink" Target="https://www.cipd.org/uk/knowledge/guides/agency-workers-guide/" TargetMode="External"/><Relationship Id="rId14" Type="http://schemas.openxmlformats.org/officeDocument/2006/relationships/hyperlink" Target="https://www.cipd.org/globalassets/media/knowledge/knowledge-hub/reports/2024-pdfs/8614-lmo-spring-report-2024-web.pdf" TargetMode="External"/><Relationship Id="rId22" Type="http://schemas.openxmlformats.org/officeDocument/2006/relationships/hyperlink" Target="https://www.bbc.com/worklife/article/20220817-why-workers-just-wont-stop-quitting" TargetMode="External"/><Relationship Id="rId27" Type="http://schemas.openxmlformats.org/officeDocument/2006/relationships/hyperlink" Target="https://www.cipd.org/uk/knowledge/factsheets/recruitment-brand-factsheet/" TargetMode="External"/><Relationship Id="rId30" Type="http://schemas.openxmlformats.org/officeDocument/2006/relationships/hyperlink" Target="https://doi.org/10.1504/IJPSPM.2018.10009505" TargetMode="External"/><Relationship Id="rId35" Type="http://schemas.openxmlformats.org/officeDocument/2006/relationships/theme" Target="theme/theme1.xml"/><Relationship Id="rId8" Type="http://schemas.openxmlformats.org/officeDocument/2006/relationships/hyperlink" Target="https://www.cipd.org/uk/knowledge/evidence-reviews/building-inclusive-workpl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5405</Words>
  <Characters>30813</Characters>
  <Application>Microsoft Office Word</Application>
  <DocSecurity>0</DocSecurity>
  <Lines>256</Lines>
  <Paragraphs>72</Paragraphs>
  <ScaleCrop>false</ScaleCrop>
  <Company/>
  <LinksUpToDate>false</LinksUpToDate>
  <CharactersWithSpaces>36146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Vickery (2236215)</dc:creator>
  <cp:keywords/>
  <dc:description/>
  <cp:lastModifiedBy>sydney vickery</cp:lastModifiedBy>
  <cp:revision>2</cp:revision>
  <dcterms:created xsi:type="dcterms:W3CDTF">2024-06-23T17:45:00Z</dcterms:created>
  <dcterms:modified xsi:type="dcterms:W3CDTF">2024-06-23T17:45:00Z</dcterms:modified>
</cp:coreProperties>
</file>