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11460" w14:textId="4121C2DA" w:rsidR="0041558D" w:rsidRDefault="006B1C54" w:rsidP="006B1C54">
      <w:pPr>
        <w:jc w:val="right"/>
        <w:rPr>
          <w:u w:val="single"/>
        </w:rPr>
      </w:pPr>
      <w:r>
        <w:rPr>
          <w:u w:val="single"/>
        </w:rPr>
        <w:t xml:space="preserve">Laura Evans: 1400299. </w:t>
      </w:r>
    </w:p>
    <w:p w14:paraId="473D0D6C" w14:textId="3F1E96C2" w:rsidR="006B1C54" w:rsidRDefault="006B1C54" w:rsidP="006B1C54">
      <w:pPr>
        <w:jc w:val="right"/>
        <w:rPr>
          <w:u w:val="single"/>
        </w:rPr>
      </w:pPr>
      <w:r>
        <w:rPr>
          <w:u w:val="single"/>
        </w:rPr>
        <w:t>H</w:t>
      </w:r>
      <w:r w:rsidR="00C2346D">
        <w:rPr>
          <w:u w:val="single"/>
        </w:rPr>
        <w:t>PHI6017</w:t>
      </w:r>
      <w:r>
        <w:rPr>
          <w:u w:val="single"/>
        </w:rPr>
        <w:t xml:space="preserve">. </w:t>
      </w:r>
    </w:p>
    <w:p w14:paraId="63D7B486" w14:textId="64CBBF33" w:rsidR="006B1C54" w:rsidRDefault="006B1C54" w:rsidP="007D7ED3">
      <w:pPr>
        <w:jc w:val="right"/>
      </w:pPr>
      <w:r>
        <w:rPr>
          <w:u w:val="single"/>
        </w:rPr>
        <w:t xml:space="preserve">Proposal. </w:t>
      </w:r>
    </w:p>
    <w:p w14:paraId="7772F080" w14:textId="0F81562A" w:rsidR="007D7ED3" w:rsidRDefault="007D7ED3" w:rsidP="007D7ED3"/>
    <w:p w14:paraId="6FD33FE1" w14:textId="0EC97B58" w:rsidR="007D7ED3" w:rsidRDefault="007D7ED3" w:rsidP="007D7ED3">
      <w:r>
        <w:t xml:space="preserve">This study will be focusing on </w:t>
      </w:r>
      <w:r w:rsidR="003A7C29">
        <w:t xml:space="preserve">gender and its influence on </w:t>
      </w:r>
      <w:r w:rsidR="003008D0">
        <w:t xml:space="preserve">medieval </w:t>
      </w:r>
      <w:r w:rsidR="003A7C29">
        <w:t>pilgrim</w:t>
      </w:r>
      <w:r w:rsidR="003008D0">
        <w:t>s</w:t>
      </w:r>
      <w:r w:rsidR="003A7C29">
        <w:t xml:space="preserve"> and their relationship with the cult of saints</w:t>
      </w:r>
      <w:r w:rsidR="00763F2C">
        <w:t xml:space="preserve"> in twelfth century England</w:t>
      </w:r>
      <w:r w:rsidR="003A7C29">
        <w:t>.</w:t>
      </w:r>
      <w:r w:rsidR="004424F1">
        <w:t xml:space="preserve"> There is a vast amount of studies on the gender of saints and how materials such as hagiographies have shaped their image, but few discussing the</w:t>
      </w:r>
      <w:r w:rsidR="007428A7">
        <w:t xml:space="preserve"> female</w:t>
      </w:r>
      <w:r w:rsidR="004424F1">
        <w:t xml:space="preserve"> </w:t>
      </w:r>
      <w:r w:rsidR="006B4712">
        <w:t>pilgrims’</w:t>
      </w:r>
      <w:r w:rsidR="004424F1">
        <w:t xml:space="preserve"> choice in saint due to their own gender. </w:t>
      </w:r>
      <w:r w:rsidR="002F442F">
        <w:t xml:space="preserve">Ronald C. Finucane has stated that women pilgrims have been neglected in the study of medieval pilgrimage, even though his studies found that women made up a </w:t>
      </w:r>
      <w:r w:rsidR="006B4712">
        <w:t>significant</w:t>
      </w:r>
      <w:r w:rsidR="002F442F">
        <w:t xml:space="preserve"> percentage of pilgrims.</w:t>
      </w:r>
      <w:r w:rsidR="006B4712">
        <w:rPr>
          <w:rStyle w:val="FootnoteReference"/>
        </w:rPr>
        <w:footnoteReference w:id="1"/>
      </w:r>
      <w:r w:rsidR="006B4712">
        <w:t xml:space="preserve"> In his work </w:t>
      </w:r>
      <w:r w:rsidR="006B4712">
        <w:rPr>
          <w:i/>
          <w:iCs/>
        </w:rPr>
        <w:t xml:space="preserve">Miracles and Pilgrims: Popular Beliefs in Medieval England, </w:t>
      </w:r>
      <w:r w:rsidR="006B4712">
        <w:t>Finucane found a large percentage of women pilgrims attended local shrines</w:t>
      </w:r>
      <w:r w:rsidR="005A0E59">
        <w:t xml:space="preserve"> as it was a safer journey and many of their miracles occurred within the home.</w:t>
      </w:r>
      <w:r w:rsidR="005A0E59">
        <w:rPr>
          <w:rStyle w:val="FootnoteReference"/>
        </w:rPr>
        <w:footnoteReference w:id="2"/>
      </w:r>
      <w:r w:rsidR="005A0E59">
        <w:t xml:space="preserve"> </w:t>
      </w:r>
      <w:r w:rsidR="00750C94">
        <w:t xml:space="preserve">This study will also discuss the veneration of male saints in traditional female roles, what significance this has on their popularity and how it impacts medieval thoughts on gender. </w:t>
      </w:r>
      <w:r w:rsidR="00050F44">
        <w:t xml:space="preserve">For example, it was common for Thomas Becket to be called on during a difficult pregnancy and in William of Canterbury’s </w:t>
      </w:r>
      <w:proofErr w:type="spellStart"/>
      <w:r w:rsidR="00050F44">
        <w:rPr>
          <w:i/>
          <w:iCs/>
        </w:rPr>
        <w:t>Miracula</w:t>
      </w:r>
      <w:proofErr w:type="spellEnd"/>
      <w:r w:rsidR="00050F44">
        <w:rPr>
          <w:i/>
          <w:iCs/>
        </w:rPr>
        <w:t xml:space="preserve"> S. </w:t>
      </w:r>
      <w:proofErr w:type="spellStart"/>
      <w:r w:rsidR="00050F44">
        <w:rPr>
          <w:i/>
          <w:iCs/>
        </w:rPr>
        <w:t>Thomae</w:t>
      </w:r>
      <w:proofErr w:type="spellEnd"/>
      <w:r w:rsidR="00050F44">
        <w:t>, there are seven references to women and their ‘feminine troubles’.</w:t>
      </w:r>
      <w:r w:rsidR="00050F44">
        <w:rPr>
          <w:rStyle w:val="FootnoteReference"/>
        </w:rPr>
        <w:footnoteReference w:id="3"/>
      </w:r>
      <w:r w:rsidR="00050F44">
        <w:t xml:space="preserve"> </w:t>
      </w:r>
    </w:p>
    <w:p w14:paraId="77E01AB9" w14:textId="3F1F3361" w:rsidR="0070565E" w:rsidRDefault="00A10FAD" w:rsidP="007D7ED3">
      <w:r>
        <w:tab/>
        <w:t>There are existing examples of medieval women going on pilgrimage such as Margery Kempe and Chaucer’s Wife of Bath that provided historians a unique insight into their experiences. However, it is their individual experience and may not be an accurate representation of the experience</w:t>
      </w:r>
      <w:r w:rsidR="006B7053">
        <w:t>s</w:t>
      </w:r>
      <w:r>
        <w:t xml:space="preserve"> of lay women. As Henrietta </w:t>
      </w:r>
      <w:proofErr w:type="spellStart"/>
      <w:r>
        <w:t>Leyser</w:t>
      </w:r>
      <w:proofErr w:type="spellEnd"/>
      <w:r>
        <w:t xml:space="preserve"> discusses in her book </w:t>
      </w:r>
      <w:r>
        <w:rPr>
          <w:i/>
          <w:iCs/>
        </w:rPr>
        <w:t>Medieval Women: A Social History of Women in England 450-1500</w:t>
      </w:r>
      <w:r>
        <w:t xml:space="preserve">, </w:t>
      </w:r>
      <w:r w:rsidR="006B7053">
        <w:t>Margery makes very little reference to her fourteen children and pays little mind to husband as a companion.</w:t>
      </w:r>
      <w:r w:rsidR="006B7053">
        <w:rPr>
          <w:rStyle w:val="FootnoteReference"/>
        </w:rPr>
        <w:footnoteReference w:id="4"/>
      </w:r>
      <w:r w:rsidR="006B7053">
        <w:t xml:space="preserve"> Children and marriage would have played a significant role in lay women’s lives, each one a separate turning point in their role as women. Margery Kempe’s experience is arguably too idiosyncratic to evaluate the spiritual experiences of the common medieval women.</w:t>
      </w:r>
      <w:r w:rsidR="006B7053">
        <w:rPr>
          <w:rStyle w:val="FootnoteReference"/>
        </w:rPr>
        <w:footnoteReference w:id="5"/>
      </w:r>
      <w:r w:rsidR="0070565E">
        <w:t xml:space="preserve"> On the other hand, it can be argued that lower class women would not have had the opportunity to relay their experiences. Literacy was not a common trait, and they may have had other responsibilities, like the home, that prevented them from going on a long pilgrimage. </w:t>
      </w:r>
      <w:r w:rsidR="00BC3AAC">
        <w:t xml:space="preserve">There is a wide variety of evidence and documentation relating to saints, most famous are the lives of saints. However, the hagiography focused on the lives of saints give very little insight on pilgrims and their choices. For this study, miracle collections are best suited as they give valuable information such as the individuals age, gender, how far they have travelled, and where they experienced the miracle. Diana Webb in her book </w:t>
      </w:r>
      <w:r w:rsidR="00BC3AAC">
        <w:rPr>
          <w:i/>
          <w:iCs/>
        </w:rPr>
        <w:t>Pilgrimage in Medieval England</w:t>
      </w:r>
      <w:r w:rsidR="00BC3AAC">
        <w:t xml:space="preserve"> states, “There seems little reason to doubt that the problems and afflictions from which suppliants sought relief, their daily tasks</w:t>
      </w:r>
      <w:r w:rsidR="006A7F6B">
        <w:t xml:space="preserve"> and occupations and living conditions, were often accurately described”.</w:t>
      </w:r>
      <w:r w:rsidR="006A7F6B">
        <w:rPr>
          <w:rStyle w:val="FootnoteReference"/>
        </w:rPr>
        <w:footnoteReference w:id="6"/>
      </w:r>
      <w:r w:rsidR="006A7F6B">
        <w:t xml:space="preserve"> </w:t>
      </w:r>
      <w:r w:rsidR="003A7DAD">
        <w:t xml:space="preserve">Accounts from pilgrims at shrines not only reflect miracles of ordinary people but it also shows the kind of miracles the clergy chose to record. It must be acknowledged that miracle stories were written with </w:t>
      </w:r>
      <w:r w:rsidR="003A7DAD">
        <w:lastRenderedPageBreak/>
        <w:t>specific intentions, such as attracting more pilgrims with healing miracles or recording specific miracles as evidence so they can have a saint canonised.</w:t>
      </w:r>
      <w:r w:rsidR="005318ED">
        <w:t xml:space="preserve"> </w:t>
      </w:r>
    </w:p>
    <w:p w14:paraId="07A079D4" w14:textId="67BCA68A" w:rsidR="00BD188E" w:rsidRPr="007E21A1" w:rsidRDefault="005318ED" w:rsidP="00BD188E">
      <w:r>
        <w:tab/>
      </w:r>
      <w:r w:rsidR="000F1D7A">
        <w:t xml:space="preserve">Since Finucane’s study in 1977, there has been a surge in research around medieval women pilgrims. For example, in 2000 Susan S. Morrison wrote </w:t>
      </w:r>
      <w:r w:rsidR="000F1D7A">
        <w:rPr>
          <w:i/>
          <w:iCs/>
        </w:rPr>
        <w:t>Women Pilgrims in Late Medieval England: Private Piety as a Public Performance</w:t>
      </w:r>
      <w:r w:rsidR="000F1D7A">
        <w:t xml:space="preserve"> in which she goes into detail about Walsingham shrine to the Virgin Mary and its female pilgrims. Morrison states, “Many women travelled for the sake of the family, which was often centred on the woman’s body, the body which could have sex, reproduce, carry a child, give birth and lactate. But if this body could not function properly – if it were sterile, if the child it carried miscarried, if the child it carried died or was sickly, if the body could not heal </w:t>
      </w:r>
      <w:r w:rsidR="00C04480">
        <w:t>after birth, if the body could not produce milk to feed the child – then the body, a metonymy for a healthy functioning family, needed to be cured”.</w:t>
      </w:r>
      <w:r w:rsidR="00C04480">
        <w:rPr>
          <w:rStyle w:val="FootnoteReference"/>
        </w:rPr>
        <w:footnoteReference w:id="7"/>
      </w:r>
      <w:r w:rsidR="00885792">
        <w:t xml:space="preserve"> </w:t>
      </w:r>
      <w:r w:rsidR="00B228AC">
        <w:t xml:space="preserve">When thinking of women in medieval literature they are often closely linked with their gender roles and their place in wider society, their spiritual journey would then reflect this. And with these roles, a woman’s body if often susceptible to physical changes and </w:t>
      </w:r>
      <w:r w:rsidR="007E21A1">
        <w:t xml:space="preserve">a level of danger regarding their well-being. Alexandria Barratt illustrates this by referencing a sympathetic </w:t>
      </w:r>
      <w:r w:rsidR="007E21A1">
        <w:rPr>
          <w:i/>
          <w:iCs/>
        </w:rPr>
        <w:t>apologia</w:t>
      </w:r>
      <w:r w:rsidR="007E21A1">
        <w:t xml:space="preserve"> that emphasises the humanness of female saints. “And if any man chances to read it I pray him and charge him on our Lady’s behalf that he read it not in any way that would show contempt or be slanderous of any woman, nor for any reason except their healing and help, dreading the vengeance that might fall to him as it has done to others that have revealed women’s secrets in a slanderous fashion; certainly understanding that those women who are now alive have troubles no different from those once endured by women who now are saints in heaven”.</w:t>
      </w:r>
      <w:r w:rsidR="007E21A1">
        <w:rPr>
          <w:rStyle w:val="FootnoteReference"/>
        </w:rPr>
        <w:footnoteReference w:id="8"/>
      </w:r>
      <w:r w:rsidR="00BD188E">
        <w:t xml:space="preserve"> </w:t>
      </w:r>
      <w:r w:rsidR="00373F63">
        <w:t xml:space="preserve">The sympathy and acknowledgement in the </w:t>
      </w:r>
      <w:r w:rsidR="00373F63">
        <w:rPr>
          <w:i/>
          <w:iCs/>
        </w:rPr>
        <w:t>apologia</w:t>
      </w:r>
      <w:r w:rsidR="00373F63">
        <w:t xml:space="preserve"> could be linked to the changes in hagiographical writing in late twelfth century. </w:t>
      </w:r>
      <w:r w:rsidR="009B5D49">
        <w:t>Monica Green states that, “A history of medieval women’s healthcare could no doubt, be written entirely from saints’ lives or canonisation proceedings, culling from these documents… tales of difficult birth, incurable diseases, and various attempts to seek relief”.</w:t>
      </w:r>
      <w:r w:rsidR="009B5D49">
        <w:rPr>
          <w:rStyle w:val="FootnoteReference"/>
        </w:rPr>
        <w:footnoteReference w:id="9"/>
      </w:r>
      <w:r w:rsidR="009B5D49">
        <w:t xml:space="preserve"> Rachel Koopmans explores the miracle collection boom in her book </w:t>
      </w:r>
      <w:r w:rsidR="006C3F37">
        <w:rPr>
          <w:i/>
          <w:iCs/>
        </w:rPr>
        <w:t xml:space="preserve">Wonderful to Relate: </w:t>
      </w:r>
      <w:r w:rsidR="009B5D49">
        <w:rPr>
          <w:i/>
          <w:iCs/>
        </w:rPr>
        <w:t xml:space="preserve">Miracle Stories and Miracle Collecting in High Medieval England, </w:t>
      </w:r>
      <w:r w:rsidR="009B5D49">
        <w:t>where she describes the event as ‘miracle collecting mania’.</w:t>
      </w:r>
      <w:r w:rsidR="009B5D49">
        <w:rPr>
          <w:rStyle w:val="FootnoteReference"/>
        </w:rPr>
        <w:footnoteReference w:id="10"/>
      </w:r>
      <w:r w:rsidR="009B5D49">
        <w:t xml:space="preserve"> </w:t>
      </w:r>
      <w:r w:rsidR="00BD188E">
        <w:t xml:space="preserve">Koopmans discusses the increase in miracles from the laity and how miracle collections such as those of </w:t>
      </w:r>
      <w:proofErr w:type="spellStart"/>
      <w:r w:rsidR="00BD188E">
        <w:t>Godric</w:t>
      </w:r>
      <w:proofErr w:type="spellEnd"/>
      <w:r w:rsidR="00BD188E">
        <w:t xml:space="preserve"> of </w:t>
      </w:r>
      <w:proofErr w:type="spellStart"/>
      <w:r w:rsidR="00BD188E">
        <w:t>Finchale</w:t>
      </w:r>
      <w:proofErr w:type="spellEnd"/>
      <w:r w:rsidR="00BD188E">
        <w:t xml:space="preserve"> had a heavier ratio of women.</w:t>
      </w:r>
      <w:r w:rsidR="00BD188E">
        <w:rPr>
          <w:rStyle w:val="FootnoteReference"/>
        </w:rPr>
        <w:footnoteReference w:id="11"/>
      </w:r>
      <w:r w:rsidR="00BD188E">
        <w:t xml:space="preserve"> </w:t>
      </w:r>
    </w:p>
    <w:p w14:paraId="669D55DD" w14:textId="5F814237" w:rsidR="00AD7C34" w:rsidRDefault="00BD188E" w:rsidP="007D7ED3">
      <w:r>
        <w:tab/>
      </w:r>
      <w:r w:rsidR="006C0C65">
        <w:t xml:space="preserve">With the increased focus on the laity shown in later medieval hagiography, the twelfth century to the later middle ages with be the focus of this study. </w:t>
      </w:r>
      <w:r w:rsidR="00763F2C">
        <w:t>Before the twelfth century, miracle stories focused on the cloister and their difficulties such as, property disputes and ill monks.</w:t>
      </w:r>
      <w:r w:rsidR="00763F2C">
        <w:rPr>
          <w:rStyle w:val="FootnoteReference"/>
        </w:rPr>
        <w:footnoteReference w:id="12"/>
      </w:r>
      <w:r w:rsidR="00763F2C">
        <w:t xml:space="preserve"> The lives of monastic women would have been different to lay woman, and therefore their pilgrimage would</w:t>
      </w:r>
      <w:r w:rsidR="007E0E72">
        <w:t xml:space="preserve"> also have different aims</w:t>
      </w:r>
      <w:r w:rsidR="00763F2C">
        <w:t>. This study will be addressing the concerns and ailments of English laywoman and their pilgrimage within England. The reason for this is simple, the list of medieval saints in</w:t>
      </w:r>
      <w:r w:rsidR="007E0E72">
        <w:t xml:space="preserve"> </w:t>
      </w:r>
      <w:r w:rsidR="00763F2C">
        <w:t xml:space="preserve">can appear endless and their reach the same. For example, the Virgin Mary is a significant figure in Christianity and her cult was far spread. An English woman may visit her with different needs than a woman in Europe. </w:t>
      </w:r>
      <w:r w:rsidR="007E0E72">
        <w:t>This applies also to the ‘</w:t>
      </w:r>
      <w:r w:rsidR="00B82E69">
        <w:t>Celtic</w:t>
      </w:r>
      <w:r w:rsidR="007E0E72">
        <w:t xml:space="preserve">’ nations such as Wales, Ireland and Scotland. Celtic saints </w:t>
      </w:r>
      <w:r w:rsidR="00DC772E">
        <w:t xml:space="preserve">like St Non are unique and do not follow traditional ideas of saints, Non is a </w:t>
      </w:r>
      <w:r w:rsidR="00DC772E">
        <w:lastRenderedPageBreak/>
        <w:t>victim of rape but this is how St David is conceived.</w:t>
      </w:r>
      <w:r w:rsidR="00DC772E">
        <w:rPr>
          <w:rStyle w:val="FootnoteReference"/>
        </w:rPr>
        <w:footnoteReference w:id="13"/>
      </w:r>
      <w:r w:rsidR="00DC772E">
        <w:t xml:space="preserve"> Such deviations from the traditional female saint would prove difficult to relate to the ordinary lay woman. </w:t>
      </w:r>
      <w:r w:rsidR="001D1AA3">
        <w:t xml:space="preserve">The study will be split into four chapters, exploring in detail significant physical events that would influence their reasons for pilgrimage. </w:t>
      </w:r>
    </w:p>
    <w:p w14:paraId="503DF6DB" w14:textId="23C56416" w:rsidR="00FC2B2B" w:rsidRDefault="001D1AA3" w:rsidP="007D7ED3">
      <w:r>
        <w:t xml:space="preserve">The first chapter will be focusing on the sex life of lay women, inside or outside of marriage. This chapter will not focus solely on virginity but will address lay women’s desires, for example William of Canterbury writes of a woman who wishes to have sex with a </w:t>
      </w:r>
      <w:r w:rsidR="006C3F37">
        <w:t>knight,</w:t>
      </w:r>
      <w:r>
        <w:t xml:space="preserve"> and this results in her vomiting up menstrual blood</w:t>
      </w:r>
      <w:r w:rsidR="006C3F37">
        <w:t>.</w:t>
      </w:r>
      <w:r w:rsidR="006C3F37">
        <w:rPr>
          <w:rStyle w:val="FootnoteReference"/>
        </w:rPr>
        <w:footnoteReference w:id="14"/>
      </w:r>
      <w:r w:rsidR="006C3F37">
        <w:t xml:space="preserve"> </w:t>
      </w:r>
      <w:r w:rsidR="00405EBD">
        <w:t xml:space="preserve">This is interesting as it appears she is being physically punished with a specific female bodily function for having physically desired another man. Her own female body and experiences are turned against her. Philip of Oxford also writes of a woman who sleeps with a pilgrim and is unable to finish a pilgrimage to </w:t>
      </w:r>
      <w:proofErr w:type="spellStart"/>
      <w:r w:rsidR="00405EBD">
        <w:t>Frideswide’s</w:t>
      </w:r>
      <w:proofErr w:type="spellEnd"/>
      <w:r w:rsidR="00405EBD">
        <w:t xml:space="preserve"> shrine as she is physically repelled.</w:t>
      </w:r>
      <w:r w:rsidR="00405EBD">
        <w:rPr>
          <w:rStyle w:val="FootnoteReference"/>
        </w:rPr>
        <w:footnoteReference w:id="15"/>
      </w:r>
      <w:r w:rsidR="00405EBD">
        <w:t xml:space="preserve"> Both times there are physical consequences to having ‘violated’ the body with impure intentions. The second chapter will be on married women. The physical interaction between the saint and pilgrim is not so emphasised in this chapter, instead it will focus on the change in the social role.</w:t>
      </w:r>
      <w:r w:rsidR="00416C45">
        <w:t xml:space="preserve"> There are many cases of women asking for the aid of saints in attaining a </w:t>
      </w:r>
      <w:r w:rsidR="008E56F5">
        <w:t>husband,</w:t>
      </w:r>
      <w:r w:rsidR="00416C45">
        <w:t xml:space="preserve"> but St </w:t>
      </w:r>
      <w:proofErr w:type="spellStart"/>
      <w:r w:rsidR="00416C45">
        <w:t>Wilgeforte</w:t>
      </w:r>
      <w:proofErr w:type="spellEnd"/>
      <w:r w:rsidR="00416C45">
        <w:t xml:space="preserve"> is unique as she aids women in losing their husbands. Also known as St </w:t>
      </w:r>
      <w:proofErr w:type="spellStart"/>
      <w:r w:rsidR="00416C45">
        <w:t>Uncumbe</w:t>
      </w:r>
      <w:r w:rsidR="008E56F5">
        <w:t>r</w:t>
      </w:r>
      <w:proofErr w:type="spellEnd"/>
      <w:r w:rsidR="008E56F5">
        <w:t>, women would appeal to her with a ‘peck of oats’ so that she would relieve them from their marriage.</w:t>
      </w:r>
      <w:r w:rsidR="008E56F5">
        <w:rPr>
          <w:rStyle w:val="FootnoteReference"/>
        </w:rPr>
        <w:footnoteReference w:id="16"/>
      </w:r>
      <w:r w:rsidR="00B51EE0">
        <w:t xml:space="preserve"> The chapter will also focus on the healthcare of the children as this would mainly fall to the woman. The third chapter will focus on pregnancies and infertility, one of the more dangerous events in a medieval woman’s life. </w:t>
      </w:r>
      <w:r w:rsidR="00860DC2">
        <w:t>Morrison states that, “Fertility, childbirth, and the health of the surviving children constitute a dominant feature in women pilgrim’s recorded motivations for setting out on pilgrimage”.</w:t>
      </w:r>
      <w:r w:rsidR="00860DC2">
        <w:rPr>
          <w:rStyle w:val="FootnoteReference"/>
        </w:rPr>
        <w:footnoteReference w:id="17"/>
      </w:r>
      <w:r w:rsidR="00860DC2">
        <w:t xml:space="preserve"> </w:t>
      </w:r>
      <w:r w:rsidR="00FC2B2B">
        <w:t xml:space="preserve">With the increase in healing miracles in the twelfth century, it is no surprise that pregnancy stories started to become more prominent in women pilgrim accounts. </w:t>
      </w:r>
      <w:r w:rsidR="00EE1E36">
        <w:t xml:space="preserve">What is interesting also is the use of relics at home, in </w:t>
      </w:r>
      <w:proofErr w:type="spellStart"/>
      <w:r w:rsidR="00EE1E36">
        <w:t>Eadmer’s</w:t>
      </w:r>
      <w:proofErr w:type="spellEnd"/>
      <w:r w:rsidR="00EE1E36">
        <w:t xml:space="preserve"> </w:t>
      </w:r>
      <w:r w:rsidR="00EE1E36">
        <w:rPr>
          <w:i/>
          <w:iCs/>
        </w:rPr>
        <w:t xml:space="preserve">Vita Sancti </w:t>
      </w:r>
      <w:proofErr w:type="spellStart"/>
      <w:r w:rsidR="00EE1E36">
        <w:rPr>
          <w:i/>
          <w:iCs/>
        </w:rPr>
        <w:t>Anselmi</w:t>
      </w:r>
      <w:proofErr w:type="spellEnd"/>
      <w:r w:rsidR="00EE1E36">
        <w:t xml:space="preserve"> he writes, “…it is common practice for sick people on all sides and especially for women in the dangers of childbirth, to ask for the belt with pious intention and in the sure hope they will regain their health if only they can have the use of it for the time-being”.</w:t>
      </w:r>
      <w:r w:rsidR="00EE1E36">
        <w:rPr>
          <w:rStyle w:val="FootnoteReference"/>
        </w:rPr>
        <w:footnoteReference w:id="18"/>
      </w:r>
      <w:r w:rsidR="00EE1E36">
        <w:t xml:space="preserve"> The fourth chapter will explore the male pilgrim and his roles as a male. </w:t>
      </w:r>
      <w:proofErr w:type="spellStart"/>
      <w:r w:rsidR="00EE1E36">
        <w:t>Leyser</w:t>
      </w:r>
      <w:proofErr w:type="spellEnd"/>
      <w:r w:rsidR="00EE1E36">
        <w:t xml:space="preserve"> comments, “Medieval women were classified according to their sexual status: men might be thought of collectively as knights, merchants, crusaders: women were virgins, wives or widows”.</w:t>
      </w:r>
      <w:r w:rsidR="00EE1E36">
        <w:rPr>
          <w:rStyle w:val="FootnoteReference"/>
        </w:rPr>
        <w:footnoteReference w:id="19"/>
      </w:r>
      <w:r w:rsidR="00EE1E36">
        <w:t xml:space="preserve"> But what of his role as husband? Do they not worry for their wives in labour and the health of their unborn child? </w:t>
      </w:r>
      <w:r w:rsidR="00807EC5">
        <w:t xml:space="preserve">This chapter aims to explore whether their gender had any significance on their pilgrimage. Hilary Powel in her article </w:t>
      </w:r>
      <w:r w:rsidR="00807EC5">
        <w:rPr>
          <w:i/>
          <w:iCs/>
        </w:rPr>
        <w:t xml:space="preserve">The ‘Miracle of Childbirth’: The Portrayal of Parturient Women in Medieval Miracle Narratives </w:t>
      </w:r>
      <w:r w:rsidR="00807EC5">
        <w:t>uses an example of a distraught husband hanging a relic of St Thomas around his wives neck and she quickly gave birth to a son.</w:t>
      </w:r>
      <w:r w:rsidR="00807EC5">
        <w:rPr>
          <w:rStyle w:val="FootnoteReference"/>
        </w:rPr>
        <w:footnoteReference w:id="20"/>
      </w:r>
      <w:r w:rsidR="00807EC5">
        <w:t xml:space="preserve"> The husband would have gone on pilgrimage to attain a relic to aid his wife in labour, therefore acting on his gendered role as husband and interacting with a saint. </w:t>
      </w:r>
    </w:p>
    <w:p w14:paraId="71C68671" w14:textId="1AC9D882" w:rsidR="00807EC5" w:rsidRDefault="00807EC5" w:rsidP="007D7ED3">
      <w:r>
        <w:lastRenderedPageBreak/>
        <w:tab/>
        <w:t xml:space="preserve">This study aims to understand the experience of lay women on pilgrimage, scholarship has shown that childbirth is one of they key motivations for women. </w:t>
      </w:r>
      <w:r w:rsidR="003C7F25">
        <w:t xml:space="preserve">However, as previously stated the body and its interaction with relics and the shrines has proven to be just as important. The female body appears to be at the centre of concerns when discussing the gendered motivations of pilgrimage, such as the tempted women vomiting up blood and the husband seeking to help his wife with the physical task of giving birth. Even the use of St Anselm’s belt, it is a physical interaction and touch that aides the woman in giving birth. Does the male experience of miracles centre around the sexual aspects of his body? </w:t>
      </w:r>
    </w:p>
    <w:p w14:paraId="4C83A581" w14:textId="71711B21" w:rsidR="00AD7C34" w:rsidRDefault="00AD7C34" w:rsidP="007D7ED3"/>
    <w:p w14:paraId="1B2AB5F4" w14:textId="4AA64E69" w:rsidR="00AD7C34" w:rsidRDefault="00AD7C34" w:rsidP="007D7ED3">
      <w:r>
        <w:rPr>
          <w:b/>
          <w:bCs/>
        </w:rPr>
        <w:t xml:space="preserve">Bibliography. </w:t>
      </w:r>
    </w:p>
    <w:p w14:paraId="691AE7DC" w14:textId="483DDB55" w:rsidR="00AD7C34" w:rsidRDefault="00AD7C34" w:rsidP="007D7ED3"/>
    <w:p w14:paraId="19CC44DE" w14:textId="33F53989" w:rsidR="00AD7C34" w:rsidRDefault="00AD7C34" w:rsidP="007D7ED3">
      <w:r>
        <w:rPr>
          <w:u w:val="single"/>
        </w:rPr>
        <w:t xml:space="preserve">Primary Sources. </w:t>
      </w:r>
    </w:p>
    <w:p w14:paraId="61AD0FCA" w14:textId="3C54E96B" w:rsidR="00AD7C34" w:rsidRPr="00AD7C34" w:rsidRDefault="00AD7C34" w:rsidP="007D7ED3">
      <w:r>
        <w:t xml:space="preserve">Barratt, A, </w:t>
      </w:r>
      <w:r>
        <w:rPr>
          <w:i/>
          <w:iCs/>
        </w:rPr>
        <w:t>Women’s Writing in Middle English</w:t>
      </w:r>
      <w:r>
        <w:t xml:space="preserve"> (Michigan: Longman, 1992).</w:t>
      </w:r>
    </w:p>
    <w:p w14:paraId="6B763427" w14:textId="6B1A48F7" w:rsidR="00AD7C34" w:rsidRDefault="00AD7C34" w:rsidP="00AD7C34">
      <w:r>
        <w:t xml:space="preserve">Southern, R.W, </w:t>
      </w:r>
      <w:r>
        <w:rPr>
          <w:i/>
          <w:iCs/>
        </w:rPr>
        <w:t xml:space="preserve">The Life of St Anselm, Archbishop of Canterbury by </w:t>
      </w:r>
      <w:proofErr w:type="spellStart"/>
      <w:r>
        <w:rPr>
          <w:i/>
          <w:iCs/>
        </w:rPr>
        <w:t>Eadmer</w:t>
      </w:r>
      <w:proofErr w:type="spellEnd"/>
      <w:r>
        <w:rPr>
          <w:i/>
          <w:iCs/>
        </w:rPr>
        <w:t xml:space="preserve"> </w:t>
      </w:r>
      <w:r>
        <w:t xml:space="preserve">(Oxford: Clarendon Press, 1979). </w:t>
      </w:r>
      <w:r w:rsidRPr="00AD7C34">
        <w:t>Barratt, Women’s Writing in Middle English (Michigan: Longman, 1992) pp. 29-31.</w:t>
      </w:r>
    </w:p>
    <w:p w14:paraId="6A6E2D47" w14:textId="1FCBFF3F" w:rsidR="00AD7C34" w:rsidRDefault="00AD7C34" w:rsidP="00AD7C34"/>
    <w:p w14:paraId="1F0B9979" w14:textId="557AE2D0" w:rsidR="00516866" w:rsidRDefault="00AD7C34" w:rsidP="00AD7C34">
      <w:pPr>
        <w:rPr>
          <w:u w:val="single"/>
        </w:rPr>
      </w:pPr>
      <w:r>
        <w:rPr>
          <w:u w:val="single"/>
        </w:rPr>
        <w:t>Secondary Sources.</w:t>
      </w:r>
    </w:p>
    <w:p w14:paraId="10E10698" w14:textId="4BEB9226" w:rsidR="00516866" w:rsidRDefault="00516866" w:rsidP="00AD7C34">
      <w:r>
        <w:t xml:space="preserve">Cartwright, J. </w:t>
      </w:r>
      <w:r>
        <w:rPr>
          <w:i/>
          <w:iCs/>
        </w:rPr>
        <w:t xml:space="preserve">Feminine Sanctity and Spirituality in Medieval Wales </w:t>
      </w:r>
      <w:r>
        <w:t xml:space="preserve">(Cardiff: University of Wales Press, 2008). </w:t>
      </w:r>
    </w:p>
    <w:p w14:paraId="27528CF4" w14:textId="24F63B9E" w:rsidR="00516866" w:rsidRPr="00516866" w:rsidRDefault="00516866" w:rsidP="00AD7C34">
      <w:r>
        <w:t xml:space="preserve"> </w:t>
      </w:r>
    </w:p>
    <w:p w14:paraId="664D85EF" w14:textId="159BB0F9" w:rsidR="00AD7C34" w:rsidRDefault="00AD7C34" w:rsidP="00AD7C34">
      <w:r>
        <w:t>Finucane, R.C</w:t>
      </w:r>
      <w:r w:rsidR="00516866">
        <w:t>.</w:t>
      </w:r>
      <w:r>
        <w:t xml:space="preserve"> </w:t>
      </w:r>
      <w:r>
        <w:rPr>
          <w:i/>
          <w:iCs/>
        </w:rPr>
        <w:t>Miracles and Pilgrims: Popular Belief in Medieval England</w:t>
      </w:r>
      <w:r>
        <w:t xml:space="preserve"> (Surrey: J.M</w:t>
      </w:r>
      <w:r w:rsidR="00516866">
        <w:t xml:space="preserve">. Dent &amp; Sons Ltd, 1977). </w:t>
      </w:r>
    </w:p>
    <w:p w14:paraId="7B0D3778" w14:textId="4515F406" w:rsidR="00516866" w:rsidRDefault="00516866" w:rsidP="00AD7C34"/>
    <w:p w14:paraId="763F66B7" w14:textId="34E2C7B7" w:rsidR="00516866" w:rsidRDefault="00516866" w:rsidP="00AD7C34">
      <w:r>
        <w:t xml:space="preserve">Green, M.G. </w:t>
      </w:r>
      <w:r>
        <w:rPr>
          <w:i/>
          <w:iCs/>
        </w:rPr>
        <w:t xml:space="preserve">Making Women’s Medicine Masculine </w:t>
      </w:r>
      <w:r>
        <w:t xml:space="preserve">(Oxford: Oxford University Press, 2008). </w:t>
      </w:r>
    </w:p>
    <w:p w14:paraId="7B149104" w14:textId="5F0C48FA" w:rsidR="00516866" w:rsidRDefault="00516866" w:rsidP="00AD7C34"/>
    <w:p w14:paraId="755888D7" w14:textId="0E134DC8" w:rsidR="00516866" w:rsidRPr="00516866" w:rsidRDefault="00516866" w:rsidP="00AD7C34">
      <w:r>
        <w:t xml:space="preserve">Koopmans, R. </w:t>
      </w:r>
      <w:r>
        <w:rPr>
          <w:i/>
          <w:iCs/>
        </w:rPr>
        <w:t xml:space="preserve">Wonderful to Relate: Miracle Stories and Miracle Collecting in High Medieval England </w:t>
      </w:r>
      <w:r>
        <w:t xml:space="preserve">(Philadelphia: University of Pennsylvania, 2011). </w:t>
      </w:r>
    </w:p>
    <w:p w14:paraId="3299C515" w14:textId="502A8B4C" w:rsidR="00516866" w:rsidRDefault="00516866" w:rsidP="00AD7C34"/>
    <w:p w14:paraId="4A01ABCC" w14:textId="70EFEF4E" w:rsidR="00516866" w:rsidRDefault="00516866" w:rsidP="00AD7C34">
      <w:proofErr w:type="spellStart"/>
      <w:r>
        <w:t>Leyser</w:t>
      </w:r>
      <w:proofErr w:type="spellEnd"/>
      <w:r>
        <w:t xml:space="preserve">, H. </w:t>
      </w:r>
      <w:r>
        <w:rPr>
          <w:i/>
          <w:iCs/>
        </w:rPr>
        <w:t xml:space="preserve">Medieval Women: A Social History of Women in England 450-1550 </w:t>
      </w:r>
      <w:r>
        <w:t xml:space="preserve">(London: Phoenix, 2002). </w:t>
      </w:r>
    </w:p>
    <w:p w14:paraId="3FBC76CD" w14:textId="3C266CDE" w:rsidR="00516866" w:rsidRDefault="00516866" w:rsidP="00AD7C34"/>
    <w:p w14:paraId="292B44AF" w14:textId="4EE49A1E" w:rsidR="00516866" w:rsidRPr="00516866" w:rsidRDefault="00516866" w:rsidP="00AD7C34">
      <w:r>
        <w:t xml:space="preserve">Morrison, S.S. </w:t>
      </w:r>
      <w:r>
        <w:rPr>
          <w:i/>
          <w:iCs/>
        </w:rPr>
        <w:t xml:space="preserve">Women Pilgrims in Late Medieval England: Private Piety as a Public Performance </w:t>
      </w:r>
      <w:r>
        <w:t>(London: Routledge, 2000).</w:t>
      </w:r>
    </w:p>
    <w:p w14:paraId="580D6C6D" w14:textId="160567D8" w:rsidR="00516866" w:rsidRDefault="00516866" w:rsidP="00AD7C34"/>
    <w:p w14:paraId="686D7F91" w14:textId="5622106A" w:rsidR="00516866" w:rsidRDefault="00516866" w:rsidP="00AD7C34">
      <w:r>
        <w:t xml:space="preserve">Powel, H. ‘The ‘Miracle of Childbirth’: The Portrayal of Parturient Women in Medieval Miracle Narratives’, </w:t>
      </w:r>
      <w:r>
        <w:rPr>
          <w:i/>
          <w:iCs/>
        </w:rPr>
        <w:t>Social History of Medicine</w:t>
      </w:r>
      <w:r>
        <w:t xml:space="preserve">, 25(4) (2012), pp. 795-811. </w:t>
      </w:r>
    </w:p>
    <w:p w14:paraId="73DC9EB4" w14:textId="71C14451" w:rsidR="00761B9C" w:rsidRDefault="00761B9C" w:rsidP="00AD7C34"/>
    <w:p w14:paraId="1E66CB0B" w14:textId="0C7531C7" w:rsidR="00761B9C" w:rsidRPr="00761B9C" w:rsidRDefault="00761B9C" w:rsidP="00AD7C34">
      <w:r>
        <w:t xml:space="preserve">Wallace, L. ‘Bearded Woman, Female Christ: Gendered Translation in the Legends and Cult of Saint </w:t>
      </w:r>
      <w:proofErr w:type="spellStart"/>
      <w:r>
        <w:t>Wilgefortis</w:t>
      </w:r>
      <w:proofErr w:type="spellEnd"/>
      <w:r>
        <w:t xml:space="preserve">’, </w:t>
      </w:r>
      <w:r>
        <w:rPr>
          <w:i/>
          <w:iCs/>
        </w:rPr>
        <w:t xml:space="preserve">Journal of Feminist Studies in Religion, </w:t>
      </w:r>
      <w:r>
        <w:t>30(1) (</w:t>
      </w:r>
      <w:r w:rsidR="00B82E69">
        <w:t xml:space="preserve">2014) pp. 43-63. </w:t>
      </w:r>
    </w:p>
    <w:p w14:paraId="685B77AC" w14:textId="180AF148" w:rsidR="00516866" w:rsidRDefault="00516866" w:rsidP="00AD7C34"/>
    <w:p w14:paraId="76D70AEE" w14:textId="7E2BC9F6" w:rsidR="00516866" w:rsidRPr="00516866" w:rsidRDefault="00516866" w:rsidP="00AD7C34">
      <w:r>
        <w:t xml:space="preserve">Webb, D. </w:t>
      </w:r>
      <w:r>
        <w:rPr>
          <w:i/>
          <w:iCs/>
        </w:rPr>
        <w:t xml:space="preserve">Pilgrimage in Medieval England </w:t>
      </w:r>
      <w:r>
        <w:t xml:space="preserve">(London: </w:t>
      </w:r>
      <w:proofErr w:type="spellStart"/>
      <w:r>
        <w:t>Hambledon</w:t>
      </w:r>
      <w:proofErr w:type="spellEnd"/>
      <w:r>
        <w:t xml:space="preserve"> and London, 2000). </w:t>
      </w:r>
    </w:p>
    <w:sectPr w:rsidR="00516866" w:rsidRPr="005168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944D4" w14:textId="77777777" w:rsidR="00DE648A" w:rsidRDefault="00DE648A" w:rsidP="006B4712">
      <w:pPr>
        <w:spacing w:after="0" w:line="240" w:lineRule="auto"/>
      </w:pPr>
      <w:r>
        <w:separator/>
      </w:r>
    </w:p>
  </w:endnote>
  <w:endnote w:type="continuationSeparator" w:id="0">
    <w:p w14:paraId="065FB7C8" w14:textId="77777777" w:rsidR="00DE648A" w:rsidRDefault="00DE648A" w:rsidP="006B4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D9E7B" w14:textId="77777777" w:rsidR="00DE648A" w:rsidRDefault="00DE648A" w:rsidP="006B4712">
      <w:pPr>
        <w:spacing w:after="0" w:line="240" w:lineRule="auto"/>
      </w:pPr>
      <w:r>
        <w:separator/>
      </w:r>
    </w:p>
  </w:footnote>
  <w:footnote w:type="continuationSeparator" w:id="0">
    <w:p w14:paraId="7D5DBBF6" w14:textId="77777777" w:rsidR="00DE648A" w:rsidRDefault="00DE648A" w:rsidP="006B4712">
      <w:pPr>
        <w:spacing w:after="0" w:line="240" w:lineRule="auto"/>
      </w:pPr>
      <w:r>
        <w:continuationSeparator/>
      </w:r>
    </w:p>
  </w:footnote>
  <w:footnote w:id="1">
    <w:p w14:paraId="06D0B5E7" w14:textId="77719304" w:rsidR="00807EC5" w:rsidRPr="006B4712" w:rsidRDefault="00807EC5">
      <w:pPr>
        <w:pStyle w:val="FootnoteText"/>
      </w:pPr>
      <w:r>
        <w:rPr>
          <w:rStyle w:val="FootnoteReference"/>
        </w:rPr>
        <w:footnoteRef/>
      </w:r>
      <w:r>
        <w:t xml:space="preserve"> Ronald C. Finucane, </w:t>
      </w:r>
      <w:r>
        <w:rPr>
          <w:i/>
          <w:iCs/>
        </w:rPr>
        <w:t xml:space="preserve">Miracles and Pilgrims: Popular Beliefs in Medieval England </w:t>
      </w:r>
      <w:r>
        <w:t xml:space="preserve">(Surrey: J.M. Dent &amp; Sons Ltd, 1977) p. 26. </w:t>
      </w:r>
    </w:p>
  </w:footnote>
  <w:footnote w:id="2">
    <w:p w14:paraId="0A8CCE19" w14:textId="5A266415" w:rsidR="00807EC5" w:rsidRPr="005A0E59" w:rsidRDefault="00807EC5">
      <w:pPr>
        <w:pStyle w:val="FootnoteText"/>
      </w:pPr>
      <w:r>
        <w:rPr>
          <w:rStyle w:val="FootnoteReference"/>
        </w:rPr>
        <w:footnoteRef/>
      </w:r>
      <w:r>
        <w:t xml:space="preserve"> Finucane, </w:t>
      </w:r>
      <w:r>
        <w:rPr>
          <w:i/>
          <w:iCs/>
        </w:rPr>
        <w:t>Miracles and Pilgrims</w:t>
      </w:r>
      <w:r>
        <w:t xml:space="preserve">, p. 186. </w:t>
      </w:r>
    </w:p>
  </w:footnote>
  <w:footnote w:id="3">
    <w:p w14:paraId="675262D2" w14:textId="1F971E21" w:rsidR="00807EC5" w:rsidRPr="00050F44" w:rsidRDefault="00807EC5">
      <w:pPr>
        <w:pStyle w:val="FootnoteText"/>
      </w:pPr>
      <w:r>
        <w:rPr>
          <w:rStyle w:val="FootnoteReference"/>
        </w:rPr>
        <w:footnoteRef/>
      </w:r>
      <w:r>
        <w:t xml:space="preserve"> Hilary Powel, ‘The ‘Miracle of Childbirth: The Portrayal of Parturient Women in Medieval Narratives’, </w:t>
      </w:r>
      <w:r>
        <w:rPr>
          <w:i/>
          <w:iCs/>
        </w:rPr>
        <w:t xml:space="preserve">Social History of Medicine, </w:t>
      </w:r>
      <w:r>
        <w:t xml:space="preserve">25(4) (2012), 795-811 (p. 796). </w:t>
      </w:r>
    </w:p>
  </w:footnote>
  <w:footnote w:id="4">
    <w:p w14:paraId="4A04622B" w14:textId="31BD1ECC" w:rsidR="00807EC5" w:rsidRPr="006B7053" w:rsidRDefault="00807EC5">
      <w:pPr>
        <w:pStyle w:val="FootnoteText"/>
      </w:pPr>
      <w:r>
        <w:rPr>
          <w:rStyle w:val="FootnoteReference"/>
        </w:rPr>
        <w:footnoteRef/>
      </w:r>
      <w:r>
        <w:t xml:space="preserve"> Henrietta </w:t>
      </w:r>
      <w:proofErr w:type="spellStart"/>
      <w:r>
        <w:t>Leyser</w:t>
      </w:r>
      <w:proofErr w:type="spellEnd"/>
      <w:r>
        <w:t xml:space="preserve">, </w:t>
      </w:r>
      <w:r>
        <w:rPr>
          <w:i/>
          <w:iCs/>
        </w:rPr>
        <w:t>Medieval Women: A Social History of Women in England 450-1150</w:t>
      </w:r>
      <w:r>
        <w:t xml:space="preserve"> (London: Phoenix, 2002) p. 230. </w:t>
      </w:r>
    </w:p>
  </w:footnote>
  <w:footnote w:id="5">
    <w:p w14:paraId="5C083A4A" w14:textId="59C2A3D0" w:rsidR="00807EC5" w:rsidRPr="006B7053" w:rsidRDefault="00807EC5">
      <w:pPr>
        <w:pStyle w:val="FootnoteText"/>
      </w:pPr>
      <w:r>
        <w:rPr>
          <w:rStyle w:val="FootnoteReference"/>
        </w:rPr>
        <w:footnoteRef/>
      </w:r>
      <w:r>
        <w:t xml:space="preserve"> </w:t>
      </w:r>
      <w:proofErr w:type="spellStart"/>
      <w:r>
        <w:t>Leyser</w:t>
      </w:r>
      <w:proofErr w:type="spellEnd"/>
      <w:r>
        <w:t xml:space="preserve">, </w:t>
      </w:r>
      <w:r>
        <w:rPr>
          <w:i/>
          <w:iCs/>
        </w:rPr>
        <w:t xml:space="preserve">Medieval Women, </w:t>
      </w:r>
      <w:r>
        <w:t xml:space="preserve">p. 226. </w:t>
      </w:r>
    </w:p>
  </w:footnote>
  <w:footnote w:id="6">
    <w:p w14:paraId="41BEF8AC" w14:textId="74418726" w:rsidR="00807EC5" w:rsidRPr="006A7F6B" w:rsidRDefault="00807EC5">
      <w:pPr>
        <w:pStyle w:val="FootnoteText"/>
      </w:pPr>
      <w:r>
        <w:rPr>
          <w:rStyle w:val="FootnoteReference"/>
        </w:rPr>
        <w:footnoteRef/>
      </w:r>
      <w:r>
        <w:t xml:space="preserve"> Diana Webb, </w:t>
      </w:r>
      <w:r>
        <w:rPr>
          <w:i/>
          <w:iCs/>
        </w:rPr>
        <w:t xml:space="preserve">Pilgrimage in Medieval England </w:t>
      </w:r>
      <w:r>
        <w:t xml:space="preserve">(London: </w:t>
      </w:r>
      <w:proofErr w:type="spellStart"/>
      <w:r>
        <w:t>Hambledon</w:t>
      </w:r>
      <w:proofErr w:type="spellEnd"/>
      <w:r>
        <w:t xml:space="preserve"> and London, 2000) p. 182.</w:t>
      </w:r>
    </w:p>
  </w:footnote>
  <w:footnote w:id="7">
    <w:p w14:paraId="40D5FB0A" w14:textId="441AC401" w:rsidR="00807EC5" w:rsidRPr="00C04480" w:rsidRDefault="00807EC5">
      <w:pPr>
        <w:pStyle w:val="FootnoteText"/>
      </w:pPr>
      <w:r>
        <w:rPr>
          <w:rStyle w:val="FootnoteReference"/>
        </w:rPr>
        <w:footnoteRef/>
      </w:r>
      <w:r>
        <w:t xml:space="preserve"> Susan S. Morrison, </w:t>
      </w:r>
      <w:r>
        <w:rPr>
          <w:i/>
          <w:iCs/>
        </w:rPr>
        <w:t>Women Pilgrims in Late Medieval England: Private Piety as a Public Performance</w:t>
      </w:r>
      <w:r>
        <w:t xml:space="preserve"> (London: Routledge, 2000) p. 3. </w:t>
      </w:r>
    </w:p>
  </w:footnote>
  <w:footnote w:id="8">
    <w:p w14:paraId="27FC9B11" w14:textId="532A5F08" w:rsidR="00807EC5" w:rsidRPr="00CF2396" w:rsidRDefault="00807EC5">
      <w:pPr>
        <w:pStyle w:val="FootnoteText"/>
      </w:pPr>
      <w:r>
        <w:rPr>
          <w:rStyle w:val="FootnoteReference"/>
        </w:rPr>
        <w:footnoteRef/>
      </w:r>
      <w:r>
        <w:t xml:space="preserve"> Alexandria Barratt, </w:t>
      </w:r>
      <w:r>
        <w:rPr>
          <w:i/>
          <w:iCs/>
        </w:rPr>
        <w:t xml:space="preserve">Women’s Writing in Middle English </w:t>
      </w:r>
      <w:r>
        <w:t>(Michigan: Longman, 1992) pp. 29-31.</w:t>
      </w:r>
    </w:p>
  </w:footnote>
  <w:footnote w:id="9">
    <w:p w14:paraId="2707F66D" w14:textId="16D01A20" w:rsidR="00807EC5" w:rsidRPr="009B5D49" w:rsidRDefault="00807EC5">
      <w:pPr>
        <w:pStyle w:val="FootnoteText"/>
      </w:pPr>
      <w:r>
        <w:rPr>
          <w:rStyle w:val="FootnoteReference"/>
        </w:rPr>
        <w:footnoteRef/>
      </w:r>
      <w:r>
        <w:t xml:space="preserve"> Monica H. Green, </w:t>
      </w:r>
      <w:r>
        <w:rPr>
          <w:i/>
          <w:iCs/>
        </w:rPr>
        <w:t xml:space="preserve">Making Women’s Medicine Masculine </w:t>
      </w:r>
      <w:r>
        <w:t>(Oxford: Oxford University Press, 2008) p. IX.</w:t>
      </w:r>
    </w:p>
  </w:footnote>
  <w:footnote w:id="10">
    <w:p w14:paraId="489B15FE" w14:textId="06B8B6B5" w:rsidR="00807EC5" w:rsidRPr="009B5D49" w:rsidRDefault="00807EC5">
      <w:pPr>
        <w:pStyle w:val="FootnoteText"/>
      </w:pPr>
      <w:r>
        <w:rPr>
          <w:rStyle w:val="FootnoteReference"/>
        </w:rPr>
        <w:footnoteRef/>
      </w:r>
      <w:r>
        <w:t xml:space="preserve"> Rachel Koopmans, </w:t>
      </w:r>
      <w:r>
        <w:rPr>
          <w:i/>
          <w:iCs/>
        </w:rPr>
        <w:t>Wonderful to Relate:</w:t>
      </w:r>
      <w:r>
        <w:t xml:space="preserve"> </w:t>
      </w:r>
      <w:r>
        <w:rPr>
          <w:i/>
          <w:iCs/>
        </w:rPr>
        <w:t xml:space="preserve">Miracle Stories and Miracle Collecting in High Medieval England </w:t>
      </w:r>
      <w:r>
        <w:t xml:space="preserve">(Philadelphia: University of Pennsylvania Press, 2011) p. 2. </w:t>
      </w:r>
    </w:p>
  </w:footnote>
  <w:footnote w:id="11">
    <w:p w14:paraId="5721AA63" w14:textId="515F9F2E" w:rsidR="00807EC5" w:rsidRPr="00BD188E" w:rsidRDefault="00807EC5">
      <w:pPr>
        <w:pStyle w:val="FootnoteText"/>
      </w:pPr>
      <w:r>
        <w:rPr>
          <w:rStyle w:val="FootnoteReference"/>
        </w:rPr>
        <w:footnoteRef/>
      </w:r>
      <w:r>
        <w:t xml:space="preserve"> Koopmans, </w:t>
      </w:r>
      <w:r>
        <w:rPr>
          <w:i/>
          <w:iCs/>
        </w:rPr>
        <w:t xml:space="preserve">Wonderful to Relate, </w:t>
      </w:r>
      <w:r>
        <w:t xml:space="preserve">p. 118. </w:t>
      </w:r>
    </w:p>
  </w:footnote>
  <w:footnote w:id="12">
    <w:p w14:paraId="6FD2964F" w14:textId="533F3125" w:rsidR="00807EC5" w:rsidRDefault="00807EC5">
      <w:pPr>
        <w:pStyle w:val="FootnoteText"/>
      </w:pPr>
      <w:r>
        <w:rPr>
          <w:rStyle w:val="FootnoteReference"/>
        </w:rPr>
        <w:footnoteRef/>
      </w:r>
      <w:r>
        <w:t xml:space="preserve"> Ibid, p. 114.  </w:t>
      </w:r>
    </w:p>
  </w:footnote>
  <w:footnote w:id="13">
    <w:p w14:paraId="58A82476" w14:textId="1A8C0E24" w:rsidR="00807EC5" w:rsidRPr="00DC772E" w:rsidRDefault="00807EC5">
      <w:pPr>
        <w:pStyle w:val="FootnoteText"/>
      </w:pPr>
      <w:r>
        <w:rPr>
          <w:rStyle w:val="FootnoteReference"/>
        </w:rPr>
        <w:footnoteRef/>
      </w:r>
      <w:r>
        <w:t xml:space="preserve"> Jane Cartwright, </w:t>
      </w:r>
      <w:r>
        <w:rPr>
          <w:i/>
          <w:iCs/>
        </w:rPr>
        <w:t xml:space="preserve">Feminine Sanctity and Spirituality in Medieval Wales </w:t>
      </w:r>
      <w:r>
        <w:t xml:space="preserve">(Cardiff: University of Wales Press, 2008) p. 95. </w:t>
      </w:r>
    </w:p>
  </w:footnote>
  <w:footnote w:id="14">
    <w:p w14:paraId="3B3A396D" w14:textId="69CD5016" w:rsidR="00807EC5" w:rsidRPr="006C3F37" w:rsidRDefault="00807EC5">
      <w:pPr>
        <w:pStyle w:val="FootnoteText"/>
      </w:pPr>
      <w:r>
        <w:rPr>
          <w:rStyle w:val="FootnoteReference"/>
        </w:rPr>
        <w:footnoteRef/>
      </w:r>
      <w:r>
        <w:t xml:space="preserve"> Koopmans, </w:t>
      </w:r>
      <w:r>
        <w:rPr>
          <w:i/>
          <w:iCs/>
        </w:rPr>
        <w:t xml:space="preserve">Wonderful to Relate, </w:t>
      </w:r>
      <w:r>
        <w:t xml:space="preserve">p. 118. </w:t>
      </w:r>
    </w:p>
  </w:footnote>
  <w:footnote w:id="15">
    <w:p w14:paraId="089FEFE6" w14:textId="600E11CA" w:rsidR="00807EC5" w:rsidRDefault="00807EC5">
      <w:pPr>
        <w:pStyle w:val="FootnoteText"/>
      </w:pPr>
      <w:r>
        <w:rPr>
          <w:rStyle w:val="FootnoteReference"/>
        </w:rPr>
        <w:footnoteRef/>
      </w:r>
      <w:r>
        <w:t xml:space="preserve"> Ibid. </w:t>
      </w:r>
    </w:p>
  </w:footnote>
  <w:footnote w:id="16">
    <w:p w14:paraId="1F816B94" w14:textId="0DD9A6A5" w:rsidR="00807EC5" w:rsidRPr="008E56F5" w:rsidRDefault="00807EC5">
      <w:pPr>
        <w:pStyle w:val="FootnoteText"/>
      </w:pPr>
      <w:r>
        <w:rPr>
          <w:rStyle w:val="FootnoteReference"/>
        </w:rPr>
        <w:footnoteRef/>
      </w:r>
      <w:r>
        <w:t xml:space="preserve"> L. Wallace, ‘Bearded Woman, Female Christ: Gendered Transformation in the Legends and Cult of Saint </w:t>
      </w:r>
      <w:proofErr w:type="spellStart"/>
      <w:r>
        <w:t>Wilgefortis</w:t>
      </w:r>
      <w:proofErr w:type="spellEnd"/>
      <w:r>
        <w:t xml:space="preserve">’, </w:t>
      </w:r>
      <w:r>
        <w:rPr>
          <w:i/>
          <w:iCs/>
        </w:rPr>
        <w:t xml:space="preserve">Journal of Feminist Studies in Religion, </w:t>
      </w:r>
      <w:r>
        <w:t xml:space="preserve">30(1) (2014). 43-63 (p. 56). </w:t>
      </w:r>
    </w:p>
  </w:footnote>
  <w:footnote w:id="17">
    <w:p w14:paraId="2D48AB4A" w14:textId="38845718" w:rsidR="00807EC5" w:rsidRPr="00860DC2" w:rsidRDefault="00807EC5">
      <w:pPr>
        <w:pStyle w:val="FootnoteText"/>
      </w:pPr>
      <w:r>
        <w:rPr>
          <w:rStyle w:val="FootnoteReference"/>
        </w:rPr>
        <w:footnoteRef/>
      </w:r>
      <w:r>
        <w:t xml:space="preserve"> Morrison, </w:t>
      </w:r>
      <w:r>
        <w:rPr>
          <w:i/>
          <w:iCs/>
        </w:rPr>
        <w:t>Women Pilgrims,</w:t>
      </w:r>
      <w:r>
        <w:t xml:space="preserve"> p. 16.</w:t>
      </w:r>
    </w:p>
  </w:footnote>
  <w:footnote w:id="18">
    <w:p w14:paraId="38273245" w14:textId="7478AC74" w:rsidR="00807EC5" w:rsidRPr="00EE1E36" w:rsidRDefault="00807EC5">
      <w:pPr>
        <w:pStyle w:val="FootnoteText"/>
      </w:pPr>
      <w:r>
        <w:rPr>
          <w:rStyle w:val="FootnoteReference"/>
        </w:rPr>
        <w:footnoteRef/>
      </w:r>
      <w:r>
        <w:t xml:space="preserve"> R. W. Southern, </w:t>
      </w:r>
      <w:r>
        <w:rPr>
          <w:i/>
          <w:iCs/>
        </w:rPr>
        <w:t xml:space="preserve">The Life of St Anselm, Archbishop of Canterbury by </w:t>
      </w:r>
      <w:proofErr w:type="spellStart"/>
      <w:r>
        <w:rPr>
          <w:i/>
          <w:iCs/>
        </w:rPr>
        <w:t>Eadmer</w:t>
      </w:r>
      <w:proofErr w:type="spellEnd"/>
      <w:r>
        <w:rPr>
          <w:i/>
          <w:iCs/>
        </w:rPr>
        <w:t xml:space="preserve"> </w:t>
      </w:r>
      <w:r>
        <w:t xml:space="preserve">(Oxford: Clarendon Press, 1979) p. 165. </w:t>
      </w:r>
    </w:p>
  </w:footnote>
  <w:footnote w:id="19">
    <w:p w14:paraId="1B44521F" w14:textId="560BB1DB" w:rsidR="00807EC5" w:rsidRPr="00EE1E36" w:rsidRDefault="00807EC5">
      <w:pPr>
        <w:pStyle w:val="FootnoteText"/>
      </w:pPr>
      <w:r>
        <w:rPr>
          <w:rStyle w:val="FootnoteReference"/>
        </w:rPr>
        <w:footnoteRef/>
      </w:r>
      <w:r>
        <w:t xml:space="preserve"> </w:t>
      </w:r>
      <w:proofErr w:type="spellStart"/>
      <w:r>
        <w:t>Leyser</w:t>
      </w:r>
      <w:proofErr w:type="spellEnd"/>
      <w:r>
        <w:t xml:space="preserve">, </w:t>
      </w:r>
      <w:r>
        <w:rPr>
          <w:i/>
          <w:iCs/>
        </w:rPr>
        <w:t>Medieval Women,</w:t>
      </w:r>
      <w:r>
        <w:t xml:space="preserve"> p. 93.</w:t>
      </w:r>
    </w:p>
  </w:footnote>
  <w:footnote w:id="20">
    <w:p w14:paraId="36A941C7" w14:textId="28B96740" w:rsidR="00807EC5" w:rsidRDefault="00807EC5">
      <w:pPr>
        <w:pStyle w:val="FootnoteText"/>
      </w:pPr>
      <w:r>
        <w:rPr>
          <w:rStyle w:val="FootnoteReference"/>
        </w:rPr>
        <w:footnoteRef/>
      </w:r>
      <w:r>
        <w:t xml:space="preserve"> Hilary Powel, ‘The ‘Miracle of Childbirth’’, p. 811.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C54"/>
    <w:rsid w:val="000060BA"/>
    <w:rsid w:val="00050F44"/>
    <w:rsid w:val="00095115"/>
    <w:rsid w:val="000F1D7A"/>
    <w:rsid w:val="001D1AA3"/>
    <w:rsid w:val="002F442F"/>
    <w:rsid w:val="003008D0"/>
    <w:rsid w:val="00373F63"/>
    <w:rsid w:val="003A7C29"/>
    <w:rsid w:val="003A7DAD"/>
    <w:rsid w:val="003C7F25"/>
    <w:rsid w:val="00405EBD"/>
    <w:rsid w:val="0041558D"/>
    <w:rsid w:val="00416C45"/>
    <w:rsid w:val="004424F1"/>
    <w:rsid w:val="00516866"/>
    <w:rsid w:val="005318ED"/>
    <w:rsid w:val="005A0E59"/>
    <w:rsid w:val="006A7F6B"/>
    <w:rsid w:val="006B1C54"/>
    <w:rsid w:val="006B4712"/>
    <w:rsid w:val="006B7053"/>
    <w:rsid w:val="006C0C65"/>
    <w:rsid w:val="006C3F37"/>
    <w:rsid w:val="007055E9"/>
    <w:rsid w:val="0070565E"/>
    <w:rsid w:val="007405B1"/>
    <w:rsid w:val="007428A7"/>
    <w:rsid w:val="00750C94"/>
    <w:rsid w:val="00761B9C"/>
    <w:rsid w:val="00763F2C"/>
    <w:rsid w:val="007D7ED3"/>
    <w:rsid w:val="007E0E72"/>
    <w:rsid w:val="007E21A1"/>
    <w:rsid w:val="00807EC5"/>
    <w:rsid w:val="00860DC2"/>
    <w:rsid w:val="00885792"/>
    <w:rsid w:val="008E56F5"/>
    <w:rsid w:val="009B5D49"/>
    <w:rsid w:val="00A10FAD"/>
    <w:rsid w:val="00AD7C34"/>
    <w:rsid w:val="00B228AC"/>
    <w:rsid w:val="00B51EE0"/>
    <w:rsid w:val="00B82E69"/>
    <w:rsid w:val="00BC3AAC"/>
    <w:rsid w:val="00BD188E"/>
    <w:rsid w:val="00C04480"/>
    <w:rsid w:val="00C2346D"/>
    <w:rsid w:val="00CF2396"/>
    <w:rsid w:val="00DC772E"/>
    <w:rsid w:val="00DE648A"/>
    <w:rsid w:val="00E21C19"/>
    <w:rsid w:val="00EE1E36"/>
    <w:rsid w:val="00FC2B2B"/>
    <w:rsid w:val="00FD5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B3B92"/>
  <w15:chartTrackingRefBased/>
  <w15:docId w15:val="{47615DC5-F387-4E0A-B8AE-D95843EB5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B47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4712"/>
    <w:rPr>
      <w:sz w:val="20"/>
      <w:szCs w:val="20"/>
    </w:rPr>
  </w:style>
  <w:style w:type="character" w:styleId="FootnoteReference">
    <w:name w:val="footnote reference"/>
    <w:basedOn w:val="DefaultParagraphFont"/>
    <w:uiPriority w:val="99"/>
    <w:semiHidden/>
    <w:unhideWhenUsed/>
    <w:rsid w:val="006B4712"/>
    <w:rPr>
      <w:vertAlign w:val="superscript"/>
    </w:rPr>
  </w:style>
  <w:style w:type="paragraph" w:styleId="BalloonText">
    <w:name w:val="Balloon Text"/>
    <w:basedOn w:val="Normal"/>
    <w:link w:val="BalloonTextChar"/>
    <w:uiPriority w:val="99"/>
    <w:semiHidden/>
    <w:unhideWhenUsed/>
    <w:rsid w:val="00EE1E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E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A53CC-B983-4848-9786-422005DA3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5</Pages>
  <Words>2040</Words>
  <Characters>10324</Characters>
  <Application>Microsoft Office Word</Application>
  <DocSecurity>0</DocSecurity>
  <Lines>219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Evans</dc:creator>
  <cp:keywords/>
  <dc:description/>
  <cp:lastModifiedBy>Laura Evans (1400299)</cp:lastModifiedBy>
  <cp:revision>23</cp:revision>
  <cp:lastPrinted>2020-05-13T17:36:00Z</cp:lastPrinted>
  <dcterms:created xsi:type="dcterms:W3CDTF">2020-05-11T15:03:00Z</dcterms:created>
  <dcterms:modified xsi:type="dcterms:W3CDTF">2020-05-13T18:10:00Z</dcterms:modified>
</cp:coreProperties>
</file>