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5CD2A7" w14:textId="77777777" w:rsidR="00480667" w:rsidRPr="0050538C" w:rsidRDefault="00480667" w:rsidP="00480667">
      <w:pPr>
        <w:pStyle w:val="Heading1"/>
        <w:jc w:val="center"/>
        <w:rPr>
          <w:rFonts w:ascii="Times New Roman" w:hAnsi="Times New Roman" w:cs="Times New Roman"/>
          <w:b/>
          <w:bCs/>
          <w:color w:val="auto"/>
          <w:sz w:val="24"/>
          <w:szCs w:val="24"/>
        </w:rPr>
      </w:pPr>
      <w:bookmarkStart w:id="0" w:name="_Toc149913185"/>
      <w:r w:rsidRPr="0050538C">
        <w:rPr>
          <w:rFonts w:ascii="Times New Roman" w:hAnsi="Times New Roman" w:cs="Times New Roman"/>
          <w:b/>
          <w:bCs/>
          <w:color w:val="auto"/>
          <w:sz w:val="24"/>
          <w:szCs w:val="24"/>
        </w:rPr>
        <w:t>CHAPTER. 1 INTRODUCTION</w:t>
      </w:r>
      <w:bookmarkEnd w:id="0"/>
    </w:p>
    <w:p w14:paraId="650A330C" w14:textId="77777777" w:rsidR="00480667" w:rsidRPr="0050538C" w:rsidRDefault="00480667" w:rsidP="00480667">
      <w:pPr>
        <w:rPr>
          <w:rFonts w:ascii="Times New Roman" w:hAnsi="Times New Roman" w:cs="Times New Roman"/>
          <w:b/>
          <w:bCs/>
          <w:sz w:val="24"/>
          <w:szCs w:val="24"/>
        </w:rPr>
      </w:pPr>
    </w:p>
    <w:p w14:paraId="53554028" w14:textId="77777777" w:rsidR="00480667" w:rsidRPr="0050538C" w:rsidRDefault="00480667" w:rsidP="00480667">
      <w:pPr>
        <w:pStyle w:val="Heading2"/>
        <w:numPr>
          <w:ilvl w:val="1"/>
          <w:numId w:val="2"/>
        </w:numPr>
        <w:rPr>
          <w:rFonts w:ascii="Times New Roman" w:hAnsi="Times New Roman" w:cs="Times New Roman"/>
          <w:b/>
          <w:bCs/>
          <w:color w:val="auto"/>
          <w:sz w:val="24"/>
          <w:szCs w:val="24"/>
        </w:rPr>
      </w:pPr>
      <w:bookmarkStart w:id="1" w:name="_Toc149913186"/>
      <w:r w:rsidRPr="0050538C">
        <w:rPr>
          <w:rFonts w:ascii="Times New Roman" w:hAnsi="Times New Roman" w:cs="Times New Roman"/>
          <w:b/>
          <w:bCs/>
          <w:color w:val="auto"/>
          <w:sz w:val="24"/>
          <w:szCs w:val="24"/>
        </w:rPr>
        <w:t>Background</w:t>
      </w:r>
      <w:bookmarkEnd w:id="1"/>
      <w:r w:rsidRPr="0050538C">
        <w:rPr>
          <w:rFonts w:ascii="Times New Roman" w:hAnsi="Times New Roman" w:cs="Times New Roman"/>
          <w:b/>
          <w:bCs/>
          <w:color w:val="auto"/>
          <w:sz w:val="24"/>
          <w:szCs w:val="24"/>
        </w:rPr>
        <w:t xml:space="preserve"> </w:t>
      </w:r>
    </w:p>
    <w:p w14:paraId="088B0E7C" w14:textId="77777777" w:rsidR="00480667" w:rsidRPr="0050538C" w:rsidRDefault="00480667" w:rsidP="00480667">
      <w:pPr>
        <w:rPr>
          <w:rFonts w:ascii="Times New Roman" w:hAnsi="Times New Roman" w:cs="Times New Roman"/>
          <w:sz w:val="24"/>
          <w:szCs w:val="24"/>
        </w:rPr>
      </w:pPr>
    </w:p>
    <w:p w14:paraId="59B75741"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largest consumer of raw materials worldwide is the building sector. The average amount of physical building supplies that are lost on construction sites, according to Zero Waste Scotland (2017), is estimated to be around 13%. According to a World Economic Forum, or WEF, report, 75% of building debris is dumped globally. There are several waste-reduction strategies based on sustainable development such as recycle and reuse. But these are found to be ineffective in terms of construction projects in developing countries due to the accumulation of higher number of wastages</w:t>
      </w:r>
      <w:r w:rsidRPr="0050538C">
        <w:rPr>
          <w:rFonts w:ascii="Times New Roman" w:hAnsi="Times New Roman" w:cs="Times New Roman"/>
          <w:sz w:val="24"/>
          <w:szCs w:val="24"/>
          <w:shd w:val="clear" w:color="auto" w:fill="FFFFFF"/>
        </w:rPr>
        <w:t xml:space="preserve"> (Hu</w:t>
      </w:r>
      <w:r w:rsidRPr="0050538C">
        <w:rPr>
          <w:rFonts w:ascii="Times New Roman" w:hAnsi="Times New Roman" w:cs="Times New Roman"/>
          <w:sz w:val="24"/>
          <w:szCs w:val="24"/>
        </w:rPr>
        <w:t xml:space="preserve"> et al., 2022). Hence, some nations like US, Canada and Australia have been implementing the front-end techniques to reduce the construction project wastes.  Front-end strategies are those procedures used at the beginning of the material transportation chain that will completely eliminate or drastically minimize the amount of waste produced on-site</w:t>
      </w:r>
      <w:r w:rsidRPr="0050538C">
        <w:rPr>
          <w:rFonts w:ascii="Times New Roman" w:hAnsi="Times New Roman" w:cs="Times New Roman"/>
          <w:sz w:val="24"/>
          <w:szCs w:val="24"/>
          <w:shd w:val="clear" w:color="auto" w:fill="FFFFFF"/>
        </w:rPr>
        <w:t xml:space="preserve"> (Bachayo</w:t>
      </w:r>
      <w:r w:rsidRPr="0050538C">
        <w:rPr>
          <w:rFonts w:ascii="Times New Roman" w:hAnsi="Times New Roman" w:cs="Times New Roman"/>
          <w:sz w:val="24"/>
          <w:szCs w:val="24"/>
        </w:rPr>
        <w:t xml:space="preserve"> et al., 2022).  But it has found to be less effective to reduce the environmental impacts due to construction materials.  </w:t>
      </w:r>
    </w:p>
    <w:p w14:paraId="699B38E5" w14:textId="77777777" w:rsidR="00480667" w:rsidRPr="0050538C" w:rsidRDefault="00480667" w:rsidP="00480667">
      <w:pPr>
        <w:spacing w:line="360" w:lineRule="auto"/>
        <w:jc w:val="both"/>
        <w:rPr>
          <w:rFonts w:ascii="Times New Roman" w:hAnsi="Times New Roman" w:cs="Times New Roman"/>
          <w:sz w:val="24"/>
          <w:szCs w:val="24"/>
        </w:rPr>
      </w:pPr>
    </w:p>
    <w:p w14:paraId="02E292B2" w14:textId="77777777" w:rsidR="00480667" w:rsidRPr="0050538C" w:rsidRDefault="00480667" w:rsidP="00480667">
      <w:pPr>
        <w:rPr>
          <w:rFonts w:ascii="Times New Roman" w:hAnsi="Times New Roman" w:cs="Times New Roman"/>
          <w:b/>
          <w:bCs/>
          <w:sz w:val="24"/>
          <w:szCs w:val="24"/>
        </w:rPr>
      </w:pPr>
    </w:p>
    <w:p w14:paraId="4922608C" w14:textId="77777777" w:rsidR="00480667" w:rsidRPr="0050538C" w:rsidRDefault="00480667" w:rsidP="00480667">
      <w:pPr>
        <w:pStyle w:val="Heading2"/>
        <w:rPr>
          <w:rFonts w:ascii="Times New Roman" w:hAnsi="Times New Roman" w:cs="Times New Roman"/>
          <w:b/>
          <w:bCs/>
          <w:color w:val="auto"/>
          <w:sz w:val="24"/>
          <w:szCs w:val="24"/>
        </w:rPr>
      </w:pPr>
      <w:bookmarkStart w:id="2" w:name="_Toc149913187"/>
      <w:r w:rsidRPr="0050538C">
        <w:rPr>
          <w:rFonts w:ascii="Times New Roman" w:hAnsi="Times New Roman" w:cs="Times New Roman"/>
          <w:b/>
          <w:bCs/>
          <w:color w:val="auto"/>
          <w:sz w:val="24"/>
          <w:szCs w:val="24"/>
        </w:rPr>
        <w:t>1.2. Rationale</w:t>
      </w:r>
      <w:bookmarkEnd w:id="2"/>
      <w:r w:rsidRPr="0050538C">
        <w:rPr>
          <w:rFonts w:ascii="Times New Roman" w:hAnsi="Times New Roman" w:cs="Times New Roman"/>
          <w:b/>
          <w:bCs/>
          <w:color w:val="auto"/>
          <w:sz w:val="24"/>
          <w:szCs w:val="24"/>
        </w:rPr>
        <w:t xml:space="preserve"> </w:t>
      </w:r>
    </w:p>
    <w:p w14:paraId="46DEC94E" w14:textId="77777777" w:rsidR="00480667" w:rsidRPr="0050538C" w:rsidRDefault="00480667" w:rsidP="00480667">
      <w:pPr>
        <w:spacing w:line="360" w:lineRule="auto"/>
        <w:jc w:val="both"/>
        <w:rPr>
          <w:rFonts w:ascii="Times New Roman" w:hAnsi="Times New Roman" w:cs="Times New Roman"/>
          <w:sz w:val="24"/>
          <w:szCs w:val="24"/>
        </w:rPr>
      </w:pPr>
    </w:p>
    <w:p w14:paraId="6BDD9C23"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worldwide construction surge is putting a growing strain on non-renewable raw natural resources; hence it is crucial to make the most of them in order to maintain environmentally friendly building methods (</w:t>
      </w:r>
      <w:r w:rsidRPr="0050538C">
        <w:rPr>
          <w:rFonts w:ascii="Times New Roman" w:hAnsi="Times New Roman" w:cs="Times New Roman"/>
          <w:sz w:val="24"/>
          <w:szCs w:val="24"/>
          <w:shd w:val="clear" w:color="auto" w:fill="FFFFFF"/>
        </w:rPr>
        <w:t>Abraham et al., 2022</w:t>
      </w:r>
      <w:r w:rsidRPr="0050538C">
        <w:rPr>
          <w:rFonts w:ascii="Times New Roman" w:hAnsi="Times New Roman" w:cs="Times New Roman"/>
          <w:sz w:val="24"/>
          <w:szCs w:val="24"/>
        </w:rPr>
        <w:t>). For example, approximately 60 million tonnes of newly mined material are consumed annually for the crushed rock gathers needed for the manufacture of asphalt, concrete, and other construction supplies for significant construction projects in India (intended to support the increase in population of approximately one million over the past ten years). Up to 35% of all waste in the Asian countries comes from debris from building and demolition (Dubey, 2023). Additionally, it makes up around 40% of the total solid waste produced in China, Australia, and the US (</w:t>
      </w:r>
      <w:r w:rsidRPr="0050538C">
        <w:rPr>
          <w:rFonts w:ascii="Times New Roman" w:hAnsi="Times New Roman" w:cs="Times New Roman"/>
          <w:sz w:val="24"/>
          <w:szCs w:val="24"/>
          <w:shd w:val="clear" w:color="auto" w:fill="FFFFFF"/>
        </w:rPr>
        <w:t>Li et al., 2022)</w:t>
      </w:r>
      <w:r w:rsidRPr="0050538C">
        <w:rPr>
          <w:rFonts w:ascii="Times New Roman" w:hAnsi="Times New Roman" w:cs="Times New Roman"/>
          <w:sz w:val="24"/>
          <w:szCs w:val="24"/>
        </w:rPr>
        <w:t xml:space="preserve">). According to </w:t>
      </w:r>
      <w:r w:rsidRPr="0050538C">
        <w:rPr>
          <w:rFonts w:ascii="Times New Roman" w:hAnsi="Times New Roman" w:cs="Times New Roman"/>
          <w:sz w:val="24"/>
          <w:szCs w:val="24"/>
          <w:shd w:val="clear" w:color="auto" w:fill="FFFFFF"/>
        </w:rPr>
        <w:t xml:space="preserve">Tezeswi and MVN (2022) </w:t>
      </w:r>
      <w:r w:rsidRPr="0050538C">
        <w:rPr>
          <w:rFonts w:ascii="Times New Roman" w:hAnsi="Times New Roman" w:cs="Times New Roman"/>
          <w:sz w:val="24"/>
          <w:szCs w:val="24"/>
        </w:rPr>
        <w:t xml:space="preserve">approximately 55% and 58% of (Construction and Demolitions) C&amp;D trash is recovered in India or repurposing or recycling. It shows that while the population of India grew by 28% between 2015 and 2022, trash production expanded by 170% during the </w:t>
      </w:r>
      <w:r w:rsidRPr="0050538C">
        <w:rPr>
          <w:rFonts w:ascii="Times New Roman" w:hAnsi="Times New Roman" w:cs="Times New Roman"/>
          <w:sz w:val="24"/>
          <w:szCs w:val="24"/>
        </w:rPr>
        <w:lastRenderedPageBreak/>
        <w:t>same time period.  With the India having the highest population increase in the OECD in 2023. effective disposal of waste has become a significant environmental problem. Compared to nations with similar immigration policies like Canada (1.2%) and the US (0.7%), the increasing population rate of India is 1.6%, which is significantly greater (He at al., 2022). India also produces the most garbage per person among the 35 OECD nations (</w:t>
      </w:r>
      <w:r w:rsidRPr="0050538C">
        <w:rPr>
          <w:rFonts w:ascii="Times New Roman" w:hAnsi="Times New Roman" w:cs="Times New Roman"/>
          <w:sz w:val="24"/>
          <w:szCs w:val="24"/>
          <w:shd w:val="clear" w:color="auto" w:fill="FFFFFF"/>
        </w:rPr>
        <w:t>Sinha et al., 2022</w:t>
      </w:r>
      <w:r w:rsidRPr="0050538C">
        <w:rPr>
          <w:rFonts w:ascii="Times New Roman" w:hAnsi="Times New Roman" w:cs="Times New Roman"/>
          <w:sz w:val="24"/>
          <w:szCs w:val="24"/>
        </w:rPr>
        <w:t>).</w:t>
      </w:r>
    </w:p>
    <w:p w14:paraId="2FBBCCA6" w14:textId="77777777" w:rsidR="00480667" w:rsidRPr="0050538C" w:rsidRDefault="00480667" w:rsidP="00480667">
      <w:pPr>
        <w:spacing w:line="360" w:lineRule="auto"/>
        <w:jc w:val="both"/>
        <w:rPr>
          <w:rFonts w:ascii="Times New Roman" w:hAnsi="Times New Roman" w:cs="Times New Roman"/>
          <w:sz w:val="24"/>
          <w:szCs w:val="24"/>
        </w:rPr>
      </w:pPr>
    </w:p>
    <w:p w14:paraId="52A6BF5D" w14:textId="77777777" w:rsidR="00480667" w:rsidRPr="0050538C" w:rsidRDefault="00480667" w:rsidP="00480667">
      <w:pPr>
        <w:keepNext/>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rPr>
        <w:drawing>
          <wp:inline distT="0" distB="0" distL="0" distR="0" wp14:anchorId="68653876" wp14:editId="0E33F996">
            <wp:extent cx="5731510" cy="3276600"/>
            <wp:effectExtent l="0" t="0" r="2540" b="0"/>
            <wp:docPr id="988337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337233" name=""/>
                    <pic:cNvPicPr/>
                  </pic:nvPicPr>
                  <pic:blipFill>
                    <a:blip r:embed="rId5">
                      <a:extLst>
                        <a:ext uri="{BEBA8EAE-BF5A-486C-A8C5-ECC9F3942E4B}">
                          <a14:imgProps xmlns:a14="http://schemas.microsoft.com/office/drawing/2010/main">
                            <a14:imgLayer r:embed="rId6">
                              <a14:imgEffect>
                                <a14:saturation sat="0"/>
                              </a14:imgEffect>
                            </a14:imgLayer>
                          </a14:imgProps>
                        </a:ext>
                      </a:extLst>
                    </a:blip>
                    <a:stretch>
                      <a:fillRect/>
                    </a:stretch>
                  </pic:blipFill>
                  <pic:spPr>
                    <a:xfrm>
                      <a:off x="0" y="0"/>
                      <a:ext cx="5731510" cy="3276600"/>
                    </a:xfrm>
                    <a:prstGeom prst="rect">
                      <a:avLst/>
                    </a:prstGeom>
                  </pic:spPr>
                </pic:pic>
              </a:graphicData>
            </a:graphic>
          </wp:inline>
        </w:drawing>
      </w:r>
    </w:p>
    <w:p w14:paraId="6208426D" w14:textId="77777777" w:rsidR="00480667" w:rsidRPr="0050538C" w:rsidRDefault="00480667" w:rsidP="00480667">
      <w:pPr>
        <w:pStyle w:val="Caption"/>
        <w:spacing w:line="360" w:lineRule="auto"/>
        <w:jc w:val="center"/>
        <w:rPr>
          <w:rFonts w:ascii="Times New Roman" w:hAnsi="Times New Roman" w:cs="Times New Roman"/>
          <w:color w:val="auto"/>
          <w:sz w:val="24"/>
          <w:szCs w:val="24"/>
        </w:rPr>
      </w:pPr>
      <w:bookmarkStart w:id="3" w:name="_Toc149910236"/>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Pr="0050538C">
        <w:rPr>
          <w:rFonts w:ascii="Times New Roman" w:hAnsi="Times New Roman" w:cs="Times New Roman"/>
          <w:noProof/>
          <w:color w:val="auto"/>
          <w:sz w:val="24"/>
          <w:szCs w:val="24"/>
        </w:rPr>
        <w:t>1</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Amount of waste productions from construction industries in the different cities at India. Source (Dubey, 2023).</w:t>
      </w:r>
      <w:bookmarkEnd w:id="3"/>
    </w:p>
    <w:p w14:paraId="71E94229" w14:textId="77777777" w:rsidR="00480667" w:rsidRPr="0050538C" w:rsidRDefault="00480667" w:rsidP="00480667">
      <w:pPr>
        <w:spacing w:line="360" w:lineRule="auto"/>
        <w:jc w:val="both"/>
        <w:rPr>
          <w:rFonts w:ascii="Times New Roman" w:hAnsi="Times New Roman" w:cs="Times New Roman"/>
          <w:sz w:val="24"/>
          <w:szCs w:val="24"/>
        </w:rPr>
      </w:pPr>
    </w:p>
    <w:p w14:paraId="1C9C14AF" w14:textId="77777777" w:rsidR="00480667" w:rsidRPr="0050538C" w:rsidRDefault="00480667" w:rsidP="00480667">
      <w:pPr>
        <w:pStyle w:val="NormalWeb"/>
        <w:shd w:val="clear" w:color="auto" w:fill="FFFFFF"/>
        <w:spacing w:after="150" w:line="360" w:lineRule="auto"/>
        <w:jc w:val="both"/>
        <w:textAlignment w:val="baseline"/>
      </w:pPr>
      <w:r w:rsidRPr="0050538C">
        <w:t>Also, according to estimates from the Centre for Science and Environment, construction and demolition trash, which accounts for 35%–40% of the yearly global C&amp;D waste produced and is produced in India in quantities of 150 MT, is an important environmental issue in the majority of Indian cities (</w:t>
      </w:r>
      <w:r w:rsidRPr="0050538C">
        <w:rPr>
          <w:shd w:val="clear" w:color="auto" w:fill="FFFFFF"/>
        </w:rPr>
        <w:t>Pavlů</w:t>
      </w:r>
      <w:r w:rsidRPr="0050538C">
        <w:t xml:space="preserve"> et al., 2022). 1% of India's C&amp;D waste is recycled. The execution of C&amp;D disposal on-site is challenging, notwithstanding the laws and programs in India. One of the main sustainability objectives is C&amp;D waste handling, however it is assumed to need significant financial investments and is distinguished by a poor recovery rate, low recycle rate, and increased open disposal of wastes</w:t>
      </w:r>
      <w:r w:rsidRPr="0050538C">
        <w:rPr>
          <w:shd w:val="clear" w:color="auto" w:fill="FFFFFF"/>
        </w:rPr>
        <w:t xml:space="preserve"> (Gulghane</w:t>
      </w:r>
      <w:r w:rsidRPr="0050538C">
        <w:t xml:space="preserve"> et al., 2023). </w:t>
      </w:r>
    </w:p>
    <w:p w14:paraId="2AD245BB" w14:textId="77777777" w:rsidR="00480667" w:rsidRPr="0050538C" w:rsidRDefault="00480667" w:rsidP="00480667">
      <w:pPr>
        <w:pStyle w:val="NormalWeb"/>
        <w:shd w:val="clear" w:color="auto" w:fill="FFFFFF"/>
        <w:spacing w:after="150" w:line="360" w:lineRule="auto"/>
        <w:jc w:val="both"/>
        <w:textAlignment w:val="baseline"/>
      </w:pPr>
    </w:p>
    <w:p w14:paraId="5FC9EDB3" w14:textId="77777777" w:rsidR="00480667" w:rsidRPr="0050538C" w:rsidRDefault="00480667" w:rsidP="00480667">
      <w:pPr>
        <w:pStyle w:val="Heading2"/>
        <w:rPr>
          <w:rFonts w:ascii="Times New Roman" w:hAnsi="Times New Roman" w:cs="Times New Roman"/>
          <w:b/>
          <w:bCs/>
          <w:color w:val="auto"/>
          <w:sz w:val="24"/>
          <w:szCs w:val="24"/>
        </w:rPr>
      </w:pPr>
      <w:bookmarkStart w:id="4" w:name="_Toc149913188"/>
      <w:r w:rsidRPr="0050538C">
        <w:rPr>
          <w:rFonts w:ascii="Times New Roman" w:hAnsi="Times New Roman" w:cs="Times New Roman"/>
          <w:b/>
          <w:bCs/>
          <w:color w:val="auto"/>
          <w:sz w:val="24"/>
          <w:szCs w:val="24"/>
        </w:rPr>
        <w:lastRenderedPageBreak/>
        <w:t>1.3.  Relevance of the Study</w:t>
      </w:r>
      <w:bookmarkEnd w:id="4"/>
    </w:p>
    <w:p w14:paraId="60B0D2E7" w14:textId="77777777" w:rsidR="00480667" w:rsidRPr="0050538C" w:rsidRDefault="00480667" w:rsidP="00480667">
      <w:pPr>
        <w:rPr>
          <w:rFonts w:ascii="Times New Roman" w:hAnsi="Times New Roman" w:cs="Times New Roman"/>
          <w:sz w:val="24"/>
          <w:szCs w:val="24"/>
        </w:rPr>
      </w:pPr>
    </w:p>
    <w:p w14:paraId="7A97D0D0" w14:textId="77777777" w:rsidR="00480667" w:rsidRPr="0050538C" w:rsidRDefault="00480667" w:rsidP="00480667">
      <w:pPr>
        <w:rPr>
          <w:rFonts w:ascii="Times New Roman" w:hAnsi="Times New Roman" w:cs="Times New Roman"/>
          <w:sz w:val="24"/>
          <w:szCs w:val="24"/>
        </w:rPr>
      </w:pPr>
    </w:p>
    <w:p w14:paraId="2D32C728"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Sustainable measures must be used to lessen the negative effects of the building sector on the environment and the living world in the worrisome backdrop of environmental and social crises. This research actively adds to the broad knowledge required to discuss the function of reusable materials such as woods, precast concrete, bricks. PRECS and steel in comparison to other environmentally friendly building techniques. The research unequivocally attests to the large emission reductions obtained with reused materials in various projects as well as the current and projected economic and social benefits of recirculating and reusing urban quarried concrete, even if carbon reduction programs rarely take reused materials into account. On the other hand, the study draws attention to a number of project management difficulties, consequences for project design, and the dearth of financial comparisons. Overall, the study promotes an important discussion about the various reused materials such as gypsum, bricks, and reused construction materials are place in scientific research as well as measures for reducing its environmental impact in the concrete industry and building sector. Additionally, the database offers a sizable collection of built examples for funders, participants, and the building sector. Not only does its study add to our understanding of the history of construction, but it also gives academics and stakeholders a wealth of information on the factors that influence of reused construction materials, at both the project and industry levels, so they may make well-informed choices in the future.</w:t>
      </w:r>
    </w:p>
    <w:p w14:paraId="100F0C4C" w14:textId="77777777" w:rsidR="00480667" w:rsidRPr="0050538C" w:rsidRDefault="00480667" w:rsidP="00480667">
      <w:pPr>
        <w:rPr>
          <w:rFonts w:ascii="Times New Roman" w:hAnsi="Times New Roman" w:cs="Times New Roman"/>
          <w:sz w:val="24"/>
          <w:szCs w:val="24"/>
        </w:rPr>
      </w:pPr>
    </w:p>
    <w:p w14:paraId="2C576D04" w14:textId="77777777" w:rsidR="00480667" w:rsidRPr="0050538C" w:rsidRDefault="00480667" w:rsidP="00480667">
      <w:pPr>
        <w:pStyle w:val="Heading2"/>
        <w:rPr>
          <w:rFonts w:ascii="Times New Roman" w:hAnsi="Times New Roman" w:cs="Times New Roman"/>
          <w:b/>
          <w:bCs/>
          <w:color w:val="auto"/>
          <w:sz w:val="24"/>
          <w:szCs w:val="24"/>
        </w:rPr>
      </w:pPr>
      <w:bookmarkStart w:id="5" w:name="_Toc149913189"/>
      <w:r w:rsidRPr="0050538C">
        <w:rPr>
          <w:rFonts w:ascii="Times New Roman" w:hAnsi="Times New Roman" w:cs="Times New Roman"/>
          <w:b/>
          <w:bCs/>
          <w:color w:val="auto"/>
          <w:sz w:val="24"/>
          <w:szCs w:val="24"/>
        </w:rPr>
        <w:t>1.3. Aim and Objective</w:t>
      </w:r>
      <w:bookmarkEnd w:id="5"/>
      <w:r w:rsidRPr="0050538C">
        <w:rPr>
          <w:rFonts w:ascii="Times New Roman" w:hAnsi="Times New Roman" w:cs="Times New Roman"/>
          <w:b/>
          <w:bCs/>
          <w:color w:val="auto"/>
          <w:sz w:val="24"/>
          <w:szCs w:val="24"/>
        </w:rPr>
        <w:t xml:space="preserve"> </w:t>
      </w:r>
    </w:p>
    <w:p w14:paraId="30FE0F24" w14:textId="77777777" w:rsidR="00480667" w:rsidRPr="0050538C" w:rsidRDefault="00480667" w:rsidP="00480667">
      <w:pPr>
        <w:rPr>
          <w:rFonts w:ascii="Times New Roman" w:hAnsi="Times New Roman" w:cs="Times New Roman"/>
          <w:sz w:val="24"/>
          <w:szCs w:val="24"/>
        </w:rPr>
      </w:pPr>
    </w:p>
    <w:p w14:paraId="1D97A602" w14:textId="77777777" w:rsidR="00480667" w:rsidRPr="0050538C" w:rsidRDefault="00480667" w:rsidP="00480667">
      <w:pPr>
        <w:pStyle w:val="NormalWeb"/>
        <w:shd w:val="clear" w:color="auto" w:fill="FFFFFF"/>
        <w:spacing w:after="150" w:line="360" w:lineRule="auto"/>
        <w:jc w:val="both"/>
        <w:textAlignment w:val="baseline"/>
      </w:pPr>
      <w:r w:rsidRPr="0050538C">
        <w:t xml:space="preserve">This study addresses the difficulties associated with collection and transportation, worries about financial matters, issues with pricing recycled C&amp;D waste products, cooperation among institutions, businesses, and governments, and, particularly, how, in the Indian context, there is a requirement for reliable estimates and characterisation of C&amp;D waste for developing methods of recovering materials by evaluating the significance of Front-End Waste Minimalization strategies to reduce the wastages from the Indian construction industries.  </w:t>
      </w:r>
    </w:p>
    <w:p w14:paraId="5DC84A9B" w14:textId="77777777" w:rsidR="00480667" w:rsidRPr="0050538C" w:rsidRDefault="00480667" w:rsidP="00480667">
      <w:pPr>
        <w:pStyle w:val="NormalWeb"/>
        <w:shd w:val="clear" w:color="auto" w:fill="FFFFFF"/>
        <w:spacing w:after="150" w:line="360" w:lineRule="auto"/>
        <w:jc w:val="both"/>
        <w:textAlignment w:val="baseline"/>
      </w:pPr>
      <w:r w:rsidRPr="0050538C">
        <w:t xml:space="preserve">The study's main objective was to compare the environmental effects of a building that uses a large number of reused materials—a practice that is uncommon in today's world—with the </w:t>
      </w:r>
      <w:r w:rsidRPr="0050538C">
        <w:lastRenderedPageBreak/>
        <w:t>effects that would have resulted from using only "new" materials and components—a practice which reflects modern construction methods. Here, "new materials" refers to the current standard methods of producing materials. Reused elements may be included in fresh supplies in different ratios. For instance, this is true of steel, bricks, and steel plasterboard. This makes it possible to compare the environmental implications of widespread reusing with those of current practice.</w:t>
      </w:r>
    </w:p>
    <w:p w14:paraId="67E2F8C5" w14:textId="77777777" w:rsidR="00480667" w:rsidRPr="0050538C" w:rsidRDefault="00480667" w:rsidP="00480667">
      <w:pPr>
        <w:pStyle w:val="NormalWeb"/>
        <w:shd w:val="clear" w:color="auto" w:fill="FFFFFF"/>
        <w:spacing w:after="150" w:line="360" w:lineRule="auto"/>
        <w:jc w:val="both"/>
        <w:textAlignment w:val="baseline"/>
      </w:pPr>
      <w:r w:rsidRPr="0050538C">
        <w:t xml:space="preserve">A secondary objective involved contrasting the environmental impacts of shipping reused clay bricks with those of shipping fresh clay bricks.  Environmental impact of reused materials is covered detail in chapter.4.  These analyses are relevant to the growing discourse in society about the purported advantages of reusing building materials. The actors in the building sector are primarily the intended beneficiaries of the results. Those who draft laws pertaining to the reuse of building materials may find the results interesting as well. The manufacturing of materials (from the gathering of raw materials until the material was ready to be supplied from the manufacturing facility, cradle to gate) and the transportation of materials from the manufacturing facility to the construction site were among the procedures included for new materials. Disassembly, upgrading, and transportation of recycled items from the demolition site to a makeshift market and then to the construction site were among the procedures involved. Hence, following objectives were developed to analyse the wastage issues of construction industries. </w:t>
      </w:r>
    </w:p>
    <w:p w14:paraId="096E7CF4" w14:textId="77777777" w:rsidR="00480667" w:rsidRPr="0050538C" w:rsidRDefault="00480667" w:rsidP="00480667">
      <w:pPr>
        <w:pStyle w:val="NormalWeb"/>
        <w:numPr>
          <w:ilvl w:val="0"/>
          <w:numId w:val="3"/>
        </w:numPr>
        <w:shd w:val="clear" w:color="auto" w:fill="FFFFFF"/>
        <w:spacing w:after="150" w:line="360" w:lineRule="auto"/>
        <w:jc w:val="both"/>
        <w:textAlignment w:val="baseline"/>
      </w:pPr>
      <w:r w:rsidRPr="0050538C">
        <w:t>To explore the challenges of the construction projects in waste management.</w:t>
      </w:r>
    </w:p>
    <w:p w14:paraId="6EBC58E1" w14:textId="77777777" w:rsidR="00480667" w:rsidRPr="0050538C" w:rsidRDefault="00480667" w:rsidP="00480667">
      <w:pPr>
        <w:pStyle w:val="NormalWeb"/>
        <w:numPr>
          <w:ilvl w:val="0"/>
          <w:numId w:val="3"/>
        </w:numPr>
        <w:shd w:val="clear" w:color="auto" w:fill="FFFFFF"/>
        <w:spacing w:after="150" w:line="360" w:lineRule="auto"/>
        <w:jc w:val="both"/>
        <w:textAlignment w:val="baseline"/>
      </w:pPr>
      <w:r w:rsidRPr="0050538C">
        <w:t>To analyse the pitfalls of existing waste management process in the construction projects.</w:t>
      </w:r>
    </w:p>
    <w:p w14:paraId="4AAAB170" w14:textId="77777777" w:rsidR="00480667" w:rsidRPr="0050538C" w:rsidRDefault="00480667" w:rsidP="00480667">
      <w:pPr>
        <w:pStyle w:val="NormalWeb"/>
        <w:numPr>
          <w:ilvl w:val="0"/>
          <w:numId w:val="3"/>
        </w:numPr>
        <w:shd w:val="clear" w:color="auto" w:fill="FFFFFF"/>
        <w:spacing w:after="150" w:line="360" w:lineRule="auto"/>
        <w:jc w:val="both"/>
        <w:textAlignment w:val="baseline"/>
      </w:pPr>
      <w:r w:rsidRPr="0050538C">
        <w:t xml:space="preserve">To recommend appropriate reuse waste minimalization technique to enhance the management of Construction Project. </w:t>
      </w:r>
    </w:p>
    <w:p w14:paraId="1165FFB7" w14:textId="77777777" w:rsidR="00480667" w:rsidRPr="0050538C" w:rsidRDefault="00480667" w:rsidP="00480667">
      <w:pPr>
        <w:rPr>
          <w:rFonts w:ascii="Times New Roman" w:hAnsi="Times New Roman" w:cs="Times New Roman"/>
          <w:sz w:val="24"/>
          <w:szCs w:val="24"/>
        </w:rPr>
      </w:pPr>
    </w:p>
    <w:p w14:paraId="110FC3C9" w14:textId="77777777" w:rsidR="00480667" w:rsidRPr="0050538C" w:rsidRDefault="00480667" w:rsidP="00480667">
      <w:pPr>
        <w:rPr>
          <w:rFonts w:ascii="Times New Roman" w:hAnsi="Times New Roman" w:cs="Times New Roman"/>
          <w:b/>
          <w:bCs/>
          <w:sz w:val="24"/>
          <w:szCs w:val="24"/>
        </w:rPr>
      </w:pPr>
    </w:p>
    <w:p w14:paraId="24D6A141" w14:textId="77777777" w:rsidR="00480667" w:rsidRPr="0050538C" w:rsidRDefault="00480667" w:rsidP="00480667">
      <w:pPr>
        <w:pStyle w:val="Heading2"/>
        <w:rPr>
          <w:rFonts w:ascii="Times New Roman" w:hAnsi="Times New Roman" w:cs="Times New Roman"/>
          <w:b/>
          <w:bCs/>
          <w:color w:val="auto"/>
          <w:sz w:val="24"/>
          <w:szCs w:val="24"/>
        </w:rPr>
      </w:pPr>
      <w:bookmarkStart w:id="6" w:name="_Toc149913190"/>
      <w:r w:rsidRPr="0050538C">
        <w:rPr>
          <w:rFonts w:ascii="Times New Roman" w:hAnsi="Times New Roman" w:cs="Times New Roman"/>
          <w:b/>
          <w:bCs/>
          <w:color w:val="auto"/>
          <w:sz w:val="24"/>
          <w:szCs w:val="24"/>
        </w:rPr>
        <w:t>1.4. Research Questions</w:t>
      </w:r>
      <w:bookmarkEnd w:id="6"/>
      <w:r w:rsidRPr="0050538C">
        <w:rPr>
          <w:rFonts w:ascii="Times New Roman" w:hAnsi="Times New Roman" w:cs="Times New Roman"/>
          <w:b/>
          <w:bCs/>
          <w:color w:val="auto"/>
          <w:sz w:val="24"/>
          <w:szCs w:val="24"/>
        </w:rPr>
        <w:t xml:space="preserve"> </w:t>
      </w:r>
    </w:p>
    <w:p w14:paraId="58F50D09" w14:textId="77777777" w:rsidR="00480667" w:rsidRPr="0050538C" w:rsidRDefault="00480667" w:rsidP="00480667">
      <w:pPr>
        <w:rPr>
          <w:rFonts w:ascii="Times New Roman" w:hAnsi="Times New Roman" w:cs="Times New Roman"/>
          <w:sz w:val="24"/>
          <w:szCs w:val="24"/>
        </w:rPr>
      </w:pPr>
    </w:p>
    <w:p w14:paraId="4C01E49E" w14:textId="77777777" w:rsidR="00480667" w:rsidRPr="0050538C" w:rsidRDefault="00480667" w:rsidP="00480667">
      <w:pPr>
        <w:numPr>
          <w:ilvl w:val="0"/>
          <w:numId w:val="12"/>
        </w:numPr>
        <w:spacing w:after="0" w:line="240" w:lineRule="auto"/>
        <w:rPr>
          <w:rFonts w:ascii="Times New Roman" w:eastAsia="Times New Roman" w:hAnsi="Times New Roman" w:cs="Times New Roman"/>
          <w:kern w:val="0"/>
          <w:sz w:val="24"/>
          <w:szCs w:val="24"/>
          <w:lang w:val="en-IN" w:eastAsia="en-IN"/>
          <w14:ligatures w14:val="none"/>
        </w:rPr>
      </w:pPr>
      <w:r w:rsidRPr="0050538C">
        <w:rPr>
          <w:rFonts w:ascii="Times New Roman" w:eastAsia="Times New Roman" w:hAnsi="Times New Roman" w:cs="Times New Roman"/>
          <w:kern w:val="0"/>
          <w:sz w:val="24"/>
          <w:szCs w:val="24"/>
          <w:lang w:val="en-IN" w:eastAsia="en-IN"/>
          <w14:ligatures w14:val="none"/>
        </w:rPr>
        <w:t>What is the major environmental impact of the construction process?</w:t>
      </w:r>
    </w:p>
    <w:p w14:paraId="7FAC4CC6" w14:textId="77777777" w:rsidR="00480667" w:rsidRPr="0050538C" w:rsidRDefault="00480667" w:rsidP="00480667">
      <w:pPr>
        <w:spacing w:after="0" w:line="240" w:lineRule="auto"/>
        <w:rPr>
          <w:rFonts w:ascii="Times New Roman" w:eastAsia="Times New Roman" w:hAnsi="Times New Roman" w:cs="Times New Roman"/>
          <w:kern w:val="0"/>
          <w:sz w:val="24"/>
          <w:szCs w:val="24"/>
          <w:lang w:val="en-IN" w:eastAsia="en-IN"/>
          <w14:ligatures w14:val="none"/>
        </w:rPr>
      </w:pPr>
      <w:r w:rsidRPr="0050538C">
        <w:rPr>
          <w:rFonts w:ascii="Times New Roman" w:eastAsia="Times New Roman" w:hAnsi="Times New Roman" w:cs="Times New Roman"/>
          <w:kern w:val="0"/>
          <w:sz w:val="24"/>
          <w:szCs w:val="24"/>
          <w:lang w:val="en-IN" w:eastAsia="en-IN"/>
          <w14:ligatures w14:val="none"/>
        </w:rPr>
        <w:t> </w:t>
      </w:r>
    </w:p>
    <w:p w14:paraId="100A3DCC" w14:textId="77777777" w:rsidR="00480667" w:rsidRPr="0050538C" w:rsidRDefault="00480667" w:rsidP="00480667">
      <w:pPr>
        <w:numPr>
          <w:ilvl w:val="0"/>
          <w:numId w:val="13"/>
        </w:numPr>
        <w:spacing w:after="0" w:line="240" w:lineRule="auto"/>
        <w:rPr>
          <w:rFonts w:ascii="Times New Roman" w:eastAsia="Times New Roman" w:hAnsi="Times New Roman" w:cs="Times New Roman"/>
          <w:kern w:val="0"/>
          <w:sz w:val="24"/>
          <w:szCs w:val="24"/>
          <w:lang w:val="en-IN" w:eastAsia="en-IN"/>
          <w14:ligatures w14:val="none"/>
        </w:rPr>
      </w:pPr>
      <w:r w:rsidRPr="0050538C">
        <w:rPr>
          <w:rFonts w:ascii="Times New Roman" w:eastAsia="Times New Roman" w:hAnsi="Times New Roman" w:cs="Times New Roman"/>
          <w:kern w:val="0"/>
          <w:sz w:val="24"/>
          <w:szCs w:val="24"/>
          <w:lang w:val="en-IN" w:eastAsia="en-IN"/>
          <w14:ligatures w14:val="none"/>
        </w:rPr>
        <w:t>What is the impact of reuse techniques to reduce environmental issues? </w:t>
      </w:r>
    </w:p>
    <w:p w14:paraId="73F163F1" w14:textId="77777777" w:rsidR="00480667" w:rsidRPr="0050538C" w:rsidRDefault="00480667" w:rsidP="00480667">
      <w:pPr>
        <w:spacing w:after="0" w:line="240" w:lineRule="auto"/>
        <w:rPr>
          <w:rFonts w:ascii="Times New Roman" w:eastAsia="Times New Roman" w:hAnsi="Times New Roman" w:cs="Times New Roman"/>
          <w:kern w:val="0"/>
          <w:sz w:val="24"/>
          <w:szCs w:val="24"/>
          <w:lang w:val="en-IN" w:eastAsia="en-IN"/>
          <w14:ligatures w14:val="none"/>
        </w:rPr>
      </w:pPr>
      <w:r w:rsidRPr="0050538C">
        <w:rPr>
          <w:rFonts w:ascii="Times New Roman" w:eastAsia="Times New Roman" w:hAnsi="Times New Roman" w:cs="Times New Roman"/>
          <w:kern w:val="0"/>
          <w:sz w:val="24"/>
          <w:szCs w:val="24"/>
          <w:lang w:val="en-IN" w:eastAsia="en-IN"/>
          <w14:ligatures w14:val="none"/>
        </w:rPr>
        <w:t> </w:t>
      </w:r>
    </w:p>
    <w:p w14:paraId="0E941488" w14:textId="77777777" w:rsidR="00480667" w:rsidRPr="0050538C" w:rsidRDefault="00480667" w:rsidP="00480667">
      <w:pPr>
        <w:numPr>
          <w:ilvl w:val="0"/>
          <w:numId w:val="14"/>
        </w:numPr>
        <w:spacing w:after="0" w:line="240" w:lineRule="auto"/>
        <w:rPr>
          <w:rFonts w:ascii="Times New Roman" w:eastAsia="Times New Roman" w:hAnsi="Times New Roman" w:cs="Times New Roman"/>
          <w:kern w:val="0"/>
          <w:sz w:val="24"/>
          <w:szCs w:val="24"/>
          <w:lang w:val="en-IN" w:eastAsia="en-IN"/>
          <w14:ligatures w14:val="none"/>
        </w:rPr>
      </w:pPr>
      <w:r w:rsidRPr="0050538C">
        <w:rPr>
          <w:rFonts w:ascii="Times New Roman" w:eastAsia="Times New Roman" w:hAnsi="Times New Roman" w:cs="Times New Roman"/>
          <w:kern w:val="0"/>
          <w:sz w:val="24"/>
          <w:szCs w:val="24"/>
          <w:lang w:val="en-IN" w:eastAsia="en-IN"/>
          <w14:ligatures w14:val="none"/>
        </w:rPr>
        <w:lastRenderedPageBreak/>
        <w:t>How is the environmental impact of reused materials in the construction process detected?   </w:t>
      </w:r>
    </w:p>
    <w:p w14:paraId="61E4622C" w14:textId="77777777" w:rsidR="00480667" w:rsidRPr="0050538C" w:rsidRDefault="00480667" w:rsidP="00480667">
      <w:pPr>
        <w:rPr>
          <w:rFonts w:ascii="Times New Roman" w:hAnsi="Times New Roman" w:cs="Times New Roman"/>
          <w:sz w:val="24"/>
          <w:szCs w:val="24"/>
        </w:rPr>
      </w:pPr>
    </w:p>
    <w:p w14:paraId="119717BD" w14:textId="77777777" w:rsidR="00480667" w:rsidRPr="0050538C" w:rsidRDefault="00480667" w:rsidP="00480667">
      <w:pPr>
        <w:pStyle w:val="Heading2"/>
        <w:rPr>
          <w:rFonts w:ascii="Times New Roman" w:hAnsi="Times New Roman" w:cs="Times New Roman"/>
          <w:b/>
          <w:bCs/>
          <w:color w:val="auto"/>
          <w:sz w:val="24"/>
          <w:szCs w:val="24"/>
        </w:rPr>
      </w:pPr>
      <w:bookmarkStart w:id="7" w:name="_Toc149913191"/>
      <w:r w:rsidRPr="0050538C">
        <w:rPr>
          <w:rFonts w:ascii="Times New Roman" w:hAnsi="Times New Roman" w:cs="Times New Roman"/>
          <w:b/>
          <w:bCs/>
          <w:color w:val="auto"/>
          <w:sz w:val="24"/>
          <w:szCs w:val="24"/>
        </w:rPr>
        <w:t>1.5. Structure of the Research</w:t>
      </w:r>
      <w:bookmarkEnd w:id="7"/>
      <w:r w:rsidRPr="0050538C">
        <w:rPr>
          <w:rFonts w:ascii="Times New Roman" w:hAnsi="Times New Roman" w:cs="Times New Roman"/>
          <w:b/>
          <w:bCs/>
          <w:color w:val="auto"/>
          <w:sz w:val="24"/>
          <w:szCs w:val="24"/>
        </w:rPr>
        <w:t xml:space="preserve">  </w:t>
      </w:r>
    </w:p>
    <w:tbl>
      <w:tblPr>
        <w:tblStyle w:val="TableGrid"/>
        <w:tblpPr w:leftFromText="180" w:rightFromText="180" w:vertAnchor="text" w:horzAnchor="margin" w:tblpXSpec="center" w:tblpY="308"/>
        <w:tblW w:w="0" w:type="auto"/>
        <w:tblLook w:val="04A0" w:firstRow="1" w:lastRow="0" w:firstColumn="1" w:lastColumn="0" w:noHBand="0" w:noVBand="1"/>
      </w:tblPr>
      <w:tblGrid>
        <w:gridCol w:w="5949"/>
      </w:tblGrid>
      <w:tr w:rsidR="00480667" w:rsidRPr="0050538C" w14:paraId="26CE6978" w14:textId="77777777" w:rsidTr="00F33823">
        <w:trPr>
          <w:trHeight w:val="2542"/>
        </w:trPr>
        <w:tc>
          <w:tcPr>
            <w:tcW w:w="5949" w:type="dxa"/>
            <w:shd w:val="clear" w:color="auto" w:fill="EDEDED" w:themeFill="accent3" w:themeFillTint="33"/>
          </w:tcPr>
          <w:p w14:paraId="6C767AC2" w14:textId="77777777" w:rsidR="00480667" w:rsidRPr="0050538C" w:rsidRDefault="00480667" w:rsidP="00F33823">
            <w:pPr>
              <w:jc w:val="center"/>
              <w:rPr>
                <w:rFonts w:ascii="Times New Roman" w:hAnsi="Times New Roman" w:cs="Times New Roman"/>
                <w:b/>
                <w:bCs/>
                <w:sz w:val="24"/>
                <w:szCs w:val="24"/>
              </w:rPr>
            </w:pPr>
          </w:p>
          <w:p w14:paraId="18506129" w14:textId="77777777" w:rsidR="00480667" w:rsidRPr="0050538C" w:rsidRDefault="00480667" w:rsidP="00F33823">
            <w:pPr>
              <w:jc w:val="center"/>
              <w:rPr>
                <w:rFonts w:ascii="Times New Roman" w:hAnsi="Times New Roman" w:cs="Times New Roman"/>
                <w:b/>
                <w:bCs/>
                <w:sz w:val="24"/>
                <w:szCs w:val="24"/>
              </w:rPr>
            </w:pPr>
            <w:r w:rsidRPr="0050538C">
              <w:rPr>
                <w:rFonts w:ascii="Times New Roman" w:hAnsi="Times New Roman" w:cs="Times New Roman"/>
                <w:b/>
                <w:bCs/>
                <w:sz w:val="24"/>
                <w:szCs w:val="24"/>
              </w:rPr>
              <w:t xml:space="preserve">CHAPTER.1. INTRODUCTION </w:t>
            </w:r>
          </w:p>
          <w:p w14:paraId="5EAC1EF6" w14:textId="77777777" w:rsidR="00480667" w:rsidRPr="0050538C" w:rsidRDefault="00480667" w:rsidP="00F33823">
            <w:pPr>
              <w:jc w:val="center"/>
              <w:rPr>
                <w:rFonts w:ascii="Times New Roman" w:hAnsi="Times New Roman" w:cs="Times New Roman"/>
                <w:b/>
                <w:bCs/>
                <w:sz w:val="24"/>
                <w:szCs w:val="24"/>
              </w:rPr>
            </w:pPr>
          </w:p>
          <w:p w14:paraId="0C2C9EA2" w14:textId="77777777" w:rsidR="00480667" w:rsidRPr="0050538C" w:rsidRDefault="00480667" w:rsidP="00F33823">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Background and rationale of the research has been given by focusing on the importance of reused materials in construction site. Therefore, relevant research questions and objectives were developed </w:t>
            </w:r>
          </w:p>
        </w:tc>
      </w:tr>
    </w:tbl>
    <w:p w14:paraId="57B0F869" w14:textId="77777777" w:rsidR="00480667" w:rsidRPr="0050538C" w:rsidRDefault="00480667" w:rsidP="00480667">
      <w:pPr>
        <w:rPr>
          <w:rFonts w:ascii="Times New Roman" w:hAnsi="Times New Roman" w:cs="Times New Roman"/>
          <w:sz w:val="24"/>
          <w:szCs w:val="24"/>
        </w:rPr>
      </w:pPr>
    </w:p>
    <w:p w14:paraId="3B36A97D" w14:textId="77777777" w:rsidR="00480667" w:rsidRPr="0050538C" w:rsidRDefault="00480667" w:rsidP="00480667">
      <w:pPr>
        <w:rPr>
          <w:rFonts w:ascii="Times New Roman" w:hAnsi="Times New Roman" w:cs="Times New Roman"/>
          <w:sz w:val="24"/>
          <w:szCs w:val="24"/>
        </w:rPr>
      </w:pPr>
    </w:p>
    <w:p w14:paraId="3B10F5FB" w14:textId="77777777" w:rsidR="00480667" w:rsidRPr="0050538C" w:rsidRDefault="00480667" w:rsidP="00480667">
      <w:pPr>
        <w:rPr>
          <w:rFonts w:ascii="Times New Roman" w:hAnsi="Times New Roman" w:cs="Times New Roman"/>
          <w:sz w:val="24"/>
          <w:szCs w:val="24"/>
        </w:rPr>
      </w:pPr>
    </w:p>
    <w:p w14:paraId="14B9624C" w14:textId="77777777" w:rsidR="00480667" w:rsidRPr="0050538C" w:rsidRDefault="00480667" w:rsidP="00480667">
      <w:pPr>
        <w:rPr>
          <w:rFonts w:ascii="Times New Roman" w:hAnsi="Times New Roman" w:cs="Times New Roman"/>
          <w:sz w:val="24"/>
          <w:szCs w:val="24"/>
        </w:rPr>
      </w:pPr>
    </w:p>
    <w:p w14:paraId="26FCB55C" w14:textId="77777777" w:rsidR="00480667" w:rsidRPr="0050538C" w:rsidRDefault="00480667" w:rsidP="00480667">
      <w:pPr>
        <w:rPr>
          <w:rFonts w:ascii="Times New Roman" w:hAnsi="Times New Roman" w:cs="Times New Roman"/>
          <w:sz w:val="24"/>
          <w:szCs w:val="24"/>
        </w:rPr>
      </w:pPr>
    </w:p>
    <w:p w14:paraId="47C6434B" w14:textId="77777777" w:rsidR="00480667" w:rsidRPr="0050538C" w:rsidRDefault="00480667" w:rsidP="00480667">
      <w:pPr>
        <w:rPr>
          <w:rFonts w:ascii="Times New Roman" w:hAnsi="Times New Roman" w:cs="Times New Roman"/>
          <w:sz w:val="24"/>
          <w:szCs w:val="24"/>
        </w:rPr>
      </w:pPr>
    </w:p>
    <w:p w14:paraId="1C1068EB" w14:textId="77777777" w:rsidR="00480667" w:rsidRPr="0050538C" w:rsidRDefault="00480667" w:rsidP="00480667">
      <w:pPr>
        <w:rPr>
          <w:rFonts w:ascii="Times New Roman" w:hAnsi="Times New Roman" w:cs="Times New Roman"/>
          <w:sz w:val="24"/>
          <w:szCs w:val="24"/>
        </w:rPr>
      </w:pPr>
      <w:r w:rsidRPr="0050538C">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7AFAA67C" wp14:editId="7CD1EFAF">
                <wp:simplePos x="0" y="0"/>
                <wp:positionH relativeFrom="column">
                  <wp:posOffset>2866490</wp:posOffset>
                </wp:positionH>
                <wp:positionV relativeFrom="paragraph">
                  <wp:posOffset>212076</wp:posOffset>
                </wp:positionV>
                <wp:extent cx="184935" cy="261991"/>
                <wp:effectExtent l="19050" t="0" r="24765" b="43180"/>
                <wp:wrapNone/>
                <wp:docPr id="1731375933" name="Arrow: Down 1"/>
                <wp:cNvGraphicFramePr/>
                <a:graphic xmlns:a="http://schemas.openxmlformats.org/drawingml/2006/main">
                  <a:graphicData uri="http://schemas.microsoft.com/office/word/2010/wordprocessingShape">
                    <wps:wsp>
                      <wps:cNvSpPr/>
                      <wps:spPr>
                        <a:xfrm>
                          <a:off x="0" y="0"/>
                          <a:ext cx="184935" cy="261991"/>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1E23CC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225.7pt;margin-top:16.7pt;width:14.55pt;height:20.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" adj="13976" fillcolor="#4472c4 [3204]" strokecolor="#09101d [484]" strokeweight="1pt"/>
            </w:pict>
          </mc:Fallback>
        </mc:AlternateContent>
      </w:r>
    </w:p>
    <w:p w14:paraId="3C95BC97" w14:textId="77777777" w:rsidR="00480667" w:rsidRPr="0050538C" w:rsidRDefault="00480667" w:rsidP="00480667">
      <w:pPr>
        <w:rPr>
          <w:rFonts w:ascii="Times New Roman" w:hAnsi="Times New Roman" w:cs="Times New Roman"/>
          <w:sz w:val="24"/>
          <w:szCs w:val="24"/>
        </w:rPr>
      </w:pPr>
    </w:p>
    <w:tbl>
      <w:tblPr>
        <w:tblStyle w:val="TableGrid"/>
        <w:tblpPr w:leftFromText="180" w:rightFromText="180" w:vertAnchor="text" w:horzAnchor="margin" w:tblpXSpec="center" w:tblpY="-39"/>
        <w:tblW w:w="0" w:type="auto"/>
        <w:tblLook w:val="04A0" w:firstRow="1" w:lastRow="0" w:firstColumn="1" w:lastColumn="0" w:noHBand="0" w:noVBand="1"/>
      </w:tblPr>
      <w:tblGrid>
        <w:gridCol w:w="5949"/>
      </w:tblGrid>
      <w:tr w:rsidR="00480667" w:rsidRPr="0050538C" w14:paraId="4ECDFED4" w14:textId="77777777" w:rsidTr="00F33823">
        <w:trPr>
          <w:trHeight w:val="2400"/>
        </w:trPr>
        <w:tc>
          <w:tcPr>
            <w:tcW w:w="5949" w:type="dxa"/>
            <w:shd w:val="clear" w:color="auto" w:fill="EDEDED" w:themeFill="accent3" w:themeFillTint="33"/>
          </w:tcPr>
          <w:p w14:paraId="5770AFB1" w14:textId="77777777" w:rsidR="00480667" w:rsidRPr="0050538C" w:rsidRDefault="00480667" w:rsidP="00F33823">
            <w:pPr>
              <w:jc w:val="center"/>
              <w:rPr>
                <w:rFonts w:ascii="Times New Roman" w:hAnsi="Times New Roman" w:cs="Times New Roman"/>
                <w:b/>
                <w:bCs/>
                <w:sz w:val="24"/>
                <w:szCs w:val="24"/>
              </w:rPr>
            </w:pPr>
            <w:r w:rsidRPr="0050538C">
              <w:rPr>
                <w:rFonts w:ascii="Times New Roman" w:hAnsi="Times New Roman" w:cs="Times New Roman"/>
                <w:b/>
                <w:bCs/>
                <w:sz w:val="24"/>
                <w:szCs w:val="24"/>
              </w:rPr>
              <w:t xml:space="preserve">CHAPTER.2. LITERATURE REVIEW </w:t>
            </w:r>
          </w:p>
          <w:p w14:paraId="1910F40B" w14:textId="77777777" w:rsidR="00480667" w:rsidRPr="0050538C" w:rsidRDefault="00480667" w:rsidP="00F33823">
            <w:pPr>
              <w:jc w:val="center"/>
              <w:rPr>
                <w:rFonts w:ascii="Times New Roman" w:hAnsi="Times New Roman" w:cs="Times New Roman"/>
                <w:b/>
                <w:bCs/>
                <w:sz w:val="24"/>
                <w:szCs w:val="24"/>
              </w:rPr>
            </w:pPr>
          </w:p>
          <w:p w14:paraId="3A6EFC33" w14:textId="77777777" w:rsidR="00480667" w:rsidRPr="0050538C" w:rsidRDefault="00480667" w:rsidP="00F33823">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In-depth review of research studies based on environmental pollution due to construction.  Waste management in construction industry, strategies and significance of circular economy in reducing construction wastes </w:t>
            </w:r>
          </w:p>
        </w:tc>
      </w:tr>
    </w:tbl>
    <w:p w14:paraId="4FB5DDBC" w14:textId="77777777" w:rsidR="00480667" w:rsidRPr="0050538C" w:rsidRDefault="00480667" w:rsidP="00480667">
      <w:pPr>
        <w:rPr>
          <w:rFonts w:ascii="Times New Roman" w:hAnsi="Times New Roman" w:cs="Times New Roman"/>
          <w:sz w:val="24"/>
          <w:szCs w:val="24"/>
        </w:rPr>
      </w:pPr>
    </w:p>
    <w:p w14:paraId="0F086385" w14:textId="77777777" w:rsidR="00480667" w:rsidRPr="0050538C" w:rsidRDefault="00480667" w:rsidP="00480667">
      <w:pPr>
        <w:rPr>
          <w:rFonts w:ascii="Times New Roman" w:hAnsi="Times New Roman" w:cs="Times New Roman"/>
          <w:sz w:val="24"/>
          <w:szCs w:val="24"/>
        </w:rPr>
      </w:pPr>
    </w:p>
    <w:p w14:paraId="4FDEA036" w14:textId="77777777" w:rsidR="00480667" w:rsidRPr="0050538C" w:rsidRDefault="00480667" w:rsidP="00480667">
      <w:pPr>
        <w:rPr>
          <w:rFonts w:ascii="Times New Roman" w:hAnsi="Times New Roman" w:cs="Times New Roman"/>
          <w:sz w:val="24"/>
          <w:szCs w:val="24"/>
        </w:rPr>
      </w:pPr>
    </w:p>
    <w:p w14:paraId="2AB5089E" w14:textId="77777777" w:rsidR="00480667" w:rsidRPr="0050538C" w:rsidRDefault="00480667" w:rsidP="00480667">
      <w:pPr>
        <w:rPr>
          <w:rFonts w:ascii="Times New Roman" w:hAnsi="Times New Roman" w:cs="Times New Roman"/>
          <w:sz w:val="24"/>
          <w:szCs w:val="24"/>
        </w:rPr>
      </w:pPr>
    </w:p>
    <w:p w14:paraId="7E18566F" w14:textId="77777777" w:rsidR="00480667" w:rsidRPr="0050538C" w:rsidRDefault="00480667" w:rsidP="00480667">
      <w:pPr>
        <w:rPr>
          <w:rFonts w:ascii="Times New Roman" w:hAnsi="Times New Roman" w:cs="Times New Roman"/>
          <w:sz w:val="24"/>
          <w:szCs w:val="24"/>
        </w:rPr>
      </w:pPr>
    </w:p>
    <w:p w14:paraId="06B8D3A5" w14:textId="77777777" w:rsidR="00480667" w:rsidRPr="0050538C" w:rsidRDefault="00480667" w:rsidP="00480667">
      <w:pPr>
        <w:rPr>
          <w:rFonts w:ascii="Times New Roman" w:hAnsi="Times New Roman" w:cs="Times New Roman"/>
          <w:sz w:val="24"/>
          <w:szCs w:val="24"/>
        </w:rPr>
      </w:pPr>
      <w:r w:rsidRPr="0050538C">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1CE50A88" wp14:editId="19D1C3EC">
                <wp:simplePos x="0" y="0"/>
                <wp:positionH relativeFrom="column">
                  <wp:posOffset>2943546</wp:posOffset>
                </wp:positionH>
                <wp:positionV relativeFrom="paragraph">
                  <wp:posOffset>144402</wp:posOffset>
                </wp:positionV>
                <wp:extent cx="179798" cy="323636"/>
                <wp:effectExtent l="19050" t="0" r="10795" b="38735"/>
                <wp:wrapNone/>
                <wp:docPr id="1525826021" name="Arrow: Down 2"/>
                <wp:cNvGraphicFramePr/>
                <a:graphic xmlns:a="http://schemas.openxmlformats.org/drawingml/2006/main">
                  <a:graphicData uri="http://schemas.microsoft.com/office/word/2010/wordprocessingShape">
                    <wps:wsp>
                      <wps:cNvSpPr/>
                      <wps:spPr>
                        <a:xfrm>
                          <a:off x="0" y="0"/>
                          <a:ext cx="179798" cy="323636"/>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ACB813" id="Arrow: Down 2" o:spid="_x0000_s1026" type="#_x0000_t67" style="position:absolute;margin-left:231.8pt;margin-top:11.35pt;width:14.15pt;height:25.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" adj="15600" fillcolor="#4472c4 [3204]" strokecolor="#09101d [484]" strokeweight="1pt"/>
            </w:pict>
          </mc:Fallback>
        </mc:AlternateContent>
      </w:r>
    </w:p>
    <w:p w14:paraId="7B9C0308" w14:textId="77777777" w:rsidR="00480667" w:rsidRPr="0050538C" w:rsidRDefault="00480667" w:rsidP="00480667">
      <w:pPr>
        <w:rPr>
          <w:rFonts w:ascii="Times New Roman" w:hAnsi="Times New Roman" w:cs="Times New Roman"/>
          <w:sz w:val="24"/>
          <w:szCs w:val="24"/>
        </w:rPr>
      </w:pPr>
    </w:p>
    <w:p w14:paraId="2B2D3C8C" w14:textId="77777777" w:rsidR="00480667" w:rsidRPr="0050538C" w:rsidRDefault="00480667" w:rsidP="00480667">
      <w:pPr>
        <w:rPr>
          <w:rFonts w:ascii="Times New Roman" w:hAnsi="Times New Roman" w:cs="Times New Roman"/>
          <w:sz w:val="24"/>
          <w:szCs w:val="24"/>
        </w:rPr>
      </w:pPr>
    </w:p>
    <w:tbl>
      <w:tblPr>
        <w:tblStyle w:val="TableGrid"/>
        <w:tblpPr w:leftFromText="180" w:rightFromText="180" w:vertAnchor="text" w:horzAnchor="margin" w:tblpXSpec="center" w:tblpY="-39"/>
        <w:tblW w:w="0" w:type="auto"/>
        <w:tblLook w:val="04A0" w:firstRow="1" w:lastRow="0" w:firstColumn="1" w:lastColumn="0" w:noHBand="0" w:noVBand="1"/>
      </w:tblPr>
      <w:tblGrid>
        <w:gridCol w:w="5949"/>
      </w:tblGrid>
      <w:tr w:rsidR="00480667" w:rsidRPr="0050538C" w14:paraId="1C55E8BB" w14:textId="77777777" w:rsidTr="00F33823">
        <w:trPr>
          <w:trHeight w:val="1833"/>
        </w:trPr>
        <w:tc>
          <w:tcPr>
            <w:tcW w:w="5949" w:type="dxa"/>
            <w:shd w:val="clear" w:color="auto" w:fill="EDEDED" w:themeFill="accent3" w:themeFillTint="33"/>
          </w:tcPr>
          <w:p w14:paraId="01789D68" w14:textId="77777777" w:rsidR="00480667" w:rsidRPr="0050538C" w:rsidRDefault="00480667" w:rsidP="00F33823">
            <w:pPr>
              <w:jc w:val="center"/>
              <w:rPr>
                <w:rFonts w:ascii="Times New Roman" w:hAnsi="Times New Roman" w:cs="Times New Roman"/>
                <w:b/>
                <w:bCs/>
                <w:sz w:val="24"/>
                <w:szCs w:val="24"/>
              </w:rPr>
            </w:pPr>
          </w:p>
          <w:p w14:paraId="0B3B4A65" w14:textId="77777777" w:rsidR="00480667" w:rsidRPr="0050538C" w:rsidRDefault="00480667" w:rsidP="00F33823">
            <w:pPr>
              <w:jc w:val="center"/>
              <w:rPr>
                <w:rFonts w:ascii="Times New Roman" w:hAnsi="Times New Roman" w:cs="Times New Roman"/>
                <w:b/>
                <w:bCs/>
                <w:sz w:val="24"/>
                <w:szCs w:val="24"/>
              </w:rPr>
            </w:pPr>
            <w:r w:rsidRPr="0050538C">
              <w:rPr>
                <w:rFonts w:ascii="Times New Roman" w:hAnsi="Times New Roman" w:cs="Times New Roman"/>
                <w:b/>
                <w:bCs/>
                <w:sz w:val="24"/>
                <w:szCs w:val="24"/>
              </w:rPr>
              <w:t xml:space="preserve">CHAPTER.3. METHODOLOGY </w:t>
            </w:r>
          </w:p>
          <w:p w14:paraId="7CA1AD3A" w14:textId="77777777" w:rsidR="00480667" w:rsidRPr="0050538C" w:rsidRDefault="00480667" w:rsidP="00F33823">
            <w:pPr>
              <w:spacing w:line="360" w:lineRule="auto"/>
              <w:jc w:val="center"/>
              <w:rPr>
                <w:rFonts w:ascii="Times New Roman" w:hAnsi="Times New Roman" w:cs="Times New Roman"/>
                <w:sz w:val="24"/>
                <w:szCs w:val="24"/>
              </w:rPr>
            </w:pPr>
          </w:p>
          <w:p w14:paraId="617F79AD" w14:textId="77777777" w:rsidR="00480667" w:rsidRPr="0050538C" w:rsidRDefault="00480667" w:rsidP="00F33823">
            <w:pPr>
              <w:spacing w:line="360" w:lineRule="auto"/>
              <w:jc w:val="center"/>
              <w:rPr>
                <w:rFonts w:ascii="Times New Roman" w:hAnsi="Times New Roman" w:cs="Times New Roman"/>
                <w:sz w:val="24"/>
                <w:szCs w:val="24"/>
              </w:rPr>
            </w:pPr>
            <w:r w:rsidRPr="0050538C">
              <w:rPr>
                <w:rFonts w:ascii="Times New Roman" w:hAnsi="Times New Roman" w:cs="Times New Roman"/>
                <w:sz w:val="24"/>
                <w:szCs w:val="24"/>
              </w:rPr>
              <w:t>This section has comprised three phases.  (Using case studies based on the building construction using reused materials)</w:t>
            </w:r>
          </w:p>
          <w:p w14:paraId="726BBDC8" w14:textId="77777777" w:rsidR="00480667" w:rsidRPr="0050538C" w:rsidRDefault="00480667" w:rsidP="00F33823">
            <w:pPr>
              <w:jc w:val="center"/>
              <w:rPr>
                <w:rFonts w:ascii="Times New Roman" w:hAnsi="Times New Roman" w:cs="Times New Roman"/>
                <w:sz w:val="24"/>
                <w:szCs w:val="24"/>
              </w:rPr>
            </w:pPr>
          </w:p>
          <w:p w14:paraId="2A5C9CFD" w14:textId="77777777" w:rsidR="00480667" w:rsidRPr="0050538C" w:rsidRDefault="00480667" w:rsidP="00F33823">
            <w:pPr>
              <w:jc w:val="center"/>
              <w:rPr>
                <w:rFonts w:ascii="Times New Roman" w:hAnsi="Times New Roman" w:cs="Times New Roman"/>
                <w:b/>
                <w:bCs/>
                <w:sz w:val="24"/>
                <w:szCs w:val="24"/>
              </w:rPr>
            </w:pPr>
            <w:r w:rsidRPr="0050538C">
              <w:rPr>
                <w:rFonts w:ascii="Times New Roman" w:hAnsi="Times New Roman" w:cs="Times New Roman"/>
                <w:b/>
                <w:bCs/>
                <w:sz w:val="24"/>
                <w:szCs w:val="24"/>
              </w:rPr>
              <w:t>1.Data analysis</w:t>
            </w:r>
          </w:p>
          <w:p w14:paraId="3DFF6F26" w14:textId="77777777" w:rsidR="00480667" w:rsidRPr="0050538C" w:rsidRDefault="00480667" w:rsidP="00F33823">
            <w:pPr>
              <w:jc w:val="center"/>
              <w:rPr>
                <w:rFonts w:ascii="Times New Roman" w:hAnsi="Times New Roman" w:cs="Times New Roman"/>
                <w:b/>
                <w:bCs/>
                <w:sz w:val="24"/>
                <w:szCs w:val="24"/>
              </w:rPr>
            </w:pPr>
            <w:r w:rsidRPr="0050538C">
              <w:rPr>
                <w:rFonts w:ascii="Times New Roman" w:hAnsi="Times New Roman" w:cs="Times New Roman"/>
                <w:b/>
                <w:bCs/>
                <w:sz w:val="24"/>
                <w:szCs w:val="24"/>
              </w:rPr>
              <w:t>2.  Diachronic Analysis</w:t>
            </w:r>
          </w:p>
          <w:p w14:paraId="0B57EB76" w14:textId="77777777" w:rsidR="00480667" w:rsidRPr="0050538C" w:rsidRDefault="00480667" w:rsidP="00F33823">
            <w:pPr>
              <w:jc w:val="center"/>
              <w:rPr>
                <w:rFonts w:ascii="Times New Roman" w:hAnsi="Times New Roman" w:cs="Times New Roman"/>
                <w:b/>
                <w:bCs/>
                <w:sz w:val="24"/>
                <w:szCs w:val="24"/>
              </w:rPr>
            </w:pPr>
            <w:r w:rsidRPr="0050538C">
              <w:rPr>
                <w:rFonts w:ascii="Times New Roman" w:hAnsi="Times New Roman" w:cs="Times New Roman"/>
                <w:b/>
                <w:bCs/>
                <w:sz w:val="24"/>
                <w:szCs w:val="24"/>
              </w:rPr>
              <w:t>3. Synchronic Analysis</w:t>
            </w:r>
          </w:p>
          <w:p w14:paraId="46F0BB80" w14:textId="77777777" w:rsidR="00480667" w:rsidRPr="0050538C" w:rsidRDefault="00480667" w:rsidP="00F33823">
            <w:pPr>
              <w:jc w:val="center"/>
              <w:rPr>
                <w:rFonts w:ascii="Times New Roman" w:hAnsi="Times New Roman" w:cs="Times New Roman"/>
                <w:sz w:val="24"/>
                <w:szCs w:val="24"/>
              </w:rPr>
            </w:pPr>
          </w:p>
        </w:tc>
      </w:tr>
    </w:tbl>
    <w:p w14:paraId="26CE0F7F" w14:textId="77777777" w:rsidR="00480667" w:rsidRPr="0050538C" w:rsidRDefault="00480667" w:rsidP="00480667">
      <w:pPr>
        <w:rPr>
          <w:rFonts w:ascii="Times New Roman" w:hAnsi="Times New Roman" w:cs="Times New Roman"/>
          <w:sz w:val="24"/>
          <w:szCs w:val="24"/>
        </w:rPr>
      </w:pPr>
    </w:p>
    <w:p w14:paraId="4A355281" w14:textId="77777777" w:rsidR="00480667" w:rsidRPr="0050538C" w:rsidRDefault="00480667" w:rsidP="00480667">
      <w:pPr>
        <w:rPr>
          <w:rFonts w:ascii="Times New Roman" w:hAnsi="Times New Roman" w:cs="Times New Roman"/>
          <w:sz w:val="24"/>
          <w:szCs w:val="24"/>
        </w:rPr>
      </w:pPr>
    </w:p>
    <w:p w14:paraId="7AAAF0C2" w14:textId="77777777" w:rsidR="00480667" w:rsidRPr="0050538C" w:rsidRDefault="00480667" w:rsidP="00480667">
      <w:pPr>
        <w:rPr>
          <w:rFonts w:ascii="Times New Roman" w:hAnsi="Times New Roman" w:cs="Times New Roman"/>
          <w:sz w:val="24"/>
          <w:szCs w:val="24"/>
        </w:rPr>
      </w:pPr>
    </w:p>
    <w:p w14:paraId="0AE330C6" w14:textId="77777777" w:rsidR="00480667" w:rsidRPr="0050538C" w:rsidRDefault="00480667" w:rsidP="00480667">
      <w:pPr>
        <w:rPr>
          <w:rFonts w:ascii="Times New Roman" w:hAnsi="Times New Roman" w:cs="Times New Roman"/>
          <w:sz w:val="24"/>
          <w:szCs w:val="24"/>
        </w:rPr>
      </w:pPr>
    </w:p>
    <w:p w14:paraId="48D2DDCB" w14:textId="77777777" w:rsidR="00480667" w:rsidRPr="0050538C" w:rsidRDefault="00480667" w:rsidP="00480667">
      <w:pPr>
        <w:rPr>
          <w:rFonts w:ascii="Times New Roman" w:hAnsi="Times New Roman" w:cs="Times New Roman"/>
          <w:sz w:val="24"/>
          <w:szCs w:val="24"/>
        </w:rPr>
      </w:pPr>
    </w:p>
    <w:p w14:paraId="5C93819F" w14:textId="77777777" w:rsidR="00480667" w:rsidRPr="0050538C" w:rsidRDefault="00480667" w:rsidP="00480667">
      <w:pPr>
        <w:rPr>
          <w:rFonts w:ascii="Times New Roman" w:hAnsi="Times New Roman" w:cs="Times New Roman"/>
          <w:sz w:val="24"/>
          <w:szCs w:val="24"/>
        </w:rPr>
      </w:pPr>
    </w:p>
    <w:p w14:paraId="21E0988A" w14:textId="77777777" w:rsidR="00480667" w:rsidRPr="0050538C" w:rsidRDefault="00480667" w:rsidP="00480667">
      <w:pPr>
        <w:rPr>
          <w:rFonts w:ascii="Times New Roman" w:hAnsi="Times New Roman" w:cs="Times New Roman"/>
          <w:sz w:val="24"/>
          <w:szCs w:val="24"/>
        </w:rPr>
      </w:pPr>
    </w:p>
    <w:p w14:paraId="4048AF90" w14:textId="77777777" w:rsidR="00480667" w:rsidRPr="0050538C" w:rsidRDefault="00480667" w:rsidP="00480667">
      <w:pPr>
        <w:rPr>
          <w:rFonts w:ascii="Times New Roman" w:hAnsi="Times New Roman" w:cs="Times New Roman"/>
          <w:sz w:val="24"/>
          <w:szCs w:val="24"/>
        </w:rPr>
      </w:pPr>
    </w:p>
    <w:p w14:paraId="3F840174" w14:textId="77777777" w:rsidR="00480667" w:rsidRPr="0050538C" w:rsidRDefault="00480667" w:rsidP="00480667">
      <w:pPr>
        <w:rPr>
          <w:rFonts w:ascii="Times New Roman" w:hAnsi="Times New Roman" w:cs="Times New Roman"/>
          <w:sz w:val="24"/>
          <w:szCs w:val="24"/>
        </w:rPr>
      </w:pPr>
      <w:r w:rsidRPr="0050538C">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1F55F746" wp14:editId="3FFBF74B">
                <wp:simplePos x="0" y="0"/>
                <wp:positionH relativeFrom="column">
                  <wp:posOffset>2870129</wp:posOffset>
                </wp:positionH>
                <wp:positionV relativeFrom="paragraph">
                  <wp:posOffset>62737</wp:posOffset>
                </wp:positionV>
                <wp:extent cx="232667" cy="354330"/>
                <wp:effectExtent l="19050" t="0" r="15240" b="45720"/>
                <wp:wrapNone/>
                <wp:docPr id="1818403955" name="Arrow: Down 3"/>
                <wp:cNvGraphicFramePr/>
                <a:graphic xmlns:a="http://schemas.openxmlformats.org/drawingml/2006/main">
                  <a:graphicData uri="http://schemas.microsoft.com/office/word/2010/wordprocessingShape">
                    <wps:wsp>
                      <wps:cNvSpPr/>
                      <wps:spPr>
                        <a:xfrm>
                          <a:off x="0" y="0"/>
                          <a:ext cx="232667" cy="354330"/>
                        </a:xfrm>
                        <a:prstGeom prst="downArrow">
                          <a:avLst>
                            <a:gd name="adj1" fmla="val 50000"/>
                            <a:gd name="adj2" fmla="val 5345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5442313" id="Arrow: Down 3" o:spid="_x0000_s1026" type="#_x0000_t67" style="position:absolute;margin-left:226pt;margin-top:4.95pt;width:18.3pt;height:27.9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" adj="14019" fillcolor="#4472c4 [3204]" strokecolor="#09101d [484]" strokeweight="1pt"/>
            </w:pict>
          </mc:Fallback>
        </mc:AlternateContent>
      </w:r>
    </w:p>
    <w:p w14:paraId="46388653" w14:textId="77777777" w:rsidR="00480667" w:rsidRPr="0050538C" w:rsidRDefault="00480667" w:rsidP="00480667">
      <w:pPr>
        <w:rPr>
          <w:rFonts w:ascii="Times New Roman" w:hAnsi="Times New Roman" w:cs="Times New Roman"/>
          <w:sz w:val="24"/>
          <w:szCs w:val="24"/>
        </w:rPr>
      </w:pPr>
    </w:p>
    <w:tbl>
      <w:tblPr>
        <w:tblStyle w:val="TableGrid"/>
        <w:tblpPr w:leftFromText="180" w:rightFromText="180" w:vertAnchor="text" w:horzAnchor="margin" w:tblpXSpec="center" w:tblpY="-39"/>
        <w:tblW w:w="0" w:type="auto"/>
        <w:tblLook w:val="04A0" w:firstRow="1" w:lastRow="0" w:firstColumn="1" w:lastColumn="0" w:noHBand="0" w:noVBand="1"/>
      </w:tblPr>
      <w:tblGrid>
        <w:gridCol w:w="5949"/>
      </w:tblGrid>
      <w:tr w:rsidR="00480667" w:rsidRPr="0050538C" w14:paraId="7C516412" w14:textId="77777777" w:rsidTr="00F33823">
        <w:trPr>
          <w:trHeight w:val="1833"/>
        </w:trPr>
        <w:tc>
          <w:tcPr>
            <w:tcW w:w="5949" w:type="dxa"/>
            <w:shd w:val="clear" w:color="auto" w:fill="EDEDED" w:themeFill="accent3" w:themeFillTint="33"/>
          </w:tcPr>
          <w:p w14:paraId="0185E710" w14:textId="77777777" w:rsidR="00480667" w:rsidRPr="0050538C" w:rsidRDefault="00480667" w:rsidP="00F33823">
            <w:pPr>
              <w:jc w:val="center"/>
              <w:rPr>
                <w:rFonts w:ascii="Times New Roman" w:hAnsi="Times New Roman" w:cs="Times New Roman"/>
                <w:b/>
                <w:bCs/>
                <w:sz w:val="24"/>
                <w:szCs w:val="24"/>
              </w:rPr>
            </w:pPr>
          </w:p>
          <w:p w14:paraId="08FDFA2D" w14:textId="77777777" w:rsidR="00480667" w:rsidRPr="0050538C" w:rsidRDefault="00480667" w:rsidP="00F33823">
            <w:pPr>
              <w:jc w:val="center"/>
              <w:rPr>
                <w:rFonts w:ascii="Times New Roman" w:hAnsi="Times New Roman" w:cs="Times New Roman"/>
                <w:b/>
                <w:bCs/>
                <w:sz w:val="24"/>
                <w:szCs w:val="24"/>
              </w:rPr>
            </w:pPr>
            <w:r w:rsidRPr="0050538C">
              <w:rPr>
                <w:rFonts w:ascii="Times New Roman" w:hAnsi="Times New Roman" w:cs="Times New Roman"/>
                <w:b/>
                <w:bCs/>
                <w:sz w:val="24"/>
                <w:szCs w:val="24"/>
              </w:rPr>
              <w:t xml:space="preserve">CHAPTER.4. RESULTS &amp; ANALYSIS </w:t>
            </w:r>
          </w:p>
          <w:p w14:paraId="12734E05" w14:textId="77777777" w:rsidR="00480667" w:rsidRPr="0050538C" w:rsidRDefault="00480667" w:rsidP="00F33823">
            <w:pPr>
              <w:jc w:val="center"/>
              <w:rPr>
                <w:rFonts w:ascii="Times New Roman" w:hAnsi="Times New Roman" w:cs="Times New Roman"/>
                <w:sz w:val="24"/>
                <w:szCs w:val="24"/>
              </w:rPr>
            </w:pPr>
          </w:p>
          <w:p w14:paraId="6C84C13C" w14:textId="77777777" w:rsidR="00480667" w:rsidRPr="0050538C" w:rsidRDefault="00480667" w:rsidP="00F33823">
            <w:pPr>
              <w:pStyle w:val="ListParagraph"/>
              <w:numPr>
                <w:ilvl w:val="0"/>
                <w:numId w:val="15"/>
              </w:numPr>
              <w:rPr>
                <w:rFonts w:ascii="Times New Roman" w:hAnsi="Times New Roman" w:cs="Times New Roman"/>
                <w:sz w:val="24"/>
                <w:szCs w:val="24"/>
              </w:rPr>
            </w:pPr>
            <w:r w:rsidRPr="0050538C">
              <w:rPr>
                <w:rFonts w:ascii="Times New Roman" w:hAnsi="Times New Roman" w:cs="Times New Roman"/>
                <w:sz w:val="24"/>
                <w:szCs w:val="24"/>
              </w:rPr>
              <w:t>Selected case studies in demonstrated in table form</w:t>
            </w:r>
          </w:p>
          <w:p w14:paraId="3BF611D2" w14:textId="77777777" w:rsidR="00480667" w:rsidRPr="0050538C" w:rsidRDefault="00480667" w:rsidP="00F33823">
            <w:pPr>
              <w:pStyle w:val="ListParagraph"/>
              <w:numPr>
                <w:ilvl w:val="0"/>
                <w:numId w:val="15"/>
              </w:numPr>
              <w:rPr>
                <w:rFonts w:ascii="Times New Roman" w:hAnsi="Times New Roman" w:cs="Times New Roman"/>
                <w:sz w:val="24"/>
                <w:szCs w:val="24"/>
              </w:rPr>
            </w:pPr>
            <w:r w:rsidRPr="0050538C">
              <w:rPr>
                <w:rFonts w:ascii="Times New Roman" w:hAnsi="Times New Roman" w:cs="Times New Roman"/>
                <w:sz w:val="24"/>
                <w:szCs w:val="24"/>
              </w:rPr>
              <w:t xml:space="preserve">Analysis of case studies based on the environmental analysis tools and environmental impact by selected reused materials </w:t>
            </w:r>
          </w:p>
          <w:p w14:paraId="6A1680A0" w14:textId="77777777" w:rsidR="00480667" w:rsidRPr="0050538C" w:rsidRDefault="00480667" w:rsidP="00F33823">
            <w:pPr>
              <w:ind w:left="360"/>
              <w:rPr>
                <w:rFonts w:ascii="Times New Roman" w:hAnsi="Times New Roman" w:cs="Times New Roman"/>
                <w:sz w:val="24"/>
                <w:szCs w:val="24"/>
              </w:rPr>
            </w:pPr>
          </w:p>
        </w:tc>
      </w:tr>
    </w:tbl>
    <w:p w14:paraId="59790099" w14:textId="77777777" w:rsidR="00480667" w:rsidRPr="0050538C" w:rsidRDefault="00480667" w:rsidP="00480667">
      <w:pPr>
        <w:rPr>
          <w:rFonts w:ascii="Times New Roman" w:hAnsi="Times New Roman" w:cs="Times New Roman"/>
          <w:sz w:val="24"/>
          <w:szCs w:val="24"/>
        </w:rPr>
      </w:pPr>
    </w:p>
    <w:p w14:paraId="1218C361" w14:textId="77777777" w:rsidR="00480667" w:rsidRPr="0050538C" w:rsidRDefault="00480667" w:rsidP="00480667">
      <w:pPr>
        <w:rPr>
          <w:rFonts w:ascii="Times New Roman" w:hAnsi="Times New Roman" w:cs="Times New Roman"/>
          <w:sz w:val="24"/>
          <w:szCs w:val="24"/>
        </w:rPr>
      </w:pPr>
    </w:p>
    <w:p w14:paraId="5B0C12E3" w14:textId="77777777" w:rsidR="00480667" w:rsidRPr="0050538C" w:rsidRDefault="00480667" w:rsidP="00480667">
      <w:pPr>
        <w:rPr>
          <w:rFonts w:ascii="Times New Roman" w:hAnsi="Times New Roman" w:cs="Times New Roman"/>
          <w:sz w:val="24"/>
          <w:szCs w:val="24"/>
        </w:rPr>
      </w:pPr>
    </w:p>
    <w:p w14:paraId="793D8692" w14:textId="77777777" w:rsidR="00480667" w:rsidRPr="0050538C" w:rsidRDefault="00480667" w:rsidP="00480667">
      <w:pPr>
        <w:rPr>
          <w:rFonts w:ascii="Times New Roman" w:hAnsi="Times New Roman" w:cs="Times New Roman"/>
          <w:sz w:val="24"/>
          <w:szCs w:val="24"/>
        </w:rPr>
      </w:pPr>
    </w:p>
    <w:p w14:paraId="486095C3" w14:textId="77777777" w:rsidR="00480667" w:rsidRPr="0050538C" w:rsidRDefault="00480667" w:rsidP="00480667">
      <w:pPr>
        <w:rPr>
          <w:rFonts w:ascii="Times New Roman" w:hAnsi="Times New Roman" w:cs="Times New Roman"/>
          <w:sz w:val="24"/>
          <w:szCs w:val="24"/>
        </w:rPr>
      </w:pPr>
    </w:p>
    <w:p w14:paraId="3C5E2418" w14:textId="77777777" w:rsidR="00480667" w:rsidRPr="0050538C" w:rsidRDefault="00480667" w:rsidP="00480667">
      <w:pPr>
        <w:rPr>
          <w:rFonts w:ascii="Times New Roman" w:hAnsi="Times New Roman" w:cs="Times New Roman"/>
          <w:sz w:val="24"/>
          <w:szCs w:val="24"/>
        </w:rPr>
      </w:pPr>
      <w:r w:rsidRPr="0050538C">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404AE14C" wp14:editId="13B1ED6A">
                <wp:simplePos x="0" y="0"/>
                <wp:positionH relativeFrom="column">
                  <wp:posOffset>2803347</wp:posOffset>
                </wp:positionH>
                <wp:positionV relativeFrom="paragraph">
                  <wp:posOffset>83028</wp:posOffset>
                </wp:positionV>
                <wp:extent cx="176159" cy="297951"/>
                <wp:effectExtent l="19050" t="0" r="14605" b="45085"/>
                <wp:wrapNone/>
                <wp:docPr id="1834076851" name="Arrow: Down 4"/>
                <wp:cNvGraphicFramePr/>
                <a:graphic xmlns:a="http://schemas.openxmlformats.org/drawingml/2006/main">
                  <a:graphicData uri="http://schemas.microsoft.com/office/word/2010/wordprocessingShape">
                    <wps:wsp>
                      <wps:cNvSpPr/>
                      <wps:spPr>
                        <a:xfrm>
                          <a:off x="0" y="0"/>
                          <a:ext cx="176159" cy="297951"/>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5E9FFC8" id="Arrow: Down 4" o:spid="_x0000_s1026" type="#_x0000_t67" style="position:absolute;margin-left:220.75pt;margin-top:6.55pt;width:13.85pt;height:23.4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" adj="15215" fillcolor="#4472c4 [3204]" strokecolor="#09101d [484]" strokeweight="1pt"/>
            </w:pict>
          </mc:Fallback>
        </mc:AlternateContent>
      </w:r>
    </w:p>
    <w:tbl>
      <w:tblPr>
        <w:tblStyle w:val="TableGrid"/>
        <w:tblpPr w:leftFromText="180" w:rightFromText="180" w:vertAnchor="text" w:horzAnchor="margin" w:tblpXSpec="center" w:tblpY="393"/>
        <w:tblW w:w="0" w:type="auto"/>
        <w:tblLook w:val="04A0" w:firstRow="1" w:lastRow="0" w:firstColumn="1" w:lastColumn="0" w:noHBand="0" w:noVBand="1"/>
      </w:tblPr>
      <w:tblGrid>
        <w:gridCol w:w="5949"/>
      </w:tblGrid>
      <w:tr w:rsidR="00480667" w:rsidRPr="0050538C" w14:paraId="6D25B0D8" w14:textId="77777777" w:rsidTr="00F33823">
        <w:trPr>
          <w:trHeight w:val="1833"/>
        </w:trPr>
        <w:tc>
          <w:tcPr>
            <w:tcW w:w="5949" w:type="dxa"/>
            <w:shd w:val="clear" w:color="auto" w:fill="EDEDED" w:themeFill="accent3" w:themeFillTint="33"/>
          </w:tcPr>
          <w:p w14:paraId="029B86C9" w14:textId="77777777" w:rsidR="00480667" w:rsidRPr="0050538C" w:rsidRDefault="00480667" w:rsidP="00F33823">
            <w:pPr>
              <w:jc w:val="center"/>
              <w:rPr>
                <w:rFonts w:ascii="Times New Roman" w:hAnsi="Times New Roman" w:cs="Times New Roman"/>
                <w:b/>
                <w:bCs/>
                <w:sz w:val="24"/>
                <w:szCs w:val="24"/>
              </w:rPr>
            </w:pPr>
          </w:p>
          <w:p w14:paraId="238E8D3C" w14:textId="77777777" w:rsidR="00480667" w:rsidRPr="0050538C" w:rsidRDefault="00480667" w:rsidP="00F33823">
            <w:pPr>
              <w:jc w:val="center"/>
              <w:rPr>
                <w:rFonts w:ascii="Times New Roman" w:hAnsi="Times New Roman" w:cs="Times New Roman"/>
                <w:b/>
                <w:bCs/>
                <w:sz w:val="24"/>
                <w:szCs w:val="24"/>
              </w:rPr>
            </w:pPr>
            <w:r w:rsidRPr="0050538C">
              <w:rPr>
                <w:rFonts w:ascii="Times New Roman" w:hAnsi="Times New Roman" w:cs="Times New Roman"/>
                <w:b/>
                <w:bCs/>
                <w:sz w:val="24"/>
                <w:szCs w:val="24"/>
              </w:rPr>
              <w:t xml:space="preserve">CHAPTER.5. DISCUSSION </w:t>
            </w:r>
          </w:p>
          <w:p w14:paraId="2ECD03D4" w14:textId="77777777" w:rsidR="00480667" w:rsidRPr="0050538C" w:rsidRDefault="00480667" w:rsidP="00F33823">
            <w:pPr>
              <w:jc w:val="center"/>
              <w:rPr>
                <w:rFonts w:ascii="Times New Roman" w:hAnsi="Times New Roman" w:cs="Times New Roman"/>
                <w:sz w:val="24"/>
                <w:szCs w:val="24"/>
              </w:rPr>
            </w:pPr>
          </w:p>
          <w:p w14:paraId="0A189C02" w14:textId="77777777" w:rsidR="00480667" w:rsidRPr="0050538C" w:rsidRDefault="00480667" w:rsidP="00F33823">
            <w:pPr>
              <w:pStyle w:val="ListParagraph"/>
              <w:numPr>
                <w:ilvl w:val="0"/>
                <w:numId w:val="15"/>
              </w:numPr>
              <w:rPr>
                <w:rFonts w:ascii="Times New Roman" w:hAnsi="Times New Roman" w:cs="Times New Roman"/>
                <w:sz w:val="24"/>
                <w:szCs w:val="24"/>
              </w:rPr>
            </w:pPr>
            <w:r w:rsidRPr="0050538C">
              <w:rPr>
                <w:rFonts w:ascii="Times New Roman" w:hAnsi="Times New Roman" w:cs="Times New Roman"/>
                <w:sz w:val="24"/>
                <w:szCs w:val="24"/>
              </w:rPr>
              <w:t xml:space="preserve">Discussion of results obtained from the analysis </w:t>
            </w:r>
          </w:p>
        </w:tc>
      </w:tr>
    </w:tbl>
    <w:p w14:paraId="59FE508B" w14:textId="77777777" w:rsidR="00480667" w:rsidRPr="0050538C" w:rsidRDefault="00480667" w:rsidP="00480667">
      <w:pPr>
        <w:rPr>
          <w:rFonts w:ascii="Times New Roman" w:hAnsi="Times New Roman" w:cs="Times New Roman"/>
          <w:sz w:val="24"/>
          <w:szCs w:val="24"/>
        </w:rPr>
      </w:pPr>
    </w:p>
    <w:p w14:paraId="0C64CAED" w14:textId="77777777" w:rsidR="00480667" w:rsidRPr="0050538C" w:rsidRDefault="00480667" w:rsidP="00480667">
      <w:pPr>
        <w:rPr>
          <w:rFonts w:ascii="Times New Roman" w:hAnsi="Times New Roman" w:cs="Times New Roman"/>
          <w:sz w:val="24"/>
          <w:szCs w:val="24"/>
        </w:rPr>
      </w:pPr>
    </w:p>
    <w:p w14:paraId="11C9A531" w14:textId="77777777" w:rsidR="00480667" w:rsidRPr="0050538C" w:rsidRDefault="00480667" w:rsidP="00480667">
      <w:pPr>
        <w:rPr>
          <w:rFonts w:ascii="Times New Roman" w:hAnsi="Times New Roman" w:cs="Times New Roman"/>
          <w:sz w:val="24"/>
          <w:szCs w:val="24"/>
        </w:rPr>
      </w:pPr>
    </w:p>
    <w:p w14:paraId="7FD2FA06" w14:textId="77777777" w:rsidR="00480667" w:rsidRPr="0050538C" w:rsidRDefault="00480667" w:rsidP="00480667">
      <w:pPr>
        <w:rPr>
          <w:rFonts w:ascii="Times New Roman" w:hAnsi="Times New Roman" w:cs="Times New Roman"/>
          <w:sz w:val="24"/>
          <w:szCs w:val="24"/>
        </w:rPr>
      </w:pPr>
    </w:p>
    <w:p w14:paraId="5BCEC558" w14:textId="77777777" w:rsidR="00480667" w:rsidRPr="0050538C" w:rsidRDefault="00480667" w:rsidP="00480667">
      <w:pPr>
        <w:rPr>
          <w:rFonts w:ascii="Times New Roman" w:hAnsi="Times New Roman" w:cs="Times New Roman"/>
          <w:sz w:val="24"/>
          <w:szCs w:val="24"/>
        </w:rPr>
      </w:pPr>
    </w:p>
    <w:p w14:paraId="2675A2E7" w14:textId="77777777" w:rsidR="00480667" w:rsidRPr="0050538C" w:rsidRDefault="00480667" w:rsidP="00480667">
      <w:pPr>
        <w:rPr>
          <w:rFonts w:ascii="Times New Roman" w:hAnsi="Times New Roman" w:cs="Times New Roman"/>
          <w:sz w:val="24"/>
          <w:szCs w:val="24"/>
        </w:rPr>
      </w:pPr>
      <w:r w:rsidRPr="0050538C">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2BEDB5F4" wp14:editId="596A1F31">
                <wp:simplePos x="0" y="0"/>
                <wp:positionH relativeFrom="column">
                  <wp:posOffset>2943546</wp:posOffset>
                </wp:positionH>
                <wp:positionV relativeFrom="paragraph">
                  <wp:posOffset>64799</wp:posOffset>
                </wp:positionV>
                <wp:extent cx="176159" cy="297951"/>
                <wp:effectExtent l="19050" t="0" r="14605" b="45085"/>
                <wp:wrapNone/>
                <wp:docPr id="1794919348" name="Arrow: Down 4"/>
                <wp:cNvGraphicFramePr/>
                <a:graphic xmlns:a="http://schemas.openxmlformats.org/drawingml/2006/main">
                  <a:graphicData uri="http://schemas.microsoft.com/office/word/2010/wordprocessingShape">
                    <wps:wsp>
                      <wps:cNvSpPr/>
                      <wps:spPr>
                        <a:xfrm>
                          <a:off x="0" y="0"/>
                          <a:ext cx="176159" cy="297951"/>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476B34F" id="Arrow: Down 4" o:spid="_x0000_s1026" type="#_x0000_t67" style="position:absolute;margin-left:231.8pt;margin-top:5.1pt;width:13.85pt;height:23.4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" adj="15215" fillcolor="#4472c4 [3204]" strokecolor="#09101d [484]" strokeweight="1pt"/>
            </w:pict>
          </mc:Fallback>
        </mc:AlternateContent>
      </w:r>
    </w:p>
    <w:tbl>
      <w:tblPr>
        <w:tblStyle w:val="TableGrid"/>
        <w:tblpPr w:leftFromText="180" w:rightFromText="180" w:vertAnchor="text" w:horzAnchor="margin" w:tblpXSpec="center" w:tblpY="341"/>
        <w:tblW w:w="0" w:type="auto"/>
        <w:tblLook w:val="04A0" w:firstRow="1" w:lastRow="0" w:firstColumn="1" w:lastColumn="0" w:noHBand="0" w:noVBand="1"/>
      </w:tblPr>
      <w:tblGrid>
        <w:gridCol w:w="5949"/>
      </w:tblGrid>
      <w:tr w:rsidR="00480667" w:rsidRPr="0050538C" w14:paraId="49636724" w14:textId="77777777" w:rsidTr="00F33823">
        <w:trPr>
          <w:trHeight w:val="1833"/>
        </w:trPr>
        <w:tc>
          <w:tcPr>
            <w:tcW w:w="5949" w:type="dxa"/>
            <w:shd w:val="clear" w:color="auto" w:fill="EDEDED" w:themeFill="accent3" w:themeFillTint="33"/>
          </w:tcPr>
          <w:p w14:paraId="09F73AE8" w14:textId="77777777" w:rsidR="00480667" w:rsidRPr="0050538C" w:rsidRDefault="00480667" w:rsidP="00F33823">
            <w:pPr>
              <w:jc w:val="center"/>
              <w:rPr>
                <w:rFonts w:ascii="Times New Roman" w:hAnsi="Times New Roman" w:cs="Times New Roman"/>
                <w:b/>
                <w:bCs/>
                <w:sz w:val="24"/>
                <w:szCs w:val="24"/>
              </w:rPr>
            </w:pPr>
          </w:p>
          <w:p w14:paraId="6C9B9897" w14:textId="77777777" w:rsidR="00480667" w:rsidRPr="0050538C" w:rsidRDefault="00480667" w:rsidP="00F33823">
            <w:pPr>
              <w:jc w:val="center"/>
              <w:rPr>
                <w:rFonts w:ascii="Times New Roman" w:hAnsi="Times New Roman" w:cs="Times New Roman"/>
                <w:b/>
                <w:bCs/>
                <w:sz w:val="24"/>
                <w:szCs w:val="24"/>
              </w:rPr>
            </w:pPr>
            <w:r w:rsidRPr="0050538C">
              <w:rPr>
                <w:rFonts w:ascii="Times New Roman" w:hAnsi="Times New Roman" w:cs="Times New Roman"/>
                <w:b/>
                <w:bCs/>
                <w:sz w:val="24"/>
                <w:szCs w:val="24"/>
              </w:rPr>
              <w:t xml:space="preserve">CHAPTER.5. CONCLUSION AND RECOMMENDATIONS  </w:t>
            </w:r>
          </w:p>
          <w:p w14:paraId="2839CF8B" w14:textId="77777777" w:rsidR="00480667" w:rsidRPr="0050538C" w:rsidRDefault="00480667" w:rsidP="00F33823">
            <w:pPr>
              <w:jc w:val="center"/>
              <w:rPr>
                <w:rFonts w:ascii="Times New Roman" w:hAnsi="Times New Roman" w:cs="Times New Roman"/>
                <w:sz w:val="24"/>
                <w:szCs w:val="24"/>
              </w:rPr>
            </w:pPr>
          </w:p>
          <w:p w14:paraId="4CDBD68C" w14:textId="77777777" w:rsidR="00480667" w:rsidRPr="0050538C" w:rsidRDefault="00480667" w:rsidP="00F33823">
            <w:pPr>
              <w:pStyle w:val="ListParagraph"/>
              <w:numPr>
                <w:ilvl w:val="0"/>
                <w:numId w:val="15"/>
              </w:numPr>
              <w:rPr>
                <w:rFonts w:ascii="Times New Roman" w:hAnsi="Times New Roman" w:cs="Times New Roman"/>
                <w:sz w:val="24"/>
                <w:szCs w:val="24"/>
              </w:rPr>
            </w:pPr>
            <w:r w:rsidRPr="0050538C">
              <w:rPr>
                <w:rFonts w:ascii="Times New Roman" w:hAnsi="Times New Roman" w:cs="Times New Roman"/>
                <w:sz w:val="24"/>
                <w:szCs w:val="24"/>
              </w:rPr>
              <w:t>Overall summary of the research</w:t>
            </w:r>
          </w:p>
          <w:p w14:paraId="28C2848A" w14:textId="77777777" w:rsidR="00480667" w:rsidRPr="0050538C" w:rsidRDefault="00480667" w:rsidP="00F33823">
            <w:pPr>
              <w:pStyle w:val="ListParagraph"/>
              <w:numPr>
                <w:ilvl w:val="0"/>
                <w:numId w:val="15"/>
              </w:numPr>
              <w:rPr>
                <w:rFonts w:ascii="Times New Roman" w:hAnsi="Times New Roman" w:cs="Times New Roman"/>
                <w:sz w:val="24"/>
                <w:szCs w:val="24"/>
              </w:rPr>
            </w:pPr>
            <w:r w:rsidRPr="0050538C">
              <w:rPr>
                <w:rFonts w:ascii="Times New Roman" w:hAnsi="Times New Roman" w:cs="Times New Roman"/>
                <w:sz w:val="24"/>
                <w:szCs w:val="24"/>
              </w:rPr>
              <w:t xml:space="preserve">Future direction of the study </w:t>
            </w:r>
          </w:p>
        </w:tc>
      </w:tr>
    </w:tbl>
    <w:p w14:paraId="0578B516" w14:textId="77777777" w:rsidR="00480667" w:rsidRPr="0050538C" w:rsidRDefault="00480667" w:rsidP="00480667">
      <w:pPr>
        <w:rPr>
          <w:rFonts w:ascii="Times New Roman" w:hAnsi="Times New Roman" w:cs="Times New Roman"/>
          <w:sz w:val="24"/>
          <w:szCs w:val="24"/>
        </w:rPr>
      </w:pPr>
    </w:p>
    <w:p w14:paraId="02C7BAC7" w14:textId="77777777" w:rsidR="00480667" w:rsidRPr="0050538C" w:rsidRDefault="00480667" w:rsidP="00480667">
      <w:pPr>
        <w:rPr>
          <w:rFonts w:ascii="Times New Roman" w:hAnsi="Times New Roman" w:cs="Times New Roman"/>
          <w:sz w:val="24"/>
          <w:szCs w:val="24"/>
        </w:rPr>
      </w:pPr>
    </w:p>
    <w:p w14:paraId="43551718" w14:textId="77777777" w:rsidR="00480667" w:rsidRPr="0050538C" w:rsidRDefault="00480667" w:rsidP="00480667">
      <w:pPr>
        <w:rPr>
          <w:rFonts w:ascii="Times New Roman" w:hAnsi="Times New Roman" w:cs="Times New Roman"/>
          <w:sz w:val="24"/>
          <w:szCs w:val="24"/>
        </w:rPr>
      </w:pPr>
    </w:p>
    <w:p w14:paraId="3263D368" w14:textId="77777777" w:rsidR="00480667" w:rsidRPr="0050538C" w:rsidRDefault="00480667" w:rsidP="00480667">
      <w:pPr>
        <w:rPr>
          <w:rFonts w:ascii="Times New Roman" w:hAnsi="Times New Roman" w:cs="Times New Roman"/>
          <w:sz w:val="24"/>
          <w:szCs w:val="24"/>
        </w:rPr>
      </w:pPr>
    </w:p>
    <w:p w14:paraId="3AB2058A" w14:textId="77777777" w:rsidR="00480667" w:rsidRPr="0050538C" w:rsidRDefault="00480667" w:rsidP="00480667">
      <w:pPr>
        <w:rPr>
          <w:rFonts w:ascii="Times New Roman" w:hAnsi="Times New Roman" w:cs="Times New Roman"/>
          <w:sz w:val="24"/>
          <w:szCs w:val="24"/>
        </w:rPr>
      </w:pPr>
    </w:p>
    <w:p w14:paraId="5A8B40EB" w14:textId="77777777" w:rsidR="00480667" w:rsidRPr="0050538C" w:rsidRDefault="00480667" w:rsidP="00480667">
      <w:pPr>
        <w:rPr>
          <w:rFonts w:ascii="Times New Roman" w:hAnsi="Times New Roman" w:cs="Times New Roman"/>
          <w:sz w:val="24"/>
          <w:szCs w:val="24"/>
        </w:rPr>
      </w:pPr>
    </w:p>
    <w:p w14:paraId="2B4663A5" w14:textId="77777777" w:rsidR="00480667" w:rsidRPr="0050538C" w:rsidRDefault="00480667" w:rsidP="00480667">
      <w:pPr>
        <w:rPr>
          <w:rFonts w:ascii="Times New Roman" w:hAnsi="Times New Roman" w:cs="Times New Roman"/>
          <w:sz w:val="24"/>
          <w:szCs w:val="24"/>
        </w:rPr>
      </w:pPr>
    </w:p>
    <w:p w14:paraId="4669767A" w14:textId="77777777" w:rsidR="00480667" w:rsidRPr="0050538C" w:rsidRDefault="00480667" w:rsidP="00480667">
      <w:pPr>
        <w:rPr>
          <w:rFonts w:ascii="Times New Roman" w:hAnsi="Times New Roman" w:cs="Times New Roman"/>
          <w:sz w:val="24"/>
          <w:szCs w:val="24"/>
        </w:rPr>
      </w:pPr>
    </w:p>
    <w:p w14:paraId="56F2EF60" w14:textId="77777777" w:rsidR="00480667" w:rsidRPr="0050538C" w:rsidRDefault="00480667" w:rsidP="00480667">
      <w:pPr>
        <w:rPr>
          <w:rFonts w:ascii="Times New Roman" w:hAnsi="Times New Roman" w:cs="Times New Roman"/>
          <w:sz w:val="24"/>
          <w:szCs w:val="24"/>
        </w:rPr>
      </w:pPr>
    </w:p>
    <w:p w14:paraId="40D61389" w14:textId="77777777" w:rsidR="00480667" w:rsidRPr="0050538C" w:rsidRDefault="00480667" w:rsidP="00480667">
      <w:pPr>
        <w:rPr>
          <w:rFonts w:ascii="Times New Roman" w:hAnsi="Times New Roman" w:cs="Times New Roman"/>
          <w:sz w:val="24"/>
          <w:szCs w:val="24"/>
        </w:rPr>
      </w:pPr>
    </w:p>
    <w:p w14:paraId="6FB84A8E" w14:textId="77777777" w:rsidR="00480667" w:rsidRPr="0050538C" w:rsidRDefault="00480667" w:rsidP="00480667">
      <w:pPr>
        <w:rPr>
          <w:rFonts w:ascii="Times New Roman" w:hAnsi="Times New Roman" w:cs="Times New Roman"/>
          <w:sz w:val="24"/>
          <w:szCs w:val="24"/>
        </w:rPr>
      </w:pPr>
    </w:p>
    <w:p w14:paraId="0C1116FC" w14:textId="77777777" w:rsidR="00480667" w:rsidRPr="0050538C" w:rsidRDefault="00480667" w:rsidP="00480667">
      <w:pPr>
        <w:rPr>
          <w:rFonts w:ascii="Times New Roman" w:hAnsi="Times New Roman" w:cs="Times New Roman"/>
          <w:sz w:val="24"/>
          <w:szCs w:val="24"/>
        </w:rPr>
      </w:pPr>
    </w:p>
    <w:p w14:paraId="06AB7C85" w14:textId="77777777" w:rsidR="00480667" w:rsidRPr="0050538C" w:rsidRDefault="00480667" w:rsidP="00480667">
      <w:pPr>
        <w:rPr>
          <w:rFonts w:ascii="Times New Roman" w:hAnsi="Times New Roman" w:cs="Times New Roman"/>
          <w:sz w:val="24"/>
          <w:szCs w:val="24"/>
        </w:rPr>
      </w:pPr>
    </w:p>
    <w:p w14:paraId="7BD4ABEA" w14:textId="77777777" w:rsidR="00480667" w:rsidRPr="0050538C" w:rsidRDefault="00480667" w:rsidP="00480667">
      <w:pPr>
        <w:rPr>
          <w:rFonts w:ascii="Times New Roman" w:hAnsi="Times New Roman" w:cs="Times New Roman"/>
          <w:sz w:val="24"/>
          <w:szCs w:val="24"/>
        </w:rPr>
      </w:pPr>
    </w:p>
    <w:p w14:paraId="28D439A7" w14:textId="77777777" w:rsidR="00480667" w:rsidRPr="0050538C" w:rsidRDefault="00480667" w:rsidP="00480667">
      <w:pPr>
        <w:rPr>
          <w:rFonts w:ascii="Times New Roman" w:hAnsi="Times New Roman" w:cs="Times New Roman"/>
          <w:sz w:val="24"/>
          <w:szCs w:val="24"/>
        </w:rPr>
      </w:pPr>
    </w:p>
    <w:p w14:paraId="70B48911" w14:textId="77777777" w:rsidR="00480667" w:rsidRPr="0050538C" w:rsidRDefault="00480667" w:rsidP="00480667">
      <w:pPr>
        <w:rPr>
          <w:rFonts w:ascii="Times New Roman" w:hAnsi="Times New Roman" w:cs="Times New Roman"/>
          <w:sz w:val="24"/>
          <w:szCs w:val="24"/>
        </w:rPr>
      </w:pPr>
    </w:p>
    <w:p w14:paraId="58FB435E" w14:textId="77777777" w:rsidR="00480667" w:rsidRPr="0050538C" w:rsidRDefault="00480667" w:rsidP="00480667">
      <w:pPr>
        <w:rPr>
          <w:rFonts w:ascii="Times New Roman" w:hAnsi="Times New Roman" w:cs="Times New Roman"/>
          <w:sz w:val="24"/>
          <w:szCs w:val="24"/>
        </w:rPr>
      </w:pPr>
    </w:p>
    <w:p w14:paraId="3A544018" w14:textId="77777777" w:rsidR="00480667" w:rsidRPr="0050538C" w:rsidRDefault="00480667" w:rsidP="00480667">
      <w:pPr>
        <w:rPr>
          <w:rFonts w:ascii="Times New Roman" w:hAnsi="Times New Roman" w:cs="Times New Roman"/>
          <w:sz w:val="24"/>
          <w:szCs w:val="24"/>
        </w:rPr>
      </w:pPr>
    </w:p>
    <w:p w14:paraId="4D2BB57B" w14:textId="77777777" w:rsidR="00480667" w:rsidRPr="0050538C" w:rsidRDefault="00480667" w:rsidP="00480667">
      <w:pPr>
        <w:rPr>
          <w:rFonts w:ascii="Times New Roman" w:hAnsi="Times New Roman" w:cs="Times New Roman"/>
          <w:sz w:val="24"/>
          <w:szCs w:val="24"/>
        </w:rPr>
      </w:pPr>
    </w:p>
    <w:p w14:paraId="20DE0494" w14:textId="77777777" w:rsidR="00480667" w:rsidRPr="0050538C" w:rsidRDefault="00480667" w:rsidP="00480667">
      <w:pPr>
        <w:pStyle w:val="Heading1"/>
        <w:jc w:val="center"/>
        <w:rPr>
          <w:rFonts w:ascii="Times New Roman" w:hAnsi="Times New Roman" w:cs="Times New Roman"/>
          <w:b/>
          <w:bCs/>
          <w:color w:val="auto"/>
          <w:sz w:val="24"/>
          <w:szCs w:val="24"/>
        </w:rPr>
      </w:pPr>
      <w:bookmarkStart w:id="8" w:name="_Toc149913192"/>
      <w:r w:rsidRPr="0050538C">
        <w:rPr>
          <w:rFonts w:ascii="Times New Roman" w:hAnsi="Times New Roman" w:cs="Times New Roman"/>
          <w:b/>
          <w:bCs/>
          <w:color w:val="auto"/>
          <w:sz w:val="24"/>
          <w:szCs w:val="24"/>
        </w:rPr>
        <w:t>CHAPTER.2. LITERATURE REVIEW</w:t>
      </w:r>
      <w:bookmarkEnd w:id="8"/>
    </w:p>
    <w:p w14:paraId="006273E4" w14:textId="77777777" w:rsidR="00480667" w:rsidRPr="0050538C" w:rsidRDefault="00480667" w:rsidP="00480667">
      <w:pPr>
        <w:jc w:val="center"/>
        <w:rPr>
          <w:rFonts w:ascii="Times New Roman" w:hAnsi="Times New Roman" w:cs="Times New Roman"/>
          <w:b/>
          <w:bCs/>
          <w:sz w:val="24"/>
          <w:szCs w:val="24"/>
        </w:rPr>
      </w:pPr>
    </w:p>
    <w:p w14:paraId="5C04A84D" w14:textId="77777777" w:rsidR="00480667" w:rsidRPr="0050538C" w:rsidRDefault="00480667" w:rsidP="00480667">
      <w:pPr>
        <w:jc w:val="center"/>
        <w:rPr>
          <w:rFonts w:ascii="Times New Roman" w:hAnsi="Times New Roman" w:cs="Times New Roman"/>
          <w:b/>
          <w:bCs/>
          <w:sz w:val="24"/>
          <w:szCs w:val="24"/>
        </w:rPr>
      </w:pPr>
    </w:p>
    <w:p w14:paraId="39B96DD6" w14:textId="77777777" w:rsidR="00480667" w:rsidRPr="0050538C" w:rsidRDefault="00480667" w:rsidP="00480667">
      <w:pPr>
        <w:pStyle w:val="Heading2"/>
        <w:rPr>
          <w:rFonts w:ascii="Times New Roman" w:hAnsi="Times New Roman" w:cs="Times New Roman"/>
          <w:b/>
          <w:bCs/>
          <w:color w:val="auto"/>
          <w:sz w:val="24"/>
          <w:szCs w:val="24"/>
        </w:rPr>
      </w:pPr>
      <w:bookmarkStart w:id="9" w:name="_Toc149913193"/>
      <w:r w:rsidRPr="0050538C">
        <w:rPr>
          <w:rFonts w:ascii="Times New Roman" w:hAnsi="Times New Roman" w:cs="Times New Roman"/>
          <w:b/>
          <w:bCs/>
          <w:color w:val="auto"/>
          <w:sz w:val="24"/>
          <w:szCs w:val="24"/>
        </w:rPr>
        <w:t>2.1 Definition of Construction Waste</w:t>
      </w:r>
      <w:bookmarkEnd w:id="9"/>
    </w:p>
    <w:p w14:paraId="19B78722" w14:textId="77777777" w:rsidR="00480667" w:rsidRPr="0050538C" w:rsidRDefault="00480667" w:rsidP="00480667">
      <w:pPr>
        <w:spacing w:line="360" w:lineRule="auto"/>
        <w:jc w:val="both"/>
        <w:rPr>
          <w:rFonts w:ascii="Times New Roman" w:hAnsi="Times New Roman" w:cs="Times New Roman"/>
          <w:sz w:val="24"/>
          <w:szCs w:val="24"/>
        </w:rPr>
      </w:pPr>
    </w:p>
    <w:p w14:paraId="30C7D568"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In the relevant literature, there are various definitions of building waste. One claims that with the increase in worldwide urbanization, constructions trash is the main source of waste produced by modern society. In general, whatever is created "during excavation work" and "by the manufacturing, building, remodelling, or destruction of structures" are considered waste from construction. Construction waste is defined as "the disparity between materials ordered and those utilized for constructing a building" by Building Research Establishment (BRE) (1978). A. Dania provided a more detailed definition, which devours as follows: the "Building and demolition waste is a complicated waste flow, which consists of a broad spectrum of resources, such as debris, earth (author's note—cut and fill), concrete, timber, steel, and an assortment of supplies resulting from a variety of construction activities, such as ground elimination, deconstruction, roadway improvements, and building reconstruction developed during the development, remodelling, and destruction of buildings</w:t>
      </w:r>
      <w:r w:rsidRPr="0050538C">
        <w:rPr>
          <w:rFonts w:ascii="Times New Roman" w:hAnsi="Times New Roman" w:cs="Times New Roman"/>
          <w:sz w:val="24"/>
          <w:szCs w:val="24"/>
          <w:shd w:val="clear" w:color="auto" w:fill="FFFFFF"/>
        </w:rPr>
        <w:t xml:space="preserve"> (Bao and Lu, 2023).</w:t>
      </w:r>
    </w:p>
    <w:p w14:paraId="7D52B724"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Studies by </w:t>
      </w:r>
      <w:r w:rsidRPr="0050538C">
        <w:rPr>
          <w:rFonts w:ascii="Times New Roman" w:hAnsi="Times New Roman" w:cs="Times New Roman"/>
          <w:sz w:val="24"/>
          <w:szCs w:val="24"/>
          <w:shd w:val="clear" w:color="auto" w:fill="FFFFFF"/>
        </w:rPr>
        <w:t>Peng</w:t>
      </w:r>
      <w:r w:rsidRPr="0050538C">
        <w:rPr>
          <w:rFonts w:ascii="Times New Roman" w:hAnsi="Times New Roman" w:cs="Times New Roman"/>
          <w:sz w:val="24"/>
          <w:szCs w:val="24"/>
        </w:rPr>
        <w:t xml:space="preserve"> et al. (2022) claim that construction waste is produced during all stages of a building's life cycle, including its creation, remodelling, reconstruction, superstructure, and disintegration. According to the source of the trash's source, garbage in Poland was categorized into 20 classes in the Regulation of the Minister of Environment that took effect from 9 December 2014 about the cataloguing of waste. "Waste resulting from the building, reconstruction, and deconstruction of facilities and transportation infrastructure (which includes ground and soil from dangerous locations)" is the definition of building demolition debris. </w:t>
      </w:r>
    </w:p>
    <w:p w14:paraId="6948E167"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Waste is defined as all hazardous and non-toxic garbage, particularly nuclear waste, that must be dealt of and used in compliance with the legislation by the federal law of the United Arab Emirates. It consists of garbage that is solid, such as that produced by industry, agriculture, medicine, and building in Abu Dhabi, building debris has been specifically defined as any non-segregated item (other than one that included asbestos) that results from: the demolition, assembly, construction, remodelling, or restoration of constructions other than chemical </w:t>
      </w:r>
      <w:r w:rsidRPr="0050538C">
        <w:rPr>
          <w:rFonts w:ascii="Times New Roman" w:hAnsi="Times New Roman" w:cs="Times New Roman"/>
          <w:sz w:val="24"/>
          <w:szCs w:val="24"/>
        </w:rPr>
        <w:lastRenderedPageBreak/>
        <w:t>manufacturers, garbage collection resources, mines, and container renovation plants. Infrastructure building, substitution, upkeep, or alteration includes the use of materials like stones, building materials, cardboard, glass, plastic, paper, metal, and timber (which includes unsorted wood but eliminating wood chemically treated using substances like creosote, chrome copper arsenate, organic solvents, and conceiving agents)</w:t>
      </w:r>
      <w:r w:rsidRPr="0050538C">
        <w:rPr>
          <w:rFonts w:ascii="Times New Roman" w:hAnsi="Times New Roman" w:cs="Times New Roman"/>
          <w:sz w:val="24"/>
          <w:szCs w:val="24"/>
          <w:shd w:val="clear" w:color="auto" w:fill="FFFFFF"/>
        </w:rPr>
        <w:t xml:space="preserve"> (Lu</w:t>
      </w:r>
      <w:r w:rsidRPr="0050538C">
        <w:rPr>
          <w:rFonts w:ascii="Times New Roman" w:hAnsi="Times New Roman" w:cs="Times New Roman"/>
          <w:sz w:val="24"/>
          <w:szCs w:val="24"/>
        </w:rPr>
        <w:t xml:space="preserve"> et al., 2022). </w:t>
      </w:r>
    </w:p>
    <w:p w14:paraId="2BFC1A0A"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 Soil produced through the clearing of land for building is not considered construction trash. Building waste, as defined by Dubai legislation, is trash left over from building projects and demolitions that includes dust, sand, timber, steel, and other items. Construction debris is a broad category of goods that come from the construction of buildings and roads, the deconstruction of structures and roads, the clearing of land, and the building and redevelopment of buildings and highways, according to a 1999 report by the Symonds group for the European Union the Commission (Na et al., 2022). The definitions mentioned above demonstrate that trash produced during all building processes is a superfluous resource.</w:t>
      </w:r>
    </w:p>
    <w:p w14:paraId="017FC183" w14:textId="77777777" w:rsidR="00480667" w:rsidRPr="0050538C" w:rsidRDefault="00480667" w:rsidP="00480667">
      <w:pPr>
        <w:pStyle w:val="Heading2"/>
        <w:rPr>
          <w:rFonts w:ascii="Times New Roman" w:hAnsi="Times New Roman" w:cs="Times New Roman"/>
          <w:b/>
          <w:bCs/>
          <w:color w:val="auto"/>
          <w:sz w:val="24"/>
          <w:szCs w:val="24"/>
        </w:rPr>
      </w:pPr>
      <w:bookmarkStart w:id="10" w:name="_Toc149913194"/>
      <w:r w:rsidRPr="0050538C">
        <w:rPr>
          <w:rFonts w:ascii="Times New Roman" w:hAnsi="Times New Roman" w:cs="Times New Roman"/>
          <w:b/>
          <w:bCs/>
          <w:color w:val="auto"/>
          <w:sz w:val="24"/>
          <w:szCs w:val="24"/>
        </w:rPr>
        <w:t>2.2</w:t>
      </w:r>
      <w:r w:rsidRPr="0050538C">
        <w:rPr>
          <w:rFonts w:ascii="Times New Roman" w:hAnsi="Times New Roman" w:cs="Times New Roman"/>
          <w:color w:val="auto"/>
          <w:sz w:val="24"/>
          <w:szCs w:val="24"/>
        </w:rPr>
        <w:t xml:space="preserve">. </w:t>
      </w:r>
      <w:r w:rsidRPr="0050538C">
        <w:rPr>
          <w:rFonts w:ascii="Times New Roman" w:hAnsi="Times New Roman" w:cs="Times New Roman"/>
          <w:b/>
          <w:bCs/>
          <w:color w:val="auto"/>
          <w:sz w:val="24"/>
          <w:szCs w:val="24"/>
        </w:rPr>
        <w:t>Waste Hierarchy in Construction Projects</w:t>
      </w:r>
      <w:bookmarkEnd w:id="10"/>
      <w:r w:rsidRPr="0050538C">
        <w:rPr>
          <w:rFonts w:ascii="Times New Roman" w:hAnsi="Times New Roman" w:cs="Times New Roman"/>
          <w:b/>
          <w:bCs/>
          <w:color w:val="auto"/>
          <w:sz w:val="24"/>
          <w:szCs w:val="24"/>
        </w:rPr>
        <w:t xml:space="preserve"> </w:t>
      </w:r>
    </w:p>
    <w:p w14:paraId="1D2F63D5" w14:textId="77777777" w:rsidR="00480667" w:rsidRPr="0050538C" w:rsidRDefault="00480667" w:rsidP="00480667">
      <w:pPr>
        <w:jc w:val="center"/>
        <w:rPr>
          <w:rFonts w:ascii="Times New Roman" w:hAnsi="Times New Roman" w:cs="Times New Roman"/>
          <w:b/>
          <w:bCs/>
          <w:sz w:val="24"/>
          <w:szCs w:val="24"/>
        </w:rPr>
      </w:pPr>
    </w:p>
    <w:p w14:paraId="3E15A06C"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prevention concept, precautionary concept, polluter-pays principle (that is, implemented via expanded manufacturer accountability), closeness and independence rules, and the concept of subsidy are some of the principles of waste management (Price and Joseph, 2020). The hierarchy of waste is one of these principles (see figure 2).</w:t>
      </w:r>
    </w:p>
    <w:p w14:paraId="5EB81D7F" w14:textId="77777777" w:rsidR="00480667" w:rsidRPr="0050538C" w:rsidRDefault="00480667" w:rsidP="00480667">
      <w:pPr>
        <w:spacing w:line="360" w:lineRule="auto"/>
        <w:jc w:val="both"/>
        <w:rPr>
          <w:rFonts w:ascii="Times New Roman" w:hAnsi="Times New Roman" w:cs="Times New Roman"/>
          <w:sz w:val="24"/>
          <w:szCs w:val="24"/>
        </w:rPr>
      </w:pPr>
    </w:p>
    <w:p w14:paraId="58507397" w14:textId="77777777" w:rsidR="00480667" w:rsidRPr="0050538C" w:rsidRDefault="00480667" w:rsidP="00480667">
      <w:pPr>
        <w:keepNext/>
        <w:spacing w:line="360" w:lineRule="auto"/>
        <w:jc w:val="center"/>
        <w:rPr>
          <w:rFonts w:ascii="Times New Roman" w:hAnsi="Times New Roman" w:cs="Times New Roman"/>
          <w:sz w:val="24"/>
          <w:szCs w:val="24"/>
        </w:rPr>
      </w:pPr>
      <w:r w:rsidRPr="0050538C">
        <w:rPr>
          <w:rFonts w:ascii="Times New Roman" w:hAnsi="Times New Roman" w:cs="Times New Roman"/>
          <w:noProof/>
          <w:sz w:val="24"/>
          <w:szCs w:val="24"/>
        </w:rPr>
        <w:drawing>
          <wp:inline distT="0" distB="0" distL="0" distR="0" wp14:anchorId="573B7490" wp14:editId="1EF3A962">
            <wp:extent cx="2818064" cy="2250809"/>
            <wp:effectExtent l="0" t="0" r="1905" b="0"/>
            <wp:docPr id="2090616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616517" name=""/>
                    <pic:cNvPicPr/>
                  </pic:nvPicPr>
                  <pic:blipFill>
                    <a:blip r:embed="rId7"/>
                    <a:stretch>
                      <a:fillRect/>
                    </a:stretch>
                  </pic:blipFill>
                  <pic:spPr>
                    <a:xfrm>
                      <a:off x="0" y="0"/>
                      <a:ext cx="2830038" cy="2260373"/>
                    </a:xfrm>
                    <a:prstGeom prst="rect">
                      <a:avLst/>
                    </a:prstGeom>
                  </pic:spPr>
                </pic:pic>
              </a:graphicData>
            </a:graphic>
          </wp:inline>
        </w:drawing>
      </w:r>
    </w:p>
    <w:p w14:paraId="216F5B9F" w14:textId="77777777" w:rsidR="00480667" w:rsidRPr="0050538C" w:rsidRDefault="00480667" w:rsidP="00480667">
      <w:pPr>
        <w:pStyle w:val="Caption"/>
        <w:jc w:val="center"/>
        <w:rPr>
          <w:rFonts w:ascii="Times New Roman" w:hAnsi="Times New Roman" w:cs="Times New Roman"/>
          <w:color w:val="auto"/>
          <w:sz w:val="24"/>
          <w:szCs w:val="24"/>
        </w:rPr>
      </w:pPr>
      <w:bookmarkStart w:id="11" w:name="_Toc149910237"/>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Pr="0050538C">
        <w:rPr>
          <w:rFonts w:ascii="Times New Roman" w:hAnsi="Times New Roman" w:cs="Times New Roman"/>
          <w:noProof/>
          <w:color w:val="auto"/>
          <w:sz w:val="24"/>
          <w:szCs w:val="24"/>
        </w:rPr>
        <w:t>2</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Waste Hierarchy. Source:</w:t>
      </w:r>
      <w:r w:rsidRPr="0050538C">
        <w:rPr>
          <w:rFonts w:ascii="Times New Roman" w:hAnsi="Times New Roman" w:cs="Times New Roman"/>
          <w:color w:val="auto"/>
          <w:sz w:val="24"/>
          <w:szCs w:val="24"/>
          <w:shd w:val="clear" w:color="auto" w:fill="FFFFFF"/>
        </w:rPr>
        <w:t xml:space="preserve"> Price and Joseph (2020)</w:t>
      </w:r>
      <w:bookmarkEnd w:id="11"/>
    </w:p>
    <w:p w14:paraId="481AAE97" w14:textId="77777777" w:rsidR="00480667" w:rsidRPr="0050538C" w:rsidRDefault="00480667" w:rsidP="00480667">
      <w:pPr>
        <w:spacing w:line="360" w:lineRule="auto"/>
        <w:jc w:val="both"/>
        <w:rPr>
          <w:rFonts w:ascii="Times New Roman" w:hAnsi="Times New Roman" w:cs="Times New Roman"/>
          <w:sz w:val="24"/>
          <w:szCs w:val="24"/>
        </w:rPr>
      </w:pPr>
    </w:p>
    <w:p w14:paraId="42A8A9CD"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lastRenderedPageBreak/>
        <w:t>Some of these values have roots in the EU dating back to the 1973 onset of the oil crisis, while others can be found in early sustainable texts as the Common Future and the Declaration of Rio from the Earth Summit. The EU has devised a five-tiered waste hierarchy that includes waste avoidance, recycling, reuse, recovery, and dumping (</w:t>
      </w:r>
      <w:r w:rsidRPr="0050538C">
        <w:rPr>
          <w:rFonts w:ascii="Times New Roman" w:hAnsi="Times New Roman" w:cs="Times New Roman"/>
          <w:sz w:val="24"/>
          <w:szCs w:val="24"/>
          <w:shd w:val="clear" w:color="auto" w:fill="FFFFFF"/>
        </w:rPr>
        <w:t>Isenhour</w:t>
      </w:r>
      <w:r w:rsidRPr="0050538C">
        <w:rPr>
          <w:rFonts w:ascii="Times New Roman" w:hAnsi="Times New Roman" w:cs="Times New Roman"/>
          <w:sz w:val="24"/>
          <w:szCs w:val="24"/>
        </w:rPr>
        <w:t xml:space="preserve"> et al., 2021). The 3Rs — minimising, reusing, and recycling — are often used to refer to this outside of the realm of management of waste</w:t>
      </w:r>
      <w:r w:rsidRPr="0050538C">
        <w:rPr>
          <w:rFonts w:ascii="Times New Roman" w:hAnsi="Times New Roman" w:cs="Times New Roman"/>
          <w:b/>
          <w:bCs/>
          <w:sz w:val="24"/>
          <w:szCs w:val="24"/>
        </w:rPr>
        <w:t xml:space="preserve">. </w:t>
      </w:r>
      <w:r w:rsidRPr="0050538C">
        <w:rPr>
          <w:rFonts w:ascii="Times New Roman" w:hAnsi="Times New Roman" w:cs="Times New Roman"/>
          <w:sz w:val="24"/>
          <w:szCs w:val="24"/>
        </w:rPr>
        <w:t>The waste hierarchy establishes an emphasis ranking for waste treatment choices in terms of minimum feasible impact on the environment and reduction of final waste. It is simply amplification of the cautious and preventative concepts. In order to support making choices for systems of waste management at regional and/or national levels, this has been done (</w:t>
      </w:r>
      <w:r w:rsidRPr="0050538C">
        <w:rPr>
          <w:rFonts w:ascii="Times New Roman" w:hAnsi="Times New Roman" w:cs="Times New Roman"/>
          <w:sz w:val="24"/>
          <w:szCs w:val="24"/>
          <w:shd w:val="clear" w:color="auto" w:fill="FFFFFF"/>
        </w:rPr>
        <w:t>Awino and Apitz, 2023)</w:t>
      </w:r>
      <w:r w:rsidRPr="0050538C">
        <w:rPr>
          <w:rFonts w:ascii="Times New Roman" w:hAnsi="Times New Roman" w:cs="Times New Roman"/>
          <w:sz w:val="24"/>
          <w:szCs w:val="24"/>
        </w:rPr>
        <w:t>.</w:t>
      </w:r>
    </w:p>
    <w:p w14:paraId="5B86FA3C" w14:textId="77777777" w:rsidR="00480667" w:rsidRPr="0050538C" w:rsidRDefault="00480667" w:rsidP="00480667">
      <w:pPr>
        <w:pStyle w:val="Heading2"/>
        <w:rPr>
          <w:rFonts w:ascii="Times New Roman" w:hAnsi="Times New Roman" w:cs="Times New Roman"/>
          <w:b/>
          <w:bCs/>
          <w:color w:val="auto"/>
          <w:sz w:val="24"/>
          <w:szCs w:val="24"/>
        </w:rPr>
      </w:pPr>
      <w:bookmarkStart w:id="12" w:name="_Toc149913195"/>
      <w:r w:rsidRPr="0050538C">
        <w:rPr>
          <w:rFonts w:ascii="Times New Roman" w:hAnsi="Times New Roman" w:cs="Times New Roman"/>
          <w:b/>
          <w:bCs/>
          <w:color w:val="auto"/>
          <w:sz w:val="24"/>
          <w:szCs w:val="24"/>
        </w:rPr>
        <w:t>2.3. Importance of Circular Economy in Waste Management</w:t>
      </w:r>
      <w:bookmarkEnd w:id="12"/>
      <w:r w:rsidRPr="0050538C">
        <w:rPr>
          <w:rFonts w:ascii="Times New Roman" w:hAnsi="Times New Roman" w:cs="Times New Roman"/>
          <w:b/>
          <w:bCs/>
          <w:color w:val="auto"/>
          <w:sz w:val="24"/>
          <w:szCs w:val="24"/>
        </w:rPr>
        <w:t xml:space="preserve"> </w:t>
      </w:r>
    </w:p>
    <w:p w14:paraId="643AA4B0" w14:textId="77777777" w:rsidR="00480667" w:rsidRPr="0050538C" w:rsidRDefault="00480667" w:rsidP="00480667">
      <w:pPr>
        <w:rPr>
          <w:rFonts w:ascii="Times New Roman" w:hAnsi="Times New Roman" w:cs="Times New Roman"/>
          <w:sz w:val="24"/>
          <w:szCs w:val="24"/>
        </w:rPr>
      </w:pPr>
    </w:p>
    <w:p w14:paraId="38CCEC6C"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circular economy model is characterised as an approach of clean manufacturing that allows for the recycling of goods and raw materials while producing nearly no waste, in which fuel and all sources are utilised effectively and garbage is recycled in a holistic manner. According to Haas et al., a circular economy is an easy but effective technique to decrease both virgin material input &amp; waste output by closing financial and environmental resource circulation loops (</w:t>
      </w:r>
      <w:r w:rsidRPr="0050538C">
        <w:rPr>
          <w:rFonts w:ascii="Times New Roman" w:hAnsi="Times New Roman" w:cs="Times New Roman"/>
          <w:sz w:val="24"/>
          <w:szCs w:val="24"/>
          <w:shd w:val="clear" w:color="auto" w:fill="FFFFFF"/>
        </w:rPr>
        <w:t>Çimen, 2021)</w:t>
      </w:r>
      <w:r w:rsidRPr="0050538C">
        <w:rPr>
          <w:rFonts w:ascii="Times New Roman" w:hAnsi="Times New Roman" w:cs="Times New Roman"/>
          <w:sz w:val="24"/>
          <w:szCs w:val="24"/>
        </w:rPr>
        <w:t>.</w:t>
      </w:r>
    </w:p>
    <w:p w14:paraId="2896C813"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According to </w:t>
      </w:r>
      <w:r w:rsidRPr="0050538C">
        <w:rPr>
          <w:rFonts w:ascii="Times New Roman" w:hAnsi="Times New Roman" w:cs="Times New Roman"/>
          <w:sz w:val="24"/>
          <w:szCs w:val="24"/>
          <w:shd w:val="clear" w:color="auto" w:fill="FFFFFF"/>
        </w:rPr>
        <w:t>Hossain et al. (2020),</w:t>
      </w:r>
      <w:r w:rsidRPr="0050538C">
        <w:rPr>
          <w:rFonts w:ascii="Times New Roman" w:hAnsi="Times New Roman" w:cs="Times New Roman"/>
          <w:sz w:val="24"/>
          <w:szCs w:val="24"/>
        </w:rPr>
        <w:t xml:space="preserve"> the circular economy is a paradigm that balances economic growth with environmental and resource protection. Circular economy refers to the reuse, repair, refurbishment, and recycle of current supplies and goods; what was previously deemed waste becomes an asset, and the basic goal of the circular economy is to produce value through materials preservation.</w:t>
      </w:r>
    </w:p>
    <w:p w14:paraId="3B863667"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rPr>
        <w:t>The Circular Economy (CE), which has attracted the attention of academics and practitioners alike over the past ten years, is diametrically opposed to this unproductive and untenable linear economic model. Regardless of the numerous schools of thinking and definitions, the CE's goal is to keep resources flowing at their optimum value within limits. This guarantees no additional natural resources are required to produce products and that waste is kept to a minimum (</w:t>
      </w:r>
      <w:r w:rsidRPr="0050538C">
        <w:rPr>
          <w:rFonts w:ascii="Times New Roman" w:hAnsi="Times New Roman" w:cs="Times New Roman"/>
          <w:sz w:val="24"/>
          <w:szCs w:val="24"/>
          <w:shd w:val="clear" w:color="auto" w:fill="FFFFFF"/>
        </w:rPr>
        <w:t xml:space="preserve">Alhola et al., 2019). </w:t>
      </w:r>
    </w:p>
    <w:p w14:paraId="26E1DB6C"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 In addition to circularity of resources in closed-loop structures, the CE emphasises better handling of resources by reconsidering and decreasing needless use (</w:t>
      </w:r>
      <w:r w:rsidRPr="0050538C">
        <w:rPr>
          <w:rFonts w:ascii="Times New Roman" w:hAnsi="Times New Roman" w:cs="Times New Roman"/>
          <w:sz w:val="24"/>
          <w:szCs w:val="24"/>
          <w:shd w:val="clear" w:color="auto" w:fill="FFFFFF"/>
        </w:rPr>
        <w:t xml:space="preserve">Singh and Ordoñez, 2016). </w:t>
      </w:r>
      <w:r w:rsidRPr="0050538C">
        <w:rPr>
          <w:rFonts w:ascii="Times New Roman" w:hAnsi="Times New Roman" w:cs="Times New Roman"/>
          <w:sz w:val="24"/>
          <w:szCs w:val="24"/>
        </w:rPr>
        <w:t xml:space="preserve">Product disintegration, product growth, and greater effectiveness in production are </w:t>
      </w:r>
      <w:r w:rsidRPr="0050538C">
        <w:rPr>
          <w:rFonts w:ascii="Times New Roman" w:hAnsi="Times New Roman" w:cs="Times New Roman"/>
          <w:sz w:val="24"/>
          <w:szCs w:val="24"/>
        </w:rPr>
        <w:lastRenderedPageBreak/>
        <w:t>examples of these projects that combine better managing resources through rethinking and decreasing wasteful utilization (</w:t>
      </w:r>
      <w:r w:rsidRPr="0050538C">
        <w:rPr>
          <w:rFonts w:ascii="Times New Roman" w:hAnsi="Times New Roman" w:cs="Times New Roman"/>
          <w:sz w:val="24"/>
          <w:szCs w:val="24"/>
          <w:shd w:val="clear" w:color="auto" w:fill="FFFFFF"/>
        </w:rPr>
        <w:t xml:space="preserve">D'Adamo et al., 2022). </w:t>
      </w:r>
    </w:p>
    <w:p w14:paraId="41AB7515"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Many issues confront the handling of waste in the construction industry (CI), include a non-linear economy, a lack of funding, a lack of appropriate technology, non-supportive facilities and a lack of political commitment toward a more sustainable future. Uncertainty in the CI are created by changing prices for raw materials, material shortages, rising demand, growing urbanization, changes in the climate, a lack of effective disposal facilities and the adoption of incorrect recycling methods (</w:t>
      </w:r>
      <w:r w:rsidRPr="0050538C">
        <w:rPr>
          <w:rFonts w:ascii="Times New Roman" w:hAnsi="Times New Roman" w:cs="Times New Roman"/>
          <w:sz w:val="24"/>
          <w:szCs w:val="24"/>
          <w:shd w:val="clear" w:color="auto" w:fill="FFFFFF"/>
        </w:rPr>
        <w:t>Smol, 2019)</w:t>
      </w:r>
      <w:r w:rsidRPr="0050538C">
        <w:rPr>
          <w:rFonts w:ascii="Times New Roman" w:hAnsi="Times New Roman" w:cs="Times New Roman"/>
          <w:sz w:val="24"/>
          <w:szCs w:val="24"/>
        </w:rPr>
        <w:t>. There appears to be disagreement about the root causes of issues and how to remedy them. However, understanding and responding to intricacy is outside the capabilities of any single company. Implementing CE principles in CI will cut industry costs, eliminate undesirable environmental consequences, make cities more liveable, successful, and comfortable, and assist in dealing with process difficulties (</w:t>
      </w:r>
      <w:r w:rsidRPr="0050538C">
        <w:rPr>
          <w:rFonts w:ascii="Times New Roman" w:hAnsi="Times New Roman" w:cs="Times New Roman"/>
          <w:sz w:val="24"/>
          <w:szCs w:val="24"/>
          <w:shd w:val="clear" w:color="auto" w:fill="FFFFFF"/>
        </w:rPr>
        <w:t xml:space="preserve">VERAL, 2021). </w:t>
      </w:r>
      <w:r w:rsidRPr="0050538C">
        <w:rPr>
          <w:rFonts w:ascii="Times New Roman" w:hAnsi="Times New Roman" w:cs="Times New Roman"/>
          <w:sz w:val="24"/>
          <w:szCs w:val="24"/>
        </w:rPr>
        <w:t>Although the CE concept has gained support in business, academia, and government, its broad adoption remains limited. In the CI, the execution is in its early stages. whatever its state in execution, the CE is recognized as one of the most critical and contemporary approaches to tackling environment. As a result, the CE's application in the CI, like its commercial parallels, must be explored and facilitated in order to meet global environmental goals (</w:t>
      </w:r>
      <w:r w:rsidRPr="0050538C">
        <w:rPr>
          <w:rFonts w:ascii="Times New Roman" w:hAnsi="Times New Roman" w:cs="Times New Roman"/>
          <w:sz w:val="24"/>
          <w:szCs w:val="24"/>
          <w:shd w:val="clear" w:color="auto" w:fill="FFFFFF"/>
        </w:rPr>
        <w:t>Burlakovs</w:t>
      </w:r>
      <w:r w:rsidRPr="0050538C">
        <w:rPr>
          <w:rFonts w:ascii="Times New Roman" w:hAnsi="Times New Roman" w:cs="Times New Roman"/>
          <w:sz w:val="24"/>
          <w:szCs w:val="24"/>
        </w:rPr>
        <w:t xml:space="preserve"> et al., 2018). </w:t>
      </w:r>
    </w:p>
    <w:p w14:paraId="69B77EF8"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CE strives to contribute to equitable growth.  The CE acts within the context of environmentally friendly development. Yet, little study has been conducted on using CE principles in the construction sector comprehensively and methodically (</w:t>
      </w:r>
      <w:r w:rsidRPr="0050538C">
        <w:rPr>
          <w:rFonts w:ascii="Times New Roman" w:hAnsi="Times New Roman" w:cs="Times New Roman"/>
          <w:sz w:val="24"/>
          <w:szCs w:val="24"/>
          <w:shd w:val="clear" w:color="auto" w:fill="FFFFFF"/>
        </w:rPr>
        <w:t>Murthy and Ramakrishna, 2022)</w:t>
      </w:r>
      <w:r w:rsidRPr="0050538C">
        <w:rPr>
          <w:rFonts w:ascii="Times New Roman" w:hAnsi="Times New Roman" w:cs="Times New Roman"/>
          <w:sz w:val="24"/>
          <w:szCs w:val="24"/>
        </w:rPr>
        <w:t xml:space="preserve">. </w:t>
      </w:r>
    </w:p>
    <w:p w14:paraId="3F8ECFDA"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For example, </w:t>
      </w:r>
      <w:r w:rsidRPr="0050538C">
        <w:rPr>
          <w:rFonts w:ascii="Times New Roman" w:hAnsi="Times New Roman" w:cs="Times New Roman"/>
          <w:sz w:val="24"/>
          <w:szCs w:val="24"/>
          <w:shd w:val="clear" w:color="auto" w:fill="FFFFFF"/>
        </w:rPr>
        <w:t xml:space="preserve">Mahpour (2018) </w:t>
      </w:r>
      <w:r w:rsidRPr="0050538C">
        <w:rPr>
          <w:rFonts w:ascii="Times New Roman" w:hAnsi="Times New Roman" w:cs="Times New Roman"/>
          <w:sz w:val="24"/>
          <w:szCs w:val="24"/>
        </w:rPr>
        <w:t xml:space="preserve">established a paradigm demonstrating that the CE aids in the realization of sustainability goals.   recognized and classified constraints to a CE for sustainable development in the CI as financial, structural, functioning, and technology. </w:t>
      </w:r>
      <w:r w:rsidRPr="0050538C">
        <w:rPr>
          <w:rFonts w:ascii="Times New Roman" w:hAnsi="Times New Roman" w:cs="Times New Roman"/>
          <w:sz w:val="24"/>
          <w:szCs w:val="24"/>
          <w:shd w:val="clear" w:color="auto" w:fill="FFFFFF"/>
        </w:rPr>
        <w:t xml:space="preserve">Spišáková, et al. (2022), </w:t>
      </w:r>
      <w:r w:rsidRPr="0050538C">
        <w:rPr>
          <w:rFonts w:ascii="Times New Roman" w:hAnsi="Times New Roman" w:cs="Times New Roman"/>
          <w:sz w:val="24"/>
          <w:szCs w:val="24"/>
        </w:rPr>
        <w:t xml:space="preserve">recycling, refurbishment, repair, and reuse are the most often utilized R-strategies. </w:t>
      </w:r>
      <w:r w:rsidRPr="0050538C">
        <w:rPr>
          <w:rFonts w:ascii="Times New Roman" w:hAnsi="Times New Roman" w:cs="Times New Roman"/>
          <w:sz w:val="24"/>
          <w:szCs w:val="24"/>
          <w:shd w:val="clear" w:color="auto" w:fill="FFFFFF"/>
        </w:rPr>
        <w:t>Hao</w:t>
      </w:r>
      <w:r w:rsidRPr="0050538C">
        <w:rPr>
          <w:rFonts w:ascii="Times New Roman" w:hAnsi="Times New Roman" w:cs="Times New Roman"/>
          <w:sz w:val="24"/>
          <w:szCs w:val="24"/>
        </w:rPr>
        <w:t xml:space="preserve"> et al. (2022) presented critical recommendations for how firms might apply CE practices to achieve sustainability.</w:t>
      </w:r>
    </w:p>
    <w:p w14:paraId="64C8BD47" w14:textId="77777777" w:rsidR="00480667" w:rsidRPr="0050538C" w:rsidRDefault="00480667" w:rsidP="00480667">
      <w:pPr>
        <w:spacing w:line="360" w:lineRule="auto"/>
        <w:jc w:val="both"/>
        <w:rPr>
          <w:rFonts w:ascii="Times New Roman" w:hAnsi="Times New Roman" w:cs="Times New Roman"/>
          <w:b/>
          <w:bCs/>
          <w:sz w:val="24"/>
          <w:szCs w:val="24"/>
        </w:rPr>
      </w:pPr>
    </w:p>
    <w:p w14:paraId="041239E4" w14:textId="77777777" w:rsidR="00480667" w:rsidRPr="0050538C" w:rsidRDefault="00480667" w:rsidP="00480667">
      <w:pPr>
        <w:pStyle w:val="Heading2"/>
        <w:rPr>
          <w:rFonts w:ascii="Times New Roman" w:hAnsi="Times New Roman" w:cs="Times New Roman"/>
          <w:b/>
          <w:bCs/>
          <w:color w:val="auto"/>
          <w:sz w:val="24"/>
          <w:szCs w:val="24"/>
        </w:rPr>
      </w:pPr>
      <w:bookmarkStart w:id="13" w:name="_Toc149913196"/>
      <w:r w:rsidRPr="0050538C">
        <w:rPr>
          <w:rFonts w:ascii="Times New Roman" w:hAnsi="Times New Roman" w:cs="Times New Roman"/>
          <w:b/>
          <w:bCs/>
          <w:color w:val="auto"/>
          <w:sz w:val="24"/>
          <w:szCs w:val="24"/>
        </w:rPr>
        <w:t>2.4. Existing Waste Management Strategies</w:t>
      </w:r>
      <w:bookmarkEnd w:id="13"/>
      <w:r w:rsidRPr="0050538C">
        <w:rPr>
          <w:rFonts w:ascii="Times New Roman" w:hAnsi="Times New Roman" w:cs="Times New Roman"/>
          <w:b/>
          <w:bCs/>
          <w:color w:val="auto"/>
          <w:sz w:val="24"/>
          <w:szCs w:val="24"/>
        </w:rPr>
        <w:t xml:space="preserve"> </w:t>
      </w:r>
    </w:p>
    <w:p w14:paraId="4A43A549" w14:textId="77777777" w:rsidR="00480667" w:rsidRPr="0050538C" w:rsidRDefault="00480667" w:rsidP="00480667">
      <w:pPr>
        <w:rPr>
          <w:rFonts w:ascii="Times New Roman" w:hAnsi="Times New Roman" w:cs="Times New Roman"/>
          <w:b/>
          <w:bCs/>
          <w:sz w:val="24"/>
          <w:szCs w:val="24"/>
        </w:rPr>
      </w:pPr>
    </w:p>
    <w:p w14:paraId="2028C9F9" w14:textId="77777777" w:rsidR="00480667" w:rsidRPr="0050538C" w:rsidRDefault="00480667" w:rsidP="00480667">
      <w:pPr>
        <w:spacing w:line="360" w:lineRule="auto"/>
        <w:jc w:val="both"/>
        <w:rPr>
          <w:rFonts w:ascii="Times New Roman" w:hAnsi="Times New Roman" w:cs="Times New Roman"/>
          <w:b/>
          <w:bCs/>
          <w:sz w:val="24"/>
          <w:szCs w:val="24"/>
        </w:rPr>
      </w:pPr>
      <w:r w:rsidRPr="0050538C">
        <w:rPr>
          <w:rFonts w:ascii="Times New Roman" w:hAnsi="Times New Roman" w:cs="Times New Roman"/>
          <w:sz w:val="24"/>
          <w:szCs w:val="24"/>
        </w:rPr>
        <w:lastRenderedPageBreak/>
        <w:t>The literature review collated academic, practitioner, professional, regulatory and trade data on sustainability practices in construction waste management. At the completion of the detailed literature review, an analysis of the knowledge acquisition database by the researchers concluded that, based on the synthesis of information derived from the literature exploration, an examination of the possible effective and efficient front-end construction waste strategies would provide optimal triple-bottom-line commercial, environmental and community benefits to stakeholders (</w:t>
      </w:r>
      <w:r w:rsidRPr="0050538C">
        <w:rPr>
          <w:rFonts w:ascii="Times New Roman" w:hAnsi="Times New Roman" w:cs="Times New Roman"/>
          <w:sz w:val="24"/>
          <w:szCs w:val="24"/>
          <w:shd w:val="clear" w:color="auto" w:fill="FFFFFF"/>
        </w:rPr>
        <w:t>Aishah</w:t>
      </w:r>
      <w:r w:rsidRPr="0050538C">
        <w:rPr>
          <w:rFonts w:ascii="Times New Roman" w:hAnsi="Times New Roman" w:cs="Times New Roman"/>
          <w:sz w:val="24"/>
          <w:szCs w:val="24"/>
        </w:rPr>
        <w:t xml:space="preserve"> et al., 2023). </w:t>
      </w:r>
    </w:p>
    <w:p w14:paraId="57D910E0" w14:textId="77777777" w:rsidR="00480667" w:rsidRPr="0050538C" w:rsidRDefault="00480667" w:rsidP="00480667">
      <w:pPr>
        <w:pStyle w:val="Heading3"/>
        <w:rPr>
          <w:rFonts w:ascii="Times New Roman" w:hAnsi="Times New Roman" w:cs="Times New Roman"/>
          <w:b/>
          <w:bCs/>
          <w:color w:val="auto"/>
        </w:rPr>
      </w:pPr>
      <w:bookmarkStart w:id="14" w:name="_Toc149913197"/>
      <w:r w:rsidRPr="0050538C">
        <w:rPr>
          <w:rFonts w:ascii="Times New Roman" w:hAnsi="Times New Roman" w:cs="Times New Roman"/>
          <w:b/>
          <w:bCs/>
          <w:color w:val="auto"/>
        </w:rPr>
        <w:t>2.4.1 Waste Reduction Techniques in Construction</w:t>
      </w:r>
      <w:bookmarkEnd w:id="14"/>
      <w:r w:rsidRPr="0050538C">
        <w:rPr>
          <w:rFonts w:ascii="Times New Roman" w:hAnsi="Times New Roman" w:cs="Times New Roman"/>
          <w:b/>
          <w:bCs/>
          <w:color w:val="auto"/>
        </w:rPr>
        <w:t xml:space="preserve"> </w:t>
      </w:r>
    </w:p>
    <w:p w14:paraId="3D693CCA" w14:textId="77777777" w:rsidR="00480667" w:rsidRPr="0050538C" w:rsidRDefault="00480667" w:rsidP="00480667">
      <w:pPr>
        <w:rPr>
          <w:rFonts w:ascii="Times New Roman" w:hAnsi="Times New Roman" w:cs="Times New Roman"/>
          <w:sz w:val="24"/>
          <w:szCs w:val="24"/>
        </w:rPr>
      </w:pPr>
    </w:p>
    <w:p w14:paraId="094DDBF1"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According to the literature review, it can be presumed that the following techniques for reducing building debris are utilized by construction firms: (1) adequate storage to safeguard services toward mechanical harm and weather conditions; (2) ordering items in the correct amount and size, which eliminates having to trim them; (3) teaching employees about how to handle waste; (4) the use for tracking systems; and (5) safe loading and removing to avoid damage to property.  (Considering the conducted literature review and the local construction solutions for residential and mixed-used buildings, five types of the most common construction waste, for which the research was carried out, were specified. These include: steel, concrete, masonry products, finishing products: ceramic and stone tiles, and wood (</w:t>
      </w:r>
      <w:r w:rsidRPr="0050538C">
        <w:rPr>
          <w:rFonts w:ascii="Times New Roman" w:hAnsi="Times New Roman" w:cs="Times New Roman"/>
          <w:sz w:val="24"/>
          <w:szCs w:val="24"/>
          <w:shd w:val="clear" w:color="auto" w:fill="FFFFFF"/>
        </w:rPr>
        <w:t>Ruiz</w:t>
      </w:r>
      <w:r w:rsidRPr="0050538C">
        <w:rPr>
          <w:rFonts w:ascii="Times New Roman" w:hAnsi="Times New Roman" w:cs="Times New Roman"/>
          <w:sz w:val="24"/>
          <w:szCs w:val="24"/>
        </w:rPr>
        <w:t xml:space="preserve"> et al., 2020). The research examines frequency of use of the above-mentioned waste reduction methods in relation to these products and the dependence of their use on five groups of construction companies, (</w:t>
      </w:r>
      <w:r w:rsidRPr="0050538C">
        <w:rPr>
          <w:rFonts w:ascii="Times New Roman" w:hAnsi="Times New Roman" w:cs="Times New Roman"/>
          <w:sz w:val="24"/>
          <w:szCs w:val="24"/>
          <w:shd w:val="clear" w:color="auto" w:fill="FFFFFF"/>
        </w:rPr>
        <w:t>Hasmori et al., 2020),</w:t>
      </w:r>
      <w:r w:rsidRPr="0050538C">
        <w:rPr>
          <w:rFonts w:ascii="Times New Roman" w:hAnsi="Times New Roman" w:cs="Times New Roman"/>
          <w:sz w:val="24"/>
          <w:szCs w:val="24"/>
        </w:rPr>
        <w:t xml:space="preserve"> the separation of waste on location; (10) the choice of a waste segregation location for the waste's getting ready for recycling or reuse; (11) the repurposed use of products during building of  structures, such as wood used repeatedly in formwork, leftover concrete used as rubble for temporary roads and sidewalks, or leftover steel bars utilized as indicators for points of interest on the building site; (12) timely pickup of goods that decreases the length of time they are stored and risk of harming them; and (13) the establishment of a waste disposal facility (</w:t>
      </w:r>
      <w:r w:rsidRPr="0050538C">
        <w:rPr>
          <w:rFonts w:ascii="Times New Roman" w:hAnsi="Times New Roman" w:cs="Times New Roman"/>
          <w:sz w:val="24"/>
          <w:szCs w:val="24"/>
          <w:shd w:val="clear" w:color="auto" w:fill="FFFFFF"/>
        </w:rPr>
        <w:t>Gulghane and Khandve, 2015</w:t>
      </w:r>
      <w:r w:rsidRPr="0050538C">
        <w:rPr>
          <w:rFonts w:ascii="Times New Roman" w:hAnsi="Times New Roman" w:cs="Times New Roman"/>
          <w:sz w:val="24"/>
          <w:szCs w:val="24"/>
        </w:rPr>
        <w:t xml:space="preserve">). </w:t>
      </w:r>
    </w:p>
    <w:p w14:paraId="0AFB55C4"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Whereas, the study of </w:t>
      </w:r>
      <w:r w:rsidRPr="0050538C">
        <w:rPr>
          <w:rFonts w:ascii="Times New Roman" w:hAnsi="Times New Roman" w:cs="Times New Roman"/>
          <w:sz w:val="24"/>
          <w:szCs w:val="24"/>
          <w:shd w:val="clear" w:color="auto" w:fill="FFFFFF"/>
        </w:rPr>
        <w:t xml:space="preserve">Menegaki and Damigos (2018) reported that </w:t>
      </w:r>
      <w:r w:rsidRPr="0050538C">
        <w:rPr>
          <w:rFonts w:ascii="Times New Roman" w:hAnsi="Times New Roman" w:cs="Times New Roman"/>
          <w:sz w:val="24"/>
          <w:szCs w:val="24"/>
        </w:rPr>
        <w:t xml:space="preserve">waste reduction can be accomplished through a Zero Waste mindset, correct choices in design, site the leadership team, proper standardising of building supplies, and coding of the same. Building debris can also be decreased by implementing a system for handling waste on the job site. The project operations must be coordinated at each step by all construction professionals involved in order to reduce total trash creation during the project. The waste rate estimation approach can be used to </w:t>
      </w:r>
      <w:r w:rsidRPr="0050538C">
        <w:rPr>
          <w:rFonts w:ascii="Times New Roman" w:hAnsi="Times New Roman" w:cs="Times New Roman"/>
          <w:sz w:val="24"/>
          <w:szCs w:val="24"/>
        </w:rPr>
        <w:lastRenderedPageBreak/>
        <w:t>optimize material handling, minimize waste, and increase production. The 3R and 4R concepts, which include reduce, reuse, recycle, and recuperate, can also help mitigate building material waste. These can be used to full product and service phases of life.</w:t>
      </w:r>
    </w:p>
    <w:p w14:paraId="6715EFEE"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In the study by </w:t>
      </w:r>
      <w:r w:rsidRPr="0050538C">
        <w:rPr>
          <w:rFonts w:ascii="Times New Roman" w:hAnsi="Times New Roman" w:cs="Times New Roman"/>
          <w:sz w:val="24"/>
          <w:szCs w:val="24"/>
          <w:shd w:val="clear" w:color="auto" w:fill="FFFFFF"/>
        </w:rPr>
        <w:t xml:space="preserve">Kolaventi et al (2020), </w:t>
      </w:r>
      <w:r w:rsidRPr="0050538C">
        <w:rPr>
          <w:rFonts w:ascii="Times New Roman" w:hAnsi="Times New Roman" w:cs="Times New Roman"/>
          <w:sz w:val="24"/>
          <w:szCs w:val="24"/>
        </w:rPr>
        <w:t>the free-flow mapping display method can be used to investigate waste flow practices on building sites. The method has been found to be useful in expressing process flows rationally, clearly, and simply. Waste flow can be predicted using architectural features throughout the building stage. For efficient material waste reduction, construction waste management strategies such as reducing waste creation, maximizing reuse and recycling, and reducing the input of mixed building materials at landfill can be implemented.</w:t>
      </w:r>
    </w:p>
    <w:p w14:paraId="4FA27259"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Environmentally friendly building practices, such as using a big panel system on every project site, using the prefabrication materials for efficiency, and decreasing the use of wet trade, have been promoted. A construction waste disposal strategy also includes the upkeep of an organized public filling programme with adequate facilities and access. Sort heterogeneous construction trash rather than dumping it in one spot, reuse and recycle resources as much as feasible, plan better and build more effectively to reduce waste, and reduce energy wastage (</w:t>
      </w:r>
      <w:r w:rsidRPr="0050538C">
        <w:rPr>
          <w:rFonts w:ascii="Times New Roman" w:hAnsi="Times New Roman" w:cs="Times New Roman"/>
          <w:sz w:val="24"/>
          <w:szCs w:val="24"/>
          <w:shd w:val="clear" w:color="auto" w:fill="FFFFFF"/>
        </w:rPr>
        <w:t>de Andrade Salgado et al., 2022).</w:t>
      </w:r>
    </w:p>
    <w:p w14:paraId="2609A7F6"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Various techniques for Construction and Demolition waste elimination include design uniformity, stock control to reduce over ordering, worker awareness of the environment, and so on. Building disposal charge schemes (CWDCS) instituted by government agencies can give monetary incentives to C&amp;D waste producers to decrease wastage and encourage recycling and reuse. Government actions such as disposal taxes, additional fees for using virgin building supplies, tax incentives for recycling, and so on can be utilized on building sites to reduce waste (</w:t>
      </w:r>
      <w:r w:rsidRPr="0050538C">
        <w:rPr>
          <w:rFonts w:ascii="Times New Roman" w:hAnsi="Times New Roman" w:cs="Times New Roman"/>
          <w:sz w:val="24"/>
          <w:szCs w:val="24"/>
          <w:shd w:val="clear" w:color="auto" w:fill="FFFFFF"/>
        </w:rPr>
        <w:t>Daoud</w:t>
      </w:r>
      <w:r w:rsidRPr="0050538C">
        <w:rPr>
          <w:rFonts w:ascii="Times New Roman" w:hAnsi="Times New Roman" w:cs="Times New Roman"/>
          <w:sz w:val="24"/>
          <w:szCs w:val="24"/>
        </w:rPr>
        <w:t xml:space="preserve"> et al., 2023). </w:t>
      </w:r>
    </w:p>
    <w:p w14:paraId="5B7D43DC" w14:textId="77777777" w:rsidR="00480667" w:rsidRPr="0050538C" w:rsidRDefault="00480667" w:rsidP="00480667">
      <w:pPr>
        <w:spacing w:line="360" w:lineRule="auto"/>
        <w:jc w:val="both"/>
        <w:rPr>
          <w:rFonts w:ascii="Times New Roman" w:hAnsi="Times New Roman" w:cs="Times New Roman"/>
          <w:sz w:val="24"/>
          <w:szCs w:val="24"/>
        </w:rPr>
      </w:pPr>
    </w:p>
    <w:p w14:paraId="6FA1314D" w14:textId="77777777" w:rsidR="00480667" w:rsidRPr="0050538C" w:rsidRDefault="00480667" w:rsidP="00480667">
      <w:pPr>
        <w:pStyle w:val="Heading3"/>
        <w:rPr>
          <w:rFonts w:ascii="Times New Roman" w:hAnsi="Times New Roman" w:cs="Times New Roman"/>
          <w:b/>
          <w:bCs/>
          <w:color w:val="auto"/>
        </w:rPr>
      </w:pPr>
      <w:bookmarkStart w:id="15" w:name="_Toc149913198"/>
      <w:r w:rsidRPr="0050538C">
        <w:rPr>
          <w:rFonts w:ascii="Times New Roman" w:hAnsi="Times New Roman" w:cs="Times New Roman"/>
          <w:b/>
          <w:bCs/>
          <w:color w:val="auto"/>
        </w:rPr>
        <w:t>2.4.2 Recycling of Waste Materials</w:t>
      </w:r>
      <w:bookmarkEnd w:id="15"/>
      <w:r w:rsidRPr="0050538C">
        <w:rPr>
          <w:rFonts w:ascii="Times New Roman" w:hAnsi="Times New Roman" w:cs="Times New Roman"/>
          <w:b/>
          <w:bCs/>
          <w:color w:val="auto"/>
        </w:rPr>
        <w:t xml:space="preserve"> </w:t>
      </w:r>
    </w:p>
    <w:p w14:paraId="15ED43C5" w14:textId="77777777" w:rsidR="00480667" w:rsidRPr="0050538C" w:rsidRDefault="00480667" w:rsidP="00480667">
      <w:pPr>
        <w:spacing w:line="276" w:lineRule="auto"/>
        <w:jc w:val="both"/>
        <w:rPr>
          <w:rFonts w:ascii="Times New Roman" w:hAnsi="Times New Roman" w:cs="Times New Roman"/>
          <w:sz w:val="24"/>
          <w:szCs w:val="24"/>
        </w:rPr>
      </w:pPr>
    </w:p>
    <w:p w14:paraId="4A4DAC84"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Waste recycling is ranked fourth in the waste reduction hierarchy. Some affluent nations, such as Germany and Hong Kong, have implemented these measures to limit garbage dumping in landfills. In Germany, government officials strongly encouraged recycling. The study of raw materials for lightweight concrete demonstrates the country's dedication to environmentalism. Furthermore, the country has committed to collecting a million tons of glass for recycling </w:t>
      </w:r>
      <w:r w:rsidRPr="0050538C">
        <w:rPr>
          <w:rFonts w:ascii="Times New Roman" w:hAnsi="Times New Roman" w:cs="Times New Roman"/>
          <w:sz w:val="24"/>
          <w:szCs w:val="24"/>
        </w:rPr>
        <w:lastRenderedPageBreak/>
        <w:t>purposes each year (</w:t>
      </w:r>
      <w:r w:rsidRPr="0050538C">
        <w:rPr>
          <w:rFonts w:ascii="Times New Roman" w:hAnsi="Times New Roman" w:cs="Times New Roman"/>
          <w:sz w:val="24"/>
          <w:szCs w:val="24"/>
          <w:shd w:val="clear" w:color="auto" w:fill="FFFFFF"/>
        </w:rPr>
        <w:t xml:space="preserve">Shooshtarian et al., 2022). </w:t>
      </w:r>
      <w:r w:rsidRPr="0050538C">
        <w:rPr>
          <w:rFonts w:ascii="Times New Roman" w:hAnsi="Times New Roman" w:cs="Times New Roman"/>
          <w:sz w:val="24"/>
          <w:szCs w:val="24"/>
        </w:rPr>
        <w:t>This demonstrates that the country is totally committed to being a green nation. In the meantime, in Hong Kong, the government is encouraging the use of recycled stone aggregate in concrete and pavement blocks (</w:t>
      </w:r>
      <w:r w:rsidRPr="0050538C">
        <w:rPr>
          <w:rFonts w:ascii="Times New Roman" w:hAnsi="Times New Roman" w:cs="Times New Roman"/>
          <w:sz w:val="24"/>
          <w:szCs w:val="24"/>
          <w:shd w:val="clear" w:color="auto" w:fill="FFFFFF"/>
        </w:rPr>
        <w:t>Mak</w:t>
      </w:r>
      <w:r w:rsidRPr="0050538C">
        <w:rPr>
          <w:rFonts w:ascii="Times New Roman" w:hAnsi="Times New Roman" w:cs="Times New Roman"/>
          <w:sz w:val="24"/>
          <w:szCs w:val="24"/>
        </w:rPr>
        <w:t xml:space="preserve"> et al., 2019). </w:t>
      </w:r>
    </w:p>
    <w:p w14:paraId="20E01687"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According to</w:t>
      </w:r>
      <w:r w:rsidRPr="0050538C">
        <w:rPr>
          <w:rFonts w:ascii="Times New Roman" w:hAnsi="Times New Roman" w:cs="Times New Roman"/>
          <w:sz w:val="24"/>
          <w:szCs w:val="24"/>
          <w:shd w:val="clear" w:color="auto" w:fill="FFFFFF"/>
        </w:rPr>
        <w:t xml:space="preserve"> Ibrahim (2016), </w:t>
      </w:r>
      <w:r w:rsidRPr="0050538C">
        <w:rPr>
          <w:rFonts w:ascii="Times New Roman" w:hAnsi="Times New Roman" w:cs="Times New Roman"/>
          <w:sz w:val="24"/>
          <w:szCs w:val="24"/>
        </w:rPr>
        <w:t>the Dutch government has used legal power to compel building companies to participate in the procedures for recycling. This is consistent with the findings, which show that a waste land filling charge is an effective tool for requiring developers and contractors to minimize waste. Alex Fraser Group's use of recovered waste materials in Western Ring Road projects is another notable practice. However, despite formal approval, the push from construction firms to employ recycled products continued strong. Aside from that, Korean government rules require the usage of recycled aggregates in building. The advantages of government restrictions include establishing minimum requirements for the usage of recycled aggregates in building endeavours (</w:t>
      </w:r>
      <w:r w:rsidRPr="0050538C">
        <w:rPr>
          <w:rFonts w:ascii="Times New Roman" w:hAnsi="Times New Roman" w:cs="Times New Roman"/>
          <w:sz w:val="24"/>
          <w:szCs w:val="24"/>
          <w:shd w:val="clear" w:color="auto" w:fill="FFFFFF"/>
        </w:rPr>
        <w:t>Tam and 2016)</w:t>
      </w:r>
      <w:r w:rsidRPr="0050538C">
        <w:rPr>
          <w:rFonts w:ascii="Times New Roman" w:hAnsi="Times New Roman" w:cs="Times New Roman"/>
          <w:sz w:val="24"/>
          <w:szCs w:val="24"/>
        </w:rPr>
        <w:t>.</w:t>
      </w:r>
    </w:p>
    <w:p w14:paraId="4FCCF2F6" w14:textId="77777777" w:rsidR="00480667" w:rsidRPr="0050538C" w:rsidRDefault="00480667" w:rsidP="00480667">
      <w:pPr>
        <w:spacing w:line="360" w:lineRule="auto"/>
        <w:jc w:val="both"/>
        <w:rPr>
          <w:rFonts w:ascii="Times New Roman" w:hAnsi="Times New Roman" w:cs="Times New Roman"/>
          <w:sz w:val="24"/>
          <w:szCs w:val="24"/>
        </w:rPr>
      </w:pPr>
    </w:p>
    <w:p w14:paraId="0491B0DF" w14:textId="77777777" w:rsidR="00480667" w:rsidRPr="0050538C" w:rsidRDefault="00480667" w:rsidP="00480667">
      <w:pPr>
        <w:pStyle w:val="Heading3"/>
        <w:rPr>
          <w:rFonts w:ascii="Times New Roman" w:hAnsi="Times New Roman" w:cs="Times New Roman"/>
          <w:b/>
          <w:bCs/>
          <w:color w:val="auto"/>
        </w:rPr>
      </w:pPr>
      <w:bookmarkStart w:id="16" w:name="_Toc149913199"/>
      <w:r w:rsidRPr="0050538C">
        <w:rPr>
          <w:rFonts w:ascii="Times New Roman" w:hAnsi="Times New Roman" w:cs="Times New Roman"/>
          <w:b/>
          <w:bCs/>
          <w:color w:val="auto"/>
        </w:rPr>
        <w:t>2.4.3. Reuse of Waste Materials</w:t>
      </w:r>
      <w:bookmarkEnd w:id="16"/>
      <w:r w:rsidRPr="0050538C">
        <w:rPr>
          <w:rFonts w:ascii="Times New Roman" w:hAnsi="Times New Roman" w:cs="Times New Roman"/>
          <w:b/>
          <w:bCs/>
          <w:color w:val="auto"/>
        </w:rPr>
        <w:t xml:space="preserve"> </w:t>
      </w:r>
    </w:p>
    <w:p w14:paraId="643B04E5" w14:textId="77777777" w:rsidR="00480667" w:rsidRPr="0050538C" w:rsidRDefault="00480667" w:rsidP="00480667">
      <w:pPr>
        <w:rPr>
          <w:rFonts w:ascii="Times New Roman" w:hAnsi="Times New Roman" w:cs="Times New Roman"/>
          <w:sz w:val="24"/>
          <w:szCs w:val="24"/>
        </w:rPr>
      </w:pPr>
    </w:p>
    <w:p w14:paraId="4737B3A3"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For some years, researchers have focused on building reuse of components and the factors that influence its adoption. However, there is no assessment data that synthesizes the aspects impacting BCR in order to discover connections between these parameters and harmonize the circumstances affecting construction reuse of components. Without such a study, reuse will not expand in construction since the scattered body of knowledge accessible to the public is inadequate to direct stakeholders to take gradual steps toward material the circular economy in this sector (</w:t>
      </w:r>
      <w:r w:rsidRPr="0050538C">
        <w:rPr>
          <w:rFonts w:ascii="Times New Roman" w:hAnsi="Times New Roman" w:cs="Times New Roman"/>
          <w:sz w:val="24"/>
          <w:szCs w:val="24"/>
          <w:shd w:val="clear" w:color="auto" w:fill="FFFFFF"/>
        </w:rPr>
        <w:t>Hasik et al., 2019).</w:t>
      </w:r>
    </w:p>
    <w:p w14:paraId="3EF34404"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shd w:val="clear" w:color="auto" w:fill="FFFFFF"/>
        </w:rPr>
        <w:t xml:space="preserve">According to Minunno et al. (2020), </w:t>
      </w:r>
      <w:r w:rsidRPr="0050538C">
        <w:rPr>
          <w:rFonts w:ascii="Times New Roman" w:hAnsi="Times New Roman" w:cs="Times New Roman"/>
          <w:sz w:val="24"/>
          <w:szCs w:val="24"/>
        </w:rPr>
        <w:t>The International Energy Agency has identified the reuse approach as a crucial research area for increasing material effectiveness. Due to the fact that load-bearing elements are responsible for the majority of the greenhouse emissions embodied in structures, their reuse (3rd circular technique) may provide the greatest environmental advantages, as demonstrated by several construction projects and simulation research. Before being altered or destroyed, obsolete structures frequently have strong structural foundations; this is also true of the load-bearing parts that are removed from them (</w:t>
      </w:r>
      <w:r w:rsidRPr="0050538C">
        <w:rPr>
          <w:rFonts w:ascii="Times New Roman" w:hAnsi="Times New Roman" w:cs="Times New Roman"/>
          <w:sz w:val="24"/>
          <w:szCs w:val="24"/>
          <w:shd w:val="clear" w:color="auto" w:fill="FFFFFF"/>
        </w:rPr>
        <w:t>Gulghane and Khandve, 2019)</w:t>
      </w:r>
      <w:r w:rsidRPr="0050538C">
        <w:rPr>
          <w:rFonts w:ascii="Times New Roman" w:hAnsi="Times New Roman" w:cs="Times New Roman"/>
          <w:sz w:val="24"/>
          <w:szCs w:val="24"/>
        </w:rPr>
        <w:t xml:space="preserve">. </w:t>
      </w:r>
    </w:p>
    <w:p w14:paraId="15851217"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lastRenderedPageBreak/>
        <w:t>Indeed, structures are frequently torn down for reasons unrelated to their quality of construction materials and structural integrity, particularly in urban regions with strong land pressures. Their components, which are largely made of concrete, could be used longer, that is, reused in new initiatives, and their bearing loads systems were usually sufficiently safeguarded from weathering during their period of use (</w:t>
      </w:r>
      <w:r w:rsidRPr="0050538C">
        <w:rPr>
          <w:rFonts w:ascii="Times New Roman" w:hAnsi="Times New Roman" w:cs="Times New Roman"/>
          <w:sz w:val="24"/>
          <w:szCs w:val="24"/>
          <w:shd w:val="clear" w:color="auto" w:fill="FFFFFF"/>
        </w:rPr>
        <w:t>Sormunen and Kärki, 2019)</w:t>
      </w:r>
      <w:r w:rsidRPr="0050538C">
        <w:rPr>
          <w:rFonts w:ascii="Times New Roman" w:hAnsi="Times New Roman" w:cs="Times New Roman"/>
          <w:sz w:val="24"/>
          <w:szCs w:val="24"/>
        </w:rPr>
        <w:t>. Reusing stones, bricks, or wood was a widespread method before the industrial revolution because it was substantially more expensive and time-consuming to extract and manufacture new components (</w:t>
      </w:r>
      <w:r w:rsidRPr="0050538C">
        <w:rPr>
          <w:rFonts w:ascii="Times New Roman" w:hAnsi="Times New Roman" w:cs="Times New Roman"/>
          <w:sz w:val="24"/>
          <w:szCs w:val="24"/>
          <w:shd w:val="clear" w:color="auto" w:fill="FFFFFF"/>
        </w:rPr>
        <w:t>Heeren and Hellweg, 2019)</w:t>
      </w:r>
      <w:r w:rsidRPr="0050538C">
        <w:rPr>
          <w:rFonts w:ascii="Times New Roman" w:hAnsi="Times New Roman" w:cs="Times New Roman"/>
          <w:sz w:val="24"/>
          <w:szCs w:val="24"/>
        </w:rPr>
        <w:t>. Notwithstanding an increasing number of compelling applications that have been released in academic publications and practice-oriented books, the structural part reuse is still rarely thought of today (</w:t>
      </w:r>
      <w:r w:rsidRPr="0050538C">
        <w:rPr>
          <w:rFonts w:ascii="Times New Roman" w:hAnsi="Times New Roman" w:cs="Times New Roman"/>
          <w:sz w:val="24"/>
          <w:szCs w:val="24"/>
          <w:shd w:val="clear" w:color="auto" w:fill="FFFFFF"/>
        </w:rPr>
        <w:t>Kabirifar et al., 2020).</w:t>
      </w:r>
    </w:p>
    <w:p w14:paraId="2D13BE85"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However, the majority of these marketed applications deal with reticular wood or steel constructions. Using a diamond saw or high-pressure water jets, for instance, to carefully cut apart old building materials into fragments of comparatively big sizes, component reuse for concrete structures (Habert et al., 2020) depicted in red on Fig.3., entails rebuilding the pieces in a new structural project without significantly changing their geometric and mechanical characteristics, as shown in Figs.3.  Early research on PRECS—Piecewise Reuse of Retrieved Concrete in New Structures—shows that waste production, raw material usage, and emissions of greenhouse gases can all be reduced simultaneously (</w:t>
      </w:r>
      <w:r w:rsidRPr="0050538C">
        <w:rPr>
          <w:rFonts w:ascii="Times New Roman" w:hAnsi="Times New Roman" w:cs="Times New Roman"/>
          <w:sz w:val="24"/>
          <w:szCs w:val="24"/>
          <w:shd w:val="clear" w:color="auto" w:fill="FFFFFF"/>
        </w:rPr>
        <w:t>Branca</w:t>
      </w:r>
      <w:r w:rsidRPr="0050538C">
        <w:rPr>
          <w:rFonts w:ascii="Times New Roman" w:hAnsi="Times New Roman" w:cs="Times New Roman"/>
          <w:sz w:val="24"/>
          <w:szCs w:val="24"/>
        </w:rPr>
        <w:t xml:space="preserve"> et al., 2020). Additionally, salvaged parts' formal and mechanical characteristics, signs of their prior use, the initial craft, and, in general, their underlying technological worth, are retrieved as much as feasible across new service cycles</w:t>
      </w:r>
      <w:r w:rsidRPr="0050538C">
        <w:rPr>
          <w:rFonts w:ascii="Times New Roman" w:hAnsi="Times New Roman" w:cs="Times New Roman"/>
          <w:sz w:val="24"/>
          <w:szCs w:val="24"/>
          <w:shd w:val="clear" w:color="auto" w:fill="FFFFFF"/>
        </w:rPr>
        <w:t xml:space="preserve"> (Bolden</w:t>
      </w:r>
      <w:r w:rsidRPr="0050538C">
        <w:rPr>
          <w:rFonts w:ascii="Times New Roman" w:hAnsi="Times New Roman" w:cs="Times New Roman"/>
          <w:sz w:val="24"/>
          <w:szCs w:val="24"/>
        </w:rPr>
        <w:t xml:space="preserve"> et al., 2021). The known dangers associated with novel distribution networks and cutting-edge construction techniques are however also present in  reused steels. Additionally, new forms of material quality assessments and extra design efforts for connecting details are needed (</w:t>
      </w:r>
      <w:r w:rsidRPr="0050538C">
        <w:rPr>
          <w:rFonts w:ascii="Times New Roman" w:hAnsi="Times New Roman" w:cs="Times New Roman"/>
          <w:sz w:val="24"/>
          <w:szCs w:val="24"/>
          <w:shd w:val="clear" w:color="auto" w:fill="FFFFFF"/>
        </w:rPr>
        <w:t xml:space="preserve">Nußholz et al., 2019). </w:t>
      </w:r>
    </w:p>
    <w:p w14:paraId="6980B6B3" w14:textId="77777777" w:rsidR="00480667" w:rsidRPr="0050538C" w:rsidRDefault="00480667" w:rsidP="00480667">
      <w:pPr>
        <w:keepNext/>
        <w:rPr>
          <w:rFonts w:ascii="Times New Roman" w:hAnsi="Times New Roman" w:cs="Times New Roman"/>
          <w:sz w:val="24"/>
          <w:szCs w:val="24"/>
        </w:rPr>
      </w:pPr>
      <w:r w:rsidRPr="0050538C">
        <w:rPr>
          <w:rFonts w:ascii="Times New Roman" w:hAnsi="Times New Roman" w:cs="Times New Roman"/>
          <w:noProof/>
          <w:sz w:val="24"/>
          <w:szCs w:val="24"/>
        </w:rPr>
        <w:lastRenderedPageBreak/>
        <w:drawing>
          <wp:inline distT="0" distB="0" distL="0" distR="0" wp14:anchorId="04B5CBC1" wp14:editId="4D56529A">
            <wp:extent cx="5731510" cy="2203450"/>
            <wp:effectExtent l="0" t="0" r="2540" b="6350"/>
            <wp:docPr id="890237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237585" name=""/>
                    <pic:cNvPicPr/>
                  </pic:nvPicPr>
                  <pic:blipFill>
                    <a:blip r:embed="rId8"/>
                    <a:stretch>
                      <a:fillRect/>
                    </a:stretch>
                  </pic:blipFill>
                  <pic:spPr>
                    <a:xfrm>
                      <a:off x="0" y="0"/>
                      <a:ext cx="5731510" cy="2203450"/>
                    </a:xfrm>
                    <a:prstGeom prst="rect">
                      <a:avLst/>
                    </a:prstGeom>
                  </pic:spPr>
                </pic:pic>
              </a:graphicData>
            </a:graphic>
          </wp:inline>
        </w:drawing>
      </w:r>
    </w:p>
    <w:p w14:paraId="09EDEEB0" w14:textId="77777777" w:rsidR="00480667" w:rsidRPr="0050538C" w:rsidRDefault="00480667" w:rsidP="00480667">
      <w:pPr>
        <w:pStyle w:val="Caption"/>
        <w:jc w:val="center"/>
        <w:rPr>
          <w:rFonts w:ascii="Times New Roman" w:hAnsi="Times New Roman" w:cs="Times New Roman"/>
          <w:color w:val="auto"/>
          <w:sz w:val="24"/>
          <w:szCs w:val="24"/>
        </w:rPr>
      </w:pPr>
      <w:bookmarkStart w:id="17" w:name="_Toc149910238"/>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Pr="0050538C">
        <w:rPr>
          <w:rFonts w:ascii="Times New Roman" w:hAnsi="Times New Roman" w:cs="Times New Roman"/>
          <w:noProof/>
          <w:color w:val="auto"/>
          <w:sz w:val="24"/>
          <w:szCs w:val="24"/>
        </w:rPr>
        <w:t>3</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Concrete Value Chain (Habert et al., 2020).</w:t>
      </w:r>
      <w:bookmarkEnd w:id="17"/>
    </w:p>
    <w:p w14:paraId="07EA7A82" w14:textId="77777777" w:rsidR="00480667" w:rsidRPr="0050538C" w:rsidRDefault="00480667" w:rsidP="00480667">
      <w:pPr>
        <w:rPr>
          <w:rFonts w:ascii="Times New Roman" w:hAnsi="Times New Roman" w:cs="Times New Roman"/>
          <w:sz w:val="24"/>
          <w:szCs w:val="24"/>
        </w:rPr>
      </w:pPr>
    </w:p>
    <w:p w14:paraId="496A72EA" w14:textId="77777777" w:rsidR="00480667" w:rsidRPr="0050538C" w:rsidRDefault="00480667" w:rsidP="00480667">
      <w:pPr>
        <w:rPr>
          <w:rFonts w:ascii="Times New Roman" w:hAnsi="Times New Roman" w:cs="Times New Roman"/>
          <w:sz w:val="24"/>
          <w:szCs w:val="24"/>
        </w:rPr>
      </w:pPr>
    </w:p>
    <w:p w14:paraId="13C762DD" w14:textId="77777777" w:rsidR="00480667" w:rsidRPr="0050538C" w:rsidRDefault="00480667" w:rsidP="00480667">
      <w:pPr>
        <w:pStyle w:val="Heading3"/>
        <w:rPr>
          <w:rFonts w:ascii="Times New Roman" w:hAnsi="Times New Roman" w:cs="Times New Roman"/>
          <w:b/>
          <w:bCs/>
          <w:color w:val="auto"/>
        </w:rPr>
      </w:pPr>
      <w:bookmarkStart w:id="18" w:name="_Toc149913200"/>
      <w:r w:rsidRPr="0050538C">
        <w:rPr>
          <w:rFonts w:ascii="Times New Roman" w:hAnsi="Times New Roman" w:cs="Times New Roman"/>
          <w:b/>
          <w:bCs/>
          <w:color w:val="auto"/>
        </w:rPr>
        <w:t>2.4.4. Reduce</w:t>
      </w:r>
      <w:bookmarkEnd w:id="18"/>
      <w:r w:rsidRPr="0050538C">
        <w:rPr>
          <w:rFonts w:ascii="Times New Roman" w:hAnsi="Times New Roman" w:cs="Times New Roman"/>
          <w:b/>
          <w:bCs/>
          <w:color w:val="auto"/>
        </w:rPr>
        <w:t xml:space="preserve"> </w:t>
      </w:r>
    </w:p>
    <w:p w14:paraId="63286251" w14:textId="77777777" w:rsidR="00480667" w:rsidRPr="0050538C" w:rsidRDefault="00480667" w:rsidP="00480667">
      <w:pPr>
        <w:rPr>
          <w:rFonts w:ascii="Times New Roman" w:hAnsi="Times New Roman" w:cs="Times New Roman"/>
          <w:sz w:val="24"/>
          <w:szCs w:val="24"/>
        </w:rPr>
      </w:pPr>
    </w:p>
    <w:p w14:paraId="1F50B9CF"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Because it has the least negative consequences on the environment, reduction is the best CW management strategy among the three R's. Therefore, while creating CW management strategies, the reduction approach is given top attention. The first stage in managing CW is to minimize the quantity of trash that is produced. If waste is still produced, it is crucial to find ways to reuse the supplies</w:t>
      </w:r>
      <w:r w:rsidRPr="0050538C">
        <w:rPr>
          <w:rFonts w:ascii="Times New Roman" w:hAnsi="Times New Roman" w:cs="Times New Roman"/>
          <w:sz w:val="24"/>
          <w:szCs w:val="24"/>
          <w:shd w:val="clear" w:color="auto" w:fill="FFFFFF"/>
        </w:rPr>
        <w:t xml:space="preserve"> (Porwal</w:t>
      </w:r>
      <w:r w:rsidRPr="0050538C">
        <w:rPr>
          <w:rFonts w:ascii="Times New Roman" w:hAnsi="Times New Roman" w:cs="Times New Roman"/>
          <w:sz w:val="24"/>
          <w:szCs w:val="24"/>
        </w:rPr>
        <w:t xml:space="preserve"> et al., 2023).</w:t>
      </w:r>
    </w:p>
    <w:p w14:paraId="76F501C1"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rPr>
        <w:t xml:space="preserve"> Finally, if recycling is not an option, it is crucial to gather the scraps for disposal. Pickin et al. (2018) listed a few advantages of reducing trash, including making income from collecting certain materials, saving money by buying less material, lowering carbon dioxide emissions, and lowering the cost of transporting waste to landfills. It is critical to draw the conclusion that the best way to protect the natural world and save money is to minimize rework caused by mistakes and subpar workmanship, plan to reduce offcuts, and use conventional dimensions and amounts of supplies early in the building phase. Due to the similarities between the reduce, reuse, and recycle strategies, the main barriers to effective execution of waste reduction methods arise when actors in the building sector are unable to work together and interact effectively with one another, and stakeholders lack a common knowledge of 3Rs CW management methods</w:t>
      </w:r>
      <w:r w:rsidRPr="0050538C">
        <w:rPr>
          <w:rFonts w:ascii="Times New Roman" w:hAnsi="Times New Roman" w:cs="Times New Roman"/>
          <w:sz w:val="24"/>
          <w:szCs w:val="24"/>
          <w:shd w:val="clear" w:color="auto" w:fill="FFFFFF"/>
        </w:rPr>
        <w:t xml:space="preserve"> (Datta et al., 2023)</w:t>
      </w:r>
      <w:r w:rsidRPr="0050538C">
        <w:rPr>
          <w:rFonts w:ascii="Times New Roman" w:hAnsi="Times New Roman" w:cs="Times New Roman"/>
          <w:sz w:val="24"/>
          <w:szCs w:val="24"/>
        </w:rPr>
        <w:t xml:space="preserve">. It is crucial to pay particular attention to the implementation of the decrease strategy since construction players will benefit from all components of it if it is incorporated into the CW administration cycle for the goal of minimizing waste. It is essential to provide high importance to implementing the reduction </w:t>
      </w:r>
      <w:r w:rsidRPr="0050538C">
        <w:rPr>
          <w:rFonts w:ascii="Times New Roman" w:hAnsi="Times New Roman" w:cs="Times New Roman"/>
          <w:sz w:val="24"/>
          <w:szCs w:val="24"/>
        </w:rPr>
        <w:lastRenderedPageBreak/>
        <w:t>approach in the construction business given the global CW generation's quick rise</w:t>
      </w:r>
      <w:r w:rsidRPr="0050538C">
        <w:rPr>
          <w:rFonts w:ascii="Times New Roman" w:hAnsi="Times New Roman" w:cs="Times New Roman"/>
          <w:sz w:val="24"/>
          <w:szCs w:val="24"/>
          <w:shd w:val="clear" w:color="auto" w:fill="FFFFFF"/>
        </w:rPr>
        <w:t xml:space="preserve"> (Shahid et al., 2023).</w:t>
      </w:r>
    </w:p>
    <w:p w14:paraId="305134DD"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p>
    <w:p w14:paraId="3665BD8E" w14:textId="77777777" w:rsidR="00480667" w:rsidRPr="0050538C" w:rsidRDefault="00480667" w:rsidP="00480667">
      <w:pPr>
        <w:pStyle w:val="Heading3"/>
        <w:spacing w:line="360" w:lineRule="auto"/>
        <w:rPr>
          <w:rFonts w:ascii="Times New Roman" w:hAnsi="Times New Roman" w:cs="Times New Roman"/>
          <w:b/>
          <w:bCs/>
          <w:color w:val="auto"/>
        </w:rPr>
      </w:pPr>
      <w:bookmarkStart w:id="19" w:name="_Toc149913201"/>
      <w:r w:rsidRPr="0050538C">
        <w:rPr>
          <w:rFonts w:ascii="Times New Roman" w:hAnsi="Times New Roman" w:cs="Times New Roman"/>
          <w:b/>
          <w:bCs/>
          <w:color w:val="auto"/>
        </w:rPr>
        <w:t>2.4.1. Life Cycle Assessment for Detecting Environmental Impact of Reused Construction Materials</w:t>
      </w:r>
      <w:bookmarkEnd w:id="19"/>
      <w:r w:rsidRPr="0050538C">
        <w:rPr>
          <w:rFonts w:ascii="Times New Roman" w:hAnsi="Times New Roman" w:cs="Times New Roman"/>
          <w:b/>
          <w:bCs/>
          <w:color w:val="auto"/>
        </w:rPr>
        <w:t xml:space="preserve"> </w:t>
      </w:r>
    </w:p>
    <w:p w14:paraId="7825BE0F" w14:textId="77777777" w:rsidR="00480667" w:rsidRPr="0050538C" w:rsidRDefault="00480667" w:rsidP="00480667">
      <w:pPr>
        <w:rPr>
          <w:rFonts w:ascii="Times New Roman" w:hAnsi="Times New Roman" w:cs="Times New Roman"/>
          <w:sz w:val="24"/>
          <w:szCs w:val="24"/>
        </w:rPr>
      </w:pPr>
    </w:p>
    <w:p w14:paraId="5AF93E9B"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 methodical way to measure environmental impacts, life cycle assessment (LCA) serves as a foundation for choosing an appropriate strategy. Adopting reuse or recycling solutions will result in goods having several structural life cycles (</w:t>
      </w:r>
      <w:r w:rsidRPr="0050538C">
        <w:rPr>
          <w:rFonts w:ascii="Times New Roman" w:hAnsi="Times New Roman" w:cs="Times New Roman"/>
          <w:sz w:val="24"/>
          <w:szCs w:val="24"/>
          <w:shd w:val="clear" w:color="auto" w:fill="FFFFFF"/>
        </w:rPr>
        <w:t xml:space="preserve">Vieira et al., 2019). </w:t>
      </w:r>
      <w:r w:rsidRPr="0050538C">
        <w:rPr>
          <w:rFonts w:ascii="Times New Roman" w:hAnsi="Times New Roman" w:cs="Times New Roman"/>
          <w:sz w:val="24"/>
          <w:szCs w:val="24"/>
        </w:rPr>
        <w:t xml:space="preserve"> As a result, the distribution of ecological effects becomes a research emphasis, and this is also a major factor in the variations in study outcomes. Life-cycle systems can be classified as either open-loop or closed-loop based on the material flow perspective. Because no material will ever return to a concrete structure after it has been removed, concrete structures are typically considered open-loop systems. Allocation guidelines for the open-loop life cycle assessment (LCA) of reused products have been proposed in numerous research (</w:t>
      </w:r>
      <w:r w:rsidRPr="0050538C">
        <w:rPr>
          <w:rFonts w:ascii="Times New Roman" w:hAnsi="Times New Roman" w:cs="Times New Roman"/>
          <w:sz w:val="24"/>
          <w:szCs w:val="24"/>
          <w:shd w:val="clear" w:color="auto" w:fill="FFFFFF"/>
        </w:rPr>
        <w:t>Deutz and Bardow, 2021)</w:t>
      </w:r>
      <w:r w:rsidRPr="0050538C">
        <w:rPr>
          <w:rFonts w:ascii="Times New Roman" w:hAnsi="Times New Roman" w:cs="Times New Roman"/>
          <w:sz w:val="24"/>
          <w:szCs w:val="24"/>
        </w:rPr>
        <w:t>.</w:t>
      </w:r>
    </w:p>
    <w:p w14:paraId="26E3B593"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According to Sridhar et al. (2021) and </w:t>
      </w:r>
      <w:r w:rsidRPr="0050538C">
        <w:rPr>
          <w:rFonts w:ascii="Times New Roman" w:hAnsi="Times New Roman" w:cs="Times New Roman"/>
          <w:sz w:val="24"/>
          <w:szCs w:val="24"/>
          <w:shd w:val="clear" w:color="auto" w:fill="FFFFFF"/>
        </w:rPr>
        <w:t>Campos-Guzmán et al. (2019),</w:t>
      </w:r>
      <w:r w:rsidRPr="0050538C">
        <w:rPr>
          <w:rFonts w:ascii="Times New Roman" w:hAnsi="Times New Roman" w:cs="Times New Roman"/>
          <w:sz w:val="24"/>
          <w:szCs w:val="24"/>
        </w:rPr>
        <w:t xml:space="preserve"> LCA studies on the construction industry mostly focus on the use of energy and greenhouse gas emissions. However, the preservation of natural substances is a crucial component of environmental advantages for reuse or recycling solutions, so the assessment indicator must take this into account. A mid-point indicator called abiotic depletion potential (ADP) can be used to quantify the ecological problems brought on by the usage of non-renewable resources. The effects of consumption of energy can be included by giving energy resources the ADP characterisation factors. Common life cycle impact analysis (LCIA) techniques, like CML, frequently omit the aggregates' ADP characterisation parameters (</w:t>
      </w:r>
      <w:r w:rsidRPr="0050538C">
        <w:rPr>
          <w:rFonts w:ascii="Times New Roman" w:hAnsi="Times New Roman" w:cs="Times New Roman"/>
          <w:sz w:val="24"/>
          <w:szCs w:val="24"/>
          <w:shd w:val="clear" w:color="auto" w:fill="FFFFFF"/>
        </w:rPr>
        <w:t>Deutz and Bardow, 2021)</w:t>
      </w:r>
      <w:r w:rsidRPr="0050538C">
        <w:rPr>
          <w:rFonts w:ascii="Times New Roman" w:hAnsi="Times New Roman" w:cs="Times New Roman"/>
          <w:sz w:val="24"/>
          <w:szCs w:val="24"/>
        </w:rPr>
        <w:t xml:space="preserve">. Also, </w:t>
      </w:r>
      <w:r w:rsidRPr="0050538C">
        <w:rPr>
          <w:rFonts w:ascii="Times New Roman" w:hAnsi="Times New Roman" w:cs="Times New Roman"/>
          <w:sz w:val="24"/>
          <w:szCs w:val="24"/>
          <w:shd w:val="clear" w:color="auto" w:fill="FFFFFF"/>
        </w:rPr>
        <w:t>Zhang</w:t>
      </w:r>
      <w:r w:rsidRPr="0050538C">
        <w:rPr>
          <w:rFonts w:ascii="Times New Roman" w:hAnsi="Times New Roman" w:cs="Times New Roman"/>
          <w:sz w:val="24"/>
          <w:szCs w:val="24"/>
        </w:rPr>
        <w:t xml:space="preserve"> et al. (2020) stated that LCA is frequently utilised in the building sector, specifically in relation to the C&amp;DW, to determine which of the three scenarios—landfill, recycling, or incineration—is most appropriate. However, it is not frequently taken into account from a design standpoint. The inclusion of infrastructure and building life cycle stages, such as planning, building, use, operation, and end-of-life (EOL), environmental actions related to building supplies (primary production or the extraction process, transportation, and production of building materials), building and upkeep activities, and not just tearing down activities during the EOL phase, is a well-defined challenge in this field of study.</w:t>
      </w:r>
    </w:p>
    <w:p w14:paraId="08B98626"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lastRenderedPageBreak/>
        <w:t xml:space="preserve">LCA was used by </w:t>
      </w:r>
      <w:r w:rsidRPr="0050538C">
        <w:rPr>
          <w:rFonts w:ascii="Times New Roman" w:hAnsi="Times New Roman" w:cs="Times New Roman"/>
          <w:sz w:val="24"/>
          <w:szCs w:val="24"/>
          <w:shd w:val="clear" w:color="auto" w:fill="FFFFFF"/>
        </w:rPr>
        <w:t>Kaab</w:t>
      </w:r>
      <w:r w:rsidRPr="0050538C">
        <w:rPr>
          <w:rFonts w:ascii="Times New Roman" w:hAnsi="Times New Roman" w:cs="Times New Roman"/>
          <w:sz w:val="24"/>
          <w:szCs w:val="24"/>
        </w:rPr>
        <w:t xml:space="preserve"> et al. (2019) to examine how employing reused aggregates to create concrete might affect the environment. </w:t>
      </w:r>
      <w:r w:rsidRPr="0050538C">
        <w:rPr>
          <w:rFonts w:ascii="Times New Roman" w:hAnsi="Times New Roman" w:cs="Times New Roman"/>
          <w:sz w:val="24"/>
          <w:szCs w:val="24"/>
          <w:shd w:val="clear" w:color="auto" w:fill="FFFFFF"/>
        </w:rPr>
        <w:t xml:space="preserve">Perera et al. (2020) and </w:t>
      </w:r>
      <w:r w:rsidRPr="0050538C">
        <w:rPr>
          <w:rFonts w:ascii="Times New Roman" w:hAnsi="Times New Roman" w:cs="Times New Roman"/>
          <w:sz w:val="24"/>
          <w:szCs w:val="24"/>
        </w:rPr>
        <w:t xml:space="preserve">used life cycle assessment (LCA) to evaluate the environmental advantages of utilising reused building supplies across the production chain. </w:t>
      </w:r>
      <w:r w:rsidRPr="0050538C">
        <w:rPr>
          <w:rFonts w:ascii="Times New Roman" w:hAnsi="Times New Roman" w:cs="Times New Roman"/>
          <w:sz w:val="24"/>
          <w:szCs w:val="24"/>
          <w:shd w:val="clear" w:color="auto" w:fill="FFFFFF"/>
        </w:rPr>
        <w:t xml:space="preserve">Zheng et al. (2021) </w:t>
      </w:r>
      <w:r w:rsidRPr="0050538C">
        <w:rPr>
          <w:rFonts w:ascii="Times New Roman" w:hAnsi="Times New Roman" w:cs="Times New Roman"/>
          <w:sz w:val="24"/>
          <w:szCs w:val="24"/>
        </w:rPr>
        <w:t>compared the environmental effects of reused masonry mortars using life cycle assessment (LCA). Nevertheless, the majority of the research that has already been done only assesses the economic and environmental aspects of a single reuse strategy; it makes no attempt to carry out an integrated assessment of the economy, the environment, and greenhouse gas emissions for a variety of reuse strategies.</w:t>
      </w:r>
    </w:p>
    <w:p w14:paraId="505C06B1" w14:textId="77777777" w:rsidR="00480667" w:rsidRPr="0050538C" w:rsidRDefault="00480667" w:rsidP="00480667">
      <w:pPr>
        <w:spacing w:line="360" w:lineRule="auto"/>
        <w:jc w:val="both"/>
        <w:rPr>
          <w:rFonts w:ascii="Times New Roman" w:hAnsi="Times New Roman" w:cs="Times New Roman"/>
          <w:sz w:val="24"/>
          <w:szCs w:val="24"/>
        </w:rPr>
      </w:pPr>
    </w:p>
    <w:p w14:paraId="7579988D"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p>
    <w:p w14:paraId="54DE5AC6"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p>
    <w:p w14:paraId="714D3A04" w14:textId="77777777" w:rsidR="00480667" w:rsidRPr="0050538C" w:rsidRDefault="00480667" w:rsidP="00480667">
      <w:pPr>
        <w:spacing w:line="360" w:lineRule="auto"/>
        <w:jc w:val="both"/>
        <w:rPr>
          <w:rFonts w:ascii="Times New Roman" w:hAnsi="Times New Roman" w:cs="Times New Roman"/>
          <w:sz w:val="24"/>
          <w:szCs w:val="24"/>
        </w:rPr>
      </w:pPr>
    </w:p>
    <w:p w14:paraId="3AB78E5C" w14:textId="77777777" w:rsidR="00480667" w:rsidRPr="0050538C" w:rsidRDefault="00480667" w:rsidP="00480667">
      <w:pPr>
        <w:spacing w:line="360" w:lineRule="auto"/>
        <w:jc w:val="both"/>
        <w:rPr>
          <w:rFonts w:ascii="Times New Roman" w:hAnsi="Times New Roman" w:cs="Times New Roman"/>
          <w:sz w:val="24"/>
          <w:szCs w:val="24"/>
        </w:rPr>
      </w:pPr>
    </w:p>
    <w:p w14:paraId="2EDD3045" w14:textId="77777777" w:rsidR="00480667" w:rsidRPr="0050538C" w:rsidRDefault="00480667" w:rsidP="00480667">
      <w:pPr>
        <w:spacing w:line="360" w:lineRule="auto"/>
        <w:jc w:val="both"/>
        <w:rPr>
          <w:rFonts w:ascii="Times New Roman" w:hAnsi="Times New Roman" w:cs="Times New Roman"/>
          <w:sz w:val="24"/>
          <w:szCs w:val="24"/>
        </w:rPr>
      </w:pPr>
    </w:p>
    <w:p w14:paraId="7691A087" w14:textId="77777777" w:rsidR="00480667" w:rsidRPr="0050538C" w:rsidRDefault="00480667" w:rsidP="00480667">
      <w:pPr>
        <w:spacing w:line="360" w:lineRule="auto"/>
        <w:jc w:val="both"/>
        <w:rPr>
          <w:rFonts w:ascii="Times New Roman" w:hAnsi="Times New Roman" w:cs="Times New Roman"/>
          <w:sz w:val="24"/>
          <w:szCs w:val="24"/>
        </w:rPr>
      </w:pPr>
    </w:p>
    <w:p w14:paraId="4BC85699" w14:textId="77777777" w:rsidR="00480667" w:rsidRPr="0050538C" w:rsidRDefault="00480667" w:rsidP="00480667">
      <w:pPr>
        <w:spacing w:line="360" w:lineRule="auto"/>
        <w:jc w:val="both"/>
        <w:rPr>
          <w:rFonts w:ascii="Times New Roman" w:hAnsi="Times New Roman" w:cs="Times New Roman"/>
          <w:sz w:val="24"/>
          <w:szCs w:val="24"/>
        </w:rPr>
      </w:pPr>
    </w:p>
    <w:p w14:paraId="5FAF19A6" w14:textId="77777777" w:rsidR="00480667" w:rsidRPr="0050538C" w:rsidRDefault="00480667" w:rsidP="00480667">
      <w:pPr>
        <w:spacing w:line="360" w:lineRule="auto"/>
        <w:jc w:val="both"/>
        <w:rPr>
          <w:rFonts w:ascii="Times New Roman" w:hAnsi="Times New Roman" w:cs="Times New Roman"/>
          <w:sz w:val="24"/>
          <w:szCs w:val="24"/>
        </w:rPr>
      </w:pPr>
    </w:p>
    <w:p w14:paraId="5B77EEFD" w14:textId="77777777" w:rsidR="00480667" w:rsidRPr="0050538C" w:rsidRDefault="00480667" w:rsidP="00480667">
      <w:pPr>
        <w:rPr>
          <w:rFonts w:ascii="Times New Roman" w:hAnsi="Times New Roman" w:cs="Times New Roman"/>
          <w:sz w:val="24"/>
          <w:szCs w:val="24"/>
        </w:rPr>
      </w:pPr>
    </w:p>
    <w:p w14:paraId="23183927" w14:textId="77777777" w:rsidR="00480667" w:rsidRPr="0050538C" w:rsidRDefault="00480667" w:rsidP="00480667">
      <w:pPr>
        <w:rPr>
          <w:rFonts w:ascii="Times New Roman" w:hAnsi="Times New Roman" w:cs="Times New Roman"/>
          <w:sz w:val="24"/>
          <w:szCs w:val="24"/>
        </w:rPr>
      </w:pPr>
    </w:p>
    <w:p w14:paraId="73554D74" w14:textId="77777777" w:rsidR="00480667" w:rsidRPr="0050538C" w:rsidRDefault="00480667" w:rsidP="00480667">
      <w:pPr>
        <w:rPr>
          <w:rFonts w:ascii="Times New Roman" w:hAnsi="Times New Roman" w:cs="Times New Roman"/>
          <w:sz w:val="24"/>
          <w:szCs w:val="24"/>
        </w:rPr>
      </w:pPr>
    </w:p>
    <w:p w14:paraId="2A895580" w14:textId="77777777" w:rsidR="00480667" w:rsidRPr="0050538C" w:rsidRDefault="00480667" w:rsidP="00480667">
      <w:pPr>
        <w:rPr>
          <w:rFonts w:ascii="Times New Roman" w:hAnsi="Times New Roman" w:cs="Times New Roman"/>
          <w:sz w:val="24"/>
          <w:szCs w:val="24"/>
        </w:rPr>
      </w:pPr>
    </w:p>
    <w:p w14:paraId="71A1DACD" w14:textId="77777777" w:rsidR="00480667" w:rsidRPr="0050538C" w:rsidRDefault="00480667" w:rsidP="00480667">
      <w:pPr>
        <w:rPr>
          <w:rFonts w:ascii="Times New Roman" w:hAnsi="Times New Roman" w:cs="Times New Roman"/>
          <w:sz w:val="24"/>
          <w:szCs w:val="24"/>
        </w:rPr>
      </w:pPr>
    </w:p>
    <w:p w14:paraId="6953D95D" w14:textId="77777777" w:rsidR="00480667" w:rsidRPr="0050538C" w:rsidRDefault="00480667" w:rsidP="00480667">
      <w:pPr>
        <w:rPr>
          <w:rFonts w:ascii="Times New Roman" w:hAnsi="Times New Roman" w:cs="Times New Roman"/>
          <w:sz w:val="24"/>
          <w:szCs w:val="24"/>
        </w:rPr>
      </w:pPr>
    </w:p>
    <w:p w14:paraId="50C6BE65" w14:textId="77777777" w:rsidR="00480667" w:rsidRPr="0050538C" w:rsidRDefault="00480667" w:rsidP="00480667">
      <w:pPr>
        <w:rPr>
          <w:rFonts w:ascii="Times New Roman" w:hAnsi="Times New Roman" w:cs="Times New Roman"/>
          <w:sz w:val="24"/>
          <w:szCs w:val="24"/>
        </w:rPr>
      </w:pPr>
    </w:p>
    <w:p w14:paraId="7382FAF6" w14:textId="77777777" w:rsidR="00480667" w:rsidRPr="0050538C" w:rsidRDefault="00480667" w:rsidP="00480667">
      <w:pPr>
        <w:rPr>
          <w:rFonts w:ascii="Times New Roman" w:hAnsi="Times New Roman" w:cs="Times New Roman"/>
          <w:sz w:val="24"/>
          <w:szCs w:val="24"/>
        </w:rPr>
      </w:pPr>
    </w:p>
    <w:p w14:paraId="02E29A25" w14:textId="77777777" w:rsidR="00480667" w:rsidRPr="0050538C" w:rsidRDefault="00480667" w:rsidP="00480667">
      <w:pPr>
        <w:rPr>
          <w:rFonts w:ascii="Times New Roman" w:hAnsi="Times New Roman" w:cs="Times New Roman"/>
          <w:sz w:val="24"/>
          <w:szCs w:val="24"/>
        </w:rPr>
      </w:pPr>
    </w:p>
    <w:p w14:paraId="4A402AC6" w14:textId="77777777" w:rsidR="00480667" w:rsidRPr="0050538C" w:rsidRDefault="00480667" w:rsidP="00480667">
      <w:pPr>
        <w:rPr>
          <w:rFonts w:ascii="Times New Roman" w:hAnsi="Times New Roman" w:cs="Times New Roman"/>
          <w:sz w:val="24"/>
          <w:szCs w:val="24"/>
        </w:rPr>
      </w:pPr>
    </w:p>
    <w:p w14:paraId="1AB5C3A7" w14:textId="77777777" w:rsidR="00480667" w:rsidRPr="0050538C" w:rsidRDefault="00480667" w:rsidP="00480667">
      <w:pPr>
        <w:rPr>
          <w:rFonts w:ascii="Times New Roman" w:hAnsi="Times New Roman" w:cs="Times New Roman"/>
          <w:sz w:val="24"/>
          <w:szCs w:val="24"/>
        </w:rPr>
      </w:pPr>
    </w:p>
    <w:p w14:paraId="4A1FA05B" w14:textId="77777777" w:rsidR="00480667" w:rsidRPr="0050538C" w:rsidRDefault="00480667" w:rsidP="00480667">
      <w:pPr>
        <w:pStyle w:val="Heading1"/>
        <w:jc w:val="center"/>
        <w:rPr>
          <w:rFonts w:ascii="Times New Roman" w:hAnsi="Times New Roman" w:cs="Times New Roman"/>
          <w:b/>
          <w:bCs/>
          <w:color w:val="auto"/>
          <w:sz w:val="24"/>
          <w:szCs w:val="24"/>
        </w:rPr>
      </w:pPr>
      <w:bookmarkStart w:id="20" w:name="_Toc149913202"/>
      <w:r w:rsidRPr="0050538C">
        <w:rPr>
          <w:rFonts w:ascii="Times New Roman" w:hAnsi="Times New Roman" w:cs="Times New Roman"/>
          <w:b/>
          <w:bCs/>
          <w:color w:val="auto"/>
          <w:sz w:val="24"/>
          <w:szCs w:val="24"/>
        </w:rPr>
        <w:lastRenderedPageBreak/>
        <w:t>CHAPTER.3. METHODOLOGY</w:t>
      </w:r>
      <w:bookmarkEnd w:id="20"/>
    </w:p>
    <w:p w14:paraId="3A578FDC" w14:textId="77777777" w:rsidR="00480667" w:rsidRPr="0050538C" w:rsidRDefault="00480667" w:rsidP="00480667">
      <w:pPr>
        <w:rPr>
          <w:rFonts w:ascii="Times New Roman" w:hAnsi="Times New Roman" w:cs="Times New Roman"/>
          <w:sz w:val="24"/>
          <w:szCs w:val="24"/>
        </w:rPr>
      </w:pPr>
    </w:p>
    <w:p w14:paraId="4C36CBBB" w14:textId="77777777" w:rsidR="00480667" w:rsidRPr="0050538C" w:rsidRDefault="00480667" w:rsidP="00480667">
      <w:pPr>
        <w:rPr>
          <w:rFonts w:ascii="Times New Roman" w:hAnsi="Times New Roman" w:cs="Times New Roman"/>
          <w:sz w:val="24"/>
          <w:szCs w:val="24"/>
        </w:rPr>
      </w:pPr>
    </w:p>
    <w:p w14:paraId="6D32927B" w14:textId="77777777" w:rsidR="00480667" w:rsidRPr="0050538C" w:rsidRDefault="00480667" w:rsidP="00480667">
      <w:pPr>
        <w:pStyle w:val="Heading2"/>
        <w:rPr>
          <w:rFonts w:ascii="Times New Roman" w:hAnsi="Times New Roman" w:cs="Times New Roman"/>
          <w:b/>
          <w:bCs/>
          <w:color w:val="auto"/>
          <w:sz w:val="24"/>
          <w:szCs w:val="24"/>
        </w:rPr>
      </w:pPr>
      <w:bookmarkStart w:id="21" w:name="_Toc149913203"/>
      <w:r w:rsidRPr="0050538C">
        <w:rPr>
          <w:rFonts w:ascii="Times New Roman" w:hAnsi="Times New Roman" w:cs="Times New Roman"/>
          <w:b/>
          <w:bCs/>
          <w:color w:val="auto"/>
          <w:sz w:val="24"/>
          <w:szCs w:val="24"/>
        </w:rPr>
        <w:t>3.1. Overview</w:t>
      </w:r>
      <w:bookmarkEnd w:id="21"/>
      <w:r w:rsidRPr="0050538C">
        <w:rPr>
          <w:rFonts w:ascii="Times New Roman" w:hAnsi="Times New Roman" w:cs="Times New Roman"/>
          <w:b/>
          <w:bCs/>
          <w:color w:val="auto"/>
          <w:sz w:val="24"/>
          <w:szCs w:val="24"/>
        </w:rPr>
        <w:t xml:space="preserve"> </w:t>
      </w:r>
    </w:p>
    <w:p w14:paraId="482A78D0" w14:textId="77777777" w:rsidR="00480667" w:rsidRPr="0050538C" w:rsidRDefault="00480667" w:rsidP="00480667">
      <w:pPr>
        <w:spacing w:line="360" w:lineRule="auto"/>
        <w:jc w:val="both"/>
        <w:rPr>
          <w:rFonts w:ascii="Times New Roman" w:hAnsi="Times New Roman" w:cs="Times New Roman"/>
          <w:sz w:val="24"/>
          <w:szCs w:val="24"/>
        </w:rPr>
      </w:pPr>
    </w:p>
    <w:p w14:paraId="20698E6B"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Fig. 4 summarises the study's three-step technique. In phase 1, case studies are found, identified, and documented.  Piecewise Reuses of Extracted Concrete in new structures (PRECS) procedures, steel, wood and untreated timber, bricks, are also recorded. Phase 2 involves the chronological analysis and comparison of case studies. Practice trends—that is, collections of instances with similarity in geography, technology, or typology—are found. In Phase 3, documents are examined to find any research gaps as well as possibilities, problems, consequences, and limits unique to the reusable construction material plan. The three phases' methodology is covered in detail in the subsequent parts.</w:t>
      </w:r>
    </w:p>
    <w:p w14:paraId="0C8963F5" w14:textId="77777777" w:rsidR="00480667" w:rsidRPr="0050538C" w:rsidRDefault="00480667" w:rsidP="00480667">
      <w:pPr>
        <w:spacing w:line="360" w:lineRule="auto"/>
        <w:jc w:val="both"/>
        <w:rPr>
          <w:rFonts w:ascii="Times New Roman" w:hAnsi="Times New Roman" w:cs="Times New Roman"/>
          <w:sz w:val="24"/>
          <w:szCs w:val="24"/>
        </w:rPr>
      </w:pPr>
    </w:p>
    <w:p w14:paraId="0DCC739E"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rPr>
        <w:drawing>
          <wp:inline distT="0" distB="0" distL="0" distR="0" wp14:anchorId="03ABAD39" wp14:editId="6C211DED">
            <wp:extent cx="5731510" cy="3007995"/>
            <wp:effectExtent l="0" t="0" r="2540" b="1905"/>
            <wp:docPr id="634389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389343" name=""/>
                    <pic:cNvPicPr/>
                  </pic:nvPicPr>
                  <pic:blipFill>
                    <a:blip r:embed="rId9"/>
                    <a:stretch>
                      <a:fillRect/>
                    </a:stretch>
                  </pic:blipFill>
                  <pic:spPr>
                    <a:xfrm>
                      <a:off x="0" y="0"/>
                      <a:ext cx="5731510" cy="3007995"/>
                    </a:xfrm>
                    <a:prstGeom prst="rect">
                      <a:avLst/>
                    </a:prstGeom>
                  </pic:spPr>
                </pic:pic>
              </a:graphicData>
            </a:graphic>
          </wp:inline>
        </w:drawing>
      </w:r>
    </w:p>
    <w:p w14:paraId="777C1E0E" w14:textId="77777777" w:rsidR="00480667" w:rsidRPr="0050538C" w:rsidRDefault="00480667" w:rsidP="00480667">
      <w:pPr>
        <w:spacing w:line="360" w:lineRule="auto"/>
        <w:jc w:val="both"/>
        <w:rPr>
          <w:rFonts w:ascii="Times New Roman" w:hAnsi="Times New Roman" w:cs="Times New Roman"/>
          <w:sz w:val="24"/>
          <w:szCs w:val="24"/>
        </w:rPr>
      </w:pPr>
    </w:p>
    <w:p w14:paraId="6F99FEFC" w14:textId="77777777" w:rsidR="00480667" w:rsidRPr="0050538C" w:rsidRDefault="00480667" w:rsidP="00480667">
      <w:pPr>
        <w:keepNext/>
        <w:spacing w:line="360" w:lineRule="auto"/>
        <w:jc w:val="both"/>
        <w:rPr>
          <w:rFonts w:ascii="Times New Roman" w:hAnsi="Times New Roman" w:cs="Times New Roman"/>
          <w:sz w:val="24"/>
          <w:szCs w:val="24"/>
        </w:rPr>
      </w:pPr>
    </w:p>
    <w:p w14:paraId="01D80C27" w14:textId="77777777" w:rsidR="00480667" w:rsidRPr="0050538C" w:rsidRDefault="00480667" w:rsidP="00480667">
      <w:pPr>
        <w:pStyle w:val="Caption"/>
        <w:jc w:val="center"/>
        <w:rPr>
          <w:rFonts w:ascii="Times New Roman" w:hAnsi="Times New Roman" w:cs="Times New Roman"/>
          <w:color w:val="auto"/>
          <w:sz w:val="24"/>
          <w:szCs w:val="24"/>
        </w:rPr>
      </w:pPr>
      <w:bookmarkStart w:id="22" w:name="_Toc149910239"/>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Pr="0050538C">
        <w:rPr>
          <w:rFonts w:ascii="Times New Roman" w:hAnsi="Times New Roman" w:cs="Times New Roman"/>
          <w:noProof/>
          <w:color w:val="auto"/>
          <w:sz w:val="24"/>
          <w:szCs w:val="24"/>
        </w:rPr>
        <w:t>4</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Methodological Framework. Created by Author.</w:t>
      </w:r>
      <w:bookmarkEnd w:id="22"/>
    </w:p>
    <w:p w14:paraId="5856D85B" w14:textId="77777777" w:rsidR="00480667" w:rsidRPr="0050538C" w:rsidRDefault="00480667" w:rsidP="00480667">
      <w:pPr>
        <w:spacing w:line="360" w:lineRule="auto"/>
        <w:jc w:val="both"/>
        <w:rPr>
          <w:rFonts w:ascii="Times New Roman" w:hAnsi="Times New Roman" w:cs="Times New Roman"/>
          <w:sz w:val="24"/>
          <w:szCs w:val="24"/>
        </w:rPr>
      </w:pPr>
    </w:p>
    <w:p w14:paraId="16B71100" w14:textId="77777777" w:rsidR="00480667" w:rsidRPr="0050538C" w:rsidRDefault="00480667" w:rsidP="00480667">
      <w:pPr>
        <w:spacing w:line="360" w:lineRule="auto"/>
        <w:jc w:val="both"/>
        <w:rPr>
          <w:rFonts w:ascii="Times New Roman" w:hAnsi="Times New Roman" w:cs="Times New Roman"/>
          <w:sz w:val="24"/>
          <w:szCs w:val="24"/>
        </w:rPr>
      </w:pPr>
    </w:p>
    <w:p w14:paraId="0813F3BC" w14:textId="77777777" w:rsidR="00480667" w:rsidRPr="0050538C" w:rsidRDefault="00480667" w:rsidP="00480667">
      <w:pPr>
        <w:spacing w:line="360" w:lineRule="auto"/>
        <w:jc w:val="both"/>
        <w:rPr>
          <w:rFonts w:ascii="Times New Roman" w:hAnsi="Times New Roman" w:cs="Times New Roman"/>
          <w:sz w:val="24"/>
          <w:szCs w:val="24"/>
        </w:rPr>
      </w:pPr>
    </w:p>
    <w:p w14:paraId="007A38C2" w14:textId="77777777" w:rsidR="00480667" w:rsidRPr="0050538C" w:rsidRDefault="00480667" w:rsidP="00480667">
      <w:pPr>
        <w:pStyle w:val="Heading2"/>
        <w:rPr>
          <w:rFonts w:ascii="Times New Roman" w:hAnsi="Times New Roman" w:cs="Times New Roman"/>
          <w:b/>
          <w:bCs/>
          <w:color w:val="auto"/>
          <w:sz w:val="24"/>
          <w:szCs w:val="24"/>
        </w:rPr>
      </w:pPr>
      <w:bookmarkStart w:id="23" w:name="_Toc149913204"/>
      <w:r w:rsidRPr="0050538C">
        <w:rPr>
          <w:rFonts w:ascii="Times New Roman" w:hAnsi="Times New Roman" w:cs="Times New Roman"/>
          <w:b/>
          <w:bCs/>
          <w:color w:val="auto"/>
          <w:sz w:val="24"/>
          <w:szCs w:val="24"/>
        </w:rPr>
        <w:t>3.2. Data collection</w:t>
      </w:r>
      <w:bookmarkEnd w:id="23"/>
      <w:r w:rsidRPr="0050538C">
        <w:rPr>
          <w:rFonts w:ascii="Times New Roman" w:hAnsi="Times New Roman" w:cs="Times New Roman"/>
          <w:b/>
          <w:bCs/>
          <w:color w:val="auto"/>
          <w:sz w:val="24"/>
          <w:szCs w:val="24"/>
        </w:rPr>
        <w:t xml:space="preserve"> </w:t>
      </w:r>
    </w:p>
    <w:p w14:paraId="6BE02C90" w14:textId="77777777" w:rsidR="00480667" w:rsidRPr="0050538C" w:rsidRDefault="00480667" w:rsidP="00480667">
      <w:pPr>
        <w:rPr>
          <w:rFonts w:ascii="Times New Roman" w:hAnsi="Times New Roman" w:cs="Times New Roman"/>
          <w:sz w:val="24"/>
          <w:szCs w:val="24"/>
        </w:rPr>
      </w:pPr>
    </w:p>
    <w:p w14:paraId="121A7219"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first step in gathering data is compiling published information on reuse materials such as wood, and the last is locating all case studies that have been reported. Four academic databases—Scopus, Web of Science, ProQuest, and the University of Wales's Library Service's Platform—are first searched for written records. "Concrete AND salvag* OR reclaim* OR reus* OR re-us* OR repurpos* AND architect* OR build* OR construct* OR design*" is the search query that is set for all fields. The first 800 results in each database are examined in order of relevancy. The search is only valid for information that can be found in online sources as of June 2023. Using a comparable list of terms, additional information is searched employing Google and YouTube search. Additional searches are made in the native languages of selected research projects and case studies because case studies are frequently localised. Additionally, a search on social media is conducted to find any additional, possibly freshly published answers. The references indicated in the documents gathered up until that point are eventually added to the record compilation (Appendix A). By meticulously reviewing all gathered records, original case studies—that is, original solutions for design incorporating reusable materials—that fit the study's parameters are found. They are then listed in a table (Appendix B), chronologically numbered, and discussed. An effort is made to locate additional sources for case studies that have scant evidence in order to further support them.</w:t>
      </w:r>
    </w:p>
    <w:p w14:paraId="1B97E9BF" w14:textId="77777777" w:rsidR="00480667" w:rsidRPr="0050538C" w:rsidRDefault="00480667" w:rsidP="00480667">
      <w:pPr>
        <w:spacing w:line="360" w:lineRule="auto"/>
        <w:jc w:val="both"/>
        <w:rPr>
          <w:rFonts w:ascii="Times New Roman" w:hAnsi="Times New Roman" w:cs="Times New Roman"/>
          <w:sz w:val="24"/>
          <w:szCs w:val="24"/>
        </w:rPr>
      </w:pPr>
    </w:p>
    <w:p w14:paraId="2DEF14DC" w14:textId="77777777" w:rsidR="00480667" w:rsidRPr="0050538C" w:rsidRDefault="00480667" w:rsidP="00480667">
      <w:pPr>
        <w:pStyle w:val="Heading2"/>
        <w:rPr>
          <w:rFonts w:ascii="Times New Roman" w:hAnsi="Times New Roman" w:cs="Times New Roman"/>
          <w:b/>
          <w:bCs/>
          <w:color w:val="auto"/>
          <w:sz w:val="24"/>
          <w:szCs w:val="24"/>
        </w:rPr>
      </w:pPr>
      <w:bookmarkStart w:id="24" w:name="_Toc149913205"/>
      <w:r w:rsidRPr="0050538C">
        <w:rPr>
          <w:rFonts w:ascii="Times New Roman" w:hAnsi="Times New Roman" w:cs="Times New Roman"/>
          <w:b/>
          <w:bCs/>
          <w:color w:val="auto"/>
          <w:sz w:val="24"/>
          <w:szCs w:val="24"/>
        </w:rPr>
        <w:t>3.3. Diachronic Analysis Method (Phase.2.)</w:t>
      </w:r>
      <w:bookmarkEnd w:id="24"/>
    </w:p>
    <w:p w14:paraId="480018E8" w14:textId="77777777" w:rsidR="00480667" w:rsidRPr="0050538C" w:rsidRDefault="00480667" w:rsidP="00480667">
      <w:pPr>
        <w:rPr>
          <w:rFonts w:ascii="Times New Roman" w:hAnsi="Times New Roman" w:cs="Times New Roman"/>
          <w:sz w:val="24"/>
          <w:szCs w:val="24"/>
        </w:rPr>
      </w:pPr>
    </w:p>
    <w:p w14:paraId="46C86614"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Additional searches were carried out in the chosen academic projects and case studies in English languages because localisation of case studies is not possible to carry out. To locate any new, potentially recently published solutions, a search on social media is also done. The record compilation eventually includes the references listed in the papers amassed up to that time. Original case studies, that is, original solutions for design including PRECS, bricks, wood materials etc that fit the study's specifications, are discovered by painstakingly evaluating all of the acquired records. After that, they were addressed, chronologically numbered, and listed in a table. In order to further strengthen case studies with weak evidence, an effort is undertaken to find other sources.</w:t>
      </w:r>
    </w:p>
    <w:p w14:paraId="1100F964" w14:textId="77777777" w:rsidR="00480667" w:rsidRPr="0050538C" w:rsidRDefault="00480667" w:rsidP="00480667">
      <w:pPr>
        <w:jc w:val="both"/>
        <w:rPr>
          <w:rFonts w:ascii="Times New Roman" w:hAnsi="Times New Roman" w:cs="Times New Roman"/>
          <w:b/>
          <w:bCs/>
          <w:sz w:val="24"/>
          <w:szCs w:val="24"/>
        </w:rPr>
      </w:pPr>
      <w:r w:rsidRPr="0050538C">
        <w:rPr>
          <w:rFonts w:ascii="Times New Roman" w:hAnsi="Times New Roman" w:cs="Times New Roman"/>
          <w:b/>
          <w:bCs/>
          <w:sz w:val="24"/>
          <w:szCs w:val="24"/>
        </w:rPr>
        <w:lastRenderedPageBreak/>
        <w:t xml:space="preserve"> 3.4. Synchronic Evaluation Method (Phase:3)</w:t>
      </w:r>
    </w:p>
    <w:p w14:paraId="6D6C28EC" w14:textId="77777777" w:rsidR="00480667" w:rsidRPr="0050538C" w:rsidRDefault="00480667" w:rsidP="00480667">
      <w:pPr>
        <w:rPr>
          <w:rFonts w:ascii="Times New Roman" w:hAnsi="Times New Roman" w:cs="Times New Roman"/>
          <w:sz w:val="24"/>
          <w:szCs w:val="24"/>
        </w:rPr>
      </w:pPr>
    </w:p>
    <w:p w14:paraId="696ADD65"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 synchronic study of reuse techniques is carried out in Phase 3. The analysis entails identifying recurring factors and their effects on engineering and architectural projects as well as the sustainability's social and environmental facets. The evaluation is initially manually produced using the gathered literature, case study instruction, and supplementary technical material. Then, through a series of iterations, findings based on various sources are critically evaluated to one another and (re)combined (</w:t>
      </w:r>
      <w:r w:rsidRPr="0050538C">
        <w:rPr>
          <w:rFonts w:ascii="Times New Roman" w:hAnsi="Times New Roman" w:cs="Times New Roman"/>
          <w:sz w:val="24"/>
          <w:szCs w:val="24"/>
          <w:shd w:val="clear" w:color="auto" w:fill="FFFFFF"/>
        </w:rPr>
        <w:t xml:space="preserve">Wei et al., 2021). </w:t>
      </w:r>
      <w:r w:rsidRPr="0050538C">
        <w:rPr>
          <w:rFonts w:ascii="Times New Roman" w:hAnsi="Times New Roman" w:cs="Times New Roman"/>
          <w:sz w:val="24"/>
          <w:szCs w:val="24"/>
        </w:rPr>
        <w:t xml:space="preserve">Eventually, they are arranged into five themes: Technical considerations, environmental consequences, energy considerations, procurement considerations, are listed in that order. These themes include all facets of environmental sustainability and the circular economy as well as technical, cultural, and aesthetic facets that are unique to the building industry. The defining qualities for each topic are broken down into two categories: detrimental factors, such as ecological, human, and opportunities for the products, and restricting forces, such as restrictions, boundaries, and hazards for the reused materials. </w:t>
      </w:r>
    </w:p>
    <w:p w14:paraId="43BC48AD" w14:textId="77777777" w:rsidR="00480667" w:rsidRPr="0050538C" w:rsidRDefault="00480667" w:rsidP="00480667">
      <w:pPr>
        <w:spacing w:line="360" w:lineRule="auto"/>
        <w:jc w:val="both"/>
        <w:rPr>
          <w:rFonts w:ascii="Times New Roman" w:hAnsi="Times New Roman" w:cs="Times New Roman"/>
          <w:sz w:val="24"/>
          <w:szCs w:val="24"/>
        </w:rPr>
      </w:pPr>
    </w:p>
    <w:p w14:paraId="293CFEA6" w14:textId="77777777" w:rsidR="00480667" w:rsidRPr="0050538C" w:rsidRDefault="00480667" w:rsidP="00480667">
      <w:pPr>
        <w:spacing w:line="360" w:lineRule="auto"/>
        <w:jc w:val="both"/>
        <w:rPr>
          <w:rFonts w:ascii="Times New Roman" w:hAnsi="Times New Roman" w:cs="Times New Roman"/>
          <w:sz w:val="24"/>
          <w:szCs w:val="24"/>
        </w:rPr>
      </w:pPr>
    </w:p>
    <w:p w14:paraId="2401EC11" w14:textId="77777777" w:rsidR="00480667" w:rsidRPr="0050538C" w:rsidRDefault="00480667" w:rsidP="00480667">
      <w:pPr>
        <w:spacing w:line="360" w:lineRule="auto"/>
        <w:jc w:val="both"/>
        <w:rPr>
          <w:rFonts w:ascii="Times New Roman" w:hAnsi="Times New Roman" w:cs="Times New Roman"/>
          <w:sz w:val="24"/>
          <w:szCs w:val="24"/>
        </w:rPr>
      </w:pPr>
    </w:p>
    <w:p w14:paraId="78C9FFC5" w14:textId="77777777" w:rsidR="00480667" w:rsidRPr="0050538C" w:rsidRDefault="00480667" w:rsidP="00480667">
      <w:pPr>
        <w:spacing w:line="360" w:lineRule="auto"/>
        <w:jc w:val="both"/>
        <w:rPr>
          <w:rFonts w:ascii="Times New Roman" w:hAnsi="Times New Roman" w:cs="Times New Roman"/>
          <w:sz w:val="24"/>
          <w:szCs w:val="24"/>
        </w:rPr>
      </w:pPr>
    </w:p>
    <w:p w14:paraId="78662039" w14:textId="77777777" w:rsidR="00480667" w:rsidRPr="0050538C" w:rsidRDefault="00480667" w:rsidP="00480667">
      <w:pPr>
        <w:spacing w:line="360" w:lineRule="auto"/>
        <w:jc w:val="both"/>
        <w:rPr>
          <w:rFonts w:ascii="Times New Roman" w:hAnsi="Times New Roman" w:cs="Times New Roman"/>
          <w:sz w:val="24"/>
          <w:szCs w:val="24"/>
        </w:rPr>
      </w:pPr>
    </w:p>
    <w:p w14:paraId="00EF2E0F" w14:textId="77777777" w:rsidR="00480667" w:rsidRPr="0050538C" w:rsidRDefault="00480667" w:rsidP="00480667">
      <w:pPr>
        <w:spacing w:line="360" w:lineRule="auto"/>
        <w:jc w:val="both"/>
        <w:rPr>
          <w:rFonts w:ascii="Times New Roman" w:hAnsi="Times New Roman" w:cs="Times New Roman"/>
          <w:sz w:val="24"/>
          <w:szCs w:val="24"/>
        </w:rPr>
      </w:pPr>
    </w:p>
    <w:p w14:paraId="72C6B8F5" w14:textId="77777777" w:rsidR="00480667" w:rsidRPr="0050538C" w:rsidRDefault="00480667" w:rsidP="00480667">
      <w:pPr>
        <w:spacing w:line="360" w:lineRule="auto"/>
        <w:jc w:val="both"/>
        <w:rPr>
          <w:rFonts w:ascii="Times New Roman" w:hAnsi="Times New Roman" w:cs="Times New Roman"/>
          <w:sz w:val="24"/>
          <w:szCs w:val="24"/>
        </w:rPr>
      </w:pPr>
    </w:p>
    <w:p w14:paraId="4CB28218" w14:textId="77777777" w:rsidR="00480667" w:rsidRPr="0050538C" w:rsidRDefault="00480667" w:rsidP="00480667">
      <w:pPr>
        <w:spacing w:line="360" w:lineRule="auto"/>
        <w:jc w:val="both"/>
        <w:rPr>
          <w:rFonts w:ascii="Times New Roman" w:hAnsi="Times New Roman" w:cs="Times New Roman"/>
          <w:sz w:val="24"/>
          <w:szCs w:val="24"/>
        </w:rPr>
      </w:pPr>
    </w:p>
    <w:p w14:paraId="7735B818" w14:textId="77777777" w:rsidR="00480667" w:rsidRPr="0050538C" w:rsidRDefault="00480667" w:rsidP="00480667">
      <w:pPr>
        <w:spacing w:line="360" w:lineRule="auto"/>
        <w:jc w:val="both"/>
        <w:rPr>
          <w:rFonts w:ascii="Times New Roman" w:hAnsi="Times New Roman" w:cs="Times New Roman"/>
          <w:sz w:val="24"/>
          <w:szCs w:val="24"/>
        </w:rPr>
      </w:pPr>
    </w:p>
    <w:p w14:paraId="62E467B4" w14:textId="77777777" w:rsidR="00480667" w:rsidRPr="0050538C" w:rsidRDefault="00480667" w:rsidP="00480667">
      <w:pPr>
        <w:spacing w:line="360" w:lineRule="auto"/>
        <w:jc w:val="both"/>
        <w:rPr>
          <w:rFonts w:ascii="Times New Roman" w:hAnsi="Times New Roman" w:cs="Times New Roman"/>
          <w:sz w:val="24"/>
          <w:szCs w:val="24"/>
        </w:rPr>
      </w:pPr>
    </w:p>
    <w:p w14:paraId="6F6B4F50" w14:textId="77777777" w:rsidR="00480667" w:rsidRPr="0050538C" w:rsidRDefault="00480667" w:rsidP="00480667">
      <w:pPr>
        <w:spacing w:line="360" w:lineRule="auto"/>
        <w:jc w:val="both"/>
        <w:rPr>
          <w:rFonts w:ascii="Times New Roman" w:hAnsi="Times New Roman" w:cs="Times New Roman"/>
          <w:sz w:val="24"/>
          <w:szCs w:val="24"/>
        </w:rPr>
      </w:pPr>
    </w:p>
    <w:p w14:paraId="02CE91A0" w14:textId="77777777" w:rsidR="00480667" w:rsidRPr="0050538C" w:rsidRDefault="00480667" w:rsidP="00480667">
      <w:pPr>
        <w:spacing w:line="360" w:lineRule="auto"/>
        <w:jc w:val="both"/>
        <w:rPr>
          <w:rFonts w:ascii="Times New Roman" w:hAnsi="Times New Roman" w:cs="Times New Roman"/>
          <w:sz w:val="24"/>
          <w:szCs w:val="24"/>
        </w:rPr>
      </w:pPr>
    </w:p>
    <w:p w14:paraId="49B5476B" w14:textId="77777777" w:rsidR="00480667" w:rsidRPr="0050538C" w:rsidRDefault="00480667" w:rsidP="00480667">
      <w:pPr>
        <w:pStyle w:val="Heading1"/>
        <w:jc w:val="center"/>
        <w:rPr>
          <w:rFonts w:ascii="Times New Roman" w:hAnsi="Times New Roman" w:cs="Times New Roman"/>
          <w:b/>
          <w:bCs/>
          <w:color w:val="auto"/>
          <w:sz w:val="24"/>
          <w:szCs w:val="24"/>
        </w:rPr>
      </w:pPr>
      <w:bookmarkStart w:id="25" w:name="_Toc149913206"/>
      <w:r w:rsidRPr="0050538C">
        <w:rPr>
          <w:rFonts w:ascii="Times New Roman" w:hAnsi="Times New Roman" w:cs="Times New Roman"/>
          <w:b/>
          <w:bCs/>
          <w:color w:val="auto"/>
          <w:sz w:val="24"/>
          <w:szCs w:val="24"/>
        </w:rPr>
        <w:lastRenderedPageBreak/>
        <w:t>CHAPTER.4. FINDINGS &amp; ANALYSIS</w:t>
      </w:r>
      <w:bookmarkEnd w:id="25"/>
    </w:p>
    <w:p w14:paraId="4A81B8BA" w14:textId="77777777" w:rsidR="00480667" w:rsidRPr="0050538C" w:rsidRDefault="00480667" w:rsidP="00480667">
      <w:pPr>
        <w:rPr>
          <w:rFonts w:ascii="Times New Roman" w:hAnsi="Times New Roman" w:cs="Times New Roman"/>
          <w:sz w:val="24"/>
          <w:szCs w:val="24"/>
        </w:rPr>
      </w:pPr>
    </w:p>
    <w:p w14:paraId="6D9894C7" w14:textId="77777777" w:rsidR="00480667" w:rsidRPr="0050538C" w:rsidRDefault="00480667" w:rsidP="00480667">
      <w:pPr>
        <w:pStyle w:val="Heading2"/>
        <w:rPr>
          <w:rFonts w:ascii="Times New Roman" w:hAnsi="Times New Roman" w:cs="Times New Roman"/>
          <w:b/>
          <w:bCs/>
          <w:color w:val="auto"/>
          <w:sz w:val="24"/>
          <w:szCs w:val="24"/>
        </w:rPr>
      </w:pPr>
      <w:bookmarkStart w:id="26" w:name="_Toc149913207"/>
      <w:r w:rsidRPr="0050538C">
        <w:rPr>
          <w:rFonts w:ascii="Times New Roman" w:hAnsi="Times New Roman" w:cs="Times New Roman"/>
          <w:b/>
          <w:bCs/>
          <w:color w:val="auto"/>
          <w:sz w:val="24"/>
          <w:szCs w:val="24"/>
        </w:rPr>
        <w:t>4.1. Literature Corpus Overview</w:t>
      </w:r>
      <w:bookmarkEnd w:id="26"/>
      <w:r w:rsidRPr="0050538C">
        <w:rPr>
          <w:rFonts w:ascii="Times New Roman" w:hAnsi="Times New Roman" w:cs="Times New Roman"/>
          <w:b/>
          <w:bCs/>
          <w:color w:val="auto"/>
          <w:sz w:val="24"/>
          <w:szCs w:val="24"/>
        </w:rPr>
        <w:t xml:space="preserve"> </w:t>
      </w:r>
    </w:p>
    <w:p w14:paraId="11909500" w14:textId="77777777" w:rsidR="00480667" w:rsidRPr="0050538C" w:rsidRDefault="00480667" w:rsidP="00480667">
      <w:pPr>
        <w:spacing w:line="360" w:lineRule="auto"/>
        <w:jc w:val="both"/>
        <w:rPr>
          <w:rFonts w:ascii="Times New Roman" w:hAnsi="Times New Roman" w:cs="Times New Roman"/>
          <w:sz w:val="24"/>
          <w:szCs w:val="24"/>
        </w:rPr>
      </w:pPr>
    </w:p>
    <w:p w14:paraId="72B0DA78"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On Fig. 5, the records gathered are displayed by type and year of publication. The full list can be found in Appendix A. It consists of eight articles from journals, eighteen papers from conferences and presentations, ten books or book chapters, sixteen dissertations, nineteen reports or factsheets, twenty articles from magazines, assessments, webpages, or videos. The earliest records were discovered in books, book chapters, and architecture periodicals, and they are from the 2013 and 2023. They talk about their initial experiences with reusing precast materials in large-scale residential developments in the nations of the Netherlands and Sweden as well as in primarily commercial construction in Germany (see Section 4.2 and Section 4.3). In the 2000s, a number of scientific articles on reusable materials were published, with the first one concentrating on the reusing of cast-in-place concrete parts. In general, with time, the frequency of identifiable records rises. Eight Master theses, seven journal articles, conference papers, and papers from conferences released since 2020 are gathered for the most recent past, indicating current scholarly interest.</w:t>
      </w:r>
    </w:p>
    <w:p w14:paraId="05BA13A6" w14:textId="77777777" w:rsidR="00480667" w:rsidRPr="0050538C" w:rsidRDefault="00480667" w:rsidP="00480667">
      <w:pPr>
        <w:spacing w:line="360" w:lineRule="auto"/>
        <w:jc w:val="both"/>
        <w:rPr>
          <w:rFonts w:ascii="Times New Roman" w:hAnsi="Times New Roman" w:cs="Times New Roman"/>
          <w:b/>
          <w:bCs/>
          <w:sz w:val="24"/>
          <w:szCs w:val="24"/>
        </w:rPr>
      </w:pPr>
    </w:p>
    <w:p w14:paraId="4E908A11" w14:textId="77777777" w:rsidR="00480667" w:rsidRPr="0050538C" w:rsidRDefault="00480667" w:rsidP="00480667">
      <w:pPr>
        <w:pStyle w:val="Heading2"/>
        <w:rPr>
          <w:rFonts w:ascii="Times New Roman" w:hAnsi="Times New Roman" w:cs="Times New Roman"/>
          <w:b/>
          <w:bCs/>
          <w:color w:val="auto"/>
          <w:sz w:val="24"/>
          <w:szCs w:val="24"/>
        </w:rPr>
      </w:pPr>
      <w:bookmarkStart w:id="27" w:name="_Toc149913208"/>
      <w:r w:rsidRPr="0050538C">
        <w:rPr>
          <w:rFonts w:ascii="Times New Roman" w:hAnsi="Times New Roman" w:cs="Times New Roman"/>
          <w:b/>
          <w:bCs/>
          <w:color w:val="auto"/>
          <w:sz w:val="24"/>
          <w:szCs w:val="24"/>
        </w:rPr>
        <w:t>4.2. Case Study Corpus Overview</w:t>
      </w:r>
      <w:bookmarkEnd w:id="27"/>
      <w:r w:rsidRPr="0050538C">
        <w:rPr>
          <w:rFonts w:ascii="Times New Roman" w:hAnsi="Times New Roman" w:cs="Times New Roman"/>
          <w:b/>
          <w:bCs/>
          <w:color w:val="auto"/>
          <w:sz w:val="24"/>
          <w:szCs w:val="24"/>
        </w:rPr>
        <w:t xml:space="preserve"> </w:t>
      </w:r>
    </w:p>
    <w:p w14:paraId="1A0D81F3" w14:textId="77777777" w:rsidR="00480667" w:rsidRPr="0050538C" w:rsidRDefault="00480667" w:rsidP="00480667">
      <w:pPr>
        <w:spacing w:line="360" w:lineRule="auto"/>
        <w:jc w:val="both"/>
        <w:rPr>
          <w:rFonts w:ascii="Times New Roman" w:hAnsi="Times New Roman" w:cs="Times New Roman"/>
          <w:sz w:val="24"/>
          <w:szCs w:val="24"/>
        </w:rPr>
      </w:pPr>
    </w:p>
    <w:p w14:paraId="133EFD9A"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The compiled case studies are listed in Appendix B (see Section 2.2). Due to search's intrinsic constraints and the fact that not all designs have been disclosed in publicly accessible records, the corpus is not comprehensive. Additionally, there are discrepancies in the availability, clarity, and dependability of the data. The number of instances is shown in Fig. 6 along with their location, construction status, and reuse material types. There are a total of 12 verified design case studies gathered.  9 of these are completed projects. 5 case studies are still under construction, despite having been planned but not yet officially announced in publications. Two construction projects have been abandoned, either due to issues with coordination and finances or unrelated problems. Because they were not supposed to be constructed in the near future, twelve design instances were never built. Most of them are exploratory or viability design studies that are the result of Master's theses. Between 2013 and 2015, the 12 built projects were constructed.  8 of them, predominantly in Germany, are located in Europe, while one is in the United States. Large multi-story housing complexes, low-rise structures, pavilions, and </w:t>
      </w:r>
      <w:r w:rsidRPr="0050538C">
        <w:rPr>
          <w:rFonts w:ascii="Times New Roman" w:hAnsi="Times New Roman" w:cs="Times New Roman"/>
          <w:sz w:val="24"/>
          <w:szCs w:val="24"/>
        </w:rPr>
        <w:lastRenderedPageBreak/>
        <w:t>infrastructural improvements are among the listed built projects. Precast panels from large-scale housing developments with or without dimensional alteration make up the majority of recycled concrete elements, although there are also precast elements or concrete pieces removed from monolithic buildings ranging in size from small blocks to big pieces. However, despite the range of developed projects currently in existence, the aggregate quantity of built precedents indicates that PRECS, woods, bricks are restricted to the status of a specialized practice at the moment.</w:t>
      </w:r>
    </w:p>
    <w:p w14:paraId="7293CADE" w14:textId="77777777" w:rsidR="00480667" w:rsidRPr="0050538C" w:rsidRDefault="00480667" w:rsidP="00480667">
      <w:pPr>
        <w:spacing w:line="360" w:lineRule="auto"/>
        <w:jc w:val="both"/>
        <w:rPr>
          <w:rFonts w:ascii="Times New Roman" w:hAnsi="Times New Roman" w:cs="Times New Roman"/>
          <w:sz w:val="24"/>
          <w:szCs w:val="24"/>
        </w:rPr>
      </w:pPr>
    </w:p>
    <w:p w14:paraId="2ADAA341" w14:textId="77777777" w:rsidR="00480667" w:rsidRPr="0050538C" w:rsidRDefault="00480667" w:rsidP="00480667">
      <w:pPr>
        <w:keepNext/>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rPr>
        <w:drawing>
          <wp:inline distT="0" distB="0" distL="0" distR="0" wp14:anchorId="4D85EC1B" wp14:editId="25BFADF0">
            <wp:extent cx="5486400" cy="2960581"/>
            <wp:effectExtent l="0" t="0" r="0" b="11430"/>
            <wp:docPr id="913501312"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0B5D127" w14:textId="77777777" w:rsidR="00480667" w:rsidRPr="0050538C" w:rsidRDefault="00480667" w:rsidP="00480667">
      <w:pPr>
        <w:pStyle w:val="Caption"/>
        <w:jc w:val="center"/>
        <w:rPr>
          <w:rFonts w:ascii="Times New Roman" w:hAnsi="Times New Roman" w:cs="Times New Roman"/>
          <w:color w:val="auto"/>
          <w:sz w:val="24"/>
          <w:szCs w:val="24"/>
        </w:rPr>
      </w:pPr>
      <w:bookmarkStart w:id="28" w:name="_Toc149910240"/>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Pr="0050538C">
        <w:rPr>
          <w:rFonts w:ascii="Times New Roman" w:hAnsi="Times New Roman" w:cs="Times New Roman"/>
          <w:noProof/>
          <w:color w:val="auto"/>
          <w:sz w:val="24"/>
          <w:szCs w:val="24"/>
        </w:rPr>
        <w:t>5</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.List of countries that mentioned in chosen studies. Created by Author.</w:t>
      </w:r>
      <w:bookmarkEnd w:id="28"/>
      <w:r w:rsidRPr="0050538C">
        <w:rPr>
          <w:rFonts w:ascii="Times New Roman" w:hAnsi="Times New Roman" w:cs="Times New Roman"/>
          <w:color w:val="auto"/>
          <w:sz w:val="24"/>
          <w:szCs w:val="24"/>
        </w:rPr>
        <w:t xml:space="preserve"> </w:t>
      </w:r>
    </w:p>
    <w:p w14:paraId="7A258527" w14:textId="77777777" w:rsidR="00480667" w:rsidRPr="0050538C" w:rsidRDefault="00480667" w:rsidP="00480667">
      <w:pPr>
        <w:spacing w:line="360" w:lineRule="auto"/>
        <w:jc w:val="both"/>
        <w:rPr>
          <w:rFonts w:ascii="Times New Roman" w:hAnsi="Times New Roman" w:cs="Times New Roman"/>
          <w:sz w:val="24"/>
          <w:szCs w:val="24"/>
        </w:rPr>
      </w:pPr>
    </w:p>
    <w:p w14:paraId="0C722E05" w14:textId="77777777" w:rsidR="00480667" w:rsidRPr="0050538C" w:rsidRDefault="00480667" w:rsidP="00480667">
      <w:pPr>
        <w:keepNext/>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shd w:val="clear" w:color="auto" w:fill="538135" w:themeFill="accent6" w:themeFillShade="BF"/>
        </w:rPr>
        <w:lastRenderedPageBreak/>
        <w:drawing>
          <wp:inline distT="0" distB="0" distL="0" distR="0" wp14:anchorId="458099C4" wp14:editId="7197DC47">
            <wp:extent cx="5486400" cy="3200400"/>
            <wp:effectExtent l="0" t="0" r="0" b="0"/>
            <wp:docPr id="2000242956"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35C2B3E" w14:textId="77777777" w:rsidR="00480667" w:rsidRPr="0050538C" w:rsidRDefault="00480667" w:rsidP="00480667">
      <w:pPr>
        <w:pStyle w:val="Caption"/>
        <w:jc w:val="center"/>
        <w:rPr>
          <w:rFonts w:ascii="Times New Roman" w:hAnsi="Times New Roman" w:cs="Times New Roman"/>
          <w:color w:val="auto"/>
          <w:sz w:val="24"/>
          <w:szCs w:val="24"/>
        </w:rPr>
      </w:pPr>
      <w:bookmarkStart w:id="29" w:name="_Toc149910241"/>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Pr="0050538C">
        <w:rPr>
          <w:rFonts w:ascii="Times New Roman" w:hAnsi="Times New Roman" w:cs="Times New Roman"/>
          <w:noProof/>
          <w:color w:val="auto"/>
          <w:sz w:val="24"/>
          <w:szCs w:val="24"/>
        </w:rPr>
        <w:t>6</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Number of studies selected for the analysis. Created by Author</w:t>
      </w:r>
      <w:bookmarkEnd w:id="29"/>
      <w:r w:rsidRPr="0050538C">
        <w:rPr>
          <w:rFonts w:ascii="Times New Roman" w:hAnsi="Times New Roman" w:cs="Times New Roman"/>
          <w:color w:val="auto"/>
          <w:sz w:val="24"/>
          <w:szCs w:val="24"/>
        </w:rPr>
        <w:t xml:space="preserve"> </w:t>
      </w:r>
    </w:p>
    <w:p w14:paraId="51F3B08E" w14:textId="77777777" w:rsidR="00480667" w:rsidRPr="0050538C" w:rsidRDefault="00480667" w:rsidP="00480667">
      <w:pPr>
        <w:spacing w:line="360" w:lineRule="auto"/>
        <w:jc w:val="both"/>
        <w:rPr>
          <w:rFonts w:ascii="Times New Roman" w:hAnsi="Times New Roman" w:cs="Times New Roman"/>
          <w:sz w:val="24"/>
          <w:szCs w:val="24"/>
        </w:rPr>
      </w:pPr>
    </w:p>
    <w:p w14:paraId="0CC918EC" w14:textId="77777777" w:rsidR="00480667" w:rsidRPr="0050538C" w:rsidRDefault="00480667" w:rsidP="00480667">
      <w:pPr>
        <w:spacing w:line="360" w:lineRule="auto"/>
        <w:jc w:val="both"/>
        <w:rPr>
          <w:rFonts w:ascii="Times New Roman" w:hAnsi="Times New Roman" w:cs="Times New Roman"/>
          <w:sz w:val="24"/>
          <w:szCs w:val="24"/>
        </w:rPr>
      </w:pPr>
    </w:p>
    <w:p w14:paraId="19CDC757" w14:textId="77777777" w:rsidR="00480667" w:rsidRPr="0050538C" w:rsidRDefault="00480667" w:rsidP="00480667">
      <w:pPr>
        <w:keepNext/>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rPr>
        <w:drawing>
          <wp:inline distT="0" distB="0" distL="0" distR="0" wp14:anchorId="69EA7518" wp14:editId="629B09BC">
            <wp:extent cx="5486400" cy="3200400"/>
            <wp:effectExtent l="0" t="0" r="0" b="0"/>
            <wp:docPr id="1456361114"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6651187" w14:textId="77777777" w:rsidR="00480667" w:rsidRPr="0050538C" w:rsidRDefault="00480667" w:rsidP="00480667">
      <w:pPr>
        <w:pStyle w:val="Caption"/>
        <w:jc w:val="center"/>
        <w:rPr>
          <w:rFonts w:ascii="Times New Roman" w:hAnsi="Times New Roman" w:cs="Times New Roman"/>
          <w:color w:val="auto"/>
          <w:sz w:val="24"/>
          <w:szCs w:val="24"/>
        </w:rPr>
      </w:pPr>
      <w:bookmarkStart w:id="30" w:name="_Toc149910242"/>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Pr="0050538C">
        <w:rPr>
          <w:rFonts w:ascii="Times New Roman" w:hAnsi="Times New Roman" w:cs="Times New Roman"/>
          <w:noProof/>
          <w:color w:val="auto"/>
          <w:sz w:val="24"/>
          <w:szCs w:val="24"/>
        </w:rPr>
        <w:t>7</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Reused Materials used in Construction. Created By Author.</w:t>
      </w:r>
      <w:bookmarkEnd w:id="30"/>
      <w:r w:rsidRPr="0050538C">
        <w:rPr>
          <w:rFonts w:ascii="Times New Roman" w:hAnsi="Times New Roman" w:cs="Times New Roman"/>
          <w:color w:val="auto"/>
          <w:sz w:val="24"/>
          <w:szCs w:val="24"/>
        </w:rPr>
        <w:t xml:space="preserve"> </w:t>
      </w:r>
    </w:p>
    <w:p w14:paraId="6E5E0F01" w14:textId="77777777" w:rsidR="00480667" w:rsidRPr="0050538C" w:rsidRDefault="00480667" w:rsidP="00480667">
      <w:pPr>
        <w:spacing w:line="360" w:lineRule="auto"/>
        <w:jc w:val="both"/>
        <w:rPr>
          <w:rFonts w:ascii="Times New Roman" w:hAnsi="Times New Roman" w:cs="Times New Roman"/>
          <w:sz w:val="24"/>
          <w:szCs w:val="24"/>
        </w:rPr>
      </w:pPr>
    </w:p>
    <w:p w14:paraId="29728496" w14:textId="77777777" w:rsidR="00480667" w:rsidRPr="0050538C" w:rsidRDefault="00480667" w:rsidP="00480667">
      <w:pPr>
        <w:pStyle w:val="Heading2"/>
        <w:rPr>
          <w:rFonts w:ascii="Times New Roman" w:hAnsi="Times New Roman" w:cs="Times New Roman"/>
          <w:b/>
          <w:bCs/>
          <w:color w:val="auto"/>
          <w:sz w:val="24"/>
          <w:szCs w:val="24"/>
        </w:rPr>
      </w:pPr>
      <w:bookmarkStart w:id="31" w:name="_Toc149913209"/>
      <w:r w:rsidRPr="0050538C">
        <w:rPr>
          <w:rFonts w:ascii="Times New Roman" w:hAnsi="Times New Roman" w:cs="Times New Roman"/>
          <w:b/>
          <w:bCs/>
          <w:color w:val="auto"/>
          <w:sz w:val="24"/>
          <w:szCs w:val="24"/>
        </w:rPr>
        <w:t>4.3. Diachronic analysis: development trends</w:t>
      </w:r>
      <w:bookmarkEnd w:id="31"/>
    </w:p>
    <w:p w14:paraId="295545A3" w14:textId="77777777" w:rsidR="00480667" w:rsidRPr="0050538C" w:rsidRDefault="00480667" w:rsidP="00480667">
      <w:pPr>
        <w:rPr>
          <w:rFonts w:ascii="Times New Roman" w:hAnsi="Times New Roman" w:cs="Times New Roman"/>
          <w:sz w:val="24"/>
          <w:szCs w:val="24"/>
        </w:rPr>
      </w:pPr>
    </w:p>
    <w:p w14:paraId="475D3B35" w14:textId="77777777" w:rsidR="00480667" w:rsidRPr="0050538C" w:rsidRDefault="00480667" w:rsidP="00480667">
      <w:pPr>
        <w:rPr>
          <w:rFonts w:ascii="Times New Roman" w:hAnsi="Times New Roman" w:cs="Times New Roman"/>
          <w:sz w:val="24"/>
          <w:szCs w:val="24"/>
        </w:rPr>
      </w:pPr>
    </w:p>
    <w:p w14:paraId="5EB5348C" w14:textId="77777777" w:rsidR="00480667" w:rsidRPr="0050538C" w:rsidRDefault="00480667" w:rsidP="00480667">
      <w:pPr>
        <w:pStyle w:val="Heading3"/>
        <w:rPr>
          <w:rFonts w:ascii="Times New Roman" w:hAnsi="Times New Roman" w:cs="Times New Roman"/>
          <w:b/>
          <w:bCs/>
          <w:color w:val="auto"/>
        </w:rPr>
      </w:pPr>
      <w:bookmarkStart w:id="32" w:name="_Toc149913210"/>
      <w:r w:rsidRPr="0050538C">
        <w:rPr>
          <w:rFonts w:ascii="Times New Roman" w:hAnsi="Times New Roman" w:cs="Times New Roman"/>
          <w:b/>
          <w:bCs/>
          <w:color w:val="auto"/>
        </w:rPr>
        <w:t>4.3.1. Overview</w:t>
      </w:r>
      <w:bookmarkEnd w:id="32"/>
      <w:r w:rsidRPr="0050538C">
        <w:rPr>
          <w:rFonts w:ascii="Times New Roman" w:hAnsi="Times New Roman" w:cs="Times New Roman"/>
          <w:b/>
          <w:bCs/>
          <w:color w:val="auto"/>
        </w:rPr>
        <w:t xml:space="preserve"> </w:t>
      </w:r>
    </w:p>
    <w:p w14:paraId="68ADC5F5" w14:textId="77777777" w:rsidR="00480667" w:rsidRPr="0050538C" w:rsidRDefault="00480667" w:rsidP="00480667">
      <w:pPr>
        <w:rPr>
          <w:rFonts w:ascii="Times New Roman" w:hAnsi="Times New Roman" w:cs="Times New Roman"/>
          <w:sz w:val="24"/>
          <w:szCs w:val="24"/>
        </w:rPr>
      </w:pPr>
    </w:p>
    <w:p w14:paraId="6D9045CE"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diachronic analysis offers a fresh viewpoint on the development of reuse procedures. It traces the history of the variety of examples and emphasizes changes in the scale of uses such as between small-scale pavilions and multistorey buildings, in the purpose of donor and recipient buildings, in the kind of original concrete building technique (precast or cast-in-place), in the countries of application, and in the type of procedures, such as among massive building endeavours and educational experiments. As shown in Fig. 7 and Table 1, the research reveals (1) three primary time spans and (2) seven historical trends that categorize case studies according to project type and reuse method.</w:t>
      </w:r>
    </w:p>
    <w:p w14:paraId="52D2EF10" w14:textId="77777777" w:rsidR="00480667" w:rsidRPr="0050538C" w:rsidRDefault="00480667" w:rsidP="00480667">
      <w:pPr>
        <w:pStyle w:val="ListParagraph"/>
        <w:numPr>
          <w:ilvl w:val="0"/>
          <w:numId w:val="7"/>
        </w:num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 B, and C represent the early, pioneering time from 2013 to 2015</w:t>
      </w:r>
    </w:p>
    <w:p w14:paraId="012A2324" w14:textId="77777777" w:rsidR="00480667" w:rsidRPr="0050538C" w:rsidRDefault="00480667" w:rsidP="00480667">
      <w:pPr>
        <w:pStyle w:val="ListParagraph"/>
        <w:numPr>
          <w:ilvl w:val="0"/>
          <w:numId w:val="7"/>
        </w:num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D and E represent the middle, developing period from 2015, to 2020</w:t>
      </w:r>
    </w:p>
    <w:p w14:paraId="4892C5E3" w14:textId="77777777" w:rsidR="00480667" w:rsidRPr="0050538C" w:rsidRDefault="00480667" w:rsidP="00480667">
      <w:pPr>
        <w:pStyle w:val="ListParagraph"/>
        <w:numPr>
          <w:ilvl w:val="0"/>
          <w:numId w:val="7"/>
        </w:num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F and G represent the most recent, diversifying period from 2021.</w:t>
      </w:r>
    </w:p>
    <w:p w14:paraId="41BE7CF1" w14:textId="77777777" w:rsidR="00480667" w:rsidRPr="0050538C" w:rsidRDefault="00480667" w:rsidP="00480667">
      <w:pPr>
        <w:pStyle w:val="Heading3"/>
        <w:rPr>
          <w:rFonts w:ascii="Times New Roman" w:hAnsi="Times New Roman" w:cs="Times New Roman"/>
          <w:b/>
          <w:bCs/>
          <w:color w:val="auto"/>
        </w:rPr>
      </w:pPr>
      <w:bookmarkStart w:id="33" w:name="_Toc149913211"/>
      <w:r w:rsidRPr="0050538C">
        <w:rPr>
          <w:rFonts w:ascii="Times New Roman" w:hAnsi="Times New Roman" w:cs="Times New Roman"/>
          <w:b/>
          <w:bCs/>
          <w:color w:val="auto"/>
        </w:rPr>
        <w:t>4.3.2. Early reuse of precast concrete components in Selected Nations</w:t>
      </w:r>
      <w:bookmarkEnd w:id="33"/>
      <w:r w:rsidRPr="0050538C">
        <w:rPr>
          <w:rFonts w:ascii="Times New Roman" w:hAnsi="Times New Roman" w:cs="Times New Roman"/>
          <w:b/>
          <w:bCs/>
          <w:color w:val="auto"/>
        </w:rPr>
        <w:t xml:space="preserve"> </w:t>
      </w:r>
    </w:p>
    <w:p w14:paraId="43CC08EF" w14:textId="77777777" w:rsidR="00480667" w:rsidRPr="0050538C" w:rsidRDefault="00480667" w:rsidP="00480667">
      <w:pPr>
        <w:rPr>
          <w:rFonts w:ascii="Times New Roman" w:hAnsi="Times New Roman" w:cs="Times New Roman"/>
          <w:sz w:val="24"/>
          <w:szCs w:val="24"/>
        </w:rPr>
      </w:pPr>
    </w:p>
    <w:p w14:paraId="057F9B6F"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rPr>
        <w:t>Precast concrete fragments were originally reused in low-rise buildings, primarily from and into manufacturing facilities in Germany, between 2013 to 2015. This method is referred to as the beginning of the reused trend. The earliest reuse of construction materials’ case study discovered in the present investigation is the first case study (</w:t>
      </w:r>
      <w:r w:rsidRPr="0050538C">
        <w:rPr>
          <w:rFonts w:ascii="Times New Roman" w:hAnsi="Times New Roman" w:cs="Times New Roman"/>
          <w:sz w:val="24"/>
          <w:szCs w:val="24"/>
          <w:shd w:val="clear" w:color="auto" w:fill="FFFFFF"/>
        </w:rPr>
        <w:t>Awoyera and Adesina, 2020)</w:t>
      </w:r>
      <w:r w:rsidRPr="0050538C">
        <w:rPr>
          <w:rFonts w:ascii="Times New Roman" w:hAnsi="Times New Roman" w:cs="Times New Roman"/>
          <w:sz w:val="24"/>
          <w:szCs w:val="24"/>
        </w:rPr>
        <w:t>. The use of precast components in 1-story structures is the subject of sixteen further investigations in Germany (</w:t>
      </w:r>
      <w:r w:rsidRPr="0050538C">
        <w:rPr>
          <w:rFonts w:ascii="Times New Roman" w:hAnsi="Times New Roman" w:cs="Times New Roman"/>
          <w:sz w:val="24"/>
          <w:szCs w:val="24"/>
          <w:shd w:val="clear" w:color="auto" w:fill="FFFFFF"/>
        </w:rPr>
        <w:t xml:space="preserve">Ghaffar et al., 2020 and Ferronato et al., 2022). </w:t>
      </w:r>
    </w:p>
    <w:p w14:paraId="0B7AA64D"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When they are not on the same site or coincide, the distance separating both the donor and the beneficiary of projects is often minimal. As a result, this behaviour appears to be motivated by a practical use of resources that are available regionally. Reuse of various precast element types occurs frequently for equivalent reuse. For instance, according to the case study, panels for walls, roof panels, trusses, purlins, and pillars are broken down and used again for the same purpose, typically without much alteration to size or the assembly process. However, calculations have shown that the capacity for loading was sufficient. In the case study by </w:t>
      </w:r>
      <w:bookmarkStart w:id="34" w:name="_Hlk149886191"/>
      <w:r w:rsidRPr="0050538C">
        <w:rPr>
          <w:rFonts w:ascii="Times New Roman" w:hAnsi="Times New Roman" w:cs="Times New Roman"/>
          <w:sz w:val="24"/>
          <w:szCs w:val="24"/>
          <w:shd w:val="clear" w:color="auto" w:fill="FFFFFF"/>
        </w:rPr>
        <w:t>Walubita</w:t>
      </w:r>
      <w:bookmarkEnd w:id="34"/>
      <w:r w:rsidRPr="0050538C">
        <w:rPr>
          <w:rFonts w:ascii="Times New Roman" w:hAnsi="Times New Roman" w:cs="Times New Roman"/>
          <w:sz w:val="24"/>
          <w:szCs w:val="24"/>
          <w:shd w:val="clear" w:color="auto" w:fill="FFFFFF"/>
        </w:rPr>
        <w:t xml:space="preserve"> et al. (2022), </w:t>
      </w:r>
      <w:r w:rsidRPr="0050538C">
        <w:rPr>
          <w:rFonts w:ascii="Times New Roman" w:hAnsi="Times New Roman" w:cs="Times New Roman"/>
          <w:sz w:val="24"/>
          <w:szCs w:val="24"/>
        </w:rPr>
        <w:t>roof panels were utilized in a new roof with greater loads than in the original building. Materials may occasionally serve a separate purpose. For instance, wall panels from a gym hall are used as ground floor support in a manufacturing facility (</w:t>
      </w:r>
      <w:r w:rsidRPr="0050538C">
        <w:rPr>
          <w:rFonts w:ascii="Times New Roman" w:hAnsi="Times New Roman" w:cs="Times New Roman"/>
          <w:sz w:val="24"/>
          <w:szCs w:val="24"/>
          <w:shd w:val="clear" w:color="auto" w:fill="FFFFFF"/>
        </w:rPr>
        <w:t>Abbe</w:t>
      </w:r>
      <w:r w:rsidRPr="0050538C">
        <w:rPr>
          <w:rFonts w:ascii="Times New Roman" w:hAnsi="Times New Roman" w:cs="Times New Roman"/>
          <w:sz w:val="24"/>
          <w:szCs w:val="24"/>
        </w:rPr>
        <w:t xml:space="preserve"> et al., 2019), precast slabs from a 6-story building are utilized for stabilizing the floor of a new </w:t>
      </w:r>
      <w:r w:rsidRPr="0050538C">
        <w:rPr>
          <w:rFonts w:ascii="Times New Roman" w:hAnsi="Times New Roman" w:cs="Times New Roman"/>
          <w:sz w:val="24"/>
          <w:szCs w:val="24"/>
        </w:rPr>
        <w:lastRenderedPageBreak/>
        <w:t>plant (</w:t>
      </w:r>
      <w:r w:rsidRPr="0050538C">
        <w:rPr>
          <w:rFonts w:ascii="Times New Roman" w:hAnsi="Times New Roman" w:cs="Times New Roman"/>
          <w:sz w:val="24"/>
          <w:szCs w:val="24"/>
          <w:shd w:val="clear" w:color="auto" w:fill="FFFFFF"/>
        </w:rPr>
        <w:t>Gálvez-Martos et al., 2018</w:t>
      </w:r>
      <w:r w:rsidRPr="0050538C">
        <w:rPr>
          <w:rFonts w:ascii="Times New Roman" w:hAnsi="Times New Roman" w:cs="Times New Roman"/>
          <w:sz w:val="24"/>
          <w:szCs w:val="24"/>
        </w:rPr>
        <w:t>), and columns are used as foundations for strip structures (Vita et al/, 2019).</w:t>
      </w:r>
    </w:p>
    <w:p w14:paraId="7B4A9B8E" w14:textId="77777777" w:rsidR="00480667" w:rsidRPr="0050538C" w:rsidRDefault="00480667" w:rsidP="00480667">
      <w:pPr>
        <w:spacing w:line="360" w:lineRule="auto"/>
        <w:jc w:val="both"/>
        <w:rPr>
          <w:rFonts w:ascii="Times New Roman" w:hAnsi="Times New Roman" w:cs="Times New Roman"/>
          <w:sz w:val="24"/>
          <w:szCs w:val="24"/>
        </w:rPr>
      </w:pPr>
    </w:p>
    <w:p w14:paraId="783E90A4" w14:textId="77777777" w:rsidR="00480667" w:rsidRPr="0050538C" w:rsidRDefault="00480667" w:rsidP="00480667">
      <w:pPr>
        <w:pStyle w:val="Heading3"/>
        <w:rPr>
          <w:rFonts w:ascii="Times New Roman" w:hAnsi="Times New Roman" w:cs="Times New Roman"/>
          <w:b/>
          <w:bCs/>
          <w:color w:val="auto"/>
        </w:rPr>
      </w:pPr>
      <w:bookmarkStart w:id="35" w:name="_Toc149913212"/>
      <w:r w:rsidRPr="0050538C">
        <w:rPr>
          <w:rFonts w:ascii="Times New Roman" w:hAnsi="Times New Roman" w:cs="Times New Roman"/>
          <w:b/>
          <w:bCs/>
          <w:color w:val="auto"/>
        </w:rPr>
        <w:t>4.3.3 First Large-scale Experiments Reusing Precast-concrete Panels</w:t>
      </w:r>
      <w:bookmarkEnd w:id="35"/>
      <w:r w:rsidRPr="0050538C">
        <w:rPr>
          <w:rFonts w:ascii="Times New Roman" w:hAnsi="Times New Roman" w:cs="Times New Roman"/>
          <w:b/>
          <w:bCs/>
          <w:color w:val="auto"/>
        </w:rPr>
        <w:t xml:space="preserve"> </w:t>
      </w:r>
    </w:p>
    <w:p w14:paraId="133FDFBD" w14:textId="77777777" w:rsidR="00480667" w:rsidRPr="0050538C" w:rsidRDefault="00480667" w:rsidP="00480667">
      <w:pPr>
        <w:rPr>
          <w:rFonts w:ascii="Times New Roman" w:hAnsi="Times New Roman" w:cs="Times New Roman"/>
          <w:sz w:val="24"/>
          <w:szCs w:val="24"/>
        </w:rPr>
      </w:pPr>
    </w:p>
    <w:p w14:paraId="14770864"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Another ground-breaking reused strategy is Trend B. In 2018, precast concrete panels and wooden based concrete were first used in large-scale housing structures in Northern Europe. For this trend, three built case studies are located in Swedish (</w:t>
      </w:r>
      <w:r w:rsidRPr="0050538C">
        <w:rPr>
          <w:rFonts w:ascii="Times New Roman" w:hAnsi="Times New Roman" w:cs="Times New Roman"/>
          <w:sz w:val="24"/>
          <w:szCs w:val="24"/>
          <w:shd w:val="clear" w:color="auto" w:fill="FFFFFF"/>
        </w:rPr>
        <w:t xml:space="preserve">Ramage et al., 2017 and </w:t>
      </w:r>
      <w:bookmarkStart w:id="36" w:name="_Hlk149886437"/>
      <w:r w:rsidRPr="0050538C">
        <w:rPr>
          <w:rFonts w:ascii="Times New Roman" w:hAnsi="Times New Roman" w:cs="Times New Roman"/>
          <w:sz w:val="24"/>
          <w:szCs w:val="24"/>
          <w:shd w:val="clear" w:color="auto" w:fill="FFFFFF"/>
        </w:rPr>
        <w:t>Awoyera, and Adesina, 2020</w:t>
      </w:r>
      <w:bookmarkEnd w:id="36"/>
      <w:r w:rsidRPr="0050538C">
        <w:rPr>
          <w:rFonts w:ascii="Times New Roman" w:hAnsi="Times New Roman" w:cs="Times New Roman"/>
          <w:sz w:val="24"/>
          <w:szCs w:val="24"/>
        </w:rPr>
        <w:t>) and the Netherlands, respectively (</w:t>
      </w:r>
      <w:r w:rsidRPr="0050538C">
        <w:rPr>
          <w:rFonts w:ascii="Times New Roman" w:hAnsi="Times New Roman" w:cs="Times New Roman"/>
          <w:sz w:val="24"/>
          <w:szCs w:val="24"/>
          <w:shd w:val="clear" w:color="auto" w:fill="FFFFFF"/>
        </w:rPr>
        <w:t>Foster, 2020</w:t>
      </w:r>
      <w:r w:rsidRPr="0050538C">
        <w:rPr>
          <w:rFonts w:ascii="Times New Roman" w:hAnsi="Times New Roman" w:cs="Times New Roman"/>
          <w:sz w:val="24"/>
          <w:szCs w:val="24"/>
        </w:rPr>
        <w:t xml:space="preserve">). Reusing their parts results in dwelling structures in the stories located different region of Netherlands that are just 14 to sixteen years old. Usually, parts from mass-housing complexes that are levelled down for social and economic reasons are recovered from the upper levels. The minimal stickiness of the precast-system components facilitates their reuse. The application of PRECS reuse on multistorey structures is thought to have been introduced for the first time in these case studies. Despite being the second-oldest recorded case studies and dating from 2015, </w:t>
      </w:r>
      <w:r w:rsidRPr="0050538C">
        <w:rPr>
          <w:rFonts w:ascii="Times New Roman" w:hAnsi="Times New Roman" w:cs="Times New Roman"/>
          <w:sz w:val="24"/>
          <w:szCs w:val="24"/>
          <w:shd w:val="clear" w:color="auto" w:fill="FFFFFF"/>
        </w:rPr>
        <w:t xml:space="preserve">Gelowitz and McArthur, (2016) </w:t>
      </w:r>
      <w:r w:rsidRPr="0050538C">
        <w:rPr>
          <w:rFonts w:ascii="Times New Roman" w:hAnsi="Times New Roman" w:cs="Times New Roman"/>
          <w:sz w:val="24"/>
          <w:szCs w:val="24"/>
        </w:rPr>
        <w:t>nevertheless stand out for their size. Prefabricated components rescued from facade walls and slabs are used to build 320 new homes without any prior equivalent experience. The precast system's hooked linkages make it simple to detach panels and transport them for sweeping to a closed the prefabrication facility. In order to construct a 7-story apartment complex (</w:t>
      </w:r>
      <w:r w:rsidRPr="0050538C">
        <w:rPr>
          <w:rFonts w:ascii="Times New Roman" w:hAnsi="Times New Roman" w:cs="Times New Roman"/>
          <w:sz w:val="24"/>
          <w:szCs w:val="24"/>
          <w:shd w:val="clear" w:color="auto" w:fill="FFFFFF"/>
        </w:rPr>
        <w:t>Vita et al., 2019</w:t>
      </w:r>
      <w:r w:rsidRPr="0050538C">
        <w:rPr>
          <w:rFonts w:ascii="Times New Roman" w:hAnsi="Times New Roman" w:cs="Times New Roman"/>
          <w:sz w:val="24"/>
          <w:szCs w:val="24"/>
        </w:rPr>
        <w:t>) and a total of three sets of low-rise dwellings (</w:t>
      </w:r>
      <w:r w:rsidRPr="0050538C">
        <w:rPr>
          <w:rFonts w:ascii="Times New Roman" w:hAnsi="Times New Roman" w:cs="Times New Roman"/>
          <w:sz w:val="24"/>
          <w:szCs w:val="24"/>
          <w:shd w:val="clear" w:color="auto" w:fill="FFFFFF"/>
        </w:rPr>
        <w:t>Ghaffar et al., 2020</w:t>
      </w:r>
      <w:r w:rsidRPr="0050538C">
        <w:rPr>
          <w:rFonts w:ascii="Times New Roman" w:hAnsi="Times New Roman" w:cs="Times New Roman"/>
          <w:sz w:val="24"/>
          <w:szCs w:val="24"/>
        </w:rPr>
        <w:t xml:space="preserve">), all of which are situated within a 20 km radius of the donor structures, about 80-85% of the panels are assessed to be salvageable and reclaimed. The project's technical success was aided by the precast-system developer's assistance during each stage of project disassembly and reassembly. Along with the study of </w:t>
      </w:r>
      <w:r w:rsidRPr="0050538C">
        <w:rPr>
          <w:rFonts w:ascii="Times New Roman" w:hAnsi="Times New Roman" w:cs="Times New Roman"/>
          <w:sz w:val="24"/>
          <w:szCs w:val="24"/>
          <w:shd w:val="clear" w:color="auto" w:fill="FFFFFF"/>
        </w:rPr>
        <w:t>Ramage et al. (2017)</w:t>
      </w:r>
      <w:r w:rsidRPr="0050538C">
        <w:rPr>
          <w:rFonts w:ascii="Times New Roman" w:hAnsi="Times New Roman" w:cs="Times New Roman"/>
          <w:sz w:val="24"/>
          <w:szCs w:val="24"/>
        </w:rPr>
        <w:t>, which reuses nine hundred precast panels (these initial endeavours show that it is technically possible to incorporate precast concrete panels into substantial, multi-level residential structures. The authors of (</w:t>
      </w:r>
      <w:r w:rsidRPr="0050538C">
        <w:rPr>
          <w:rFonts w:ascii="Times New Roman" w:hAnsi="Times New Roman" w:cs="Times New Roman"/>
          <w:sz w:val="24"/>
          <w:szCs w:val="24"/>
          <w:shd w:val="clear" w:color="auto" w:fill="FFFFFF"/>
        </w:rPr>
        <w:t>Awoyera and Adesina, 2020</w:t>
      </w:r>
      <w:r w:rsidRPr="0050538C">
        <w:rPr>
          <w:rFonts w:ascii="Times New Roman" w:hAnsi="Times New Roman" w:cs="Times New Roman"/>
          <w:sz w:val="24"/>
          <w:szCs w:val="24"/>
        </w:rPr>
        <w:t>) describe a plan to export some of these wooden panels to Arabia in order to construct additional low-rise homes there. Although this proposal's economic viability and ecological importance have been called into doubt, there is no evidence that it was ever carried out.</w:t>
      </w:r>
    </w:p>
    <w:p w14:paraId="358996AE" w14:textId="77777777" w:rsidR="00480667" w:rsidRPr="0050538C" w:rsidRDefault="00480667" w:rsidP="00480667">
      <w:pPr>
        <w:spacing w:line="360" w:lineRule="auto"/>
        <w:jc w:val="both"/>
        <w:rPr>
          <w:rFonts w:ascii="Times New Roman" w:hAnsi="Times New Roman" w:cs="Times New Roman"/>
          <w:sz w:val="24"/>
          <w:szCs w:val="24"/>
        </w:rPr>
      </w:pPr>
    </w:p>
    <w:p w14:paraId="7A666D72" w14:textId="77777777" w:rsidR="00480667" w:rsidRPr="0050538C" w:rsidRDefault="00480667" w:rsidP="00480667">
      <w:pPr>
        <w:spacing w:line="360" w:lineRule="auto"/>
        <w:jc w:val="both"/>
        <w:rPr>
          <w:rFonts w:ascii="Times New Roman" w:hAnsi="Times New Roman" w:cs="Times New Roman"/>
          <w:sz w:val="24"/>
          <w:szCs w:val="24"/>
        </w:rPr>
      </w:pPr>
    </w:p>
    <w:p w14:paraId="46819F42" w14:textId="77777777" w:rsidR="00480667" w:rsidRPr="0050538C" w:rsidRDefault="00480667" w:rsidP="00480667">
      <w:pPr>
        <w:pStyle w:val="Heading3"/>
        <w:rPr>
          <w:rFonts w:ascii="Times New Roman" w:hAnsi="Times New Roman" w:cs="Times New Roman"/>
          <w:b/>
          <w:bCs/>
          <w:color w:val="auto"/>
        </w:rPr>
      </w:pPr>
      <w:bookmarkStart w:id="37" w:name="_Toc149913213"/>
      <w:r w:rsidRPr="0050538C">
        <w:rPr>
          <w:rFonts w:ascii="Times New Roman" w:hAnsi="Times New Roman" w:cs="Times New Roman"/>
          <w:b/>
          <w:bCs/>
          <w:color w:val="auto"/>
        </w:rPr>
        <w:lastRenderedPageBreak/>
        <w:t>4.3.5. Ground-breaking Reuse of cast-in-place concrete for like-for-like applications</w:t>
      </w:r>
      <w:bookmarkEnd w:id="37"/>
    </w:p>
    <w:p w14:paraId="75C76FBB" w14:textId="77777777" w:rsidR="00480667" w:rsidRPr="0050538C" w:rsidRDefault="00480667" w:rsidP="00480667">
      <w:pPr>
        <w:spacing w:line="360" w:lineRule="auto"/>
        <w:jc w:val="both"/>
        <w:rPr>
          <w:rFonts w:ascii="Times New Roman" w:hAnsi="Times New Roman" w:cs="Times New Roman"/>
          <w:sz w:val="24"/>
          <w:szCs w:val="24"/>
        </w:rPr>
      </w:pPr>
    </w:p>
    <w:p w14:paraId="7F164115"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According to </w:t>
      </w:r>
      <w:r w:rsidRPr="0050538C">
        <w:rPr>
          <w:rFonts w:ascii="Times New Roman" w:hAnsi="Times New Roman" w:cs="Times New Roman"/>
          <w:sz w:val="24"/>
          <w:szCs w:val="24"/>
          <w:shd w:val="clear" w:color="auto" w:fill="FFFFFF"/>
        </w:rPr>
        <w:t>Abu-Jdayil</w:t>
      </w:r>
      <w:r w:rsidRPr="0050538C">
        <w:rPr>
          <w:rFonts w:ascii="Times New Roman" w:hAnsi="Times New Roman" w:cs="Times New Roman"/>
          <w:sz w:val="24"/>
          <w:szCs w:val="24"/>
        </w:rPr>
        <w:t xml:space="preserve"> et al. (2021) and </w:t>
      </w:r>
      <w:bookmarkStart w:id="38" w:name="_Hlk149886502"/>
      <w:r w:rsidRPr="0050538C">
        <w:rPr>
          <w:rFonts w:ascii="Times New Roman" w:hAnsi="Times New Roman" w:cs="Times New Roman"/>
          <w:sz w:val="24"/>
          <w:szCs w:val="24"/>
          <w:shd w:val="clear" w:color="auto" w:fill="FFFFFF"/>
        </w:rPr>
        <w:t>Ferronato</w:t>
      </w:r>
      <w:bookmarkEnd w:id="38"/>
      <w:r w:rsidRPr="0050538C">
        <w:rPr>
          <w:rFonts w:ascii="Times New Roman" w:hAnsi="Times New Roman" w:cs="Times New Roman"/>
          <w:sz w:val="24"/>
          <w:szCs w:val="24"/>
          <w:shd w:val="clear" w:color="auto" w:fill="FFFFFF"/>
        </w:rPr>
        <w:t xml:space="preserve"> (2022)</w:t>
      </w:r>
      <w:r w:rsidRPr="0050538C">
        <w:rPr>
          <w:rFonts w:ascii="Times New Roman" w:hAnsi="Times New Roman" w:cs="Times New Roman"/>
          <w:sz w:val="24"/>
          <w:szCs w:val="24"/>
        </w:rPr>
        <w:t>, the Swedish "Udden project" (</w:t>
      </w:r>
      <w:r w:rsidRPr="0050538C">
        <w:rPr>
          <w:rFonts w:ascii="Times New Roman" w:hAnsi="Times New Roman" w:cs="Times New Roman"/>
          <w:sz w:val="24"/>
          <w:szCs w:val="24"/>
          <w:shd w:val="clear" w:color="auto" w:fill="FFFFFF"/>
        </w:rPr>
        <w:t>Gálvez-Martos et al., 2018</w:t>
      </w:r>
      <w:r w:rsidRPr="0050538C">
        <w:rPr>
          <w:rFonts w:ascii="Times New Roman" w:hAnsi="Times New Roman" w:cs="Times New Roman"/>
          <w:sz w:val="24"/>
          <w:szCs w:val="24"/>
        </w:rPr>
        <w:t xml:space="preserve">) pioneered the reuse of concrete cast-in-place sections that are carved before being rebuilt with fresh links. A new 28-apartment building 64 km away makes use of 1′ 850 tons of big concrete wall elements, floor supports, and foundations from two donor buildings. The lack of any technical issues in the records gathered attests to the technical viability of using cast-in-place concrete components in multi-housing structures. When compared to a comparable structure made of new building materials, a study of the environment reveals that reuse of the elements in this case results in savings of 63% of carbon dioxide emissions and 56% of energy consumption. Government grants cover costs that are 10–15% more than those associated with traditional building methods. However, contractors are hopeful that a 10-15% cost reduction for similar reuse activities would be possible at some point because of their expertise and what they have learned from bigger scale projects (Yaro et al., 2023). </w:t>
      </w:r>
    </w:p>
    <w:p w14:paraId="13CBAF0E" w14:textId="77777777" w:rsidR="00480667" w:rsidRPr="0050538C" w:rsidRDefault="00480667" w:rsidP="00480667">
      <w:pPr>
        <w:spacing w:line="360" w:lineRule="auto"/>
        <w:jc w:val="both"/>
        <w:rPr>
          <w:rFonts w:ascii="Times New Roman" w:hAnsi="Times New Roman" w:cs="Times New Roman"/>
          <w:sz w:val="24"/>
          <w:szCs w:val="24"/>
        </w:rPr>
      </w:pPr>
    </w:p>
    <w:p w14:paraId="08075945" w14:textId="77777777" w:rsidR="00480667" w:rsidRPr="0050538C" w:rsidRDefault="00480667" w:rsidP="00480667">
      <w:pPr>
        <w:spacing w:line="360" w:lineRule="auto"/>
        <w:jc w:val="both"/>
        <w:rPr>
          <w:rFonts w:ascii="Times New Roman" w:hAnsi="Times New Roman" w:cs="Times New Roman"/>
          <w:sz w:val="24"/>
          <w:szCs w:val="24"/>
        </w:rPr>
      </w:pPr>
    </w:p>
    <w:p w14:paraId="1CF873DA" w14:textId="77777777" w:rsidR="00480667" w:rsidRPr="0050538C" w:rsidRDefault="00480667" w:rsidP="00480667">
      <w:pPr>
        <w:rPr>
          <w:rFonts w:ascii="Times New Roman" w:hAnsi="Times New Roman" w:cs="Times New Roman"/>
          <w:sz w:val="24"/>
          <w:szCs w:val="24"/>
        </w:rPr>
      </w:pPr>
    </w:p>
    <w:p w14:paraId="02812620" w14:textId="77777777" w:rsidR="00480667" w:rsidRPr="0050538C" w:rsidRDefault="00480667" w:rsidP="00480667">
      <w:pPr>
        <w:pStyle w:val="Heading3"/>
        <w:spacing w:line="276" w:lineRule="auto"/>
        <w:rPr>
          <w:rFonts w:ascii="Times New Roman" w:hAnsi="Times New Roman" w:cs="Times New Roman"/>
          <w:b/>
          <w:bCs/>
          <w:color w:val="auto"/>
        </w:rPr>
      </w:pPr>
      <w:bookmarkStart w:id="39" w:name="_Toc149913214"/>
      <w:r w:rsidRPr="0050538C">
        <w:rPr>
          <w:rFonts w:ascii="Times New Roman" w:hAnsi="Times New Roman" w:cs="Times New Roman"/>
          <w:b/>
          <w:bCs/>
          <w:color w:val="auto"/>
        </w:rPr>
        <w:t>4.3.6 Research and application reusing German mass-housing precast concrete panels in low-rise projects</w:t>
      </w:r>
      <w:bookmarkEnd w:id="39"/>
      <w:r w:rsidRPr="0050538C">
        <w:rPr>
          <w:rFonts w:ascii="Times New Roman" w:hAnsi="Times New Roman" w:cs="Times New Roman"/>
          <w:b/>
          <w:bCs/>
          <w:color w:val="auto"/>
        </w:rPr>
        <w:t xml:space="preserve"> </w:t>
      </w:r>
    </w:p>
    <w:p w14:paraId="2FA04862" w14:textId="77777777" w:rsidR="00480667" w:rsidRPr="0050538C" w:rsidRDefault="00480667" w:rsidP="00480667">
      <w:pPr>
        <w:spacing w:line="360" w:lineRule="auto"/>
        <w:jc w:val="both"/>
        <w:rPr>
          <w:rFonts w:ascii="Times New Roman" w:hAnsi="Times New Roman" w:cs="Times New Roman"/>
          <w:sz w:val="24"/>
          <w:szCs w:val="24"/>
        </w:rPr>
      </w:pPr>
    </w:p>
    <w:p w14:paraId="33059845"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utilisation of precast concrete slabs, bricks and steel from old mass-housing structures in new low-rise developments has been the subject of extensive study and construction in Germany since 1999. There are 30 architectural endeavours in all, most of which are single- or multi-family homes, but there are also parking lots, community homes, agricultural equipment such low silos or storage, as well as prototypes for research like conservatories and dikes. Between 1999 and 2010, at least 25 were constructed. Scientists from BTU Cottbus and TU Berlin are included with several of them (</w:t>
      </w:r>
      <w:r w:rsidRPr="0050538C">
        <w:rPr>
          <w:rFonts w:ascii="Times New Roman" w:hAnsi="Times New Roman" w:cs="Times New Roman"/>
          <w:sz w:val="24"/>
          <w:szCs w:val="24"/>
          <w:shd w:val="clear" w:color="auto" w:fill="FFFFFF"/>
        </w:rPr>
        <w:t>Ivanica et al., 2022; Dräger et al., 2022 and Schützenhofer et al., 2022</w:t>
      </w:r>
      <w:r w:rsidRPr="0050538C">
        <w:rPr>
          <w:rFonts w:ascii="Times New Roman" w:hAnsi="Times New Roman" w:cs="Times New Roman"/>
          <w:sz w:val="24"/>
          <w:szCs w:val="24"/>
        </w:rPr>
        <w:t xml:space="preserve">). Most of the panels come from mass-housing structures constructed in East Germany between the latter part of the 1960s and the middle of the eighties that have become socially and economically outmoded. The design concepts repurpose elements from multiple prefabricated concrete-panel methods using materials that are locally accessible. Their </w:t>
      </w:r>
      <w:r w:rsidRPr="0050538C">
        <w:rPr>
          <w:rFonts w:ascii="Times New Roman" w:hAnsi="Times New Roman" w:cs="Times New Roman"/>
          <w:sz w:val="24"/>
          <w:szCs w:val="24"/>
        </w:rPr>
        <w:lastRenderedPageBreak/>
        <w:t>repurposing typically results in significant economic and ecological impact reductions. For instance, Asam (2007a) predicts that the energy savings will amount to 26% in the case of brick reuse. For the first time in this pattern, late instances (</w:t>
      </w:r>
      <w:r w:rsidRPr="0050538C">
        <w:rPr>
          <w:rFonts w:ascii="Times New Roman" w:hAnsi="Times New Roman" w:cs="Times New Roman"/>
          <w:sz w:val="24"/>
          <w:szCs w:val="24"/>
          <w:shd w:val="clear" w:color="auto" w:fill="FFFFFF"/>
        </w:rPr>
        <w:t xml:space="preserve">Bajpai et al., 2020; Vita et al., 2019 and </w:t>
      </w:r>
      <w:bookmarkStart w:id="40" w:name="_Hlk149886567"/>
      <w:r w:rsidRPr="0050538C">
        <w:rPr>
          <w:rFonts w:ascii="Times New Roman" w:hAnsi="Times New Roman" w:cs="Times New Roman"/>
          <w:sz w:val="24"/>
          <w:szCs w:val="24"/>
          <w:shd w:val="clear" w:color="auto" w:fill="FFFFFF"/>
        </w:rPr>
        <w:t>Abbe</w:t>
      </w:r>
      <w:bookmarkEnd w:id="40"/>
      <w:r w:rsidRPr="0050538C">
        <w:rPr>
          <w:rFonts w:ascii="Times New Roman" w:hAnsi="Times New Roman" w:cs="Times New Roman"/>
          <w:sz w:val="24"/>
          <w:szCs w:val="24"/>
          <w:shd w:val="clear" w:color="auto" w:fill="FFFFFF"/>
        </w:rPr>
        <w:t xml:space="preserve"> and Hamilton, 2019</w:t>
      </w:r>
      <w:r w:rsidRPr="0050538C">
        <w:rPr>
          <w:rFonts w:ascii="Times New Roman" w:hAnsi="Times New Roman" w:cs="Times New Roman"/>
          <w:sz w:val="24"/>
          <w:szCs w:val="24"/>
        </w:rPr>
        <w:t>) let the recycled brick uncovered. Reuse provides relatively equal needs across donor and receiver structures at the start of this period. The early house and garage projects (</w:t>
      </w:r>
      <w:bookmarkStart w:id="41" w:name="_Hlk149886930"/>
      <w:r w:rsidRPr="0050538C">
        <w:rPr>
          <w:rFonts w:ascii="Times New Roman" w:hAnsi="Times New Roman" w:cs="Times New Roman"/>
          <w:sz w:val="24"/>
          <w:szCs w:val="24"/>
          <w:shd w:val="clear" w:color="auto" w:fill="FFFFFF"/>
        </w:rPr>
        <w:t>Gelowitz and McArthur, 2016</w:t>
      </w:r>
      <w:bookmarkEnd w:id="41"/>
      <w:r w:rsidRPr="0050538C">
        <w:rPr>
          <w:rFonts w:ascii="Times New Roman" w:hAnsi="Times New Roman" w:cs="Times New Roman"/>
          <w:sz w:val="24"/>
          <w:szCs w:val="24"/>
        </w:rPr>
        <w:t>) utilise walls and/or slab panel for the same purpose. Usually, initially determined panels connectors and measurements are kept and have an impact on project design. Later, regional rescued panels (</w:t>
      </w:r>
      <w:bookmarkStart w:id="42" w:name="_Hlk149887136"/>
      <w:r w:rsidRPr="0050538C">
        <w:rPr>
          <w:rFonts w:ascii="Times New Roman" w:hAnsi="Times New Roman" w:cs="Times New Roman"/>
          <w:sz w:val="24"/>
          <w:szCs w:val="24"/>
          <w:shd w:val="clear" w:color="auto" w:fill="FFFFFF"/>
        </w:rPr>
        <w:t>Ferronato</w:t>
      </w:r>
      <w:bookmarkEnd w:id="42"/>
      <w:r w:rsidRPr="0050538C">
        <w:rPr>
          <w:rFonts w:ascii="Times New Roman" w:hAnsi="Times New Roman" w:cs="Times New Roman"/>
          <w:sz w:val="24"/>
          <w:szCs w:val="24"/>
          <w:shd w:val="clear" w:color="auto" w:fill="FFFFFF"/>
        </w:rPr>
        <w:t xml:space="preserve"> et al., 2022</w:t>
      </w:r>
      <w:r w:rsidRPr="0050538C">
        <w:rPr>
          <w:rFonts w:ascii="Times New Roman" w:hAnsi="Times New Roman" w:cs="Times New Roman"/>
          <w:sz w:val="24"/>
          <w:szCs w:val="24"/>
        </w:rPr>
        <w:t>) were used to mimic these reuses of Wood in construction process in Finland (</w:t>
      </w:r>
      <w:r w:rsidRPr="0050538C">
        <w:rPr>
          <w:rFonts w:ascii="Times New Roman" w:hAnsi="Times New Roman" w:cs="Times New Roman"/>
          <w:sz w:val="24"/>
          <w:szCs w:val="24"/>
          <w:shd w:val="clear" w:color="auto" w:fill="FFFFFF"/>
        </w:rPr>
        <w:t>Mayanti and Helo, 2022 and Husgafvel et al., 2022</w:t>
      </w:r>
      <w:r w:rsidRPr="0050538C">
        <w:rPr>
          <w:rFonts w:ascii="Times New Roman" w:hAnsi="Times New Roman" w:cs="Times New Roman"/>
          <w:sz w:val="24"/>
          <w:szCs w:val="24"/>
        </w:rPr>
        <w:t>). The construction is sometimes strengthened, for example, with hardwood beams (</w:t>
      </w:r>
      <w:bookmarkStart w:id="43" w:name="_Hlk149887062"/>
      <w:r w:rsidRPr="0050538C">
        <w:rPr>
          <w:rFonts w:ascii="Times New Roman" w:hAnsi="Times New Roman" w:cs="Times New Roman"/>
          <w:sz w:val="24"/>
          <w:szCs w:val="24"/>
          <w:shd w:val="clear" w:color="auto" w:fill="FFFFFF"/>
        </w:rPr>
        <w:t>Ramage</w:t>
      </w:r>
      <w:bookmarkEnd w:id="43"/>
      <w:r w:rsidRPr="0050538C">
        <w:rPr>
          <w:rFonts w:ascii="Times New Roman" w:hAnsi="Times New Roman" w:cs="Times New Roman"/>
          <w:sz w:val="24"/>
          <w:szCs w:val="24"/>
          <w:shd w:val="clear" w:color="auto" w:fill="FFFFFF"/>
        </w:rPr>
        <w:t xml:space="preserve"> et al., 2017</w:t>
      </w:r>
      <w:r w:rsidRPr="0050538C">
        <w:rPr>
          <w:rFonts w:ascii="Times New Roman" w:hAnsi="Times New Roman" w:cs="Times New Roman"/>
          <w:sz w:val="24"/>
          <w:szCs w:val="24"/>
        </w:rPr>
        <w:t>). In a research pavilion (</w:t>
      </w:r>
      <w:r w:rsidRPr="0050538C">
        <w:rPr>
          <w:rFonts w:ascii="Times New Roman" w:hAnsi="Times New Roman" w:cs="Times New Roman"/>
          <w:sz w:val="24"/>
          <w:szCs w:val="24"/>
          <w:shd w:val="clear" w:color="auto" w:fill="FFFFFF"/>
        </w:rPr>
        <w:t>Awoyera and Adesina, 2020</w:t>
      </w:r>
      <w:r w:rsidRPr="0050538C">
        <w:rPr>
          <w:rFonts w:ascii="Times New Roman" w:hAnsi="Times New Roman" w:cs="Times New Roman"/>
          <w:sz w:val="24"/>
          <w:szCs w:val="24"/>
        </w:rPr>
        <w:t>) in 2013, downsized boards that had lost their initial details were employed (</w:t>
      </w:r>
      <w:bookmarkStart w:id="44" w:name="_Hlk149887117"/>
      <w:r w:rsidRPr="0050538C">
        <w:rPr>
          <w:rFonts w:ascii="Times New Roman" w:hAnsi="Times New Roman" w:cs="Times New Roman"/>
          <w:sz w:val="24"/>
          <w:szCs w:val="24"/>
          <w:shd w:val="clear" w:color="auto" w:fill="FFFFFF"/>
        </w:rPr>
        <w:t>Abu-Jdayil</w:t>
      </w:r>
      <w:bookmarkEnd w:id="44"/>
      <w:r w:rsidRPr="0050538C">
        <w:rPr>
          <w:rFonts w:ascii="Times New Roman" w:hAnsi="Times New Roman" w:cs="Times New Roman"/>
          <w:sz w:val="24"/>
          <w:szCs w:val="24"/>
          <w:shd w:val="clear" w:color="auto" w:fill="FFFFFF"/>
        </w:rPr>
        <w:t xml:space="preserve"> et al., 2021</w:t>
      </w:r>
      <w:r w:rsidRPr="0050538C">
        <w:rPr>
          <w:rFonts w:ascii="Times New Roman" w:hAnsi="Times New Roman" w:cs="Times New Roman"/>
          <w:sz w:val="24"/>
          <w:szCs w:val="24"/>
        </w:rPr>
        <w:t>). The pavilion can be disassembled and rebuilt in a different place at least once thanks to new construction methods and strengthening methods like carbon lamellae that and reverse interconnections using post-installed steel anchors. Other projects afterwards reused panels in a different role than they had originally intended after learning from this trial and the evolved building elements. For instance, chopped wall pieces are reused as roof-pitch components and ridge beams, and recycled slab panels are employed as walls for a 2-story-high atrium (</w:t>
      </w:r>
      <w:bookmarkStart w:id="45" w:name="_Hlk149886973"/>
      <w:r w:rsidRPr="0050538C">
        <w:rPr>
          <w:rFonts w:ascii="Times New Roman" w:hAnsi="Times New Roman" w:cs="Times New Roman"/>
          <w:sz w:val="24"/>
          <w:szCs w:val="24"/>
          <w:shd w:val="clear" w:color="auto" w:fill="FFFFFF"/>
        </w:rPr>
        <w:t>Ghaffar</w:t>
      </w:r>
      <w:bookmarkEnd w:id="45"/>
      <w:r w:rsidRPr="0050538C">
        <w:rPr>
          <w:rFonts w:ascii="Times New Roman" w:hAnsi="Times New Roman" w:cs="Times New Roman"/>
          <w:sz w:val="24"/>
          <w:szCs w:val="24"/>
          <w:shd w:val="clear" w:color="auto" w:fill="FFFFFF"/>
        </w:rPr>
        <w:t xml:space="preserve"> et al., 2020</w:t>
      </w:r>
      <w:r w:rsidRPr="0050538C">
        <w:rPr>
          <w:rFonts w:ascii="Times New Roman" w:hAnsi="Times New Roman" w:cs="Times New Roman"/>
          <w:sz w:val="24"/>
          <w:szCs w:val="24"/>
        </w:rPr>
        <w:t>). In order to reuse boards in dike prototypes, several jointing procedures are being examined (</w:t>
      </w:r>
      <w:r w:rsidRPr="0050538C">
        <w:rPr>
          <w:rFonts w:ascii="Times New Roman" w:hAnsi="Times New Roman" w:cs="Times New Roman"/>
          <w:sz w:val="24"/>
          <w:szCs w:val="24"/>
          <w:shd w:val="clear" w:color="auto" w:fill="FFFFFF"/>
        </w:rPr>
        <w:t>Walubita et al., 2022)</w:t>
      </w:r>
      <w:r w:rsidRPr="0050538C">
        <w:rPr>
          <w:rFonts w:ascii="Times New Roman" w:hAnsi="Times New Roman" w:cs="Times New Roman"/>
          <w:sz w:val="24"/>
          <w:szCs w:val="24"/>
        </w:rPr>
        <w:t>. In a different pavilion that was built in 2016 (</w:t>
      </w:r>
      <w:r w:rsidRPr="0050538C">
        <w:rPr>
          <w:rFonts w:ascii="Times New Roman" w:hAnsi="Times New Roman" w:cs="Times New Roman"/>
          <w:sz w:val="24"/>
          <w:szCs w:val="24"/>
          <w:shd w:val="clear" w:color="auto" w:fill="FFFFFF"/>
        </w:rPr>
        <w:t>Gálvez-Martos et al., 2018</w:t>
      </w:r>
      <w:r w:rsidRPr="0050538C">
        <w:rPr>
          <w:rFonts w:ascii="Times New Roman" w:hAnsi="Times New Roman" w:cs="Times New Roman"/>
          <w:sz w:val="24"/>
          <w:szCs w:val="24"/>
        </w:rPr>
        <w:t>), complexity was added to the layout through combining panels from two precast-panel systems and repurposing slabs that were once simple shines into extended slabs. The two slabs are overlapping with reinforcements on the outside, and connected like sandwich panels with new asphalt and post-installed rebars. The pavilion's structure is still in operation in Berlin (D) in 2022, and the writers' visual survey of the concrete building supported its general excellent state. As pieces for the two prefabricated systems come from the former East and West Germany, the combination has cultural and historical significance (</w:t>
      </w:r>
      <w:r w:rsidRPr="0050538C">
        <w:rPr>
          <w:rFonts w:ascii="Times New Roman" w:hAnsi="Times New Roman" w:cs="Times New Roman"/>
          <w:sz w:val="24"/>
          <w:szCs w:val="24"/>
          <w:shd w:val="clear" w:color="auto" w:fill="FFFFFF"/>
        </w:rPr>
        <w:t>Backes et al., 2023 and Ivanica et al., 2022).</w:t>
      </w:r>
    </w:p>
    <w:p w14:paraId="78AF502D" w14:textId="77777777" w:rsidR="00480667" w:rsidRPr="0050538C" w:rsidRDefault="00480667" w:rsidP="00480667">
      <w:pPr>
        <w:spacing w:line="360" w:lineRule="auto"/>
        <w:jc w:val="both"/>
        <w:rPr>
          <w:rFonts w:ascii="Times New Roman" w:hAnsi="Times New Roman" w:cs="Times New Roman"/>
          <w:sz w:val="24"/>
          <w:szCs w:val="24"/>
        </w:rPr>
      </w:pPr>
    </w:p>
    <w:p w14:paraId="78A3C8A1" w14:textId="77777777" w:rsidR="00480667" w:rsidRPr="0050538C" w:rsidRDefault="00480667" w:rsidP="00480667">
      <w:pPr>
        <w:jc w:val="both"/>
        <w:rPr>
          <w:rFonts w:ascii="Times New Roman" w:hAnsi="Times New Roman" w:cs="Times New Roman"/>
          <w:sz w:val="24"/>
          <w:szCs w:val="24"/>
        </w:rPr>
      </w:pPr>
    </w:p>
    <w:p w14:paraId="3E54B31D" w14:textId="77777777" w:rsidR="00480667" w:rsidRPr="0050538C" w:rsidRDefault="00480667" w:rsidP="00480667">
      <w:pPr>
        <w:pStyle w:val="Heading3"/>
        <w:rPr>
          <w:rFonts w:ascii="Times New Roman" w:hAnsi="Times New Roman" w:cs="Times New Roman"/>
          <w:b/>
          <w:bCs/>
          <w:color w:val="auto"/>
        </w:rPr>
      </w:pPr>
      <w:bookmarkStart w:id="46" w:name="_Toc149913215"/>
      <w:r w:rsidRPr="0050538C">
        <w:rPr>
          <w:rFonts w:ascii="Times New Roman" w:hAnsi="Times New Roman" w:cs="Times New Roman"/>
          <w:b/>
          <w:bCs/>
          <w:color w:val="auto"/>
        </w:rPr>
        <w:t>4.4.1 Environmental Impact Assessment Techniques</w:t>
      </w:r>
      <w:bookmarkEnd w:id="46"/>
      <w:r w:rsidRPr="0050538C">
        <w:rPr>
          <w:rFonts w:ascii="Times New Roman" w:hAnsi="Times New Roman" w:cs="Times New Roman"/>
          <w:b/>
          <w:bCs/>
          <w:color w:val="auto"/>
        </w:rPr>
        <w:t xml:space="preserve"> </w:t>
      </w:r>
    </w:p>
    <w:p w14:paraId="5268254B" w14:textId="77777777" w:rsidR="00480667" w:rsidRPr="0050538C" w:rsidRDefault="00480667" w:rsidP="00480667">
      <w:pPr>
        <w:rPr>
          <w:rFonts w:ascii="Times New Roman" w:hAnsi="Times New Roman" w:cs="Times New Roman"/>
          <w:sz w:val="24"/>
          <w:szCs w:val="24"/>
        </w:rPr>
      </w:pPr>
    </w:p>
    <w:p w14:paraId="006B8C36"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lastRenderedPageBreak/>
        <w:t xml:space="preserve">The study of </w:t>
      </w:r>
      <w:r w:rsidRPr="0050538C">
        <w:rPr>
          <w:rFonts w:ascii="Times New Roman" w:hAnsi="Times New Roman" w:cs="Times New Roman"/>
          <w:sz w:val="24"/>
          <w:szCs w:val="24"/>
          <w:shd w:val="clear" w:color="auto" w:fill="FFFFFF"/>
        </w:rPr>
        <w:t>Ramage et al. (2020) and Gelowitz</w:t>
      </w:r>
      <w:r w:rsidRPr="0050538C">
        <w:rPr>
          <w:rFonts w:ascii="Times New Roman" w:hAnsi="Times New Roman" w:cs="Times New Roman"/>
          <w:sz w:val="24"/>
          <w:szCs w:val="24"/>
        </w:rPr>
        <w:t xml:space="preserve"> et al. (2016) have mentioned about the European Life Cycle Assessment (LCA) framework for a reused product related to building on a scientifically and harmonized basis. Additionally, it offers details on indoor air and soil pollution that are linked to health and water while the structure is being used. Consequently, any effects that occur prior to the end-of-waste state are attributed to the first life cycle (which produced the recoverable waste) and all affects that occur thereafter are attributed to the second process (which uses the secondary material), in accordance with the polluter Pays Principle. Therefore, in cases where goods are reused, all of the impact related to producing the product (like a detachable wall panel), but also gains from not having to deal with the waste afterward (like burning it or dumping it in a landfill). Because the item is reused, this step of processing is omitted. As a result, the subsequent life cycle benefits from solely bearing the effects of procedures related to reuse (or recycling), rather of the impact connected with initial manufacture (of a new wall panel, for example). Following the achievement of the end-of-waste state—which could happen after the wall panel is moved and reconditioned—these procedures take place. The wall panel's reuse benefits more from this method than the panel's initial user, who would benefit from this substance in the far future. Typically, eliminating the need to employ raw resources to create something novel yields greater benefits than avoiding the process of disposing of waste. However, the norm permits the initial user of a recyclable or reused material to carry over the net benefits created by that recovered material into the subsequent life cycle, with the goal of fostering circular architecture (</w:t>
      </w:r>
      <w:r w:rsidRPr="0050538C">
        <w:rPr>
          <w:rFonts w:ascii="Times New Roman" w:hAnsi="Times New Roman" w:cs="Times New Roman"/>
          <w:sz w:val="24"/>
          <w:szCs w:val="24"/>
          <w:shd w:val="clear" w:color="auto" w:fill="FFFFFF"/>
        </w:rPr>
        <w:t>Foster, 2020)</w:t>
      </w:r>
      <w:r w:rsidRPr="0050538C">
        <w:rPr>
          <w:rFonts w:ascii="Times New Roman" w:hAnsi="Times New Roman" w:cs="Times New Roman"/>
          <w:sz w:val="24"/>
          <w:szCs w:val="24"/>
        </w:rPr>
        <w:t>.</w:t>
      </w:r>
    </w:p>
    <w:p w14:paraId="38EE9E8D"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Also, authors reported that it can be difficult to evaluate how wood-based products affect global warming. In addition to the standard LCA parameters, the concept of biogenic carbon is crucial to this reasoning. Plants use sunlight to metabolize the CO2 in the atmosphere to power their growth. Because of this, trees serve as a significant store of carbon and do so even after being felled and turned into consumer goods. This explains why a large number of LCAs for products made of wood have negative production-stage values. The amount of carbon that plants have stored and collected is indicated by these negative numbers (biogenic carbon). This logic, however, is only sound under two circumstances (</w:t>
      </w:r>
      <w:r w:rsidRPr="0050538C">
        <w:rPr>
          <w:rFonts w:ascii="Times New Roman" w:hAnsi="Times New Roman" w:cs="Times New Roman"/>
          <w:sz w:val="24"/>
          <w:szCs w:val="24"/>
          <w:shd w:val="clear" w:color="auto" w:fill="FFFFFF"/>
        </w:rPr>
        <w:t>Ramage et al., 2020 and Gelowitz</w:t>
      </w:r>
      <w:r w:rsidRPr="0050538C">
        <w:rPr>
          <w:rFonts w:ascii="Times New Roman" w:hAnsi="Times New Roman" w:cs="Times New Roman"/>
          <w:sz w:val="24"/>
          <w:szCs w:val="24"/>
        </w:rPr>
        <w:t xml:space="preserve"> et al., 2016).</w:t>
      </w:r>
    </w:p>
    <w:p w14:paraId="35456423" w14:textId="77777777" w:rsidR="00480667" w:rsidRPr="0050538C" w:rsidRDefault="00480667" w:rsidP="00480667">
      <w:pPr>
        <w:spacing w:line="360" w:lineRule="auto"/>
        <w:jc w:val="center"/>
        <w:rPr>
          <w:rFonts w:ascii="Times New Roman" w:hAnsi="Times New Roman" w:cs="Times New Roman"/>
          <w:sz w:val="24"/>
          <w:szCs w:val="24"/>
        </w:rPr>
      </w:pPr>
    </w:p>
    <w:p w14:paraId="421F5AA5" w14:textId="77777777" w:rsidR="00480667" w:rsidRPr="0050538C" w:rsidRDefault="00480667" w:rsidP="00480667">
      <w:pPr>
        <w:keepNext/>
        <w:spacing w:line="360" w:lineRule="auto"/>
        <w:jc w:val="center"/>
        <w:rPr>
          <w:rFonts w:ascii="Times New Roman" w:hAnsi="Times New Roman" w:cs="Times New Roman"/>
          <w:sz w:val="24"/>
          <w:szCs w:val="24"/>
        </w:rPr>
      </w:pPr>
      <w:r w:rsidRPr="0050538C">
        <w:rPr>
          <w:rFonts w:ascii="Times New Roman" w:hAnsi="Times New Roman" w:cs="Times New Roman"/>
          <w:noProof/>
          <w:sz w:val="24"/>
          <w:szCs w:val="24"/>
        </w:rPr>
        <w:lastRenderedPageBreak/>
        <w:drawing>
          <wp:inline distT="0" distB="0" distL="0" distR="0" wp14:anchorId="70D16057" wp14:editId="2B69CACA">
            <wp:extent cx="5006774" cy="3513124"/>
            <wp:effectExtent l="0" t="0" r="3810" b="0"/>
            <wp:docPr id="1648833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833780" name=""/>
                    <pic:cNvPicPr/>
                  </pic:nvPicPr>
                  <pic:blipFill>
                    <a:blip r:embed="rId13"/>
                    <a:stretch>
                      <a:fillRect/>
                    </a:stretch>
                  </pic:blipFill>
                  <pic:spPr>
                    <a:xfrm>
                      <a:off x="0" y="0"/>
                      <a:ext cx="5006774" cy="3513124"/>
                    </a:xfrm>
                    <a:prstGeom prst="rect">
                      <a:avLst/>
                    </a:prstGeom>
                  </pic:spPr>
                </pic:pic>
              </a:graphicData>
            </a:graphic>
          </wp:inline>
        </w:drawing>
      </w:r>
    </w:p>
    <w:p w14:paraId="47E5542B" w14:textId="77777777" w:rsidR="00480667" w:rsidRPr="0050538C" w:rsidRDefault="00480667" w:rsidP="00480667">
      <w:pPr>
        <w:pStyle w:val="Caption"/>
        <w:jc w:val="center"/>
        <w:rPr>
          <w:rFonts w:ascii="Times New Roman" w:hAnsi="Times New Roman" w:cs="Times New Roman"/>
          <w:color w:val="auto"/>
          <w:sz w:val="24"/>
          <w:szCs w:val="24"/>
        </w:rPr>
      </w:pPr>
      <w:bookmarkStart w:id="47" w:name="_Toc149910243"/>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Pr="0050538C">
        <w:rPr>
          <w:rFonts w:ascii="Times New Roman" w:hAnsi="Times New Roman" w:cs="Times New Roman"/>
          <w:noProof/>
          <w:color w:val="auto"/>
          <w:sz w:val="24"/>
          <w:szCs w:val="24"/>
        </w:rPr>
        <w:t>8</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xml:space="preserve">. Reused Wood in House Construction. (Source: </w:t>
      </w:r>
      <w:r w:rsidRPr="0050538C">
        <w:rPr>
          <w:rFonts w:ascii="Times New Roman" w:hAnsi="Times New Roman" w:cs="Times New Roman"/>
          <w:color w:val="auto"/>
          <w:sz w:val="24"/>
          <w:szCs w:val="24"/>
          <w:shd w:val="clear" w:color="auto" w:fill="FFFFFF"/>
        </w:rPr>
        <w:t>Foster, 2020)</w:t>
      </w:r>
      <w:bookmarkEnd w:id="47"/>
    </w:p>
    <w:p w14:paraId="43DAC27F" w14:textId="77777777" w:rsidR="00480667" w:rsidRPr="0050538C" w:rsidRDefault="00480667" w:rsidP="00480667">
      <w:pPr>
        <w:spacing w:line="360" w:lineRule="auto"/>
        <w:jc w:val="center"/>
        <w:rPr>
          <w:rFonts w:ascii="Times New Roman" w:hAnsi="Times New Roman" w:cs="Times New Roman"/>
          <w:sz w:val="24"/>
          <w:szCs w:val="24"/>
        </w:rPr>
      </w:pPr>
    </w:p>
    <w:p w14:paraId="3A6469EA"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biogenic carbon in the wood-based products is prohibited from being released too soon. It should be mentioned that if wood-based items are going to continue to store carbon and prevent the release of greenhouse gases (CO2 and/or methane), they must be retained in the market for as long as feasible. Reusing timber components is crucial to preserving the carbon sequestered in the built environment over time. Reuse offers an alternative to methane-producing wood and incinerator. As a conclusion, the study established that reusing wooden components is typically a tactic that can prolong the life of current materials and preserve the biogenic carbon held in wood-based building materials. Additionally, this tactic relieves some of the existing threat to forests.</w:t>
      </w:r>
    </w:p>
    <w:p w14:paraId="393FFF70" w14:textId="77777777" w:rsidR="00480667" w:rsidRPr="0050538C" w:rsidRDefault="00480667" w:rsidP="00480667">
      <w:pPr>
        <w:keepNext/>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rPr>
        <w:lastRenderedPageBreak/>
        <w:drawing>
          <wp:inline distT="0" distB="0" distL="0" distR="0" wp14:anchorId="1495717D" wp14:editId="442F948A">
            <wp:extent cx="5731510" cy="2971800"/>
            <wp:effectExtent l="0" t="0" r="2540" b="0"/>
            <wp:docPr id="2141492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492099" name=""/>
                    <pic:cNvPicPr/>
                  </pic:nvPicPr>
                  <pic:blipFill>
                    <a:blip r:embed="rId14"/>
                    <a:stretch>
                      <a:fillRect/>
                    </a:stretch>
                  </pic:blipFill>
                  <pic:spPr>
                    <a:xfrm>
                      <a:off x="0" y="0"/>
                      <a:ext cx="5731510" cy="2971800"/>
                    </a:xfrm>
                    <a:prstGeom prst="rect">
                      <a:avLst/>
                    </a:prstGeom>
                  </pic:spPr>
                </pic:pic>
              </a:graphicData>
            </a:graphic>
          </wp:inline>
        </w:drawing>
      </w:r>
    </w:p>
    <w:p w14:paraId="673745D3" w14:textId="77777777" w:rsidR="00480667" w:rsidRPr="0050538C" w:rsidRDefault="00480667" w:rsidP="00480667">
      <w:pPr>
        <w:pStyle w:val="Caption"/>
        <w:jc w:val="center"/>
        <w:rPr>
          <w:rFonts w:ascii="Times New Roman" w:hAnsi="Times New Roman" w:cs="Times New Roman"/>
          <w:color w:val="auto"/>
          <w:sz w:val="24"/>
          <w:szCs w:val="24"/>
        </w:rPr>
      </w:pPr>
      <w:bookmarkStart w:id="48" w:name="_Toc149910244"/>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Pr="0050538C">
        <w:rPr>
          <w:rFonts w:ascii="Times New Roman" w:hAnsi="Times New Roman" w:cs="Times New Roman"/>
          <w:noProof/>
          <w:color w:val="auto"/>
          <w:sz w:val="24"/>
          <w:szCs w:val="24"/>
        </w:rPr>
        <w:t>9</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xml:space="preserve">. Precast Concrete Slab used in Constructions. Source: </w:t>
      </w:r>
      <w:r w:rsidRPr="0050538C">
        <w:rPr>
          <w:rFonts w:ascii="Times New Roman" w:hAnsi="Times New Roman" w:cs="Times New Roman"/>
          <w:color w:val="auto"/>
          <w:sz w:val="24"/>
          <w:szCs w:val="24"/>
          <w:shd w:val="clear" w:color="auto" w:fill="FFFFFF"/>
        </w:rPr>
        <w:t>Ramage et al. (2020)</w:t>
      </w:r>
      <w:bookmarkEnd w:id="48"/>
    </w:p>
    <w:p w14:paraId="4E7E9D32"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The study of </w:t>
      </w:r>
      <w:r w:rsidRPr="0050538C">
        <w:rPr>
          <w:rFonts w:ascii="Times New Roman" w:hAnsi="Times New Roman" w:cs="Times New Roman"/>
          <w:sz w:val="24"/>
          <w:szCs w:val="24"/>
          <w:shd w:val="clear" w:color="auto" w:fill="FFFFFF"/>
        </w:rPr>
        <w:t xml:space="preserve">Awoyera and Adesina (2020) discovered that The Reference Service Life (RSL) of used products is the term used by Standard EN 15804 to describe their lifetime. The entire RSL of a product is considered for calculating its ecological impact. Since it will be possible to determine the number of product changes over a structure's lifespan, the idea of RSL is particularly significant at the whole-building scale. The study explored that compared to the brick wall that was reused, the new brick wall had a significantly bigger impact. The influence on brick output accounts for the majority of the variance. The production stage of the wall made of recycled bricks only includes the effects of making mortar and packing bricks; the effects of making the bricks themselves—that is, removing the clay and fire the bricks—were considered in the first life cycle. </w:t>
      </w:r>
    </w:p>
    <w:p w14:paraId="6A61766E"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p>
    <w:p w14:paraId="3809500C"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 xml:space="preserve">Whereas the study of Abbe et al. (2017) applied TOTEM technique for evaluating the environmental impact of reused tiles, bricks and wooden materials in the construction site.  Tool for Optimising the Total Environmental Impact of Materials is known as TOTEM. This Belgian environmental impact evaluation tool, as its title suggests, was created to help the construction industry model and lessen the negative environmental impacts of buildings. This instrument was first introduced in 2011 and is presently supported by the federal government (FPS Public Health) and the three Belgian Regions (OVAM, Brussels Environment, and the Walloon Public Service). Its creation coincided with the creation of a Belgian database including Environmental Product Declarations (EPDs) from manufactures. A collection of 19 </w:t>
      </w:r>
      <w:r w:rsidRPr="0050538C">
        <w:rPr>
          <w:rFonts w:ascii="Times New Roman" w:hAnsi="Times New Roman" w:cs="Times New Roman"/>
          <w:sz w:val="24"/>
          <w:szCs w:val="24"/>
          <w:shd w:val="clear" w:color="auto" w:fill="FFFFFF"/>
        </w:rPr>
        <w:lastRenderedPageBreak/>
        <w:t xml:space="preserve">environmental impact indicators divided into 12 primary areas (such as climate change) are used to evaluate the environmental impact of selected reused materials such as ozone depletion, danger to humans, production of particle matter, etc.). Applying PEF these indicators are gathered using a weighted technique. into a combined score that streamlines the process of making decisions and contrasting the environmental impact of various substitutes. </w:t>
      </w:r>
    </w:p>
    <w:p w14:paraId="5850C063"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p>
    <w:p w14:paraId="2CF1829D"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p>
    <w:p w14:paraId="482C830C" w14:textId="77777777" w:rsidR="00480667" w:rsidRPr="0050538C" w:rsidRDefault="00480667" w:rsidP="00480667">
      <w:pPr>
        <w:keepNext/>
        <w:spacing w:line="360" w:lineRule="auto"/>
        <w:jc w:val="center"/>
        <w:rPr>
          <w:rFonts w:ascii="Times New Roman" w:hAnsi="Times New Roman" w:cs="Times New Roman"/>
          <w:sz w:val="24"/>
          <w:szCs w:val="24"/>
        </w:rPr>
      </w:pPr>
      <w:r w:rsidRPr="0050538C">
        <w:rPr>
          <w:rFonts w:ascii="Times New Roman" w:hAnsi="Times New Roman" w:cs="Times New Roman"/>
          <w:noProof/>
          <w:sz w:val="24"/>
          <w:szCs w:val="24"/>
          <w:shd w:val="clear" w:color="auto" w:fill="FFFFFF"/>
        </w:rPr>
        <w:drawing>
          <wp:inline distT="0" distB="0" distL="0" distR="0" wp14:anchorId="70623A96" wp14:editId="036E7F23">
            <wp:extent cx="5349704" cy="3406435"/>
            <wp:effectExtent l="0" t="0" r="3810" b="3810"/>
            <wp:docPr id="2091776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776803" name=""/>
                    <pic:cNvPicPr/>
                  </pic:nvPicPr>
                  <pic:blipFill>
                    <a:blip r:embed="rId15"/>
                    <a:stretch>
                      <a:fillRect/>
                    </a:stretch>
                  </pic:blipFill>
                  <pic:spPr>
                    <a:xfrm>
                      <a:off x="0" y="0"/>
                      <a:ext cx="5349704" cy="3406435"/>
                    </a:xfrm>
                    <a:prstGeom prst="rect">
                      <a:avLst/>
                    </a:prstGeom>
                  </pic:spPr>
                </pic:pic>
              </a:graphicData>
            </a:graphic>
          </wp:inline>
        </w:drawing>
      </w:r>
    </w:p>
    <w:p w14:paraId="6EAC3E2C" w14:textId="77777777" w:rsidR="00480667" w:rsidRPr="0050538C" w:rsidRDefault="00480667" w:rsidP="00480667">
      <w:pPr>
        <w:pStyle w:val="Caption"/>
        <w:spacing w:line="360" w:lineRule="auto"/>
        <w:jc w:val="center"/>
        <w:rPr>
          <w:rFonts w:ascii="Times New Roman" w:hAnsi="Times New Roman" w:cs="Times New Roman"/>
          <w:color w:val="auto"/>
          <w:sz w:val="24"/>
          <w:szCs w:val="24"/>
          <w:shd w:val="clear" w:color="auto" w:fill="FFFFFF"/>
        </w:rPr>
      </w:pPr>
      <w:bookmarkStart w:id="49" w:name="_Toc149910245"/>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Pr="0050538C">
        <w:rPr>
          <w:rFonts w:ascii="Times New Roman" w:hAnsi="Times New Roman" w:cs="Times New Roman"/>
          <w:noProof/>
          <w:color w:val="auto"/>
          <w:sz w:val="24"/>
          <w:szCs w:val="24"/>
        </w:rPr>
        <w:t>10</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Ecological impact of the 4 different statuses for a massive clay brick wall. Source (</w:t>
      </w:r>
      <w:bookmarkStart w:id="50" w:name="_Hlk149887533"/>
      <w:r w:rsidRPr="0050538C">
        <w:rPr>
          <w:rFonts w:ascii="Times New Roman" w:hAnsi="Times New Roman" w:cs="Times New Roman"/>
          <w:color w:val="auto"/>
          <w:sz w:val="24"/>
          <w:szCs w:val="24"/>
          <w:shd w:val="clear" w:color="auto" w:fill="FFFFFF"/>
        </w:rPr>
        <w:t>Abbe and Hamilton, 2019)</w:t>
      </w:r>
      <w:bookmarkEnd w:id="49"/>
      <w:bookmarkEnd w:id="50"/>
    </w:p>
    <w:p w14:paraId="60D9FD84"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p>
    <w:p w14:paraId="25DFA193"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Using TOTEM tool, the authors reported that front door, window frames, ceramic floor tiles, façade bricks, and tiles showed an environmental pollution. Also, they established that reusing product has a positive impact on the environment, as the graph demonstrates, even if it is not as evident as it is at the component level.</w:t>
      </w:r>
    </w:p>
    <w:p w14:paraId="0F46381B"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 xml:space="preserve">Gálvez-Martos et al. (2018) explored that the construction scale, ELODIE (Evaluation à L’échelle de l’Ouvrage Des Impacts Environnementaux) is a French technique for ecological impact assessment. Originally created by CSTB in 2008 under the moniker ELODIE, it split </w:t>
      </w:r>
      <w:r w:rsidRPr="0050538C">
        <w:rPr>
          <w:rFonts w:ascii="Times New Roman" w:hAnsi="Times New Roman" w:cs="Times New Roman"/>
          <w:sz w:val="24"/>
          <w:szCs w:val="24"/>
          <w:shd w:val="clear" w:color="auto" w:fill="FFFFFF"/>
        </w:rPr>
        <w:lastRenderedPageBreak/>
        <w:t xml:space="preserve">out in 2021. Although CSTB will keep working on the LCA computation core under the COMENV brand, another company, Cype, marketed the software with the name "ELODIE by Cype." The purpose of ELODIE is to give building designers a tool that evaluates the effects of equipment and construction materials inside a structure by using the EPDs found in the national EPD database INIES* in France. Additionally, ELODIE makes use of generic data from INIES, which is created and maintained underneath the direction of the French Ministry of Environmental Transformation. Using this tool, Gálvez-Martos et al. (2018) explored the environmental impact of reused materials especially bricks and woods have lower environmental pollution level. </w:t>
      </w:r>
    </w:p>
    <w:p w14:paraId="13E32406" w14:textId="77777777" w:rsidR="00480667" w:rsidRPr="0050538C" w:rsidRDefault="00480667" w:rsidP="00480667">
      <w:pPr>
        <w:pStyle w:val="Heading3"/>
        <w:rPr>
          <w:rFonts w:ascii="Times New Roman" w:hAnsi="Times New Roman" w:cs="Times New Roman"/>
          <w:b/>
          <w:bCs/>
          <w:color w:val="auto"/>
          <w:shd w:val="clear" w:color="auto" w:fill="FFFFFF"/>
        </w:rPr>
      </w:pPr>
      <w:bookmarkStart w:id="51" w:name="_Toc149913216"/>
      <w:r w:rsidRPr="0050538C">
        <w:rPr>
          <w:rFonts w:ascii="Times New Roman" w:hAnsi="Times New Roman" w:cs="Times New Roman"/>
          <w:b/>
          <w:bCs/>
          <w:color w:val="auto"/>
          <w:shd w:val="clear" w:color="auto" w:fill="FFFFFF"/>
        </w:rPr>
        <w:t>4.4.2. Environmental Impact</w:t>
      </w:r>
      <w:bookmarkEnd w:id="51"/>
      <w:r w:rsidRPr="0050538C">
        <w:rPr>
          <w:rFonts w:ascii="Times New Roman" w:hAnsi="Times New Roman" w:cs="Times New Roman"/>
          <w:b/>
          <w:bCs/>
          <w:color w:val="auto"/>
          <w:shd w:val="clear" w:color="auto" w:fill="FFFFFF"/>
        </w:rPr>
        <w:t xml:space="preserve">  </w:t>
      </w:r>
    </w:p>
    <w:p w14:paraId="0BE9C736"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 xml:space="preserve"> </w:t>
      </w:r>
    </w:p>
    <w:p w14:paraId="228C0B9B"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The examined instances were actual a few of the concrete reuse instances that was examined involved the recycling of two multifamily residences made of cast-in-situ concrete that had been sawn into developing components, trucked 64 km to the newly constructed site, and reused in a brand-new, totally different multifamily home (a detail from the new building can be seen on the back cover of this thesis along with an illustration of the deconstruction (DFD)). According to </w:t>
      </w:r>
      <w:r w:rsidRPr="0050538C">
        <w:rPr>
          <w:rFonts w:ascii="Times New Roman" w:hAnsi="Times New Roman" w:cs="Times New Roman"/>
          <w:sz w:val="24"/>
          <w:szCs w:val="24"/>
          <w:shd w:val="clear" w:color="auto" w:fill="FFFFFF"/>
        </w:rPr>
        <w:t>Walubita</w:t>
      </w:r>
      <w:r w:rsidRPr="0050538C">
        <w:rPr>
          <w:rFonts w:ascii="Times New Roman" w:hAnsi="Times New Roman" w:cs="Times New Roman"/>
          <w:sz w:val="24"/>
          <w:szCs w:val="24"/>
        </w:rPr>
        <w:t xml:space="preserve"> et al. (2022), 360 tonnes of concrete has been recycled overall. The concrete slab that served as the basis for the new structure was made using virgin raw materials.  26 tonnes of cast-in-situ concrete for the slabs, nearly 4 tonnes of angle iron, nearly 8 tonnes of gypsum boards, and nearly 1 tonne of mineral wool and wood studs were used to insulate the inner walls in order to comply with modern construction regulations (ibid.). It was thought that cast-in-situ concrete was used to construct the reference case. Prefabricated concrete reuse was investigated by dismantling multifamily homes. The components were packed, moved (a total of 64 km one way), and then miniature versions of the original construction were created. 1850 tons of recycled concrete components were used in all. The concrete base of the new structure was made using virgin raw materials (</w:t>
      </w:r>
      <w:r w:rsidRPr="0050538C">
        <w:rPr>
          <w:rFonts w:ascii="Times New Roman" w:hAnsi="Times New Roman" w:cs="Times New Roman"/>
          <w:sz w:val="24"/>
          <w:szCs w:val="24"/>
          <w:shd w:val="clear" w:color="auto" w:fill="FFFFFF"/>
        </w:rPr>
        <w:t>Abbe and Hamilton, 2019)</w:t>
      </w:r>
      <w:r w:rsidRPr="0050538C">
        <w:rPr>
          <w:rFonts w:ascii="Times New Roman" w:hAnsi="Times New Roman" w:cs="Times New Roman"/>
          <w:sz w:val="24"/>
          <w:szCs w:val="24"/>
        </w:rPr>
        <w:t>.</w:t>
      </w:r>
    </w:p>
    <w:p w14:paraId="71A5FA7E"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75 tonnes of gypsum boards, 30 tonnes of sheet and forge iron, and 7 tonnes of stone wool had to be added to the structure in order to comply with more recent building regulations. An identical building made of virgin materials was really built as the reference case, utilizing 1555 tonnes of precast concrete. When concrete was upgraded, it was thought to have been crushed into aggregate to make new cast-in-situ concrete, which was subsequently utilized for the multi-family building mentioned before. It was estimated that crushed concrete would replace 20% of the aggregates made from virgin sources. It was expected that a cast-in-situ concrete </w:t>
      </w:r>
      <w:r w:rsidRPr="0050538C">
        <w:rPr>
          <w:rFonts w:ascii="Times New Roman" w:hAnsi="Times New Roman" w:cs="Times New Roman"/>
          <w:sz w:val="24"/>
          <w:szCs w:val="24"/>
        </w:rPr>
        <w:lastRenderedPageBreak/>
        <w:t>structure made from virgin raw materials would serve as the reference instance. The last concrete case involved a building being demolished by crane, the concrete being crushed in a mobile impact crusher, and the crushed material being sorted and then cascading into a road construction as aggregates (</w:t>
      </w:r>
      <w:r w:rsidRPr="0050538C">
        <w:rPr>
          <w:rFonts w:ascii="Times New Roman" w:hAnsi="Times New Roman" w:cs="Times New Roman"/>
          <w:sz w:val="24"/>
          <w:szCs w:val="24"/>
          <w:shd w:val="clear" w:color="auto" w:fill="FFFFFF"/>
        </w:rPr>
        <w:t xml:space="preserve">Vita et al., 2019). </w:t>
      </w:r>
      <w:r w:rsidRPr="0050538C">
        <w:rPr>
          <w:rFonts w:ascii="Times New Roman" w:hAnsi="Times New Roman" w:cs="Times New Roman"/>
          <w:sz w:val="24"/>
          <w:szCs w:val="24"/>
        </w:rPr>
        <w:t xml:space="preserve">The estimates only took into account the crushing of materials, the demolition of the old building, and the shipping of the supplies to the road construction site because the construction of road structures could vary greatly based on the geological circumstances on the ground. It was estimated that crushed concrete made up almost half of the materials utilized in road construction. </w:t>
      </w:r>
      <w:r w:rsidRPr="0050538C">
        <w:rPr>
          <w:rFonts w:ascii="Times New Roman" w:hAnsi="Times New Roman" w:cs="Times New Roman"/>
          <w:sz w:val="24"/>
          <w:szCs w:val="24"/>
          <w:shd w:val="clear" w:color="auto" w:fill="FFFFFF"/>
        </w:rPr>
        <w:t>Ghaffar</w:t>
      </w:r>
      <w:r w:rsidRPr="0050538C">
        <w:rPr>
          <w:rFonts w:ascii="Times New Roman" w:hAnsi="Times New Roman" w:cs="Times New Roman"/>
          <w:sz w:val="24"/>
          <w:szCs w:val="24"/>
        </w:rPr>
        <w:t xml:space="preserve"> et al. (2020) suggest that an appropriate transit distance for these materials is 20 kilometers. </w:t>
      </w:r>
    </w:p>
    <w:p w14:paraId="0787B507"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According to Starkenberg, BEFAB Konsult AB, pers. comm., the reference case was believed to be broken rocks that were transported 35 kilometres to the site of the building of the site. The first instance of clay brick reuse in the cases under study entailed moving clay bricks from an old hospital structure into a residential building. Brick by brick, the old building was meticulously dismantled and its stone framework was meticulously cleaned (</w:t>
      </w:r>
      <w:bookmarkStart w:id="52" w:name="_Hlk149886541"/>
      <w:bookmarkStart w:id="53" w:name="_Hlk149889709"/>
      <w:r w:rsidRPr="0050538C">
        <w:rPr>
          <w:rFonts w:ascii="Times New Roman" w:hAnsi="Times New Roman" w:cs="Times New Roman"/>
          <w:sz w:val="24"/>
          <w:szCs w:val="24"/>
          <w:shd w:val="clear" w:color="auto" w:fill="FFFFFF"/>
        </w:rPr>
        <w:t>Walubita</w:t>
      </w:r>
      <w:bookmarkEnd w:id="52"/>
      <w:bookmarkEnd w:id="53"/>
      <w:r w:rsidRPr="0050538C">
        <w:rPr>
          <w:rFonts w:ascii="Times New Roman" w:hAnsi="Times New Roman" w:cs="Times New Roman"/>
          <w:sz w:val="24"/>
          <w:szCs w:val="24"/>
          <w:shd w:val="clear" w:color="auto" w:fill="FFFFFF"/>
        </w:rPr>
        <w:t xml:space="preserve"> et al., 2022 and Bajpai</w:t>
      </w:r>
      <w:r w:rsidRPr="0050538C">
        <w:rPr>
          <w:rFonts w:ascii="Times New Roman" w:hAnsi="Times New Roman" w:cs="Times New Roman"/>
          <w:sz w:val="24"/>
          <w:szCs w:val="24"/>
        </w:rPr>
        <w:t xml:space="preserve"> et al., 2022). After being stored, the bricks were moved to the new construction site, which was located 17 km distant. It was estimated that manual brick disassembly and cleaning would result in loss of material of about 25%. While the reference instance of virgin materials needed 8 tonnes of wood studs but no steel, the new construction using reused building materials needed the usage of additional resources, such as 5 tonnes of virgin wood studs, 5 tonnes of reused wood rivets, and 1 tonne of new steel (</w:t>
      </w:r>
      <w:r w:rsidRPr="0050538C">
        <w:rPr>
          <w:rFonts w:ascii="Times New Roman" w:hAnsi="Times New Roman" w:cs="Times New Roman"/>
          <w:sz w:val="24"/>
          <w:szCs w:val="24"/>
          <w:shd w:val="clear" w:color="auto" w:fill="FFFFFF"/>
        </w:rPr>
        <w:t xml:space="preserve">Abbe, O. and Hamilton, 2019). </w:t>
      </w:r>
      <w:r w:rsidRPr="0050538C">
        <w:rPr>
          <w:rFonts w:ascii="Times New Roman" w:hAnsi="Times New Roman" w:cs="Times New Roman"/>
          <w:sz w:val="24"/>
          <w:szCs w:val="24"/>
        </w:rPr>
        <w:t xml:space="preserve"> Ninety tons of recycled clay bricks were used overall, as opposed to eighty tons of new clay brickwork in the reference scenario (</w:t>
      </w:r>
      <w:r w:rsidRPr="0050538C">
        <w:rPr>
          <w:rFonts w:ascii="Times New Roman" w:hAnsi="Times New Roman" w:cs="Times New Roman"/>
          <w:sz w:val="24"/>
          <w:szCs w:val="24"/>
          <w:shd w:val="clear" w:color="auto" w:fill="FFFFFF"/>
        </w:rPr>
        <w:t>Abbe and Hamilton, 2019)</w:t>
      </w:r>
      <w:r w:rsidRPr="0050538C">
        <w:rPr>
          <w:rFonts w:ascii="Times New Roman" w:hAnsi="Times New Roman" w:cs="Times New Roman"/>
          <w:sz w:val="24"/>
          <w:szCs w:val="24"/>
        </w:rPr>
        <w:t>. Reburning the bricks in an underground kiln at a typical brickwork would likewise eliminate mortar from the clay bricks (</w:t>
      </w:r>
      <w:r w:rsidRPr="0050538C">
        <w:rPr>
          <w:rFonts w:ascii="Times New Roman" w:hAnsi="Times New Roman" w:cs="Times New Roman"/>
          <w:sz w:val="24"/>
          <w:szCs w:val="24"/>
          <w:shd w:val="clear" w:color="auto" w:fill="FFFFFF"/>
        </w:rPr>
        <w:t>Backes et al., 2023</w:t>
      </w:r>
      <w:r w:rsidRPr="0050538C">
        <w:rPr>
          <w:rFonts w:ascii="Times New Roman" w:hAnsi="Times New Roman" w:cs="Times New Roman"/>
          <w:sz w:val="24"/>
          <w:szCs w:val="24"/>
        </w:rPr>
        <w:t xml:space="preserve">). Large amounts of energy are used in the re-burning procedures, which also alter the internal structure of the substance being processed.  Reuse combined with re-burning will therefore be categorized as improvement. After the reburning, the bricks could be hard-burned and physically cleaned in a lot less time. The construction endeavour under study for upgrading was presumed to be identical to that under recirculation, save for the fact that the clay bricks were burned again rather than being manually cleaned, and that an excavation machine was used for the task of deconstructing, which is faster and easier than manual deconstruction but results in a loss of material of roughly 40%. As a result, the reference case and the recirculation case were identical. The study utilised crushed masonry as an example of reuse through descending, wherein the mortar and clay bricks were repurposed as aggregates </w:t>
      </w:r>
      <w:r w:rsidRPr="0050538C">
        <w:rPr>
          <w:rFonts w:ascii="Times New Roman" w:hAnsi="Times New Roman" w:cs="Times New Roman"/>
          <w:sz w:val="24"/>
          <w:szCs w:val="24"/>
        </w:rPr>
        <w:lastRenderedPageBreak/>
        <w:t>during the concrete production process. In a cast-in-situ concrete construction, 10% crushed masonry was expected to be used in the case study. The longest distance that crushed rocks may be carried is 35 km, which is also the assumed shipping route from the demolished structure to the concrete-making facility. The building made of cast-in-situ concrete using virgin materials served as a model example for the reuse of cast-in-situ concrete (</w:t>
      </w:r>
      <w:r w:rsidRPr="0050538C">
        <w:rPr>
          <w:rFonts w:ascii="Times New Roman" w:hAnsi="Times New Roman" w:cs="Times New Roman"/>
          <w:sz w:val="24"/>
          <w:szCs w:val="24"/>
          <w:shd w:val="clear" w:color="auto" w:fill="FFFFFF"/>
        </w:rPr>
        <w:t>Gelowitz and McArthur, 2016)</w:t>
      </w:r>
      <w:r w:rsidRPr="0050538C">
        <w:rPr>
          <w:rFonts w:ascii="Times New Roman" w:hAnsi="Times New Roman" w:cs="Times New Roman"/>
          <w:sz w:val="24"/>
          <w:szCs w:val="24"/>
        </w:rPr>
        <w:t>.</w:t>
      </w:r>
    </w:p>
    <w:p w14:paraId="7C388DC1" w14:textId="77777777" w:rsidR="00480667" w:rsidRPr="0050538C" w:rsidRDefault="00480667" w:rsidP="00480667">
      <w:pPr>
        <w:spacing w:line="360" w:lineRule="auto"/>
        <w:jc w:val="both"/>
        <w:rPr>
          <w:rFonts w:ascii="Times New Roman" w:hAnsi="Times New Roman" w:cs="Times New Roman"/>
          <w:sz w:val="24"/>
          <w:szCs w:val="24"/>
        </w:rPr>
      </w:pPr>
    </w:p>
    <w:p w14:paraId="20A31881" w14:textId="77777777" w:rsidR="00480667" w:rsidRPr="0050538C" w:rsidRDefault="00480667" w:rsidP="00480667">
      <w:pPr>
        <w:spacing w:line="360" w:lineRule="auto"/>
        <w:jc w:val="both"/>
        <w:rPr>
          <w:rFonts w:ascii="Times New Roman" w:hAnsi="Times New Roman" w:cs="Times New Roman"/>
          <w:sz w:val="24"/>
          <w:szCs w:val="24"/>
        </w:rPr>
      </w:pPr>
    </w:p>
    <w:p w14:paraId="2BEFDC37" w14:textId="77777777" w:rsidR="00480667" w:rsidRPr="0050538C" w:rsidRDefault="00480667" w:rsidP="00480667">
      <w:pPr>
        <w:pStyle w:val="Heading2"/>
        <w:rPr>
          <w:rFonts w:ascii="Times New Roman" w:eastAsia="Yu Gothic" w:hAnsi="Times New Roman" w:cs="Times New Roman"/>
          <w:b/>
          <w:bCs/>
          <w:color w:val="auto"/>
          <w:sz w:val="24"/>
          <w:szCs w:val="24"/>
        </w:rPr>
      </w:pPr>
      <w:bookmarkStart w:id="54" w:name="_Toc149913217"/>
      <w:r w:rsidRPr="0050538C">
        <w:rPr>
          <w:rFonts w:ascii="Times New Roman" w:eastAsia="Yu Gothic" w:hAnsi="Times New Roman" w:cs="Times New Roman"/>
          <w:b/>
          <w:bCs/>
          <w:color w:val="auto"/>
          <w:sz w:val="24"/>
          <w:szCs w:val="24"/>
        </w:rPr>
        <w:t>4.4. Synchronic Analysis:  Environmental Evaluation of Reused Materials</w:t>
      </w:r>
      <w:bookmarkEnd w:id="54"/>
      <w:r w:rsidRPr="0050538C">
        <w:rPr>
          <w:rFonts w:ascii="Times New Roman" w:eastAsia="Yu Gothic" w:hAnsi="Times New Roman" w:cs="Times New Roman"/>
          <w:b/>
          <w:bCs/>
          <w:color w:val="auto"/>
          <w:sz w:val="24"/>
          <w:szCs w:val="24"/>
        </w:rPr>
        <w:t xml:space="preserve"> </w:t>
      </w:r>
    </w:p>
    <w:p w14:paraId="2BDFEB2B" w14:textId="77777777" w:rsidR="00480667" w:rsidRPr="0050538C" w:rsidRDefault="00480667" w:rsidP="00480667">
      <w:pPr>
        <w:rPr>
          <w:rFonts w:ascii="Times New Roman" w:hAnsi="Times New Roman" w:cs="Times New Roman"/>
          <w:sz w:val="24"/>
          <w:szCs w:val="24"/>
        </w:rPr>
      </w:pPr>
    </w:p>
    <w:p w14:paraId="484DAB82" w14:textId="77777777" w:rsidR="00480667" w:rsidRPr="0050538C" w:rsidRDefault="00480667" w:rsidP="00480667">
      <w:pPr>
        <w:rPr>
          <w:rFonts w:ascii="Times New Roman" w:hAnsi="Times New Roman" w:cs="Times New Roman"/>
          <w:sz w:val="24"/>
          <w:szCs w:val="24"/>
        </w:rPr>
      </w:pPr>
    </w:p>
    <w:p w14:paraId="66B980BA"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Supporting and limiting factors for the use of reusable materials in construction industry are identified through a synchronic analysis of the data gathered. The three categories that they are grouped under are: environmental implications, environmental assessment techniques, and aesthetics and cultural norms. The parts that follow provide a summary of all conclusions for every theme. A cross-theme summary of the forces that are restricting and supporting is given in the final section.  There are two types of limiting forces: those that are constant and temporary barriers. Persistent constraints are characterised as inherent, immutable pressures for which there is believed to be no practical active leverage.  are real. The term "transient barriers" refers to existing limiting factors that It is believed that a lever or numerous levers can either totally eliminate them or a little (</w:t>
      </w:r>
      <w:r w:rsidRPr="0050538C">
        <w:rPr>
          <w:rFonts w:ascii="Times New Roman" w:hAnsi="Times New Roman" w:cs="Times New Roman"/>
          <w:sz w:val="24"/>
          <w:szCs w:val="24"/>
          <w:shd w:val="clear" w:color="auto" w:fill="FFFFFF"/>
        </w:rPr>
        <w:t>Walubita</w:t>
      </w:r>
      <w:r w:rsidRPr="0050538C">
        <w:rPr>
          <w:rFonts w:ascii="Times New Roman" w:hAnsi="Times New Roman" w:cs="Times New Roman"/>
          <w:sz w:val="24"/>
          <w:szCs w:val="24"/>
        </w:rPr>
        <w:t xml:space="preserve"> et al., 2022). </w:t>
      </w:r>
    </w:p>
    <w:p w14:paraId="758C4BFD"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need for actors in the development sector to consider how building projects may affect the environment is growing. The problem was first mostly, if not exclusively, viewed from the perspective of energy efficiency during the usage phase, but it is currently being expanded to cover the entire life cycle of structures and their elements. More precisely, the effects on the ecosystem that result from the production of building materials has drawn a lot of attention. Given that the building materials' manufacturing process can include up to half of all the effects on the setting of modern, low-energy structures over their complete life-cycle, which is what this means significant influence to reduce the environmental harm to the construction sector</w:t>
      </w:r>
      <w:r w:rsidRPr="0050538C">
        <w:rPr>
          <w:rFonts w:ascii="Times New Roman" w:hAnsi="Times New Roman" w:cs="Times New Roman"/>
          <w:sz w:val="24"/>
          <w:szCs w:val="24"/>
          <w:shd w:val="clear" w:color="auto" w:fill="FFFFFF"/>
        </w:rPr>
        <w:t xml:space="preserve"> (Ghaffar et al., 2020)</w:t>
      </w:r>
      <w:r w:rsidRPr="0050538C">
        <w:rPr>
          <w:rFonts w:ascii="Times New Roman" w:hAnsi="Times New Roman" w:cs="Times New Roman"/>
          <w:sz w:val="24"/>
          <w:szCs w:val="24"/>
        </w:rPr>
        <w:t xml:space="preserve">. Reusing construction supplies and parts is an especially efficient method to reduce these consequences in this sense. In fact, recycling old components spares the production of new ones and all the environmental effects associated with that process. </w:t>
      </w:r>
      <w:r w:rsidRPr="0050538C">
        <w:rPr>
          <w:rFonts w:ascii="Times New Roman" w:hAnsi="Times New Roman" w:cs="Times New Roman"/>
          <w:sz w:val="24"/>
          <w:szCs w:val="24"/>
        </w:rPr>
        <w:lastRenderedPageBreak/>
        <w:t>Cleaning, sorting, repairing, and other tasks that are required to recover a material are typically labour-intensive rather than energy-intensive (</w:t>
      </w:r>
      <w:r w:rsidRPr="0050538C">
        <w:rPr>
          <w:rFonts w:ascii="Times New Roman" w:hAnsi="Times New Roman" w:cs="Times New Roman"/>
          <w:sz w:val="24"/>
          <w:szCs w:val="24"/>
          <w:shd w:val="clear" w:color="auto" w:fill="FFFFFF"/>
        </w:rPr>
        <w:t>Abu-Jdayil</w:t>
      </w:r>
      <w:r w:rsidRPr="0050538C">
        <w:rPr>
          <w:rFonts w:ascii="Times New Roman" w:hAnsi="Times New Roman" w:cs="Times New Roman"/>
          <w:sz w:val="24"/>
          <w:szCs w:val="24"/>
        </w:rPr>
        <w:t xml:space="preserve"> et al., 2019). Among the selected studies, a number of studies (</w:t>
      </w:r>
      <w:r w:rsidRPr="0050538C">
        <w:rPr>
          <w:rFonts w:ascii="Times New Roman" w:hAnsi="Times New Roman" w:cs="Times New Roman"/>
          <w:sz w:val="24"/>
          <w:szCs w:val="24"/>
          <w:shd w:val="clear" w:color="auto" w:fill="FFFFFF"/>
        </w:rPr>
        <w:t>Ramage et al. (2020), Abbe et al. (2017), Awoyera and Adesina (2020)</w:t>
      </w:r>
      <w:r w:rsidRPr="0050538C">
        <w:rPr>
          <w:rFonts w:ascii="Times New Roman" w:hAnsi="Times New Roman" w:cs="Times New Roman"/>
          <w:sz w:val="24"/>
          <w:szCs w:val="24"/>
        </w:rPr>
        <w:t xml:space="preserve"> and </w:t>
      </w:r>
      <w:r w:rsidRPr="0050538C">
        <w:rPr>
          <w:rFonts w:ascii="Times New Roman" w:hAnsi="Times New Roman" w:cs="Times New Roman"/>
          <w:sz w:val="24"/>
          <w:szCs w:val="24"/>
          <w:shd w:val="clear" w:color="auto" w:fill="FFFFFF"/>
        </w:rPr>
        <w:t>Gelowitz</w:t>
      </w:r>
      <w:r w:rsidRPr="0050538C">
        <w:rPr>
          <w:rFonts w:ascii="Times New Roman" w:hAnsi="Times New Roman" w:cs="Times New Roman"/>
          <w:sz w:val="24"/>
          <w:szCs w:val="24"/>
        </w:rPr>
        <w:t xml:space="preserve"> et al. (2016)) have mentioned a variety of tools to help project developers evaluate the negative environmental effects of their building and, if necessary, make improvements to it. This includes making decisions about the selection of building materials and components. In this section, both environmental impact and environmental impact assessment tools have analysed.  </w:t>
      </w:r>
    </w:p>
    <w:p w14:paraId="224C22BF" w14:textId="77777777" w:rsidR="00480667" w:rsidRPr="0050538C" w:rsidRDefault="00480667" w:rsidP="00480667">
      <w:pPr>
        <w:spacing w:line="360" w:lineRule="auto"/>
        <w:jc w:val="both"/>
        <w:rPr>
          <w:rFonts w:ascii="Times New Roman" w:hAnsi="Times New Roman" w:cs="Times New Roman"/>
          <w:sz w:val="24"/>
          <w:szCs w:val="24"/>
        </w:rPr>
      </w:pPr>
    </w:p>
    <w:p w14:paraId="5DDDBA59"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rPr>
        <w:drawing>
          <wp:inline distT="0" distB="0" distL="0" distR="0" wp14:anchorId="411011E5" wp14:editId="208B502A">
            <wp:extent cx="5486400" cy="3659875"/>
            <wp:effectExtent l="0" t="0" r="0" b="17145"/>
            <wp:docPr id="105467821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E42D4AE" w14:textId="77777777" w:rsidR="00480667" w:rsidRPr="0050538C" w:rsidRDefault="00480667" w:rsidP="00480667">
      <w:pPr>
        <w:pStyle w:val="Caption"/>
        <w:jc w:val="both"/>
        <w:rPr>
          <w:rFonts w:ascii="Times New Roman" w:hAnsi="Times New Roman" w:cs="Times New Roman"/>
          <w:color w:val="auto"/>
          <w:sz w:val="24"/>
          <w:szCs w:val="24"/>
        </w:rPr>
      </w:pPr>
      <w:bookmarkStart w:id="55" w:name="_Toc149910246"/>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Pr="0050538C">
        <w:rPr>
          <w:rFonts w:ascii="Times New Roman" w:hAnsi="Times New Roman" w:cs="Times New Roman"/>
          <w:noProof/>
          <w:color w:val="auto"/>
          <w:sz w:val="24"/>
          <w:szCs w:val="24"/>
        </w:rPr>
        <w:t>11</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xml:space="preserve">. Environmental Impact for Different Re-used Materials in Construction Sector. Adapted from </w:t>
      </w:r>
      <w:r w:rsidRPr="0050538C">
        <w:rPr>
          <w:rFonts w:ascii="Times New Roman" w:hAnsi="Times New Roman" w:cs="Times New Roman"/>
          <w:color w:val="auto"/>
          <w:sz w:val="24"/>
          <w:szCs w:val="24"/>
          <w:shd w:val="clear" w:color="auto" w:fill="FFFFFF"/>
        </w:rPr>
        <w:t>Foster, G. (2020), Ramage et al. (2021) and Bajpei et al. (2020).</w:t>
      </w:r>
      <w:bookmarkEnd w:id="55"/>
      <w:r w:rsidRPr="0050538C">
        <w:rPr>
          <w:rFonts w:ascii="Times New Roman" w:hAnsi="Times New Roman" w:cs="Times New Roman"/>
          <w:color w:val="auto"/>
          <w:sz w:val="24"/>
          <w:szCs w:val="24"/>
          <w:shd w:val="clear" w:color="auto" w:fill="FFFFFF"/>
        </w:rPr>
        <w:t xml:space="preserve"> </w:t>
      </w:r>
    </w:p>
    <w:p w14:paraId="04E5E3B7" w14:textId="77777777" w:rsidR="00480667" w:rsidRPr="0050538C" w:rsidRDefault="00480667" w:rsidP="00480667">
      <w:pPr>
        <w:spacing w:line="360" w:lineRule="auto"/>
        <w:jc w:val="both"/>
        <w:rPr>
          <w:rFonts w:ascii="Times New Roman" w:hAnsi="Times New Roman" w:cs="Times New Roman"/>
          <w:sz w:val="24"/>
          <w:szCs w:val="24"/>
        </w:rPr>
      </w:pPr>
    </w:p>
    <w:p w14:paraId="025DA86B" w14:textId="77777777" w:rsidR="00480667" w:rsidRPr="0050538C" w:rsidRDefault="00480667" w:rsidP="00480667">
      <w:pPr>
        <w:pStyle w:val="Heading3"/>
        <w:rPr>
          <w:rFonts w:ascii="Times New Roman" w:hAnsi="Times New Roman" w:cs="Times New Roman"/>
          <w:b/>
          <w:bCs/>
          <w:color w:val="auto"/>
        </w:rPr>
      </w:pPr>
      <w:bookmarkStart w:id="56" w:name="_Toc149913218"/>
      <w:r w:rsidRPr="0050538C">
        <w:rPr>
          <w:rFonts w:ascii="Times New Roman" w:hAnsi="Times New Roman" w:cs="Times New Roman"/>
          <w:b/>
          <w:bCs/>
          <w:color w:val="auto"/>
        </w:rPr>
        <w:t>4.4.1</w:t>
      </w:r>
      <w:r w:rsidRPr="0050538C">
        <w:rPr>
          <w:rStyle w:val="Heading3Char"/>
          <w:rFonts w:ascii="Times New Roman" w:hAnsi="Times New Roman" w:cs="Times New Roman"/>
          <w:b/>
          <w:bCs/>
          <w:color w:val="auto"/>
        </w:rPr>
        <w:t>. Concrete</w:t>
      </w:r>
      <w:r w:rsidRPr="0050538C">
        <w:rPr>
          <w:rFonts w:ascii="Times New Roman" w:hAnsi="Times New Roman" w:cs="Times New Roman"/>
          <w:b/>
          <w:bCs/>
          <w:color w:val="auto"/>
        </w:rPr>
        <w:t xml:space="preserve"> and Pre-cast Concrete</w:t>
      </w:r>
      <w:bookmarkEnd w:id="56"/>
      <w:r w:rsidRPr="0050538C">
        <w:rPr>
          <w:rFonts w:ascii="Times New Roman" w:hAnsi="Times New Roman" w:cs="Times New Roman"/>
          <w:b/>
          <w:bCs/>
          <w:color w:val="auto"/>
        </w:rPr>
        <w:t xml:space="preserve"> </w:t>
      </w:r>
    </w:p>
    <w:p w14:paraId="5E12C88B" w14:textId="77777777" w:rsidR="00480667" w:rsidRPr="0050538C" w:rsidRDefault="00480667" w:rsidP="00480667">
      <w:pPr>
        <w:jc w:val="both"/>
        <w:rPr>
          <w:rFonts w:ascii="Times New Roman" w:hAnsi="Times New Roman" w:cs="Times New Roman"/>
          <w:sz w:val="24"/>
          <w:szCs w:val="24"/>
        </w:rPr>
      </w:pPr>
    </w:p>
    <w:p w14:paraId="11A454C4"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Concrete is a special product because of its foldability, transportability, and high, calculable strength as a structural material. Four distinct phases can be distinguished in the use of cement.</w:t>
      </w:r>
      <w:r w:rsidRPr="0050538C">
        <w:rPr>
          <w:rFonts w:ascii="Times New Roman" w:hAnsi="Times New Roman" w:cs="Times New Roman"/>
          <w:sz w:val="24"/>
          <w:szCs w:val="24"/>
        </w:rPr>
        <w:cr/>
        <w:t xml:space="preserve"> Phase one involves the extraction, manufacturing, and transportation of gravel and concrete to batching facilities </w:t>
      </w:r>
      <w:bookmarkStart w:id="57" w:name="_Hlk149886809"/>
      <w:r w:rsidRPr="0050538C">
        <w:rPr>
          <w:rFonts w:ascii="Times New Roman" w:hAnsi="Times New Roman" w:cs="Times New Roman"/>
          <w:sz w:val="24"/>
          <w:szCs w:val="24"/>
        </w:rPr>
        <w:t>(</w:t>
      </w:r>
      <w:r w:rsidRPr="0050538C">
        <w:rPr>
          <w:rFonts w:ascii="Times New Roman" w:hAnsi="Times New Roman" w:cs="Times New Roman"/>
          <w:sz w:val="24"/>
          <w:szCs w:val="24"/>
          <w:shd w:val="clear" w:color="auto" w:fill="FFFFFF"/>
        </w:rPr>
        <w:t>Ramage</w:t>
      </w:r>
      <w:bookmarkEnd w:id="57"/>
      <w:r w:rsidRPr="0050538C">
        <w:rPr>
          <w:rFonts w:ascii="Times New Roman" w:hAnsi="Times New Roman" w:cs="Times New Roman"/>
          <w:sz w:val="24"/>
          <w:szCs w:val="24"/>
          <w:shd w:val="clear" w:color="auto" w:fill="FFFFFF"/>
        </w:rPr>
        <w:t xml:space="preserve"> et al., 2017). </w:t>
      </w:r>
      <w:r w:rsidRPr="0050538C">
        <w:rPr>
          <w:rFonts w:ascii="Times New Roman" w:hAnsi="Times New Roman" w:cs="Times New Roman"/>
          <w:sz w:val="24"/>
          <w:szCs w:val="24"/>
        </w:rPr>
        <w:t xml:space="preserve">Phase two involves setting up the forms and </w:t>
      </w:r>
      <w:r w:rsidRPr="0050538C">
        <w:rPr>
          <w:rFonts w:ascii="Times New Roman" w:hAnsi="Times New Roman" w:cs="Times New Roman"/>
          <w:sz w:val="24"/>
          <w:szCs w:val="24"/>
        </w:rPr>
        <w:lastRenderedPageBreak/>
        <w:t>reinforcement, Phase three involves mixing, delivering, and placing new concrete, and Phase Four involves demolition, disposal, and reusing. In addition to its extreme resilience, exposed concrete in northern climes needs to have internal air gaps eliminated (typically by chemical encircling during batching) in order to resist cracking caused by heat and freeze-thaw degradation of the surface which is highly harmful to the environment. That would cause 80% of natural resource depletion. Concrete is a brittle material that needs a lot of steel reinforcement to withstand seismic forces. To stop the corrosion of the steel reinforcement in concrete subjected to acids or road salts, the mortar must be coated or coated (</w:t>
      </w:r>
      <w:r w:rsidRPr="0050538C">
        <w:rPr>
          <w:rFonts w:ascii="Times New Roman" w:hAnsi="Times New Roman" w:cs="Times New Roman"/>
          <w:sz w:val="24"/>
          <w:szCs w:val="24"/>
          <w:shd w:val="clear" w:color="auto" w:fill="FFFFFF"/>
        </w:rPr>
        <w:t>Ferronato</w:t>
      </w:r>
      <w:r w:rsidRPr="0050538C">
        <w:rPr>
          <w:rFonts w:ascii="Times New Roman" w:hAnsi="Times New Roman" w:cs="Times New Roman"/>
          <w:sz w:val="24"/>
          <w:szCs w:val="24"/>
        </w:rPr>
        <w:t xml:space="preserve"> et al., 2022). </w:t>
      </w:r>
    </w:p>
    <w:p w14:paraId="6854ACA1" w14:textId="77777777" w:rsidR="00480667" w:rsidRPr="0050538C" w:rsidRDefault="00480667" w:rsidP="00480667">
      <w:pPr>
        <w:spacing w:line="276" w:lineRule="auto"/>
        <w:jc w:val="both"/>
        <w:rPr>
          <w:rFonts w:ascii="Times New Roman" w:hAnsi="Times New Roman" w:cs="Times New Roman"/>
          <w:sz w:val="24"/>
          <w:szCs w:val="24"/>
        </w:rPr>
      </w:pPr>
    </w:p>
    <w:p w14:paraId="136F9CFE" w14:textId="77777777" w:rsidR="00480667" w:rsidRPr="0050538C" w:rsidRDefault="00480667" w:rsidP="00480667">
      <w:pPr>
        <w:pStyle w:val="Heading3"/>
        <w:rPr>
          <w:rFonts w:ascii="Times New Roman" w:hAnsi="Times New Roman" w:cs="Times New Roman"/>
          <w:b/>
          <w:bCs/>
          <w:color w:val="auto"/>
        </w:rPr>
      </w:pPr>
      <w:bookmarkStart w:id="58" w:name="_Toc149913219"/>
      <w:r w:rsidRPr="0050538C">
        <w:rPr>
          <w:rFonts w:ascii="Times New Roman" w:hAnsi="Times New Roman" w:cs="Times New Roman"/>
          <w:b/>
          <w:bCs/>
          <w:color w:val="auto"/>
        </w:rPr>
        <w:t>4.4.1.2. Precast Concrete</w:t>
      </w:r>
      <w:bookmarkEnd w:id="58"/>
      <w:r w:rsidRPr="0050538C">
        <w:rPr>
          <w:rFonts w:ascii="Times New Roman" w:hAnsi="Times New Roman" w:cs="Times New Roman"/>
          <w:b/>
          <w:bCs/>
          <w:color w:val="auto"/>
        </w:rPr>
        <w:t xml:space="preserve"> </w:t>
      </w:r>
    </w:p>
    <w:p w14:paraId="3BE68375" w14:textId="77777777" w:rsidR="00480667" w:rsidRPr="0050538C" w:rsidRDefault="00480667" w:rsidP="00480667">
      <w:pPr>
        <w:rPr>
          <w:rFonts w:ascii="Times New Roman" w:hAnsi="Times New Roman" w:cs="Times New Roman"/>
          <w:sz w:val="24"/>
          <w:szCs w:val="24"/>
        </w:rPr>
      </w:pPr>
    </w:p>
    <w:p w14:paraId="154DE869"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Reinforcing steel can be extracted with magnets and reused. Recycled aggregate is not used for new concrete because of the uncertainty of the quality of the demolished material, but mostly used as bedding under asphalt on road construction. Concrete compares well with steel and brick in the energy required for manufacture, transportation and installation. However, throwaway wooden formworks and the removal of demolished concrete create an environmental problem.  The long-lasting fiberglass and steel panels that were once used as wooden concrete forms have been replaced due to technological advancements, rising costs, and a lack of high-quality wood (</w:t>
      </w:r>
      <w:r w:rsidRPr="0050538C">
        <w:rPr>
          <w:rFonts w:ascii="Times New Roman" w:hAnsi="Times New Roman" w:cs="Times New Roman"/>
          <w:sz w:val="24"/>
          <w:szCs w:val="24"/>
          <w:shd w:val="clear" w:color="auto" w:fill="FFFFFF"/>
        </w:rPr>
        <w:t>Abbe and Hamilton, 2019)</w:t>
      </w:r>
      <w:r w:rsidRPr="0050538C">
        <w:rPr>
          <w:rFonts w:ascii="Times New Roman" w:hAnsi="Times New Roman" w:cs="Times New Roman"/>
          <w:sz w:val="24"/>
          <w:szCs w:val="24"/>
        </w:rPr>
        <w:t>. These are utilized with lightweight aluminium purlins and steel scaffolding. While it takes a significant amount of energy to transport large precast building pieces, centralizing the developing, batching, and casting processes yields significant efficiency gains. Although it recycles demolished concrete, crushing concrete into small bits for use as aggregate requires a lot of energy (</w:t>
      </w:r>
      <w:r w:rsidRPr="0050538C">
        <w:rPr>
          <w:rFonts w:ascii="Times New Roman" w:hAnsi="Times New Roman" w:cs="Times New Roman"/>
          <w:sz w:val="24"/>
          <w:szCs w:val="24"/>
          <w:shd w:val="clear" w:color="auto" w:fill="FFFFFF"/>
        </w:rPr>
        <w:t>Awoyera and Adesina, 2020)</w:t>
      </w:r>
      <w:r w:rsidRPr="0050538C">
        <w:rPr>
          <w:rFonts w:ascii="Times New Roman" w:hAnsi="Times New Roman" w:cs="Times New Roman"/>
          <w:sz w:val="24"/>
          <w:szCs w:val="24"/>
        </w:rPr>
        <w:t>.</w:t>
      </w:r>
    </w:p>
    <w:p w14:paraId="68D9D3DE"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Plotted in then following figure, the environmental implications of the precast-concrete parking pavement are significantly lower than those of the conventional alternatives. In fact, the global warming impact of the pre-cast concrete pavement is 82% lower than that of an alternative with a slab of Pre-cast concrete and 81% lower than that of the bituminous surface option. Additionally, there is a 65% and 77% decrease in the ecological burden as compared to the new concrete. The reused concrete solution for the entire parking pavements allows for a reduction of greenhouse gas emissions by over 14 tons, the valorisation of over 110 tons of concrete, and the avoidance of the production of over 100 tons of asphalt or 18 tons of asphalt paving, the </w:t>
      </w:r>
      <w:r w:rsidRPr="0050538C">
        <w:rPr>
          <w:rFonts w:ascii="Times New Roman" w:hAnsi="Times New Roman" w:cs="Times New Roman"/>
          <w:sz w:val="24"/>
          <w:szCs w:val="24"/>
        </w:rPr>
        <w:lastRenderedPageBreak/>
        <w:t>removal of which would currently have a detrimental environmental impact (</w:t>
      </w:r>
      <w:r w:rsidRPr="0050538C">
        <w:rPr>
          <w:rFonts w:ascii="Times New Roman" w:hAnsi="Times New Roman" w:cs="Times New Roman"/>
          <w:sz w:val="24"/>
          <w:szCs w:val="24"/>
          <w:shd w:val="clear" w:color="auto" w:fill="FFFFFF"/>
        </w:rPr>
        <w:t>Abbe and Hamilton, 2019 and Ferronato et al., 2022)</w:t>
      </w:r>
      <w:r w:rsidRPr="0050538C">
        <w:rPr>
          <w:rFonts w:ascii="Times New Roman" w:hAnsi="Times New Roman" w:cs="Times New Roman"/>
          <w:sz w:val="24"/>
          <w:szCs w:val="24"/>
        </w:rPr>
        <w:t>.</w:t>
      </w:r>
    </w:p>
    <w:p w14:paraId="07A1CFAE" w14:textId="77777777" w:rsidR="00480667" w:rsidRPr="0050538C" w:rsidRDefault="00480667" w:rsidP="00480667">
      <w:pPr>
        <w:spacing w:line="360" w:lineRule="auto"/>
        <w:jc w:val="both"/>
        <w:rPr>
          <w:rFonts w:ascii="Times New Roman" w:hAnsi="Times New Roman" w:cs="Times New Roman"/>
          <w:sz w:val="24"/>
          <w:szCs w:val="24"/>
        </w:rPr>
      </w:pPr>
    </w:p>
    <w:p w14:paraId="65A90C7E" w14:textId="77777777" w:rsidR="00480667" w:rsidRPr="0050538C" w:rsidRDefault="00480667" w:rsidP="00480667">
      <w:pPr>
        <w:spacing w:line="360" w:lineRule="auto"/>
        <w:jc w:val="both"/>
        <w:rPr>
          <w:rFonts w:ascii="Times New Roman" w:hAnsi="Times New Roman" w:cs="Times New Roman"/>
          <w:sz w:val="24"/>
          <w:szCs w:val="24"/>
        </w:rPr>
      </w:pPr>
    </w:p>
    <w:p w14:paraId="21512627" w14:textId="77777777" w:rsidR="00480667" w:rsidRPr="0050538C" w:rsidRDefault="00480667" w:rsidP="00480667">
      <w:pPr>
        <w:keepNext/>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rPr>
        <w:drawing>
          <wp:inline distT="0" distB="0" distL="0" distR="0" wp14:anchorId="1B8F2A29" wp14:editId="5E5124A2">
            <wp:extent cx="5486400" cy="3200400"/>
            <wp:effectExtent l="0" t="0" r="0" b="0"/>
            <wp:docPr id="80984459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1315A9E" w14:textId="77777777" w:rsidR="00480667" w:rsidRPr="0050538C" w:rsidRDefault="00480667" w:rsidP="00480667">
      <w:pPr>
        <w:pStyle w:val="Caption"/>
        <w:jc w:val="center"/>
        <w:rPr>
          <w:rFonts w:ascii="Times New Roman" w:hAnsi="Times New Roman" w:cs="Times New Roman"/>
          <w:color w:val="auto"/>
          <w:sz w:val="24"/>
          <w:szCs w:val="24"/>
        </w:rPr>
      </w:pPr>
      <w:bookmarkStart w:id="59" w:name="_Toc149910247"/>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Pr="0050538C">
        <w:rPr>
          <w:rFonts w:ascii="Times New Roman" w:hAnsi="Times New Roman" w:cs="Times New Roman"/>
          <w:noProof/>
          <w:color w:val="auto"/>
          <w:sz w:val="24"/>
          <w:szCs w:val="24"/>
        </w:rPr>
        <w:t>12</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xml:space="preserve">. Comparisons of impact factors between Pre-cast concrete and concrete (adapted from </w:t>
      </w:r>
      <w:r w:rsidRPr="0050538C">
        <w:rPr>
          <w:rFonts w:ascii="Times New Roman" w:hAnsi="Times New Roman" w:cs="Times New Roman"/>
          <w:color w:val="auto"/>
          <w:sz w:val="24"/>
          <w:szCs w:val="24"/>
          <w:shd w:val="clear" w:color="auto" w:fill="FFFFFF"/>
        </w:rPr>
        <w:t xml:space="preserve">Abbe and Hamilton, 2019 and </w:t>
      </w:r>
      <w:bookmarkStart w:id="60" w:name="_Hlk149887578"/>
      <w:r w:rsidRPr="0050538C">
        <w:rPr>
          <w:rFonts w:ascii="Times New Roman" w:hAnsi="Times New Roman" w:cs="Times New Roman"/>
          <w:color w:val="auto"/>
          <w:sz w:val="24"/>
          <w:szCs w:val="24"/>
          <w:shd w:val="clear" w:color="auto" w:fill="FFFFFF"/>
        </w:rPr>
        <w:t>Ferronat</w:t>
      </w:r>
      <w:bookmarkEnd w:id="60"/>
      <w:r w:rsidRPr="0050538C">
        <w:rPr>
          <w:rFonts w:ascii="Times New Roman" w:hAnsi="Times New Roman" w:cs="Times New Roman"/>
          <w:color w:val="auto"/>
          <w:sz w:val="24"/>
          <w:szCs w:val="24"/>
          <w:shd w:val="clear" w:color="auto" w:fill="FFFFFF"/>
        </w:rPr>
        <w:t>o et al., 2022)</w:t>
      </w:r>
      <w:bookmarkEnd w:id="59"/>
    </w:p>
    <w:p w14:paraId="1D6E3EEF" w14:textId="77777777" w:rsidR="00480667" w:rsidRPr="0050538C" w:rsidRDefault="00480667" w:rsidP="00480667">
      <w:pPr>
        <w:spacing w:line="360" w:lineRule="auto"/>
        <w:jc w:val="both"/>
        <w:rPr>
          <w:rFonts w:ascii="Times New Roman" w:hAnsi="Times New Roman" w:cs="Times New Roman"/>
          <w:sz w:val="24"/>
          <w:szCs w:val="24"/>
        </w:rPr>
      </w:pPr>
    </w:p>
    <w:p w14:paraId="29712101" w14:textId="77777777" w:rsidR="00480667" w:rsidRPr="0050538C" w:rsidRDefault="00480667" w:rsidP="00480667">
      <w:pPr>
        <w:pStyle w:val="Heading3"/>
        <w:rPr>
          <w:rFonts w:ascii="Times New Roman" w:hAnsi="Times New Roman" w:cs="Times New Roman"/>
          <w:b/>
          <w:bCs/>
          <w:color w:val="auto"/>
        </w:rPr>
      </w:pPr>
      <w:bookmarkStart w:id="61" w:name="_Toc149913220"/>
      <w:r w:rsidRPr="0050538C">
        <w:rPr>
          <w:rFonts w:ascii="Times New Roman" w:hAnsi="Times New Roman" w:cs="Times New Roman"/>
          <w:b/>
          <w:bCs/>
          <w:color w:val="auto"/>
        </w:rPr>
        <w:t>4.4.2. Cement</w:t>
      </w:r>
      <w:bookmarkEnd w:id="61"/>
      <w:r w:rsidRPr="0050538C">
        <w:rPr>
          <w:rFonts w:ascii="Times New Roman" w:hAnsi="Times New Roman" w:cs="Times New Roman"/>
          <w:b/>
          <w:bCs/>
          <w:color w:val="auto"/>
        </w:rPr>
        <w:t xml:space="preserve"> </w:t>
      </w:r>
    </w:p>
    <w:p w14:paraId="740BF675" w14:textId="77777777" w:rsidR="00480667" w:rsidRPr="0050538C" w:rsidRDefault="00480667" w:rsidP="00480667">
      <w:pPr>
        <w:rPr>
          <w:rFonts w:ascii="Times New Roman" w:hAnsi="Times New Roman" w:cs="Times New Roman"/>
          <w:sz w:val="24"/>
          <w:szCs w:val="24"/>
        </w:rPr>
      </w:pPr>
    </w:p>
    <w:p w14:paraId="09FAD135"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Shale and limestone are combined, and the combination is burned at a high temperature in a kiln to create cement. Machines extract aggregate from rubble stone mines and reorganize it based on size. The cement sector prefers to use industrial byproducts, such as fly ash, slag from blast furnaces, furnace flue dust, cement dust, and aluminium ore refuse, as sources of basic components in order to lessen its negative environmental impact (</w:t>
      </w:r>
      <w:r w:rsidRPr="0050538C">
        <w:rPr>
          <w:rFonts w:ascii="Times New Roman" w:hAnsi="Times New Roman" w:cs="Times New Roman"/>
          <w:sz w:val="24"/>
          <w:szCs w:val="24"/>
          <w:shd w:val="clear" w:color="auto" w:fill="FFFFFF"/>
        </w:rPr>
        <w:t>Gelowitz</w:t>
      </w:r>
      <w:r w:rsidRPr="0050538C">
        <w:rPr>
          <w:rFonts w:ascii="Times New Roman" w:hAnsi="Times New Roman" w:cs="Times New Roman"/>
          <w:sz w:val="24"/>
          <w:szCs w:val="24"/>
        </w:rPr>
        <w:t xml:space="preserve"> et al., 2016).  In order to prevent pollution of the atmosphere, recycled tires, motor fuels, and other types of used solvents can be utilized as fuel in kilns that are monitored by their smoke output. Sulfurated melamine formaldehyde (SMF) is a super-plasticizer, hydroxy carbolic acid is a water-reducer and a plasticizer, calcium chloride is an accelerator, and plasterboard is a </w:t>
      </w:r>
      <w:r w:rsidRPr="0050538C">
        <w:rPr>
          <w:rFonts w:ascii="Times New Roman" w:hAnsi="Times New Roman" w:cs="Times New Roman"/>
          <w:sz w:val="24"/>
          <w:szCs w:val="24"/>
        </w:rPr>
        <w:lastRenderedPageBreak/>
        <w:t>retarder. Pozzolana, a fine-ground minerals substance used in admixtures of minerals, reacts with calcium hydroxide to create compounds that resemble cement (</w:t>
      </w:r>
      <w:r w:rsidRPr="0050538C">
        <w:rPr>
          <w:rFonts w:ascii="Times New Roman" w:hAnsi="Times New Roman" w:cs="Times New Roman"/>
          <w:sz w:val="24"/>
          <w:szCs w:val="24"/>
          <w:shd w:val="clear" w:color="auto" w:fill="FFFFFF"/>
        </w:rPr>
        <w:t>Ferronato</w:t>
      </w:r>
      <w:r w:rsidRPr="0050538C">
        <w:rPr>
          <w:rFonts w:ascii="Times New Roman" w:hAnsi="Times New Roman" w:cs="Times New Roman"/>
          <w:sz w:val="24"/>
          <w:szCs w:val="24"/>
        </w:rPr>
        <w:t xml:space="preserve"> et al., 2022). </w:t>
      </w:r>
    </w:p>
    <w:p w14:paraId="7638848A" w14:textId="77777777" w:rsidR="00480667" w:rsidRPr="0050538C" w:rsidRDefault="00480667" w:rsidP="00480667">
      <w:pPr>
        <w:spacing w:line="360" w:lineRule="auto"/>
        <w:jc w:val="both"/>
        <w:rPr>
          <w:rFonts w:ascii="Times New Roman" w:hAnsi="Times New Roman" w:cs="Times New Roman"/>
          <w:sz w:val="24"/>
          <w:szCs w:val="24"/>
        </w:rPr>
      </w:pPr>
    </w:p>
    <w:p w14:paraId="71419B5D" w14:textId="77777777" w:rsidR="00480667" w:rsidRPr="0050538C" w:rsidRDefault="00480667" w:rsidP="00480667">
      <w:pPr>
        <w:keepNext/>
        <w:spacing w:line="360" w:lineRule="auto"/>
        <w:jc w:val="both"/>
        <w:rPr>
          <w:rFonts w:ascii="Times New Roman" w:hAnsi="Times New Roman" w:cs="Times New Roman"/>
          <w:sz w:val="24"/>
          <w:szCs w:val="24"/>
        </w:rPr>
      </w:pPr>
    </w:p>
    <w:p w14:paraId="7CF23B16" w14:textId="77777777" w:rsidR="00480667" w:rsidRPr="0050538C" w:rsidRDefault="00480667" w:rsidP="00480667">
      <w:pPr>
        <w:spacing w:line="276" w:lineRule="auto"/>
        <w:jc w:val="both"/>
        <w:rPr>
          <w:rFonts w:ascii="Times New Roman" w:hAnsi="Times New Roman" w:cs="Times New Roman"/>
          <w:sz w:val="24"/>
          <w:szCs w:val="24"/>
        </w:rPr>
      </w:pPr>
    </w:p>
    <w:p w14:paraId="73D1C861" w14:textId="77777777" w:rsidR="00480667" w:rsidRPr="0050538C" w:rsidRDefault="00480667" w:rsidP="00480667">
      <w:pPr>
        <w:pStyle w:val="Heading3"/>
        <w:rPr>
          <w:rFonts w:ascii="Times New Roman" w:hAnsi="Times New Roman" w:cs="Times New Roman"/>
          <w:b/>
          <w:bCs/>
          <w:color w:val="auto"/>
        </w:rPr>
      </w:pPr>
      <w:bookmarkStart w:id="62" w:name="_Toc149913221"/>
      <w:r w:rsidRPr="0050538C">
        <w:rPr>
          <w:rFonts w:ascii="Times New Roman" w:hAnsi="Times New Roman" w:cs="Times New Roman"/>
          <w:b/>
          <w:bCs/>
          <w:color w:val="auto"/>
        </w:rPr>
        <w:t>4.4.3. Stone</w:t>
      </w:r>
      <w:bookmarkEnd w:id="62"/>
      <w:r w:rsidRPr="0050538C">
        <w:rPr>
          <w:rFonts w:ascii="Times New Roman" w:hAnsi="Times New Roman" w:cs="Times New Roman"/>
          <w:b/>
          <w:bCs/>
          <w:color w:val="auto"/>
        </w:rPr>
        <w:t xml:space="preserve"> </w:t>
      </w:r>
    </w:p>
    <w:p w14:paraId="52012826" w14:textId="77777777" w:rsidR="00480667" w:rsidRPr="0050538C" w:rsidRDefault="00480667" w:rsidP="00480667">
      <w:pPr>
        <w:rPr>
          <w:rFonts w:ascii="Times New Roman" w:hAnsi="Times New Roman" w:cs="Times New Roman"/>
          <w:sz w:val="24"/>
          <w:szCs w:val="24"/>
        </w:rPr>
      </w:pPr>
    </w:p>
    <w:p w14:paraId="116E1DD6"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One of the earliest building materials is this one. Stone buildings are really beautiful, with their solid walls and worn exteriors. Because natural stone has little effect on the environment, has social advantages, and is inexpensive over the course of its lifetime, it is a highly sustainable building material. Stone is a durable material that may be reused for millennia, despite traditional quarrying which has numerous detrimental and disastrous impact on the environment (</w:t>
      </w:r>
      <w:r w:rsidRPr="0050538C">
        <w:rPr>
          <w:rFonts w:ascii="Times New Roman" w:hAnsi="Times New Roman" w:cs="Times New Roman"/>
          <w:sz w:val="24"/>
          <w:szCs w:val="24"/>
          <w:shd w:val="clear" w:color="auto" w:fill="FFFFFF"/>
        </w:rPr>
        <w:t>Gálvez-Martos</w:t>
      </w:r>
      <w:r w:rsidRPr="0050538C">
        <w:rPr>
          <w:rFonts w:ascii="Times New Roman" w:hAnsi="Times New Roman" w:cs="Times New Roman"/>
          <w:sz w:val="24"/>
          <w:szCs w:val="24"/>
        </w:rPr>
        <w:t xml:space="preserve"> et al., 2018). Not only does extensive quarrying destroy the natural beauty of many wild regions, but it also obliterates wildlife and the natural world itself. It is not preferable to quarry old stones from the earth in order to create dust, noise, and other problems. The cost of using natural stone decreases with advancements in technology for stone quarrying and processing. Thinner natural stone may be used and installed more quickly, cheaply, and safely with the help of new automated systems and processes (</w:t>
      </w:r>
      <w:r w:rsidRPr="0050538C">
        <w:rPr>
          <w:rFonts w:ascii="Times New Roman" w:hAnsi="Times New Roman" w:cs="Times New Roman"/>
          <w:sz w:val="24"/>
          <w:szCs w:val="24"/>
          <w:shd w:val="clear" w:color="auto" w:fill="FFFFFF"/>
        </w:rPr>
        <w:t>Vita</w:t>
      </w:r>
      <w:r w:rsidRPr="0050538C">
        <w:rPr>
          <w:rFonts w:ascii="Times New Roman" w:hAnsi="Times New Roman" w:cs="Times New Roman"/>
          <w:sz w:val="24"/>
          <w:szCs w:val="24"/>
        </w:rPr>
        <w:t xml:space="preserve"> et al., 2019). </w:t>
      </w:r>
    </w:p>
    <w:p w14:paraId="487B6106"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It is expected that the dust released during crushing would contaminate the surrounding air during stone harvesting and crushing. To do this, it would be crucial to continuously irrigate the area to cut down on the quantity of dust released into the atmosphere. Whereas, reused stones were found to be less responsible for the air pollution (</w:t>
      </w:r>
      <w:r w:rsidRPr="0050538C">
        <w:rPr>
          <w:rFonts w:ascii="Times New Roman" w:hAnsi="Times New Roman" w:cs="Times New Roman"/>
          <w:sz w:val="24"/>
          <w:szCs w:val="24"/>
          <w:shd w:val="clear" w:color="auto" w:fill="FFFFFF"/>
        </w:rPr>
        <w:t>Gálvez-Martos</w:t>
      </w:r>
      <w:r w:rsidRPr="0050538C">
        <w:rPr>
          <w:rFonts w:ascii="Times New Roman" w:hAnsi="Times New Roman" w:cs="Times New Roman"/>
          <w:sz w:val="24"/>
          <w:szCs w:val="24"/>
        </w:rPr>
        <w:t xml:space="preserve"> et al., 2018). </w:t>
      </w:r>
    </w:p>
    <w:p w14:paraId="40460B8E" w14:textId="77777777" w:rsidR="00480667" w:rsidRPr="0050538C" w:rsidRDefault="00480667" w:rsidP="00480667">
      <w:pPr>
        <w:spacing w:line="360" w:lineRule="auto"/>
        <w:jc w:val="both"/>
        <w:rPr>
          <w:rFonts w:ascii="Times New Roman" w:hAnsi="Times New Roman" w:cs="Times New Roman"/>
          <w:sz w:val="24"/>
          <w:szCs w:val="24"/>
        </w:rPr>
      </w:pPr>
    </w:p>
    <w:p w14:paraId="5A362166" w14:textId="77777777" w:rsidR="00480667" w:rsidRPr="0050538C" w:rsidRDefault="00480667" w:rsidP="00480667">
      <w:pPr>
        <w:keepNext/>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rPr>
        <w:lastRenderedPageBreak/>
        <w:drawing>
          <wp:inline distT="0" distB="0" distL="0" distR="0" wp14:anchorId="69F74E77" wp14:editId="4F8A0F7C">
            <wp:extent cx="5301343" cy="2993571"/>
            <wp:effectExtent l="0" t="0" r="13970" b="16510"/>
            <wp:docPr id="1414930637"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9AC2596" w14:textId="77777777" w:rsidR="00480667" w:rsidRPr="0050538C" w:rsidRDefault="00480667" w:rsidP="00480667">
      <w:pPr>
        <w:pStyle w:val="Caption"/>
        <w:jc w:val="both"/>
        <w:rPr>
          <w:rFonts w:ascii="Times New Roman" w:hAnsi="Times New Roman" w:cs="Times New Roman"/>
          <w:color w:val="auto"/>
          <w:sz w:val="24"/>
          <w:szCs w:val="24"/>
        </w:rPr>
      </w:pPr>
      <w:bookmarkStart w:id="63" w:name="_Toc149910248"/>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Pr="0050538C">
        <w:rPr>
          <w:rFonts w:ascii="Times New Roman" w:hAnsi="Times New Roman" w:cs="Times New Roman"/>
          <w:noProof/>
          <w:color w:val="auto"/>
          <w:sz w:val="24"/>
          <w:szCs w:val="24"/>
        </w:rPr>
        <w:t>13</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xml:space="preserve">. Comparison between environment impact factors between natural and reused stone. (Adapted from </w:t>
      </w:r>
      <w:r w:rsidRPr="0050538C">
        <w:rPr>
          <w:rFonts w:ascii="Times New Roman" w:hAnsi="Times New Roman" w:cs="Times New Roman"/>
          <w:color w:val="auto"/>
          <w:sz w:val="24"/>
          <w:szCs w:val="24"/>
          <w:shd w:val="clear" w:color="auto" w:fill="FFFFFF"/>
        </w:rPr>
        <w:t>Vita</w:t>
      </w:r>
      <w:r w:rsidRPr="0050538C">
        <w:rPr>
          <w:rFonts w:ascii="Times New Roman" w:hAnsi="Times New Roman" w:cs="Times New Roman"/>
          <w:color w:val="auto"/>
          <w:sz w:val="24"/>
          <w:szCs w:val="24"/>
        </w:rPr>
        <w:t xml:space="preserve"> et al., 2019 and </w:t>
      </w:r>
      <w:r w:rsidRPr="0050538C">
        <w:rPr>
          <w:rFonts w:ascii="Times New Roman" w:hAnsi="Times New Roman" w:cs="Times New Roman"/>
          <w:color w:val="auto"/>
          <w:sz w:val="24"/>
          <w:szCs w:val="24"/>
          <w:shd w:val="clear" w:color="auto" w:fill="FFFFFF"/>
        </w:rPr>
        <w:t>Gálvez-Martos</w:t>
      </w:r>
      <w:r w:rsidRPr="0050538C">
        <w:rPr>
          <w:rFonts w:ascii="Times New Roman" w:hAnsi="Times New Roman" w:cs="Times New Roman"/>
          <w:color w:val="auto"/>
          <w:sz w:val="24"/>
          <w:szCs w:val="24"/>
        </w:rPr>
        <w:t xml:space="preserve"> et al., 2018)</w:t>
      </w:r>
      <w:bookmarkEnd w:id="63"/>
    </w:p>
    <w:p w14:paraId="0C2ADC0A"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Another significant factor is the impact of transportation. When natural stone is transported locally (by 100 km of lorry), only 0.16 kg of CO2 equivalent is produced; however, when natural stone is transported within European nations (by 2000 km of lorry), this rises to 3.2 kg of CO2 equivalent and when natural stone is transported from Germany (18 600 km by ship, 150 km by lorry, and 200 km by rail)</w:t>
      </w:r>
      <w:r w:rsidRPr="0050538C">
        <w:rPr>
          <w:rFonts w:ascii="Times New Roman" w:hAnsi="Times New Roman" w:cs="Times New Roman"/>
          <w:sz w:val="24"/>
          <w:szCs w:val="24"/>
          <w:shd w:val="clear" w:color="auto" w:fill="FFFFFF"/>
        </w:rPr>
        <w:t xml:space="preserve"> (Vita</w:t>
      </w:r>
      <w:r w:rsidRPr="0050538C">
        <w:rPr>
          <w:rFonts w:ascii="Times New Roman" w:hAnsi="Times New Roman" w:cs="Times New Roman"/>
          <w:sz w:val="24"/>
          <w:szCs w:val="24"/>
        </w:rPr>
        <w:t xml:space="preserve"> et al., 2019).</w:t>
      </w:r>
    </w:p>
    <w:p w14:paraId="6348185D" w14:textId="77777777" w:rsidR="00480667" w:rsidRPr="0050538C" w:rsidRDefault="00480667" w:rsidP="00480667">
      <w:pPr>
        <w:spacing w:line="360" w:lineRule="auto"/>
        <w:jc w:val="both"/>
        <w:rPr>
          <w:rFonts w:ascii="Times New Roman" w:hAnsi="Times New Roman" w:cs="Times New Roman"/>
          <w:sz w:val="24"/>
          <w:szCs w:val="24"/>
        </w:rPr>
      </w:pPr>
    </w:p>
    <w:p w14:paraId="5FDB927B" w14:textId="77777777" w:rsidR="00480667" w:rsidRPr="0050538C" w:rsidRDefault="00480667" w:rsidP="00480667">
      <w:pPr>
        <w:pStyle w:val="Heading3"/>
        <w:rPr>
          <w:rFonts w:ascii="Times New Roman" w:hAnsi="Times New Roman" w:cs="Times New Roman"/>
          <w:b/>
          <w:bCs/>
          <w:color w:val="auto"/>
        </w:rPr>
      </w:pPr>
      <w:bookmarkStart w:id="64" w:name="_Toc149913222"/>
      <w:r w:rsidRPr="0050538C">
        <w:rPr>
          <w:rFonts w:ascii="Times New Roman" w:hAnsi="Times New Roman" w:cs="Times New Roman"/>
          <w:b/>
          <w:bCs/>
          <w:color w:val="auto"/>
        </w:rPr>
        <w:t>4.4.5. Bricks</w:t>
      </w:r>
      <w:bookmarkEnd w:id="64"/>
      <w:r w:rsidRPr="0050538C">
        <w:rPr>
          <w:rFonts w:ascii="Times New Roman" w:hAnsi="Times New Roman" w:cs="Times New Roman"/>
          <w:b/>
          <w:bCs/>
          <w:color w:val="auto"/>
        </w:rPr>
        <w:t xml:space="preserve"> </w:t>
      </w:r>
    </w:p>
    <w:p w14:paraId="058F6BB4" w14:textId="77777777" w:rsidR="00480667" w:rsidRPr="0050538C" w:rsidRDefault="00480667" w:rsidP="00480667">
      <w:pPr>
        <w:rPr>
          <w:rFonts w:ascii="Times New Roman" w:hAnsi="Times New Roman" w:cs="Times New Roman"/>
          <w:sz w:val="24"/>
          <w:szCs w:val="24"/>
        </w:rPr>
      </w:pPr>
    </w:p>
    <w:p w14:paraId="6A2384E5"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rPr>
        <w:t>Bricks and tiles made of baked clay have been in use for thousands of years. Although it serves many functions, unreinforced masonry typically results in an unacceptable wall thickness and is dangerous in a seismic zone. However, its modularity, robustness, and tiny size make it quite versatile in design, excellent for filling, and rather easy to construct. Their non-formwork need makes them the perfect material for small-scale building. Bricks and tiles contain a significant "embodied energy" due to their production and transport phases (</w:t>
      </w:r>
      <w:r w:rsidRPr="0050538C">
        <w:rPr>
          <w:rFonts w:ascii="Times New Roman" w:hAnsi="Times New Roman" w:cs="Times New Roman"/>
          <w:sz w:val="24"/>
          <w:szCs w:val="24"/>
          <w:shd w:val="clear" w:color="auto" w:fill="FFFFFF"/>
        </w:rPr>
        <w:t>Ferronato et al., 2022</w:t>
      </w:r>
      <w:r w:rsidRPr="0050538C">
        <w:rPr>
          <w:rFonts w:ascii="Times New Roman" w:hAnsi="Times New Roman" w:cs="Times New Roman"/>
          <w:sz w:val="24"/>
          <w:szCs w:val="24"/>
        </w:rPr>
        <w:t xml:space="preserve">). due to the enormous energy output and emissions of smoke produced by kiln firing. Its bulk, structural, and finishing qualities, as well as its thermal insulation, are somewhat resource-efficient. For a long-term, bricks used in construction industry as a reused material.  The study by </w:t>
      </w:r>
      <w:bookmarkStart w:id="65" w:name="_Hlk149287769"/>
      <w:r w:rsidRPr="0050538C">
        <w:rPr>
          <w:rFonts w:ascii="Times New Roman" w:hAnsi="Times New Roman" w:cs="Times New Roman"/>
          <w:sz w:val="24"/>
          <w:szCs w:val="24"/>
          <w:shd w:val="clear" w:color="auto" w:fill="FFFFFF"/>
        </w:rPr>
        <w:t>Gálvez-Martos</w:t>
      </w:r>
      <w:bookmarkEnd w:id="65"/>
      <w:r w:rsidRPr="0050538C">
        <w:rPr>
          <w:rFonts w:ascii="Times New Roman" w:hAnsi="Times New Roman" w:cs="Times New Roman"/>
          <w:sz w:val="24"/>
          <w:szCs w:val="24"/>
          <w:shd w:val="clear" w:color="auto" w:fill="FFFFFF"/>
        </w:rPr>
        <w:t xml:space="preserve"> et al. (2018) stated that the natural gas use decreases as a result of reused bricks in recycled house. Because natural gas and biofuel have distinct emission profiles, this </w:t>
      </w:r>
      <w:r w:rsidRPr="0050538C">
        <w:rPr>
          <w:rFonts w:ascii="Times New Roman" w:hAnsi="Times New Roman" w:cs="Times New Roman"/>
          <w:sz w:val="24"/>
          <w:szCs w:val="24"/>
          <w:shd w:val="clear" w:color="auto" w:fill="FFFFFF"/>
        </w:rPr>
        <w:lastRenderedPageBreak/>
        <w:t>resulted in a shift in the quantity of emissions produced. Also, biomass is circulated and the net emissions from burning can be viewed as minimal, the emission of CO2 to the air from the combustion of biofuels was set to zero. When natural gas is lowered, a lot less carbon dioxide is released into the atmosphere than when biofuel is used. Furthermore, because of reuse, some transportation of manufactured bricks did not occur. The following shows the variation in emission production brought about by natural gas combustion, global warming, contribution to the eutrophication, photochemical oxidants and the lack of some form of transportation.</w:t>
      </w:r>
      <w:r w:rsidRPr="0050538C">
        <w:rPr>
          <w:rFonts w:ascii="Times New Roman" w:hAnsi="Times New Roman" w:cs="Times New Roman"/>
          <w:sz w:val="24"/>
          <w:szCs w:val="24"/>
        </w:rPr>
        <w:t xml:space="preserve"> </w:t>
      </w:r>
      <w:r w:rsidRPr="0050538C">
        <w:rPr>
          <w:rFonts w:ascii="Times New Roman" w:hAnsi="Times New Roman" w:cs="Times New Roman"/>
          <w:sz w:val="24"/>
          <w:szCs w:val="24"/>
          <w:shd w:val="clear" w:color="auto" w:fill="FFFFFF"/>
        </w:rPr>
        <w:t>A product's ability to cause global warming is shown by its production of greenhouse gases, such as carbon dioxide, carbon monoxide, methane, and nitrogen oxides. Based on the effect scores, it can be deduced that the production of new bricks has the most potential to contribute to global warming. The findings suggest that both poles are in the production stage.</w:t>
      </w:r>
    </w:p>
    <w:p w14:paraId="6FAE4158"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p>
    <w:p w14:paraId="0B0DCC5A"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p>
    <w:p w14:paraId="2B654415" w14:textId="77777777" w:rsidR="00480667" w:rsidRPr="0050538C" w:rsidRDefault="00480667" w:rsidP="00480667">
      <w:pPr>
        <w:keepNext/>
        <w:spacing w:line="360" w:lineRule="auto"/>
        <w:jc w:val="center"/>
        <w:rPr>
          <w:rFonts w:ascii="Times New Roman" w:hAnsi="Times New Roman" w:cs="Times New Roman"/>
          <w:sz w:val="24"/>
          <w:szCs w:val="24"/>
        </w:rPr>
      </w:pPr>
      <w:r w:rsidRPr="0050538C">
        <w:rPr>
          <w:rFonts w:ascii="Times New Roman" w:hAnsi="Times New Roman" w:cs="Times New Roman"/>
          <w:noProof/>
          <w:sz w:val="24"/>
          <w:szCs w:val="24"/>
          <w:shd w:val="clear" w:color="auto" w:fill="FFFFFF"/>
        </w:rPr>
        <w:drawing>
          <wp:inline distT="0" distB="0" distL="0" distR="0" wp14:anchorId="7E80E33B" wp14:editId="319A50CF">
            <wp:extent cx="4895850" cy="2547938"/>
            <wp:effectExtent l="0" t="0" r="0" b="5080"/>
            <wp:docPr id="51113324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6F1939F" w14:textId="77777777" w:rsidR="00480667" w:rsidRPr="0050538C" w:rsidRDefault="00480667" w:rsidP="00480667">
      <w:pPr>
        <w:pStyle w:val="Caption"/>
        <w:spacing w:line="360" w:lineRule="auto"/>
        <w:jc w:val="center"/>
        <w:rPr>
          <w:rFonts w:ascii="Times New Roman" w:hAnsi="Times New Roman" w:cs="Times New Roman"/>
          <w:color w:val="auto"/>
          <w:sz w:val="24"/>
          <w:szCs w:val="24"/>
        </w:rPr>
      </w:pPr>
      <w:bookmarkStart w:id="66" w:name="_Toc149910249"/>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Pr="0050538C">
        <w:rPr>
          <w:rFonts w:ascii="Times New Roman" w:hAnsi="Times New Roman" w:cs="Times New Roman"/>
          <w:noProof/>
          <w:color w:val="auto"/>
          <w:sz w:val="24"/>
          <w:szCs w:val="24"/>
        </w:rPr>
        <w:t>14</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xml:space="preserve">. The contribution to eutrophication and photochemical oxidation (PCOP) from reused bricks and new bricks (REC- recycled bricks, New- New bricks, Eutrophi-Eutrophication) (Source: </w:t>
      </w:r>
      <w:r w:rsidRPr="0050538C">
        <w:rPr>
          <w:rFonts w:ascii="Times New Roman" w:hAnsi="Times New Roman" w:cs="Times New Roman"/>
          <w:color w:val="auto"/>
          <w:sz w:val="24"/>
          <w:szCs w:val="24"/>
          <w:shd w:val="clear" w:color="auto" w:fill="FFFFFF"/>
        </w:rPr>
        <w:t>Ferronato et al., 2022 and Gálvez-Martos et al., 2018)</w:t>
      </w:r>
      <w:bookmarkEnd w:id="66"/>
    </w:p>
    <w:p w14:paraId="5CB92B3A" w14:textId="77777777" w:rsidR="00480667" w:rsidRPr="0050538C" w:rsidRDefault="00480667" w:rsidP="00480667">
      <w:pPr>
        <w:rPr>
          <w:rFonts w:ascii="Times New Roman" w:hAnsi="Times New Roman" w:cs="Times New Roman"/>
          <w:sz w:val="24"/>
          <w:szCs w:val="24"/>
        </w:rPr>
      </w:pPr>
    </w:p>
    <w:p w14:paraId="46BC4290" w14:textId="77777777" w:rsidR="00480667" w:rsidRPr="0050538C" w:rsidRDefault="00480667" w:rsidP="00480667">
      <w:pPr>
        <w:keepNext/>
        <w:rPr>
          <w:rFonts w:ascii="Times New Roman" w:hAnsi="Times New Roman" w:cs="Times New Roman"/>
          <w:sz w:val="24"/>
          <w:szCs w:val="24"/>
        </w:rPr>
      </w:pPr>
      <w:r w:rsidRPr="0050538C">
        <w:rPr>
          <w:rFonts w:ascii="Times New Roman" w:hAnsi="Times New Roman" w:cs="Times New Roman"/>
          <w:noProof/>
          <w:sz w:val="24"/>
          <w:szCs w:val="24"/>
        </w:rPr>
        <w:lastRenderedPageBreak/>
        <w:drawing>
          <wp:inline distT="0" distB="0" distL="0" distR="0" wp14:anchorId="081AF124" wp14:editId="0CA1A0B0">
            <wp:extent cx="5486400" cy="3200400"/>
            <wp:effectExtent l="0" t="0" r="0" b="0"/>
            <wp:docPr id="54407782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F5256C5" w14:textId="77777777" w:rsidR="00480667" w:rsidRPr="0050538C" w:rsidRDefault="00480667" w:rsidP="00480667">
      <w:pPr>
        <w:pStyle w:val="Caption"/>
        <w:jc w:val="center"/>
        <w:rPr>
          <w:rFonts w:ascii="Times New Roman" w:hAnsi="Times New Roman" w:cs="Times New Roman"/>
          <w:color w:val="auto"/>
          <w:sz w:val="24"/>
          <w:szCs w:val="24"/>
        </w:rPr>
      </w:pPr>
      <w:bookmarkStart w:id="67" w:name="_Toc149910250"/>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Pr="0050538C">
        <w:rPr>
          <w:rFonts w:ascii="Times New Roman" w:hAnsi="Times New Roman" w:cs="Times New Roman"/>
          <w:noProof/>
          <w:color w:val="auto"/>
          <w:sz w:val="24"/>
          <w:szCs w:val="24"/>
        </w:rPr>
        <w:t>15</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xml:space="preserve">. Comparison Between Reused Bricks and New Bricks. Adapted from </w:t>
      </w:r>
      <w:r w:rsidRPr="0050538C">
        <w:rPr>
          <w:rFonts w:ascii="Times New Roman" w:hAnsi="Times New Roman" w:cs="Times New Roman"/>
          <w:color w:val="auto"/>
          <w:sz w:val="24"/>
          <w:szCs w:val="24"/>
          <w:shd w:val="clear" w:color="auto" w:fill="FFFFFF"/>
        </w:rPr>
        <w:t>Gálvez-Martos et al., 2018 and Abbe and Hamilton, 2019)</w:t>
      </w:r>
      <w:bookmarkEnd w:id="67"/>
    </w:p>
    <w:p w14:paraId="54D78FD8" w14:textId="77777777" w:rsidR="00480667" w:rsidRPr="0050538C" w:rsidRDefault="00480667" w:rsidP="00480667">
      <w:pPr>
        <w:rPr>
          <w:rFonts w:ascii="Times New Roman" w:hAnsi="Times New Roman" w:cs="Times New Roman"/>
          <w:sz w:val="24"/>
          <w:szCs w:val="24"/>
        </w:rPr>
      </w:pPr>
    </w:p>
    <w:p w14:paraId="6CB627DC" w14:textId="77777777" w:rsidR="00480667" w:rsidRPr="0050538C" w:rsidRDefault="00480667" w:rsidP="00480667">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Similar to the global warming potential and acidification impacts, the eutrophication and photochemical ozone formation effects of recycled bricks are always lower than to those from new bricks at a far shorter distance. As a result, the effects of photochemical ozone production and eutrophication are discussed in separately. The outcomes are displayed above.</w:t>
      </w:r>
    </w:p>
    <w:p w14:paraId="23240D52" w14:textId="77777777" w:rsidR="00480667" w:rsidRPr="0050538C" w:rsidRDefault="00480667" w:rsidP="00480667">
      <w:pPr>
        <w:spacing w:line="360" w:lineRule="auto"/>
        <w:jc w:val="both"/>
        <w:rPr>
          <w:rFonts w:ascii="Times New Roman" w:hAnsi="Times New Roman" w:cs="Times New Roman"/>
          <w:sz w:val="24"/>
          <w:szCs w:val="24"/>
        </w:rPr>
      </w:pPr>
    </w:p>
    <w:p w14:paraId="391FD9EE" w14:textId="77777777" w:rsidR="00480667" w:rsidRPr="0050538C" w:rsidRDefault="00480667" w:rsidP="00480667">
      <w:pPr>
        <w:pStyle w:val="Heading3"/>
        <w:rPr>
          <w:rFonts w:ascii="Times New Roman" w:hAnsi="Times New Roman" w:cs="Times New Roman"/>
          <w:b/>
          <w:bCs/>
          <w:color w:val="auto"/>
        </w:rPr>
      </w:pPr>
      <w:bookmarkStart w:id="68" w:name="_Toc149913223"/>
      <w:r w:rsidRPr="0050538C">
        <w:rPr>
          <w:rFonts w:ascii="Times New Roman" w:hAnsi="Times New Roman" w:cs="Times New Roman"/>
          <w:b/>
          <w:bCs/>
          <w:color w:val="auto"/>
        </w:rPr>
        <w:t>4.4.6. Steel</w:t>
      </w:r>
      <w:bookmarkEnd w:id="68"/>
      <w:r w:rsidRPr="0050538C">
        <w:rPr>
          <w:rFonts w:ascii="Times New Roman" w:hAnsi="Times New Roman" w:cs="Times New Roman"/>
          <w:b/>
          <w:bCs/>
          <w:color w:val="auto"/>
        </w:rPr>
        <w:t xml:space="preserve"> </w:t>
      </w:r>
    </w:p>
    <w:p w14:paraId="15F862D2" w14:textId="77777777" w:rsidR="00480667" w:rsidRPr="0050538C" w:rsidRDefault="00480667" w:rsidP="00480667">
      <w:pPr>
        <w:rPr>
          <w:rFonts w:ascii="Times New Roman" w:hAnsi="Times New Roman" w:cs="Times New Roman"/>
          <w:sz w:val="24"/>
          <w:szCs w:val="24"/>
        </w:rPr>
      </w:pPr>
    </w:p>
    <w:p w14:paraId="74F3C038"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It is well known that there are typically two ways to produce steel: an integrated route that uses recycled steel and has a mean emission of about 0.4 kgCO2/kg steel, and an interconnected route that is highly emissions-intensive, with mean emissions of 1.85 kgCO2/kg steel. The manufacture of steel is typically linked to high energy consumption. consumption and greenhouse gas (GHG) emissions, but the health effects are more important. evaluating, and trade-offs between these effects are possible (</w:t>
      </w:r>
      <w:r w:rsidRPr="0050538C">
        <w:rPr>
          <w:rFonts w:ascii="Times New Roman" w:hAnsi="Times New Roman" w:cs="Times New Roman"/>
          <w:sz w:val="24"/>
          <w:szCs w:val="24"/>
          <w:shd w:val="clear" w:color="auto" w:fill="FFFFFF"/>
        </w:rPr>
        <w:t>Abbe, O. and Hamilton, 2019)</w:t>
      </w:r>
      <w:r w:rsidRPr="0050538C">
        <w:rPr>
          <w:rFonts w:ascii="Times New Roman" w:hAnsi="Times New Roman" w:cs="Times New Roman"/>
          <w:sz w:val="24"/>
          <w:szCs w:val="24"/>
        </w:rPr>
        <w:t>.</w:t>
      </w:r>
    </w:p>
    <w:p w14:paraId="46220B72"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Consequently, the data quality for the LCA modelling of reusable concrete buildings of steel is a crucial concern, particularly if unique varieties of steel are utilized in the makeup of the product. In terms of reuse situations, it is evident that a reuse steel will have less of an influence on the environment if more benefits are distributed during its second life (0-100 case). It is </w:t>
      </w:r>
      <w:r w:rsidRPr="0050538C">
        <w:rPr>
          <w:rFonts w:ascii="Times New Roman" w:hAnsi="Times New Roman" w:cs="Times New Roman"/>
          <w:sz w:val="24"/>
          <w:szCs w:val="24"/>
        </w:rPr>
        <w:lastRenderedPageBreak/>
        <w:t>imperative to clarify, nonetheless, that this type of fake quantification goes beyond technical has political interests in several ways. It is already established that taking averted impacts into consideration LCA of recycled or reused materials is not well established in scholarly literature. since there are challenges with methodological decisions and the possibility of double bookkeeping. Nonetheless, in regard to CE, it is crucial to Measure the advantages to encourage recycling, reuse, and DFD tactics. To do this, having well-defined regulations will be crucial (</w:t>
      </w:r>
      <w:r w:rsidRPr="0050538C">
        <w:rPr>
          <w:rFonts w:ascii="Times New Roman" w:hAnsi="Times New Roman" w:cs="Times New Roman"/>
          <w:sz w:val="24"/>
          <w:szCs w:val="24"/>
          <w:shd w:val="clear" w:color="auto" w:fill="FFFFFF"/>
        </w:rPr>
        <w:t>Bajpai</w:t>
      </w:r>
      <w:r w:rsidRPr="0050538C">
        <w:rPr>
          <w:rFonts w:ascii="Times New Roman" w:hAnsi="Times New Roman" w:cs="Times New Roman"/>
          <w:sz w:val="24"/>
          <w:szCs w:val="24"/>
        </w:rPr>
        <w:t xml:space="preserve"> et al., 2020). </w:t>
      </w:r>
    </w:p>
    <w:p w14:paraId="231DEBDC"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Moreover, studies show that for the LCA phases, the first Environment Product Declaration (EPD) on recycled steel from EMR indicates a potential for global warming (GWP) values of around 50 kgCO2e/t. As stated in several EPDs and databases (e.g., from reference steel producers such as Arcelor Mittal), this value demonstrates that steel reuse can offer substantial environmental benefits, with potential decreases in GWPs of up to 95%, 90%, and 75%, respectively, in compared with primary steel production, reused steel, and recycled steel based on renewable energy. As a result, there is pressure to adopt the circular economy in the building and other industries in order to meet the challenging target of zero waste (</w:t>
      </w:r>
      <w:r w:rsidRPr="0050538C">
        <w:rPr>
          <w:rFonts w:ascii="Times New Roman" w:hAnsi="Times New Roman" w:cs="Times New Roman"/>
          <w:sz w:val="24"/>
          <w:szCs w:val="24"/>
          <w:shd w:val="clear" w:color="auto" w:fill="FFFFFF"/>
        </w:rPr>
        <w:t>Vita et al., 2019).</w:t>
      </w:r>
    </w:p>
    <w:p w14:paraId="4DEE096C"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Frm the analysis, the ecology, human health, and natural resources are more at risk from the steel production and it has a higher potential to harm people's health. Following figure shows that molten steel is continue to have the most effects, which is essentially in line with the findings of Shahid et al. (2023). Molten steel, which makes up around 60% depicted in the following figure. is the material most detrimental to natural resources. About 60% of the risks to human health are associated with the same steel. Fuel and electricity have very little of an environmental impact, whereas effect of auxiliary materials and operating fluids rank second (</w:t>
      </w:r>
      <w:r w:rsidRPr="0050538C">
        <w:rPr>
          <w:rFonts w:ascii="Times New Roman" w:hAnsi="Times New Roman" w:cs="Times New Roman"/>
          <w:sz w:val="24"/>
          <w:szCs w:val="24"/>
          <w:shd w:val="clear" w:color="auto" w:fill="FFFFFF"/>
        </w:rPr>
        <w:t>Walubita et al., 2022)</w:t>
      </w:r>
      <w:r w:rsidRPr="0050538C">
        <w:rPr>
          <w:rFonts w:ascii="Times New Roman" w:hAnsi="Times New Roman" w:cs="Times New Roman"/>
          <w:sz w:val="24"/>
          <w:szCs w:val="24"/>
        </w:rPr>
        <w:t>.</w:t>
      </w:r>
    </w:p>
    <w:p w14:paraId="3FEC5E68" w14:textId="77777777" w:rsidR="00480667" w:rsidRPr="0050538C" w:rsidRDefault="00480667" w:rsidP="00480667">
      <w:pPr>
        <w:spacing w:line="360" w:lineRule="auto"/>
        <w:jc w:val="both"/>
        <w:rPr>
          <w:rFonts w:ascii="Times New Roman" w:hAnsi="Times New Roman" w:cs="Times New Roman"/>
          <w:sz w:val="24"/>
          <w:szCs w:val="24"/>
        </w:rPr>
      </w:pPr>
    </w:p>
    <w:p w14:paraId="69EEA461" w14:textId="77777777" w:rsidR="00480667" w:rsidRPr="0050538C" w:rsidRDefault="00480667" w:rsidP="00480667">
      <w:pPr>
        <w:keepNext/>
        <w:jc w:val="both"/>
        <w:rPr>
          <w:rFonts w:ascii="Times New Roman" w:hAnsi="Times New Roman" w:cs="Times New Roman"/>
          <w:sz w:val="24"/>
          <w:szCs w:val="24"/>
        </w:rPr>
      </w:pPr>
      <w:r w:rsidRPr="0050538C">
        <w:rPr>
          <w:rFonts w:ascii="Times New Roman" w:hAnsi="Times New Roman" w:cs="Times New Roman"/>
          <w:noProof/>
          <w:sz w:val="24"/>
          <w:szCs w:val="24"/>
        </w:rPr>
        <w:lastRenderedPageBreak/>
        <w:drawing>
          <wp:inline distT="0" distB="0" distL="0" distR="0" wp14:anchorId="2F9E32AA" wp14:editId="630A7C79">
            <wp:extent cx="5589142" cy="3533775"/>
            <wp:effectExtent l="0" t="0" r="12065" b="9525"/>
            <wp:docPr id="60939273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3250CF6" w14:textId="77777777" w:rsidR="00480667" w:rsidRPr="0050538C" w:rsidRDefault="00480667" w:rsidP="00480667">
      <w:pPr>
        <w:pStyle w:val="Caption"/>
        <w:jc w:val="center"/>
        <w:rPr>
          <w:rFonts w:ascii="Times New Roman" w:hAnsi="Times New Roman" w:cs="Times New Roman"/>
          <w:color w:val="auto"/>
          <w:sz w:val="24"/>
          <w:szCs w:val="24"/>
        </w:rPr>
      </w:pPr>
      <w:bookmarkStart w:id="69" w:name="_Toc149910251"/>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Pr="0050538C">
        <w:rPr>
          <w:rFonts w:ascii="Times New Roman" w:hAnsi="Times New Roman" w:cs="Times New Roman"/>
          <w:noProof/>
          <w:color w:val="auto"/>
          <w:sz w:val="24"/>
          <w:szCs w:val="24"/>
        </w:rPr>
        <w:t>16</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Comparison between Molten steel and Reused steel. (</w:t>
      </w:r>
      <w:r w:rsidRPr="0050538C">
        <w:rPr>
          <w:rFonts w:ascii="Times New Roman" w:hAnsi="Times New Roman" w:cs="Times New Roman"/>
          <w:color w:val="auto"/>
          <w:sz w:val="24"/>
          <w:szCs w:val="24"/>
          <w:shd w:val="clear" w:color="auto" w:fill="FFFFFF"/>
        </w:rPr>
        <w:t>Walubita et al., 2022).</w:t>
      </w:r>
      <w:bookmarkEnd w:id="69"/>
      <w:r w:rsidRPr="0050538C">
        <w:rPr>
          <w:rFonts w:ascii="Times New Roman" w:hAnsi="Times New Roman" w:cs="Times New Roman"/>
          <w:color w:val="auto"/>
          <w:sz w:val="24"/>
          <w:szCs w:val="24"/>
          <w:shd w:val="clear" w:color="auto" w:fill="FFFFFF"/>
        </w:rPr>
        <w:t xml:space="preserve"> </w:t>
      </w:r>
      <w:r w:rsidRPr="0050538C">
        <w:rPr>
          <w:rFonts w:ascii="Times New Roman" w:hAnsi="Times New Roman" w:cs="Times New Roman"/>
          <w:color w:val="auto"/>
          <w:sz w:val="24"/>
          <w:szCs w:val="24"/>
        </w:rPr>
        <w:t xml:space="preserve"> </w:t>
      </w:r>
    </w:p>
    <w:p w14:paraId="3F6EE62D" w14:textId="77777777" w:rsidR="00480667" w:rsidRPr="0050538C" w:rsidRDefault="00480667" w:rsidP="00480667">
      <w:pPr>
        <w:rPr>
          <w:rFonts w:ascii="Times New Roman" w:hAnsi="Times New Roman" w:cs="Times New Roman"/>
          <w:sz w:val="24"/>
          <w:szCs w:val="24"/>
        </w:rPr>
      </w:pPr>
    </w:p>
    <w:p w14:paraId="1C8117A8" w14:textId="77777777" w:rsidR="00480667" w:rsidRPr="0050538C" w:rsidRDefault="00480667" w:rsidP="00480667">
      <w:pPr>
        <w:rPr>
          <w:rFonts w:ascii="Times New Roman" w:hAnsi="Times New Roman" w:cs="Times New Roman"/>
          <w:sz w:val="24"/>
          <w:szCs w:val="24"/>
        </w:rPr>
      </w:pPr>
    </w:p>
    <w:p w14:paraId="1F754134" w14:textId="77777777" w:rsidR="00480667" w:rsidRPr="0050538C" w:rsidRDefault="00480667" w:rsidP="00480667">
      <w:pPr>
        <w:pStyle w:val="Heading2"/>
        <w:rPr>
          <w:rFonts w:ascii="Times New Roman" w:hAnsi="Times New Roman" w:cs="Times New Roman"/>
          <w:b/>
          <w:bCs/>
          <w:color w:val="auto"/>
          <w:sz w:val="24"/>
          <w:szCs w:val="24"/>
        </w:rPr>
      </w:pPr>
    </w:p>
    <w:p w14:paraId="70533211" w14:textId="77777777" w:rsidR="00480667" w:rsidRPr="0050538C" w:rsidRDefault="00480667" w:rsidP="00480667">
      <w:pPr>
        <w:pStyle w:val="Heading2"/>
        <w:rPr>
          <w:rFonts w:ascii="Times New Roman" w:hAnsi="Times New Roman" w:cs="Times New Roman"/>
          <w:b/>
          <w:bCs/>
          <w:color w:val="auto"/>
          <w:sz w:val="24"/>
          <w:szCs w:val="24"/>
        </w:rPr>
      </w:pPr>
      <w:bookmarkStart w:id="70" w:name="_Toc149913224"/>
      <w:r w:rsidRPr="0050538C">
        <w:rPr>
          <w:rFonts w:ascii="Times New Roman" w:hAnsi="Times New Roman" w:cs="Times New Roman"/>
          <w:b/>
          <w:bCs/>
          <w:color w:val="auto"/>
          <w:sz w:val="24"/>
          <w:szCs w:val="24"/>
        </w:rPr>
        <w:t>4.5. Summary of Results</w:t>
      </w:r>
      <w:bookmarkEnd w:id="70"/>
      <w:r w:rsidRPr="0050538C">
        <w:rPr>
          <w:rFonts w:ascii="Times New Roman" w:hAnsi="Times New Roman" w:cs="Times New Roman"/>
          <w:b/>
          <w:bCs/>
          <w:color w:val="auto"/>
          <w:sz w:val="24"/>
          <w:szCs w:val="24"/>
        </w:rPr>
        <w:t xml:space="preserve"> </w:t>
      </w:r>
    </w:p>
    <w:p w14:paraId="42B4AFA2" w14:textId="77777777" w:rsidR="00480667" w:rsidRPr="0050538C" w:rsidRDefault="00480667" w:rsidP="00480667">
      <w:pPr>
        <w:spacing w:line="360" w:lineRule="auto"/>
        <w:jc w:val="both"/>
        <w:rPr>
          <w:rFonts w:ascii="Times New Roman" w:hAnsi="Times New Roman" w:cs="Times New Roman"/>
          <w:sz w:val="24"/>
          <w:szCs w:val="24"/>
        </w:rPr>
      </w:pPr>
    </w:p>
    <w:p w14:paraId="28C2C4A0"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Objective of the study was to assess the differences in the environmental effects of material production up to and involving the transportation of building materials and components to a structure that uses a large percentage of recycled materials, case Rec, and the impact that building would have if just conventional materials and components had been used, all new cases. About 60% of the energy used in the case Rec was new energy, including feedstock energy. The number energy when material was not included was roughly 54%. Bricks, wood, steel and precast concrete were the main reused materials applied in building constructions and because of this, use of raw materials declined by almost 30%, while the use of fossil fuels for energy generation dropped by roughly 25%. The usage of several compounds dropped by almost eighty percent. The reused material reduced the amount of material going to landfills since it was assumed that mineral waste would soon be crushed and used as sub-base. The only thing that changed was the method of recycling—from material recycling or burning to reuse.</w:t>
      </w:r>
    </w:p>
    <w:p w14:paraId="52FE01BF"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lastRenderedPageBreak/>
        <w:t xml:space="preserve">Application of reused materials’ results for the effect categories were as follows, expressed as percentages for the case All new: 70% for global warming prospective, 50% for acidification, 70% for eutrophication, and 61% for photochemical ozone generation. For the recycled house, the results of the applicable weighting techniques were as follows, expressed in percentages for the case All New: 61% for the Eco scarcity Method, Eco; 64% for the Environmental impact Theme Method, and human health impact and 82% for the environmental analysis method.  In every instance, the length of the possible transport distance for recycled brick needs to be determined. Reusing brick from the surrounding area always appears to have a significant beneficial effect on the environment as a whole. </w:t>
      </w:r>
    </w:p>
    <w:p w14:paraId="7595CB22" w14:textId="77777777" w:rsidR="00480667" w:rsidRPr="0050538C" w:rsidRDefault="00480667" w:rsidP="00480667">
      <w:pPr>
        <w:spacing w:line="360" w:lineRule="auto"/>
        <w:jc w:val="both"/>
        <w:rPr>
          <w:rFonts w:ascii="Times New Roman" w:hAnsi="Times New Roman" w:cs="Times New Roman"/>
          <w:sz w:val="24"/>
          <w:szCs w:val="24"/>
        </w:rPr>
      </w:pPr>
    </w:p>
    <w:p w14:paraId="0E9ED3E3" w14:textId="77777777" w:rsidR="00480667" w:rsidRPr="0050538C" w:rsidRDefault="00480667" w:rsidP="00480667">
      <w:pPr>
        <w:spacing w:line="360" w:lineRule="auto"/>
        <w:jc w:val="both"/>
        <w:rPr>
          <w:rFonts w:ascii="Times New Roman" w:hAnsi="Times New Roman" w:cs="Times New Roman"/>
          <w:sz w:val="24"/>
          <w:szCs w:val="24"/>
        </w:rPr>
      </w:pPr>
    </w:p>
    <w:p w14:paraId="7E335ABE" w14:textId="77777777" w:rsidR="00480667" w:rsidRPr="0050538C" w:rsidRDefault="00480667" w:rsidP="00480667">
      <w:pPr>
        <w:spacing w:line="360" w:lineRule="auto"/>
        <w:jc w:val="both"/>
        <w:rPr>
          <w:rFonts w:ascii="Times New Roman" w:hAnsi="Times New Roman" w:cs="Times New Roman"/>
          <w:sz w:val="24"/>
          <w:szCs w:val="24"/>
        </w:rPr>
      </w:pPr>
    </w:p>
    <w:p w14:paraId="132D1C78" w14:textId="77777777" w:rsidR="00480667" w:rsidRPr="0050538C" w:rsidRDefault="00480667" w:rsidP="00480667">
      <w:pPr>
        <w:spacing w:line="360" w:lineRule="auto"/>
        <w:jc w:val="both"/>
        <w:rPr>
          <w:rFonts w:ascii="Times New Roman" w:hAnsi="Times New Roman" w:cs="Times New Roman"/>
          <w:sz w:val="24"/>
          <w:szCs w:val="24"/>
        </w:rPr>
      </w:pPr>
    </w:p>
    <w:p w14:paraId="44A9DB5F" w14:textId="77777777" w:rsidR="00480667" w:rsidRPr="0050538C" w:rsidRDefault="00480667" w:rsidP="00480667">
      <w:pPr>
        <w:spacing w:line="360" w:lineRule="auto"/>
        <w:jc w:val="both"/>
        <w:rPr>
          <w:rFonts w:ascii="Times New Roman" w:hAnsi="Times New Roman" w:cs="Times New Roman"/>
          <w:sz w:val="24"/>
          <w:szCs w:val="24"/>
        </w:rPr>
      </w:pPr>
    </w:p>
    <w:p w14:paraId="435192B2" w14:textId="77777777" w:rsidR="00480667" w:rsidRPr="0050538C" w:rsidRDefault="00480667" w:rsidP="00480667">
      <w:pPr>
        <w:spacing w:line="360" w:lineRule="auto"/>
        <w:jc w:val="both"/>
        <w:rPr>
          <w:rFonts w:ascii="Times New Roman" w:hAnsi="Times New Roman" w:cs="Times New Roman"/>
          <w:sz w:val="24"/>
          <w:szCs w:val="24"/>
        </w:rPr>
      </w:pPr>
    </w:p>
    <w:p w14:paraId="2B757F92" w14:textId="77777777" w:rsidR="00480667" w:rsidRPr="0050538C" w:rsidRDefault="00480667" w:rsidP="00480667">
      <w:pPr>
        <w:spacing w:line="360" w:lineRule="auto"/>
        <w:jc w:val="both"/>
        <w:rPr>
          <w:rFonts w:ascii="Times New Roman" w:hAnsi="Times New Roman" w:cs="Times New Roman"/>
          <w:sz w:val="24"/>
          <w:szCs w:val="24"/>
        </w:rPr>
      </w:pPr>
    </w:p>
    <w:p w14:paraId="55ABD3C3" w14:textId="77777777" w:rsidR="00480667" w:rsidRPr="0050538C" w:rsidRDefault="00480667" w:rsidP="00480667">
      <w:pPr>
        <w:spacing w:line="360" w:lineRule="auto"/>
        <w:jc w:val="both"/>
        <w:rPr>
          <w:rFonts w:ascii="Times New Roman" w:hAnsi="Times New Roman" w:cs="Times New Roman"/>
          <w:sz w:val="24"/>
          <w:szCs w:val="24"/>
        </w:rPr>
      </w:pPr>
    </w:p>
    <w:p w14:paraId="3BE7C3DF" w14:textId="77777777" w:rsidR="00480667" w:rsidRPr="0050538C" w:rsidRDefault="00480667" w:rsidP="00480667">
      <w:pPr>
        <w:spacing w:line="360" w:lineRule="auto"/>
        <w:jc w:val="both"/>
        <w:rPr>
          <w:rFonts w:ascii="Times New Roman" w:hAnsi="Times New Roman" w:cs="Times New Roman"/>
          <w:sz w:val="24"/>
          <w:szCs w:val="24"/>
        </w:rPr>
      </w:pPr>
    </w:p>
    <w:p w14:paraId="4552084B" w14:textId="77777777" w:rsidR="00480667" w:rsidRPr="0050538C" w:rsidRDefault="00480667" w:rsidP="00480667">
      <w:pPr>
        <w:spacing w:line="360" w:lineRule="auto"/>
        <w:jc w:val="both"/>
        <w:rPr>
          <w:rFonts w:ascii="Times New Roman" w:hAnsi="Times New Roman" w:cs="Times New Roman"/>
          <w:sz w:val="24"/>
          <w:szCs w:val="24"/>
        </w:rPr>
      </w:pPr>
    </w:p>
    <w:p w14:paraId="77150D9E" w14:textId="77777777" w:rsidR="00480667" w:rsidRPr="0050538C" w:rsidRDefault="00480667" w:rsidP="00480667">
      <w:pPr>
        <w:spacing w:line="360" w:lineRule="auto"/>
        <w:jc w:val="both"/>
        <w:rPr>
          <w:rFonts w:ascii="Times New Roman" w:hAnsi="Times New Roman" w:cs="Times New Roman"/>
          <w:sz w:val="24"/>
          <w:szCs w:val="24"/>
        </w:rPr>
      </w:pPr>
    </w:p>
    <w:p w14:paraId="7DB86792" w14:textId="77777777" w:rsidR="00480667" w:rsidRPr="0050538C" w:rsidRDefault="00480667" w:rsidP="00480667">
      <w:pPr>
        <w:spacing w:line="360" w:lineRule="auto"/>
        <w:jc w:val="both"/>
        <w:rPr>
          <w:rFonts w:ascii="Times New Roman" w:hAnsi="Times New Roman" w:cs="Times New Roman"/>
          <w:sz w:val="24"/>
          <w:szCs w:val="24"/>
        </w:rPr>
      </w:pPr>
    </w:p>
    <w:p w14:paraId="266A51F0" w14:textId="77777777" w:rsidR="00480667" w:rsidRPr="0050538C" w:rsidRDefault="00480667" w:rsidP="00480667">
      <w:pPr>
        <w:spacing w:line="360" w:lineRule="auto"/>
        <w:jc w:val="both"/>
        <w:rPr>
          <w:rFonts w:ascii="Times New Roman" w:hAnsi="Times New Roman" w:cs="Times New Roman"/>
          <w:sz w:val="24"/>
          <w:szCs w:val="24"/>
        </w:rPr>
      </w:pPr>
    </w:p>
    <w:p w14:paraId="57D62E71" w14:textId="77777777" w:rsidR="00480667" w:rsidRPr="0050538C" w:rsidRDefault="00480667" w:rsidP="00480667">
      <w:pPr>
        <w:spacing w:line="360" w:lineRule="auto"/>
        <w:jc w:val="both"/>
        <w:rPr>
          <w:rFonts w:ascii="Times New Roman" w:hAnsi="Times New Roman" w:cs="Times New Roman"/>
          <w:sz w:val="24"/>
          <w:szCs w:val="24"/>
        </w:rPr>
      </w:pPr>
    </w:p>
    <w:p w14:paraId="4EC07F1D" w14:textId="77777777" w:rsidR="00480667" w:rsidRPr="0050538C" w:rsidRDefault="00480667" w:rsidP="00480667">
      <w:pPr>
        <w:spacing w:line="360" w:lineRule="auto"/>
        <w:jc w:val="both"/>
        <w:rPr>
          <w:rFonts w:ascii="Times New Roman" w:hAnsi="Times New Roman" w:cs="Times New Roman"/>
          <w:sz w:val="24"/>
          <w:szCs w:val="24"/>
        </w:rPr>
      </w:pPr>
    </w:p>
    <w:p w14:paraId="49D9621D" w14:textId="77777777" w:rsidR="00480667" w:rsidRPr="0050538C" w:rsidRDefault="00480667" w:rsidP="00480667">
      <w:pPr>
        <w:spacing w:line="360" w:lineRule="auto"/>
        <w:jc w:val="both"/>
        <w:rPr>
          <w:rFonts w:ascii="Times New Roman" w:hAnsi="Times New Roman" w:cs="Times New Roman"/>
          <w:sz w:val="24"/>
          <w:szCs w:val="24"/>
        </w:rPr>
      </w:pPr>
    </w:p>
    <w:p w14:paraId="3395BF90" w14:textId="77777777" w:rsidR="00480667" w:rsidRPr="0050538C" w:rsidRDefault="00480667" w:rsidP="00480667">
      <w:pPr>
        <w:spacing w:line="360" w:lineRule="auto"/>
        <w:jc w:val="both"/>
        <w:rPr>
          <w:rFonts w:ascii="Times New Roman" w:hAnsi="Times New Roman" w:cs="Times New Roman"/>
          <w:sz w:val="24"/>
          <w:szCs w:val="24"/>
        </w:rPr>
      </w:pPr>
    </w:p>
    <w:p w14:paraId="12E2C6AA" w14:textId="77777777" w:rsidR="00480667" w:rsidRPr="0050538C" w:rsidRDefault="00480667" w:rsidP="00480667">
      <w:pPr>
        <w:spacing w:line="360" w:lineRule="auto"/>
        <w:jc w:val="both"/>
        <w:rPr>
          <w:rFonts w:ascii="Times New Roman" w:hAnsi="Times New Roman" w:cs="Times New Roman"/>
          <w:sz w:val="24"/>
          <w:szCs w:val="24"/>
        </w:rPr>
      </w:pPr>
    </w:p>
    <w:p w14:paraId="20EC28F3" w14:textId="77777777" w:rsidR="00480667" w:rsidRPr="0050538C" w:rsidRDefault="00480667" w:rsidP="00480667">
      <w:pPr>
        <w:pStyle w:val="Heading1"/>
        <w:jc w:val="center"/>
        <w:rPr>
          <w:rFonts w:ascii="Times New Roman" w:hAnsi="Times New Roman" w:cs="Times New Roman"/>
          <w:b/>
          <w:bCs/>
          <w:color w:val="auto"/>
          <w:sz w:val="24"/>
          <w:szCs w:val="24"/>
          <w:shd w:val="clear" w:color="auto" w:fill="FFFFFF"/>
        </w:rPr>
      </w:pPr>
      <w:bookmarkStart w:id="71" w:name="_Toc149913225"/>
      <w:r w:rsidRPr="0050538C">
        <w:rPr>
          <w:rFonts w:ascii="Times New Roman" w:hAnsi="Times New Roman" w:cs="Times New Roman"/>
          <w:b/>
          <w:bCs/>
          <w:color w:val="auto"/>
          <w:sz w:val="24"/>
          <w:szCs w:val="24"/>
        </w:rPr>
        <w:lastRenderedPageBreak/>
        <w:t>CHAPTER.5. DISCUSSION</w:t>
      </w:r>
      <w:bookmarkEnd w:id="71"/>
    </w:p>
    <w:p w14:paraId="1EEBA6CE" w14:textId="77777777" w:rsidR="00480667" w:rsidRPr="0050538C" w:rsidRDefault="00480667" w:rsidP="00480667">
      <w:pPr>
        <w:pStyle w:val="Heading2"/>
        <w:rPr>
          <w:rFonts w:ascii="Times New Roman" w:hAnsi="Times New Roman" w:cs="Times New Roman"/>
          <w:b/>
          <w:bCs/>
          <w:color w:val="auto"/>
          <w:sz w:val="24"/>
          <w:szCs w:val="24"/>
        </w:rPr>
      </w:pPr>
      <w:bookmarkStart w:id="72" w:name="_Toc149913226"/>
      <w:r w:rsidRPr="0050538C">
        <w:rPr>
          <w:rFonts w:ascii="Times New Roman" w:hAnsi="Times New Roman" w:cs="Times New Roman"/>
          <w:b/>
          <w:bCs/>
          <w:color w:val="auto"/>
          <w:sz w:val="24"/>
          <w:szCs w:val="24"/>
        </w:rPr>
        <w:t>5.1. Discussion</w:t>
      </w:r>
      <w:bookmarkEnd w:id="72"/>
      <w:r w:rsidRPr="0050538C">
        <w:rPr>
          <w:rFonts w:ascii="Times New Roman" w:hAnsi="Times New Roman" w:cs="Times New Roman"/>
          <w:b/>
          <w:bCs/>
          <w:color w:val="auto"/>
          <w:sz w:val="24"/>
          <w:szCs w:val="24"/>
        </w:rPr>
        <w:t xml:space="preserve"> </w:t>
      </w:r>
    </w:p>
    <w:p w14:paraId="516AECF9" w14:textId="77777777" w:rsidR="00480667" w:rsidRPr="0050538C" w:rsidRDefault="00480667" w:rsidP="00480667">
      <w:pPr>
        <w:rPr>
          <w:rFonts w:ascii="Times New Roman" w:hAnsi="Times New Roman" w:cs="Times New Roman"/>
          <w:sz w:val="24"/>
          <w:szCs w:val="24"/>
        </w:rPr>
      </w:pPr>
    </w:p>
    <w:p w14:paraId="0E11F8E2"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It is a challenging endeavour to discover simplified ways that take relevant environmental characteristics into account while accounting for the possibility of problem shifting when considering the life-cycle perspective of reuse of construction materials. On the one hand, larger system boundaries increase the range of issues and perspectives that can be included in environmental evaluations (</w:t>
      </w:r>
      <w:r w:rsidRPr="0050538C">
        <w:rPr>
          <w:rFonts w:ascii="Times New Roman" w:hAnsi="Times New Roman" w:cs="Times New Roman"/>
          <w:sz w:val="24"/>
          <w:szCs w:val="24"/>
          <w:shd w:val="clear" w:color="auto" w:fill="FFFFFF"/>
        </w:rPr>
        <w:t>Ramage et al., 2017</w:t>
      </w:r>
      <w:r w:rsidRPr="0050538C">
        <w:rPr>
          <w:rFonts w:ascii="Times New Roman" w:hAnsi="Times New Roman" w:cs="Times New Roman"/>
          <w:sz w:val="24"/>
          <w:szCs w:val="24"/>
        </w:rPr>
        <w:t>). However, they need more skill and time to complete. Using properly crafted reduced versions of intricate procedures to handle a wider range of evaluation levels could be a productive strategy to address this. For instance, there are a number of ways to do sped-up LCAs, but there isn't a single, universal approach. The use of energy as an indication for environmental stress during a life cycle is one example of a rigorous reduced ecological evaluation that yet manages to cope with the narrow life-cycle level (</w:t>
      </w:r>
      <w:r w:rsidRPr="0050538C">
        <w:rPr>
          <w:rFonts w:ascii="Times New Roman" w:hAnsi="Times New Roman" w:cs="Times New Roman"/>
          <w:sz w:val="24"/>
          <w:szCs w:val="24"/>
          <w:shd w:val="clear" w:color="auto" w:fill="FFFFFF"/>
        </w:rPr>
        <w:t>Ghaffar et al., 2020</w:t>
      </w:r>
      <w:r w:rsidRPr="0050538C">
        <w:rPr>
          <w:rFonts w:ascii="Times New Roman" w:hAnsi="Times New Roman" w:cs="Times New Roman"/>
          <w:sz w:val="24"/>
          <w:szCs w:val="24"/>
        </w:rPr>
        <w:t xml:space="preserve">). The energy index was used to examine the reuse of building materials in </w:t>
      </w:r>
      <w:r w:rsidRPr="0050538C">
        <w:rPr>
          <w:rFonts w:ascii="Times New Roman" w:hAnsi="Times New Roman" w:cs="Times New Roman"/>
          <w:sz w:val="24"/>
          <w:szCs w:val="24"/>
          <w:shd w:val="clear" w:color="auto" w:fill="FFFFFF"/>
        </w:rPr>
        <w:t xml:space="preserve">Ferronato et al. (2022) and </w:t>
      </w:r>
      <w:bookmarkStart w:id="73" w:name="_Hlk149887509"/>
      <w:r w:rsidRPr="0050538C">
        <w:rPr>
          <w:rFonts w:ascii="Times New Roman" w:hAnsi="Times New Roman" w:cs="Times New Roman"/>
          <w:sz w:val="24"/>
          <w:szCs w:val="24"/>
          <w:shd w:val="clear" w:color="auto" w:fill="FFFFFF"/>
        </w:rPr>
        <w:t>Bajpai</w:t>
      </w:r>
      <w:bookmarkEnd w:id="73"/>
      <w:r w:rsidRPr="0050538C">
        <w:rPr>
          <w:rFonts w:ascii="Times New Roman" w:hAnsi="Times New Roman" w:cs="Times New Roman"/>
          <w:sz w:val="24"/>
          <w:szCs w:val="24"/>
          <w:shd w:val="clear" w:color="auto" w:fill="FFFFFF"/>
        </w:rPr>
        <w:t xml:space="preserve"> et al. (2020)</w:t>
      </w:r>
      <w:r w:rsidRPr="0050538C">
        <w:rPr>
          <w:rFonts w:ascii="Times New Roman" w:hAnsi="Times New Roman" w:cs="Times New Roman"/>
          <w:sz w:val="24"/>
          <w:szCs w:val="24"/>
        </w:rPr>
        <w:t>. It has been demonstrated that analysing bulk substances, such as building materials, using an energy indicator is ecologically sufficient. Condensing the environmental impact of construction materials into a single signal was deemed sufficient because the primary benefit of reuse is resource-saving material and energy consumption, which is fairly expressed by a renewable energy indicator (</w:t>
      </w:r>
      <w:r w:rsidRPr="0050538C">
        <w:rPr>
          <w:rFonts w:ascii="Times New Roman" w:hAnsi="Times New Roman" w:cs="Times New Roman"/>
          <w:sz w:val="24"/>
          <w:szCs w:val="24"/>
          <w:shd w:val="clear" w:color="auto" w:fill="FFFFFF"/>
        </w:rPr>
        <w:t>Gálvez-Martos et al., 2018</w:t>
      </w:r>
      <w:r w:rsidRPr="0050538C">
        <w:rPr>
          <w:rFonts w:ascii="Times New Roman" w:hAnsi="Times New Roman" w:cs="Times New Roman"/>
          <w:sz w:val="24"/>
          <w:szCs w:val="24"/>
        </w:rPr>
        <w:t xml:space="preserve">). The boundaries used in the study of </w:t>
      </w:r>
      <w:bookmarkStart w:id="74" w:name="_Hlk149887520"/>
      <w:r w:rsidRPr="0050538C">
        <w:rPr>
          <w:rFonts w:ascii="Times New Roman" w:hAnsi="Times New Roman" w:cs="Times New Roman"/>
          <w:sz w:val="24"/>
          <w:szCs w:val="24"/>
          <w:shd w:val="clear" w:color="auto" w:fill="FFFFFF"/>
        </w:rPr>
        <w:t>Vita</w:t>
      </w:r>
      <w:bookmarkEnd w:id="74"/>
      <w:r w:rsidRPr="0050538C">
        <w:rPr>
          <w:rFonts w:ascii="Times New Roman" w:hAnsi="Times New Roman" w:cs="Times New Roman"/>
          <w:sz w:val="24"/>
          <w:szCs w:val="24"/>
          <w:shd w:val="clear" w:color="auto" w:fill="FFFFFF"/>
        </w:rPr>
        <w:t xml:space="preserve"> et al. (2019)</w:t>
      </w:r>
      <w:r w:rsidRPr="0050538C">
        <w:rPr>
          <w:rFonts w:ascii="Times New Roman" w:hAnsi="Times New Roman" w:cs="Times New Roman"/>
          <w:sz w:val="24"/>
          <w:szCs w:val="24"/>
        </w:rPr>
        <w:t xml:space="preserve"> have methodological ramifications in that processes not included in the study were given full credit for previous environmental pressure. Furthermore, the life cycle of recycled concrete was not given credit for avoiding procedures like virgin concrete manufacture and material disposal in landfills. This indicates that procedures that were advantageous or unfavourable to the reuse scenario were not included. </w:t>
      </w:r>
    </w:p>
    <w:p w14:paraId="6285A335"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Reusing cast-in-situ concrete was definitely more environmentally friendly in terms of energy use and CO2 emissions, according to the computations, although its performance for releasing NOx was comparable to that of the standard case. It was impossible to predict whether the processes that were avoided and the environmental pressures that were removed from the assessment would be comparable given the issue with allocating environmental pressures that occurred 40 years ago. However, this exemplifies how excessively restricted system boundaries impede the analysis of the findings. Furthermore, the research conducted by </w:t>
      </w:r>
      <w:r w:rsidRPr="0050538C">
        <w:rPr>
          <w:rFonts w:ascii="Times New Roman" w:hAnsi="Times New Roman" w:cs="Times New Roman"/>
          <w:sz w:val="24"/>
          <w:szCs w:val="24"/>
          <w:shd w:val="clear" w:color="auto" w:fill="FFFFFF"/>
        </w:rPr>
        <w:t xml:space="preserve">Abu-Jdayil et al. (2021) </w:t>
      </w:r>
      <w:r w:rsidRPr="0050538C">
        <w:rPr>
          <w:rFonts w:ascii="Times New Roman" w:hAnsi="Times New Roman" w:cs="Times New Roman"/>
          <w:sz w:val="24"/>
          <w:szCs w:val="24"/>
        </w:rPr>
        <w:t xml:space="preserve">was expanded upon to encompass the utilization of auxiliary materials mentioned by </w:t>
      </w:r>
      <w:r w:rsidRPr="0050538C">
        <w:rPr>
          <w:rFonts w:ascii="Times New Roman" w:hAnsi="Times New Roman" w:cs="Times New Roman"/>
          <w:sz w:val="24"/>
          <w:szCs w:val="24"/>
          <w:shd w:val="clear" w:color="auto" w:fill="FFFFFF"/>
        </w:rPr>
        <w:t xml:space="preserve">Walubita et al. (2022) </w:t>
      </w:r>
      <w:r w:rsidRPr="0050538C">
        <w:rPr>
          <w:rFonts w:ascii="Times New Roman" w:hAnsi="Times New Roman" w:cs="Times New Roman"/>
          <w:sz w:val="24"/>
          <w:szCs w:val="24"/>
        </w:rPr>
        <w:t xml:space="preserve">attributing process of construction with the help of reused materials. </w:t>
      </w:r>
      <w:r w:rsidRPr="0050538C">
        <w:rPr>
          <w:rFonts w:ascii="Times New Roman" w:hAnsi="Times New Roman" w:cs="Times New Roman"/>
          <w:sz w:val="24"/>
          <w:szCs w:val="24"/>
        </w:rPr>
        <w:lastRenderedPageBreak/>
        <w:t xml:space="preserve">After performing these calculations, it was determined that although reuse saves energy in all scenarios examined, the overall energy savings were less than in the study by </w:t>
      </w:r>
      <w:r w:rsidRPr="0050538C">
        <w:rPr>
          <w:rFonts w:ascii="Times New Roman" w:hAnsi="Times New Roman" w:cs="Times New Roman"/>
          <w:sz w:val="24"/>
          <w:szCs w:val="24"/>
          <w:shd w:val="clear" w:color="auto" w:fill="FFFFFF"/>
        </w:rPr>
        <w:t>Foster (2020)</w:t>
      </w:r>
      <w:r w:rsidRPr="0050538C">
        <w:rPr>
          <w:rFonts w:ascii="Times New Roman" w:hAnsi="Times New Roman" w:cs="Times New Roman"/>
          <w:sz w:val="24"/>
          <w:szCs w:val="24"/>
        </w:rPr>
        <w:t xml:space="preserve">. Therefore, how the system parameters are set has an impact on the study's findings as well as the conclusions made regarding the project's environmental advantages. Which environmental variables are valued most highly has an impact on how environmental performance is interpreted. Although this is primarily a political act, the evaluation of the environment indirectly influences the potential outcome of a scenario requiring management or decision-making by adding or eliminating specific variables. When using life-cycle-adapted tools at the narrower life-cycle level, the site dependence of the local setting level may be lost. This primarily relies on the factors that are discussed and how important they are to the 66 regions as a whole. Nonetheless, some academics are working to incorporate site reliance into the Life Cycle Assessment process. Applying research at several levels is another method to address the lack of site dependency. </w:t>
      </w:r>
      <w:bookmarkStart w:id="75" w:name="_Hlk149886850"/>
      <w:r w:rsidRPr="0050538C">
        <w:rPr>
          <w:rFonts w:ascii="Times New Roman" w:hAnsi="Times New Roman" w:cs="Times New Roman"/>
          <w:sz w:val="24"/>
          <w:szCs w:val="24"/>
        </w:rPr>
        <w:t xml:space="preserve">Study of </w:t>
      </w:r>
      <w:r w:rsidRPr="0050538C">
        <w:rPr>
          <w:rFonts w:ascii="Times New Roman" w:hAnsi="Times New Roman" w:cs="Times New Roman"/>
          <w:sz w:val="24"/>
          <w:szCs w:val="24"/>
          <w:shd w:val="clear" w:color="auto" w:fill="FFFFFF"/>
        </w:rPr>
        <w:t xml:space="preserve">Foster (2020) </w:t>
      </w:r>
      <w:bookmarkEnd w:id="75"/>
      <w:r w:rsidRPr="0050538C">
        <w:rPr>
          <w:rFonts w:ascii="Times New Roman" w:hAnsi="Times New Roman" w:cs="Times New Roman"/>
          <w:sz w:val="24"/>
          <w:szCs w:val="24"/>
        </w:rPr>
        <w:t>is one example, who used a mass-balance strategy in the context of life cycles to address the surroundings at the local level and the relatively small life-cycle level.</w:t>
      </w:r>
    </w:p>
    <w:p w14:paraId="3BD30F6E" w14:textId="77777777" w:rsidR="00480667" w:rsidRPr="0050538C" w:rsidRDefault="00480667" w:rsidP="00480667">
      <w:pPr>
        <w:spacing w:line="360" w:lineRule="auto"/>
        <w:jc w:val="both"/>
        <w:rPr>
          <w:rFonts w:ascii="Times New Roman" w:hAnsi="Times New Roman" w:cs="Times New Roman"/>
          <w:b/>
          <w:bCs/>
          <w:sz w:val="24"/>
          <w:szCs w:val="24"/>
        </w:rPr>
      </w:pPr>
    </w:p>
    <w:p w14:paraId="2B03CD5F" w14:textId="77777777" w:rsidR="00480667" w:rsidRPr="0050538C" w:rsidRDefault="00480667" w:rsidP="00480667">
      <w:pPr>
        <w:spacing w:line="360" w:lineRule="auto"/>
        <w:jc w:val="both"/>
        <w:rPr>
          <w:rFonts w:ascii="Times New Roman" w:hAnsi="Times New Roman" w:cs="Times New Roman"/>
          <w:b/>
          <w:bCs/>
          <w:sz w:val="24"/>
          <w:szCs w:val="24"/>
        </w:rPr>
      </w:pPr>
      <w:r w:rsidRPr="0050538C">
        <w:rPr>
          <w:rFonts w:ascii="Times New Roman" w:hAnsi="Times New Roman" w:cs="Times New Roman"/>
          <w:b/>
          <w:bCs/>
          <w:sz w:val="24"/>
          <w:szCs w:val="24"/>
        </w:rPr>
        <w:t xml:space="preserve">5.2. Environmental Analysis of Selected Materials </w:t>
      </w:r>
    </w:p>
    <w:p w14:paraId="4BEA8A41"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One of the most obvious concerns is energy performance, which can be achieved by boosting building durability, reusing and embodied energy minimization, lowering maintenance, shipping, and formwork costs, and reducing the use of resources from the environment. Interior air quality has a direct impact on human health, comfort, and performance. The possible advantages of improved indoor air quality include lower health risks and higher occupant productivity (</w:t>
      </w:r>
      <w:r w:rsidRPr="0050538C">
        <w:rPr>
          <w:rFonts w:ascii="Times New Roman" w:hAnsi="Times New Roman" w:cs="Times New Roman"/>
          <w:sz w:val="24"/>
          <w:szCs w:val="24"/>
          <w:shd w:val="clear" w:color="auto" w:fill="FFFFFF"/>
        </w:rPr>
        <w:t>Abu-Jdayil</w:t>
      </w:r>
      <w:r w:rsidRPr="0050538C">
        <w:rPr>
          <w:rFonts w:ascii="Times New Roman" w:hAnsi="Times New Roman" w:cs="Times New Roman"/>
          <w:sz w:val="24"/>
          <w:szCs w:val="24"/>
        </w:rPr>
        <w:t xml:space="preserve"> et al., 2021; </w:t>
      </w:r>
      <w:r w:rsidRPr="0050538C">
        <w:rPr>
          <w:rFonts w:ascii="Times New Roman" w:hAnsi="Times New Roman" w:cs="Times New Roman"/>
          <w:sz w:val="24"/>
          <w:szCs w:val="24"/>
          <w:shd w:val="clear" w:color="auto" w:fill="FFFFFF"/>
        </w:rPr>
        <w:t xml:space="preserve">Ramage et al., 2017 and Walubita et al., 2022). </w:t>
      </w:r>
    </w:p>
    <w:p w14:paraId="7FC6CA28"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construction materials that produce the most volatile organic compounds are known to release odours, discharge hazardous chemicals, pollute the environment, and require ventilation.  From the analysis, it has been observed that using reused materials, greenhouse gas emissions can be avoided, waste can be removed, and air, noise, and visual pollution can be reduced to improve environmental health. If the preservation of natural resource production is disregarded along with environmental contamination, since it is possible for human life to be in risk</w:t>
      </w:r>
      <w:r w:rsidRPr="0050538C">
        <w:rPr>
          <w:rFonts w:ascii="Times New Roman" w:hAnsi="Times New Roman" w:cs="Times New Roman"/>
          <w:sz w:val="24"/>
          <w:szCs w:val="24"/>
          <w:shd w:val="clear" w:color="auto" w:fill="FFFFFF"/>
        </w:rPr>
        <w:t xml:space="preserve"> (Bajpai</w:t>
      </w:r>
      <w:r w:rsidRPr="0050538C">
        <w:rPr>
          <w:rFonts w:ascii="Times New Roman" w:hAnsi="Times New Roman" w:cs="Times New Roman"/>
          <w:sz w:val="24"/>
          <w:szCs w:val="24"/>
        </w:rPr>
        <w:t xml:space="preserve"> et al., 2020). The entire amount of building supplies in the stock of structures that already existed as well as the waste generated in 1996 during construction and destruction were surveyed. About 12% of the material in the stock of current structures was made up of </w:t>
      </w:r>
      <w:r w:rsidRPr="0050538C">
        <w:rPr>
          <w:rFonts w:ascii="Times New Roman" w:hAnsi="Times New Roman" w:cs="Times New Roman"/>
          <w:sz w:val="24"/>
          <w:szCs w:val="24"/>
        </w:rPr>
        <w:lastRenderedPageBreak/>
        <w:t>clay bricks. Clay bricks made up roughly 7% of the garbage in terms of weight. It is challenging to determine how much of this brick made of clay can be recycled, though. Brick from chimney is the only type that cannot often be reused the quality of mortar used during laying mostly determines whether bricks may be reused. Reuse is now impossible when using hard lime-cement mortar (</w:t>
      </w:r>
      <w:r w:rsidRPr="0050538C">
        <w:rPr>
          <w:rFonts w:ascii="Times New Roman" w:hAnsi="Times New Roman" w:cs="Times New Roman"/>
          <w:sz w:val="24"/>
          <w:szCs w:val="24"/>
          <w:shd w:val="clear" w:color="auto" w:fill="FFFFFF"/>
        </w:rPr>
        <w:t>Loureiro</w:t>
      </w:r>
      <w:r w:rsidRPr="0050538C">
        <w:rPr>
          <w:rFonts w:ascii="Times New Roman" w:hAnsi="Times New Roman" w:cs="Times New Roman"/>
          <w:sz w:val="24"/>
          <w:szCs w:val="24"/>
        </w:rPr>
        <w:t xml:space="preserve"> et al., 2022).  In several parts of Sweden, the usage of lime-cement mortar dates back to different periods. As of right now, no research has been done to determine how many of the current structures have bricks set with lime mortar or other relatively poor mortar grades. Generally speaking, though, it can be stated that the amount of reusable brick indicates a slow decline in the stock of buildings constructed following World War II. In addition, the percentage of brick used in these structures is likewise declining. As a result, useable clay bricks from the current building stock will eventually become a less plentiful "resource” </w:t>
      </w:r>
      <w:bookmarkStart w:id="76" w:name="_Hlk149809839"/>
      <w:r w:rsidRPr="0050538C">
        <w:rPr>
          <w:rFonts w:ascii="Times New Roman" w:hAnsi="Times New Roman" w:cs="Times New Roman"/>
          <w:sz w:val="24"/>
          <w:szCs w:val="24"/>
        </w:rPr>
        <w:t>(</w:t>
      </w:r>
      <w:r w:rsidRPr="0050538C">
        <w:rPr>
          <w:rFonts w:ascii="Times New Roman" w:hAnsi="Times New Roman" w:cs="Times New Roman"/>
          <w:sz w:val="24"/>
          <w:szCs w:val="24"/>
          <w:shd w:val="clear" w:color="auto" w:fill="FFFFFF"/>
        </w:rPr>
        <w:t>Zhang</w:t>
      </w:r>
      <w:bookmarkEnd w:id="76"/>
      <w:r w:rsidRPr="0050538C">
        <w:rPr>
          <w:rFonts w:ascii="Times New Roman" w:hAnsi="Times New Roman" w:cs="Times New Roman"/>
          <w:sz w:val="24"/>
          <w:szCs w:val="24"/>
          <w:shd w:val="clear" w:color="auto" w:fill="FFFFFF"/>
        </w:rPr>
        <w:t xml:space="preserve"> et al., 2020). </w:t>
      </w:r>
    </w:p>
    <w:p w14:paraId="08466BFA"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 large percentage of recycled materials were used in the construction. That being said, this may have been raised. These days, lightweight aggregate blocks and lightweight concrete cannot be reused, although they may be if different kinds of mortar were applied. Additionally, all of the building materials could have been recycled. This might be regarded as the construction process’s maximal utilisation of reusable materials. In terms of energy use, the outcome would have been roughly 55% of what it would have been in the event of all new.</w:t>
      </w:r>
    </w:p>
    <w:p w14:paraId="10A90AA6"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above mentioned (chapter.4.) buildings made extensive use of recycled materials. Having said that, this might have been brought up. Pre-cast concrete and woods can be reused these days and they could be if new types of mortar were utilized. Furthermore, reusing of all of the building materials would have been possible. This could be considered the best use of reusable resources. The result would have been about 55% of what it would has been if everything had been new with regard to of energy use.</w:t>
      </w:r>
    </w:p>
    <w:p w14:paraId="400A37F4" w14:textId="77777777" w:rsidR="00480667" w:rsidRPr="0050538C" w:rsidRDefault="00480667" w:rsidP="00480667">
      <w:pPr>
        <w:spacing w:line="360" w:lineRule="auto"/>
        <w:jc w:val="both"/>
        <w:rPr>
          <w:rFonts w:ascii="Times New Roman" w:hAnsi="Times New Roman" w:cs="Times New Roman"/>
          <w:sz w:val="24"/>
          <w:szCs w:val="24"/>
        </w:rPr>
      </w:pPr>
    </w:p>
    <w:p w14:paraId="63116793" w14:textId="77777777" w:rsidR="00480667" w:rsidRPr="0050538C" w:rsidRDefault="00480667" w:rsidP="00480667">
      <w:pPr>
        <w:pStyle w:val="Heading3"/>
        <w:rPr>
          <w:rFonts w:ascii="Times New Roman" w:hAnsi="Times New Roman" w:cs="Times New Roman"/>
          <w:b/>
          <w:bCs/>
          <w:color w:val="auto"/>
        </w:rPr>
      </w:pPr>
      <w:bookmarkStart w:id="77" w:name="_Toc149913227"/>
      <w:r w:rsidRPr="0050538C">
        <w:rPr>
          <w:rFonts w:ascii="Times New Roman" w:hAnsi="Times New Roman" w:cs="Times New Roman"/>
          <w:b/>
          <w:bCs/>
          <w:color w:val="auto"/>
        </w:rPr>
        <w:t>5.1.1 Embedded Use Value</w:t>
      </w:r>
      <w:bookmarkEnd w:id="77"/>
      <w:r w:rsidRPr="0050538C">
        <w:rPr>
          <w:rFonts w:ascii="Times New Roman" w:hAnsi="Times New Roman" w:cs="Times New Roman"/>
          <w:b/>
          <w:bCs/>
          <w:color w:val="auto"/>
        </w:rPr>
        <w:t xml:space="preserve"> </w:t>
      </w:r>
    </w:p>
    <w:p w14:paraId="2DBF6DBC" w14:textId="77777777" w:rsidR="00480667" w:rsidRPr="0050538C" w:rsidRDefault="00480667" w:rsidP="00480667">
      <w:pPr>
        <w:rPr>
          <w:rFonts w:ascii="Times New Roman" w:hAnsi="Times New Roman" w:cs="Times New Roman"/>
          <w:sz w:val="24"/>
          <w:szCs w:val="24"/>
        </w:rPr>
      </w:pPr>
    </w:p>
    <w:p w14:paraId="23E19E63"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ratio attained between the product's embedded potential and its actual function determines how effective a reuse plan is as well. Reusing a high-performance column from a high-rise building, for example, in a low-rise, lightweight structure like a shed for the garden loses the column's structural capacity and might make it less useful for future reuse (</w:t>
      </w:r>
      <w:r w:rsidRPr="0050538C">
        <w:rPr>
          <w:rFonts w:ascii="Times New Roman" w:hAnsi="Times New Roman" w:cs="Times New Roman"/>
          <w:sz w:val="24"/>
          <w:szCs w:val="24"/>
          <w:shd w:val="clear" w:color="auto" w:fill="FFFFFF"/>
        </w:rPr>
        <w:t xml:space="preserve">Sadrolodabaee et al., 2022). </w:t>
      </w:r>
      <w:r w:rsidRPr="0050538C">
        <w:rPr>
          <w:rFonts w:ascii="Times New Roman" w:hAnsi="Times New Roman" w:cs="Times New Roman"/>
          <w:sz w:val="24"/>
          <w:szCs w:val="24"/>
        </w:rPr>
        <w:t xml:space="preserve">Stated differently, the evaluation should also take into account the reuse of the </w:t>
      </w:r>
      <w:r w:rsidRPr="0050538C">
        <w:rPr>
          <w:rFonts w:ascii="Times New Roman" w:hAnsi="Times New Roman" w:cs="Times New Roman"/>
          <w:sz w:val="24"/>
          <w:szCs w:val="24"/>
        </w:rPr>
        <w:lastRenderedPageBreak/>
        <w:t>component, or how much of the attributes that are inherent in the component are employed prudently. The effectiveness of a reuse plan is also determined by the ratio that is achieved between the embedded capacity of the good and its actual functionality. For example, reusing an outstanding performance column from a high-rise building in a lightweight, low-rise structure like a garden shed reduces the column's structural capability and may render it less suitable for further reuse (</w:t>
      </w:r>
      <w:r w:rsidRPr="0050538C">
        <w:rPr>
          <w:rFonts w:ascii="Times New Roman" w:hAnsi="Times New Roman" w:cs="Times New Roman"/>
          <w:sz w:val="24"/>
          <w:szCs w:val="24"/>
          <w:shd w:val="clear" w:color="auto" w:fill="FFFFFF"/>
        </w:rPr>
        <w:t>Ali et al., 2022).</w:t>
      </w:r>
      <w:r w:rsidRPr="0050538C">
        <w:rPr>
          <w:rFonts w:ascii="Times New Roman" w:hAnsi="Times New Roman" w:cs="Times New Roman"/>
          <w:sz w:val="24"/>
          <w:szCs w:val="24"/>
        </w:rPr>
        <w:t xml:space="preserve"> Put another way, the review should also consider the component's reuse, or the extent to which the component's intrinsic qualities are used responsibly. Versatility and other important reuse factors are difficult to quantify. Despite their importance, they are frequently ignored or handled inadequately because there are currently insufficient pertinent metrics available. Here, "versatility" refers to a product's capacity to perform tasks other than those for which it was intended or utilized in the past (</w:t>
      </w:r>
      <w:r w:rsidRPr="0050538C">
        <w:rPr>
          <w:rFonts w:ascii="Times New Roman" w:hAnsi="Times New Roman" w:cs="Times New Roman"/>
          <w:sz w:val="24"/>
          <w:szCs w:val="24"/>
          <w:shd w:val="clear" w:color="auto" w:fill="FFFFFF"/>
        </w:rPr>
        <w:t>Qin and Kaewunruen, 2022)</w:t>
      </w:r>
      <w:r w:rsidRPr="0050538C">
        <w:rPr>
          <w:rFonts w:ascii="Times New Roman" w:hAnsi="Times New Roman" w:cs="Times New Roman"/>
          <w:sz w:val="24"/>
          <w:szCs w:val="24"/>
        </w:rPr>
        <w:t>. For example, it details if a highway girder may be repurposed as a beam in a building, as demonstrated in the Big Dig House, or if the structure of a gas pipeline can be recycled to create a truss, as demonstrated in the London Olympic Stadium. As of right now, no technique exists that aims to measure flexibility independent of the type of product. A reusable product's lifespan and cycle count quickly diminish if the new applications it is put to have a significant risk of harm. Furthermore, reusing products affects how long other products in the framework last to function (</w:t>
      </w:r>
      <w:r w:rsidRPr="0050538C">
        <w:rPr>
          <w:rFonts w:ascii="Times New Roman" w:hAnsi="Times New Roman" w:cs="Times New Roman"/>
          <w:sz w:val="24"/>
          <w:szCs w:val="24"/>
          <w:shd w:val="clear" w:color="auto" w:fill="FFFFFF"/>
        </w:rPr>
        <w:t>Nodehi and Taghvaee, 2022).</w:t>
      </w:r>
    </w:p>
    <w:p w14:paraId="218614AF"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 large percentage of recycled materials were used in the Recycled House. That being said, this may have been raised. Although they are rarely employed again today, lightweight stone blocks and lightweight cement may be if different kinds of mortar were applied. Additionally, all of the building materials could have been recycled. This might be regarded as the Recycled House's maximal utilization of repurposed materials. Subsequently, the energy use would have been roughly 55% of what it was in the case of everything being new (</w:t>
      </w:r>
      <w:r w:rsidRPr="0050538C">
        <w:rPr>
          <w:rFonts w:ascii="Times New Roman" w:hAnsi="Times New Roman" w:cs="Times New Roman"/>
          <w:sz w:val="24"/>
          <w:szCs w:val="24"/>
          <w:shd w:val="clear" w:color="auto" w:fill="FFFFFF"/>
        </w:rPr>
        <w:t xml:space="preserve">Knoth et al., 2022). </w:t>
      </w:r>
      <w:r w:rsidRPr="0050538C">
        <w:rPr>
          <w:rFonts w:ascii="Times New Roman" w:hAnsi="Times New Roman" w:cs="Times New Roman"/>
          <w:sz w:val="24"/>
          <w:szCs w:val="24"/>
        </w:rPr>
        <w:t xml:space="preserve"> In this study, the advantages of employing reused components are contrasted with those of using "new" materials. Here, "new components" refers to the current standard of production for building supplies. Yet, it is obvious that the results of a related study in such an instance would show less difference among the case Rec and the case All new if it is assumed that both reuses in the manufacturing process and the use of recycled resources in buildings become the norm in the future. Therefore, it follows that the environmental impact of a construction using more reused materials relative to a "general structure" will always rely on the amount of reused material used in the overall structure (</w:t>
      </w:r>
      <w:r w:rsidRPr="0050538C">
        <w:rPr>
          <w:rFonts w:ascii="Times New Roman" w:hAnsi="Times New Roman" w:cs="Times New Roman"/>
          <w:sz w:val="24"/>
          <w:szCs w:val="24"/>
          <w:shd w:val="clear" w:color="auto" w:fill="FFFFFF"/>
        </w:rPr>
        <w:t xml:space="preserve">Braulio-Gonzalo et al., 2022). </w:t>
      </w:r>
    </w:p>
    <w:p w14:paraId="2FD43373" w14:textId="77777777" w:rsidR="00480667" w:rsidRPr="0050538C" w:rsidRDefault="00480667" w:rsidP="00480667">
      <w:pPr>
        <w:spacing w:line="360" w:lineRule="auto"/>
        <w:jc w:val="both"/>
        <w:rPr>
          <w:rFonts w:ascii="Times New Roman" w:hAnsi="Times New Roman" w:cs="Times New Roman"/>
          <w:sz w:val="24"/>
          <w:szCs w:val="24"/>
        </w:rPr>
      </w:pPr>
    </w:p>
    <w:p w14:paraId="7AC68D41" w14:textId="77777777" w:rsidR="00480667" w:rsidRPr="0050538C" w:rsidRDefault="00480667" w:rsidP="00480667">
      <w:pPr>
        <w:pStyle w:val="Heading1"/>
        <w:jc w:val="center"/>
        <w:rPr>
          <w:rFonts w:ascii="Times New Roman" w:hAnsi="Times New Roman" w:cs="Times New Roman"/>
          <w:b/>
          <w:bCs/>
          <w:color w:val="auto"/>
          <w:sz w:val="24"/>
          <w:szCs w:val="24"/>
        </w:rPr>
      </w:pPr>
      <w:bookmarkStart w:id="78" w:name="_Toc149913228"/>
      <w:r w:rsidRPr="0050538C">
        <w:rPr>
          <w:rFonts w:ascii="Times New Roman" w:hAnsi="Times New Roman" w:cs="Times New Roman"/>
          <w:b/>
          <w:bCs/>
          <w:color w:val="auto"/>
          <w:sz w:val="24"/>
          <w:szCs w:val="24"/>
        </w:rPr>
        <w:lastRenderedPageBreak/>
        <w:t>CHAPTER.6. CONCUSION AND RECOMMENDTAIONS</w:t>
      </w:r>
      <w:bookmarkEnd w:id="78"/>
    </w:p>
    <w:p w14:paraId="2E25E595" w14:textId="77777777" w:rsidR="00480667" w:rsidRPr="0050538C" w:rsidRDefault="00480667" w:rsidP="00480667">
      <w:pPr>
        <w:rPr>
          <w:rFonts w:ascii="Times New Roman" w:hAnsi="Times New Roman" w:cs="Times New Roman"/>
          <w:sz w:val="24"/>
          <w:szCs w:val="24"/>
        </w:rPr>
      </w:pPr>
    </w:p>
    <w:p w14:paraId="7EE55F6A" w14:textId="77777777" w:rsidR="00480667" w:rsidRPr="0050538C" w:rsidRDefault="00480667" w:rsidP="00480667">
      <w:pPr>
        <w:pStyle w:val="Heading2"/>
        <w:rPr>
          <w:rFonts w:ascii="Times New Roman" w:hAnsi="Times New Roman" w:cs="Times New Roman"/>
          <w:b/>
          <w:bCs/>
          <w:color w:val="auto"/>
          <w:sz w:val="24"/>
          <w:szCs w:val="24"/>
        </w:rPr>
      </w:pPr>
      <w:bookmarkStart w:id="79" w:name="_Toc149913229"/>
      <w:r w:rsidRPr="0050538C">
        <w:rPr>
          <w:rFonts w:ascii="Times New Roman" w:hAnsi="Times New Roman" w:cs="Times New Roman"/>
          <w:b/>
          <w:bCs/>
          <w:color w:val="auto"/>
          <w:sz w:val="24"/>
          <w:szCs w:val="24"/>
        </w:rPr>
        <w:t>6.1. Conclusion</w:t>
      </w:r>
      <w:bookmarkEnd w:id="79"/>
      <w:r w:rsidRPr="0050538C">
        <w:rPr>
          <w:rFonts w:ascii="Times New Roman" w:hAnsi="Times New Roman" w:cs="Times New Roman"/>
          <w:b/>
          <w:bCs/>
          <w:color w:val="auto"/>
          <w:sz w:val="24"/>
          <w:szCs w:val="24"/>
        </w:rPr>
        <w:t xml:space="preserve"> </w:t>
      </w:r>
    </w:p>
    <w:p w14:paraId="408A60FD" w14:textId="77777777" w:rsidR="00480667" w:rsidRPr="0050538C" w:rsidRDefault="00480667" w:rsidP="00480667">
      <w:pPr>
        <w:rPr>
          <w:rFonts w:ascii="Times New Roman" w:hAnsi="Times New Roman" w:cs="Times New Roman"/>
          <w:sz w:val="24"/>
          <w:szCs w:val="24"/>
        </w:rPr>
      </w:pPr>
    </w:p>
    <w:p w14:paraId="17B7B0F0"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level of practice and knowledge regarding the piecewise reuse of wood, steel, precast concrete and bricks are critically reviewed in this research. The study creates an original database of 12 reused case studies in Europe and the USA, of which 8 are built initiatives, through a thorough literature and case-study collection. The following findings are drawn from the case study and record collecting analyses:</w:t>
      </w:r>
    </w:p>
    <w:p w14:paraId="7D0BB7A8" w14:textId="77777777" w:rsidR="00480667" w:rsidRPr="0050538C" w:rsidRDefault="00480667" w:rsidP="00480667">
      <w:pPr>
        <w:spacing w:line="360" w:lineRule="auto"/>
        <w:jc w:val="both"/>
        <w:rPr>
          <w:rFonts w:ascii="Times New Roman" w:hAnsi="Times New Roman" w:cs="Times New Roman"/>
          <w:sz w:val="24"/>
          <w:szCs w:val="24"/>
        </w:rPr>
      </w:pPr>
    </w:p>
    <w:p w14:paraId="4591AB61" w14:textId="77777777" w:rsidR="00480667" w:rsidRPr="0050538C" w:rsidRDefault="00480667" w:rsidP="00480667">
      <w:pPr>
        <w:pStyle w:val="ListParagraph"/>
        <w:numPr>
          <w:ilvl w:val="0"/>
          <w:numId w:val="10"/>
        </w:num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Reuse technique has a lengthy history of use. It has changed over time, with a pioneering phase that primarily took place in Northern Europe from 1967 to the end of the 1990s. Since 2011, there has been an increase in interest in concrete reuse, both in terms of the kind of components that are reused and in terms of geographic scope. Reusing parts taken out of cast-in-place concrete constructions has drawn attention lately. Although a wide range of constructed projects have been discovered, the full potential application area of reuse is still unknown. Notably, it has been noted that there are not many applications that include the equivalent or upcycling reuse of parts taken out of cast-in-place concrete constructions.</w:t>
      </w:r>
    </w:p>
    <w:p w14:paraId="0068921E" w14:textId="77777777" w:rsidR="00480667" w:rsidRPr="0050538C" w:rsidRDefault="00480667" w:rsidP="00480667">
      <w:pPr>
        <w:pStyle w:val="ListParagraph"/>
        <w:spacing w:line="360" w:lineRule="auto"/>
        <w:ind w:left="360"/>
        <w:jc w:val="both"/>
        <w:rPr>
          <w:rFonts w:ascii="Times New Roman" w:hAnsi="Times New Roman" w:cs="Times New Roman"/>
          <w:sz w:val="24"/>
          <w:szCs w:val="24"/>
        </w:rPr>
      </w:pPr>
    </w:p>
    <w:p w14:paraId="46BA2F43" w14:textId="77777777" w:rsidR="00480667" w:rsidRPr="0050538C" w:rsidRDefault="00480667" w:rsidP="00480667">
      <w:pPr>
        <w:pStyle w:val="ListParagraph"/>
        <w:numPr>
          <w:ilvl w:val="0"/>
          <w:numId w:val="10"/>
        </w:num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Reuse of bricks, steel, precast-concrete, and wood, greater adoption is strongly supported by the availability of tools, appropriate discarded used pieces, affordable and environmentally good antecedents, as well as the value placed on new and traditional crafts.  It has found out that application of reuse materials in construction have a positive impact on environment and human health. Considering the various impact factors, reused materials found to be less responsible for energy consumption and natural resource usage. </w:t>
      </w:r>
    </w:p>
    <w:p w14:paraId="6FB3F72E" w14:textId="77777777" w:rsidR="00480667" w:rsidRPr="0050538C" w:rsidRDefault="00480667" w:rsidP="00480667">
      <w:pPr>
        <w:spacing w:line="360" w:lineRule="auto"/>
        <w:jc w:val="both"/>
        <w:rPr>
          <w:rFonts w:ascii="Times New Roman" w:hAnsi="Times New Roman" w:cs="Times New Roman"/>
          <w:sz w:val="24"/>
          <w:szCs w:val="24"/>
        </w:rPr>
      </w:pPr>
    </w:p>
    <w:p w14:paraId="661E7FC4" w14:textId="77777777" w:rsidR="00480667" w:rsidRPr="0050538C" w:rsidRDefault="00480667" w:rsidP="00480667">
      <w:pPr>
        <w:pStyle w:val="ListParagraph"/>
        <w:numPr>
          <w:ilvl w:val="0"/>
          <w:numId w:val="10"/>
        </w:num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Though, concerns about synchronization, project management, and technical aspects are among the factors preventing a wider application of reused materials.  Nonetheless, a lot of restrictions are seen as temporary obstacles that may be overcome and are anticipated to disappear given the right circumstances. The authors envision a more sustainable and circular construction industry through the reuse of urban-mixed concrete pieces. To this end, they call for improved knowledge of the constructed stock and historical methods of </w:t>
      </w:r>
      <w:r w:rsidRPr="0050538C">
        <w:rPr>
          <w:rFonts w:ascii="Times New Roman" w:hAnsi="Times New Roman" w:cs="Times New Roman"/>
          <w:sz w:val="24"/>
          <w:szCs w:val="24"/>
        </w:rPr>
        <w:lastRenderedPageBreak/>
        <w:t>construction, an expansion of the set of tested design solutions and conjunction specifics, and a decompartmentalization of areas of knowledge.</w:t>
      </w:r>
    </w:p>
    <w:p w14:paraId="3B187D50" w14:textId="77777777" w:rsidR="00480667" w:rsidRPr="0050538C" w:rsidRDefault="00480667" w:rsidP="00480667">
      <w:pPr>
        <w:pStyle w:val="ListParagraph"/>
        <w:rPr>
          <w:rFonts w:ascii="Times New Roman" w:hAnsi="Times New Roman" w:cs="Times New Roman"/>
          <w:sz w:val="24"/>
          <w:szCs w:val="24"/>
        </w:rPr>
      </w:pPr>
    </w:p>
    <w:p w14:paraId="358C2A40" w14:textId="77777777" w:rsidR="00480667" w:rsidRPr="0050538C" w:rsidRDefault="00480667" w:rsidP="00480667">
      <w:pPr>
        <w:pStyle w:val="ListParagraph"/>
        <w:numPr>
          <w:ilvl w:val="0"/>
          <w:numId w:val="10"/>
        </w:num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Reusing fragments in fresh building is not a method that is commonly mentioned in the literature that outlines the paths that can be taken towards cleaner construction today. The authors of this paper provide evidence that there is enough prior research and practice to encourage scholars, legislators, and practitioners to adopt a more progressive perspective.</w:t>
      </w:r>
    </w:p>
    <w:p w14:paraId="5D3D97F7" w14:textId="77777777" w:rsidR="00480667" w:rsidRPr="0050538C" w:rsidRDefault="00480667" w:rsidP="00480667">
      <w:pPr>
        <w:pStyle w:val="ListParagraph"/>
        <w:rPr>
          <w:rFonts w:ascii="Times New Roman" w:hAnsi="Times New Roman" w:cs="Times New Roman"/>
          <w:sz w:val="24"/>
          <w:szCs w:val="24"/>
        </w:rPr>
      </w:pPr>
    </w:p>
    <w:p w14:paraId="1EFBB9D8" w14:textId="77777777" w:rsidR="00480667" w:rsidRPr="0050538C" w:rsidRDefault="00480667" w:rsidP="00480667">
      <w:pPr>
        <w:pStyle w:val="Heading2"/>
        <w:rPr>
          <w:rFonts w:ascii="Times New Roman" w:hAnsi="Times New Roman" w:cs="Times New Roman"/>
          <w:b/>
          <w:bCs/>
          <w:color w:val="auto"/>
          <w:sz w:val="24"/>
          <w:szCs w:val="24"/>
        </w:rPr>
      </w:pPr>
      <w:bookmarkStart w:id="80" w:name="_Toc149913230"/>
      <w:r w:rsidRPr="0050538C">
        <w:rPr>
          <w:rFonts w:ascii="Times New Roman" w:hAnsi="Times New Roman" w:cs="Times New Roman"/>
          <w:b/>
          <w:bCs/>
          <w:color w:val="auto"/>
          <w:sz w:val="24"/>
          <w:szCs w:val="24"/>
        </w:rPr>
        <w:t>6.2. Limitations of the Study</w:t>
      </w:r>
      <w:bookmarkEnd w:id="80"/>
      <w:r w:rsidRPr="0050538C">
        <w:rPr>
          <w:rFonts w:ascii="Times New Roman" w:hAnsi="Times New Roman" w:cs="Times New Roman"/>
          <w:b/>
          <w:bCs/>
          <w:color w:val="auto"/>
          <w:sz w:val="24"/>
          <w:szCs w:val="24"/>
        </w:rPr>
        <w:t xml:space="preserve"> </w:t>
      </w:r>
    </w:p>
    <w:p w14:paraId="3A156883" w14:textId="77777777" w:rsidR="00480667" w:rsidRPr="0050538C" w:rsidRDefault="00480667" w:rsidP="00480667">
      <w:pPr>
        <w:spacing w:line="360" w:lineRule="auto"/>
        <w:rPr>
          <w:rFonts w:ascii="Times New Roman" w:hAnsi="Times New Roman" w:cs="Times New Roman"/>
          <w:sz w:val="24"/>
          <w:szCs w:val="24"/>
        </w:rPr>
      </w:pPr>
    </w:p>
    <w:p w14:paraId="625749A5"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There are some limitations to this study and its findings. First off, the records included in this study are only those that are publicly accessible and published. The case-study corpus is most likely not exhaustive because there are likely many more unpublished applications of reused materials out there. Furthermore, a record search has been conducted on a specified range of databases, initially limited to English and subsequently expanded to include the native tongues of recognized case investigations and study projects. Only case studies from Europe and the USA have been found; there may be a lack of case reports from other regions. By expanding the query used for searching to other record systems and search languages, the process could be further enhanced. Secondly, the amount and calibre of data differ throughout case studies. The effects of a particular case study on the outcomes, design process, and sustainability domain are frequently inadequately documented and lack specificity. There is a chance to get fresh, unique data on the case studies, however archive problems and lack of documentation present obstacles. Third, the paper examines the reused approach in a number of North American and European nations. While there may be commonalities between these constructed environments and economic contexts, national differences exist in terms of environmental implications, construction standards, risk management culture, and economic specifics (</w:t>
      </w:r>
      <w:r w:rsidRPr="0050538C">
        <w:rPr>
          <w:rFonts w:ascii="Times New Roman" w:hAnsi="Times New Roman" w:cs="Times New Roman"/>
          <w:sz w:val="24"/>
          <w:szCs w:val="24"/>
          <w:shd w:val="clear" w:color="auto" w:fill="FFFFFF"/>
        </w:rPr>
        <w:t>Mortadi and El Fadar, 2022)</w:t>
      </w:r>
      <w:r w:rsidRPr="0050538C">
        <w:rPr>
          <w:rFonts w:ascii="Times New Roman" w:hAnsi="Times New Roman" w:cs="Times New Roman"/>
          <w:sz w:val="24"/>
          <w:szCs w:val="24"/>
        </w:rPr>
        <w:t>. Subsequent research endeavours may broaden the examination by delving deeper into individual nations. Eventually, an iterative comparing procedure produces the identification of trends and eras. The further identification of recent or historical case studies may point to the inclusion of a trend or the discussion of an existing trend's limit. Furthermore, the stated limiting and supportive factors of reused materials will undoubtedly change in light of new information, applications, and altered socioeconomic circumstances.</w:t>
      </w:r>
    </w:p>
    <w:p w14:paraId="49B139E6" w14:textId="77777777" w:rsidR="00480667" w:rsidRPr="0050538C" w:rsidRDefault="00480667" w:rsidP="00480667">
      <w:pPr>
        <w:rPr>
          <w:rFonts w:ascii="Times New Roman" w:hAnsi="Times New Roman" w:cs="Times New Roman"/>
          <w:sz w:val="24"/>
          <w:szCs w:val="24"/>
        </w:rPr>
      </w:pPr>
    </w:p>
    <w:p w14:paraId="2F07092B" w14:textId="77777777" w:rsidR="00480667" w:rsidRPr="0050538C" w:rsidRDefault="00480667" w:rsidP="00480667">
      <w:pPr>
        <w:pStyle w:val="ListParagraph"/>
        <w:rPr>
          <w:rFonts w:ascii="Times New Roman" w:hAnsi="Times New Roman" w:cs="Times New Roman"/>
          <w:sz w:val="24"/>
          <w:szCs w:val="24"/>
        </w:rPr>
      </w:pPr>
    </w:p>
    <w:p w14:paraId="3BF77D94" w14:textId="77777777" w:rsidR="00480667" w:rsidRPr="0050538C" w:rsidRDefault="00480667" w:rsidP="00480667">
      <w:pPr>
        <w:pStyle w:val="Heading2"/>
        <w:rPr>
          <w:rFonts w:ascii="Times New Roman" w:hAnsi="Times New Roman" w:cs="Times New Roman"/>
          <w:b/>
          <w:bCs/>
          <w:color w:val="auto"/>
          <w:sz w:val="24"/>
          <w:szCs w:val="24"/>
        </w:rPr>
      </w:pPr>
      <w:bookmarkStart w:id="81" w:name="_Toc149913231"/>
      <w:r w:rsidRPr="0050538C">
        <w:rPr>
          <w:rFonts w:ascii="Times New Roman" w:hAnsi="Times New Roman" w:cs="Times New Roman"/>
          <w:b/>
          <w:bCs/>
          <w:color w:val="auto"/>
          <w:sz w:val="24"/>
          <w:szCs w:val="24"/>
        </w:rPr>
        <w:t>6.3. Future Research</w:t>
      </w:r>
      <w:bookmarkEnd w:id="81"/>
      <w:r w:rsidRPr="0050538C">
        <w:rPr>
          <w:rFonts w:ascii="Times New Roman" w:hAnsi="Times New Roman" w:cs="Times New Roman"/>
          <w:b/>
          <w:bCs/>
          <w:color w:val="auto"/>
          <w:sz w:val="24"/>
          <w:szCs w:val="24"/>
        </w:rPr>
        <w:t xml:space="preserve"> </w:t>
      </w:r>
    </w:p>
    <w:p w14:paraId="20997122" w14:textId="77777777" w:rsidR="00480667" w:rsidRPr="0050538C" w:rsidRDefault="00480667" w:rsidP="00480667">
      <w:pPr>
        <w:spacing w:line="360" w:lineRule="auto"/>
        <w:jc w:val="both"/>
        <w:rPr>
          <w:rFonts w:ascii="Times New Roman" w:hAnsi="Times New Roman" w:cs="Times New Roman"/>
          <w:sz w:val="24"/>
          <w:szCs w:val="24"/>
        </w:rPr>
      </w:pPr>
    </w:p>
    <w:p w14:paraId="3995DB13"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Three areas are highlighted as future study priorities in order to further develop reuse as a sustainable construction method and enhance its possibilities: decompartmentalization of knowledge; understanding of previous construction techniques; and a larger set of demonstrated solutions for design, including reconnecting details (</w:t>
      </w:r>
      <w:r w:rsidRPr="0050538C">
        <w:rPr>
          <w:rFonts w:ascii="Times New Roman" w:hAnsi="Times New Roman" w:cs="Times New Roman"/>
          <w:sz w:val="24"/>
          <w:szCs w:val="24"/>
          <w:shd w:val="clear" w:color="auto" w:fill="FFFFFF"/>
        </w:rPr>
        <w:t>Mortadi and El Fadar, 2022).</w:t>
      </w:r>
    </w:p>
    <w:p w14:paraId="45024ACF"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Predicting both the amount and the quality of wasted fragments could be made more accurate with knowledge about past construction procedures and the built stock of concrete. Based on supply forecasts, designers can begin preliminary sketches of projects more rapidly when they have a thorough understanding of how buildings were constructed over the previous 50 years, what materials they are comprised of, and how to disassemble them. Additionally, it would lessen the reliance of design procedures on the unpredictability of material supply, which would cut additional expenses. To increase the number of tried-and-true techniques and contribute to a clearer definition of the field of architecture and engineering prospects of reuse of construction materials, more study on design approaches is required</w:t>
      </w:r>
      <w:r w:rsidRPr="0050538C">
        <w:rPr>
          <w:rFonts w:ascii="Times New Roman" w:hAnsi="Times New Roman" w:cs="Times New Roman"/>
          <w:sz w:val="24"/>
          <w:szCs w:val="24"/>
          <w:shd w:val="clear" w:color="auto" w:fill="FFFFFF"/>
        </w:rPr>
        <w:t xml:space="preserve"> (Chen et al., 2022). </w:t>
      </w:r>
    </w:p>
    <w:p w14:paraId="03FCB80D"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emergence and examination of both new and old re-connection details should be prioritised. Furthermore, there is a dearth of research on novel structural re-connection techniques for the equivalent and upcycling reuse of cast-in-place concrete fragments and steels (Xing et al., 2022). In fact, the majority of reused materials applications nowadays are restricted to downcycling and reuse, and there is still uncertainty regarding the possibility of using cast-in-place, strengthened materials in applications that are more demanding (</w:t>
      </w:r>
      <w:r w:rsidRPr="0050538C">
        <w:rPr>
          <w:rFonts w:ascii="Times New Roman" w:hAnsi="Times New Roman" w:cs="Times New Roman"/>
          <w:sz w:val="24"/>
          <w:szCs w:val="24"/>
          <w:shd w:val="clear" w:color="auto" w:fill="FFFFFF"/>
        </w:rPr>
        <w:t>Ho and Huynh, 2022).</w:t>
      </w:r>
    </w:p>
    <w:p w14:paraId="112D7DD4" w14:textId="77777777" w:rsidR="00480667" w:rsidRPr="0050538C" w:rsidRDefault="00480667" w:rsidP="0048066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In order to accomplish the first two objectives and the several others required prior to the widespread implementation of reused materials, a decompartmentalization of expertise is required. The majority of the information and methods are already in place, but they are limited to the domains of waste management, breakdown, building design, structural design, maintenance, and building technology and history. Similar to circular reuse generally, multidisciplinary development would spur innovation in reused materials and require specialised research, instruction, and training (</w:t>
      </w:r>
      <w:r w:rsidRPr="0050538C">
        <w:rPr>
          <w:rFonts w:ascii="Times New Roman" w:hAnsi="Times New Roman" w:cs="Times New Roman"/>
          <w:sz w:val="24"/>
          <w:szCs w:val="24"/>
          <w:shd w:val="clear" w:color="auto" w:fill="FFFFFF"/>
        </w:rPr>
        <w:t>Yaro</w:t>
      </w:r>
      <w:r w:rsidRPr="0050538C">
        <w:rPr>
          <w:rFonts w:ascii="Times New Roman" w:hAnsi="Times New Roman" w:cs="Times New Roman"/>
          <w:sz w:val="24"/>
          <w:szCs w:val="24"/>
        </w:rPr>
        <w:t xml:space="preserve"> et al., 2023). </w:t>
      </w:r>
    </w:p>
    <w:p w14:paraId="1940DCD9" w14:textId="77777777" w:rsidR="00480667" w:rsidRPr="0050538C" w:rsidRDefault="00480667" w:rsidP="00480667">
      <w:pPr>
        <w:rPr>
          <w:rFonts w:ascii="Times New Roman" w:hAnsi="Times New Roman" w:cs="Times New Roman"/>
          <w:sz w:val="24"/>
          <w:szCs w:val="24"/>
        </w:rPr>
      </w:pPr>
    </w:p>
    <w:p w14:paraId="3B256D06" w14:textId="77777777" w:rsidR="00860C3F" w:rsidRDefault="00860C3F"/>
    <w:sectPr w:rsidR="00860C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71939"/>
    <w:multiLevelType w:val="hybridMultilevel"/>
    <w:tmpl w:val="8D206AF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7E13A08"/>
    <w:multiLevelType w:val="hybridMultilevel"/>
    <w:tmpl w:val="080C04FE"/>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BE83F80"/>
    <w:multiLevelType w:val="hybridMultilevel"/>
    <w:tmpl w:val="94D0572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2606B0B"/>
    <w:multiLevelType w:val="multilevel"/>
    <w:tmpl w:val="8C121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663FD0"/>
    <w:multiLevelType w:val="hybridMultilevel"/>
    <w:tmpl w:val="2A72E694"/>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36784CFE"/>
    <w:multiLevelType w:val="hybridMultilevel"/>
    <w:tmpl w:val="FFF2A7E4"/>
    <w:lvl w:ilvl="0" w:tplc="4009000B">
      <w:start w:val="1"/>
      <w:numFmt w:val="bullet"/>
      <w:lvlText w:val=""/>
      <w:lvlJc w:val="left"/>
      <w:pPr>
        <w:ind w:left="769" w:hanging="360"/>
      </w:pPr>
      <w:rPr>
        <w:rFonts w:ascii="Wingdings" w:hAnsi="Wingdings" w:hint="default"/>
      </w:rPr>
    </w:lvl>
    <w:lvl w:ilvl="1" w:tplc="40090003" w:tentative="1">
      <w:start w:val="1"/>
      <w:numFmt w:val="bullet"/>
      <w:lvlText w:val="o"/>
      <w:lvlJc w:val="left"/>
      <w:pPr>
        <w:ind w:left="1489" w:hanging="360"/>
      </w:pPr>
      <w:rPr>
        <w:rFonts w:ascii="Courier New" w:hAnsi="Courier New" w:cs="Courier New" w:hint="default"/>
      </w:rPr>
    </w:lvl>
    <w:lvl w:ilvl="2" w:tplc="40090005" w:tentative="1">
      <w:start w:val="1"/>
      <w:numFmt w:val="bullet"/>
      <w:lvlText w:val=""/>
      <w:lvlJc w:val="left"/>
      <w:pPr>
        <w:ind w:left="2209" w:hanging="360"/>
      </w:pPr>
      <w:rPr>
        <w:rFonts w:ascii="Wingdings" w:hAnsi="Wingdings" w:hint="default"/>
      </w:rPr>
    </w:lvl>
    <w:lvl w:ilvl="3" w:tplc="40090001" w:tentative="1">
      <w:start w:val="1"/>
      <w:numFmt w:val="bullet"/>
      <w:lvlText w:val=""/>
      <w:lvlJc w:val="left"/>
      <w:pPr>
        <w:ind w:left="2929" w:hanging="360"/>
      </w:pPr>
      <w:rPr>
        <w:rFonts w:ascii="Symbol" w:hAnsi="Symbol" w:hint="default"/>
      </w:rPr>
    </w:lvl>
    <w:lvl w:ilvl="4" w:tplc="40090003" w:tentative="1">
      <w:start w:val="1"/>
      <w:numFmt w:val="bullet"/>
      <w:lvlText w:val="o"/>
      <w:lvlJc w:val="left"/>
      <w:pPr>
        <w:ind w:left="3649" w:hanging="360"/>
      </w:pPr>
      <w:rPr>
        <w:rFonts w:ascii="Courier New" w:hAnsi="Courier New" w:cs="Courier New" w:hint="default"/>
      </w:rPr>
    </w:lvl>
    <w:lvl w:ilvl="5" w:tplc="40090005" w:tentative="1">
      <w:start w:val="1"/>
      <w:numFmt w:val="bullet"/>
      <w:lvlText w:val=""/>
      <w:lvlJc w:val="left"/>
      <w:pPr>
        <w:ind w:left="4369" w:hanging="360"/>
      </w:pPr>
      <w:rPr>
        <w:rFonts w:ascii="Wingdings" w:hAnsi="Wingdings" w:hint="default"/>
      </w:rPr>
    </w:lvl>
    <w:lvl w:ilvl="6" w:tplc="40090001" w:tentative="1">
      <w:start w:val="1"/>
      <w:numFmt w:val="bullet"/>
      <w:lvlText w:val=""/>
      <w:lvlJc w:val="left"/>
      <w:pPr>
        <w:ind w:left="5089" w:hanging="360"/>
      </w:pPr>
      <w:rPr>
        <w:rFonts w:ascii="Symbol" w:hAnsi="Symbol" w:hint="default"/>
      </w:rPr>
    </w:lvl>
    <w:lvl w:ilvl="7" w:tplc="40090003" w:tentative="1">
      <w:start w:val="1"/>
      <w:numFmt w:val="bullet"/>
      <w:lvlText w:val="o"/>
      <w:lvlJc w:val="left"/>
      <w:pPr>
        <w:ind w:left="5809" w:hanging="360"/>
      </w:pPr>
      <w:rPr>
        <w:rFonts w:ascii="Courier New" w:hAnsi="Courier New" w:cs="Courier New" w:hint="default"/>
      </w:rPr>
    </w:lvl>
    <w:lvl w:ilvl="8" w:tplc="40090005" w:tentative="1">
      <w:start w:val="1"/>
      <w:numFmt w:val="bullet"/>
      <w:lvlText w:val=""/>
      <w:lvlJc w:val="left"/>
      <w:pPr>
        <w:ind w:left="6529" w:hanging="360"/>
      </w:pPr>
      <w:rPr>
        <w:rFonts w:ascii="Wingdings" w:hAnsi="Wingdings" w:hint="default"/>
      </w:rPr>
    </w:lvl>
  </w:abstractNum>
  <w:abstractNum w:abstractNumId="6" w15:restartNumberingAfterBreak="0">
    <w:nsid w:val="3D470351"/>
    <w:multiLevelType w:val="hybridMultilevel"/>
    <w:tmpl w:val="F0D6F3C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3E3A09EC"/>
    <w:multiLevelType w:val="hybridMultilevel"/>
    <w:tmpl w:val="480EA78E"/>
    <w:lvl w:ilvl="0" w:tplc="7C3EC3F2">
      <w:start w:val="1"/>
      <w:numFmt w:val="decimal"/>
      <w:lvlText w:val="%1."/>
      <w:lvlJc w:val="left"/>
      <w:pPr>
        <w:ind w:left="927" w:hanging="360"/>
      </w:pPr>
      <w:rPr>
        <w:rFonts w:ascii="Times New Roman" w:eastAsiaTheme="minorHAnsi" w:hAnsi="Times New Roman" w:cs="Times New Roman"/>
      </w:rPr>
    </w:lvl>
    <w:lvl w:ilvl="1" w:tplc="40090019" w:tentative="1">
      <w:start w:val="1"/>
      <w:numFmt w:val="lowerLetter"/>
      <w:lvlText w:val="%2."/>
      <w:lvlJc w:val="left"/>
      <w:pPr>
        <w:ind w:left="1647" w:hanging="360"/>
      </w:pPr>
    </w:lvl>
    <w:lvl w:ilvl="2" w:tplc="4009001B" w:tentative="1">
      <w:start w:val="1"/>
      <w:numFmt w:val="lowerRoman"/>
      <w:lvlText w:val="%3."/>
      <w:lvlJc w:val="right"/>
      <w:pPr>
        <w:ind w:left="2367" w:hanging="180"/>
      </w:pPr>
    </w:lvl>
    <w:lvl w:ilvl="3" w:tplc="4009000F" w:tentative="1">
      <w:start w:val="1"/>
      <w:numFmt w:val="decimal"/>
      <w:lvlText w:val="%4."/>
      <w:lvlJc w:val="left"/>
      <w:pPr>
        <w:ind w:left="3087" w:hanging="360"/>
      </w:pPr>
    </w:lvl>
    <w:lvl w:ilvl="4" w:tplc="40090019" w:tentative="1">
      <w:start w:val="1"/>
      <w:numFmt w:val="lowerLetter"/>
      <w:lvlText w:val="%5."/>
      <w:lvlJc w:val="left"/>
      <w:pPr>
        <w:ind w:left="3807" w:hanging="360"/>
      </w:pPr>
    </w:lvl>
    <w:lvl w:ilvl="5" w:tplc="4009001B" w:tentative="1">
      <w:start w:val="1"/>
      <w:numFmt w:val="lowerRoman"/>
      <w:lvlText w:val="%6."/>
      <w:lvlJc w:val="right"/>
      <w:pPr>
        <w:ind w:left="4527" w:hanging="180"/>
      </w:pPr>
    </w:lvl>
    <w:lvl w:ilvl="6" w:tplc="4009000F" w:tentative="1">
      <w:start w:val="1"/>
      <w:numFmt w:val="decimal"/>
      <w:lvlText w:val="%7."/>
      <w:lvlJc w:val="left"/>
      <w:pPr>
        <w:ind w:left="5247" w:hanging="360"/>
      </w:pPr>
    </w:lvl>
    <w:lvl w:ilvl="7" w:tplc="40090019" w:tentative="1">
      <w:start w:val="1"/>
      <w:numFmt w:val="lowerLetter"/>
      <w:lvlText w:val="%8."/>
      <w:lvlJc w:val="left"/>
      <w:pPr>
        <w:ind w:left="5967" w:hanging="360"/>
      </w:pPr>
    </w:lvl>
    <w:lvl w:ilvl="8" w:tplc="4009001B" w:tentative="1">
      <w:start w:val="1"/>
      <w:numFmt w:val="lowerRoman"/>
      <w:lvlText w:val="%9."/>
      <w:lvlJc w:val="right"/>
      <w:pPr>
        <w:ind w:left="6687" w:hanging="180"/>
      </w:pPr>
    </w:lvl>
  </w:abstractNum>
  <w:abstractNum w:abstractNumId="8" w15:restartNumberingAfterBreak="0">
    <w:nsid w:val="3E7A0D45"/>
    <w:multiLevelType w:val="multilevel"/>
    <w:tmpl w:val="615A4D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FF54DCC"/>
    <w:multiLevelType w:val="hybridMultilevel"/>
    <w:tmpl w:val="B704AE1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F720471"/>
    <w:multiLevelType w:val="multilevel"/>
    <w:tmpl w:val="188E3F18"/>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60134D2"/>
    <w:multiLevelType w:val="hybridMultilevel"/>
    <w:tmpl w:val="82D8310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63725C2D"/>
    <w:multiLevelType w:val="multilevel"/>
    <w:tmpl w:val="EA94C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FD106C"/>
    <w:multiLevelType w:val="multilevel"/>
    <w:tmpl w:val="72E65E2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upp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740F91"/>
    <w:multiLevelType w:val="hybridMultilevel"/>
    <w:tmpl w:val="BC54530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62919546">
    <w:abstractNumId w:val="8"/>
  </w:num>
  <w:num w:numId="2" w16cid:durableId="1742099684">
    <w:abstractNumId w:val="10"/>
  </w:num>
  <w:num w:numId="3" w16cid:durableId="1288898896">
    <w:abstractNumId w:val="14"/>
  </w:num>
  <w:num w:numId="4" w16cid:durableId="1729648315">
    <w:abstractNumId w:val="1"/>
  </w:num>
  <w:num w:numId="5" w16cid:durableId="371465555">
    <w:abstractNumId w:val="6"/>
  </w:num>
  <w:num w:numId="6" w16cid:durableId="863834504">
    <w:abstractNumId w:val="5"/>
  </w:num>
  <w:num w:numId="7" w16cid:durableId="1744140520">
    <w:abstractNumId w:val="9"/>
  </w:num>
  <w:num w:numId="8" w16cid:durableId="267279657">
    <w:abstractNumId w:val="11"/>
  </w:num>
  <w:num w:numId="9" w16cid:durableId="1000157388">
    <w:abstractNumId w:val="7"/>
  </w:num>
  <w:num w:numId="10" w16cid:durableId="440730020">
    <w:abstractNumId w:val="4"/>
  </w:num>
  <w:num w:numId="11" w16cid:durableId="1318343915">
    <w:abstractNumId w:val="0"/>
  </w:num>
  <w:num w:numId="12" w16cid:durableId="2122337914">
    <w:abstractNumId w:val="12"/>
  </w:num>
  <w:num w:numId="13" w16cid:durableId="924995146">
    <w:abstractNumId w:val="13"/>
  </w:num>
  <w:num w:numId="14" w16cid:durableId="1284996188">
    <w:abstractNumId w:val="3"/>
  </w:num>
  <w:num w:numId="15" w16cid:durableId="7988392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667"/>
    <w:rsid w:val="00480667"/>
    <w:rsid w:val="004E2417"/>
    <w:rsid w:val="00860C3F"/>
    <w:rsid w:val="00CF6055"/>
    <w:rsid w:val="00FE4A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B939B"/>
  <w15:chartTrackingRefBased/>
  <w15:docId w15:val="{41C1CBBA-580D-4F65-9161-DB24B2771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0667"/>
    <w:rPr>
      <w:lang w:val="en-GB"/>
    </w:rPr>
  </w:style>
  <w:style w:type="paragraph" w:styleId="Heading1">
    <w:name w:val="heading 1"/>
    <w:basedOn w:val="Normal"/>
    <w:next w:val="Normal"/>
    <w:link w:val="Heading1Char"/>
    <w:uiPriority w:val="9"/>
    <w:qFormat/>
    <w:rsid w:val="004806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06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066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667"/>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480667"/>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480667"/>
    <w:rPr>
      <w:rFonts w:asciiTheme="majorHAnsi" w:eastAsiaTheme="majorEastAsia" w:hAnsiTheme="majorHAnsi" w:cstheme="majorBidi"/>
      <w:color w:val="1F3763" w:themeColor="accent1" w:themeShade="7F"/>
      <w:sz w:val="24"/>
      <w:szCs w:val="24"/>
      <w:lang w:val="en-GB"/>
    </w:rPr>
  </w:style>
  <w:style w:type="paragraph" w:styleId="ListParagraph">
    <w:name w:val="List Paragraph"/>
    <w:basedOn w:val="Normal"/>
    <w:uiPriority w:val="34"/>
    <w:qFormat/>
    <w:rsid w:val="00480667"/>
    <w:pPr>
      <w:ind w:left="720"/>
      <w:contextualSpacing/>
    </w:pPr>
  </w:style>
  <w:style w:type="paragraph" w:styleId="NormalWeb">
    <w:name w:val="Normal (Web)"/>
    <w:basedOn w:val="Normal"/>
    <w:uiPriority w:val="99"/>
    <w:unhideWhenUsed/>
    <w:rsid w:val="00480667"/>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paragraph" w:customStyle="1" w:styleId="selectable-text">
    <w:name w:val="selectable-text"/>
    <w:basedOn w:val="Normal"/>
    <w:rsid w:val="00480667"/>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customStyle="1" w:styleId="selectable-text1">
    <w:name w:val="selectable-text1"/>
    <w:basedOn w:val="DefaultParagraphFont"/>
    <w:rsid w:val="00480667"/>
  </w:style>
  <w:style w:type="paragraph" w:styleId="Caption">
    <w:name w:val="caption"/>
    <w:basedOn w:val="Normal"/>
    <w:next w:val="Normal"/>
    <w:uiPriority w:val="35"/>
    <w:unhideWhenUsed/>
    <w:qFormat/>
    <w:rsid w:val="0048066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80667"/>
    <w:pPr>
      <w:outlineLvl w:val="9"/>
    </w:pPr>
    <w:rPr>
      <w:kern w:val="0"/>
      <w:lang w:val="en-US"/>
      <w14:ligatures w14:val="none"/>
    </w:rPr>
  </w:style>
  <w:style w:type="paragraph" w:styleId="TOC1">
    <w:name w:val="toc 1"/>
    <w:basedOn w:val="Normal"/>
    <w:next w:val="Normal"/>
    <w:autoRedefine/>
    <w:uiPriority w:val="39"/>
    <w:unhideWhenUsed/>
    <w:rsid w:val="00480667"/>
    <w:pPr>
      <w:spacing w:after="100"/>
    </w:pPr>
  </w:style>
  <w:style w:type="paragraph" w:styleId="TOC2">
    <w:name w:val="toc 2"/>
    <w:basedOn w:val="Normal"/>
    <w:next w:val="Normal"/>
    <w:autoRedefine/>
    <w:uiPriority w:val="39"/>
    <w:unhideWhenUsed/>
    <w:rsid w:val="00480667"/>
    <w:pPr>
      <w:spacing w:after="100"/>
      <w:ind w:left="220"/>
    </w:pPr>
  </w:style>
  <w:style w:type="character" w:styleId="Hyperlink">
    <w:name w:val="Hyperlink"/>
    <w:basedOn w:val="DefaultParagraphFont"/>
    <w:uiPriority w:val="99"/>
    <w:unhideWhenUsed/>
    <w:rsid w:val="00480667"/>
    <w:rPr>
      <w:color w:val="0563C1" w:themeColor="hyperlink"/>
      <w:u w:val="single"/>
    </w:rPr>
  </w:style>
  <w:style w:type="table" w:styleId="TableGrid">
    <w:name w:val="Table Grid"/>
    <w:basedOn w:val="TableNormal"/>
    <w:uiPriority w:val="39"/>
    <w:rsid w:val="004806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806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667"/>
    <w:rPr>
      <w:lang w:val="en-GB"/>
    </w:rPr>
  </w:style>
  <w:style w:type="paragraph" w:styleId="Footer">
    <w:name w:val="footer"/>
    <w:basedOn w:val="Normal"/>
    <w:link w:val="FooterChar"/>
    <w:uiPriority w:val="99"/>
    <w:unhideWhenUsed/>
    <w:rsid w:val="004806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667"/>
    <w:rPr>
      <w:lang w:val="en-GB"/>
    </w:rPr>
  </w:style>
  <w:style w:type="paragraph" w:styleId="TOC3">
    <w:name w:val="toc 3"/>
    <w:basedOn w:val="Normal"/>
    <w:next w:val="Normal"/>
    <w:autoRedefine/>
    <w:uiPriority w:val="39"/>
    <w:unhideWhenUsed/>
    <w:rsid w:val="00480667"/>
    <w:pPr>
      <w:spacing w:after="100"/>
      <w:ind w:left="440"/>
    </w:pPr>
  </w:style>
  <w:style w:type="paragraph" w:styleId="BodyText">
    <w:name w:val="Body Text"/>
    <w:basedOn w:val="Normal"/>
    <w:link w:val="BodyTextChar"/>
    <w:uiPriority w:val="1"/>
    <w:qFormat/>
    <w:rsid w:val="00480667"/>
    <w:pPr>
      <w:widowControl w:val="0"/>
      <w:autoSpaceDE w:val="0"/>
      <w:autoSpaceDN w:val="0"/>
      <w:spacing w:after="0" w:line="240" w:lineRule="auto"/>
    </w:pPr>
    <w:rPr>
      <w:rFonts w:ascii="Calibri" w:eastAsia="Calibri" w:hAnsi="Calibri" w:cs="Calibri"/>
      <w:kern w:val="0"/>
      <w:sz w:val="24"/>
      <w:szCs w:val="24"/>
      <w:lang w:val="en-US"/>
      <w14:ligatures w14:val="none"/>
    </w:rPr>
  </w:style>
  <w:style w:type="character" w:customStyle="1" w:styleId="BodyTextChar">
    <w:name w:val="Body Text Char"/>
    <w:basedOn w:val="DefaultParagraphFont"/>
    <w:link w:val="BodyText"/>
    <w:uiPriority w:val="1"/>
    <w:rsid w:val="00480667"/>
    <w:rPr>
      <w:rFonts w:ascii="Calibri" w:eastAsia="Calibri" w:hAnsi="Calibri" w:cs="Calibri"/>
      <w:kern w:val="0"/>
      <w:sz w:val="24"/>
      <w:szCs w:val="24"/>
      <w:lang w:val="en-US"/>
      <w14:ligatures w14:val="none"/>
    </w:rPr>
  </w:style>
  <w:style w:type="paragraph" w:styleId="TableofFigures">
    <w:name w:val="table of figures"/>
    <w:basedOn w:val="Normal"/>
    <w:next w:val="Normal"/>
    <w:uiPriority w:val="99"/>
    <w:unhideWhenUsed/>
    <w:rsid w:val="0048066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5.png"/><Relationship Id="rId18" Type="http://schemas.openxmlformats.org/officeDocument/2006/relationships/chart" Target="charts/chart6.xml"/><Relationship Id="rId3" Type="http://schemas.openxmlformats.org/officeDocument/2006/relationships/settings" Target="settings.xml"/><Relationship Id="rId21" Type="http://schemas.openxmlformats.org/officeDocument/2006/relationships/chart" Target="charts/chart9.xml"/><Relationship Id="rId7" Type="http://schemas.openxmlformats.org/officeDocument/2006/relationships/image" Target="media/image2.png"/><Relationship Id="rId12" Type="http://schemas.openxmlformats.org/officeDocument/2006/relationships/chart" Target="charts/chart3.xml"/><Relationship Id="rId17" Type="http://schemas.openxmlformats.org/officeDocument/2006/relationships/chart" Target="charts/chart5.xml"/><Relationship Id="rId2" Type="http://schemas.openxmlformats.org/officeDocument/2006/relationships/styles" Target="styles.xml"/><Relationship Id="rId16" Type="http://schemas.openxmlformats.org/officeDocument/2006/relationships/chart" Target="charts/chart4.xml"/><Relationship Id="rId20" Type="http://schemas.openxmlformats.org/officeDocument/2006/relationships/chart" Target="charts/chart8.xml"/><Relationship Id="rId1" Type="http://schemas.openxmlformats.org/officeDocument/2006/relationships/numbering" Target="numbering.xml"/><Relationship Id="rId6" Type="http://schemas.microsoft.com/office/2007/relationships/hdphoto" Target="media/hdphoto1.wdp"/><Relationship Id="rId11" Type="http://schemas.openxmlformats.org/officeDocument/2006/relationships/chart" Target="charts/chart2.xml"/><Relationship Id="rId5" Type="http://schemas.openxmlformats.org/officeDocument/2006/relationships/image" Target="media/image1.png"/><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chart" Target="charts/chart7.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6.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800" b="1" i="0" u="none" strike="noStrike" kern="1200" baseline="0">
                <a:solidFill>
                  <a:schemeClr val="dk1">
                    <a:lumMod val="75000"/>
                    <a:lumOff val="25000"/>
                  </a:schemeClr>
                </a:solidFill>
                <a:latin typeface="+mn-lt"/>
                <a:ea typeface="+mn-ea"/>
                <a:cs typeface="+mn-cs"/>
              </a:defRPr>
            </a:pPr>
            <a:r>
              <a:rPr lang="en-US" sz="900">
                <a:latin typeface="Times New Roman" panose="02020603050405020304" pitchFamily="18" charset="0"/>
                <a:cs typeface="Times New Roman" panose="02020603050405020304" pitchFamily="18" charset="0"/>
              </a:rPr>
              <a:t>Percentage of Construction Projects using Reusing</a:t>
            </a:r>
            <a:r>
              <a:rPr lang="en-US" sz="900" baseline="0">
                <a:latin typeface="Times New Roman" panose="02020603050405020304" pitchFamily="18" charset="0"/>
                <a:cs typeface="Times New Roman" panose="02020603050405020304" pitchFamily="18" charset="0"/>
              </a:rPr>
              <a:t> Construction Materials </a:t>
            </a:r>
            <a:r>
              <a:rPr lang="en-US" sz="900">
                <a:latin typeface="Times New Roman" panose="02020603050405020304" pitchFamily="18" charset="0"/>
                <a:cs typeface="Times New Roman" panose="02020603050405020304" pitchFamily="18" charset="0"/>
              </a:rPr>
              <a:t> strategy</a:t>
            </a:r>
          </a:p>
        </c:rich>
      </c:tx>
      <c:layout>
        <c:manualLayout>
          <c:xMode val="edge"/>
          <c:yMode val="edge"/>
          <c:x val="0.19385990813648293"/>
          <c:y val="3.5124692658939235E-3"/>
        </c:manualLayout>
      </c:layout>
      <c:overlay val="0"/>
      <c:spPr>
        <a:noFill/>
        <a:ln>
          <a:noFill/>
        </a:ln>
        <a:effectLst/>
      </c:spPr>
      <c:txPr>
        <a:bodyPr rot="0" spcFirstLastPara="1" vertOverflow="ellipsis" vert="horz" wrap="square" anchor="ctr" anchorCtr="1"/>
        <a:lstStyle/>
        <a:p>
          <a:pPr algn="ct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Construction Projects using PRECS strategy</c:v>
                </c:pt>
              </c:strCache>
            </c:strRef>
          </c:tx>
          <c:dPt>
            <c:idx val="0"/>
            <c:bubble3D val="0"/>
            <c:spPr>
              <a:solidFill>
                <a:schemeClr val="tx1">
                  <a:lumMod val="95000"/>
                  <a:lumOff val="5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6D8-4325-ACA5-D6248AE8922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6D8-4325-ACA5-D6248AE89224}"/>
              </c:ext>
            </c:extLst>
          </c:dPt>
          <c:dPt>
            <c:idx val="2"/>
            <c:bubble3D val="0"/>
            <c:spPr>
              <a:solidFill>
                <a:schemeClr val="bg1">
                  <a:lumMod val="5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6D8-4325-ACA5-D6248AE8922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6D8-4325-ACA5-D6248AE89224}"/>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36D8-4325-ACA5-D6248AE89224}"/>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36D8-4325-ACA5-D6248AE89224}"/>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36D8-4325-ACA5-D6248AE89224}"/>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36D8-4325-ACA5-D6248AE89224}"/>
              </c:ext>
            </c:extLst>
          </c:dPt>
          <c:dLbls>
            <c:dLbl>
              <c:idx val="2"/>
              <c:layout>
                <c:manualLayout>
                  <c:x val="8.9918708078156856E-2"/>
                  <c:y val="3.7332208473940684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36D8-4325-ACA5-D6248AE89224}"/>
                </c:ext>
              </c:extLst>
            </c:dLbl>
            <c:dLbl>
              <c:idx val="3"/>
              <c:layout>
                <c:manualLayout>
                  <c:x val="5.7727653834937255E-2"/>
                  <c:y val="7.2680914885639297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36D8-4325-ACA5-D6248AE89224}"/>
                </c:ext>
              </c:extLst>
            </c:dLbl>
            <c:dLbl>
              <c:idx val="4"/>
              <c:layout>
                <c:manualLayout>
                  <c:x val="4.1953922426363331E-2"/>
                  <c:y val="9.4668478940132486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36D8-4325-ACA5-D6248AE89224}"/>
                </c:ext>
              </c:extLst>
            </c:dLbl>
            <c:dLbl>
              <c:idx val="5"/>
              <c:layout>
                <c:manualLayout>
                  <c:x val="-0.18635462233887429"/>
                  <c:y val="0.1185260607882899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B-36D8-4325-ACA5-D6248AE89224}"/>
                </c:ext>
              </c:extLst>
            </c:dLbl>
            <c:dLbl>
              <c:idx val="6"/>
              <c:layout>
                <c:manualLayout>
                  <c:x val="-0.16841754155730537"/>
                  <c:y val="4.193643726840502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D-36D8-4325-ACA5-D6248AE89224}"/>
                </c:ext>
              </c:extLst>
            </c:dLbl>
            <c:dLbl>
              <c:idx val="7"/>
              <c:layout>
                <c:manualLayout>
                  <c:x val="0.23012512758821804"/>
                  <c:y val="4.8879716678938673E-2"/>
                </c:manualLayout>
              </c:layout>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15:layout>
                    <c:manualLayout>
                      <c:w val="7.9537037037037031E-2"/>
                      <c:h val="4.8622431634101716E-2"/>
                    </c:manualLayout>
                  </c15:layout>
                </c:ext>
                <c:ext xmlns:c16="http://schemas.microsoft.com/office/drawing/2014/chart" uri="{C3380CC4-5D6E-409C-BE32-E72D297353CC}">
                  <c16:uniqueId val="{0000000F-36D8-4325-ACA5-D6248AE89224}"/>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Sheet1!$A$2:$A$9</c:f>
              <c:strCache>
                <c:ptCount val="8"/>
                <c:pt idx="0">
                  <c:v>Germany</c:v>
                </c:pt>
                <c:pt idx="1">
                  <c:v>Netherlands</c:v>
                </c:pt>
                <c:pt idx="2">
                  <c:v>Switzerland</c:v>
                </c:pt>
                <c:pt idx="3">
                  <c:v>Sweden</c:v>
                </c:pt>
                <c:pt idx="4">
                  <c:v>USA</c:v>
                </c:pt>
                <c:pt idx="5">
                  <c:v>Italy</c:v>
                </c:pt>
                <c:pt idx="6">
                  <c:v>France </c:v>
                </c:pt>
                <c:pt idx="7">
                  <c:v>Finland</c:v>
                </c:pt>
              </c:strCache>
            </c:strRef>
          </c:cat>
          <c:val>
            <c:numRef>
              <c:f>Sheet1!$B$2:$B$9</c:f>
              <c:numCache>
                <c:formatCode>General</c:formatCode>
                <c:ptCount val="8"/>
                <c:pt idx="0">
                  <c:v>51</c:v>
                </c:pt>
                <c:pt idx="1">
                  <c:v>22</c:v>
                </c:pt>
                <c:pt idx="2">
                  <c:v>10</c:v>
                </c:pt>
                <c:pt idx="3">
                  <c:v>7</c:v>
                </c:pt>
                <c:pt idx="4">
                  <c:v>6</c:v>
                </c:pt>
                <c:pt idx="5">
                  <c:v>2</c:v>
                </c:pt>
                <c:pt idx="6">
                  <c:v>1</c:v>
                </c:pt>
                <c:pt idx="7">
                  <c:v>1</c:v>
                </c:pt>
              </c:numCache>
            </c:numRef>
          </c:val>
          <c:extLst>
            <c:ext xmlns:c16="http://schemas.microsoft.com/office/drawing/2014/chart" uri="{C3380CC4-5D6E-409C-BE32-E72D297353CC}">
              <c16:uniqueId val="{00000010-36D8-4325-ACA5-D6248AE8922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000">
                <a:latin typeface="Times New Roman" panose="02020603050405020304" pitchFamily="18" charset="0"/>
                <a:cs typeface="Times New Roman" panose="02020603050405020304" pitchFamily="18" charset="0"/>
              </a:rPr>
              <a:t>Percentage of Chosen studies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Chosen studies </c:v>
                </c:pt>
              </c:strCache>
            </c:strRef>
          </c:tx>
          <c:dPt>
            <c:idx val="0"/>
            <c:bubble3D val="0"/>
            <c:spPr>
              <a:solidFill>
                <a:schemeClr val="accent2">
                  <a:lumMod val="75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347-424E-B50C-051A4753DDAA}"/>
              </c:ext>
            </c:extLst>
          </c:dPt>
          <c:dPt>
            <c:idx val="1"/>
            <c:bubble3D val="0"/>
            <c:spPr>
              <a:solidFill>
                <a:schemeClr val="accent6">
                  <a:lumMod val="60000"/>
                  <a:lumOff val="4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347-424E-B50C-051A4753DDAA}"/>
              </c:ext>
            </c:extLst>
          </c:dPt>
          <c:dPt>
            <c:idx val="2"/>
            <c:bubble3D val="0"/>
            <c:spPr>
              <a:solidFill>
                <a:schemeClr val="bg2">
                  <a:lumMod val="25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347-424E-B50C-051A4753DDA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347-424E-B50C-051A4753DDA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Complted Construction Projects</c:v>
                </c:pt>
                <c:pt idx="1">
                  <c:v>Partly Constructed</c:v>
                </c:pt>
                <c:pt idx="2">
                  <c:v>Aborted Construction </c:v>
                </c:pt>
                <c:pt idx="3">
                  <c:v>Unknown Construction Projects</c:v>
                </c:pt>
              </c:strCache>
            </c:strRef>
          </c:cat>
          <c:val>
            <c:numRef>
              <c:f>Sheet1!$B$2:$B$5</c:f>
              <c:numCache>
                <c:formatCode>0%</c:formatCode>
                <c:ptCount val="4"/>
                <c:pt idx="0">
                  <c:v>0.19</c:v>
                </c:pt>
                <c:pt idx="1">
                  <c:v>0.65</c:v>
                </c:pt>
                <c:pt idx="2">
                  <c:v>0.12</c:v>
                </c:pt>
                <c:pt idx="3">
                  <c:v>0.04</c:v>
                </c:pt>
              </c:numCache>
            </c:numRef>
          </c:val>
          <c:extLst>
            <c:ext xmlns:c16="http://schemas.microsoft.com/office/drawing/2014/chart" uri="{C3380CC4-5D6E-409C-BE32-E72D297353CC}">
              <c16:uniqueId val="{00000008-D347-424E-B50C-051A4753DDA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Times New Roman" panose="02020603050405020304" pitchFamily="18" charset="0"/>
                <a:ea typeface="+mn-ea"/>
                <a:cs typeface="Times New Roman" panose="02020603050405020304" pitchFamily="18" charset="0"/>
              </a:defRPr>
            </a:pPr>
            <a:r>
              <a:rPr lang="en-US" sz="1100">
                <a:latin typeface="Times New Roman" panose="02020603050405020304" pitchFamily="18" charset="0"/>
                <a:cs typeface="Times New Roman" panose="02020603050405020304" pitchFamily="18" charset="0"/>
              </a:rPr>
              <a:t>Material Type</a:t>
            </a:r>
          </a:p>
        </c:rich>
      </c:tx>
      <c:overlay val="0"/>
      <c:spPr>
        <a:noFill/>
        <a:ln>
          <a:noFill/>
        </a:ln>
        <a:effectLst/>
      </c:spPr>
      <c:txPr>
        <a:bodyPr rot="0" spcFirstLastPara="1" vertOverflow="ellipsis" vert="horz" wrap="square" anchor="ctr" anchorCtr="1"/>
        <a:lstStyle/>
        <a:p>
          <a:pPr>
            <a:defRPr sz="11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Sheet1!$B$1</c:f>
              <c:strCache>
                <c:ptCount val="1"/>
                <c:pt idx="0">
                  <c:v>Material Type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E488-4B57-905C-1BBFB264070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E488-4B57-905C-1BBFB2640709}"/>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E488-4B57-905C-1BBFB2640709}"/>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E488-4B57-905C-1BBFB2640709}"/>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E488-4B57-905C-1BBFB2640709}"/>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E488-4B57-905C-1BBFB2640709}"/>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D-E488-4B57-905C-1BBFB2640709}"/>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F-E488-4B57-905C-1BBFB264070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Sheet1!$A$2:$A$9</c:f>
              <c:strCache>
                <c:ptCount val="8"/>
                <c:pt idx="0">
                  <c:v>Precast</c:v>
                </c:pt>
                <c:pt idx="1">
                  <c:v>Precast and Cast-in Place</c:v>
                </c:pt>
                <c:pt idx="2">
                  <c:v>Cast-in-Place</c:v>
                </c:pt>
                <c:pt idx="3">
                  <c:v>Wood </c:v>
                </c:pt>
                <c:pt idx="4">
                  <c:v>Sand </c:v>
                </c:pt>
                <c:pt idx="5">
                  <c:v>Gravel </c:v>
                </c:pt>
                <c:pt idx="6">
                  <c:v>Bricks </c:v>
                </c:pt>
                <c:pt idx="7">
                  <c:v>Steel</c:v>
                </c:pt>
              </c:strCache>
            </c:strRef>
          </c:cat>
          <c:val>
            <c:numRef>
              <c:f>Sheet1!$B$2:$B$9</c:f>
              <c:numCache>
                <c:formatCode>General</c:formatCode>
                <c:ptCount val="8"/>
                <c:pt idx="0">
                  <c:v>50</c:v>
                </c:pt>
                <c:pt idx="1">
                  <c:v>6</c:v>
                </c:pt>
                <c:pt idx="2">
                  <c:v>13</c:v>
                </c:pt>
                <c:pt idx="3">
                  <c:v>1.2</c:v>
                </c:pt>
                <c:pt idx="4">
                  <c:v>10</c:v>
                </c:pt>
                <c:pt idx="5">
                  <c:v>5</c:v>
                </c:pt>
                <c:pt idx="6">
                  <c:v>20</c:v>
                </c:pt>
                <c:pt idx="7">
                  <c:v>15</c:v>
                </c:pt>
              </c:numCache>
            </c:numRef>
          </c:val>
          <c:extLst>
            <c:ext xmlns:c16="http://schemas.microsoft.com/office/drawing/2014/chart" uri="{C3380CC4-5D6E-409C-BE32-E72D297353CC}">
              <c16:uniqueId val="{00000010-E488-4B57-905C-1BBFB264070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7571449402158089E-2"/>
          <c:y val="0.12698412698412698"/>
          <c:w val="0.87696558763487897"/>
          <c:h val="0.48405668041494815"/>
        </c:manualLayout>
      </c:layout>
      <c:barChart>
        <c:barDir val="col"/>
        <c:grouping val="percentStacked"/>
        <c:varyColors val="0"/>
        <c:ser>
          <c:idx val="0"/>
          <c:order val="0"/>
          <c:tx>
            <c:strRef>
              <c:f>Sheet1!$B$1</c:f>
              <c:strCache>
                <c:ptCount val="1"/>
                <c:pt idx="0">
                  <c:v>Sand </c:v>
                </c:pt>
              </c:strCache>
            </c:strRef>
          </c:tx>
          <c:spPr>
            <a:solidFill>
              <a:schemeClr val="accent1"/>
            </a:solidFill>
            <a:ln>
              <a:noFill/>
            </a:ln>
            <a:effectLst/>
          </c:spPr>
          <c:invertIfNegative val="0"/>
          <c:cat>
            <c:strRef>
              <c:f>Sheet1!$A$2:$A$11</c:f>
              <c:strCache>
                <c:ptCount val="10"/>
                <c:pt idx="0">
                  <c:v>Climate Change </c:v>
                </c:pt>
                <c:pt idx="1">
                  <c:v>Ozone Depletion</c:v>
                </c:pt>
                <c:pt idx="2">
                  <c:v>Ionizing Radiation</c:v>
                </c:pt>
                <c:pt idx="3">
                  <c:v>Human Toxicity</c:v>
                </c:pt>
                <c:pt idx="4">
                  <c:v>Particulate Matter</c:v>
                </c:pt>
                <c:pt idx="5">
                  <c:v>Photochemical Ozone Formation</c:v>
                </c:pt>
                <c:pt idx="6">
                  <c:v>Eutrophication</c:v>
                </c:pt>
                <c:pt idx="7">
                  <c:v>Acidification</c:v>
                </c:pt>
                <c:pt idx="8">
                  <c:v>Resource Use</c:v>
                </c:pt>
                <c:pt idx="9">
                  <c:v>Ecotoxicity</c:v>
                </c:pt>
              </c:strCache>
            </c:strRef>
          </c:cat>
          <c:val>
            <c:numRef>
              <c:f>Sheet1!$B$2:$B$11</c:f>
              <c:numCache>
                <c:formatCode>General</c:formatCode>
                <c:ptCount val="10"/>
                <c:pt idx="0">
                  <c:v>5</c:v>
                </c:pt>
                <c:pt idx="1">
                  <c:v>2</c:v>
                </c:pt>
                <c:pt idx="2">
                  <c:v>1</c:v>
                </c:pt>
                <c:pt idx="3">
                  <c:v>4.5</c:v>
                </c:pt>
                <c:pt idx="4">
                  <c:v>2</c:v>
                </c:pt>
                <c:pt idx="5">
                  <c:v>2</c:v>
                </c:pt>
                <c:pt idx="6">
                  <c:v>5</c:v>
                </c:pt>
                <c:pt idx="7">
                  <c:v>8</c:v>
                </c:pt>
                <c:pt idx="8">
                  <c:v>6</c:v>
                </c:pt>
                <c:pt idx="9">
                  <c:v>2</c:v>
                </c:pt>
              </c:numCache>
            </c:numRef>
          </c:val>
          <c:extLst>
            <c:ext xmlns:c16="http://schemas.microsoft.com/office/drawing/2014/chart" uri="{C3380CC4-5D6E-409C-BE32-E72D297353CC}">
              <c16:uniqueId val="{00000000-6A67-4DBD-8C1B-8C127CCD58AC}"/>
            </c:ext>
          </c:extLst>
        </c:ser>
        <c:ser>
          <c:idx val="1"/>
          <c:order val="1"/>
          <c:tx>
            <c:strRef>
              <c:f>Sheet1!$C$1</c:f>
              <c:strCache>
                <c:ptCount val="1"/>
                <c:pt idx="0">
                  <c:v>Gravel</c:v>
                </c:pt>
              </c:strCache>
            </c:strRef>
          </c:tx>
          <c:spPr>
            <a:solidFill>
              <a:schemeClr val="accent2"/>
            </a:solidFill>
            <a:ln>
              <a:noFill/>
            </a:ln>
            <a:effectLst/>
          </c:spPr>
          <c:invertIfNegative val="0"/>
          <c:cat>
            <c:strRef>
              <c:f>Sheet1!$A$2:$A$11</c:f>
              <c:strCache>
                <c:ptCount val="10"/>
                <c:pt idx="0">
                  <c:v>Climate Change </c:v>
                </c:pt>
                <c:pt idx="1">
                  <c:v>Ozone Depletion</c:v>
                </c:pt>
                <c:pt idx="2">
                  <c:v>Ionizing Radiation</c:v>
                </c:pt>
                <c:pt idx="3">
                  <c:v>Human Toxicity</c:v>
                </c:pt>
                <c:pt idx="4">
                  <c:v>Particulate Matter</c:v>
                </c:pt>
                <c:pt idx="5">
                  <c:v>Photochemical Ozone Formation</c:v>
                </c:pt>
                <c:pt idx="6">
                  <c:v>Eutrophication</c:v>
                </c:pt>
                <c:pt idx="7">
                  <c:v>Acidification</c:v>
                </c:pt>
                <c:pt idx="8">
                  <c:v>Resource Use</c:v>
                </c:pt>
                <c:pt idx="9">
                  <c:v>Ecotoxicity</c:v>
                </c:pt>
              </c:strCache>
            </c:strRef>
          </c:cat>
          <c:val>
            <c:numRef>
              <c:f>Sheet1!$C$2:$C$11</c:f>
              <c:numCache>
                <c:formatCode>General</c:formatCode>
                <c:ptCount val="10"/>
                <c:pt idx="0">
                  <c:v>2.4</c:v>
                </c:pt>
                <c:pt idx="1">
                  <c:v>1</c:v>
                </c:pt>
                <c:pt idx="2">
                  <c:v>2</c:v>
                </c:pt>
                <c:pt idx="3">
                  <c:v>2.8</c:v>
                </c:pt>
                <c:pt idx="4">
                  <c:v>1</c:v>
                </c:pt>
                <c:pt idx="5">
                  <c:v>3</c:v>
                </c:pt>
                <c:pt idx="6">
                  <c:v>5</c:v>
                </c:pt>
                <c:pt idx="7">
                  <c:v>4</c:v>
                </c:pt>
                <c:pt idx="8">
                  <c:v>9</c:v>
                </c:pt>
                <c:pt idx="9">
                  <c:v>5</c:v>
                </c:pt>
              </c:numCache>
            </c:numRef>
          </c:val>
          <c:extLst>
            <c:ext xmlns:c16="http://schemas.microsoft.com/office/drawing/2014/chart" uri="{C3380CC4-5D6E-409C-BE32-E72D297353CC}">
              <c16:uniqueId val="{00000001-6A67-4DBD-8C1B-8C127CCD58AC}"/>
            </c:ext>
          </c:extLst>
        </c:ser>
        <c:ser>
          <c:idx val="2"/>
          <c:order val="2"/>
          <c:tx>
            <c:strRef>
              <c:f>Sheet1!$D$1</c:f>
              <c:strCache>
                <c:ptCount val="1"/>
                <c:pt idx="0">
                  <c:v>Cement </c:v>
                </c:pt>
              </c:strCache>
            </c:strRef>
          </c:tx>
          <c:spPr>
            <a:solidFill>
              <a:schemeClr val="accent3"/>
            </a:solidFill>
            <a:ln>
              <a:noFill/>
            </a:ln>
            <a:effectLst/>
          </c:spPr>
          <c:invertIfNegative val="0"/>
          <c:cat>
            <c:strRef>
              <c:f>Sheet1!$A$2:$A$11</c:f>
              <c:strCache>
                <c:ptCount val="10"/>
                <c:pt idx="0">
                  <c:v>Climate Change </c:v>
                </c:pt>
                <c:pt idx="1">
                  <c:v>Ozone Depletion</c:v>
                </c:pt>
                <c:pt idx="2">
                  <c:v>Ionizing Radiation</c:v>
                </c:pt>
                <c:pt idx="3">
                  <c:v>Human Toxicity</c:v>
                </c:pt>
                <c:pt idx="4">
                  <c:v>Particulate Matter</c:v>
                </c:pt>
                <c:pt idx="5">
                  <c:v>Photochemical Ozone Formation</c:v>
                </c:pt>
                <c:pt idx="6">
                  <c:v>Eutrophication</c:v>
                </c:pt>
                <c:pt idx="7">
                  <c:v>Acidification</c:v>
                </c:pt>
                <c:pt idx="8">
                  <c:v>Resource Use</c:v>
                </c:pt>
                <c:pt idx="9">
                  <c:v>Ecotoxicity</c:v>
                </c:pt>
              </c:strCache>
            </c:strRef>
          </c:cat>
          <c:val>
            <c:numRef>
              <c:f>Sheet1!$D$2:$D$11</c:f>
              <c:numCache>
                <c:formatCode>General</c:formatCode>
                <c:ptCount val="10"/>
                <c:pt idx="0">
                  <c:v>10</c:v>
                </c:pt>
                <c:pt idx="1">
                  <c:v>10</c:v>
                </c:pt>
                <c:pt idx="2">
                  <c:v>10</c:v>
                </c:pt>
                <c:pt idx="3">
                  <c:v>12</c:v>
                </c:pt>
                <c:pt idx="4">
                  <c:v>34</c:v>
                </c:pt>
                <c:pt idx="5">
                  <c:v>10</c:v>
                </c:pt>
                <c:pt idx="6">
                  <c:v>30</c:v>
                </c:pt>
                <c:pt idx="7">
                  <c:v>15</c:v>
                </c:pt>
                <c:pt idx="8">
                  <c:v>25</c:v>
                </c:pt>
                <c:pt idx="9">
                  <c:v>9</c:v>
                </c:pt>
              </c:numCache>
            </c:numRef>
          </c:val>
          <c:extLst>
            <c:ext xmlns:c16="http://schemas.microsoft.com/office/drawing/2014/chart" uri="{C3380CC4-5D6E-409C-BE32-E72D297353CC}">
              <c16:uniqueId val="{00000002-6A67-4DBD-8C1B-8C127CCD58AC}"/>
            </c:ext>
          </c:extLst>
        </c:ser>
        <c:ser>
          <c:idx val="3"/>
          <c:order val="3"/>
          <c:tx>
            <c:strRef>
              <c:f>Sheet1!$E$1</c:f>
              <c:strCache>
                <c:ptCount val="1"/>
                <c:pt idx="0">
                  <c:v>Bricks </c:v>
                </c:pt>
              </c:strCache>
            </c:strRef>
          </c:tx>
          <c:spPr>
            <a:solidFill>
              <a:schemeClr val="accent4"/>
            </a:solidFill>
            <a:ln>
              <a:noFill/>
            </a:ln>
            <a:effectLst/>
          </c:spPr>
          <c:invertIfNegative val="0"/>
          <c:cat>
            <c:strRef>
              <c:f>Sheet1!$A$2:$A$11</c:f>
              <c:strCache>
                <c:ptCount val="10"/>
                <c:pt idx="0">
                  <c:v>Climate Change </c:v>
                </c:pt>
                <c:pt idx="1">
                  <c:v>Ozone Depletion</c:v>
                </c:pt>
                <c:pt idx="2">
                  <c:v>Ionizing Radiation</c:v>
                </c:pt>
                <c:pt idx="3">
                  <c:v>Human Toxicity</c:v>
                </c:pt>
                <c:pt idx="4">
                  <c:v>Particulate Matter</c:v>
                </c:pt>
                <c:pt idx="5">
                  <c:v>Photochemical Ozone Formation</c:v>
                </c:pt>
                <c:pt idx="6">
                  <c:v>Eutrophication</c:v>
                </c:pt>
                <c:pt idx="7">
                  <c:v>Acidification</c:v>
                </c:pt>
                <c:pt idx="8">
                  <c:v>Resource Use</c:v>
                </c:pt>
                <c:pt idx="9">
                  <c:v>Ecotoxicity</c:v>
                </c:pt>
              </c:strCache>
            </c:strRef>
          </c:cat>
          <c:val>
            <c:numRef>
              <c:f>Sheet1!$E$2:$E$11</c:f>
              <c:numCache>
                <c:formatCode>General</c:formatCode>
                <c:ptCount val="10"/>
                <c:pt idx="0">
                  <c:v>3</c:v>
                </c:pt>
                <c:pt idx="1">
                  <c:v>5</c:v>
                </c:pt>
                <c:pt idx="2">
                  <c:v>1</c:v>
                </c:pt>
                <c:pt idx="3">
                  <c:v>8</c:v>
                </c:pt>
                <c:pt idx="4">
                  <c:v>11</c:v>
                </c:pt>
                <c:pt idx="5">
                  <c:v>4</c:v>
                </c:pt>
                <c:pt idx="6">
                  <c:v>7</c:v>
                </c:pt>
                <c:pt idx="7">
                  <c:v>5</c:v>
                </c:pt>
                <c:pt idx="8">
                  <c:v>4</c:v>
                </c:pt>
                <c:pt idx="9">
                  <c:v>5</c:v>
                </c:pt>
              </c:numCache>
            </c:numRef>
          </c:val>
          <c:extLst>
            <c:ext xmlns:c16="http://schemas.microsoft.com/office/drawing/2014/chart" uri="{C3380CC4-5D6E-409C-BE32-E72D297353CC}">
              <c16:uniqueId val="{00000003-6A67-4DBD-8C1B-8C127CCD58AC}"/>
            </c:ext>
          </c:extLst>
        </c:ser>
        <c:ser>
          <c:idx val="4"/>
          <c:order val="4"/>
          <c:tx>
            <c:strRef>
              <c:f>Sheet1!$F$1</c:f>
              <c:strCache>
                <c:ptCount val="1"/>
                <c:pt idx="0">
                  <c:v>Wood</c:v>
                </c:pt>
              </c:strCache>
            </c:strRef>
          </c:tx>
          <c:spPr>
            <a:solidFill>
              <a:schemeClr val="accent5"/>
            </a:solidFill>
            <a:ln>
              <a:noFill/>
            </a:ln>
            <a:effectLst/>
          </c:spPr>
          <c:invertIfNegative val="0"/>
          <c:cat>
            <c:strRef>
              <c:f>Sheet1!$A$2:$A$11</c:f>
              <c:strCache>
                <c:ptCount val="10"/>
                <c:pt idx="0">
                  <c:v>Climate Change </c:v>
                </c:pt>
                <c:pt idx="1">
                  <c:v>Ozone Depletion</c:v>
                </c:pt>
                <c:pt idx="2">
                  <c:v>Ionizing Radiation</c:v>
                </c:pt>
                <c:pt idx="3">
                  <c:v>Human Toxicity</c:v>
                </c:pt>
                <c:pt idx="4">
                  <c:v>Particulate Matter</c:v>
                </c:pt>
                <c:pt idx="5">
                  <c:v>Photochemical Ozone Formation</c:v>
                </c:pt>
                <c:pt idx="6">
                  <c:v>Eutrophication</c:v>
                </c:pt>
                <c:pt idx="7">
                  <c:v>Acidification</c:v>
                </c:pt>
                <c:pt idx="8">
                  <c:v>Resource Use</c:v>
                </c:pt>
                <c:pt idx="9">
                  <c:v>Ecotoxicity</c:v>
                </c:pt>
              </c:strCache>
            </c:strRef>
          </c:cat>
          <c:val>
            <c:numRef>
              <c:f>Sheet1!$F$2:$F$11</c:f>
              <c:numCache>
                <c:formatCode>General</c:formatCode>
                <c:ptCount val="10"/>
                <c:pt idx="0">
                  <c:v>2</c:v>
                </c:pt>
                <c:pt idx="1">
                  <c:v>2</c:v>
                </c:pt>
                <c:pt idx="2">
                  <c:v>1</c:v>
                </c:pt>
                <c:pt idx="3">
                  <c:v>3</c:v>
                </c:pt>
                <c:pt idx="4">
                  <c:v>4</c:v>
                </c:pt>
                <c:pt idx="5">
                  <c:v>2</c:v>
                </c:pt>
                <c:pt idx="6">
                  <c:v>12</c:v>
                </c:pt>
                <c:pt idx="7">
                  <c:v>5</c:v>
                </c:pt>
                <c:pt idx="8">
                  <c:v>3</c:v>
                </c:pt>
                <c:pt idx="9">
                  <c:v>4</c:v>
                </c:pt>
              </c:numCache>
            </c:numRef>
          </c:val>
          <c:extLst>
            <c:ext xmlns:c16="http://schemas.microsoft.com/office/drawing/2014/chart" uri="{C3380CC4-5D6E-409C-BE32-E72D297353CC}">
              <c16:uniqueId val="{00000004-6A67-4DBD-8C1B-8C127CCD58AC}"/>
            </c:ext>
          </c:extLst>
        </c:ser>
        <c:ser>
          <c:idx val="5"/>
          <c:order val="5"/>
          <c:tx>
            <c:strRef>
              <c:f>Sheet1!$G$1</c:f>
              <c:strCache>
                <c:ptCount val="1"/>
                <c:pt idx="0">
                  <c:v>Steel</c:v>
                </c:pt>
              </c:strCache>
            </c:strRef>
          </c:tx>
          <c:spPr>
            <a:solidFill>
              <a:schemeClr val="accent6"/>
            </a:solidFill>
            <a:ln>
              <a:noFill/>
            </a:ln>
            <a:effectLst/>
          </c:spPr>
          <c:invertIfNegative val="0"/>
          <c:cat>
            <c:strRef>
              <c:f>Sheet1!$A$2:$A$11</c:f>
              <c:strCache>
                <c:ptCount val="10"/>
                <c:pt idx="0">
                  <c:v>Climate Change </c:v>
                </c:pt>
                <c:pt idx="1">
                  <c:v>Ozone Depletion</c:v>
                </c:pt>
                <c:pt idx="2">
                  <c:v>Ionizing Radiation</c:v>
                </c:pt>
                <c:pt idx="3">
                  <c:v>Human Toxicity</c:v>
                </c:pt>
                <c:pt idx="4">
                  <c:v>Particulate Matter</c:v>
                </c:pt>
                <c:pt idx="5">
                  <c:v>Photochemical Ozone Formation</c:v>
                </c:pt>
                <c:pt idx="6">
                  <c:v>Eutrophication</c:v>
                </c:pt>
                <c:pt idx="7">
                  <c:v>Acidification</c:v>
                </c:pt>
                <c:pt idx="8">
                  <c:v>Resource Use</c:v>
                </c:pt>
                <c:pt idx="9">
                  <c:v>Ecotoxicity</c:v>
                </c:pt>
              </c:strCache>
            </c:strRef>
          </c:cat>
          <c:val>
            <c:numRef>
              <c:f>Sheet1!$G$2:$G$11</c:f>
              <c:numCache>
                <c:formatCode>General</c:formatCode>
                <c:ptCount val="10"/>
                <c:pt idx="0">
                  <c:v>1</c:v>
                </c:pt>
                <c:pt idx="1">
                  <c:v>1</c:v>
                </c:pt>
                <c:pt idx="2">
                  <c:v>1</c:v>
                </c:pt>
                <c:pt idx="3">
                  <c:v>1</c:v>
                </c:pt>
                <c:pt idx="4">
                  <c:v>1</c:v>
                </c:pt>
                <c:pt idx="5">
                  <c:v>1</c:v>
                </c:pt>
                <c:pt idx="6">
                  <c:v>2</c:v>
                </c:pt>
                <c:pt idx="7">
                  <c:v>1</c:v>
                </c:pt>
                <c:pt idx="8">
                  <c:v>2</c:v>
                </c:pt>
                <c:pt idx="9">
                  <c:v>1</c:v>
                </c:pt>
              </c:numCache>
            </c:numRef>
          </c:val>
          <c:extLst>
            <c:ext xmlns:c16="http://schemas.microsoft.com/office/drawing/2014/chart" uri="{C3380CC4-5D6E-409C-BE32-E72D297353CC}">
              <c16:uniqueId val="{00000005-6A67-4DBD-8C1B-8C127CCD58AC}"/>
            </c:ext>
          </c:extLst>
        </c:ser>
        <c:dLbls>
          <c:showLegendKey val="0"/>
          <c:showVal val="0"/>
          <c:showCatName val="0"/>
          <c:showSerName val="0"/>
          <c:showPercent val="0"/>
          <c:showBubbleSize val="0"/>
        </c:dLbls>
        <c:gapWidth val="150"/>
        <c:overlap val="100"/>
        <c:axId val="341429631"/>
        <c:axId val="1954751775"/>
      </c:barChart>
      <c:catAx>
        <c:axId val="3414296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954751775"/>
        <c:crosses val="autoZero"/>
        <c:auto val="1"/>
        <c:lblAlgn val="ctr"/>
        <c:lblOffset val="100"/>
        <c:noMultiLvlLbl val="0"/>
      </c:catAx>
      <c:valAx>
        <c:axId val="195475177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3414296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6.9372995042286376E-2"/>
          <c:y val="0.17460317460317459"/>
          <c:w val="0.90516404199475065"/>
          <c:h val="0.59897450318710144"/>
        </c:manualLayout>
      </c:layout>
      <c:barChart>
        <c:barDir val="col"/>
        <c:grouping val="clustered"/>
        <c:varyColors val="0"/>
        <c:ser>
          <c:idx val="0"/>
          <c:order val="0"/>
          <c:tx>
            <c:strRef>
              <c:f>Sheet1!$B$1</c:f>
              <c:strCache>
                <c:ptCount val="1"/>
                <c:pt idx="0">
                  <c:v>Concrete</c:v>
                </c:pt>
              </c:strCache>
            </c:strRef>
          </c:tx>
          <c:spPr>
            <a:solidFill>
              <a:schemeClr val="accent6">
                <a:lumMod val="50000"/>
              </a:schemeClr>
            </a:solidFill>
            <a:ln>
              <a:solidFill>
                <a:schemeClr val="accent6">
                  <a:lumMod val="50000"/>
                </a:schemeClr>
              </a:solidFill>
            </a:ln>
            <a:effectLst/>
          </c:spPr>
          <c:invertIfNegative val="0"/>
          <c:cat>
            <c:strRef>
              <c:f>Sheet1!$A$2:$A$6</c:f>
              <c:strCache>
                <c:ptCount val="5"/>
                <c:pt idx="0">
                  <c:v>Stripped Soil Disposal</c:v>
                </c:pt>
                <c:pt idx="1">
                  <c:v>Production</c:v>
                </c:pt>
                <c:pt idx="2">
                  <c:v>Bituminous Surface Production</c:v>
                </c:pt>
                <c:pt idx="3">
                  <c:v>Energy Consumption</c:v>
                </c:pt>
                <c:pt idx="4">
                  <c:v>Human Health Impact </c:v>
                </c:pt>
              </c:strCache>
            </c:strRef>
          </c:cat>
          <c:val>
            <c:numRef>
              <c:f>Sheet1!$B$2:$B$6</c:f>
              <c:numCache>
                <c:formatCode>General</c:formatCode>
                <c:ptCount val="5"/>
                <c:pt idx="0">
                  <c:v>4.3</c:v>
                </c:pt>
                <c:pt idx="1">
                  <c:v>5.8</c:v>
                </c:pt>
                <c:pt idx="2">
                  <c:v>6.89</c:v>
                </c:pt>
                <c:pt idx="3">
                  <c:v>4.5</c:v>
                </c:pt>
                <c:pt idx="4">
                  <c:v>8.9</c:v>
                </c:pt>
              </c:numCache>
            </c:numRef>
          </c:val>
          <c:extLst>
            <c:ext xmlns:c16="http://schemas.microsoft.com/office/drawing/2014/chart" uri="{C3380CC4-5D6E-409C-BE32-E72D297353CC}">
              <c16:uniqueId val="{00000000-BEE2-48A8-B7BE-7B216F795EFC}"/>
            </c:ext>
          </c:extLst>
        </c:ser>
        <c:ser>
          <c:idx val="1"/>
          <c:order val="1"/>
          <c:tx>
            <c:strRef>
              <c:f>Sheet1!$C$1</c:f>
              <c:strCache>
                <c:ptCount val="1"/>
                <c:pt idx="0">
                  <c:v>Pre-cast Concrete</c:v>
                </c:pt>
              </c:strCache>
            </c:strRef>
          </c:tx>
          <c:spPr>
            <a:solidFill>
              <a:schemeClr val="accent2"/>
            </a:solidFill>
            <a:ln>
              <a:noFill/>
            </a:ln>
            <a:effectLst/>
          </c:spPr>
          <c:invertIfNegative val="0"/>
          <c:cat>
            <c:strRef>
              <c:f>Sheet1!$A$2:$A$6</c:f>
              <c:strCache>
                <c:ptCount val="5"/>
                <c:pt idx="0">
                  <c:v>Stripped Soil Disposal</c:v>
                </c:pt>
                <c:pt idx="1">
                  <c:v>Production</c:v>
                </c:pt>
                <c:pt idx="2">
                  <c:v>Bituminous Surface Production</c:v>
                </c:pt>
                <c:pt idx="3">
                  <c:v>Energy Consumption</c:v>
                </c:pt>
                <c:pt idx="4">
                  <c:v>Human Health Impact </c:v>
                </c:pt>
              </c:strCache>
            </c:strRef>
          </c:cat>
          <c:val>
            <c:numRef>
              <c:f>Sheet1!$C$2:$C$6</c:f>
              <c:numCache>
                <c:formatCode>General</c:formatCode>
                <c:ptCount val="5"/>
                <c:pt idx="0">
                  <c:v>2.4</c:v>
                </c:pt>
                <c:pt idx="1">
                  <c:v>1.6</c:v>
                </c:pt>
                <c:pt idx="2">
                  <c:v>1.8</c:v>
                </c:pt>
                <c:pt idx="3">
                  <c:v>2.8</c:v>
                </c:pt>
                <c:pt idx="4">
                  <c:v>2.2999999999999998</c:v>
                </c:pt>
              </c:numCache>
            </c:numRef>
          </c:val>
          <c:extLst>
            <c:ext xmlns:c16="http://schemas.microsoft.com/office/drawing/2014/chart" uri="{C3380CC4-5D6E-409C-BE32-E72D297353CC}">
              <c16:uniqueId val="{00000001-BEE2-48A8-B7BE-7B216F795EFC}"/>
            </c:ext>
          </c:extLst>
        </c:ser>
        <c:dLbls>
          <c:showLegendKey val="0"/>
          <c:showVal val="0"/>
          <c:showCatName val="0"/>
          <c:showSerName val="0"/>
          <c:showPercent val="0"/>
          <c:showBubbleSize val="0"/>
        </c:dLbls>
        <c:gapWidth val="219"/>
        <c:overlap val="-27"/>
        <c:axId val="1967337711"/>
        <c:axId val="1686038047"/>
      </c:barChart>
      <c:catAx>
        <c:axId val="19673377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686038047"/>
        <c:crosses val="autoZero"/>
        <c:auto val="1"/>
        <c:lblAlgn val="ctr"/>
        <c:lblOffset val="100"/>
        <c:noMultiLvlLbl val="0"/>
      </c:catAx>
      <c:valAx>
        <c:axId val="16860380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9673377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8157808398950136E-2"/>
          <c:y val="0.17857142857142858"/>
          <c:w val="0.87637922863808693"/>
          <c:h val="0.63859767529058875"/>
        </c:manualLayout>
      </c:layout>
      <c:barChart>
        <c:barDir val="col"/>
        <c:grouping val="clustered"/>
        <c:varyColors val="0"/>
        <c:ser>
          <c:idx val="0"/>
          <c:order val="0"/>
          <c:tx>
            <c:strRef>
              <c:f>Sheet1!$B$1</c:f>
              <c:strCache>
                <c:ptCount val="1"/>
                <c:pt idx="0">
                  <c:v>Natural Stone</c:v>
                </c:pt>
              </c:strCache>
            </c:strRef>
          </c:tx>
          <c:spPr>
            <a:solidFill>
              <a:schemeClr val="accent1"/>
            </a:solidFill>
            <a:ln>
              <a:noFill/>
            </a:ln>
            <a:effectLst/>
          </c:spPr>
          <c:invertIfNegative val="0"/>
          <c:cat>
            <c:strRef>
              <c:f>Sheet1!$A$2:$A$6</c:f>
              <c:strCache>
                <c:ptCount val="5"/>
                <c:pt idx="0">
                  <c:v>Global warming </c:v>
                </c:pt>
                <c:pt idx="1">
                  <c:v>Air pollution</c:v>
                </c:pt>
                <c:pt idx="2">
                  <c:v>Solid waste </c:v>
                </c:pt>
                <c:pt idx="3">
                  <c:v>Water pollution</c:v>
                </c:pt>
                <c:pt idx="4">
                  <c:v>Resource usage </c:v>
                </c:pt>
              </c:strCache>
            </c:strRef>
          </c:cat>
          <c:val>
            <c:numRef>
              <c:f>Sheet1!$B$2:$B$6</c:f>
              <c:numCache>
                <c:formatCode>0%</c:formatCode>
                <c:ptCount val="5"/>
                <c:pt idx="0">
                  <c:v>0.81</c:v>
                </c:pt>
                <c:pt idx="1">
                  <c:v>0.73</c:v>
                </c:pt>
                <c:pt idx="2">
                  <c:v>0.68</c:v>
                </c:pt>
                <c:pt idx="3">
                  <c:v>0.59</c:v>
                </c:pt>
                <c:pt idx="4">
                  <c:v>0.82</c:v>
                </c:pt>
              </c:numCache>
            </c:numRef>
          </c:val>
          <c:extLst>
            <c:ext xmlns:c16="http://schemas.microsoft.com/office/drawing/2014/chart" uri="{C3380CC4-5D6E-409C-BE32-E72D297353CC}">
              <c16:uniqueId val="{00000000-2372-40DC-8389-647D2B9135F2}"/>
            </c:ext>
          </c:extLst>
        </c:ser>
        <c:ser>
          <c:idx val="1"/>
          <c:order val="1"/>
          <c:tx>
            <c:strRef>
              <c:f>Sheet1!$C$1</c:f>
              <c:strCache>
                <c:ptCount val="1"/>
                <c:pt idx="0">
                  <c:v>Reused Stone</c:v>
                </c:pt>
              </c:strCache>
            </c:strRef>
          </c:tx>
          <c:spPr>
            <a:solidFill>
              <a:schemeClr val="accent2"/>
            </a:solidFill>
            <a:ln>
              <a:noFill/>
            </a:ln>
            <a:effectLst/>
          </c:spPr>
          <c:invertIfNegative val="0"/>
          <c:cat>
            <c:strRef>
              <c:f>Sheet1!$A$2:$A$6</c:f>
              <c:strCache>
                <c:ptCount val="5"/>
                <c:pt idx="0">
                  <c:v>Global warming </c:v>
                </c:pt>
                <c:pt idx="1">
                  <c:v>Air pollution</c:v>
                </c:pt>
                <c:pt idx="2">
                  <c:v>Solid waste </c:v>
                </c:pt>
                <c:pt idx="3">
                  <c:v>Water pollution</c:v>
                </c:pt>
                <c:pt idx="4">
                  <c:v>Resource usage </c:v>
                </c:pt>
              </c:strCache>
            </c:strRef>
          </c:cat>
          <c:val>
            <c:numRef>
              <c:f>Sheet1!$C$2:$C$6</c:f>
              <c:numCache>
                <c:formatCode>0%</c:formatCode>
                <c:ptCount val="5"/>
                <c:pt idx="0">
                  <c:v>0.12</c:v>
                </c:pt>
                <c:pt idx="1">
                  <c:v>0.34</c:v>
                </c:pt>
                <c:pt idx="2">
                  <c:v>0.49</c:v>
                </c:pt>
                <c:pt idx="3">
                  <c:v>0.38</c:v>
                </c:pt>
                <c:pt idx="4">
                  <c:v>0.42</c:v>
                </c:pt>
              </c:numCache>
            </c:numRef>
          </c:val>
          <c:extLst>
            <c:ext xmlns:c16="http://schemas.microsoft.com/office/drawing/2014/chart" uri="{C3380CC4-5D6E-409C-BE32-E72D297353CC}">
              <c16:uniqueId val="{00000001-2372-40DC-8389-647D2B9135F2}"/>
            </c:ext>
          </c:extLst>
        </c:ser>
        <c:dLbls>
          <c:showLegendKey val="0"/>
          <c:showVal val="0"/>
          <c:showCatName val="0"/>
          <c:showSerName val="0"/>
          <c:showPercent val="0"/>
          <c:showBubbleSize val="0"/>
        </c:dLbls>
        <c:gapWidth val="219"/>
        <c:overlap val="-27"/>
        <c:axId val="1962410143"/>
        <c:axId val="2046575247"/>
      </c:barChart>
      <c:catAx>
        <c:axId val="19624101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2046575247"/>
        <c:crosses val="autoZero"/>
        <c:auto val="1"/>
        <c:lblAlgn val="ctr"/>
        <c:lblOffset val="100"/>
        <c:noMultiLvlLbl val="0"/>
      </c:catAx>
      <c:valAx>
        <c:axId val="2046575247"/>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9624101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900">
          <a:solidFill>
            <a:sysClr val="windowText" lastClr="000000"/>
          </a:solidFill>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0456984543598717"/>
          <c:y val="0.12698412698412698"/>
          <c:w val="0.79589311752697578"/>
          <c:h val="0.69018497687789027"/>
        </c:manualLayout>
      </c:layout>
      <c:lineChart>
        <c:grouping val="standard"/>
        <c:varyColors val="0"/>
        <c:ser>
          <c:idx val="0"/>
          <c:order val="0"/>
          <c:tx>
            <c:strRef>
              <c:f>Sheet1!$B$1</c:f>
              <c:strCache>
                <c:ptCount val="1"/>
                <c:pt idx="0">
                  <c:v>REC,  PCOP</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Sheet1!$A$2:$A$19</c:f>
              <c:numCache>
                <c:formatCode>General</c:formatCode>
                <c:ptCount val="18"/>
                <c:pt idx="0">
                  <c:v>0</c:v>
                </c:pt>
                <c:pt idx="1">
                  <c:v>100</c:v>
                </c:pt>
                <c:pt idx="2">
                  <c:v>200</c:v>
                </c:pt>
                <c:pt idx="3">
                  <c:v>300</c:v>
                </c:pt>
                <c:pt idx="4">
                  <c:v>400</c:v>
                </c:pt>
                <c:pt idx="5">
                  <c:v>500</c:v>
                </c:pt>
                <c:pt idx="6">
                  <c:v>600</c:v>
                </c:pt>
                <c:pt idx="7">
                  <c:v>700</c:v>
                </c:pt>
                <c:pt idx="8">
                  <c:v>800</c:v>
                </c:pt>
                <c:pt idx="9">
                  <c:v>900</c:v>
                </c:pt>
                <c:pt idx="10">
                  <c:v>1000</c:v>
                </c:pt>
                <c:pt idx="11">
                  <c:v>1100</c:v>
                </c:pt>
                <c:pt idx="12">
                  <c:v>1200</c:v>
                </c:pt>
                <c:pt idx="13">
                  <c:v>1300</c:v>
                </c:pt>
                <c:pt idx="14">
                  <c:v>1400</c:v>
                </c:pt>
                <c:pt idx="15">
                  <c:v>1500</c:v>
                </c:pt>
                <c:pt idx="16">
                  <c:v>1600</c:v>
                </c:pt>
                <c:pt idx="17">
                  <c:v>1700</c:v>
                </c:pt>
              </c:numCache>
            </c:numRef>
          </c:cat>
          <c:val>
            <c:numRef>
              <c:f>Sheet1!$B$2:$B$19</c:f>
              <c:numCache>
                <c:formatCode>General</c:formatCode>
                <c:ptCount val="18"/>
                <c:pt idx="0">
                  <c:v>0</c:v>
                </c:pt>
                <c:pt idx="1">
                  <c:v>0.5</c:v>
                </c:pt>
                <c:pt idx="2">
                  <c:v>0.9</c:v>
                </c:pt>
                <c:pt idx="3">
                  <c:v>1.5</c:v>
                </c:pt>
                <c:pt idx="4">
                  <c:v>1.9</c:v>
                </c:pt>
                <c:pt idx="5">
                  <c:v>2.5</c:v>
                </c:pt>
                <c:pt idx="6">
                  <c:v>3</c:v>
                </c:pt>
                <c:pt idx="7">
                  <c:v>4</c:v>
                </c:pt>
                <c:pt idx="8">
                  <c:v>4.7</c:v>
                </c:pt>
                <c:pt idx="9">
                  <c:v>5.8</c:v>
                </c:pt>
                <c:pt idx="10">
                  <c:v>6.7</c:v>
                </c:pt>
                <c:pt idx="11">
                  <c:v>7.5</c:v>
                </c:pt>
                <c:pt idx="12">
                  <c:v>8.6</c:v>
                </c:pt>
                <c:pt idx="13">
                  <c:v>9.6999999999999993</c:v>
                </c:pt>
                <c:pt idx="14">
                  <c:v>10.6</c:v>
                </c:pt>
                <c:pt idx="15">
                  <c:v>11.2</c:v>
                </c:pt>
                <c:pt idx="16">
                  <c:v>12.5</c:v>
                </c:pt>
                <c:pt idx="17">
                  <c:v>14</c:v>
                </c:pt>
              </c:numCache>
            </c:numRef>
          </c:val>
          <c:smooth val="0"/>
          <c:extLst>
            <c:ext xmlns:c16="http://schemas.microsoft.com/office/drawing/2014/chart" uri="{C3380CC4-5D6E-409C-BE32-E72D297353CC}">
              <c16:uniqueId val="{00000000-71F6-467B-BBAE-59A7A0664D18}"/>
            </c:ext>
          </c:extLst>
        </c:ser>
        <c:ser>
          <c:idx val="1"/>
          <c:order val="1"/>
          <c:tx>
            <c:strRef>
              <c:f>Sheet1!$C$1</c:f>
              <c:strCache>
                <c:ptCount val="1"/>
                <c:pt idx="0">
                  <c:v>NEW, PCOP</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Sheet1!$A$2:$A$19</c:f>
              <c:numCache>
                <c:formatCode>General</c:formatCode>
                <c:ptCount val="18"/>
                <c:pt idx="0">
                  <c:v>0</c:v>
                </c:pt>
                <c:pt idx="1">
                  <c:v>100</c:v>
                </c:pt>
                <c:pt idx="2">
                  <c:v>200</c:v>
                </c:pt>
                <c:pt idx="3">
                  <c:v>300</c:v>
                </c:pt>
                <c:pt idx="4">
                  <c:v>400</c:v>
                </c:pt>
                <c:pt idx="5">
                  <c:v>500</c:v>
                </c:pt>
                <c:pt idx="6">
                  <c:v>600</c:v>
                </c:pt>
                <c:pt idx="7">
                  <c:v>700</c:v>
                </c:pt>
                <c:pt idx="8">
                  <c:v>800</c:v>
                </c:pt>
                <c:pt idx="9">
                  <c:v>900</c:v>
                </c:pt>
                <c:pt idx="10">
                  <c:v>1000</c:v>
                </c:pt>
                <c:pt idx="11">
                  <c:v>1100</c:v>
                </c:pt>
                <c:pt idx="12">
                  <c:v>1200</c:v>
                </c:pt>
                <c:pt idx="13">
                  <c:v>1300</c:v>
                </c:pt>
                <c:pt idx="14">
                  <c:v>1400</c:v>
                </c:pt>
                <c:pt idx="15">
                  <c:v>1500</c:v>
                </c:pt>
                <c:pt idx="16">
                  <c:v>1600</c:v>
                </c:pt>
                <c:pt idx="17">
                  <c:v>1700</c:v>
                </c:pt>
              </c:numCache>
            </c:numRef>
          </c:cat>
          <c:val>
            <c:numRef>
              <c:f>Sheet1!$C$2:$C$19</c:f>
              <c:numCache>
                <c:formatCode>General</c:formatCode>
                <c:ptCount val="18"/>
                <c:pt idx="0">
                  <c:v>0</c:v>
                </c:pt>
                <c:pt idx="1">
                  <c:v>0.8</c:v>
                </c:pt>
                <c:pt idx="2">
                  <c:v>1.5</c:v>
                </c:pt>
                <c:pt idx="3">
                  <c:v>1.8</c:v>
                </c:pt>
                <c:pt idx="4">
                  <c:v>2.2999999999999998</c:v>
                </c:pt>
                <c:pt idx="5">
                  <c:v>2.6</c:v>
                </c:pt>
                <c:pt idx="6">
                  <c:v>3.5</c:v>
                </c:pt>
                <c:pt idx="7">
                  <c:v>4.5</c:v>
                </c:pt>
                <c:pt idx="8">
                  <c:v>5.6</c:v>
                </c:pt>
                <c:pt idx="9">
                  <c:v>6.9</c:v>
                </c:pt>
                <c:pt idx="10">
                  <c:v>7.9</c:v>
                </c:pt>
                <c:pt idx="11">
                  <c:v>8.5</c:v>
                </c:pt>
                <c:pt idx="12">
                  <c:v>9.4</c:v>
                </c:pt>
                <c:pt idx="13">
                  <c:v>10.6</c:v>
                </c:pt>
                <c:pt idx="14">
                  <c:v>11.6</c:v>
                </c:pt>
                <c:pt idx="15">
                  <c:v>12</c:v>
                </c:pt>
                <c:pt idx="16">
                  <c:v>13.7</c:v>
                </c:pt>
                <c:pt idx="17">
                  <c:v>15.8</c:v>
                </c:pt>
              </c:numCache>
            </c:numRef>
          </c:val>
          <c:smooth val="0"/>
          <c:extLst>
            <c:ext xmlns:c16="http://schemas.microsoft.com/office/drawing/2014/chart" uri="{C3380CC4-5D6E-409C-BE32-E72D297353CC}">
              <c16:uniqueId val="{00000001-71F6-467B-BBAE-59A7A0664D18}"/>
            </c:ext>
          </c:extLst>
        </c:ser>
        <c:ser>
          <c:idx val="2"/>
          <c:order val="2"/>
          <c:tx>
            <c:strRef>
              <c:f>Sheet1!$D$1</c:f>
              <c:strCache>
                <c:ptCount val="1"/>
                <c:pt idx="0">
                  <c:v>REC,EUTROPHI</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Sheet1!$A$2:$A$19</c:f>
              <c:numCache>
                <c:formatCode>General</c:formatCode>
                <c:ptCount val="18"/>
                <c:pt idx="0">
                  <c:v>0</c:v>
                </c:pt>
                <c:pt idx="1">
                  <c:v>100</c:v>
                </c:pt>
                <c:pt idx="2">
                  <c:v>200</c:v>
                </c:pt>
                <c:pt idx="3">
                  <c:v>300</c:v>
                </c:pt>
                <c:pt idx="4">
                  <c:v>400</c:v>
                </c:pt>
                <c:pt idx="5">
                  <c:v>500</c:v>
                </c:pt>
                <c:pt idx="6">
                  <c:v>600</c:v>
                </c:pt>
                <c:pt idx="7">
                  <c:v>700</c:v>
                </c:pt>
                <c:pt idx="8">
                  <c:v>800</c:v>
                </c:pt>
                <c:pt idx="9">
                  <c:v>900</c:v>
                </c:pt>
                <c:pt idx="10">
                  <c:v>1000</c:v>
                </c:pt>
                <c:pt idx="11">
                  <c:v>1100</c:v>
                </c:pt>
                <c:pt idx="12">
                  <c:v>1200</c:v>
                </c:pt>
                <c:pt idx="13">
                  <c:v>1300</c:v>
                </c:pt>
                <c:pt idx="14">
                  <c:v>1400</c:v>
                </c:pt>
                <c:pt idx="15">
                  <c:v>1500</c:v>
                </c:pt>
                <c:pt idx="16">
                  <c:v>1600</c:v>
                </c:pt>
                <c:pt idx="17">
                  <c:v>1700</c:v>
                </c:pt>
              </c:numCache>
            </c:numRef>
          </c:cat>
          <c:val>
            <c:numRef>
              <c:f>Sheet1!$D$2:$D$19</c:f>
              <c:numCache>
                <c:formatCode>General</c:formatCode>
                <c:ptCount val="18"/>
                <c:pt idx="0">
                  <c:v>0.5</c:v>
                </c:pt>
                <c:pt idx="1">
                  <c:v>0.6</c:v>
                </c:pt>
                <c:pt idx="2">
                  <c:v>0.8</c:v>
                </c:pt>
                <c:pt idx="3">
                  <c:v>1.9</c:v>
                </c:pt>
                <c:pt idx="4">
                  <c:v>2.8</c:v>
                </c:pt>
                <c:pt idx="5">
                  <c:v>3.2</c:v>
                </c:pt>
                <c:pt idx="6">
                  <c:v>3.6</c:v>
                </c:pt>
                <c:pt idx="7">
                  <c:v>5</c:v>
                </c:pt>
                <c:pt idx="8">
                  <c:v>6.88</c:v>
                </c:pt>
                <c:pt idx="9">
                  <c:v>7.8</c:v>
                </c:pt>
                <c:pt idx="10">
                  <c:v>9.34</c:v>
                </c:pt>
                <c:pt idx="11">
                  <c:v>10.67</c:v>
                </c:pt>
                <c:pt idx="12">
                  <c:v>11.34</c:v>
                </c:pt>
                <c:pt idx="13">
                  <c:v>12.34</c:v>
                </c:pt>
                <c:pt idx="14">
                  <c:v>13.78</c:v>
                </c:pt>
                <c:pt idx="15">
                  <c:v>14.82</c:v>
                </c:pt>
                <c:pt idx="16">
                  <c:v>15.79</c:v>
                </c:pt>
                <c:pt idx="17">
                  <c:v>17.834</c:v>
                </c:pt>
              </c:numCache>
            </c:numRef>
          </c:val>
          <c:smooth val="0"/>
          <c:extLst>
            <c:ext xmlns:c16="http://schemas.microsoft.com/office/drawing/2014/chart" uri="{C3380CC4-5D6E-409C-BE32-E72D297353CC}">
              <c16:uniqueId val="{00000002-71F6-467B-BBAE-59A7A0664D18}"/>
            </c:ext>
          </c:extLst>
        </c:ser>
        <c:ser>
          <c:idx val="3"/>
          <c:order val="3"/>
          <c:tx>
            <c:strRef>
              <c:f>Sheet1!$E$1</c:f>
              <c:strCache>
                <c:ptCount val="1"/>
                <c:pt idx="0">
                  <c:v>NEW, EUTROPHI</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numRef>
              <c:f>Sheet1!$A$2:$A$19</c:f>
              <c:numCache>
                <c:formatCode>General</c:formatCode>
                <c:ptCount val="18"/>
                <c:pt idx="0">
                  <c:v>0</c:v>
                </c:pt>
                <c:pt idx="1">
                  <c:v>100</c:v>
                </c:pt>
                <c:pt idx="2">
                  <c:v>200</c:v>
                </c:pt>
                <c:pt idx="3">
                  <c:v>300</c:v>
                </c:pt>
                <c:pt idx="4">
                  <c:v>400</c:v>
                </c:pt>
                <c:pt idx="5">
                  <c:v>500</c:v>
                </c:pt>
                <c:pt idx="6">
                  <c:v>600</c:v>
                </c:pt>
                <c:pt idx="7">
                  <c:v>700</c:v>
                </c:pt>
                <c:pt idx="8">
                  <c:v>800</c:v>
                </c:pt>
                <c:pt idx="9">
                  <c:v>900</c:v>
                </c:pt>
                <c:pt idx="10">
                  <c:v>1000</c:v>
                </c:pt>
                <c:pt idx="11">
                  <c:v>1100</c:v>
                </c:pt>
                <c:pt idx="12">
                  <c:v>1200</c:v>
                </c:pt>
                <c:pt idx="13">
                  <c:v>1300</c:v>
                </c:pt>
                <c:pt idx="14">
                  <c:v>1400</c:v>
                </c:pt>
                <c:pt idx="15">
                  <c:v>1500</c:v>
                </c:pt>
                <c:pt idx="16">
                  <c:v>1600</c:v>
                </c:pt>
                <c:pt idx="17">
                  <c:v>1700</c:v>
                </c:pt>
              </c:numCache>
            </c:numRef>
          </c:cat>
          <c:val>
            <c:numRef>
              <c:f>Sheet1!$E$2:$E$19</c:f>
              <c:numCache>
                <c:formatCode>General</c:formatCode>
                <c:ptCount val="18"/>
                <c:pt idx="0">
                  <c:v>0.9</c:v>
                </c:pt>
                <c:pt idx="1">
                  <c:v>1</c:v>
                </c:pt>
                <c:pt idx="2">
                  <c:v>1.5</c:v>
                </c:pt>
                <c:pt idx="3">
                  <c:v>2</c:v>
                </c:pt>
                <c:pt idx="4">
                  <c:v>3.5</c:v>
                </c:pt>
                <c:pt idx="5">
                  <c:v>4.3</c:v>
                </c:pt>
                <c:pt idx="6">
                  <c:v>4.9000000000000004</c:v>
                </c:pt>
                <c:pt idx="7">
                  <c:v>6.5</c:v>
                </c:pt>
                <c:pt idx="8">
                  <c:v>7.98</c:v>
                </c:pt>
                <c:pt idx="9">
                  <c:v>8.9</c:v>
                </c:pt>
                <c:pt idx="10">
                  <c:v>10.4</c:v>
                </c:pt>
                <c:pt idx="11">
                  <c:v>11.67</c:v>
                </c:pt>
                <c:pt idx="12">
                  <c:v>12.78</c:v>
                </c:pt>
                <c:pt idx="13">
                  <c:v>13.56</c:v>
                </c:pt>
                <c:pt idx="14">
                  <c:v>14.45</c:v>
                </c:pt>
                <c:pt idx="15">
                  <c:v>15.682</c:v>
                </c:pt>
                <c:pt idx="16">
                  <c:v>16.89</c:v>
                </c:pt>
                <c:pt idx="17">
                  <c:v>18.93</c:v>
                </c:pt>
              </c:numCache>
            </c:numRef>
          </c:val>
          <c:smooth val="0"/>
          <c:extLst>
            <c:ext xmlns:c16="http://schemas.microsoft.com/office/drawing/2014/chart" uri="{C3380CC4-5D6E-409C-BE32-E72D297353CC}">
              <c16:uniqueId val="{00000003-71F6-467B-BBAE-59A7A0664D18}"/>
            </c:ext>
          </c:extLst>
        </c:ser>
        <c:dLbls>
          <c:showLegendKey val="0"/>
          <c:showVal val="0"/>
          <c:showCatName val="0"/>
          <c:showSerName val="0"/>
          <c:showPercent val="0"/>
          <c:showBubbleSize val="0"/>
        </c:dLbls>
        <c:marker val="1"/>
        <c:smooth val="0"/>
        <c:axId val="383071439"/>
        <c:axId val="404591823"/>
      </c:lineChart>
      <c:catAx>
        <c:axId val="3830714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404591823"/>
        <c:crosses val="autoZero"/>
        <c:auto val="1"/>
        <c:lblAlgn val="ctr"/>
        <c:lblOffset val="100"/>
        <c:noMultiLvlLbl val="0"/>
      </c:catAx>
      <c:valAx>
        <c:axId val="4045918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IN"/>
                  <a:t>C2H4- eq* 100, NO3-e.q</a:t>
                </a:r>
              </a:p>
            </c:rich>
          </c:tx>
          <c:overlay val="0"/>
          <c:spPr>
            <a:noFill/>
            <a:ln>
              <a:noFill/>
            </a:ln>
            <a:effectLst/>
          </c:spPr>
          <c:txPr>
            <a:bodyPr rot="-5400000" spcFirstLastPara="1" vertOverflow="ellipsis" vert="horz" wrap="square" anchor="ctr" anchorCtr="1"/>
            <a:lstStyle/>
            <a:p>
              <a:pPr>
                <a:defRPr sz="8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3830714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8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8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8728856809565474E-2"/>
          <c:y val="0.15873015873015872"/>
          <c:w val="0.8596044765237677"/>
          <c:h val="0.61555368078990125"/>
        </c:manualLayout>
      </c:layout>
      <c:barChart>
        <c:barDir val="col"/>
        <c:grouping val="clustered"/>
        <c:varyColors val="0"/>
        <c:ser>
          <c:idx val="0"/>
          <c:order val="0"/>
          <c:tx>
            <c:strRef>
              <c:f>Sheet1!$B$1</c:f>
              <c:strCache>
                <c:ptCount val="1"/>
                <c:pt idx="0">
                  <c:v>Reused Bricks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Globalwarming Rate</c:v>
                </c:pt>
                <c:pt idx="1">
                  <c:v>Energy Consumption Rate </c:v>
                </c:pt>
                <c:pt idx="2">
                  <c:v>Soil Pollution Rate </c:v>
                </c:pt>
                <c:pt idx="3">
                  <c:v>Performance Rate </c:v>
                </c:pt>
              </c:strCache>
            </c:strRef>
          </c:cat>
          <c:val>
            <c:numRef>
              <c:f>Sheet1!$B$2:$B$5</c:f>
              <c:numCache>
                <c:formatCode>0%</c:formatCode>
                <c:ptCount val="4"/>
                <c:pt idx="0">
                  <c:v>0.1</c:v>
                </c:pt>
                <c:pt idx="1">
                  <c:v>0.15</c:v>
                </c:pt>
                <c:pt idx="2">
                  <c:v>0.12</c:v>
                </c:pt>
                <c:pt idx="3">
                  <c:v>0.75</c:v>
                </c:pt>
              </c:numCache>
            </c:numRef>
          </c:val>
          <c:extLst>
            <c:ext xmlns:c16="http://schemas.microsoft.com/office/drawing/2014/chart" uri="{C3380CC4-5D6E-409C-BE32-E72D297353CC}">
              <c16:uniqueId val="{00000000-1D60-4BC3-B6F3-B5D0827A947E}"/>
            </c:ext>
          </c:extLst>
        </c:ser>
        <c:ser>
          <c:idx val="1"/>
          <c:order val="1"/>
          <c:tx>
            <c:strRef>
              <c:f>Sheet1!$C$1</c:f>
              <c:strCache>
                <c:ptCount val="1"/>
                <c:pt idx="0">
                  <c:v>New Bricks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Globalwarming Rate</c:v>
                </c:pt>
                <c:pt idx="1">
                  <c:v>Energy Consumption Rate </c:v>
                </c:pt>
                <c:pt idx="2">
                  <c:v>Soil Pollution Rate </c:v>
                </c:pt>
                <c:pt idx="3">
                  <c:v>Performance Rate </c:v>
                </c:pt>
              </c:strCache>
            </c:strRef>
          </c:cat>
          <c:val>
            <c:numRef>
              <c:f>Sheet1!$C$2:$C$5</c:f>
              <c:numCache>
                <c:formatCode>0%</c:formatCode>
                <c:ptCount val="4"/>
                <c:pt idx="0">
                  <c:v>0.4</c:v>
                </c:pt>
                <c:pt idx="1">
                  <c:v>0.65</c:v>
                </c:pt>
                <c:pt idx="2">
                  <c:v>0.55000000000000004</c:v>
                </c:pt>
                <c:pt idx="3">
                  <c:v>0.8</c:v>
                </c:pt>
              </c:numCache>
            </c:numRef>
          </c:val>
          <c:extLst>
            <c:ext xmlns:c16="http://schemas.microsoft.com/office/drawing/2014/chart" uri="{C3380CC4-5D6E-409C-BE32-E72D297353CC}">
              <c16:uniqueId val="{00000001-1D60-4BC3-B6F3-B5D0827A947E}"/>
            </c:ext>
          </c:extLst>
        </c:ser>
        <c:dLbls>
          <c:showLegendKey val="0"/>
          <c:showVal val="0"/>
          <c:showCatName val="0"/>
          <c:showSerName val="0"/>
          <c:showPercent val="0"/>
          <c:showBubbleSize val="0"/>
        </c:dLbls>
        <c:gapWidth val="100"/>
        <c:overlap val="-24"/>
        <c:axId val="1942623359"/>
        <c:axId val="1940472047"/>
      </c:barChart>
      <c:catAx>
        <c:axId val="1942623359"/>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crossAx val="1940472047"/>
        <c:crosses val="autoZero"/>
        <c:auto val="1"/>
        <c:lblAlgn val="ctr"/>
        <c:lblOffset val="100"/>
        <c:noMultiLvlLbl val="0"/>
      </c:catAx>
      <c:valAx>
        <c:axId val="1940472047"/>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crossAx val="19426233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3944243948673082"/>
          <c:y val="8.7301587301587297E-2"/>
          <c:w val="0.83509459755030624"/>
          <c:h val="0.68627609048868887"/>
        </c:manualLayout>
      </c:layout>
      <c:barChart>
        <c:barDir val="col"/>
        <c:grouping val="clustered"/>
        <c:varyColors val="0"/>
        <c:ser>
          <c:idx val="0"/>
          <c:order val="0"/>
          <c:tx>
            <c:strRef>
              <c:f>Sheet1!$B$1</c:f>
              <c:strCache>
                <c:ptCount val="1"/>
                <c:pt idx="0">
                  <c:v>Molten Steel </c:v>
                </c:pt>
              </c:strCache>
            </c:strRef>
          </c:tx>
          <c:spPr>
            <a:solidFill>
              <a:schemeClr val="accent5">
                <a:lumMod val="50000"/>
              </a:schemeClr>
            </a:solidFill>
            <a:ln>
              <a:solidFill>
                <a:srgbClr val="002060"/>
              </a:solidFill>
            </a:ln>
            <a:effectLst/>
          </c:spPr>
          <c:invertIfNegative val="0"/>
          <c:cat>
            <c:strRef>
              <c:f>Sheet1!$A$2:$A$6</c:f>
              <c:strCache>
                <c:ptCount val="5"/>
                <c:pt idx="0">
                  <c:v>Energy Consumption</c:v>
                </c:pt>
                <c:pt idx="1">
                  <c:v>Damage to Human Health</c:v>
                </c:pt>
                <c:pt idx="2">
                  <c:v>Ecological Damage</c:v>
                </c:pt>
                <c:pt idx="3">
                  <c:v>Damage to Natural Resource</c:v>
                </c:pt>
                <c:pt idx="4">
                  <c:v>Effect of Auxilary Materials</c:v>
                </c:pt>
              </c:strCache>
            </c:strRef>
          </c:cat>
          <c:val>
            <c:numRef>
              <c:f>Sheet1!$B$2:$B$6</c:f>
              <c:numCache>
                <c:formatCode>General</c:formatCode>
                <c:ptCount val="5"/>
                <c:pt idx="0">
                  <c:v>0.8</c:v>
                </c:pt>
                <c:pt idx="1">
                  <c:v>0.6</c:v>
                </c:pt>
                <c:pt idx="2">
                  <c:v>0.66</c:v>
                </c:pt>
                <c:pt idx="3">
                  <c:v>0.57799999999999996</c:v>
                </c:pt>
                <c:pt idx="4">
                  <c:v>0.23</c:v>
                </c:pt>
              </c:numCache>
            </c:numRef>
          </c:val>
          <c:extLst>
            <c:ext xmlns:c16="http://schemas.microsoft.com/office/drawing/2014/chart" uri="{C3380CC4-5D6E-409C-BE32-E72D297353CC}">
              <c16:uniqueId val="{00000000-4F72-429F-A64E-A986E450482B}"/>
            </c:ext>
          </c:extLst>
        </c:ser>
        <c:ser>
          <c:idx val="1"/>
          <c:order val="1"/>
          <c:tx>
            <c:strRef>
              <c:f>Sheet1!$C$1</c:f>
              <c:strCache>
                <c:ptCount val="1"/>
                <c:pt idx="0">
                  <c:v>Reused Steel</c:v>
                </c:pt>
              </c:strCache>
            </c:strRef>
          </c:tx>
          <c:spPr>
            <a:solidFill>
              <a:srgbClr val="00B050"/>
            </a:solidFill>
            <a:ln>
              <a:solidFill>
                <a:srgbClr val="00B050"/>
              </a:solidFill>
            </a:ln>
            <a:effectLst/>
          </c:spPr>
          <c:invertIfNegative val="0"/>
          <c:cat>
            <c:strRef>
              <c:f>Sheet1!$A$2:$A$6</c:f>
              <c:strCache>
                <c:ptCount val="5"/>
                <c:pt idx="0">
                  <c:v>Energy Consumption</c:v>
                </c:pt>
                <c:pt idx="1">
                  <c:v>Damage to Human Health</c:v>
                </c:pt>
                <c:pt idx="2">
                  <c:v>Ecological Damage</c:v>
                </c:pt>
                <c:pt idx="3">
                  <c:v>Damage to Natural Resource</c:v>
                </c:pt>
                <c:pt idx="4">
                  <c:v>Effect of Auxilary Materials</c:v>
                </c:pt>
              </c:strCache>
            </c:strRef>
          </c:cat>
          <c:val>
            <c:numRef>
              <c:f>Sheet1!$C$2:$C$6</c:f>
              <c:numCache>
                <c:formatCode>General</c:formatCode>
                <c:ptCount val="5"/>
                <c:pt idx="0">
                  <c:v>0.1</c:v>
                </c:pt>
                <c:pt idx="1">
                  <c:v>0.2</c:v>
                </c:pt>
                <c:pt idx="2">
                  <c:v>0.34</c:v>
                </c:pt>
                <c:pt idx="3">
                  <c:v>0.23</c:v>
                </c:pt>
                <c:pt idx="4">
                  <c:v>0.1</c:v>
                </c:pt>
              </c:numCache>
            </c:numRef>
          </c:val>
          <c:extLst>
            <c:ext xmlns:c16="http://schemas.microsoft.com/office/drawing/2014/chart" uri="{C3380CC4-5D6E-409C-BE32-E72D297353CC}">
              <c16:uniqueId val="{00000001-4F72-429F-A64E-A986E450482B}"/>
            </c:ext>
          </c:extLst>
        </c:ser>
        <c:dLbls>
          <c:showLegendKey val="0"/>
          <c:showVal val="0"/>
          <c:showCatName val="0"/>
          <c:showSerName val="0"/>
          <c:showPercent val="0"/>
          <c:showBubbleSize val="0"/>
        </c:dLbls>
        <c:gapWidth val="219"/>
        <c:overlap val="-27"/>
        <c:axId val="1967343471"/>
        <c:axId val="1960812015"/>
      </c:barChart>
      <c:catAx>
        <c:axId val="19673434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solidFill>
                      <a:sysClr val="windowText" lastClr="000000"/>
                    </a:solidFill>
                    <a:latin typeface="Times New Roman" panose="02020603050405020304" pitchFamily="18" charset="0"/>
                    <a:cs typeface="Times New Roman" panose="02020603050405020304" pitchFamily="18" charset="0"/>
                  </a:rPr>
                  <a:t>Impact</a:t>
                </a:r>
                <a:r>
                  <a:rPr lang="en-IN" baseline="0">
                    <a:solidFill>
                      <a:sysClr val="windowText" lastClr="000000"/>
                    </a:solidFill>
                    <a:latin typeface="Times New Roman" panose="02020603050405020304" pitchFamily="18" charset="0"/>
                    <a:cs typeface="Times New Roman" panose="02020603050405020304" pitchFamily="18" charset="0"/>
                  </a:rPr>
                  <a:t> Factor</a:t>
                </a:r>
                <a:endParaRPr lang="en-IN">
                  <a:solidFill>
                    <a:sysClr val="windowText" lastClr="000000"/>
                  </a:solidFill>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960812015"/>
        <c:crosses val="autoZero"/>
        <c:auto val="1"/>
        <c:lblAlgn val="ctr"/>
        <c:lblOffset val="100"/>
        <c:noMultiLvlLbl val="0"/>
      </c:catAx>
      <c:valAx>
        <c:axId val="19608120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solidFill>
                      <a:sysClr val="windowText" lastClr="000000"/>
                    </a:solidFill>
                    <a:latin typeface="Times New Roman" panose="02020603050405020304" pitchFamily="18" charset="0"/>
                    <a:cs typeface="Times New Roman" panose="02020603050405020304" pitchFamily="18" charset="0"/>
                  </a:rPr>
                  <a:t>Normalised</a:t>
                </a:r>
                <a:r>
                  <a:rPr lang="en-IN" baseline="0">
                    <a:solidFill>
                      <a:sysClr val="windowText" lastClr="000000"/>
                    </a:solidFill>
                    <a:latin typeface="Times New Roman" panose="02020603050405020304" pitchFamily="18" charset="0"/>
                    <a:cs typeface="Times New Roman" panose="02020603050405020304" pitchFamily="18" charset="0"/>
                  </a:rPr>
                  <a:t> Value</a:t>
                </a:r>
                <a:endParaRPr lang="en-IN">
                  <a:solidFill>
                    <a:sysClr val="windowText" lastClr="000000"/>
                  </a:solidFill>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67343471"/>
        <c:crosses val="autoZero"/>
        <c:crossBetween val="between"/>
      </c:valAx>
      <c:spPr>
        <a:noFill/>
        <a:ln>
          <a:noFill/>
        </a:ln>
        <a:effectLst/>
      </c:spPr>
    </c:plotArea>
    <c:legend>
      <c:legendPos val="b"/>
      <c:layout>
        <c:manualLayout>
          <c:xMode val="edge"/>
          <c:yMode val="edge"/>
          <c:x val="0.34844870953630797"/>
          <c:y val="0.9250987376577926"/>
          <c:w val="0.30860326358762025"/>
          <c:h val="5.7018344405062572E-2"/>
        </c:manualLayout>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51</Pages>
  <Words>14818</Words>
  <Characters>84469</Characters>
  <Application>Microsoft Office Word</Application>
  <DocSecurity>0</DocSecurity>
  <Lines>703</Lines>
  <Paragraphs>198</Paragraphs>
  <ScaleCrop>false</ScaleCrop>
  <Company/>
  <LinksUpToDate>false</LinksUpToDate>
  <CharactersWithSpaces>99089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SUKHADA KULKARNI</dc:creator>
  <cp:keywords/>
  <dc:description/>
  <cp:lastModifiedBy>SUKHADA KULKARNI</cp:lastModifiedBy>
  <cp:revision>1</cp:revision>
  <dcterms:created xsi:type="dcterms:W3CDTF">2023-11-06T16:39:00Z</dcterms:created>
  <dcterms:modified xsi:type="dcterms:W3CDTF">2023-11-06T16:40:00Z</dcterms:modified>
</cp:coreProperties>
</file>