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1C00" w:rsidRDefault="00A81C00">
      <w:r>
        <w:t>SWP 6918</w:t>
      </w:r>
    </w:p>
    <w:p w:rsidR="00A81C00" w:rsidRDefault="00A81C00">
      <w:r>
        <w:t>Samantha Williams</w:t>
      </w:r>
    </w:p>
    <w:p w:rsidR="00A81C00" w:rsidRDefault="00A81C00">
      <w:r>
        <w:t>Exam 2</w:t>
      </w:r>
    </w:p>
    <w:p w:rsidR="00A81C00" w:rsidRDefault="00A81C00">
      <w:r>
        <w:t>23/08/2021</w:t>
      </w:r>
    </w:p>
    <w:p w:rsidR="00A81C00" w:rsidRDefault="00A81C00">
      <w:r>
        <w:t>2029445</w:t>
      </w:r>
    </w:p>
    <w:p w:rsidR="00A81C00" w:rsidRDefault="00A81C00"/>
    <w:p w:rsidR="00A81C00" w:rsidRDefault="00A81C00"/>
    <w:p w:rsidR="00A81C00" w:rsidRDefault="00A81C00">
      <w:r>
        <w:t>1.</w:t>
      </w:r>
    </w:p>
    <w:p w:rsidR="003E0B30" w:rsidRPr="003E0B30" w:rsidRDefault="003E0B30" w:rsidP="003E0B30">
      <w:pPr>
        <w:rPr>
          <w:rFonts w:eastAsia="Times New Roman" w:cs="Times New Roman"/>
          <w:bCs/>
        </w:rPr>
      </w:pPr>
      <w:r w:rsidRPr="003E0B30">
        <w:rPr>
          <w:rFonts w:eastAsia="Times New Roman" w:cs="Times New Roman"/>
        </w:rPr>
        <w:t xml:space="preserve">Define the Section 163 Road Traffic Act 1988 power regarding the stopping vehicles on roads </w:t>
      </w:r>
      <w:r w:rsidRPr="003E0B30">
        <w:rPr>
          <w:rFonts w:eastAsia="Times New Roman" w:cs="Times New Roman"/>
          <w:bCs/>
        </w:rPr>
        <w:t xml:space="preserve">(6 Marks) </w:t>
      </w:r>
    </w:p>
    <w:p w:rsidR="003E0B30" w:rsidRPr="003E0B30" w:rsidRDefault="003E0B30" w:rsidP="003E0B30">
      <w:pPr>
        <w:rPr>
          <w:rFonts w:eastAsia="Times New Roman" w:cs="Times New Roman"/>
          <w:bCs/>
        </w:rPr>
      </w:pPr>
      <w:r w:rsidRPr="003E0B30">
        <w:rPr>
          <w:rFonts w:eastAsia="Times New Roman" w:cs="Times New Roman"/>
          <w:bCs/>
        </w:rPr>
        <w:t xml:space="preserve">A person driving a Mechanically propelled vehicle on a road or a pedal cycle on a road must stop when required to do so by a constable in uniform or a traffic officer. </w:t>
      </w:r>
    </w:p>
    <w:p w:rsidR="00A81C00" w:rsidRPr="0079361F" w:rsidRDefault="003E0B30">
      <w:pPr>
        <w:rPr>
          <w:rFonts w:eastAsia="Times New Roman" w:cs="Times New Roman"/>
          <w:bCs/>
        </w:rPr>
      </w:pPr>
      <w:r w:rsidRPr="003E0B30">
        <w:rPr>
          <w:rFonts w:eastAsia="Times New Roman" w:cs="Times New Roman"/>
          <w:bCs/>
        </w:rPr>
        <w:t xml:space="preserve">163 (3) – A person fails to stop commits an offence </w:t>
      </w:r>
    </w:p>
    <w:p w:rsidR="00A81C00" w:rsidRDefault="00A81C00"/>
    <w:p w:rsidR="00A81C00" w:rsidRDefault="00A81C00">
      <w:r>
        <w:t>2.</w:t>
      </w:r>
    </w:p>
    <w:p w:rsidR="00A81C00" w:rsidRPr="0079361F" w:rsidRDefault="003E0B30">
      <w:pPr>
        <w:rPr>
          <w:rFonts w:eastAsia="Times New Roman" w:cs="Times New Roman"/>
          <w:color w:val="000000" w:themeColor="text1"/>
          <w:lang w:val="en"/>
        </w:rPr>
      </w:pPr>
      <w:r w:rsidRPr="003E0B30">
        <w:rPr>
          <w:rFonts w:eastAsia="Times New Roman" w:cs="Times New Roman"/>
          <w:color w:val="000000" w:themeColor="text1"/>
          <w:lang w:val="en"/>
        </w:rPr>
        <w:t>This gives the power of constables to require a preliminary test from a person who has commited a moving traffic offence while the vehicle is in motion. This counts for a person who was driving at the time or has driven.</w:t>
      </w:r>
    </w:p>
    <w:p w:rsidR="00A81C00" w:rsidRDefault="00A81C00"/>
    <w:p w:rsidR="00A81C00" w:rsidRDefault="00A81C00">
      <w:r>
        <w:t>3.</w:t>
      </w:r>
    </w:p>
    <w:p w:rsidR="003E0B30" w:rsidRPr="003E0B30" w:rsidRDefault="003E0B30" w:rsidP="003E0B30">
      <w:pPr>
        <w:rPr>
          <w:rFonts w:eastAsia="Times New Roman" w:cs="Times New Roman"/>
          <w:bCs/>
          <w:color w:val="000000" w:themeColor="text1"/>
        </w:rPr>
      </w:pPr>
      <w:r w:rsidRPr="003E0B30">
        <w:rPr>
          <w:rFonts w:eastAsia="Times New Roman" w:cs="Times New Roman"/>
          <w:color w:val="000000" w:themeColor="text1"/>
          <w:lang w:val="en"/>
        </w:rPr>
        <w:t xml:space="preserve">A person ,who drives attempts to drive or is in charge of a MPV on a road or other public place and drives without due care and attention or reasonable consideration for others using the road or place commits an offence </w:t>
      </w:r>
    </w:p>
    <w:p w:rsidR="00A81C00" w:rsidRDefault="00A81C00"/>
    <w:p w:rsidR="00A81C00" w:rsidRDefault="00A81C00">
      <w:r>
        <w:t>4.</w:t>
      </w:r>
    </w:p>
    <w:p w:rsidR="002259E4" w:rsidRPr="002259E4" w:rsidRDefault="002259E4">
      <w:pPr>
        <w:rPr>
          <w:rFonts w:eastAsia="Times New Roman" w:cs="Times New Roman"/>
          <w:b/>
        </w:rPr>
      </w:pPr>
      <w:r w:rsidRPr="002259E4">
        <w:rPr>
          <w:rFonts w:eastAsia="Times New Roman" w:cs="Times New Roman"/>
          <w:bCs/>
        </w:rPr>
        <w:t xml:space="preserve">Roads policing powers can help officers to request the relevant details to ensure crimes are not being committed such as no insurance or drivers licence. Police can also pull cars over and perform the relevant checks such as vehicle search or searching the person if they have reasonable grounds to do so depending on any moving traffic offences or intel. This can enable officers to prevent crimes such as county lines and other offences. </w:t>
      </w:r>
    </w:p>
    <w:p w:rsidR="002D60D6" w:rsidRDefault="002D60D6" w:rsidP="002D60D6">
      <w:r>
        <w:t xml:space="preserve">Powers such as 164 of  the road traffic act 1988 are able to require people to provide drivers licence and in some cases statement of birth, this can help officers understand the licence details and under Section 87 what vehicles they are allowed to drive. </w:t>
      </w:r>
    </w:p>
    <w:p w:rsidR="002D60D6" w:rsidRDefault="002D60D6" w:rsidP="002D60D6">
      <w:r>
        <w:t xml:space="preserve">Section 165 of the road traffic act 1988 also enables officers to request details such as evidence of insurance or security and test certificate, this allows officers to determine whether road users are driving within the law such as driving or not driving with insurance. </w:t>
      </w:r>
    </w:p>
    <w:p w:rsidR="00960FFC" w:rsidRDefault="002D60D6" w:rsidP="002D60D6">
      <w:r>
        <w:lastRenderedPageBreak/>
        <w:t>This stops people committing the offences above. Officers can also use ANPR which provides details on a car such as warning markers including drug dealing using the vehicle. Having grounds along with this, an officer can stop a vehicle and search it for any relevant drug offences.</w:t>
      </w:r>
    </w:p>
    <w:p w:rsidR="00960FFC" w:rsidRDefault="00960FFC" w:rsidP="002D60D6"/>
    <w:p w:rsidR="00A81C00" w:rsidRDefault="00A81C00" w:rsidP="002D60D6">
      <w:r>
        <w:t>5.</w:t>
      </w:r>
    </w:p>
    <w:p w:rsidR="003E0B30" w:rsidRPr="003E0B30" w:rsidRDefault="003E0B30" w:rsidP="003E0B30">
      <w:pPr>
        <w:rPr>
          <w:rFonts w:eastAsia="Times New Roman" w:cs="Times New Roman"/>
          <w:iCs/>
        </w:rPr>
      </w:pPr>
      <w:r w:rsidRPr="003E0B30">
        <w:rPr>
          <w:rFonts w:eastAsia="Times New Roman" w:cs="Times New Roman"/>
          <w:iCs/>
        </w:rPr>
        <w:t>A constable in uniform with reasonable cause to believe a person is or was driving a motor vehicle with:</w:t>
      </w:r>
    </w:p>
    <w:p w:rsidR="003E0B30" w:rsidRPr="003E0B30" w:rsidRDefault="003E0B30" w:rsidP="003E0B30">
      <w:pPr>
        <w:rPr>
          <w:rFonts w:eastAsia="Times New Roman" w:cs="Times New Roman"/>
          <w:iCs/>
        </w:rPr>
      </w:pPr>
      <w:r w:rsidRPr="003E0B30">
        <w:rPr>
          <w:rFonts w:eastAsia="Times New Roman" w:cs="Times New Roman"/>
          <w:iCs/>
        </w:rPr>
        <w:t>No insurance</w:t>
      </w:r>
    </w:p>
    <w:p w:rsidR="003E0B30" w:rsidRPr="003E0B30" w:rsidRDefault="003E0B30" w:rsidP="003E0B30">
      <w:pPr>
        <w:rPr>
          <w:rFonts w:eastAsia="Times New Roman" w:cs="Times New Roman"/>
          <w:iCs/>
        </w:rPr>
      </w:pPr>
      <w:r w:rsidRPr="003E0B30">
        <w:rPr>
          <w:rFonts w:eastAsia="Times New Roman" w:cs="Times New Roman"/>
          <w:iCs/>
        </w:rPr>
        <w:t>No drivers licence</w:t>
      </w:r>
    </w:p>
    <w:p w:rsidR="003E0B30" w:rsidRPr="003E0B30" w:rsidRDefault="003E0B30" w:rsidP="003E0B30">
      <w:pPr>
        <w:rPr>
          <w:rFonts w:eastAsia="Times New Roman" w:cs="Times New Roman"/>
          <w:iCs/>
        </w:rPr>
      </w:pPr>
      <w:r w:rsidRPr="003E0B30">
        <w:rPr>
          <w:rFonts w:eastAsia="Times New Roman" w:cs="Times New Roman"/>
          <w:iCs/>
        </w:rPr>
        <w:t>Otherwise than in accordance with a licence</w:t>
      </w:r>
    </w:p>
    <w:p w:rsidR="003E0B30" w:rsidRPr="003E0B30" w:rsidRDefault="003E0B30" w:rsidP="003E0B30">
      <w:pPr>
        <w:rPr>
          <w:rFonts w:eastAsia="Times New Roman" w:cs="Times New Roman"/>
          <w:iCs/>
        </w:rPr>
      </w:pPr>
      <w:r w:rsidRPr="003E0B30">
        <w:rPr>
          <w:rFonts w:eastAsia="Times New Roman" w:cs="Times New Roman"/>
          <w:iCs/>
        </w:rPr>
        <w:t>Fails to stop</w:t>
      </w:r>
    </w:p>
    <w:p w:rsidR="003E0B30" w:rsidRPr="003E0B30" w:rsidRDefault="003E0B30" w:rsidP="003E0B30">
      <w:pPr>
        <w:rPr>
          <w:rFonts w:eastAsia="Times New Roman" w:cs="Times New Roman"/>
          <w:iCs/>
        </w:rPr>
      </w:pPr>
      <w:r w:rsidRPr="003E0B30">
        <w:rPr>
          <w:rFonts w:eastAsia="Times New Roman" w:cs="Times New Roman"/>
          <w:iCs/>
        </w:rPr>
        <w:t>If a constable has reasonable grounds to believe any of the above then the vehicle is seized</w:t>
      </w:r>
    </w:p>
    <w:p w:rsidR="003E0B30" w:rsidRDefault="003E0B30"/>
    <w:p w:rsidR="00A81C00" w:rsidRDefault="00A81C00"/>
    <w:p w:rsidR="00A81C00" w:rsidRDefault="00A81C00">
      <w:r>
        <w:t>6.</w:t>
      </w:r>
    </w:p>
    <w:p w:rsidR="003E0B30" w:rsidRPr="003E0B30" w:rsidRDefault="003E0B30" w:rsidP="003E0B30">
      <w:pPr>
        <w:spacing w:after="0" w:line="240" w:lineRule="auto"/>
        <w:rPr>
          <w:rFonts w:eastAsia="Times New Roman" w:cs="Times New Roman"/>
        </w:rPr>
      </w:pPr>
      <w:r w:rsidRPr="003E0B30">
        <w:rPr>
          <w:rFonts w:eastAsia="Times New Roman" w:cs="Times New Roman"/>
        </w:rPr>
        <w:t>Owing to the presence of a Mechanically propelled vehicle on a road or other public place, an accident occurs whereby</w:t>
      </w:r>
    </w:p>
    <w:p w:rsidR="003E0B30" w:rsidRPr="003E0B30" w:rsidRDefault="003E0B30" w:rsidP="003E0B30">
      <w:pPr>
        <w:spacing w:after="0" w:line="240" w:lineRule="auto"/>
        <w:rPr>
          <w:rFonts w:eastAsia="Times New Roman" w:cs="Times New Roman"/>
        </w:rPr>
      </w:pPr>
      <w:r w:rsidRPr="003E0B30">
        <w:rPr>
          <w:rFonts w:eastAsia="Times New Roman" w:cs="Times New Roman"/>
        </w:rPr>
        <w:t>Personal injury is caused to a person (other than the driver of the MPV)</w:t>
      </w:r>
    </w:p>
    <w:p w:rsidR="003E0B30" w:rsidRPr="003E0B30" w:rsidRDefault="003E0B30" w:rsidP="003E0B30">
      <w:pPr>
        <w:spacing w:after="0" w:line="240" w:lineRule="auto"/>
        <w:rPr>
          <w:rFonts w:eastAsia="Times New Roman" w:cs="Times New Roman"/>
        </w:rPr>
      </w:pPr>
      <w:r w:rsidRPr="003E0B30">
        <w:rPr>
          <w:rFonts w:eastAsia="Times New Roman" w:cs="Times New Roman"/>
        </w:rPr>
        <w:t>Damage is caused to a vehicle (other than the MPV or any trailer drawn by it)</w:t>
      </w:r>
    </w:p>
    <w:p w:rsidR="003E0B30" w:rsidRPr="003E0B30" w:rsidRDefault="003E0B30" w:rsidP="003E0B30">
      <w:pPr>
        <w:spacing w:after="0" w:line="240" w:lineRule="auto"/>
        <w:rPr>
          <w:rFonts w:eastAsia="Times New Roman" w:cs="Times New Roman"/>
        </w:rPr>
      </w:pPr>
      <w:r w:rsidRPr="003E0B30">
        <w:rPr>
          <w:rFonts w:eastAsia="Times New Roman" w:cs="Times New Roman"/>
        </w:rPr>
        <w:t>An animal (other than one in or on the MPV or any trailer drawn by it)</w:t>
      </w:r>
    </w:p>
    <w:p w:rsidR="003E0B30" w:rsidRPr="003E0B30" w:rsidRDefault="003E0B30" w:rsidP="003E0B30">
      <w:pPr>
        <w:spacing w:after="0" w:line="240" w:lineRule="auto"/>
        <w:rPr>
          <w:rFonts w:eastAsia="Times New Roman" w:cs="Times New Roman"/>
        </w:rPr>
      </w:pPr>
      <w:r w:rsidRPr="003E0B30">
        <w:rPr>
          <w:rFonts w:eastAsia="Times New Roman" w:cs="Times New Roman"/>
        </w:rPr>
        <w:t>Any property constructed on, fixed to, growing in, or otherwise forming part of the road on which the road or other public place in question is situated, or land adjacent to such land.</w:t>
      </w:r>
    </w:p>
    <w:p w:rsidR="003E0B30" w:rsidRPr="003E0B30" w:rsidRDefault="003E0B30" w:rsidP="003E0B30">
      <w:pPr>
        <w:spacing w:after="0" w:line="240" w:lineRule="auto"/>
        <w:rPr>
          <w:rFonts w:eastAsia="Times New Roman" w:cs="Times New Roman"/>
        </w:rPr>
      </w:pPr>
      <w:r w:rsidRPr="003E0B30">
        <w:rPr>
          <w:rFonts w:eastAsia="Times New Roman" w:cs="Times New Roman"/>
          <w:b/>
        </w:rPr>
        <w:t xml:space="preserve">170 (4) </w:t>
      </w:r>
      <w:r w:rsidRPr="003E0B30">
        <w:rPr>
          <w:rFonts w:eastAsia="Times New Roman" w:cs="Times New Roman"/>
        </w:rPr>
        <w:t>If a person fails to stop, comply or report then they commit an offence under this act.</w:t>
      </w:r>
    </w:p>
    <w:p w:rsidR="00A81C00" w:rsidRDefault="00A81C00"/>
    <w:p w:rsidR="00A81C00" w:rsidRDefault="00A81C00">
      <w:r>
        <w:t>7.</w:t>
      </w:r>
    </w:p>
    <w:p w:rsidR="00A81C00" w:rsidRDefault="002D60D6">
      <w:r w:rsidRPr="002D60D6">
        <w:t>The Family Liaison officer is the point of contact between the senior investigating officer, the investigating team and the family of the deceased. The FLO will obtain material from the family and or obtain statements from the family where appropriate. The FLO will also attend with the family while they identify the body of their loved one who is deceased.</w:t>
      </w:r>
      <w:r w:rsidR="006346B9">
        <w:t xml:space="preserve"> They will also assist in the family receiving objects back from the deceased that are not evidential. or if they are evidential, at the appropriate time. </w:t>
      </w:r>
      <w:r w:rsidRPr="002D60D6">
        <w:t>The FLO will also support the family with any issues they have. The FLO will also pass details on to relevant departments and charities for the family to receive further support and services from organisations the FLO deems required for the family of the deceased. The FLO will remain professional and respectful at all times and enable a family to remain updated with regards to the progression and outcome of an investigation following the death of their loved one.</w:t>
      </w:r>
      <w:r w:rsidR="002259E4">
        <w:t xml:space="preserve"> </w:t>
      </w:r>
      <w:r w:rsidR="002259E4" w:rsidRPr="002259E4">
        <w:rPr>
          <w:bCs/>
          <w:color w:val="000000" w:themeColor="text1"/>
        </w:rPr>
        <w:t>The FLO must follow the set out codes of practice set out to keep the family updated and informed and also act as a point of contact to the family.</w:t>
      </w:r>
    </w:p>
    <w:p w:rsidR="002D60D6" w:rsidRDefault="002D60D6"/>
    <w:p w:rsidR="00A81C00" w:rsidRDefault="00A81C00">
      <w:r>
        <w:t>8.</w:t>
      </w:r>
    </w:p>
    <w:p w:rsidR="002D60D6" w:rsidRDefault="002D60D6" w:rsidP="002D60D6">
      <w:r>
        <w:lastRenderedPageBreak/>
        <w:t>Within section 170. A person must stop</w:t>
      </w:r>
      <w:r w:rsidR="00D912FD">
        <w:t xml:space="preserve"> and remain</w:t>
      </w:r>
      <w:r>
        <w:t xml:space="preserve"> at the scene of an accident if they are involved. They must provide their details to any person having reasonable grounds to require the persons details. They must remain on the scene long enough for the person reasonably requesting the details to obtain them. </w:t>
      </w:r>
    </w:p>
    <w:p w:rsidR="002D60D6" w:rsidRDefault="002D60D6" w:rsidP="002D60D6">
      <w:r>
        <w:t xml:space="preserve">The details provided in a road traffic collision are. Driver details and registered owner details if they are different. They must provide the vehicle number plate VRM and also relevant vehicle details to a person with </w:t>
      </w:r>
      <w:r w:rsidR="00D912FD">
        <w:t xml:space="preserve">reasonable </w:t>
      </w:r>
      <w:r>
        <w:t>grounds to request</w:t>
      </w:r>
      <w:r w:rsidR="00D912FD">
        <w:t xml:space="preserve"> and require</w:t>
      </w:r>
      <w:r>
        <w:t xml:space="preserve"> them. If there is injury following an accident. Insurance details must also be provided. </w:t>
      </w:r>
    </w:p>
    <w:p w:rsidR="00A81C00" w:rsidRDefault="002D60D6" w:rsidP="002D60D6">
      <w:r>
        <w:t>If a person does not comply. They must as soon as possible report the accident and their details to a police officer or at a police station as soon as reasonably practicable but no longer than 24 hours after the incident has occurred.</w:t>
      </w:r>
      <w:r w:rsidR="006346B9">
        <w:t xml:space="preserve"> Leaving the scene of an accident where you are involved without providing details is a summary offence. But you must then provide the details to an officer or at a station as soon as possible.</w:t>
      </w:r>
    </w:p>
    <w:p w:rsidR="00A81C00" w:rsidRDefault="00A81C00"/>
    <w:p w:rsidR="00A81C00" w:rsidRDefault="00A81C00">
      <w:r>
        <w:t>9.</w:t>
      </w:r>
    </w:p>
    <w:p w:rsidR="003E0B30" w:rsidRPr="003E0B30" w:rsidRDefault="003E0B30" w:rsidP="003E0B30">
      <w:pPr>
        <w:rPr>
          <w:rFonts w:eastAsia="Times New Roman" w:cs="Times New Roman"/>
          <w:bCs/>
          <w:iCs/>
        </w:rPr>
      </w:pPr>
      <w:r w:rsidRPr="003E0B30">
        <w:rPr>
          <w:rFonts w:eastAsia="Times New Roman" w:cs="Times New Roman"/>
          <w:bCs/>
          <w:iCs/>
        </w:rPr>
        <w:t>A constable may enter any premises using reasonable force if necessary in order to require a person believed to have been driving, attempting to drive or in charge of a motor vehicle at the time an accident occurs. To provide a Preliminary breath test. Or</w:t>
      </w:r>
      <w:r w:rsidR="00D912FD">
        <w:rPr>
          <w:rFonts w:eastAsia="Times New Roman" w:cs="Times New Roman"/>
          <w:bCs/>
          <w:iCs/>
        </w:rPr>
        <w:t>,</w:t>
      </w:r>
      <w:r w:rsidRPr="003E0B30">
        <w:rPr>
          <w:rFonts w:eastAsia="Times New Roman" w:cs="Times New Roman"/>
          <w:bCs/>
          <w:iCs/>
        </w:rPr>
        <w:t xml:space="preserve"> to arrest a person who has provided a positive breath test or to arrest a person who has failed to cooperate with the requirement to provide a preliminary test. Or</w:t>
      </w:r>
      <w:r w:rsidR="00D912FD">
        <w:rPr>
          <w:rFonts w:eastAsia="Times New Roman" w:cs="Times New Roman"/>
          <w:bCs/>
          <w:iCs/>
        </w:rPr>
        <w:t>,</w:t>
      </w:r>
      <w:r w:rsidRPr="003E0B30">
        <w:rPr>
          <w:rFonts w:eastAsia="Times New Roman" w:cs="Times New Roman"/>
          <w:bCs/>
          <w:iCs/>
        </w:rPr>
        <w:t xml:space="preserve"> where a constable reasonably suspects a person has a specified drug or alcohol in their body or under the influence of a drug.</w:t>
      </w:r>
    </w:p>
    <w:p w:rsidR="003E0B30" w:rsidRDefault="003E0B30"/>
    <w:p w:rsidR="00A81C00" w:rsidRDefault="00A81C00"/>
    <w:p w:rsidR="00A81C00" w:rsidRDefault="00A81C00">
      <w:r>
        <w:t>10.</w:t>
      </w:r>
    </w:p>
    <w:p w:rsidR="00A81C00" w:rsidRPr="0079361F" w:rsidRDefault="003E0B30" w:rsidP="0079361F">
      <w:pPr>
        <w:spacing w:after="0" w:line="240" w:lineRule="auto"/>
        <w:rPr>
          <w:rFonts w:eastAsia="Times New Roman" w:cs="Times New Roman"/>
          <w:bCs/>
          <w:color w:val="000000" w:themeColor="text1"/>
        </w:rPr>
      </w:pPr>
      <w:r w:rsidRPr="003E0B30">
        <w:rPr>
          <w:rFonts w:eastAsia="Times New Roman" w:cs="Times New Roman"/>
          <w:bCs/>
          <w:color w:val="000000" w:themeColor="text1"/>
        </w:rPr>
        <w:t>A person who causes the death of a person by driving a mechanically propelled vehicle dangerously on a road or other public place commits a</w:t>
      </w:r>
      <w:r w:rsidR="0079361F">
        <w:rPr>
          <w:rFonts w:eastAsia="Times New Roman" w:cs="Times New Roman"/>
          <w:bCs/>
          <w:color w:val="000000" w:themeColor="text1"/>
        </w:rPr>
        <w:t>n</w:t>
      </w:r>
      <w:r w:rsidRPr="003E0B30">
        <w:rPr>
          <w:rFonts w:eastAsia="Times New Roman" w:cs="Times New Roman"/>
          <w:bCs/>
          <w:color w:val="000000" w:themeColor="text1"/>
        </w:rPr>
        <w:t xml:space="preserve"> offence </w:t>
      </w:r>
    </w:p>
    <w:p w:rsidR="00A81C00" w:rsidRDefault="00A81C00"/>
    <w:p w:rsidR="00A81C00" w:rsidRDefault="00A81C00">
      <w:r>
        <w:t>11.</w:t>
      </w:r>
    </w:p>
    <w:p w:rsidR="0079361F" w:rsidRPr="0079361F" w:rsidRDefault="0079361F" w:rsidP="00AB067B">
      <w:pPr>
        <w:rPr>
          <w:rFonts w:eastAsia="Times New Roman" w:cs="Times New Roman"/>
          <w:bCs/>
        </w:rPr>
      </w:pPr>
      <w:r>
        <w:rPr>
          <w:rFonts w:eastAsia="Times New Roman" w:cs="Times New Roman"/>
          <w:bCs/>
        </w:rPr>
        <w:t xml:space="preserve">In regards to Alcohol the legal limits where an offence is committed are as follows. </w:t>
      </w:r>
    </w:p>
    <w:p w:rsidR="00AB067B" w:rsidRPr="00AB067B" w:rsidRDefault="00AB067B" w:rsidP="00AB067B">
      <w:pPr>
        <w:rPr>
          <w:rFonts w:eastAsia="Times New Roman" w:cs="Times New Roman"/>
          <w:b/>
          <w:bCs/>
        </w:rPr>
      </w:pPr>
      <w:r w:rsidRPr="00AB067B">
        <w:rPr>
          <w:rFonts w:eastAsia="Times New Roman" w:cs="Times New Roman"/>
          <w:b/>
          <w:bCs/>
        </w:rPr>
        <w:t>Alcohol</w:t>
      </w:r>
    </w:p>
    <w:p w:rsidR="00AB067B" w:rsidRPr="00AB067B" w:rsidRDefault="00AB067B" w:rsidP="00AB067B">
      <w:pPr>
        <w:rPr>
          <w:rFonts w:eastAsia="Times New Roman" w:cs="Times New Roman"/>
          <w:bCs/>
        </w:rPr>
      </w:pPr>
      <w:r w:rsidRPr="00AB067B">
        <w:rPr>
          <w:rFonts w:eastAsia="Times New Roman" w:cs="Times New Roman"/>
          <w:bCs/>
        </w:rPr>
        <w:t>35 mcg per 100ml Breath</w:t>
      </w:r>
    </w:p>
    <w:p w:rsidR="00AB067B" w:rsidRPr="00AB067B" w:rsidRDefault="00AB067B" w:rsidP="00AB067B">
      <w:pPr>
        <w:rPr>
          <w:rFonts w:eastAsia="Times New Roman" w:cs="Times New Roman"/>
          <w:bCs/>
        </w:rPr>
      </w:pPr>
      <w:r w:rsidRPr="00AB067B">
        <w:rPr>
          <w:rFonts w:eastAsia="Times New Roman" w:cs="Times New Roman"/>
          <w:bCs/>
        </w:rPr>
        <w:t>80 mg per 100ml blood</w:t>
      </w:r>
    </w:p>
    <w:p w:rsidR="00AB067B" w:rsidRDefault="00AB067B" w:rsidP="00AB067B">
      <w:pPr>
        <w:rPr>
          <w:rFonts w:eastAsia="Times New Roman" w:cs="Times New Roman"/>
          <w:color w:val="0070C0"/>
          <w:sz w:val="16"/>
          <w:szCs w:val="16"/>
          <w:lang w:val="en"/>
        </w:rPr>
      </w:pPr>
      <w:r w:rsidRPr="00AB067B">
        <w:rPr>
          <w:rFonts w:eastAsia="Times New Roman" w:cs="Times New Roman"/>
          <w:bCs/>
        </w:rPr>
        <w:t>107mg per 100ml urine</w:t>
      </w:r>
      <w:r w:rsidRPr="00AB067B">
        <w:rPr>
          <w:rFonts w:eastAsia="Times New Roman" w:cs="Times New Roman"/>
          <w:color w:val="0070C0"/>
          <w:sz w:val="16"/>
          <w:szCs w:val="16"/>
          <w:lang w:val="en"/>
        </w:rPr>
        <w:t xml:space="preserve"> </w:t>
      </w:r>
    </w:p>
    <w:p w:rsidR="0079361F" w:rsidRPr="00AB067B" w:rsidRDefault="0079361F" w:rsidP="00AB067B">
      <w:pPr>
        <w:rPr>
          <w:rFonts w:eastAsia="Times New Roman" w:cs="Times New Roman"/>
          <w:color w:val="0070C0"/>
          <w:sz w:val="16"/>
          <w:szCs w:val="16"/>
          <w:lang w:val="en"/>
        </w:rPr>
      </w:pPr>
    </w:p>
    <w:p w:rsidR="0079361F" w:rsidRPr="0079361F" w:rsidRDefault="0079361F" w:rsidP="00AB067B">
      <w:pPr>
        <w:rPr>
          <w:rFonts w:eastAsia="Times New Roman" w:cs="Times New Roman"/>
          <w:bCs/>
        </w:rPr>
      </w:pPr>
      <w:r>
        <w:rPr>
          <w:rFonts w:eastAsia="Times New Roman" w:cs="Times New Roman"/>
          <w:bCs/>
        </w:rPr>
        <w:t>In regards to drugs,</w:t>
      </w:r>
      <w:r>
        <w:rPr>
          <w:rFonts w:eastAsia="Times New Roman" w:cs="Times New Roman"/>
          <w:bCs/>
        </w:rPr>
        <w:t xml:space="preserve"> the legal limits where an offence is committed are as follows. </w:t>
      </w:r>
    </w:p>
    <w:p w:rsidR="00AB067B" w:rsidRPr="00AB067B" w:rsidRDefault="00AB067B" w:rsidP="00AB067B">
      <w:pPr>
        <w:rPr>
          <w:rFonts w:eastAsia="Times New Roman" w:cs="Times New Roman"/>
          <w:b/>
          <w:color w:val="000000" w:themeColor="text1"/>
          <w:lang w:val="en"/>
        </w:rPr>
      </w:pPr>
      <w:r w:rsidRPr="00AB067B">
        <w:rPr>
          <w:rFonts w:eastAsia="Times New Roman" w:cs="Times New Roman"/>
          <w:b/>
          <w:color w:val="000000" w:themeColor="text1"/>
          <w:lang w:val="en"/>
        </w:rPr>
        <w:t>Drugs</w:t>
      </w:r>
    </w:p>
    <w:p w:rsidR="00AB067B" w:rsidRPr="00AB067B" w:rsidRDefault="00AB067B" w:rsidP="00AB067B">
      <w:pPr>
        <w:rPr>
          <w:rFonts w:eastAsia="Times New Roman" w:cs="Times New Roman"/>
          <w:color w:val="000000" w:themeColor="text1"/>
          <w:lang w:val="en"/>
        </w:rPr>
      </w:pPr>
      <w:r w:rsidRPr="00AB067B">
        <w:rPr>
          <w:rFonts w:eastAsia="Times New Roman" w:cs="Times New Roman"/>
          <w:color w:val="000000" w:themeColor="text1"/>
          <w:lang w:val="en"/>
        </w:rPr>
        <w:t>10 in blood – cocaine</w:t>
      </w:r>
    </w:p>
    <w:p w:rsidR="00AB067B" w:rsidRPr="00AB067B" w:rsidRDefault="00AB067B" w:rsidP="00AB067B">
      <w:pPr>
        <w:rPr>
          <w:rFonts w:eastAsia="Times New Roman" w:cs="Times New Roman"/>
          <w:bCs/>
          <w:color w:val="000000" w:themeColor="text1"/>
        </w:rPr>
      </w:pPr>
      <w:r w:rsidRPr="00AB067B">
        <w:rPr>
          <w:rFonts w:eastAsia="Times New Roman" w:cs="Times New Roman"/>
          <w:color w:val="000000" w:themeColor="text1"/>
          <w:lang w:val="en"/>
        </w:rPr>
        <w:lastRenderedPageBreak/>
        <w:t>2 in blood - cannabis</w:t>
      </w:r>
    </w:p>
    <w:p w:rsidR="00A81C00" w:rsidRDefault="00A81C00"/>
    <w:p w:rsidR="00A81C00" w:rsidRDefault="00A81C00"/>
    <w:p w:rsidR="00A81C00" w:rsidRDefault="00A81C00">
      <w:r>
        <w:t>12.</w:t>
      </w:r>
    </w:p>
    <w:p w:rsidR="002D60D6" w:rsidRDefault="002D60D6" w:rsidP="002D60D6">
      <w:r>
        <w:t>Relevant others are used in suspect interviews for a variety of reasons. This can include.</w:t>
      </w:r>
    </w:p>
    <w:p w:rsidR="002D60D6" w:rsidRDefault="002D60D6" w:rsidP="002D60D6">
      <w:r>
        <w:t xml:space="preserve">Appropriate adult – A person to support the young person or if someone has learning difficulties to explain and protect the persons interests. </w:t>
      </w:r>
    </w:p>
    <w:p w:rsidR="002D60D6" w:rsidRDefault="002D60D6" w:rsidP="002D60D6">
      <w:r>
        <w:t>Solicitor – To give guidance and advice in legal regards to the suspect</w:t>
      </w:r>
      <w:r w:rsidR="0079361F">
        <w:t xml:space="preserve"> such as which question to answer and what to say and not to say</w:t>
      </w:r>
      <w:r>
        <w:t xml:space="preserve">. </w:t>
      </w:r>
    </w:p>
    <w:p w:rsidR="00A81C00" w:rsidRDefault="002D60D6" w:rsidP="002D60D6">
      <w:r>
        <w:t>Translator – If there is a language issue, the translator can assist to make sure the interview is conducted and the suspect understands.</w:t>
      </w:r>
    </w:p>
    <w:p w:rsidR="00A81C00" w:rsidRDefault="00960FFC">
      <w:r>
        <w:t>CID or specially trained officer if the offence is a serious offence or a sexual offence. Certain officers are required for some more serious or very specific offences.</w:t>
      </w:r>
    </w:p>
    <w:p w:rsidR="00A81C00" w:rsidRDefault="00A81C00"/>
    <w:p w:rsidR="00A81C00" w:rsidRDefault="00A81C00">
      <w:r>
        <w:t>13.</w:t>
      </w:r>
    </w:p>
    <w:p w:rsidR="00AB067B" w:rsidRPr="00AB067B" w:rsidRDefault="00AB067B" w:rsidP="00AB067B">
      <w:pPr>
        <w:contextualSpacing/>
        <w:rPr>
          <w:rFonts w:eastAsia="Times New Roman" w:cs="Times New Roman"/>
          <w:b/>
          <w:bCs/>
          <w:color w:val="000000" w:themeColor="text1"/>
        </w:rPr>
      </w:pPr>
    </w:p>
    <w:p w:rsidR="00AB067B" w:rsidRPr="00AB067B" w:rsidRDefault="00AB067B" w:rsidP="00AB067B">
      <w:pPr>
        <w:contextualSpacing/>
        <w:rPr>
          <w:rFonts w:eastAsia="Times New Roman" w:cs="Times New Roman"/>
          <w:bCs/>
          <w:color w:val="000000" w:themeColor="text1"/>
        </w:rPr>
      </w:pPr>
      <w:r w:rsidRPr="00AB067B">
        <w:rPr>
          <w:rFonts w:eastAsia="Times New Roman" w:cs="Times New Roman"/>
          <w:bCs/>
          <w:color w:val="000000" w:themeColor="text1"/>
        </w:rPr>
        <w:t>Planning and preparation – Understand the crime/incident, prepare questions and suitable room with correct recording equipment</w:t>
      </w:r>
      <w:r w:rsidR="005F6A03" w:rsidRPr="005F6A03">
        <w:rPr>
          <w:rFonts w:eastAsia="Times New Roman" w:cs="Times New Roman"/>
          <w:bCs/>
          <w:color w:val="000000" w:themeColor="text1"/>
        </w:rPr>
        <w:t xml:space="preserve"> to undertake the interview.</w:t>
      </w:r>
    </w:p>
    <w:p w:rsidR="00AB067B" w:rsidRPr="00AB067B" w:rsidRDefault="00AB067B" w:rsidP="00AB067B">
      <w:pPr>
        <w:contextualSpacing/>
        <w:rPr>
          <w:rFonts w:eastAsia="Times New Roman" w:cs="Times New Roman"/>
          <w:bCs/>
          <w:color w:val="000000" w:themeColor="text1"/>
        </w:rPr>
      </w:pPr>
      <w:r w:rsidRPr="00AB067B">
        <w:rPr>
          <w:rFonts w:eastAsia="Times New Roman" w:cs="Times New Roman"/>
          <w:bCs/>
          <w:color w:val="000000" w:themeColor="text1"/>
        </w:rPr>
        <w:t>Engage and explain – Engage by using the required memo card and explain to the interviewee the process of the interview</w:t>
      </w:r>
      <w:r w:rsidR="005F6A03" w:rsidRPr="005F6A03">
        <w:rPr>
          <w:rFonts w:eastAsia="Times New Roman" w:cs="Times New Roman"/>
          <w:bCs/>
          <w:color w:val="000000" w:themeColor="text1"/>
        </w:rPr>
        <w:t>.</w:t>
      </w:r>
    </w:p>
    <w:p w:rsidR="00AB067B" w:rsidRPr="00AB067B" w:rsidRDefault="00AB067B" w:rsidP="00AB067B">
      <w:pPr>
        <w:contextualSpacing/>
        <w:rPr>
          <w:rFonts w:eastAsia="Times New Roman" w:cs="Times New Roman"/>
          <w:bCs/>
          <w:color w:val="000000" w:themeColor="text1"/>
        </w:rPr>
      </w:pPr>
      <w:r w:rsidRPr="00AB067B">
        <w:rPr>
          <w:rFonts w:eastAsia="Times New Roman" w:cs="Times New Roman"/>
          <w:bCs/>
          <w:color w:val="000000" w:themeColor="text1"/>
        </w:rPr>
        <w:t xml:space="preserve">Account – Ask questions in line with the interview. Focusing on the offence with the points to prove </w:t>
      </w:r>
    </w:p>
    <w:p w:rsidR="00AB067B" w:rsidRPr="00AB067B" w:rsidRDefault="00AB067B" w:rsidP="00AB067B">
      <w:pPr>
        <w:contextualSpacing/>
        <w:rPr>
          <w:rFonts w:eastAsia="Times New Roman" w:cs="Times New Roman"/>
          <w:bCs/>
          <w:color w:val="000000" w:themeColor="text1"/>
        </w:rPr>
      </w:pPr>
      <w:r w:rsidRPr="00AB067B">
        <w:rPr>
          <w:rFonts w:eastAsia="Times New Roman" w:cs="Times New Roman"/>
          <w:bCs/>
          <w:color w:val="000000" w:themeColor="text1"/>
        </w:rPr>
        <w:t>Closure – Use the memo card to close the interview and ask does the interviewee want to say anything as it is their last chance</w:t>
      </w:r>
      <w:r w:rsidR="005F6A03" w:rsidRPr="005F6A03">
        <w:rPr>
          <w:rFonts w:eastAsia="Times New Roman" w:cs="Times New Roman"/>
          <w:bCs/>
          <w:color w:val="000000" w:themeColor="text1"/>
        </w:rPr>
        <w:t xml:space="preserve"> to clarify anything.</w:t>
      </w:r>
    </w:p>
    <w:p w:rsidR="00AB067B" w:rsidRPr="00AB067B" w:rsidRDefault="00AB067B" w:rsidP="00AB067B">
      <w:pPr>
        <w:contextualSpacing/>
        <w:rPr>
          <w:rFonts w:eastAsia="Times New Roman" w:cs="Times New Roman"/>
          <w:bCs/>
          <w:color w:val="000000" w:themeColor="text1"/>
        </w:rPr>
      </w:pPr>
      <w:r w:rsidRPr="00AB067B">
        <w:rPr>
          <w:rFonts w:eastAsia="Times New Roman" w:cs="Times New Roman"/>
          <w:bCs/>
          <w:color w:val="000000" w:themeColor="text1"/>
        </w:rPr>
        <w:t>Evaluate – Evaluate the interview to see what is relevant and if there is information relating to the offence. Analyse the interview for continuous professional development of yourself.</w:t>
      </w:r>
    </w:p>
    <w:p w:rsidR="00A81C00" w:rsidRDefault="00A81C00"/>
    <w:p w:rsidR="00A81C00" w:rsidRDefault="00A81C00"/>
    <w:p w:rsidR="00A81C00" w:rsidRDefault="00A81C00"/>
    <w:p w:rsidR="00A81C00" w:rsidRDefault="00A81C00">
      <w:r>
        <w:t>14.</w:t>
      </w:r>
    </w:p>
    <w:p w:rsidR="00A81C00" w:rsidRPr="002259E4" w:rsidRDefault="002259E4">
      <w:r w:rsidRPr="002259E4">
        <w:rPr>
          <w:color w:val="000000"/>
        </w:rPr>
        <w:t>A person who continuously an</w:t>
      </w:r>
      <w:r w:rsidR="0079361F">
        <w:rPr>
          <w:color w:val="000000"/>
        </w:rPr>
        <w:t>d</w:t>
      </w:r>
      <w:r w:rsidRPr="002259E4">
        <w:rPr>
          <w:color w:val="000000"/>
        </w:rPr>
        <w:t xml:space="preserve"> repeatedly engages in controlling behaviour towards another that is controlling or coercive. The people are personally connected. The behaviour also has a serious effect on the victim and the perpetrator ought to know that the behaviour would have a serious effect.  They must both be over the age of 16 and the behaviour that is controlling or coercive can include, physical, psychological, emotional and financial. The behaviour can have a serious effect on the victims life. This is used to make the victim subordinate and or dependent on the perpetrator.</w:t>
      </w:r>
    </w:p>
    <w:p w:rsidR="00A81C00" w:rsidRDefault="00A81C00"/>
    <w:p w:rsidR="005F6A03" w:rsidRDefault="005F6A03"/>
    <w:p w:rsidR="005F6A03" w:rsidRDefault="005F6A03"/>
    <w:p w:rsidR="00A81C00" w:rsidRDefault="00A81C00">
      <w:r>
        <w:lastRenderedPageBreak/>
        <w:t>15.</w:t>
      </w:r>
    </w:p>
    <w:p w:rsidR="002D60D6" w:rsidRPr="002D60D6" w:rsidRDefault="002D60D6" w:rsidP="002D60D6">
      <w:pPr>
        <w:rPr>
          <w:rFonts w:eastAsia="Times New Roman" w:cs="Times New Roman"/>
          <w:iCs/>
          <w:color w:val="000000" w:themeColor="text1"/>
        </w:rPr>
      </w:pPr>
      <w:r w:rsidRPr="002D60D6">
        <w:rPr>
          <w:rFonts w:eastAsia="Times New Roman" w:cs="Times New Roman"/>
          <w:iCs/>
          <w:color w:val="000000" w:themeColor="text1"/>
        </w:rPr>
        <w:t xml:space="preserve">The offence is important as it safeguards and protects the victim. The offence also allows for previous incidents than can demonstrate a pattern of behaviour from December 2015 to be used when proving the offence of coercive control. </w:t>
      </w:r>
      <w:r w:rsidR="006346B9">
        <w:rPr>
          <w:rFonts w:eastAsia="Times New Roman" w:cs="Times New Roman"/>
          <w:iCs/>
          <w:color w:val="000000" w:themeColor="text1"/>
        </w:rPr>
        <w:t xml:space="preserve">This is important as controlling and coercive behaviour can sometimes be subtle but can have a substantial effect over a long period of time. </w:t>
      </w:r>
      <w:r w:rsidRPr="002D60D6">
        <w:rPr>
          <w:rFonts w:eastAsia="Times New Roman" w:cs="Times New Roman"/>
          <w:iCs/>
          <w:color w:val="000000" w:themeColor="text1"/>
        </w:rPr>
        <w:t xml:space="preserve">It also takes into account whether the behaviour is having a </w:t>
      </w:r>
      <w:r w:rsidR="006346B9">
        <w:rPr>
          <w:rFonts w:eastAsia="Times New Roman" w:cs="Times New Roman"/>
          <w:iCs/>
          <w:color w:val="000000" w:themeColor="text1"/>
        </w:rPr>
        <w:t xml:space="preserve">substantial </w:t>
      </w:r>
      <w:r w:rsidRPr="002D60D6">
        <w:rPr>
          <w:rFonts w:eastAsia="Times New Roman" w:cs="Times New Roman"/>
          <w:iCs/>
          <w:color w:val="000000" w:themeColor="text1"/>
        </w:rPr>
        <w:t>serious effect on the victims life</w:t>
      </w:r>
      <w:r w:rsidR="006346B9">
        <w:rPr>
          <w:rFonts w:eastAsia="Times New Roman" w:cs="Times New Roman"/>
          <w:iCs/>
          <w:color w:val="000000" w:themeColor="text1"/>
        </w:rPr>
        <w:t>.</w:t>
      </w:r>
    </w:p>
    <w:p w:rsidR="00A81C00" w:rsidRDefault="00A81C00"/>
    <w:p w:rsidR="00A81C00" w:rsidRDefault="00A81C00"/>
    <w:p w:rsidR="00A81C00" w:rsidRDefault="00A81C00"/>
    <w:p w:rsidR="00A81C00" w:rsidRDefault="00A81C00">
      <w:r>
        <w:t>16.</w:t>
      </w:r>
    </w:p>
    <w:p w:rsidR="002D60D6" w:rsidRPr="002D60D6" w:rsidRDefault="002D60D6" w:rsidP="002D60D6">
      <w:pPr>
        <w:rPr>
          <w:rFonts w:eastAsia="Times New Roman" w:cs="Times New Roman"/>
          <w:color w:val="000000" w:themeColor="text1"/>
        </w:rPr>
      </w:pPr>
      <w:r w:rsidRPr="002D60D6">
        <w:rPr>
          <w:rFonts w:eastAsia="Times New Roman" w:cs="Times New Roman"/>
          <w:color w:val="000000" w:themeColor="text1"/>
        </w:rPr>
        <w:t xml:space="preserve">If a constable has reasonable cause to believe that a child would be likely to suffer significant harm, he may remove the child to suitable accommodation and keep them there such a hospital, social services or other appropriate places of safety. A constable can also take such steps as are reasonable to ensure that a childs removal from hospital or other place of safety in which they are being accommodated is prevented. This includes arresting for an offence or possible breach of the peace or other powers afforded to an officer. The police can also use a Police protection order (PPO), this gives powers to officers to also remove a child from a location where an officers believes a child is likely to suffer significant harm to safeguard and protect the child. </w:t>
      </w:r>
      <w:r w:rsidR="00894BF4">
        <w:rPr>
          <w:color w:val="000000" w:themeColor="text1"/>
        </w:rPr>
        <w:t>Significant harm can include, physical, emotional, psychological and sexual.</w:t>
      </w:r>
    </w:p>
    <w:p w:rsidR="00A81C00" w:rsidRDefault="00A81C00"/>
    <w:p w:rsidR="00A81C00" w:rsidRDefault="00A81C00"/>
    <w:p w:rsidR="00A81C00" w:rsidRDefault="00A81C00"/>
    <w:p w:rsidR="00A81C00" w:rsidRDefault="00A81C00">
      <w:r>
        <w:t>17.</w:t>
      </w:r>
    </w:p>
    <w:p w:rsidR="00AB067B" w:rsidRPr="00AB067B" w:rsidRDefault="00AB067B" w:rsidP="0079361F">
      <w:pPr>
        <w:contextualSpacing/>
        <w:rPr>
          <w:rFonts w:eastAsia="Times New Roman" w:cs="Times New Roman"/>
          <w:color w:val="000000" w:themeColor="text1"/>
        </w:rPr>
      </w:pPr>
      <w:r w:rsidRPr="00AB067B">
        <w:rPr>
          <w:rFonts w:eastAsia="Times New Roman" w:cs="Times New Roman"/>
          <w:color w:val="000000" w:themeColor="text1"/>
        </w:rPr>
        <w:t xml:space="preserve">A person over the age of 16 who having responsibility for a child under 16. Wilfully assaults, ill-treats, neglects, abandons or exposes the child in a </w:t>
      </w:r>
      <w:r w:rsidR="0079361F" w:rsidRPr="00AB067B">
        <w:rPr>
          <w:rFonts w:eastAsia="Times New Roman" w:cs="Times New Roman"/>
          <w:color w:val="000000" w:themeColor="text1"/>
        </w:rPr>
        <w:t>manner, which</w:t>
      </w:r>
      <w:r w:rsidRPr="00AB067B">
        <w:rPr>
          <w:rFonts w:eastAsia="Times New Roman" w:cs="Times New Roman"/>
          <w:color w:val="000000" w:themeColor="text1"/>
        </w:rPr>
        <w:t xml:space="preserve"> is likely to cause unnecessary suffering or injury to health.</w:t>
      </w:r>
    </w:p>
    <w:p w:rsidR="00A81C00" w:rsidRDefault="00A81C00"/>
    <w:p w:rsidR="00A81C00" w:rsidRDefault="00A81C00"/>
    <w:p w:rsidR="00A81C00" w:rsidRDefault="00A81C00">
      <w:r>
        <w:t>18.</w:t>
      </w:r>
    </w:p>
    <w:p w:rsidR="00354DE6" w:rsidRPr="00354DE6" w:rsidRDefault="00354DE6" w:rsidP="00354DE6">
      <w:pPr>
        <w:rPr>
          <w:rFonts w:eastAsia="Times New Roman" w:cs="Times New Roman"/>
        </w:rPr>
      </w:pPr>
      <w:r w:rsidRPr="00354DE6">
        <w:rPr>
          <w:rFonts w:eastAsia="Times New Roman" w:cs="Times New Roman"/>
        </w:rPr>
        <w:t>The Risk identification is used when an officer deals with a domestic incident. The risk is identified as high, medium or low. This is also sent to PPU to carry out an assessment to determine whether the offence was high/medium or low. The DASH model is also used to determine any and what risk is present to a victim it also allows officers to determine how dangerous the domestic abuse perpetrator is. Other agencies are involved in domestic abuse incidents. A MARAC (multi agency risk assessment conference) can be used with other agencies to share understanding and determine what further support needs to be put in place to support the victim. Management to protect the victims and include DVPN, DVPO, DAPN, DAPO also stalking, harm, protection orders to manage the risk. These are important as a breach can lead to an</w:t>
      </w:r>
      <w:r w:rsidR="0079361F">
        <w:rPr>
          <w:rFonts w:eastAsia="Times New Roman" w:cs="Times New Roman"/>
        </w:rPr>
        <w:t xml:space="preserve"> arrest against the perpetrator if they commit any further offences and breach any prohibitions in their order.</w:t>
      </w:r>
    </w:p>
    <w:p w:rsidR="00A81C00" w:rsidRDefault="00A81C00"/>
    <w:p w:rsidR="00A81C00" w:rsidRDefault="00A81C00">
      <w:r>
        <w:t>19.</w:t>
      </w:r>
    </w:p>
    <w:p w:rsidR="00894BF4" w:rsidRDefault="00894BF4" w:rsidP="00894BF4">
      <w:pPr>
        <w:rPr>
          <w:rFonts w:eastAsia="Times New Roman" w:cs="Times New Roman"/>
        </w:rPr>
      </w:pPr>
      <w:r w:rsidRPr="00894BF4">
        <w:rPr>
          <w:rFonts w:eastAsia="Times New Roman" w:cs="Times New Roman"/>
        </w:rPr>
        <w:t>A PPN is used to summarise the vulnerabilities of vulnerable people and victims. A PPN assesses the threat, risk, harm and vulnerabilities of a victim or vulnerable person. If the police deal with a call with a vulnerable person such as a child or a person involved in a domestic disturbance a PPN must be submitted as part of the paperwork. The police must establish the correct incident whether it is a domestic, adult at risk, child protection and FGM or honour based abuse. Police must fill in the PPN as accurately as possible and adding the correct sections such as filling in the DASH form if it is a domestic incident.  Police must then submit the PPN as High if there is a significant risk to life, medium for medium risk or standard. The PPN is submitted to the relevant BCU’s PPU department and assessed to determine what further support is required for the victim or vulnerable person.</w:t>
      </w:r>
      <w:r w:rsidR="0079361F">
        <w:rPr>
          <w:rFonts w:eastAsia="Times New Roman" w:cs="Times New Roman"/>
        </w:rPr>
        <w:t xml:space="preserve"> A PPN is submitted for a Person who is suicidal so if the police attend a mental health call regarding a suicidal person or severe mental health a PPN must be submitted. </w:t>
      </w:r>
    </w:p>
    <w:p w:rsidR="0079361F" w:rsidRPr="00894BF4" w:rsidRDefault="0079361F" w:rsidP="00894BF4">
      <w:pPr>
        <w:rPr>
          <w:rFonts w:eastAsia="Times New Roman" w:cs="Times New Roman"/>
        </w:rPr>
      </w:pPr>
      <w:r>
        <w:rPr>
          <w:rFonts w:eastAsia="Times New Roman" w:cs="Times New Roman"/>
        </w:rPr>
        <w:t xml:space="preserve">If a person has any severe learning difficulties which makes them vulnerable, a PPN must be submitted. Any child or young person under 18 involved in an incident or present, a PPN must be submitted. Any person involved in domestic violence require a PPN submission. If a person is at risk or FGM or honour based abuse. A PPN must also be submitted to protect them and highlight any vulnerabilities and support needed. </w:t>
      </w:r>
    </w:p>
    <w:p w:rsidR="00A81C00" w:rsidRDefault="00A81C00"/>
    <w:p w:rsidR="00A81C00" w:rsidRDefault="00A81C00"/>
    <w:p w:rsidR="00A81C00" w:rsidRDefault="00A81C00"/>
    <w:p w:rsidR="00A81C00" w:rsidRDefault="00A81C00">
      <w:r>
        <w:t>20.</w:t>
      </w:r>
    </w:p>
    <w:p w:rsidR="00354DE6" w:rsidRDefault="00354DE6" w:rsidP="00354DE6">
      <w:pPr>
        <w:rPr>
          <w:color w:val="000000" w:themeColor="text1"/>
        </w:rPr>
      </w:pPr>
      <w:r>
        <w:rPr>
          <w:color w:val="000000" w:themeColor="text1"/>
        </w:rPr>
        <w:t xml:space="preserve">A DVPN (domestic violence protection notice) is used when a domestic call is sometimes likely to be NFA’d with not enough evidence to proceed down the criminal route. If an officer feels there is a risk to a person and they could suffer significant harm at the hands of the domestic aggressor immediately after a Domestic incident, a constable can apply for the DVPN to provide emergency protection to the victim. This provides breathing space to the victim after an incident. Along with the PPN it provides space for further departments or services such as charities to but safeguarding in place. A constable must fill in the relevant paperwork and seek the approval from an inspector, superintendent, or anything above. The DVPN is then put in place for 48 hours from the initial domestic incident. If a constable feels further support is needed, a constable must seek approval from a magistrate to put a DVPO (domestic violence protection order) in place from 14 to 28 days. A DVPN or DVPO breach can also lead to an arrest of the perpetrator if they are breached. </w:t>
      </w:r>
    </w:p>
    <w:p w:rsidR="00A81C00" w:rsidRDefault="00A81C00"/>
    <w:p w:rsidR="00A81C00" w:rsidRDefault="00A81C00"/>
    <w:p w:rsidR="00A81C00" w:rsidRDefault="00A81C00"/>
    <w:p w:rsidR="00A81C00" w:rsidRDefault="00A81C00">
      <w:r>
        <w:t>21.</w:t>
      </w:r>
    </w:p>
    <w:p w:rsidR="00354DE6" w:rsidRDefault="00AB067B" w:rsidP="00354DE6">
      <w:r w:rsidRPr="00AB067B">
        <w:rPr>
          <w:rFonts w:eastAsia="Times New Roman" w:cs="Times New Roman"/>
        </w:rPr>
        <w:t xml:space="preserve">Child sexual exploitation is a form or child sexual abuse where an individual or group takes advantage of an imbalance of power to coerce, deceive or manipulate the child or young person under 18 years into the sexual activity. </w:t>
      </w:r>
      <w:r w:rsidR="00354DE6">
        <w:t xml:space="preserve">This is carried out by grooming a child into carrying out sexual </w:t>
      </w:r>
      <w:r w:rsidR="00354DE6">
        <w:lastRenderedPageBreak/>
        <w:t xml:space="preserve">acts. A perpetrator may target a young child who has adverse child experiences, lack of education, poverty or low self esteem. They will target the child and make them feel special and important. They will then begin to cut them off from their support network such as family and friends so they are solely reliant on the perpetrator. They will then use the child to engage in sexual acts this can include sex trafficking or rape. </w:t>
      </w:r>
      <w:r w:rsidR="0079361F">
        <w:t>CSE is used by exploiting the vulnerabilities or children and using their vulnerabilities to coerce them into engaging in sexual activity.</w:t>
      </w:r>
    </w:p>
    <w:p w:rsidR="00AB067B" w:rsidRPr="00AB067B" w:rsidRDefault="00AB067B" w:rsidP="00AB067B">
      <w:pPr>
        <w:rPr>
          <w:rFonts w:eastAsia="Times New Roman" w:cs="Times New Roman"/>
        </w:rPr>
      </w:pPr>
    </w:p>
    <w:p w:rsidR="00A81C00" w:rsidRDefault="00A81C00"/>
    <w:p w:rsidR="00A81C00" w:rsidRDefault="00A81C00"/>
    <w:p w:rsidR="00A81C00" w:rsidRDefault="00A81C00"/>
    <w:p w:rsidR="00A81C00" w:rsidRDefault="00A81C00">
      <w:r>
        <w:t>22.</w:t>
      </w:r>
    </w:p>
    <w:p w:rsidR="00AB067B" w:rsidRPr="00AB067B" w:rsidRDefault="00AB067B" w:rsidP="00AB067B">
      <w:pPr>
        <w:spacing w:after="0"/>
        <w:rPr>
          <w:rFonts w:eastAsia="Times New Roman" w:cs="Times New Roman"/>
          <w:color w:val="000000" w:themeColor="text1"/>
        </w:rPr>
      </w:pPr>
      <w:r w:rsidRPr="00AB067B">
        <w:rPr>
          <w:rFonts w:eastAsia="Times New Roman" w:cs="Times New Roman"/>
          <w:color w:val="000000" w:themeColor="text1"/>
        </w:rPr>
        <w:t>Sarahs law is a scheme where a parent, guardian or carer can make a formal request to the police for information on a person who is in close contact with their child or a child that they are close to. This is done as a safeguarding measure to protect the child from any harm from an adult who potentially poses a significant risk.</w:t>
      </w:r>
    </w:p>
    <w:p w:rsidR="00A81C00" w:rsidRDefault="00A81C00"/>
    <w:p w:rsidR="00A81C00" w:rsidRDefault="00A81C00"/>
    <w:p w:rsidR="00A81C00" w:rsidRDefault="00A81C00">
      <w:r>
        <w:t>23.</w:t>
      </w:r>
    </w:p>
    <w:p w:rsidR="0079361F" w:rsidRDefault="0079361F" w:rsidP="00AB067B">
      <w:pPr>
        <w:spacing w:after="0"/>
        <w:rPr>
          <w:rFonts w:eastAsia="Times New Roman" w:cs="Times New Roman"/>
        </w:rPr>
      </w:pPr>
      <w:r>
        <w:rPr>
          <w:rFonts w:eastAsia="Times New Roman" w:cs="Times New Roman"/>
        </w:rPr>
        <w:t xml:space="preserve">The </w:t>
      </w:r>
      <w:r w:rsidR="00AB067B" w:rsidRPr="00AB067B">
        <w:rPr>
          <w:rFonts w:eastAsia="Times New Roman" w:cs="Times New Roman"/>
        </w:rPr>
        <w:t>Evidential presumptions is</w:t>
      </w:r>
      <w:r>
        <w:rPr>
          <w:rFonts w:eastAsia="Times New Roman" w:cs="Times New Roman"/>
        </w:rPr>
        <w:t xml:space="preserve"> a statutory presumption that can be ultilised to determine whether consent was absent or not. </w:t>
      </w:r>
    </w:p>
    <w:p w:rsidR="00AB067B" w:rsidRPr="00AB067B" w:rsidRDefault="0079361F" w:rsidP="00AB067B">
      <w:pPr>
        <w:spacing w:after="0"/>
        <w:rPr>
          <w:rFonts w:eastAsia="Times New Roman" w:cs="Times New Roman"/>
        </w:rPr>
      </w:pPr>
      <w:r>
        <w:rPr>
          <w:rFonts w:eastAsia="Times New Roman" w:cs="Times New Roman"/>
        </w:rPr>
        <w:t>W</w:t>
      </w:r>
      <w:r w:rsidR="00AB067B" w:rsidRPr="00AB067B">
        <w:rPr>
          <w:rFonts w:eastAsia="Times New Roman" w:cs="Times New Roman"/>
        </w:rPr>
        <w:t>here if it can be proved in court that:</w:t>
      </w:r>
    </w:p>
    <w:p w:rsidR="00AB067B" w:rsidRPr="00AB067B" w:rsidRDefault="00AB067B" w:rsidP="00AB067B">
      <w:pPr>
        <w:spacing w:after="0"/>
        <w:rPr>
          <w:rFonts w:eastAsia="Times New Roman" w:cs="Times New Roman"/>
        </w:rPr>
      </w:pPr>
      <w:r w:rsidRPr="00AB067B">
        <w:rPr>
          <w:rFonts w:eastAsia="Times New Roman" w:cs="Times New Roman"/>
        </w:rPr>
        <w:t>The person did the sexual act</w:t>
      </w:r>
    </w:p>
    <w:p w:rsidR="00AB067B" w:rsidRPr="00AB067B" w:rsidRDefault="00AB067B" w:rsidP="00AB067B">
      <w:pPr>
        <w:spacing w:after="0"/>
        <w:rPr>
          <w:rFonts w:eastAsia="Times New Roman" w:cs="Times New Roman"/>
        </w:rPr>
      </w:pPr>
      <w:r w:rsidRPr="00AB067B">
        <w:rPr>
          <w:rFonts w:eastAsia="Times New Roman" w:cs="Times New Roman"/>
        </w:rPr>
        <w:t>The specified circumstances existed</w:t>
      </w:r>
    </w:p>
    <w:p w:rsidR="00AB067B" w:rsidRPr="00AB067B" w:rsidRDefault="00AB067B" w:rsidP="00AB067B">
      <w:pPr>
        <w:spacing w:after="0"/>
        <w:rPr>
          <w:rFonts w:eastAsia="Times New Roman" w:cs="Times New Roman"/>
        </w:rPr>
      </w:pPr>
      <w:r w:rsidRPr="00AB067B">
        <w:rPr>
          <w:rFonts w:eastAsia="Times New Roman" w:cs="Times New Roman"/>
        </w:rPr>
        <w:t xml:space="preserve">And the person knows or ought to know that any of the specified circumstances existed. </w:t>
      </w:r>
    </w:p>
    <w:p w:rsidR="00AB067B" w:rsidRPr="00AB067B" w:rsidRDefault="00AB067B" w:rsidP="00AB067B">
      <w:pPr>
        <w:spacing w:after="0"/>
        <w:rPr>
          <w:rFonts w:eastAsia="Times New Roman" w:cs="Times New Roman"/>
        </w:rPr>
      </w:pPr>
    </w:p>
    <w:p w:rsidR="00AB067B" w:rsidRPr="00AB067B" w:rsidRDefault="00AB067B" w:rsidP="00AB067B">
      <w:pPr>
        <w:spacing w:after="0"/>
        <w:rPr>
          <w:rFonts w:eastAsia="Times New Roman" w:cs="Times New Roman"/>
        </w:rPr>
      </w:pPr>
      <w:r w:rsidRPr="00AB067B">
        <w:rPr>
          <w:rFonts w:eastAsia="Times New Roman" w:cs="Times New Roman"/>
        </w:rPr>
        <w:t>The circumstances where a person can commit an offence by carrying out a sexual act are</w:t>
      </w:r>
      <w:r w:rsidR="0079361F">
        <w:rPr>
          <w:rFonts w:eastAsia="Times New Roman" w:cs="Times New Roman"/>
        </w:rPr>
        <w:t>:</w:t>
      </w:r>
    </w:p>
    <w:p w:rsidR="00AB067B" w:rsidRPr="00AB067B" w:rsidRDefault="00AB067B" w:rsidP="00AB067B">
      <w:pPr>
        <w:spacing w:after="0"/>
        <w:rPr>
          <w:rFonts w:eastAsia="Times New Roman" w:cs="Times New Roman"/>
        </w:rPr>
      </w:pPr>
      <w:r w:rsidRPr="00AB067B">
        <w:rPr>
          <w:rFonts w:eastAsia="Times New Roman" w:cs="Times New Roman"/>
        </w:rPr>
        <w:t>Violence or fear of violence were used</w:t>
      </w:r>
    </w:p>
    <w:p w:rsidR="00AB067B" w:rsidRPr="00AB067B" w:rsidRDefault="00AB067B" w:rsidP="00AB067B">
      <w:pPr>
        <w:spacing w:after="0"/>
        <w:rPr>
          <w:rFonts w:eastAsia="Times New Roman" w:cs="Times New Roman"/>
        </w:rPr>
      </w:pPr>
      <w:r w:rsidRPr="00AB067B">
        <w:rPr>
          <w:rFonts w:eastAsia="Times New Roman" w:cs="Times New Roman"/>
        </w:rPr>
        <w:t>Complainant was unlawfully detained</w:t>
      </w:r>
    </w:p>
    <w:p w:rsidR="00AB067B" w:rsidRPr="00AB067B" w:rsidRDefault="00AB067B" w:rsidP="00AB067B">
      <w:pPr>
        <w:spacing w:after="0"/>
        <w:rPr>
          <w:rFonts w:eastAsia="Times New Roman" w:cs="Times New Roman"/>
        </w:rPr>
      </w:pPr>
      <w:r w:rsidRPr="00AB067B">
        <w:rPr>
          <w:rFonts w:eastAsia="Times New Roman" w:cs="Times New Roman"/>
        </w:rPr>
        <w:t>Complainant was asleep or unconscious</w:t>
      </w:r>
    </w:p>
    <w:p w:rsidR="00AB067B" w:rsidRPr="00AB067B" w:rsidRDefault="00AB067B" w:rsidP="00AB067B">
      <w:pPr>
        <w:spacing w:after="0"/>
        <w:rPr>
          <w:rFonts w:eastAsia="Times New Roman" w:cs="Times New Roman"/>
        </w:rPr>
      </w:pPr>
      <w:r w:rsidRPr="00AB067B">
        <w:rPr>
          <w:rFonts w:eastAsia="Times New Roman" w:cs="Times New Roman"/>
        </w:rPr>
        <w:t xml:space="preserve">Complainant has a physical disability to unable to communicate whether they consent or not </w:t>
      </w:r>
    </w:p>
    <w:p w:rsidR="00AB067B" w:rsidRPr="00AB067B" w:rsidRDefault="00AB067B" w:rsidP="00AB067B">
      <w:pPr>
        <w:spacing w:after="0"/>
        <w:rPr>
          <w:rFonts w:eastAsia="Times New Roman" w:cs="Times New Roman"/>
        </w:rPr>
      </w:pPr>
      <w:r w:rsidRPr="00AB067B">
        <w:rPr>
          <w:rFonts w:eastAsia="Times New Roman" w:cs="Times New Roman"/>
        </w:rPr>
        <w:t xml:space="preserve">A substance was used in order to carry out the act. </w:t>
      </w:r>
    </w:p>
    <w:p w:rsidR="00A81C00" w:rsidRDefault="00A81C00"/>
    <w:p w:rsidR="00A81C00" w:rsidRDefault="00A81C00">
      <w:r>
        <w:t>24.</w:t>
      </w:r>
    </w:p>
    <w:p w:rsidR="00AB067B" w:rsidRDefault="00AB067B" w:rsidP="00AB067B">
      <w:pPr>
        <w:contextualSpacing/>
        <w:rPr>
          <w:rFonts w:eastAsia="Times New Roman" w:cs="Times New Roman"/>
          <w:bCs/>
          <w:color w:val="000000" w:themeColor="text1"/>
        </w:rPr>
      </w:pPr>
      <w:r w:rsidRPr="00AB067B">
        <w:rPr>
          <w:rFonts w:eastAsia="Times New Roman" w:cs="Times New Roman"/>
          <w:bCs/>
          <w:color w:val="000000" w:themeColor="text1"/>
        </w:rPr>
        <w:t xml:space="preserve">Evidence presented fairly and accurately.  Both sides providing their arguments to an impartial person. </w:t>
      </w:r>
      <w:r w:rsidR="002259E4" w:rsidRPr="002259E4">
        <w:rPr>
          <w:rFonts w:eastAsia="Times New Roman" w:cs="Times New Roman"/>
          <w:bCs/>
          <w:color w:val="000000" w:themeColor="text1"/>
        </w:rPr>
        <w:t>The defendant having the choice and support to be able to have legal support if they wish.</w:t>
      </w:r>
    </w:p>
    <w:p w:rsidR="0079361F" w:rsidRPr="00AB067B" w:rsidRDefault="0079361F" w:rsidP="00AB067B">
      <w:pPr>
        <w:contextualSpacing/>
        <w:rPr>
          <w:rFonts w:eastAsia="Times New Roman" w:cs="Times New Roman"/>
          <w:bCs/>
          <w:color w:val="000000" w:themeColor="text1"/>
        </w:rPr>
      </w:pPr>
      <w:r>
        <w:rPr>
          <w:rFonts w:eastAsia="Times New Roman" w:cs="Times New Roman"/>
          <w:bCs/>
          <w:color w:val="000000" w:themeColor="text1"/>
        </w:rPr>
        <w:t xml:space="preserve">Evidence provided accurately and within disclosure guidance to be used in court. </w:t>
      </w:r>
      <w:r w:rsidR="007C4F7E">
        <w:rPr>
          <w:rFonts w:eastAsia="Times New Roman" w:cs="Times New Roman"/>
          <w:bCs/>
          <w:color w:val="000000" w:themeColor="text1"/>
        </w:rPr>
        <w:t>Bring justice to those harmed by crime and victims</w:t>
      </w:r>
      <w:bookmarkStart w:id="0" w:name="_GoBack"/>
      <w:bookmarkEnd w:id="0"/>
      <w:r w:rsidR="007C4F7E">
        <w:rPr>
          <w:rFonts w:eastAsia="Times New Roman" w:cs="Times New Roman"/>
          <w:bCs/>
          <w:color w:val="000000" w:themeColor="text1"/>
        </w:rPr>
        <w:t xml:space="preserve"> in the community.</w:t>
      </w:r>
    </w:p>
    <w:p w:rsidR="00A81C00" w:rsidRPr="00AB067B" w:rsidRDefault="00A81C00"/>
    <w:p w:rsidR="00AB067B" w:rsidRDefault="00AB067B"/>
    <w:p w:rsidR="00A81C00" w:rsidRDefault="00A81C00">
      <w:r>
        <w:t>25.</w:t>
      </w:r>
    </w:p>
    <w:p w:rsidR="00AB067B" w:rsidRPr="00AB067B" w:rsidRDefault="00AB067B" w:rsidP="00AB067B">
      <w:pPr>
        <w:tabs>
          <w:tab w:val="left" w:pos="6198"/>
        </w:tabs>
        <w:spacing w:after="0" w:line="276" w:lineRule="auto"/>
        <w:rPr>
          <w:rFonts w:asciiTheme="majorHAnsi" w:eastAsia="Times New Roman" w:hAnsiTheme="majorHAnsi" w:cs="Calibri Light"/>
        </w:rPr>
      </w:pPr>
      <w:r w:rsidRPr="00AB067B">
        <w:rPr>
          <w:rFonts w:asciiTheme="majorHAnsi" w:eastAsia="Times New Roman" w:hAnsiTheme="majorHAnsi" w:cs="Calibri Light"/>
        </w:rPr>
        <w:lastRenderedPageBreak/>
        <w:t xml:space="preserve">The full code test is guidance or general principles to give guidance on prosecutions. </w:t>
      </w:r>
    </w:p>
    <w:p w:rsidR="00AB067B" w:rsidRPr="00AB067B" w:rsidRDefault="00AB067B" w:rsidP="00AB067B">
      <w:pPr>
        <w:tabs>
          <w:tab w:val="left" w:pos="6198"/>
        </w:tabs>
        <w:spacing w:after="0" w:line="276" w:lineRule="auto"/>
        <w:rPr>
          <w:rFonts w:asciiTheme="majorHAnsi" w:eastAsia="Times New Roman" w:hAnsiTheme="majorHAnsi" w:cs="Calibri Light"/>
        </w:rPr>
      </w:pPr>
      <w:r w:rsidRPr="00AB067B">
        <w:rPr>
          <w:rFonts w:asciiTheme="majorHAnsi" w:eastAsia="Times New Roman" w:hAnsiTheme="majorHAnsi" w:cs="Calibri Light"/>
        </w:rPr>
        <w:t xml:space="preserve">The Evidential phase is where there is sufficient principles to provide a realistic prospect of conviction. The evidence needs to be reliable, credible and can be used in court. </w:t>
      </w:r>
    </w:p>
    <w:p w:rsidR="00AB067B" w:rsidRPr="00AB067B" w:rsidRDefault="00AB067B" w:rsidP="00AB067B">
      <w:pPr>
        <w:tabs>
          <w:tab w:val="left" w:pos="6198"/>
        </w:tabs>
        <w:spacing w:after="0" w:line="276" w:lineRule="auto"/>
        <w:rPr>
          <w:rFonts w:asciiTheme="majorHAnsi" w:eastAsia="Times New Roman" w:hAnsiTheme="majorHAnsi" w:cs="Calibri Light"/>
        </w:rPr>
      </w:pPr>
      <w:r w:rsidRPr="00AB067B">
        <w:rPr>
          <w:rFonts w:asciiTheme="majorHAnsi" w:eastAsia="Times New Roman" w:hAnsiTheme="majorHAnsi" w:cs="Calibri Light"/>
        </w:rPr>
        <w:t xml:space="preserve">Public interest section is where there needs to be a overwhelming reason not to charge due to public interst. Public interest includes, nature of offence, culpability and age. </w:t>
      </w:r>
    </w:p>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Default="00A81C00"/>
    <w:p w:rsidR="00A81C00" w:rsidRPr="00A81C00" w:rsidRDefault="00A81C00" w:rsidP="00A81C00">
      <w:pPr>
        <w:spacing w:after="0" w:line="240" w:lineRule="auto"/>
        <w:rPr>
          <w:rFonts w:eastAsia="Times New Roman" w:cs="Times New Roman"/>
        </w:rPr>
      </w:pPr>
    </w:p>
    <w:p w:rsidR="00A81C00" w:rsidRPr="00A81C00" w:rsidRDefault="00A81C00" w:rsidP="00A81C00">
      <w:pPr>
        <w:spacing w:after="0" w:line="240" w:lineRule="auto"/>
        <w:rPr>
          <w:rFonts w:eastAsia="Times New Roman" w:cs="Times New Roman"/>
        </w:rPr>
      </w:pPr>
      <w:r w:rsidRPr="00A81C00">
        <w:rPr>
          <w:rFonts w:eastAsia="Times New Roman" w:cs="Times New Roman"/>
        </w:rPr>
        <w:t>Mechanically propelled vehicle (MPV)</w:t>
      </w:r>
    </w:p>
    <w:p w:rsidR="00A81C00" w:rsidRPr="00A81C00" w:rsidRDefault="00A81C00" w:rsidP="00A81C00">
      <w:pPr>
        <w:spacing w:after="0" w:line="240" w:lineRule="auto"/>
        <w:rPr>
          <w:rFonts w:eastAsia="Times New Roman" w:cs="Times New Roman"/>
        </w:rPr>
      </w:pPr>
    </w:p>
    <w:p w:rsidR="00A81C00" w:rsidRPr="00A81C00" w:rsidRDefault="00A81C00" w:rsidP="00A81C00">
      <w:pPr>
        <w:spacing w:after="0" w:line="240" w:lineRule="auto"/>
        <w:rPr>
          <w:rFonts w:eastAsia="Times New Roman" w:cs="Times New Roman"/>
        </w:rPr>
      </w:pPr>
      <w:r w:rsidRPr="00A81C00">
        <w:rPr>
          <w:rFonts w:eastAsia="Times New Roman" w:cs="Times New Roman"/>
        </w:rPr>
        <w:t>Sexual Offences act 2003</w:t>
      </w:r>
    </w:p>
    <w:p w:rsidR="00A81C00" w:rsidRPr="00A81C00" w:rsidRDefault="00A81C00" w:rsidP="00A81C00">
      <w:pPr>
        <w:spacing w:after="0" w:line="240" w:lineRule="auto"/>
        <w:rPr>
          <w:rFonts w:eastAsia="Times New Roman" w:cs="Times New Roman"/>
        </w:rPr>
      </w:pPr>
    </w:p>
    <w:p w:rsidR="00A81C00" w:rsidRPr="00A81C00" w:rsidRDefault="00A81C00" w:rsidP="00A81C00">
      <w:pPr>
        <w:spacing w:after="0" w:line="240" w:lineRule="auto"/>
        <w:rPr>
          <w:rFonts w:eastAsia="Times New Roman" w:cs="Times New Roman"/>
        </w:rPr>
      </w:pPr>
      <w:r w:rsidRPr="00A81C00">
        <w:rPr>
          <w:rFonts w:eastAsia="Times New Roman" w:cs="Times New Roman"/>
        </w:rPr>
        <w:t>Road traffic Act 1988</w:t>
      </w:r>
    </w:p>
    <w:p w:rsidR="00A81C00" w:rsidRPr="00A81C00" w:rsidRDefault="00A81C00" w:rsidP="00A81C00">
      <w:pPr>
        <w:spacing w:after="0" w:line="240" w:lineRule="auto"/>
        <w:rPr>
          <w:rFonts w:eastAsia="Times New Roman" w:cs="Times New Roman"/>
        </w:rPr>
      </w:pPr>
    </w:p>
    <w:p w:rsidR="00A81C00" w:rsidRDefault="00A81C00"/>
    <w:sectPr w:rsidR="00A81C00" w:rsidSect="00A81C0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1C00" w:rsidRDefault="00A81C00" w:rsidP="00A81C00">
      <w:pPr>
        <w:spacing w:after="0" w:line="240" w:lineRule="auto"/>
      </w:pPr>
      <w:r>
        <w:separator/>
      </w:r>
    </w:p>
  </w:endnote>
  <w:endnote w:type="continuationSeparator" w:id="0">
    <w:p w:rsidR="00A81C00" w:rsidRDefault="00A81C00" w:rsidP="00A81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0B30" w:rsidRDefault="007C4F7E" w:rsidP="007C4F7E">
    <w:pPr>
      <w:pStyle w:val="Footer"/>
      <w:rPr>
        <w:color w:val="000000"/>
        <w:sz w:val="17"/>
      </w:rPr>
    </w:pPr>
    <w:bookmarkStart w:id="3" w:name="TITUS1FooterEvenPages"/>
    <w:r>
      <w:rPr>
        <w:color w:val="000000"/>
        <w:sz w:val="17"/>
      </w:rPr>
      <w:t> </w:t>
    </w:r>
  </w:p>
  <w:bookmarkEnd w:id="3"/>
  <w:p w:rsidR="003E0B30" w:rsidRDefault="003E0B30" w:rsidP="003E0B30">
    <w:pPr>
      <w:pStyle w:val="Footer"/>
    </w:pPr>
  </w:p>
  <w:p w:rsidR="00A81C00" w:rsidRDefault="00A81C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1C00" w:rsidRDefault="007C4F7E" w:rsidP="007C4F7E">
    <w:pPr>
      <w:pStyle w:val="Footer"/>
      <w:rPr>
        <w:color w:val="000000"/>
        <w:sz w:val="17"/>
      </w:rPr>
    </w:pPr>
    <w:bookmarkStart w:id="4" w:name="TITUS1FooterPrimary"/>
    <w:r>
      <w:rPr>
        <w:color w:val="000000"/>
        <w:sz w:val="17"/>
      </w:rPr>
      <w:t> </w:t>
    </w:r>
  </w:p>
  <w:bookmarkEnd w:id="4"/>
  <w:p w:rsidR="00A81C00" w:rsidRDefault="00A81C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1C00" w:rsidRDefault="007C4F7E" w:rsidP="007C4F7E">
    <w:pPr>
      <w:pStyle w:val="Footer"/>
      <w:rPr>
        <w:color w:val="000000"/>
        <w:sz w:val="17"/>
      </w:rPr>
    </w:pPr>
    <w:bookmarkStart w:id="6" w:name="TITUS1FooterFirstPage"/>
    <w:r>
      <w:rPr>
        <w:color w:val="000000"/>
        <w:sz w:val="17"/>
      </w:rPr>
      <w:t> </w:t>
    </w:r>
  </w:p>
  <w:bookmarkEnd w:id="6"/>
  <w:p w:rsidR="00A81C00" w:rsidRDefault="00A81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1C00" w:rsidRDefault="00A81C00" w:rsidP="00A81C00">
      <w:pPr>
        <w:spacing w:after="0" w:line="240" w:lineRule="auto"/>
      </w:pPr>
      <w:r>
        <w:separator/>
      </w:r>
    </w:p>
  </w:footnote>
  <w:footnote w:type="continuationSeparator" w:id="0">
    <w:p w:rsidR="00A81C00" w:rsidRDefault="00A81C00" w:rsidP="00A81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0B30" w:rsidRDefault="007C4F7E" w:rsidP="007C4F7E">
    <w:pPr>
      <w:pStyle w:val="Header"/>
      <w:rPr>
        <w:color w:val="000000"/>
        <w:sz w:val="17"/>
      </w:rPr>
    </w:pPr>
    <w:bookmarkStart w:id="1" w:name="TITUS1HeaderEvenPages"/>
    <w:r>
      <w:rPr>
        <w:color w:val="000000"/>
        <w:sz w:val="17"/>
      </w:rPr>
      <w:t> </w:t>
    </w:r>
  </w:p>
  <w:bookmarkEnd w:id="1"/>
  <w:p w:rsidR="003E0B30" w:rsidRDefault="003E0B30" w:rsidP="003E0B30">
    <w:pPr>
      <w:pStyle w:val="Header"/>
    </w:pPr>
  </w:p>
  <w:p w:rsidR="00A81C00" w:rsidRDefault="00A81C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1C00" w:rsidRDefault="007C4F7E" w:rsidP="007C4F7E">
    <w:pPr>
      <w:pStyle w:val="Header"/>
      <w:rPr>
        <w:color w:val="000000"/>
        <w:sz w:val="17"/>
      </w:rPr>
    </w:pPr>
    <w:bookmarkStart w:id="2" w:name="TITUS1HeaderPrimary"/>
    <w:r>
      <w:rPr>
        <w:color w:val="000000"/>
        <w:sz w:val="17"/>
      </w:rPr>
      <w:t> </w:t>
    </w:r>
  </w:p>
  <w:bookmarkEnd w:id="2"/>
  <w:p w:rsidR="00A81C00" w:rsidRDefault="00A81C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1C00" w:rsidRDefault="007C4F7E" w:rsidP="007C4F7E">
    <w:pPr>
      <w:pStyle w:val="Header"/>
      <w:rPr>
        <w:color w:val="000000"/>
        <w:sz w:val="17"/>
      </w:rPr>
    </w:pPr>
    <w:bookmarkStart w:id="5" w:name="TITUS1HeaderFirstPage"/>
    <w:r>
      <w:rPr>
        <w:color w:val="000000"/>
        <w:sz w:val="17"/>
      </w:rPr>
      <w:t> </w:t>
    </w:r>
  </w:p>
  <w:bookmarkEnd w:id="5"/>
  <w:p w:rsidR="00A81C00" w:rsidRDefault="00A81C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1C00"/>
    <w:rsid w:val="002259E4"/>
    <w:rsid w:val="002D60D6"/>
    <w:rsid w:val="00354DE6"/>
    <w:rsid w:val="003E0B30"/>
    <w:rsid w:val="005F6A03"/>
    <w:rsid w:val="006346B9"/>
    <w:rsid w:val="0079361F"/>
    <w:rsid w:val="007C4F7E"/>
    <w:rsid w:val="00894BF4"/>
    <w:rsid w:val="00960FFC"/>
    <w:rsid w:val="00A81C00"/>
    <w:rsid w:val="00AB067B"/>
    <w:rsid w:val="00D912FD"/>
    <w:rsid w:val="00FE4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4203E1"/>
  <w15:chartTrackingRefBased/>
  <w15:docId w15:val="{C06834D0-BB72-4233-833D-6FCFC1B9B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C00"/>
  </w:style>
  <w:style w:type="paragraph" w:styleId="Footer">
    <w:name w:val="footer"/>
    <w:basedOn w:val="Normal"/>
    <w:link w:val="FooterChar"/>
    <w:uiPriority w:val="99"/>
    <w:unhideWhenUsed/>
    <w:rsid w:val="00A81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393822">
      <w:bodyDiv w:val="1"/>
      <w:marLeft w:val="0"/>
      <w:marRight w:val="0"/>
      <w:marTop w:val="0"/>
      <w:marBottom w:val="0"/>
      <w:divBdr>
        <w:top w:val="none" w:sz="0" w:space="0" w:color="auto"/>
        <w:left w:val="none" w:sz="0" w:space="0" w:color="auto"/>
        <w:bottom w:val="none" w:sz="0" w:space="0" w:color="auto"/>
        <w:right w:val="none" w:sz="0" w:space="0" w:color="auto"/>
      </w:divBdr>
    </w:div>
    <w:div w:id="194014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8</Pages>
  <Words>2407</Words>
  <Characters>13723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Williams,Samantha swp6918</dc:creator>
  <cp:keywords/>
  <dc:description/>
  <cp:lastModifiedBy>Williams,Samantha swp6918</cp:lastModifiedBy>
  <cp:revision>13</cp:revision>
  <dcterms:created xsi:type="dcterms:W3CDTF">2021-08-23T11:20:00Z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2fbbe027-5670-4084-ad6d-5616e80489a3</vt:lpwstr>
  </property>
  <property fmtid="{D5CDD505-2E9C-101B-9397-08002B2CF9AE}" pid="3" name="Classification">
    <vt:lpwstr>OFFICIAL</vt:lpwstr>
  </property>
  <property fmtid="{D5CDD505-2E9C-101B-9397-08002B2CF9AE}" pid="4" name="Visibility">
    <vt:lpwstr>NOT VISIBLE</vt:lpwstr>
  </property>
</Properties>
</file>