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ED0AB" w14:textId="3C02638C" w:rsidR="00951EDE" w:rsidRDefault="00951EDE"/>
    <w:p w14:paraId="5F4B519F" w14:textId="77777777" w:rsidR="009B2099" w:rsidRDefault="009B2099" w:rsidP="009B2099">
      <w:pPr>
        <w:spacing w:line="360" w:lineRule="auto"/>
        <w:rPr>
          <w:rFonts w:ascii="Times New Roman" w:hAnsi="Times New Roman"/>
          <w:b/>
          <w:bCs/>
          <w:sz w:val="32"/>
          <w:szCs w:val="32"/>
        </w:rPr>
      </w:pPr>
    </w:p>
    <w:p w14:paraId="67873AE5" w14:textId="77777777" w:rsidR="009B2099" w:rsidRDefault="009B2099" w:rsidP="009B2099">
      <w:pPr>
        <w:spacing w:line="360" w:lineRule="auto"/>
      </w:pPr>
      <w:r>
        <w:rPr>
          <w:noProof/>
        </w:rPr>
        <w:drawing>
          <wp:inline distT="0" distB="0" distL="0" distR="0" wp14:anchorId="46EBB974" wp14:editId="5C36777F">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9EB3FE1" w14:textId="77777777" w:rsidR="009B2099" w:rsidRDefault="009B2099" w:rsidP="009B2099">
      <w:pPr>
        <w:spacing w:line="360" w:lineRule="auto"/>
        <w:rPr>
          <w:rStyle w:val="Strong"/>
          <w:rFonts w:ascii="Segoe UI" w:hAnsi="Segoe UI" w:cs="Segoe UI"/>
          <w:color w:val="1D2125"/>
        </w:rPr>
      </w:pPr>
    </w:p>
    <w:p w14:paraId="60FE68A9" w14:textId="77777777" w:rsidR="009B2099" w:rsidRDefault="009B2099" w:rsidP="009B2099">
      <w:pPr>
        <w:spacing w:line="360" w:lineRule="auto"/>
        <w:rPr>
          <w:rStyle w:val="Strong"/>
          <w:rFonts w:ascii="Arial" w:hAnsi="Arial" w:cs="Arial"/>
          <w:color w:val="1D2125"/>
          <w:sz w:val="36"/>
          <w:szCs w:val="36"/>
        </w:rPr>
      </w:pPr>
    </w:p>
    <w:p w14:paraId="1B021801" w14:textId="77777777" w:rsidR="009B2099" w:rsidRDefault="009B2099" w:rsidP="009B2099">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Creativity and Value Creation</w:t>
      </w:r>
    </w:p>
    <w:p w14:paraId="3A5F9476" w14:textId="77777777" w:rsidR="009B2099" w:rsidRDefault="009B2099" w:rsidP="009B2099">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(BMHP</w:t>
      </w:r>
      <w:r>
        <w:rPr>
          <w:rStyle w:val="Strong"/>
          <w:rFonts w:ascii="Arial" w:hAnsi="Arial" w:cs="Arial"/>
          <w:color w:val="1D2125"/>
          <w:sz w:val="36"/>
          <w:szCs w:val="36"/>
        </w:rPr>
        <w:t>5014)</w:t>
      </w:r>
    </w:p>
    <w:p w14:paraId="7FCF523F" w14:textId="77777777" w:rsidR="009B2099" w:rsidRDefault="009B2099" w:rsidP="009B2099">
      <w:pPr>
        <w:spacing w:line="360" w:lineRule="auto"/>
        <w:jc w:val="center"/>
        <w:rPr>
          <w:rStyle w:val="Strong"/>
          <w:rFonts w:ascii="Arial" w:hAnsi="Arial" w:cs="Arial"/>
          <w:color w:val="1D2125"/>
          <w:sz w:val="36"/>
          <w:szCs w:val="36"/>
        </w:rPr>
      </w:pPr>
    </w:p>
    <w:p w14:paraId="4F9343DB" w14:textId="77777777" w:rsidR="009B2099" w:rsidRDefault="009B2099" w:rsidP="009B2099">
      <w:pPr>
        <w:spacing w:line="360" w:lineRule="auto"/>
        <w:jc w:val="center"/>
        <w:rPr>
          <w:rStyle w:val="Strong"/>
          <w:rFonts w:ascii="Arial" w:hAnsi="Arial" w:cs="Arial"/>
          <w:color w:val="1D2125"/>
          <w:sz w:val="36"/>
          <w:szCs w:val="36"/>
        </w:rPr>
      </w:pPr>
    </w:p>
    <w:p w14:paraId="5F9F03E5" w14:textId="3F70DFC2" w:rsidR="009B2099" w:rsidRPr="00C4099B" w:rsidRDefault="009B2099" w:rsidP="00386113">
      <w:pPr>
        <w:spacing w:line="360" w:lineRule="auto"/>
        <w:rPr>
          <w:rStyle w:val="Strong"/>
          <w:rFonts w:ascii="Arial" w:hAnsi="Arial" w:cs="Arial"/>
          <w:b w:val="0"/>
          <w:bCs w:val="0"/>
          <w:color w:val="1D2125"/>
          <w:sz w:val="28"/>
          <w:szCs w:val="28"/>
        </w:rPr>
      </w:pPr>
      <w:r w:rsidRPr="00C4099B">
        <w:rPr>
          <w:rFonts w:ascii="Arial" w:hAnsi="Arial" w:cs="Arial"/>
          <w:b/>
          <w:bCs/>
          <w:color w:val="000000"/>
          <w:sz w:val="28"/>
          <w:szCs w:val="28"/>
        </w:rPr>
        <w:t>Component 2:</w:t>
      </w:r>
      <w:r w:rsidR="007337AF" w:rsidRPr="00C4099B">
        <w:rPr>
          <w:rFonts w:ascii="Arial" w:hAnsi="Arial" w:cs="Arial"/>
          <w:b/>
          <w:bCs/>
          <w:color w:val="000000"/>
          <w:sz w:val="28"/>
          <w:szCs w:val="28"/>
        </w:rPr>
        <w:t xml:space="preserve"> Assignment 2 (Poster and </w:t>
      </w:r>
      <w:r w:rsidR="00266971" w:rsidRPr="00C4099B">
        <w:rPr>
          <w:rFonts w:ascii="Arial" w:hAnsi="Arial" w:cs="Arial"/>
          <w:b/>
          <w:bCs/>
          <w:color w:val="000000"/>
          <w:sz w:val="28"/>
          <w:szCs w:val="28"/>
        </w:rPr>
        <w:t>Pitch)</w:t>
      </w:r>
    </w:p>
    <w:p w14:paraId="72655223" w14:textId="500EAEA4" w:rsidR="009B2099" w:rsidRPr="00C4099B" w:rsidRDefault="0056060D" w:rsidP="00386113">
      <w:pPr>
        <w:pStyle w:val="p1"/>
        <w:spacing w:line="360" w:lineRule="auto"/>
        <w:rPr>
          <w:rStyle w:val="Strong"/>
          <w:rFonts w:ascii="Arial" w:eastAsia="Times New Roman" w:hAnsi="Arial" w:cs="Arial"/>
          <w:b w:val="0"/>
          <w:bCs w:val="0"/>
          <w:color w:val="000000"/>
          <w:sz w:val="28"/>
          <w:szCs w:val="28"/>
          <w:lang w:val="en-US" w:eastAsia="en-US"/>
        </w:rPr>
      </w:pPr>
      <w:r w:rsidRPr="00C4099B">
        <w:rPr>
          <w:rStyle w:val="Strong"/>
          <w:rFonts w:ascii="Arial" w:hAnsi="Arial" w:cs="Arial"/>
          <w:color w:val="1D2125"/>
          <w:sz w:val="28"/>
          <w:szCs w:val="28"/>
        </w:rPr>
        <w:t xml:space="preserve">Program: </w:t>
      </w:r>
      <w:r w:rsidR="00386113" w:rsidRPr="00C4099B">
        <w:rPr>
          <w:rFonts w:ascii="Arial" w:eastAsia="Times New Roman" w:hAnsi="Arial" w:cs="Arial"/>
          <w:b/>
          <w:bCs/>
          <w:color w:val="000000"/>
          <w:sz w:val="28"/>
          <w:szCs w:val="28"/>
          <w:lang w:val="en-US" w:eastAsia="en-US"/>
        </w:rPr>
        <w:t>BSc (Hons) Health and Social Care</w:t>
      </w:r>
    </w:p>
    <w:p w14:paraId="340D02C6" w14:textId="7E2887C3" w:rsidR="009B2099" w:rsidRPr="00C4099B" w:rsidRDefault="009B2099" w:rsidP="00386113">
      <w:pPr>
        <w:spacing w:line="360" w:lineRule="auto"/>
        <w:rPr>
          <w:rStyle w:val="Strong"/>
          <w:rFonts w:ascii="Arial" w:hAnsi="Arial" w:cs="Arial"/>
          <w:color w:val="1D2125"/>
          <w:sz w:val="28"/>
          <w:szCs w:val="28"/>
        </w:rPr>
      </w:pPr>
      <w:r w:rsidRPr="00C4099B">
        <w:rPr>
          <w:rStyle w:val="Strong"/>
          <w:rFonts w:ascii="Arial" w:hAnsi="Arial" w:cs="Arial"/>
          <w:color w:val="1D2125"/>
          <w:sz w:val="28"/>
          <w:szCs w:val="28"/>
        </w:rPr>
        <w:t>Student name:</w:t>
      </w:r>
      <w:r w:rsidR="00B93D61" w:rsidRPr="00C4099B">
        <w:rPr>
          <w:rStyle w:val="Strong"/>
          <w:rFonts w:ascii="Arial" w:hAnsi="Arial" w:cs="Arial"/>
          <w:color w:val="1D2125"/>
          <w:sz w:val="28"/>
          <w:szCs w:val="28"/>
        </w:rPr>
        <w:t xml:space="preserve"> Roman Pacek</w:t>
      </w:r>
    </w:p>
    <w:p w14:paraId="72303BB8" w14:textId="73ED35A7" w:rsidR="009B2099" w:rsidRPr="00C4099B" w:rsidRDefault="009B2099" w:rsidP="00386113">
      <w:pPr>
        <w:spacing w:line="360" w:lineRule="auto"/>
        <w:rPr>
          <w:rStyle w:val="Strong"/>
          <w:rFonts w:ascii="Arial" w:hAnsi="Arial" w:cs="Arial"/>
          <w:color w:val="1D2125"/>
          <w:sz w:val="28"/>
          <w:szCs w:val="28"/>
        </w:rPr>
      </w:pPr>
      <w:r w:rsidRPr="00C4099B">
        <w:rPr>
          <w:rStyle w:val="Strong"/>
          <w:rFonts w:ascii="Arial" w:hAnsi="Arial" w:cs="Arial"/>
          <w:color w:val="1D2125"/>
          <w:sz w:val="28"/>
          <w:szCs w:val="28"/>
        </w:rPr>
        <w:t>Student number:</w:t>
      </w:r>
      <w:r w:rsidR="00B93D61" w:rsidRPr="00C4099B">
        <w:rPr>
          <w:rStyle w:val="Strong"/>
          <w:rFonts w:ascii="Arial" w:hAnsi="Arial" w:cs="Arial"/>
          <w:color w:val="1D2125"/>
          <w:sz w:val="28"/>
          <w:szCs w:val="28"/>
        </w:rPr>
        <w:t xml:space="preserve"> 2415805</w:t>
      </w:r>
    </w:p>
    <w:p w14:paraId="3F700139" w14:textId="10415EE9" w:rsidR="009B2099" w:rsidRPr="00C4099B" w:rsidRDefault="009B2099" w:rsidP="00386113">
      <w:pPr>
        <w:spacing w:line="360" w:lineRule="auto"/>
        <w:rPr>
          <w:rStyle w:val="Strong"/>
          <w:rFonts w:ascii="Arial" w:hAnsi="Arial" w:cs="Arial"/>
          <w:color w:val="1D2125"/>
          <w:sz w:val="28"/>
          <w:szCs w:val="28"/>
        </w:rPr>
      </w:pPr>
      <w:r w:rsidRPr="00C4099B">
        <w:rPr>
          <w:rStyle w:val="Strong"/>
          <w:rFonts w:ascii="Arial" w:hAnsi="Arial" w:cs="Arial"/>
          <w:color w:val="1D2125"/>
          <w:sz w:val="28"/>
          <w:szCs w:val="28"/>
        </w:rPr>
        <w:t>Lecturer’s name:</w:t>
      </w:r>
      <w:r w:rsidR="00B93D61" w:rsidRPr="00C4099B">
        <w:rPr>
          <w:rStyle w:val="Strong"/>
          <w:rFonts w:ascii="Arial" w:hAnsi="Arial" w:cs="Arial"/>
          <w:color w:val="1D2125"/>
          <w:sz w:val="28"/>
          <w:szCs w:val="28"/>
        </w:rPr>
        <w:t xml:space="preserve"> Brian Mashumba</w:t>
      </w:r>
    </w:p>
    <w:p w14:paraId="42876C2E" w14:textId="082CA794" w:rsidR="062FEBC6" w:rsidRDefault="062FEBC6" w:rsidP="00FF35DC">
      <w:pPr>
        <w:spacing w:beforeAutospacing="1" w:afterAutospacing="1" w:line="360" w:lineRule="auto"/>
        <w:rPr>
          <w:rFonts w:ascii="Arial" w:eastAsia="Arial" w:hAnsi="Arial" w:cs="Arial"/>
        </w:rPr>
      </w:pPr>
    </w:p>
    <w:p w14:paraId="1D72A9DF" w14:textId="77777777" w:rsidR="00375931" w:rsidRDefault="00375931" w:rsidP="00FF35DC">
      <w:pPr>
        <w:spacing w:beforeAutospacing="1" w:afterAutospacing="1" w:line="360" w:lineRule="auto"/>
        <w:rPr>
          <w:rFonts w:ascii="Arial" w:eastAsia="Arial" w:hAnsi="Arial" w:cs="Arial"/>
        </w:rPr>
      </w:pPr>
    </w:p>
    <w:p w14:paraId="185689CF" w14:textId="216144D3" w:rsidR="00ED18E4" w:rsidRDefault="00ED18E4" w:rsidP="00FF35DC">
      <w:pPr>
        <w:spacing w:beforeAutospacing="1" w:afterAutospacing="1" w:line="360" w:lineRule="auto"/>
        <w:rPr>
          <w:rFonts w:ascii="Arial" w:eastAsia="Arial" w:hAnsi="Arial" w:cs="Arial"/>
        </w:rPr>
      </w:pPr>
    </w:p>
    <w:p w14:paraId="1BAD1813" w14:textId="5C39B751" w:rsidR="003C4630" w:rsidRDefault="00ED3045" w:rsidP="00FF35DC">
      <w:pPr>
        <w:spacing w:beforeAutospacing="1" w:afterAutospacing="1" w:line="360" w:lineRule="auto"/>
        <w:rPr>
          <w:rFonts w:ascii="Arial" w:eastAsia="Arial" w:hAnsi="Arial" w:cs="Arial"/>
          <w:b/>
          <w:bCs/>
        </w:rPr>
      </w:pPr>
      <w:r>
        <w:rPr>
          <w:rFonts w:ascii="Arial" w:eastAsia="Arial" w:hAnsi="Arial" w:cs="Arial"/>
          <w:b/>
          <w:bCs/>
          <w:noProof/>
        </w:rPr>
        <w:lastRenderedPageBreak/>
        <w:drawing>
          <wp:inline distT="0" distB="0" distL="0" distR="0" wp14:anchorId="2D3A92DE" wp14:editId="4EFE8248">
            <wp:extent cx="5731510" cy="8585835"/>
            <wp:effectExtent l="0" t="0" r="0" b="0"/>
            <wp:docPr id="1592152968" name="Picture 13"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52968" name="Picture 13" descr="A screenshot of a web page&#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731510" cy="8585835"/>
                    </a:xfrm>
                    <a:prstGeom prst="rect">
                      <a:avLst/>
                    </a:prstGeom>
                  </pic:spPr>
                </pic:pic>
              </a:graphicData>
            </a:graphic>
          </wp:inline>
        </w:drawing>
      </w:r>
    </w:p>
    <w:p w14:paraId="2E9E9297" w14:textId="77777777" w:rsidR="003C4630" w:rsidRDefault="003C4630" w:rsidP="00FF35DC">
      <w:pPr>
        <w:spacing w:beforeAutospacing="1" w:afterAutospacing="1" w:line="360" w:lineRule="auto"/>
        <w:rPr>
          <w:rFonts w:ascii="Arial" w:eastAsia="Arial" w:hAnsi="Arial" w:cs="Arial"/>
          <w:b/>
          <w:bCs/>
        </w:rPr>
      </w:pPr>
    </w:p>
    <w:p w14:paraId="60AE3A89" w14:textId="700B3AEF" w:rsidR="41C25CDD" w:rsidRDefault="41C25CDD" w:rsidP="00FF35DC">
      <w:pPr>
        <w:spacing w:beforeAutospacing="1" w:afterAutospacing="1" w:line="360" w:lineRule="auto"/>
        <w:rPr>
          <w:rFonts w:ascii="Arial" w:eastAsia="Arial" w:hAnsi="Arial" w:cs="Arial"/>
        </w:rPr>
      </w:pPr>
      <w:proofErr w:type="spellStart"/>
      <w:r w:rsidRPr="062FEBC6">
        <w:rPr>
          <w:rFonts w:ascii="Arial" w:eastAsia="Arial" w:hAnsi="Arial" w:cs="Arial"/>
          <w:b/>
          <w:bCs/>
        </w:rPr>
        <w:t>MindMate</w:t>
      </w:r>
      <w:proofErr w:type="spellEnd"/>
      <w:r w:rsidRPr="062FEBC6">
        <w:rPr>
          <w:rFonts w:ascii="Arial" w:eastAsia="Arial" w:hAnsi="Arial" w:cs="Arial"/>
          <w:b/>
          <w:bCs/>
        </w:rPr>
        <w:t xml:space="preserve"> AI: An AI-Powered Mental Health Support App for University Students</w:t>
      </w:r>
    </w:p>
    <w:p w14:paraId="7DEF7CDF" w14:textId="7AC3E500"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b/>
          <w:bCs/>
        </w:rPr>
        <w:t xml:space="preserve">Introduction </w:t>
      </w:r>
    </w:p>
    <w:p w14:paraId="60AFAD33" w14:textId="65D63499"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Mental health has become one of the biggest health challenges facing university students in the UK. Many students experience stress, anxiety, depression and loneliness because of academic pressure, financial difficulties, homesickness and the challenge of balancing university with work and personal responsibilities (NHS England, 2023). Although universities provide counselling and wellbeing services, demand often exceeds capacity, meaning students may wait several weeks before receiving professional support (UCAS, 2022). These delays can result in worsening mental health and reduced academic performance.</w:t>
      </w:r>
    </w:p>
    <w:p w14:paraId="5ED40210" w14:textId="097F492D"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MindMate AI is an innovative mobile application that provides confidential, AI-powered mental health support 24 hours a day, seven days a week. Using evidence-based techniques, the app offers personalised emotional support, mood tracking, wellbeing exercises and signposting to professional services when required. Rather than replacing healthcare professionals, MindMate AI complements existing NHS and university services by encouraging early intervention, improving access to support and promoting positive mental wellbeing.</w:t>
      </w:r>
    </w:p>
    <w:p w14:paraId="638686C5" w14:textId="32D297BF" w:rsidR="41C25CDD" w:rsidRDefault="41C25CDD" w:rsidP="00FF35DC">
      <w:pPr>
        <w:spacing w:after="0" w:line="360" w:lineRule="auto"/>
        <w:rPr>
          <w:rFonts w:ascii="Arial" w:eastAsia="Arial" w:hAnsi="Arial" w:cs="Arial"/>
        </w:rPr>
      </w:pPr>
      <w:r>
        <w:rPr>
          <w:noProof/>
        </w:rPr>
        <w:drawing>
          <wp:inline distT="0" distB="0" distL="0" distR="0" wp14:anchorId="5D7518F1" wp14:editId="1E896F07">
            <wp:extent cx="5763429" cy="47632"/>
            <wp:effectExtent l="0" t="0" r="0" b="0"/>
            <wp:docPr id="14741744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74455" name="Picture 1474174455"/>
                    <pic:cNvPicPr/>
                  </pic:nvPicPr>
                  <pic:blipFill>
                    <a:blip r:embed="rId9">
                      <a:extLst>
                        <a:ext uri="{28A0092B-C50C-407E-A947-70E740481C1C}">
                          <a14:useLocalDpi xmlns:a14="http://schemas.microsoft.com/office/drawing/2010/main"/>
                        </a:ext>
                      </a:extLst>
                    </a:blip>
                    <a:stretch>
                      <a:fillRect/>
                    </a:stretch>
                  </pic:blipFill>
                  <pic:spPr>
                    <a:xfrm>
                      <a:off x="0" y="0"/>
                      <a:ext cx="5763429" cy="47632"/>
                    </a:xfrm>
                    <a:prstGeom prst="rect">
                      <a:avLst/>
                    </a:prstGeom>
                  </pic:spPr>
                </pic:pic>
              </a:graphicData>
            </a:graphic>
          </wp:inline>
        </w:drawing>
      </w:r>
    </w:p>
    <w:p w14:paraId="0D990D74" w14:textId="141A4D46"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b/>
          <w:bCs/>
        </w:rPr>
        <w:t>Background</w:t>
      </w:r>
    </w:p>
    <w:p w14:paraId="63D5B809" w14:textId="6BA5D293"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Mental health difficulties among university students have increased significantly over the last decade and continue to place pressure on both university wellbeing services and the NHS. According to NHS England (2023), anxiety and depression are among the most common mental health conditions affecting young adults. The Office for National Statistics (ONS, 2023) also reports that young adults experience lower levels of personal wellbeing compared with older age groups, with financial concerns, loneliness and uncertainty about the future being major contributing factors.</w:t>
      </w:r>
    </w:p>
    <w:p w14:paraId="2FD601F6" w14:textId="0200B3A6"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lastRenderedPageBreak/>
        <w:t>University life presents several unique challenges. Students often move away from home for the first time, adjust to independent living, manage increasing academic expectations and experience financial hardship. These pressures can negatively affect both physical and emotional wellbeing. UCAS (2022) found that around half of students waited longer than three weeks to access university counselling services, while Mind (2022) reported that many young people avoid seeking help because of stigma, fear of being judged or not recognising the early signs of poor mental health.</w:t>
      </w:r>
    </w:p>
    <w:p w14:paraId="32620C22" w14:textId="2FCEC2B6"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The NHS Long Term Plan (Department of Health and Social Care, 2019) highlights the importance of improving early intervention and expanding access to mental health services through innovative approaches. NICE (2022) also recommends early psychological support to prevent symptoms from becoming more severe. Digital health technologies are increasingly recognised as an effective way to improve accessibility and encourage self-management, particularly among younger people who are confident using smartphones and digital services.</w:t>
      </w:r>
    </w:p>
    <w:p w14:paraId="606E9F43" w14:textId="5EF6729A"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For these reasons, there is a clear need for a secure, accessible and evidence-based digital solution that can provide immediate support while strengthening existing mental health services. MindMate AI has been developed to address this growing gap by providing timely, personalised and confidential mental health support whenever students need it.</w:t>
      </w:r>
    </w:p>
    <w:p w14:paraId="3B1814A2" w14:textId="3228CEAA" w:rsidR="062FEBC6" w:rsidRDefault="062FEBC6" w:rsidP="00FF35DC">
      <w:pPr>
        <w:spacing w:beforeAutospacing="1" w:afterAutospacing="1" w:line="360" w:lineRule="auto"/>
        <w:rPr>
          <w:rFonts w:ascii="Arial" w:eastAsia="Arial" w:hAnsi="Arial" w:cs="Arial"/>
        </w:rPr>
      </w:pPr>
    </w:p>
    <w:p w14:paraId="7D025776" w14:textId="77777777" w:rsidR="00F80CBD" w:rsidRDefault="00F80CBD" w:rsidP="00FF35DC">
      <w:pPr>
        <w:spacing w:beforeAutospacing="1" w:afterAutospacing="1" w:line="360" w:lineRule="auto"/>
        <w:rPr>
          <w:rFonts w:ascii="Arial" w:eastAsia="Arial" w:hAnsi="Arial" w:cs="Arial"/>
        </w:rPr>
      </w:pPr>
    </w:p>
    <w:p w14:paraId="4B008565" w14:textId="6B9DD89B"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b/>
          <w:bCs/>
        </w:rPr>
        <w:t>Innovation Description</w:t>
      </w:r>
    </w:p>
    <w:p w14:paraId="4D4D3DE3" w14:textId="2681A73C"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MindMate AI is a mobile application that uses artificial intelligence to provide personalised mental health support specifically for university students. The app has been designed to offer immediate, confidential support for students experiencing stress, anxiety, loneliness or low mood. Since mental health concerns can arise at any time, the application is available 24 hours a day, ensuring users can access support whenever they need it.</w:t>
      </w:r>
    </w:p>
    <w:p w14:paraId="4A76D529" w14:textId="120BB3DE"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lastRenderedPageBreak/>
        <w:t>One of the app’s main features is an AI chatbot that uses evidence-based Cognitive Behavioural Therapy (CBT) techniques to guide conversations, encourage positive thinking and help students develop healthy coping strategies (NICE, 2022). Alongside the chatbot, users can complete daily mood check-ins to monitor their emotional wellbeing over time. The app then uses this information to recommend personalised activities such as breathing exercises, mindfulness sessions, sleep advice and stress management techniques.</w:t>
      </w:r>
    </w:p>
    <w:p w14:paraId="7EF0F6AC" w14:textId="61DB0E4E"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MindMate AI is not intended to replace healthcare professionals. Instead, it acts as an early intervention tool that encourages students to seek further support when needed. If the system detects signs of severe anxiety, depression or thoughts of self-harm, it immediately provides information about NHS crisis services, university counselling teams and emergency support. This ensures that students receive the appropriate level of care while reducing delays in accessing professional help (NHS England, 2023).</w:t>
      </w:r>
    </w:p>
    <w:p w14:paraId="22BD8A87" w14:textId="21963797"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To protect users, all personal information is stored securely in accordance with the Data Protection Act 2018 and UK GDPR legislation (UK Government, 2018). By combining technology with evidence-based mental health support, MindMate AI provides a safe, accessible and innovative solution for improving student wellbeing.</w:t>
      </w:r>
    </w:p>
    <w:p w14:paraId="140B9F56" w14:textId="73E382D1" w:rsidR="41C25CDD" w:rsidRDefault="41C25CDD" w:rsidP="00FF35DC">
      <w:pPr>
        <w:spacing w:after="0" w:line="360" w:lineRule="auto"/>
        <w:rPr>
          <w:rFonts w:ascii="Arial" w:eastAsia="Arial" w:hAnsi="Arial" w:cs="Arial"/>
        </w:rPr>
      </w:pPr>
      <w:r>
        <w:rPr>
          <w:noProof/>
        </w:rPr>
        <w:drawing>
          <wp:inline distT="0" distB="0" distL="0" distR="0" wp14:anchorId="4B765C00" wp14:editId="46088641">
            <wp:extent cx="5763429" cy="47632"/>
            <wp:effectExtent l="0" t="0" r="0" b="0"/>
            <wp:docPr id="73810070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100704" name="Picture 738100704"/>
                    <pic:cNvPicPr/>
                  </pic:nvPicPr>
                  <pic:blipFill>
                    <a:blip r:embed="rId9">
                      <a:extLst>
                        <a:ext uri="{28A0092B-C50C-407E-A947-70E740481C1C}">
                          <a14:useLocalDpi xmlns:a14="http://schemas.microsoft.com/office/drawing/2010/main"/>
                        </a:ext>
                      </a:extLst>
                    </a:blip>
                    <a:stretch>
                      <a:fillRect/>
                    </a:stretch>
                  </pic:blipFill>
                  <pic:spPr>
                    <a:xfrm>
                      <a:off x="0" y="0"/>
                      <a:ext cx="5763429" cy="47632"/>
                    </a:xfrm>
                    <a:prstGeom prst="rect">
                      <a:avLst/>
                    </a:prstGeom>
                  </pic:spPr>
                </pic:pic>
              </a:graphicData>
            </a:graphic>
          </wp:inline>
        </w:drawing>
      </w:r>
    </w:p>
    <w:p w14:paraId="58723A27" w14:textId="1A6F39A6"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b/>
          <w:bCs/>
        </w:rPr>
        <w:t xml:space="preserve">Impact on Health and Social Care </w:t>
      </w:r>
    </w:p>
    <w:p w14:paraId="161B9459" w14:textId="09D25FEE"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MindMate AI has the potential to make a positive impact on both students and health and social care services by providing early access to mental health support. Early intervention is recognised as one of the most effective ways of preventing mild mental health problems from developing into more serious conditions that require specialist treatment (NICE, 2022). By encouraging students to seek support at an earlier stage, the app can improve wellbeing, increase resilience and reduce the likelihood of mental health crises.</w:t>
      </w:r>
    </w:p>
    <w:p w14:paraId="6AD8A1B6" w14:textId="6C9FDA76"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The innovation mainly benefits university students, particularly first-year students, international students and those who may feel isolated or reluctant to access face-to-</w:t>
      </w:r>
      <w:r w:rsidRPr="062FEBC6">
        <w:rPr>
          <w:rFonts w:ascii="Arial" w:eastAsia="Arial" w:hAnsi="Arial" w:cs="Arial"/>
        </w:rPr>
        <w:lastRenderedPageBreak/>
        <w:t xml:space="preserve">face services. Because the application </w:t>
      </w:r>
      <w:r w:rsidR="005F7A03" w:rsidRPr="062FEBC6">
        <w:rPr>
          <w:rFonts w:ascii="Arial" w:eastAsia="Arial" w:hAnsi="Arial" w:cs="Arial"/>
        </w:rPr>
        <w:t>is always available</w:t>
      </w:r>
      <w:r w:rsidRPr="062FEBC6">
        <w:rPr>
          <w:rFonts w:ascii="Arial" w:eastAsia="Arial" w:hAnsi="Arial" w:cs="Arial"/>
        </w:rPr>
        <w:t>, it offers flexible support for students who may struggle to attend appointments due to study, work or personal commitments.</w:t>
      </w:r>
    </w:p>
    <w:p w14:paraId="1DA8BC87" w14:textId="380786DC"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Universities could also benefit from the introduction of MindMate AI. Counselling services across the UK continue to experience increasing demand and long waiting lists (UCAS, 2022). The app can provide support for students with mild to moderate mental health concerns while allowing counsellors to prioritise individuals who require specialist intervention. This may improve the efficiency of university wellbeing services and reduce waiting times.</w:t>
      </w:r>
    </w:p>
    <w:p w14:paraId="7127F8BF" w14:textId="1D31CD8E"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The NHS may also experience reduced pressure as more students receive early support before their mental health deteriorates. The NHS Long Term Plan (Department of Health and Social Care, 2019) encourages the use of digital technology to improve access to healthcare and promote prevention. Overall, MindMate AI contributes to healthier university communities by improving access to mental health support, reducing inequalities and encouraging students to take an active role in managing their wellbeing.</w:t>
      </w:r>
    </w:p>
    <w:p w14:paraId="43632F8B" w14:textId="39E91E8B" w:rsidR="062FEBC6" w:rsidRDefault="062FEBC6" w:rsidP="00FF35DC">
      <w:pPr>
        <w:spacing w:beforeAutospacing="1" w:afterAutospacing="1" w:line="360" w:lineRule="auto"/>
        <w:rPr>
          <w:rFonts w:ascii="Arial" w:eastAsia="Arial" w:hAnsi="Arial" w:cs="Arial"/>
        </w:rPr>
      </w:pPr>
    </w:p>
    <w:p w14:paraId="6AF97765" w14:textId="113D5BEB" w:rsidR="062FEBC6" w:rsidRDefault="062FEBC6" w:rsidP="00FF35DC">
      <w:pPr>
        <w:spacing w:beforeAutospacing="1" w:afterAutospacing="1" w:line="360" w:lineRule="auto"/>
        <w:rPr>
          <w:rFonts w:ascii="Arial" w:eastAsia="Arial" w:hAnsi="Arial" w:cs="Arial"/>
        </w:rPr>
      </w:pPr>
    </w:p>
    <w:p w14:paraId="333E3A50" w14:textId="08070410"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b/>
          <w:bCs/>
        </w:rPr>
        <w:t xml:space="preserve">Public and Stakeholder Involvement </w:t>
      </w:r>
    </w:p>
    <w:p w14:paraId="0131EE7F" w14:textId="5CCD452D"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The success of MindMate AI depends on meaningful involvement from students, healthcare professionals and universities throughout its development and implementation. Students should be involved in the design process through surveys, focus groups and pilot testing to ensure the app is easy to use and meets their mental health needs. Gathering regular feedback from users will also help improve the app over time.</w:t>
      </w:r>
    </w:p>
    <w:p w14:paraId="4EAE00BD" w14:textId="5690A929"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 xml:space="preserve">Universities and student unions would play an important role in promoting the app during student induction programmes and wellbeing campaigns. Mental health charities such as Mind and YoungMinds could contribute educational resources and advice on best practice. Healthcare professionals, including mental health nurses, </w:t>
      </w:r>
      <w:r w:rsidRPr="062FEBC6">
        <w:rPr>
          <w:rFonts w:ascii="Arial" w:eastAsia="Arial" w:hAnsi="Arial" w:cs="Arial"/>
        </w:rPr>
        <w:lastRenderedPageBreak/>
        <w:t>counsellors, psychologists and GPs, should also be involved to ensure the information provided is evidence-based and that referral pathways to NHS services are safe and appropriate (NICE, 2022). Working collaboratively with these stakeholders will help create a trusted and effective digital support service.</w:t>
      </w:r>
    </w:p>
    <w:p w14:paraId="2CEBC510" w14:textId="6045A4C9" w:rsidR="41C25CDD" w:rsidRDefault="41C25CDD" w:rsidP="00FF35DC">
      <w:pPr>
        <w:spacing w:after="0" w:line="360" w:lineRule="auto"/>
        <w:rPr>
          <w:rFonts w:ascii="Arial" w:eastAsia="Arial" w:hAnsi="Arial" w:cs="Arial"/>
        </w:rPr>
      </w:pPr>
      <w:r>
        <w:rPr>
          <w:noProof/>
        </w:rPr>
        <w:drawing>
          <wp:inline distT="0" distB="0" distL="0" distR="0" wp14:anchorId="7A8E2B60" wp14:editId="62538582">
            <wp:extent cx="5763429" cy="47632"/>
            <wp:effectExtent l="0" t="0" r="0" b="0"/>
            <wp:docPr id="185436604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66041" name="Picture 1854366041"/>
                    <pic:cNvPicPr/>
                  </pic:nvPicPr>
                  <pic:blipFill>
                    <a:blip r:embed="rId9">
                      <a:extLst>
                        <a:ext uri="{28A0092B-C50C-407E-A947-70E740481C1C}">
                          <a14:useLocalDpi xmlns:a14="http://schemas.microsoft.com/office/drawing/2010/main"/>
                        </a:ext>
                      </a:extLst>
                    </a:blip>
                    <a:stretch>
                      <a:fillRect/>
                    </a:stretch>
                  </pic:blipFill>
                  <pic:spPr>
                    <a:xfrm>
                      <a:off x="0" y="0"/>
                      <a:ext cx="5763429" cy="47632"/>
                    </a:xfrm>
                    <a:prstGeom prst="rect">
                      <a:avLst/>
                    </a:prstGeom>
                  </pic:spPr>
                </pic:pic>
              </a:graphicData>
            </a:graphic>
          </wp:inline>
        </w:drawing>
      </w:r>
    </w:p>
    <w:p w14:paraId="7754BD81" w14:textId="36698C3B"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b/>
          <w:bCs/>
        </w:rPr>
        <w:t xml:space="preserve">Policies, Services and Professional Links </w:t>
      </w:r>
    </w:p>
    <w:p w14:paraId="4AEE2403" w14:textId="51172DCA"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 xml:space="preserve">MindMate AI supports several important UK health and social care policies. The </w:t>
      </w:r>
      <w:r w:rsidRPr="062FEBC6">
        <w:rPr>
          <w:rFonts w:ascii="Arial" w:eastAsia="Arial" w:hAnsi="Arial" w:cs="Arial"/>
          <w:b/>
          <w:bCs/>
        </w:rPr>
        <w:t>Care Act 2014</w:t>
      </w:r>
      <w:r w:rsidRPr="062FEBC6">
        <w:rPr>
          <w:rFonts w:ascii="Arial" w:eastAsia="Arial" w:hAnsi="Arial" w:cs="Arial"/>
        </w:rPr>
        <w:t xml:space="preserve"> promotes wellbeing, prevention and early intervention, all of which are reflected in the app’s aim of supporting students before their mental health deteriorates (UK Government, 2014). The </w:t>
      </w:r>
      <w:r w:rsidRPr="062FEBC6">
        <w:rPr>
          <w:rFonts w:ascii="Arial" w:eastAsia="Arial" w:hAnsi="Arial" w:cs="Arial"/>
          <w:b/>
          <w:bCs/>
        </w:rPr>
        <w:t>Equality Act 2010</w:t>
      </w:r>
      <w:r w:rsidRPr="062FEBC6">
        <w:rPr>
          <w:rFonts w:ascii="Arial" w:eastAsia="Arial" w:hAnsi="Arial" w:cs="Arial"/>
        </w:rPr>
        <w:t xml:space="preserve"> ensures that everyone has equal access to services regardless of disability, race, gender or background, supporting the app’s inclusive design (UK Government, 2010). The application also complies with the </w:t>
      </w:r>
      <w:r w:rsidRPr="062FEBC6">
        <w:rPr>
          <w:rFonts w:ascii="Arial" w:eastAsia="Arial" w:hAnsi="Arial" w:cs="Arial"/>
          <w:b/>
          <w:bCs/>
        </w:rPr>
        <w:t>Data Protection Act 2018</w:t>
      </w:r>
      <w:r w:rsidRPr="062FEBC6">
        <w:rPr>
          <w:rFonts w:ascii="Arial" w:eastAsia="Arial" w:hAnsi="Arial" w:cs="Arial"/>
        </w:rPr>
        <w:t xml:space="preserve"> and UK GDPR by ensuring that users’ personal information is securely stored and protected (UK Government, 2018).</w:t>
      </w:r>
    </w:p>
    <w:p w14:paraId="53C5B545" w14:textId="6CB419F7"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rPr>
        <w:t>MindMate AI complements NHS Talking Therapies, university counselling services and community mental health teams rather than replacing professional support. It also aligns with NICE guidance promoting early intervention and evidence-based psychological care (NICE, 2022).</w:t>
      </w:r>
    </w:p>
    <w:p w14:paraId="15FDC2C6" w14:textId="641D8126" w:rsidR="41C25CDD" w:rsidRDefault="41C25CDD" w:rsidP="00FF35DC">
      <w:pPr>
        <w:spacing w:after="0" w:line="360" w:lineRule="auto"/>
        <w:rPr>
          <w:rFonts w:ascii="Arial" w:eastAsia="Arial" w:hAnsi="Arial" w:cs="Arial"/>
        </w:rPr>
      </w:pPr>
      <w:r>
        <w:rPr>
          <w:noProof/>
        </w:rPr>
        <w:drawing>
          <wp:inline distT="0" distB="0" distL="0" distR="0" wp14:anchorId="50352192" wp14:editId="51BE42E8">
            <wp:extent cx="5763429" cy="47632"/>
            <wp:effectExtent l="0" t="0" r="0" b="0"/>
            <wp:docPr id="1487786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78644" name="Picture 148778644"/>
                    <pic:cNvPicPr/>
                  </pic:nvPicPr>
                  <pic:blipFill>
                    <a:blip r:embed="rId9">
                      <a:extLst>
                        <a:ext uri="{28A0092B-C50C-407E-A947-70E740481C1C}">
                          <a14:useLocalDpi xmlns:a14="http://schemas.microsoft.com/office/drawing/2010/main"/>
                        </a:ext>
                      </a:extLst>
                    </a:blip>
                    <a:stretch>
                      <a:fillRect/>
                    </a:stretch>
                  </pic:blipFill>
                  <pic:spPr>
                    <a:xfrm>
                      <a:off x="0" y="0"/>
                      <a:ext cx="5763429" cy="47632"/>
                    </a:xfrm>
                    <a:prstGeom prst="rect">
                      <a:avLst/>
                    </a:prstGeom>
                  </pic:spPr>
                </pic:pic>
              </a:graphicData>
            </a:graphic>
          </wp:inline>
        </w:drawing>
      </w:r>
    </w:p>
    <w:p w14:paraId="712B05B3" w14:textId="782646D2" w:rsidR="41C25CDD" w:rsidRDefault="41C25CDD" w:rsidP="00FF35DC">
      <w:pPr>
        <w:spacing w:beforeAutospacing="1" w:afterAutospacing="1" w:line="360" w:lineRule="auto"/>
        <w:rPr>
          <w:rFonts w:ascii="Arial" w:eastAsia="Arial" w:hAnsi="Arial" w:cs="Arial"/>
        </w:rPr>
      </w:pPr>
      <w:r w:rsidRPr="062FEBC6">
        <w:rPr>
          <w:rFonts w:ascii="Arial" w:eastAsia="Arial" w:hAnsi="Arial" w:cs="Arial"/>
          <w:b/>
          <w:bCs/>
        </w:rPr>
        <w:t xml:space="preserve">Conclusion </w:t>
      </w:r>
    </w:p>
    <w:p w14:paraId="535854DE" w14:textId="774A4522" w:rsidR="00FF35DC" w:rsidRDefault="41C25CDD" w:rsidP="002A7565">
      <w:pPr>
        <w:spacing w:beforeAutospacing="1" w:afterAutospacing="1" w:line="360" w:lineRule="auto"/>
        <w:rPr>
          <w:rFonts w:ascii="Arial" w:eastAsia="Arial" w:hAnsi="Arial" w:cs="Arial"/>
        </w:rPr>
      </w:pPr>
      <w:r w:rsidRPr="062FEBC6">
        <w:rPr>
          <w:rFonts w:ascii="Arial" w:eastAsia="Arial" w:hAnsi="Arial" w:cs="Arial"/>
        </w:rPr>
        <w:t>MindMate AI is an innovative digital solution that addresses the growing mental health needs of university students. By combining artificial intelligence with evidence-based psychological support, the app provides immediate, confidential and personalised assistance while encouraging early intervention and appropriate referrals. It complements existing NHS and university wellbeing services rather than replacing them. Through improved accessibility, prevention and self-management, MindMate AI has the potential to improve student wellbeing, reduce pressure on health services and contribute to healthier, more supportive university communities</w:t>
      </w:r>
    </w:p>
    <w:p w14:paraId="28B7A44C" w14:textId="77777777" w:rsidR="00FF35DC" w:rsidRDefault="00FF35DC" w:rsidP="062FEBC6">
      <w:pPr>
        <w:spacing w:after="0" w:line="240" w:lineRule="auto"/>
        <w:rPr>
          <w:rFonts w:ascii="Arial" w:eastAsia="Arial" w:hAnsi="Arial" w:cs="Arial"/>
        </w:rPr>
      </w:pPr>
    </w:p>
    <w:p w14:paraId="6F083674" w14:textId="77777777" w:rsidR="00FF35DC" w:rsidRDefault="00FF35DC" w:rsidP="062FEBC6">
      <w:pPr>
        <w:spacing w:after="0" w:line="240" w:lineRule="auto"/>
        <w:rPr>
          <w:rFonts w:ascii="Arial" w:eastAsia="Arial" w:hAnsi="Arial" w:cs="Arial"/>
        </w:rPr>
      </w:pPr>
    </w:p>
    <w:p w14:paraId="7E08CCD6" w14:textId="77777777" w:rsidR="00FF35DC" w:rsidRDefault="00FF35DC" w:rsidP="062FEBC6">
      <w:pPr>
        <w:spacing w:after="0" w:line="240" w:lineRule="auto"/>
        <w:rPr>
          <w:rFonts w:ascii="Arial" w:eastAsia="Arial" w:hAnsi="Arial" w:cs="Arial"/>
        </w:rPr>
      </w:pPr>
    </w:p>
    <w:p w14:paraId="1A09E648" w14:textId="4DF6B328"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b/>
          <w:bCs/>
        </w:rPr>
        <w:t xml:space="preserve">References </w:t>
      </w:r>
    </w:p>
    <w:p w14:paraId="2C236135" w14:textId="038EC2E8"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Department of Health and Social Care (2019) </w:t>
      </w:r>
      <w:r w:rsidRPr="062FEBC6">
        <w:rPr>
          <w:rFonts w:ascii="Arial" w:eastAsia="Arial" w:hAnsi="Arial" w:cs="Arial"/>
          <w:i/>
          <w:iCs/>
        </w:rPr>
        <w:t>The NHS Long Term Plan</w:t>
      </w:r>
      <w:r w:rsidRPr="062FEBC6">
        <w:rPr>
          <w:rFonts w:ascii="Arial" w:eastAsia="Arial" w:hAnsi="Arial" w:cs="Arial"/>
        </w:rPr>
        <w:t xml:space="preserve">. London: Department of Health and Social Care. Available at: </w:t>
      </w:r>
      <w:hyperlink r:id="rId10">
        <w:r w:rsidRPr="062FEBC6">
          <w:rPr>
            <w:rStyle w:val="Hyperlink"/>
            <w:color w:val="0000FF"/>
          </w:rPr>
          <w:t>https://www.longtermplan.nhs.uk</w:t>
        </w:r>
      </w:hyperlink>
      <w:r w:rsidRPr="062FEBC6">
        <w:rPr>
          <w:rFonts w:ascii="Arial" w:eastAsia="Arial" w:hAnsi="Arial" w:cs="Arial"/>
        </w:rPr>
        <w:t xml:space="preserve"> (Accessed: 2 August 2026).</w:t>
      </w:r>
    </w:p>
    <w:p w14:paraId="484E70C8" w14:textId="39757FCE"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Mind (2022) </w:t>
      </w:r>
      <w:r w:rsidRPr="062FEBC6">
        <w:rPr>
          <w:rFonts w:ascii="Arial" w:eastAsia="Arial" w:hAnsi="Arial" w:cs="Arial"/>
          <w:i/>
          <w:iCs/>
        </w:rPr>
        <w:t>Mental Health Facts and Statistics</w:t>
      </w:r>
      <w:r w:rsidRPr="062FEBC6">
        <w:rPr>
          <w:rFonts w:ascii="Arial" w:eastAsia="Arial" w:hAnsi="Arial" w:cs="Arial"/>
        </w:rPr>
        <w:t xml:space="preserve">. Available at: </w:t>
      </w:r>
      <w:hyperlink r:id="rId11">
        <w:r w:rsidRPr="062FEBC6">
          <w:rPr>
            <w:rStyle w:val="Hyperlink"/>
            <w:color w:val="0000FF"/>
          </w:rPr>
          <w:t>https://www.mind.org.uk</w:t>
        </w:r>
      </w:hyperlink>
      <w:r w:rsidRPr="062FEBC6">
        <w:rPr>
          <w:rFonts w:ascii="Arial" w:eastAsia="Arial" w:hAnsi="Arial" w:cs="Arial"/>
        </w:rPr>
        <w:t xml:space="preserve"> (Accessed: 2 August 2026).</w:t>
      </w:r>
    </w:p>
    <w:p w14:paraId="7FCBA905" w14:textId="2A0DA562"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National Institute for Health and Care Excellence (NICE) (2022) </w:t>
      </w:r>
      <w:r w:rsidRPr="062FEBC6">
        <w:rPr>
          <w:rFonts w:ascii="Arial" w:eastAsia="Arial" w:hAnsi="Arial" w:cs="Arial"/>
          <w:i/>
          <w:iCs/>
        </w:rPr>
        <w:t>Depression in adults: treatment and management (NG222).</w:t>
      </w:r>
      <w:r w:rsidRPr="062FEBC6">
        <w:rPr>
          <w:rFonts w:ascii="Arial" w:eastAsia="Arial" w:hAnsi="Arial" w:cs="Arial"/>
        </w:rPr>
        <w:t xml:space="preserve"> London: NICE. Available at: </w:t>
      </w:r>
      <w:hyperlink r:id="rId12">
        <w:r w:rsidRPr="062FEBC6">
          <w:rPr>
            <w:rStyle w:val="Hyperlink"/>
            <w:color w:val="0000FF"/>
          </w:rPr>
          <w:t>https://www.nice.org.uk/guidance/ng222</w:t>
        </w:r>
      </w:hyperlink>
      <w:r w:rsidRPr="062FEBC6">
        <w:rPr>
          <w:rFonts w:ascii="Arial" w:eastAsia="Arial" w:hAnsi="Arial" w:cs="Arial"/>
        </w:rPr>
        <w:t xml:space="preserve"> (Accessed: 2 August 2026).</w:t>
      </w:r>
    </w:p>
    <w:p w14:paraId="51A853E3" w14:textId="77916641"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National Institute for Health and Care Excellence (NICE) (2022) </w:t>
      </w:r>
      <w:r w:rsidRPr="062FEBC6">
        <w:rPr>
          <w:rFonts w:ascii="Arial" w:eastAsia="Arial" w:hAnsi="Arial" w:cs="Arial"/>
          <w:i/>
          <w:iCs/>
        </w:rPr>
        <w:t>Mental wellbeing at work (NG212).</w:t>
      </w:r>
      <w:r w:rsidRPr="062FEBC6">
        <w:rPr>
          <w:rFonts w:ascii="Arial" w:eastAsia="Arial" w:hAnsi="Arial" w:cs="Arial"/>
        </w:rPr>
        <w:t xml:space="preserve"> London: NICE. Available at: </w:t>
      </w:r>
      <w:hyperlink r:id="rId13">
        <w:r w:rsidRPr="062FEBC6">
          <w:rPr>
            <w:rStyle w:val="Hyperlink"/>
            <w:color w:val="0000FF"/>
          </w:rPr>
          <w:t>https://www.nice.org.uk</w:t>
        </w:r>
      </w:hyperlink>
      <w:r w:rsidRPr="062FEBC6">
        <w:rPr>
          <w:rFonts w:ascii="Arial" w:eastAsia="Arial" w:hAnsi="Arial" w:cs="Arial"/>
        </w:rPr>
        <w:t xml:space="preserve"> (Accessed: 2 August 2026).</w:t>
      </w:r>
    </w:p>
    <w:p w14:paraId="44BB819C" w14:textId="1BFAA0FA"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NHS Digital (2023) </w:t>
      </w:r>
      <w:r w:rsidRPr="062FEBC6">
        <w:rPr>
          <w:rFonts w:ascii="Arial" w:eastAsia="Arial" w:hAnsi="Arial" w:cs="Arial"/>
          <w:i/>
          <w:iCs/>
        </w:rPr>
        <w:t>Mental Health of Children and Young People in England</w:t>
      </w:r>
      <w:r w:rsidRPr="062FEBC6">
        <w:rPr>
          <w:rFonts w:ascii="Arial" w:eastAsia="Arial" w:hAnsi="Arial" w:cs="Arial"/>
        </w:rPr>
        <w:t xml:space="preserve">. Available at: </w:t>
      </w:r>
      <w:hyperlink r:id="rId14">
        <w:r w:rsidRPr="062FEBC6">
          <w:rPr>
            <w:rStyle w:val="Hyperlink"/>
            <w:color w:val="0000FF"/>
          </w:rPr>
          <w:t>https://digital.nhs.uk</w:t>
        </w:r>
      </w:hyperlink>
      <w:r w:rsidRPr="062FEBC6">
        <w:rPr>
          <w:rFonts w:ascii="Arial" w:eastAsia="Arial" w:hAnsi="Arial" w:cs="Arial"/>
        </w:rPr>
        <w:t xml:space="preserve"> (Accessed: 2 August 2026).</w:t>
      </w:r>
    </w:p>
    <w:p w14:paraId="734642B5" w14:textId="2163997A"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NHS England (2023) </w:t>
      </w:r>
      <w:r w:rsidRPr="062FEBC6">
        <w:rPr>
          <w:rFonts w:ascii="Arial" w:eastAsia="Arial" w:hAnsi="Arial" w:cs="Arial"/>
          <w:i/>
          <w:iCs/>
        </w:rPr>
        <w:t>Mental Health Services</w:t>
      </w:r>
      <w:r w:rsidRPr="062FEBC6">
        <w:rPr>
          <w:rFonts w:ascii="Arial" w:eastAsia="Arial" w:hAnsi="Arial" w:cs="Arial"/>
        </w:rPr>
        <w:t xml:space="preserve">. Available at: </w:t>
      </w:r>
      <w:hyperlink r:id="rId15">
        <w:r w:rsidRPr="062FEBC6">
          <w:rPr>
            <w:rStyle w:val="Hyperlink"/>
            <w:color w:val="0000FF"/>
          </w:rPr>
          <w:t>https://www.nhs.uk/mental-health</w:t>
        </w:r>
      </w:hyperlink>
      <w:r w:rsidRPr="062FEBC6">
        <w:rPr>
          <w:rFonts w:ascii="Arial" w:eastAsia="Arial" w:hAnsi="Arial" w:cs="Arial"/>
        </w:rPr>
        <w:t xml:space="preserve"> (Accessed: 2 August 2026).</w:t>
      </w:r>
    </w:p>
    <w:p w14:paraId="3B2F55FB" w14:textId="1D7D5DCB"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Office for National Statistics (2023) </w:t>
      </w:r>
      <w:r w:rsidRPr="062FEBC6">
        <w:rPr>
          <w:rFonts w:ascii="Arial" w:eastAsia="Arial" w:hAnsi="Arial" w:cs="Arial"/>
          <w:i/>
          <w:iCs/>
        </w:rPr>
        <w:t>Measures of National Well-being: Personal Well-being in the UK</w:t>
      </w:r>
      <w:r w:rsidRPr="062FEBC6">
        <w:rPr>
          <w:rFonts w:ascii="Arial" w:eastAsia="Arial" w:hAnsi="Arial" w:cs="Arial"/>
        </w:rPr>
        <w:t xml:space="preserve">. Available at: </w:t>
      </w:r>
      <w:hyperlink r:id="rId16">
        <w:r w:rsidRPr="062FEBC6">
          <w:rPr>
            <w:rStyle w:val="Hyperlink"/>
            <w:color w:val="0000FF"/>
          </w:rPr>
          <w:t>https://www.ons.gov.uk</w:t>
        </w:r>
      </w:hyperlink>
      <w:r w:rsidRPr="062FEBC6">
        <w:rPr>
          <w:rFonts w:ascii="Arial" w:eastAsia="Arial" w:hAnsi="Arial" w:cs="Arial"/>
        </w:rPr>
        <w:t xml:space="preserve"> (Accessed: 2 August 2026).</w:t>
      </w:r>
    </w:p>
    <w:p w14:paraId="73EF41DA" w14:textId="17DCC6FA"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UCAS (2022) </w:t>
      </w:r>
      <w:r w:rsidRPr="062FEBC6">
        <w:rPr>
          <w:rFonts w:ascii="Arial" w:eastAsia="Arial" w:hAnsi="Arial" w:cs="Arial"/>
          <w:i/>
          <w:iCs/>
        </w:rPr>
        <w:t>Next Steps: Student Mental Health and Wellbeing Survey</w:t>
      </w:r>
      <w:r w:rsidRPr="062FEBC6">
        <w:rPr>
          <w:rFonts w:ascii="Arial" w:eastAsia="Arial" w:hAnsi="Arial" w:cs="Arial"/>
        </w:rPr>
        <w:t xml:space="preserve">. Available at: </w:t>
      </w:r>
      <w:hyperlink r:id="rId17">
        <w:r w:rsidRPr="062FEBC6">
          <w:rPr>
            <w:rStyle w:val="Hyperlink"/>
            <w:color w:val="0000FF"/>
          </w:rPr>
          <w:t>https://www.ucas.com</w:t>
        </w:r>
      </w:hyperlink>
      <w:r w:rsidRPr="062FEBC6">
        <w:rPr>
          <w:rFonts w:ascii="Arial" w:eastAsia="Arial" w:hAnsi="Arial" w:cs="Arial"/>
        </w:rPr>
        <w:t xml:space="preserve"> (Accessed: 2 August 2026).</w:t>
      </w:r>
    </w:p>
    <w:p w14:paraId="74FA5BA9" w14:textId="20AAAF19"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UK Government (2010) </w:t>
      </w:r>
      <w:r w:rsidRPr="062FEBC6">
        <w:rPr>
          <w:rFonts w:ascii="Arial" w:eastAsia="Arial" w:hAnsi="Arial" w:cs="Arial"/>
          <w:i/>
          <w:iCs/>
        </w:rPr>
        <w:t>Equality Act 2010</w:t>
      </w:r>
      <w:r w:rsidRPr="062FEBC6">
        <w:rPr>
          <w:rFonts w:ascii="Arial" w:eastAsia="Arial" w:hAnsi="Arial" w:cs="Arial"/>
        </w:rPr>
        <w:t xml:space="preserve">. London: HMSO. Available at: </w:t>
      </w:r>
      <w:hyperlink r:id="rId18">
        <w:r w:rsidRPr="062FEBC6">
          <w:rPr>
            <w:rStyle w:val="Hyperlink"/>
            <w:color w:val="0000FF"/>
          </w:rPr>
          <w:t>https://www.legislation.gov.uk/ukpga/2010/15/contents</w:t>
        </w:r>
      </w:hyperlink>
      <w:r w:rsidRPr="062FEBC6">
        <w:rPr>
          <w:rFonts w:ascii="Arial" w:eastAsia="Arial" w:hAnsi="Arial" w:cs="Arial"/>
        </w:rPr>
        <w:t xml:space="preserve"> (Accessed: 2 August 2026).</w:t>
      </w:r>
    </w:p>
    <w:p w14:paraId="1C03D3E1" w14:textId="2A3930AD"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UK Government (2014) </w:t>
      </w:r>
      <w:r w:rsidRPr="062FEBC6">
        <w:rPr>
          <w:rFonts w:ascii="Arial" w:eastAsia="Arial" w:hAnsi="Arial" w:cs="Arial"/>
          <w:i/>
          <w:iCs/>
        </w:rPr>
        <w:t>Care Act 2014</w:t>
      </w:r>
      <w:r w:rsidRPr="062FEBC6">
        <w:rPr>
          <w:rFonts w:ascii="Arial" w:eastAsia="Arial" w:hAnsi="Arial" w:cs="Arial"/>
        </w:rPr>
        <w:t xml:space="preserve">. London: HMSO. Available at: </w:t>
      </w:r>
      <w:hyperlink r:id="rId19">
        <w:r w:rsidRPr="062FEBC6">
          <w:rPr>
            <w:rStyle w:val="Hyperlink"/>
            <w:color w:val="0000FF"/>
          </w:rPr>
          <w:t>https://www.legislation.gov.uk/ukpga/2014/23/contents</w:t>
        </w:r>
      </w:hyperlink>
      <w:r w:rsidRPr="062FEBC6">
        <w:rPr>
          <w:rFonts w:ascii="Arial" w:eastAsia="Arial" w:hAnsi="Arial" w:cs="Arial"/>
        </w:rPr>
        <w:t xml:space="preserve"> (Accessed: 2 August 2026).</w:t>
      </w:r>
    </w:p>
    <w:p w14:paraId="458772B4" w14:textId="4DDF5266"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UK Government (2018) </w:t>
      </w:r>
      <w:r w:rsidRPr="062FEBC6">
        <w:rPr>
          <w:rFonts w:ascii="Arial" w:eastAsia="Arial" w:hAnsi="Arial" w:cs="Arial"/>
          <w:i/>
          <w:iCs/>
        </w:rPr>
        <w:t>Data Protection Act 2018</w:t>
      </w:r>
      <w:r w:rsidRPr="062FEBC6">
        <w:rPr>
          <w:rFonts w:ascii="Arial" w:eastAsia="Arial" w:hAnsi="Arial" w:cs="Arial"/>
        </w:rPr>
        <w:t xml:space="preserve">. London: HMSO. Available at: </w:t>
      </w:r>
      <w:hyperlink r:id="rId20">
        <w:r w:rsidRPr="062FEBC6">
          <w:rPr>
            <w:rStyle w:val="Hyperlink"/>
            <w:color w:val="0000FF"/>
          </w:rPr>
          <w:t>https://www.legislation.gov.uk/ukpga/2018/12/contents</w:t>
        </w:r>
      </w:hyperlink>
      <w:r w:rsidRPr="062FEBC6">
        <w:rPr>
          <w:rFonts w:ascii="Arial" w:eastAsia="Arial" w:hAnsi="Arial" w:cs="Arial"/>
        </w:rPr>
        <w:t xml:space="preserve"> (Accessed: 2 August 2026).</w:t>
      </w:r>
    </w:p>
    <w:p w14:paraId="69D547CD" w14:textId="213791D1" w:rsidR="41C25CDD" w:rsidRDefault="41C25CDD" w:rsidP="062FEBC6">
      <w:pPr>
        <w:spacing w:beforeAutospacing="1" w:afterAutospacing="1" w:line="240" w:lineRule="auto"/>
        <w:rPr>
          <w:rFonts w:ascii="Arial" w:eastAsia="Arial" w:hAnsi="Arial" w:cs="Arial"/>
        </w:rPr>
      </w:pPr>
      <w:r w:rsidRPr="062FEBC6">
        <w:rPr>
          <w:rFonts w:ascii="Arial" w:eastAsia="Arial" w:hAnsi="Arial" w:cs="Arial"/>
        </w:rPr>
        <w:t xml:space="preserve">YoungMinds (2023) </w:t>
      </w:r>
      <w:r w:rsidRPr="062FEBC6">
        <w:rPr>
          <w:rFonts w:ascii="Arial" w:eastAsia="Arial" w:hAnsi="Arial" w:cs="Arial"/>
          <w:i/>
          <w:iCs/>
        </w:rPr>
        <w:t>Mental Health Statistics</w:t>
      </w:r>
      <w:r w:rsidRPr="062FEBC6">
        <w:rPr>
          <w:rFonts w:ascii="Arial" w:eastAsia="Arial" w:hAnsi="Arial" w:cs="Arial"/>
        </w:rPr>
        <w:t xml:space="preserve">. Available at: </w:t>
      </w:r>
      <w:hyperlink r:id="rId21">
        <w:r w:rsidRPr="062FEBC6">
          <w:rPr>
            <w:rStyle w:val="Hyperlink"/>
            <w:color w:val="0000FF"/>
          </w:rPr>
          <w:t>https://www.youngminds.org.uk</w:t>
        </w:r>
      </w:hyperlink>
      <w:r w:rsidRPr="062FEBC6">
        <w:rPr>
          <w:rFonts w:ascii="Arial" w:eastAsia="Arial" w:hAnsi="Arial" w:cs="Arial"/>
        </w:rPr>
        <w:t xml:space="preserve"> (Accessed: 2 August 2026).</w:t>
      </w:r>
    </w:p>
    <w:p w14:paraId="347EE8DE" w14:textId="06CD64BD" w:rsidR="062FEBC6" w:rsidRDefault="062FEBC6"/>
    <w:p w14:paraId="33668F12" w14:textId="52661E47" w:rsidR="062FEBC6" w:rsidRDefault="062FEBC6"/>
    <w:sectPr w:rsidR="062FEBC6" w:rsidSect="009B209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6D2FE9" w14:textId="77777777" w:rsidR="00CD1B53" w:rsidRDefault="00CD1B53">
      <w:pPr>
        <w:spacing w:after="0" w:line="240" w:lineRule="auto"/>
      </w:pPr>
      <w:r>
        <w:separator/>
      </w:r>
    </w:p>
  </w:endnote>
  <w:endnote w:type="continuationSeparator" w:id="0">
    <w:p w14:paraId="088A81E9" w14:textId="77777777" w:rsidR="00CD1B53" w:rsidRDefault="00CD1B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062FEBC6" w14:paraId="35C54803" w14:textId="77777777" w:rsidTr="062FEBC6">
      <w:trPr>
        <w:trHeight w:val="300"/>
      </w:trPr>
      <w:tc>
        <w:tcPr>
          <w:tcW w:w="4650" w:type="dxa"/>
        </w:tcPr>
        <w:p w14:paraId="16FD5743" w14:textId="5AF2389D" w:rsidR="062FEBC6" w:rsidRDefault="062FEBC6" w:rsidP="062FEBC6">
          <w:pPr>
            <w:pStyle w:val="Header"/>
            <w:ind w:left="-115"/>
          </w:pPr>
        </w:p>
      </w:tc>
      <w:tc>
        <w:tcPr>
          <w:tcW w:w="4650" w:type="dxa"/>
        </w:tcPr>
        <w:p w14:paraId="7BBEA6FA" w14:textId="7264BAA2" w:rsidR="062FEBC6" w:rsidRDefault="062FEBC6" w:rsidP="062FEBC6">
          <w:pPr>
            <w:pStyle w:val="Header"/>
            <w:jc w:val="center"/>
          </w:pPr>
        </w:p>
      </w:tc>
      <w:tc>
        <w:tcPr>
          <w:tcW w:w="4650" w:type="dxa"/>
        </w:tcPr>
        <w:p w14:paraId="40C59C4F" w14:textId="2B7AFA6D" w:rsidR="062FEBC6" w:rsidRDefault="062FEBC6" w:rsidP="062FEBC6">
          <w:pPr>
            <w:pStyle w:val="Header"/>
            <w:ind w:right="-115"/>
            <w:jc w:val="right"/>
          </w:pPr>
        </w:p>
      </w:tc>
    </w:tr>
  </w:tbl>
  <w:p w14:paraId="32B1D1A5" w14:textId="12112ED3" w:rsidR="062FEBC6" w:rsidRDefault="062FEBC6" w:rsidP="062FE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7F1783" w14:textId="77777777" w:rsidR="00CD1B53" w:rsidRDefault="00CD1B53">
      <w:pPr>
        <w:spacing w:after="0" w:line="240" w:lineRule="auto"/>
      </w:pPr>
      <w:r>
        <w:separator/>
      </w:r>
    </w:p>
  </w:footnote>
  <w:footnote w:type="continuationSeparator" w:id="0">
    <w:p w14:paraId="48BCFC00" w14:textId="77777777" w:rsidR="00CD1B53" w:rsidRDefault="00CD1B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062FEBC6" w14:paraId="4FB34801" w14:textId="77777777" w:rsidTr="062FEBC6">
      <w:trPr>
        <w:trHeight w:val="300"/>
      </w:trPr>
      <w:tc>
        <w:tcPr>
          <w:tcW w:w="4650" w:type="dxa"/>
        </w:tcPr>
        <w:p w14:paraId="29E9D59D" w14:textId="63F2A648" w:rsidR="062FEBC6" w:rsidRDefault="062FEBC6" w:rsidP="062FEBC6">
          <w:pPr>
            <w:pStyle w:val="Header"/>
            <w:ind w:left="-115"/>
          </w:pPr>
        </w:p>
      </w:tc>
      <w:tc>
        <w:tcPr>
          <w:tcW w:w="4650" w:type="dxa"/>
        </w:tcPr>
        <w:p w14:paraId="6A4FAA13" w14:textId="3F616645" w:rsidR="062FEBC6" w:rsidRDefault="062FEBC6" w:rsidP="062FEBC6">
          <w:pPr>
            <w:pStyle w:val="Header"/>
            <w:jc w:val="center"/>
          </w:pPr>
        </w:p>
      </w:tc>
      <w:tc>
        <w:tcPr>
          <w:tcW w:w="4650" w:type="dxa"/>
        </w:tcPr>
        <w:p w14:paraId="70F5DF11" w14:textId="7FC29858" w:rsidR="062FEBC6" w:rsidRDefault="062FEBC6" w:rsidP="062FEBC6">
          <w:pPr>
            <w:pStyle w:val="Header"/>
            <w:ind w:right="-115"/>
            <w:jc w:val="right"/>
          </w:pPr>
        </w:p>
      </w:tc>
    </w:tr>
  </w:tbl>
  <w:p w14:paraId="30410CCD" w14:textId="7382AAD7" w:rsidR="062FEBC6" w:rsidRDefault="062FEBC6" w:rsidP="062FEB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70A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4D146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D73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B413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25FF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0747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2075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985A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70535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6914E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3644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3166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4661B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8C2E0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3526616">
    <w:abstractNumId w:val="1"/>
  </w:num>
  <w:num w:numId="2" w16cid:durableId="231281360">
    <w:abstractNumId w:val="2"/>
  </w:num>
  <w:num w:numId="3" w16cid:durableId="406659018">
    <w:abstractNumId w:val="11"/>
  </w:num>
  <w:num w:numId="4" w16cid:durableId="1758088995">
    <w:abstractNumId w:val="10"/>
  </w:num>
  <w:num w:numId="5" w16cid:durableId="189101533">
    <w:abstractNumId w:val="3"/>
  </w:num>
  <w:num w:numId="6" w16cid:durableId="956373106">
    <w:abstractNumId w:val="12"/>
  </w:num>
  <w:num w:numId="7" w16cid:durableId="290671186">
    <w:abstractNumId w:val="4"/>
  </w:num>
  <w:num w:numId="8" w16cid:durableId="1423062295">
    <w:abstractNumId w:val="0"/>
  </w:num>
  <w:num w:numId="9" w16cid:durableId="759444577">
    <w:abstractNumId w:val="13"/>
  </w:num>
  <w:num w:numId="10" w16cid:durableId="1266422071">
    <w:abstractNumId w:val="7"/>
  </w:num>
  <w:num w:numId="11" w16cid:durableId="1794131273">
    <w:abstractNumId w:val="5"/>
  </w:num>
  <w:num w:numId="12" w16cid:durableId="1062295899">
    <w:abstractNumId w:val="8"/>
  </w:num>
  <w:num w:numId="13" w16cid:durableId="723137630">
    <w:abstractNumId w:val="6"/>
  </w:num>
  <w:num w:numId="14" w16cid:durableId="191162184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EDE"/>
    <w:rsid w:val="000510E9"/>
    <w:rsid w:val="00083458"/>
    <w:rsid w:val="000E324D"/>
    <w:rsid w:val="001662E5"/>
    <w:rsid w:val="001A4FCF"/>
    <w:rsid w:val="00266971"/>
    <w:rsid w:val="002A260E"/>
    <w:rsid w:val="002A7565"/>
    <w:rsid w:val="002E1B3F"/>
    <w:rsid w:val="00306529"/>
    <w:rsid w:val="00375931"/>
    <w:rsid w:val="00386113"/>
    <w:rsid w:val="003C4630"/>
    <w:rsid w:val="004313AC"/>
    <w:rsid w:val="0056060D"/>
    <w:rsid w:val="005F7A03"/>
    <w:rsid w:val="00631E0B"/>
    <w:rsid w:val="006E67BA"/>
    <w:rsid w:val="007337AF"/>
    <w:rsid w:val="0076314F"/>
    <w:rsid w:val="00763A31"/>
    <w:rsid w:val="0078084C"/>
    <w:rsid w:val="008C4C97"/>
    <w:rsid w:val="00951EDE"/>
    <w:rsid w:val="00992E2F"/>
    <w:rsid w:val="009A360A"/>
    <w:rsid w:val="009B2099"/>
    <w:rsid w:val="00B93D61"/>
    <w:rsid w:val="00C4099B"/>
    <w:rsid w:val="00C44421"/>
    <w:rsid w:val="00CB28FC"/>
    <w:rsid w:val="00CD1B53"/>
    <w:rsid w:val="00CF220E"/>
    <w:rsid w:val="00ED0C91"/>
    <w:rsid w:val="00ED18E4"/>
    <w:rsid w:val="00ED3045"/>
    <w:rsid w:val="00F80CBD"/>
    <w:rsid w:val="00FF35DC"/>
    <w:rsid w:val="062FEBC6"/>
    <w:rsid w:val="28166A77"/>
    <w:rsid w:val="29DDC474"/>
    <w:rsid w:val="41C25CDD"/>
    <w:rsid w:val="4CDBE635"/>
    <w:rsid w:val="5FE29E35"/>
    <w:rsid w:val="634C1266"/>
    <w:rsid w:val="66909A5C"/>
    <w:rsid w:val="67BB8EB1"/>
    <w:rsid w:val="7324A8F6"/>
    <w:rsid w:val="76FFC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1CAFF"/>
  <w15:chartTrackingRefBased/>
  <w15:docId w15:val="{10487C7A-D3B6-A64A-B059-0DEC94F44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E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1E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1E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E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E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E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E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E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E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E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E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E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E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E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E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E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E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EDE"/>
    <w:rPr>
      <w:rFonts w:eastAsiaTheme="majorEastAsia" w:cstheme="majorBidi"/>
      <w:color w:val="272727" w:themeColor="text1" w:themeTint="D8"/>
    </w:rPr>
  </w:style>
  <w:style w:type="paragraph" w:styleId="Title">
    <w:name w:val="Title"/>
    <w:basedOn w:val="Normal"/>
    <w:next w:val="Normal"/>
    <w:link w:val="TitleChar"/>
    <w:uiPriority w:val="10"/>
    <w:qFormat/>
    <w:rsid w:val="00951E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E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E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E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EDE"/>
    <w:pPr>
      <w:spacing w:before="160"/>
      <w:jc w:val="center"/>
    </w:pPr>
    <w:rPr>
      <w:i/>
      <w:iCs/>
      <w:color w:val="404040" w:themeColor="text1" w:themeTint="BF"/>
    </w:rPr>
  </w:style>
  <w:style w:type="character" w:customStyle="1" w:styleId="QuoteChar">
    <w:name w:val="Quote Char"/>
    <w:basedOn w:val="DefaultParagraphFont"/>
    <w:link w:val="Quote"/>
    <w:uiPriority w:val="29"/>
    <w:rsid w:val="00951EDE"/>
    <w:rPr>
      <w:i/>
      <w:iCs/>
      <w:color w:val="404040" w:themeColor="text1" w:themeTint="BF"/>
    </w:rPr>
  </w:style>
  <w:style w:type="paragraph" w:styleId="ListParagraph">
    <w:name w:val="List Paragraph"/>
    <w:basedOn w:val="Normal"/>
    <w:uiPriority w:val="34"/>
    <w:qFormat/>
    <w:rsid w:val="00951EDE"/>
    <w:pPr>
      <w:ind w:left="720"/>
      <w:contextualSpacing/>
    </w:pPr>
  </w:style>
  <w:style w:type="character" w:styleId="IntenseEmphasis">
    <w:name w:val="Intense Emphasis"/>
    <w:basedOn w:val="DefaultParagraphFont"/>
    <w:uiPriority w:val="21"/>
    <w:qFormat/>
    <w:rsid w:val="00951EDE"/>
    <w:rPr>
      <w:i/>
      <w:iCs/>
      <w:color w:val="0F4761" w:themeColor="accent1" w:themeShade="BF"/>
    </w:rPr>
  </w:style>
  <w:style w:type="paragraph" w:styleId="IntenseQuote">
    <w:name w:val="Intense Quote"/>
    <w:basedOn w:val="Normal"/>
    <w:next w:val="Normal"/>
    <w:link w:val="IntenseQuoteChar"/>
    <w:uiPriority w:val="30"/>
    <w:qFormat/>
    <w:rsid w:val="00951E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EDE"/>
    <w:rPr>
      <w:i/>
      <w:iCs/>
      <w:color w:val="0F4761" w:themeColor="accent1" w:themeShade="BF"/>
    </w:rPr>
  </w:style>
  <w:style w:type="character" w:styleId="IntenseReference">
    <w:name w:val="Intense Reference"/>
    <w:basedOn w:val="DefaultParagraphFont"/>
    <w:uiPriority w:val="32"/>
    <w:qFormat/>
    <w:rsid w:val="00951EDE"/>
    <w:rPr>
      <w:b/>
      <w:bCs/>
      <w:smallCaps/>
      <w:color w:val="0F4761" w:themeColor="accent1" w:themeShade="BF"/>
      <w:spacing w:val="5"/>
    </w:rPr>
  </w:style>
  <w:style w:type="character" w:customStyle="1" w:styleId="s1">
    <w:name w:val="s1"/>
    <w:basedOn w:val="DefaultParagraphFont"/>
    <w:rsid w:val="004313AC"/>
  </w:style>
  <w:style w:type="paragraph" w:customStyle="1" w:styleId="p2">
    <w:name w:val="p2"/>
    <w:basedOn w:val="Normal"/>
    <w:rsid w:val="004313A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4313AC"/>
  </w:style>
  <w:style w:type="paragraph" w:customStyle="1" w:styleId="p3">
    <w:name w:val="p3"/>
    <w:basedOn w:val="Normal"/>
    <w:rsid w:val="004313AC"/>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0E324D"/>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6E67BA"/>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62FEBC6"/>
    <w:rPr>
      <w:color w:val="467886"/>
      <w:u w:val="single"/>
    </w:rPr>
  </w:style>
  <w:style w:type="paragraph" w:styleId="Header">
    <w:name w:val="header"/>
    <w:basedOn w:val="Normal"/>
    <w:uiPriority w:val="99"/>
    <w:unhideWhenUsed/>
    <w:rsid w:val="062FEBC6"/>
    <w:pPr>
      <w:tabs>
        <w:tab w:val="center" w:pos="4680"/>
        <w:tab w:val="right" w:pos="9360"/>
      </w:tabs>
      <w:spacing w:after="0" w:line="240" w:lineRule="auto"/>
    </w:pPr>
  </w:style>
  <w:style w:type="paragraph" w:styleId="Footer">
    <w:name w:val="footer"/>
    <w:basedOn w:val="Normal"/>
    <w:uiPriority w:val="99"/>
    <w:unhideWhenUsed/>
    <w:rsid w:val="062FEBC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uiPriority w:val="22"/>
    <w:qFormat/>
    <w:rsid w:val="009B209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ice.org.uk/" TargetMode="External"/><Relationship Id="rId18" Type="http://schemas.openxmlformats.org/officeDocument/2006/relationships/hyperlink" Target="https://www.legislation.gov.uk/ukpga/2010/15/contents" TargetMode="External"/><Relationship Id="rId3" Type="http://schemas.openxmlformats.org/officeDocument/2006/relationships/settings" Target="settings.xml"/><Relationship Id="rId21" Type="http://schemas.openxmlformats.org/officeDocument/2006/relationships/hyperlink" Target="https://www.youngminds.org.uk/" TargetMode="External"/><Relationship Id="rId7" Type="http://schemas.openxmlformats.org/officeDocument/2006/relationships/image" Target="media/image1.jpeg"/><Relationship Id="rId12" Type="http://schemas.openxmlformats.org/officeDocument/2006/relationships/hyperlink" Target="https://www.nice.org.uk/guidance/ng222" TargetMode="External"/><Relationship Id="rId17" Type="http://schemas.openxmlformats.org/officeDocument/2006/relationships/hyperlink" Target="https://www.ucas.co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ons.gov.uk/" TargetMode="External"/><Relationship Id="rId20" Type="http://schemas.openxmlformats.org/officeDocument/2006/relationships/hyperlink" Target="https://www.legislation.gov.uk/ukpga/2018/12/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org.uk/"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hs.uk/mental-health" TargetMode="External"/><Relationship Id="rId23" Type="http://schemas.openxmlformats.org/officeDocument/2006/relationships/footer" Target="footer1.xml"/><Relationship Id="rId10" Type="http://schemas.openxmlformats.org/officeDocument/2006/relationships/hyperlink" Target="https://www.longtermplan.nhs.uk/" TargetMode="External"/><Relationship Id="rId19" Type="http://schemas.openxmlformats.org/officeDocument/2006/relationships/hyperlink" Target="https://www.legislation.gov.uk/ukpga/2014/23/conten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igital.nhs.u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70</TotalTime>
  <Pages>8</Pages>
  <Words>1843</Words>
  <Characters>10509</Characters>
  <Application>Microsoft Office Word</Application>
  <DocSecurity>0</DocSecurity>
  <Lines>87</Lines>
  <Paragraphs>24</Paragraphs>
  <ScaleCrop>false</ScaleCrop>
  <Company/>
  <LinksUpToDate>false</LinksUpToDate>
  <CharactersWithSpaces>12328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Pacek (2415805)</dc:creator>
  <cp:keywords/>
  <dc:description/>
  <cp:lastModifiedBy>Roman Pacek (2415805)</cp:lastModifiedBy>
  <cp:revision>33</cp:revision>
  <dcterms:created xsi:type="dcterms:W3CDTF">2026-08-01T21:46:00Z</dcterms:created>
  <dcterms:modified xsi:type="dcterms:W3CDTF">2026-08-02T14:53:00Z</dcterms:modified>
</cp:coreProperties>
</file>