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3E685" w14:textId="77777777" w:rsidR="000952E1" w:rsidRDefault="008B6D1D" w:rsidP="00F0242B">
      <w:pPr>
        <w:spacing w:line="360" w:lineRule="auto"/>
        <w:jc w:val="center"/>
        <w:rPr>
          <w:rFonts w:ascii="Arial" w:hAnsi="Arial" w:cs="Arial"/>
          <w:b/>
          <w:bCs/>
          <w:sz w:val="36"/>
          <w:szCs w:val="36"/>
        </w:rPr>
      </w:pPr>
      <w:r>
        <w:rPr>
          <w:rFonts w:ascii="Arial" w:hAnsi="Arial" w:cs="Arial"/>
          <w:b/>
          <w:bCs/>
          <w:sz w:val="36"/>
          <w:szCs w:val="36"/>
        </w:rPr>
        <w:t>I</w:t>
      </w:r>
      <w:r w:rsidR="00F0242B">
        <w:rPr>
          <w:rFonts w:ascii="Arial" w:hAnsi="Arial" w:cs="Arial"/>
          <w:b/>
          <w:bCs/>
          <w:sz w:val="36"/>
          <w:szCs w:val="36"/>
        </w:rPr>
        <w:t>NTRODUCTION TO PUBLIC HEALTH</w:t>
      </w:r>
    </w:p>
    <w:p w14:paraId="06822747" w14:textId="5BEFF0C0" w:rsidR="00F0242B" w:rsidRDefault="00F0242B" w:rsidP="00F0242B">
      <w:pPr>
        <w:spacing w:line="360" w:lineRule="auto"/>
        <w:jc w:val="center"/>
        <w:rPr>
          <w:rFonts w:ascii="Arial" w:hAnsi="Arial" w:cs="Arial"/>
          <w:b/>
          <w:bCs/>
          <w:sz w:val="36"/>
          <w:szCs w:val="36"/>
        </w:rPr>
      </w:pPr>
      <w:r>
        <w:rPr>
          <w:rFonts w:ascii="Arial" w:hAnsi="Arial" w:cs="Arial"/>
          <w:b/>
          <w:bCs/>
          <w:sz w:val="36"/>
          <w:szCs w:val="36"/>
        </w:rPr>
        <w:t xml:space="preserve"> </w:t>
      </w:r>
    </w:p>
    <w:p w14:paraId="6CF438AF" w14:textId="2D73B917" w:rsidR="000E0EED" w:rsidRDefault="000E0EED" w:rsidP="00F0242B">
      <w:pPr>
        <w:spacing w:line="360" w:lineRule="auto"/>
        <w:jc w:val="center"/>
        <w:rPr>
          <w:rFonts w:ascii="Arial" w:hAnsi="Arial" w:cs="Arial"/>
          <w:b/>
          <w:bCs/>
          <w:sz w:val="36"/>
          <w:szCs w:val="36"/>
        </w:rPr>
      </w:pPr>
      <w:proofErr w:type="spellStart"/>
      <w:r>
        <w:rPr>
          <w:rFonts w:ascii="Arial" w:hAnsi="Arial" w:cs="Arial"/>
          <w:b/>
          <w:bCs/>
          <w:sz w:val="36"/>
          <w:szCs w:val="36"/>
        </w:rPr>
        <w:t>Shellymae</w:t>
      </w:r>
      <w:proofErr w:type="spellEnd"/>
      <w:r>
        <w:rPr>
          <w:rFonts w:ascii="Arial" w:hAnsi="Arial" w:cs="Arial"/>
          <w:b/>
          <w:bCs/>
          <w:sz w:val="36"/>
          <w:szCs w:val="36"/>
        </w:rPr>
        <w:t xml:space="preserve"> </w:t>
      </w:r>
      <w:proofErr w:type="spellStart"/>
      <w:r>
        <w:rPr>
          <w:rFonts w:ascii="Arial" w:hAnsi="Arial" w:cs="Arial"/>
          <w:b/>
          <w:bCs/>
          <w:sz w:val="36"/>
          <w:szCs w:val="36"/>
        </w:rPr>
        <w:t>Mulcare</w:t>
      </w:r>
      <w:proofErr w:type="spellEnd"/>
    </w:p>
    <w:p w14:paraId="485897FA" w14:textId="77777777" w:rsidR="000952E1" w:rsidRDefault="000952E1" w:rsidP="00F0242B">
      <w:pPr>
        <w:spacing w:line="360" w:lineRule="auto"/>
        <w:jc w:val="center"/>
        <w:rPr>
          <w:rFonts w:ascii="Arial" w:hAnsi="Arial" w:cs="Arial"/>
          <w:b/>
          <w:bCs/>
          <w:sz w:val="36"/>
          <w:szCs w:val="36"/>
        </w:rPr>
      </w:pPr>
    </w:p>
    <w:p w14:paraId="7E2715F5" w14:textId="2561D4F6" w:rsidR="000E0EED" w:rsidRDefault="00267EC6" w:rsidP="00F0242B">
      <w:pPr>
        <w:spacing w:line="360" w:lineRule="auto"/>
        <w:jc w:val="center"/>
        <w:rPr>
          <w:rFonts w:ascii="Arial" w:hAnsi="Arial" w:cs="Arial"/>
          <w:b/>
          <w:bCs/>
          <w:sz w:val="36"/>
          <w:szCs w:val="36"/>
        </w:rPr>
      </w:pPr>
      <w:r>
        <w:rPr>
          <w:rFonts w:ascii="Arial" w:hAnsi="Arial" w:cs="Arial"/>
          <w:b/>
          <w:bCs/>
          <w:sz w:val="36"/>
          <w:szCs w:val="36"/>
        </w:rPr>
        <w:t>2434948</w:t>
      </w:r>
    </w:p>
    <w:p w14:paraId="5087F8E3" w14:textId="77777777" w:rsidR="000952E1" w:rsidRDefault="000952E1" w:rsidP="00F0242B">
      <w:pPr>
        <w:spacing w:line="360" w:lineRule="auto"/>
        <w:jc w:val="center"/>
        <w:rPr>
          <w:rFonts w:ascii="Arial" w:hAnsi="Arial" w:cs="Arial"/>
          <w:b/>
          <w:bCs/>
          <w:sz w:val="36"/>
          <w:szCs w:val="36"/>
        </w:rPr>
      </w:pPr>
    </w:p>
    <w:p w14:paraId="170D1234" w14:textId="2AF70AB0" w:rsidR="00267EC6" w:rsidRDefault="00267EC6" w:rsidP="00F0242B">
      <w:pPr>
        <w:spacing w:line="360" w:lineRule="auto"/>
        <w:jc w:val="center"/>
        <w:rPr>
          <w:rFonts w:ascii="Arial" w:hAnsi="Arial" w:cs="Arial"/>
          <w:b/>
          <w:bCs/>
          <w:sz w:val="36"/>
          <w:szCs w:val="36"/>
        </w:rPr>
      </w:pPr>
      <w:r>
        <w:rPr>
          <w:rFonts w:ascii="Arial" w:hAnsi="Arial" w:cs="Arial"/>
          <w:b/>
          <w:bCs/>
          <w:sz w:val="36"/>
          <w:szCs w:val="36"/>
        </w:rPr>
        <w:t xml:space="preserve">Type 2 Diabetes </w:t>
      </w:r>
      <w:r w:rsidR="00A84619">
        <w:rPr>
          <w:rFonts w:ascii="Arial" w:hAnsi="Arial" w:cs="Arial"/>
          <w:b/>
          <w:bCs/>
          <w:sz w:val="36"/>
          <w:szCs w:val="36"/>
        </w:rPr>
        <w:t>Written Report</w:t>
      </w:r>
    </w:p>
    <w:p w14:paraId="700082A9" w14:textId="77777777" w:rsidR="00924D90" w:rsidRDefault="00924D90" w:rsidP="00F0242B">
      <w:pPr>
        <w:spacing w:line="360" w:lineRule="auto"/>
        <w:jc w:val="center"/>
        <w:rPr>
          <w:rFonts w:ascii="Arial" w:hAnsi="Arial" w:cs="Arial"/>
          <w:b/>
          <w:bCs/>
          <w:sz w:val="36"/>
          <w:szCs w:val="36"/>
        </w:rPr>
      </w:pPr>
    </w:p>
    <w:p w14:paraId="168DAD42" w14:textId="23475990" w:rsidR="000952E1" w:rsidRDefault="00F42CFB" w:rsidP="00F0242B">
      <w:pPr>
        <w:spacing w:line="360" w:lineRule="auto"/>
        <w:jc w:val="center"/>
        <w:rPr>
          <w:rFonts w:ascii="Arial" w:hAnsi="Arial" w:cs="Arial"/>
          <w:b/>
          <w:bCs/>
          <w:sz w:val="36"/>
          <w:szCs w:val="36"/>
        </w:rPr>
      </w:pPr>
      <w:proofErr w:type="spellStart"/>
      <w:r>
        <w:rPr>
          <w:rFonts w:ascii="Arial" w:hAnsi="Arial" w:cs="Arial"/>
          <w:b/>
          <w:bCs/>
          <w:sz w:val="36"/>
          <w:szCs w:val="36"/>
        </w:rPr>
        <w:t>Hajra</w:t>
      </w:r>
      <w:proofErr w:type="spellEnd"/>
      <w:r w:rsidR="00E76B05">
        <w:rPr>
          <w:rFonts w:ascii="Arial" w:hAnsi="Arial" w:cs="Arial"/>
          <w:b/>
          <w:bCs/>
          <w:sz w:val="36"/>
          <w:szCs w:val="36"/>
        </w:rPr>
        <w:t xml:space="preserve"> </w:t>
      </w:r>
      <w:proofErr w:type="spellStart"/>
      <w:r w:rsidR="00E76B05">
        <w:rPr>
          <w:rFonts w:ascii="Arial" w:hAnsi="Arial" w:cs="Arial"/>
          <w:b/>
          <w:bCs/>
          <w:sz w:val="36"/>
          <w:szCs w:val="36"/>
        </w:rPr>
        <w:t>Mustasim</w:t>
      </w:r>
      <w:proofErr w:type="spellEnd"/>
    </w:p>
    <w:p w14:paraId="6905BD92" w14:textId="77777777" w:rsidR="00924D90" w:rsidRDefault="00924D90" w:rsidP="00F0242B">
      <w:pPr>
        <w:spacing w:line="360" w:lineRule="auto"/>
        <w:jc w:val="center"/>
        <w:rPr>
          <w:rFonts w:ascii="Arial" w:hAnsi="Arial" w:cs="Arial"/>
          <w:b/>
          <w:bCs/>
          <w:sz w:val="36"/>
          <w:szCs w:val="36"/>
        </w:rPr>
      </w:pPr>
    </w:p>
    <w:p w14:paraId="544456F8" w14:textId="1AE9DFCD" w:rsidR="00924D90" w:rsidRDefault="00924D90" w:rsidP="00F0242B">
      <w:pPr>
        <w:spacing w:line="360" w:lineRule="auto"/>
        <w:jc w:val="center"/>
        <w:rPr>
          <w:rFonts w:ascii="Arial" w:hAnsi="Arial" w:cs="Arial"/>
          <w:b/>
          <w:bCs/>
          <w:sz w:val="36"/>
          <w:szCs w:val="36"/>
        </w:rPr>
      </w:pPr>
      <w:r>
        <w:rPr>
          <w:rFonts w:ascii="Arial" w:hAnsi="Arial" w:cs="Arial"/>
          <w:b/>
          <w:bCs/>
          <w:sz w:val="36"/>
          <w:szCs w:val="36"/>
        </w:rPr>
        <w:t>LC</w:t>
      </w:r>
      <w:r w:rsidR="00127B3B">
        <w:rPr>
          <w:rFonts w:ascii="Arial" w:hAnsi="Arial" w:cs="Arial"/>
          <w:b/>
          <w:bCs/>
          <w:sz w:val="36"/>
          <w:szCs w:val="36"/>
        </w:rPr>
        <w:t>HS4008</w:t>
      </w:r>
    </w:p>
    <w:p w14:paraId="429A94D4" w14:textId="77777777" w:rsidR="00924D90" w:rsidRDefault="00924D90" w:rsidP="00F0242B">
      <w:pPr>
        <w:spacing w:line="360" w:lineRule="auto"/>
        <w:jc w:val="center"/>
        <w:rPr>
          <w:rFonts w:ascii="Arial" w:hAnsi="Arial" w:cs="Arial"/>
          <w:b/>
          <w:bCs/>
          <w:sz w:val="36"/>
          <w:szCs w:val="36"/>
        </w:rPr>
      </w:pPr>
    </w:p>
    <w:p w14:paraId="30116887" w14:textId="3C37A1AF" w:rsidR="000952E1" w:rsidRDefault="00842B3B" w:rsidP="00F0242B">
      <w:pPr>
        <w:spacing w:line="360" w:lineRule="auto"/>
        <w:jc w:val="center"/>
        <w:rPr>
          <w:rFonts w:ascii="Arial" w:hAnsi="Arial" w:cs="Arial"/>
          <w:b/>
          <w:bCs/>
          <w:sz w:val="36"/>
          <w:szCs w:val="36"/>
        </w:rPr>
      </w:pPr>
      <w:r>
        <w:rPr>
          <w:rFonts w:ascii="Arial" w:hAnsi="Arial" w:cs="Arial"/>
          <w:b/>
          <w:bCs/>
          <w:sz w:val="36"/>
          <w:szCs w:val="36"/>
        </w:rPr>
        <w:t>18.11.2025</w:t>
      </w:r>
    </w:p>
    <w:p w14:paraId="0F6C3375" w14:textId="77777777" w:rsidR="00E76B05" w:rsidRDefault="00E76B05" w:rsidP="00F0242B">
      <w:pPr>
        <w:spacing w:line="360" w:lineRule="auto"/>
        <w:jc w:val="center"/>
        <w:rPr>
          <w:rFonts w:ascii="Arial" w:hAnsi="Arial" w:cs="Arial"/>
          <w:b/>
          <w:bCs/>
          <w:sz w:val="36"/>
          <w:szCs w:val="36"/>
        </w:rPr>
      </w:pPr>
    </w:p>
    <w:p w14:paraId="7B37B81D" w14:textId="043231CE" w:rsidR="00E76B05" w:rsidRDefault="00E76B05" w:rsidP="00F0242B">
      <w:pPr>
        <w:spacing w:line="360" w:lineRule="auto"/>
        <w:jc w:val="center"/>
        <w:rPr>
          <w:rFonts w:ascii="Arial" w:hAnsi="Arial" w:cs="Arial"/>
          <w:b/>
          <w:bCs/>
          <w:sz w:val="36"/>
          <w:szCs w:val="36"/>
        </w:rPr>
      </w:pPr>
    </w:p>
    <w:p w14:paraId="5FA66E0C" w14:textId="77777777" w:rsidR="00A84619" w:rsidRDefault="00A84619" w:rsidP="00F0242B">
      <w:pPr>
        <w:spacing w:line="360" w:lineRule="auto"/>
        <w:jc w:val="center"/>
        <w:rPr>
          <w:rFonts w:ascii="Arial" w:hAnsi="Arial" w:cs="Arial"/>
          <w:b/>
          <w:bCs/>
          <w:sz w:val="36"/>
          <w:szCs w:val="36"/>
        </w:rPr>
      </w:pPr>
    </w:p>
    <w:p w14:paraId="3B289BC5" w14:textId="77777777" w:rsidR="00F0242B" w:rsidRPr="008B6D1D" w:rsidRDefault="00F0242B" w:rsidP="00F0242B">
      <w:pPr>
        <w:spacing w:line="360" w:lineRule="auto"/>
        <w:jc w:val="center"/>
        <w:rPr>
          <w:rFonts w:ascii="Arial" w:hAnsi="Arial" w:cs="Arial"/>
          <w:b/>
          <w:bCs/>
          <w:sz w:val="36"/>
          <w:szCs w:val="36"/>
        </w:rPr>
      </w:pPr>
    </w:p>
    <w:p w14:paraId="5443D5BA" w14:textId="77777777" w:rsidR="00402572" w:rsidRDefault="00402572" w:rsidP="009345DE">
      <w:pPr>
        <w:spacing w:line="360" w:lineRule="auto"/>
        <w:rPr>
          <w:rFonts w:ascii="Arial" w:hAnsi="Arial" w:cs="Arial"/>
        </w:rPr>
      </w:pPr>
    </w:p>
    <w:p w14:paraId="2BE9CAF1" w14:textId="04C6DC3B" w:rsidR="00402572" w:rsidRDefault="00402572" w:rsidP="009E28C9">
      <w:pPr>
        <w:jc w:val="center"/>
        <w:rPr>
          <w:rFonts w:ascii="Arial" w:hAnsi="Arial" w:cs="Arial"/>
        </w:rPr>
      </w:pPr>
      <w:r>
        <w:rPr>
          <w:rFonts w:ascii="Arial" w:hAnsi="Arial" w:cs="Arial"/>
        </w:rPr>
        <w:br w:type="page"/>
      </w:r>
    </w:p>
    <w:p w14:paraId="06CED638" w14:textId="77777777" w:rsidR="00402572" w:rsidRDefault="00402572" w:rsidP="009345DE">
      <w:pPr>
        <w:spacing w:line="360" w:lineRule="auto"/>
        <w:rPr>
          <w:rFonts w:ascii="Arial" w:hAnsi="Arial" w:cs="Arial"/>
        </w:rPr>
      </w:pPr>
    </w:p>
    <w:p w14:paraId="46EC0A42" w14:textId="657B9D0F" w:rsidR="00402572" w:rsidRDefault="00402572">
      <w:pPr>
        <w:rPr>
          <w:rFonts w:ascii="Arial" w:hAnsi="Arial" w:cs="Arial"/>
        </w:rPr>
      </w:pPr>
    </w:p>
    <w:p w14:paraId="4081A18B" w14:textId="47FCC3B0" w:rsidR="00D90097" w:rsidRPr="009345DE" w:rsidRDefault="00D90097" w:rsidP="009345DE">
      <w:pPr>
        <w:spacing w:line="360" w:lineRule="auto"/>
        <w:rPr>
          <w:rFonts w:ascii="Arial" w:hAnsi="Arial" w:cs="Arial"/>
        </w:rPr>
      </w:pPr>
      <w:r w:rsidRPr="009345DE">
        <w:rPr>
          <w:rFonts w:ascii="Arial" w:hAnsi="Arial" w:cs="Arial"/>
        </w:rPr>
        <w:t>Type 2 Diabetes – Written Report</w:t>
      </w:r>
    </w:p>
    <w:p w14:paraId="481F35FA" w14:textId="77777777" w:rsidR="00D90097" w:rsidRPr="009345DE" w:rsidRDefault="00D90097" w:rsidP="009345DE">
      <w:pPr>
        <w:spacing w:line="360" w:lineRule="auto"/>
        <w:rPr>
          <w:rFonts w:ascii="Arial" w:hAnsi="Arial" w:cs="Arial"/>
        </w:rPr>
      </w:pPr>
    </w:p>
    <w:p w14:paraId="7066818C" w14:textId="77777777" w:rsidR="00D90097" w:rsidRPr="009345DE" w:rsidRDefault="00D90097" w:rsidP="009345DE">
      <w:pPr>
        <w:spacing w:line="360" w:lineRule="auto"/>
        <w:rPr>
          <w:rFonts w:ascii="Arial" w:hAnsi="Arial" w:cs="Arial"/>
        </w:rPr>
      </w:pPr>
      <w:r w:rsidRPr="009345DE">
        <w:rPr>
          <w:rFonts w:ascii="Arial" w:hAnsi="Arial" w:cs="Arial"/>
        </w:rPr>
        <w:t>Introduction</w:t>
      </w:r>
    </w:p>
    <w:p w14:paraId="2784CDE0" w14:textId="77777777" w:rsidR="00D90097" w:rsidRPr="009345DE" w:rsidRDefault="00D90097" w:rsidP="009345DE">
      <w:pPr>
        <w:spacing w:line="360" w:lineRule="auto"/>
        <w:rPr>
          <w:rFonts w:ascii="Arial" w:hAnsi="Arial" w:cs="Arial"/>
        </w:rPr>
      </w:pPr>
      <w:r w:rsidRPr="009345DE">
        <w:rPr>
          <w:rFonts w:ascii="Arial" w:hAnsi="Arial" w:cs="Arial"/>
        </w:rPr>
        <w:t>Type 2 diabetes (T2D) is a long-term metabolic disorder characterised by insulin resistance and a relative decline in insulin secretion, resulting in chronic hyperglycaemia (Kahn et al., 2020). It accounts for the majority of diabetes cases worldwide and is strongly linked to modifiable risk factors such as obesity, poor diet, physical inactivity and advancing age. Typical symptoms include excessive thirst, frequent urination, fatigue, blurred vision and slow-healing wounds; however, many individuals remain asymptomatic for long periods, allowing the disease to progress unnoticed (Kahn et al., 2020). Globally, diabetes prevalence has risen sharply. A major 2024 Lancet analysis estimated that hundreds of millions of adults now live with diabetes, with numbers having more than doubled in many countries since 1990 (Zhou et al., 2024). Similar trends are seen in the UK, where prevalence continues to rise, driven largely by Type 2 diabetes, placing increasing pressure on the NHS and wider society (Hex et al., 2024).</w:t>
      </w:r>
    </w:p>
    <w:p w14:paraId="5F30A02D" w14:textId="357B2DDE" w:rsidR="00D90097" w:rsidRPr="009345DE" w:rsidRDefault="00D90097" w:rsidP="009345DE">
      <w:pPr>
        <w:spacing w:line="360" w:lineRule="auto"/>
        <w:rPr>
          <w:rFonts w:ascii="Arial" w:hAnsi="Arial" w:cs="Arial"/>
        </w:rPr>
      </w:pPr>
    </w:p>
    <w:p w14:paraId="677DC23A" w14:textId="77777777" w:rsidR="00D90097" w:rsidRPr="009345DE" w:rsidRDefault="00D90097" w:rsidP="009345DE">
      <w:pPr>
        <w:spacing w:line="360" w:lineRule="auto"/>
        <w:rPr>
          <w:rFonts w:ascii="Arial" w:hAnsi="Arial" w:cs="Arial"/>
        </w:rPr>
      </w:pPr>
      <w:r w:rsidRPr="009345DE">
        <w:rPr>
          <w:rFonts w:ascii="Arial" w:hAnsi="Arial" w:cs="Arial"/>
        </w:rPr>
        <w:t>Definition, Signs and Symptoms</w:t>
      </w:r>
    </w:p>
    <w:p w14:paraId="5E9109C7" w14:textId="77777777" w:rsidR="00D90097" w:rsidRPr="009345DE" w:rsidRDefault="00D90097" w:rsidP="009345DE">
      <w:pPr>
        <w:spacing w:line="360" w:lineRule="auto"/>
        <w:rPr>
          <w:rFonts w:ascii="Arial" w:hAnsi="Arial" w:cs="Arial"/>
        </w:rPr>
      </w:pPr>
      <w:r w:rsidRPr="009345DE">
        <w:rPr>
          <w:rFonts w:ascii="Arial" w:hAnsi="Arial" w:cs="Arial"/>
        </w:rPr>
        <w:t xml:space="preserve">Type 2 diabetes is diagnosed when blood glucose tests—fasting plasma glucose, HbA1c, or glucose tolerance test—exceed clinical thresholds in the presence of insulin resistance (Kahn et al., 2020). Common symptoms include polyuria, polydipsia, fatigue and recurrent infections, although asymptomatic presentation is common (Kahn et al., 2020). Chronic hyperglycaemia leads to progressive microvascular complications such as diabetic retinopathy, nephropathy and neuropathy, along with </w:t>
      </w:r>
      <w:proofErr w:type="spellStart"/>
      <w:r w:rsidRPr="009345DE">
        <w:rPr>
          <w:rFonts w:ascii="Arial" w:hAnsi="Arial" w:cs="Arial"/>
        </w:rPr>
        <w:t>macrovascular</w:t>
      </w:r>
      <w:proofErr w:type="spellEnd"/>
      <w:r w:rsidRPr="009345DE">
        <w:rPr>
          <w:rFonts w:ascii="Arial" w:hAnsi="Arial" w:cs="Arial"/>
        </w:rPr>
        <w:t xml:space="preserve"> complications including coronary artery disease and stroke (GBD Diabetes Collaborators, 2023).</w:t>
      </w:r>
    </w:p>
    <w:p w14:paraId="7D3107E8" w14:textId="77777777" w:rsidR="00D90097" w:rsidRPr="009345DE" w:rsidRDefault="00D90097" w:rsidP="009345DE">
      <w:pPr>
        <w:spacing w:line="360" w:lineRule="auto"/>
        <w:rPr>
          <w:rFonts w:ascii="Arial" w:hAnsi="Arial" w:cs="Arial"/>
        </w:rPr>
      </w:pPr>
    </w:p>
    <w:p w14:paraId="5D094FB5" w14:textId="77777777" w:rsidR="00D90097" w:rsidRPr="009345DE" w:rsidRDefault="00D90097" w:rsidP="009345DE">
      <w:pPr>
        <w:spacing w:line="360" w:lineRule="auto"/>
        <w:rPr>
          <w:rFonts w:ascii="Arial" w:hAnsi="Arial" w:cs="Arial"/>
        </w:rPr>
      </w:pPr>
      <w:r w:rsidRPr="009345DE">
        <w:rPr>
          <w:rFonts w:ascii="Arial" w:hAnsi="Arial" w:cs="Arial"/>
        </w:rPr>
        <w:lastRenderedPageBreak/>
        <w:t>Global and UK Incidence and Prevalence</w:t>
      </w:r>
    </w:p>
    <w:p w14:paraId="4943B955" w14:textId="77777777" w:rsidR="00D90097" w:rsidRPr="009345DE" w:rsidRDefault="00D90097" w:rsidP="009345DE">
      <w:pPr>
        <w:spacing w:line="360" w:lineRule="auto"/>
        <w:rPr>
          <w:rFonts w:ascii="Arial" w:hAnsi="Arial" w:cs="Arial"/>
        </w:rPr>
      </w:pPr>
      <w:r w:rsidRPr="009345DE">
        <w:rPr>
          <w:rFonts w:ascii="Arial" w:hAnsi="Arial" w:cs="Arial"/>
        </w:rPr>
        <w:t>Global diabetes prevalence continues to rise at an unprecedented rate. The Global Burden of Disease Study reported that the number of adults living with diabetes increased dramatically between 1990 and 2021, reaching hundreds of millions worldwide, with most cases being Type 2 (GBD Diabetes Collaborators, 2023). A major Lancet analysis predicts further increases across all world regions due to obesity trends, population ageing and changing lifestyles (Zhou et al., 2024).</w:t>
      </w:r>
    </w:p>
    <w:p w14:paraId="4629BEE8" w14:textId="77777777" w:rsidR="00D90097" w:rsidRPr="009345DE" w:rsidRDefault="00D90097" w:rsidP="009345DE">
      <w:pPr>
        <w:spacing w:line="360" w:lineRule="auto"/>
        <w:rPr>
          <w:rFonts w:ascii="Arial" w:hAnsi="Arial" w:cs="Arial"/>
        </w:rPr>
      </w:pPr>
      <w:r w:rsidRPr="009345DE">
        <w:rPr>
          <w:rFonts w:ascii="Arial" w:hAnsi="Arial" w:cs="Arial"/>
        </w:rPr>
        <w:t>In the UK, prevalence has risen steadily for more than two decades. Most cases—around 85–90%—are Type 2 diabetes (Hex et al., 2024). Younger-onset T2D is increasing, particularly among people living in deprived communities or belonging to high-risk ethnic groups (</w:t>
      </w:r>
      <w:proofErr w:type="spellStart"/>
      <w:r w:rsidRPr="009345DE">
        <w:rPr>
          <w:rFonts w:ascii="Arial" w:hAnsi="Arial" w:cs="Arial"/>
        </w:rPr>
        <w:t>Xie</w:t>
      </w:r>
      <w:proofErr w:type="spellEnd"/>
      <w:r w:rsidRPr="009345DE">
        <w:rPr>
          <w:rFonts w:ascii="Arial" w:hAnsi="Arial" w:cs="Arial"/>
        </w:rPr>
        <w:t xml:space="preserve"> et al., 2022). This shift results in people living with the disease for longer and experiencing complications earlier in life.</w:t>
      </w:r>
    </w:p>
    <w:p w14:paraId="4A8D99A1" w14:textId="77777777" w:rsidR="00D90097" w:rsidRPr="009345DE" w:rsidRDefault="00D90097" w:rsidP="009345DE">
      <w:pPr>
        <w:spacing w:line="360" w:lineRule="auto"/>
        <w:rPr>
          <w:rFonts w:ascii="Arial" w:hAnsi="Arial" w:cs="Arial"/>
        </w:rPr>
      </w:pPr>
    </w:p>
    <w:p w14:paraId="354B9D0A" w14:textId="77777777" w:rsidR="00D90097" w:rsidRPr="009345DE" w:rsidRDefault="00D90097" w:rsidP="009345DE">
      <w:pPr>
        <w:spacing w:line="360" w:lineRule="auto"/>
        <w:rPr>
          <w:rFonts w:ascii="Arial" w:hAnsi="Arial" w:cs="Arial"/>
        </w:rPr>
      </w:pPr>
      <w:r w:rsidRPr="009345DE">
        <w:rPr>
          <w:rFonts w:ascii="Arial" w:hAnsi="Arial" w:cs="Arial"/>
        </w:rPr>
        <w:t>Clinical and Individual Consequences</w:t>
      </w:r>
    </w:p>
    <w:p w14:paraId="30D46386" w14:textId="77777777" w:rsidR="00D90097" w:rsidRPr="009345DE" w:rsidRDefault="00D90097" w:rsidP="009345DE">
      <w:pPr>
        <w:spacing w:line="360" w:lineRule="auto"/>
        <w:rPr>
          <w:rFonts w:ascii="Arial" w:hAnsi="Arial" w:cs="Arial"/>
        </w:rPr>
      </w:pPr>
      <w:r w:rsidRPr="009345DE">
        <w:rPr>
          <w:rFonts w:ascii="Arial" w:hAnsi="Arial" w:cs="Arial"/>
        </w:rPr>
        <w:t>The clinical consequences of T2D can be severe. Chronic hyperglycaemia damages blood vessels throughout the body and dramatically increases the risk of cardiovascular disease, which remains the leading cause of death among people with T2D (Kahn et al., 2020). Microvascular complications such as retinopathy can lead to blindness, while nephropathy is a leading cause of end-stage renal disease requiring dialysis. Neuropathy can result in chronic pain, foot ulceration and, in severe cases, limb amputation (GBD Diabetes Collaborators, 2023).</w:t>
      </w:r>
    </w:p>
    <w:p w14:paraId="5EFACBD1" w14:textId="77777777" w:rsidR="00D90097" w:rsidRPr="009345DE" w:rsidRDefault="00D90097" w:rsidP="009345DE">
      <w:pPr>
        <w:spacing w:line="360" w:lineRule="auto"/>
        <w:rPr>
          <w:rFonts w:ascii="Arial" w:hAnsi="Arial" w:cs="Arial"/>
        </w:rPr>
      </w:pPr>
      <w:r w:rsidRPr="009345DE">
        <w:rPr>
          <w:rFonts w:ascii="Arial" w:hAnsi="Arial" w:cs="Arial"/>
        </w:rPr>
        <w:t>Although advances in pharmacological treatment—particularly SGLT2 inhibitors and GLP-1 receptor agonists—are improving cardiovascular and renal outcomes, access can be unequal and these therapies remain expensive (</w:t>
      </w:r>
      <w:proofErr w:type="spellStart"/>
      <w:r w:rsidRPr="009345DE">
        <w:rPr>
          <w:rFonts w:ascii="Arial" w:hAnsi="Arial" w:cs="Arial"/>
        </w:rPr>
        <w:t>Neuen</w:t>
      </w:r>
      <w:proofErr w:type="spellEnd"/>
      <w:r w:rsidRPr="009345DE">
        <w:rPr>
          <w:rFonts w:ascii="Arial" w:hAnsi="Arial" w:cs="Arial"/>
        </w:rPr>
        <w:t xml:space="preserve"> et al., 2024). Psychological impacts are also significant. People with T2D experience higher rates of depression, anxiety and diabetes-related distress, all of which negatively affect treatment adherence and outcomes (</w:t>
      </w:r>
      <w:proofErr w:type="spellStart"/>
      <w:r w:rsidRPr="009345DE">
        <w:rPr>
          <w:rFonts w:ascii="Arial" w:hAnsi="Arial" w:cs="Arial"/>
        </w:rPr>
        <w:t>Xie</w:t>
      </w:r>
      <w:proofErr w:type="spellEnd"/>
      <w:r w:rsidRPr="009345DE">
        <w:rPr>
          <w:rFonts w:ascii="Arial" w:hAnsi="Arial" w:cs="Arial"/>
        </w:rPr>
        <w:t xml:space="preserve"> et al., 2022). Young-onset diabetes is associated with faster disease progression, earlier onset of complications and a heavier lifetime health burden (</w:t>
      </w:r>
      <w:proofErr w:type="spellStart"/>
      <w:r w:rsidRPr="009345DE">
        <w:rPr>
          <w:rFonts w:ascii="Arial" w:hAnsi="Arial" w:cs="Arial"/>
        </w:rPr>
        <w:t>Xie</w:t>
      </w:r>
      <w:proofErr w:type="spellEnd"/>
      <w:r w:rsidRPr="009345DE">
        <w:rPr>
          <w:rFonts w:ascii="Arial" w:hAnsi="Arial" w:cs="Arial"/>
        </w:rPr>
        <w:t xml:space="preserve"> et al., 2022).</w:t>
      </w:r>
    </w:p>
    <w:p w14:paraId="5669FD59" w14:textId="77777777" w:rsidR="00D90097" w:rsidRPr="009345DE" w:rsidRDefault="00D90097" w:rsidP="009345DE">
      <w:pPr>
        <w:spacing w:line="360" w:lineRule="auto"/>
        <w:rPr>
          <w:rFonts w:ascii="Arial" w:hAnsi="Arial" w:cs="Arial"/>
        </w:rPr>
      </w:pPr>
    </w:p>
    <w:p w14:paraId="3B2912CE" w14:textId="77777777" w:rsidR="00D90097" w:rsidRPr="009345DE" w:rsidRDefault="00D90097" w:rsidP="009345DE">
      <w:pPr>
        <w:spacing w:line="360" w:lineRule="auto"/>
        <w:rPr>
          <w:rFonts w:ascii="Arial" w:hAnsi="Arial" w:cs="Arial"/>
        </w:rPr>
      </w:pPr>
      <w:r w:rsidRPr="009345DE">
        <w:rPr>
          <w:rFonts w:ascii="Arial" w:hAnsi="Arial" w:cs="Arial"/>
        </w:rPr>
        <w:t>Impact on Healthcare Services</w:t>
      </w:r>
    </w:p>
    <w:p w14:paraId="31C329A6" w14:textId="77777777" w:rsidR="00D90097" w:rsidRPr="009345DE" w:rsidRDefault="00D90097" w:rsidP="009345DE">
      <w:pPr>
        <w:spacing w:line="360" w:lineRule="auto"/>
        <w:rPr>
          <w:rFonts w:ascii="Arial" w:hAnsi="Arial" w:cs="Arial"/>
        </w:rPr>
      </w:pPr>
      <w:r w:rsidRPr="009345DE">
        <w:rPr>
          <w:rFonts w:ascii="Arial" w:hAnsi="Arial" w:cs="Arial"/>
        </w:rPr>
        <w:t>T2D places major pressure on healthcare systems across the world. In the UK, the NHS faces growing demand for diabetes management, including annual reviews, blood tests, retinal screening, podiatry services and multidisciplinary care for complex cases (Hex et al., 2024). The financial burden is substantial: direct NHS spending on diabetes has risen into the billions annually, with the majority of costs stemming not from medications but from treating complications such as amputations, renal failure and cardiovascular events (Hex et al., 2024).</w:t>
      </w:r>
    </w:p>
    <w:p w14:paraId="2721A3B7" w14:textId="77777777" w:rsidR="00D90097" w:rsidRPr="009345DE" w:rsidRDefault="00D90097" w:rsidP="009345DE">
      <w:pPr>
        <w:spacing w:line="360" w:lineRule="auto"/>
        <w:rPr>
          <w:rFonts w:ascii="Arial" w:hAnsi="Arial" w:cs="Arial"/>
        </w:rPr>
      </w:pPr>
      <w:r w:rsidRPr="009345DE">
        <w:rPr>
          <w:rFonts w:ascii="Arial" w:hAnsi="Arial" w:cs="Arial"/>
        </w:rPr>
        <w:t>Specialist services also face capacity challenges. Retinal screening, renal clinics and vascular surgery services are under increasing pressure due to the growing number of patients requiring monitoring or treatment. Delayed care frequently leads to worse outcomes, including preventable hospital admissions and unnecessary amputations (</w:t>
      </w:r>
      <w:proofErr w:type="spellStart"/>
      <w:r w:rsidRPr="009345DE">
        <w:rPr>
          <w:rFonts w:ascii="Arial" w:hAnsi="Arial" w:cs="Arial"/>
        </w:rPr>
        <w:t>Neuen</w:t>
      </w:r>
      <w:proofErr w:type="spellEnd"/>
      <w:r w:rsidRPr="009345DE">
        <w:rPr>
          <w:rFonts w:ascii="Arial" w:hAnsi="Arial" w:cs="Arial"/>
        </w:rPr>
        <w:t xml:space="preserve"> et al., 2024).</w:t>
      </w:r>
    </w:p>
    <w:p w14:paraId="50927839" w14:textId="77777777" w:rsidR="00D90097" w:rsidRPr="009345DE" w:rsidRDefault="00D90097" w:rsidP="009345DE">
      <w:pPr>
        <w:spacing w:line="360" w:lineRule="auto"/>
        <w:rPr>
          <w:rFonts w:ascii="Arial" w:hAnsi="Arial" w:cs="Arial"/>
        </w:rPr>
      </w:pPr>
    </w:p>
    <w:p w14:paraId="1E1B0D42" w14:textId="77777777" w:rsidR="00D90097" w:rsidRPr="009345DE" w:rsidRDefault="00D90097" w:rsidP="009345DE">
      <w:pPr>
        <w:spacing w:line="360" w:lineRule="auto"/>
        <w:rPr>
          <w:rFonts w:ascii="Arial" w:hAnsi="Arial" w:cs="Arial"/>
        </w:rPr>
      </w:pPr>
      <w:r w:rsidRPr="009345DE">
        <w:rPr>
          <w:rFonts w:ascii="Arial" w:hAnsi="Arial" w:cs="Arial"/>
        </w:rPr>
        <w:t>Economic and Societal Consequences</w:t>
      </w:r>
    </w:p>
    <w:p w14:paraId="0ED85BB2" w14:textId="77777777" w:rsidR="00D90097" w:rsidRPr="009345DE" w:rsidRDefault="00D90097" w:rsidP="009345DE">
      <w:pPr>
        <w:spacing w:line="360" w:lineRule="auto"/>
        <w:rPr>
          <w:rFonts w:ascii="Arial" w:hAnsi="Arial" w:cs="Arial"/>
        </w:rPr>
      </w:pPr>
      <w:r w:rsidRPr="009345DE">
        <w:rPr>
          <w:rFonts w:ascii="Arial" w:hAnsi="Arial" w:cs="Arial"/>
        </w:rPr>
        <w:t>The societal impact of T2D extends far beyond the healthcare system. Productivity losses due to sickness absence, early retirement and reduced workplace performance (</w:t>
      </w:r>
      <w:proofErr w:type="spellStart"/>
      <w:r w:rsidRPr="009345DE">
        <w:rPr>
          <w:rFonts w:ascii="Arial" w:hAnsi="Arial" w:cs="Arial"/>
        </w:rPr>
        <w:t>presenteeism</w:t>
      </w:r>
      <w:proofErr w:type="spellEnd"/>
      <w:r w:rsidRPr="009345DE">
        <w:rPr>
          <w:rFonts w:ascii="Arial" w:hAnsi="Arial" w:cs="Arial"/>
        </w:rPr>
        <w:t>) create significant economic costs. Hex et al. (2024) estimate that when indirect costs are included, the total economic burden of T2D in the UK rises considerably above healthcare expenditure alone.</w:t>
      </w:r>
    </w:p>
    <w:p w14:paraId="1D42706B" w14:textId="77777777" w:rsidR="00D90097" w:rsidRPr="009345DE" w:rsidRDefault="00D90097" w:rsidP="009345DE">
      <w:pPr>
        <w:spacing w:line="360" w:lineRule="auto"/>
        <w:rPr>
          <w:rFonts w:ascii="Arial" w:hAnsi="Arial" w:cs="Arial"/>
        </w:rPr>
      </w:pPr>
      <w:r w:rsidRPr="009345DE">
        <w:rPr>
          <w:rFonts w:ascii="Arial" w:hAnsi="Arial" w:cs="Arial"/>
        </w:rPr>
        <w:t>At household level, financial strain arises from time off work, increased medical appointments, dietary changes and caregiving responsibilities. Families may need to adapt meal planning, activity routines and daily schedules to support diabetes management. These burdens are amplified when complications develop, as the need for care increases significantly.</w:t>
      </w:r>
    </w:p>
    <w:p w14:paraId="18DF678E" w14:textId="77777777" w:rsidR="00D90097" w:rsidRPr="009345DE" w:rsidRDefault="00D90097" w:rsidP="009345DE">
      <w:pPr>
        <w:spacing w:line="360" w:lineRule="auto"/>
        <w:rPr>
          <w:rFonts w:ascii="Arial" w:hAnsi="Arial" w:cs="Arial"/>
        </w:rPr>
      </w:pPr>
    </w:p>
    <w:p w14:paraId="4D946C48" w14:textId="77777777" w:rsidR="00D90097" w:rsidRPr="009345DE" w:rsidRDefault="00D90097" w:rsidP="009345DE">
      <w:pPr>
        <w:spacing w:line="360" w:lineRule="auto"/>
        <w:rPr>
          <w:rFonts w:ascii="Arial" w:hAnsi="Arial" w:cs="Arial"/>
        </w:rPr>
      </w:pPr>
      <w:r w:rsidRPr="009345DE">
        <w:rPr>
          <w:rFonts w:ascii="Arial" w:hAnsi="Arial" w:cs="Arial"/>
        </w:rPr>
        <w:t>Health Inequalities and Community Impact</w:t>
      </w:r>
    </w:p>
    <w:p w14:paraId="520ADAC0" w14:textId="77777777" w:rsidR="00D90097" w:rsidRPr="009345DE" w:rsidRDefault="00D90097" w:rsidP="009345DE">
      <w:pPr>
        <w:spacing w:line="360" w:lineRule="auto"/>
        <w:rPr>
          <w:rFonts w:ascii="Arial" w:hAnsi="Arial" w:cs="Arial"/>
        </w:rPr>
      </w:pPr>
      <w:r w:rsidRPr="009345DE">
        <w:rPr>
          <w:rFonts w:ascii="Arial" w:hAnsi="Arial" w:cs="Arial"/>
        </w:rPr>
        <w:lastRenderedPageBreak/>
        <w:t xml:space="preserve">T2D disproportionately affects certain populations. Higher prevalence is found among people living in deprived areas, ethnic minority groups—especially South Asian and Black communities—and individuals exposed to adverse early-life conditions (Kahn et al., 2020; </w:t>
      </w:r>
      <w:proofErr w:type="spellStart"/>
      <w:r w:rsidRPr="009345DE">
        <w:rPr>
          <w:rFonts w:ascii="Arial" w:hAnsi="Arial" w:cs="Arial"/>
        </w:rPr>
        <w:t>Xie</w:t>
      </w:r>
      <w:proofErr w:type="spellEnd"/>
      <w:r w:rsidRPr="009345DE">
        <w:rPr>
          <w:rFonts w:ascii="Arial" w:hAnsi="Arial" w:cs="Arial"/>
        </w:rPr>
        <w:t xml:space="preserve"> et al., 2022). These groups often experience earlier onset of disease and more severe complications.</w:t>
      </w:r>
    </w:p>
    <w:p w14:paraId="0576D45E" w14:textId="77777777" w:rsidR="00D90097" w:rsidRPr="009345DE" w:rsidRDefault="00D90097" w:rsidP="009345DE">
      <w:pPr>
        <w:spacing w:line="360" w:lineRule="auto"/>
        <w:rPr>
          <w:rFonts w:ascii="Arial" w:hAnsi="Arial" w:cs="Arial"/>
        </w:rPr>
      </w:pPr>
      <w:r w:rsidRPr="009345DE">
        <w:rPr>
          <w:rFonts w:ascii="Arial" w:hAnsi="Arial" w:cs="Arial"/>
        </w:rPr>
        <w:t>Structural determinants such as lack of access to healthy foods, unsafe environments for physical activity, limited healthcare access and high levels of work-related stress contribute to this unequal distribution (GBD Diabetes Collaborators, 2023). Without targeted interventions addressing social determinants, T2D will continue to widen existing health inequalities.</w:t>
      </w:r>
    </w:p>
    <w:p w14:paraId="3ABDBABE" w14:textId="77777777" w:rsidR="00D90097" w:rsidRPr="009345DE" w:rsidRDefault="00D90097" w:rsidP="009345DE">
      <w:pPr>
        <w:spacing w:line="360" w:lineRule="auto"/>
        <w:rPr>
          <w:rFonts w:ascii="Arial" w:hAnsi="Arial" w:cs="Arial"/>
        </w:rPr>
      </w:pPr>
    </w:p>
    <w:p w14:paraId="1BB1E564" w14:textId="77777777" w:rsidR="00D90097" w:rsidRPr="009345DE" w:rsidRDefault="00D90097" w:rsidP="009345DE">
      <w:pPr>
        <w:spacing w:line="360" w:lineRule="auto"/>
        <w:rPr>
          <w:rFonts w:ascii="Arial" w:hAnsi="Arial" w:cs="Arial"/>
        </w:rPr>
      </w:pPr>
      <w:r w:rsidRPr="009345DE">
        <w:rPr>
          <w:rFonts w:ascii="Arial" w:hAnsi="Arial" w:cs="Arial"/>
        </w:rPr>
        <w:t>Prevention Opportunities and Public Health Implications</w:t>
      </w:r>
    </w:p>
    <w:p w14:paraId="12B9E30E" w14:textId="77777777" w:rsidR="00D90097" w:rsidRPr="009345DE" w:rsidRDefault="00D90097" w:rsidP="009345DE">
      <w:pPr>
        <w:spacing w:line="360" w:lineRule="auto"/>
        <w:rPr>
          <w:rFonts w:ascii="Arial" w:hAnsi="Arial" w:cs="Arial"/>
        </w:rPr>
      </w:pPr>
      <w:r w:rsidRPr="009345DE">
        <w:rPr>
          <w:rFonts w:ascii="Arial" w:hAnsi="Arial" w:cs="Arial"/>
        </w:rPr>
        <w:t>Type 2 diabetes is largely preventable, and evidence shows that lifestyle changes—healthy diet, weight reduction, increased physical activity—can markedly reduce risk (Kahn et al., 2020). However, individual behaviour change is insufficient on its own. Population-level interventions that reshape the environments in which people live are essential.</w:t>
      </w:r>
    </w:p>
    <w:p w14:paraId="00484CA2" w14:textId="77777777" w:rsidR="00D90097" w:rsidRPr="009345DE" w:rsidRDefault="00D90097" w:rsidP="009345DE">
      <w:pPr>
        <w:spacing w:line="360" w:lineRule="auto"/>
        <w:rPr>
          <w:rFonts w:ascii="Arial" w:hAnsi="Arial" w:cs="Arial"/>
        </w:rPr>
      </w:pPr>
      <w:r w:rsidRPr="009345DE">
        <w:rPr>
          <w:rFonts w:ascii="Arial" w:hAnsi="Arial" w:cs="Arial"/>
        </w:rPr>
        <w:t>Public health strategies supported in peer-reviewed research include:</w:t>
      </w:r>
    </w:p>
    <w:p w14:paraId="70B08D55" w14:textId="77777777" w:rsidR="00D90097" w:rsidRPr="009345DE" w:rsidRDefault="00D90097" w:rsidP="009345DE">
      <w:pPr>
        <w:spacing w:line="360" w:lineRule="auto"/>
        <w:rPr>
          <w:rFonts w:ascii="Arial" w:hAnsi="Arial" w:cs="Arial"/>
        </w:rPr>
      </w:pPr>
      <w:r w:rsidRPr="009345DE">
        <w:rPr>
          <w:rFonts w:ascii="Arial" w:hAnsi="Arial" w:cs="Arial"/>
        </w:rPr>
        <w:t>• Regulation of food advertising targeting children</w:t>
      </w:r>
    </w:p>
    <w:p w14:paraId="402AF5B5" w14:textId="77777777" w:rsidR="00D90097" w:rsidRPr="009345DE" w:rsidRDefault="00D90097" w:rsidP="009345DE">
      <w:pPr>
        <w:spacing w:line="360" w:lineRule="auto"/>
        <w:rPr>
          <w:rFonts w:ascii="Arial" w:hAnsi="Arial" w:cs="Arial"/>
        </w:rPr>
      </w:pPr>
      <w:r w:rsidRPr="009345DE">
        <w:rPr>
          <w:rFonts w:ascii="Arial" w:hAnsi="Arial" w:cs="Arial"/>
        </w:rPr>
        <w:t>• Taxes on sugar-sweetened beverages</w:t>
      </w:r>
    </w:p>
    <w:p w14:paraId="4B210455" w14:textId="77777777" w:rsidR="00D90097" w:rsidRPr="009345DE" w:rsidRDefault="00D90097" w:rsidP="009345DE">
      <w:pPr>
        <w:spacing w:line="360" w:lineRule="auto"/>
        <w:rPr>
          <w:rFonts w:ascii="Arial" w:hAnsi="Arial" w:cs="Arial"/>
        </w:rPr>
      </w:pPr>
      <w:r w:rsidRPr="009345DE">
        <w:rPr>
          <w:rFonts w:ascii="Arial" w:hAnsi="Arial" w:cs="Arial"/>
        </w:rPr>
        <w:t>• Urban planning that prioritises active transport</w:t>
      </w:r>
    </w:p>
    <w:p w14:paraId="4CB01A14" w14:textId="77777777" w:rsidR="00D90097" w:rsidRPr="009345DE" w:rsidRDefault="00D90097" w:rsidP="009345DE">
      <w:pPr>
        <w:spacing w:line="360" w:lineRule="auto"/>
        <w:rPr>
          <w:rFonts w:ascii="Arial" w:hAnsi="Arial" w:cs="Arial"/>
        </w:rPr>
      </w:pPr>
      <w:r w:rsidRPr="009345DE">
        <w:rPr>
          <w:rFonts w:ascii="Arial" w:hAnsi="Arial" w:cs="Arial"/>
        </w:rPr>
        <w:t>• Improving availability and affordability of healthy foods</w:t>
      </w:r>
    </w:p>
    <w:p w14:paraId="1AE54C02" w14:textId="77777777" w:rsidR="00D90097" w:rsidRPr="009345DE" w:rsidRDefault="00D90097" w:rsidP="009345DE">
      <w:pPr>
        <w:spacing w:line="360" w:lineRule="auto"/>
        <w:rPr>
          <w:rFonts w:ascii="Arial" w:hAnsi="Arial" w:cs="Arial"/>
        </w:rPr>
      </w:pPr>
      <w:r w:rsidRPr="009345DE">
        <w:rPr>
          <w:rFonts w:ascii="Arial" w:hAnsi="Arial" w:cs="Arial"/>
        </w:rPr>
        <w:t>• Targeted prevention programmes in high-risk communities (GBD Diabetes Collaborators, 2023; Zhou et al., 2024)</w:t>
      </w:r>
    </w:p>
    <w:p w14:paraId="69A19AED" w14:textId="77777777" w:rsidR="00D90097" w:rsidRPr="009345DE" w:rsidRDefault="00D90097" w:rsidP="009345DE">
      <w:pPr>
        <w:spacing w:line="360" w:lineRule="auto"/>
        <w:rPr>
          <w:rFonts w:ascii="Arial" w:hAnsi="Arial" w:cs="Arial"/>
        </w:rPr>
      </w:pPr>
    </w:p>
    <w:p w14:paraId="77C16AC2" w14:textId="77777777" w:rsidR="00D90097" w:rsidRPr="009345DE" w:rsidRDefault="00D90097" w:rsidP="009345DE">
      <w:pPr>
        <w:spacing w:line="360" w:lineRule="auto"/>
        <w:rPr>
          <w:rFonts w:ascii="Arial" w:hAnsi="Arial" w:cs="Arial"/>
        </w:rPr>
      </w:pPr>
      <w:r w:rsidRPr="009345DE">
        <w:rPr>
          <w:rFonts w:ascii="Arial" w:hAnsi="Arial" w:cs="Arial"/>
        </w:rPr>
        <w:t>Conclusion</w:t>
      </w:r>
    </w:p>
    <w:p w14:paraId="52298D8F" w14:textId="77777777" w:rsidR="00D90097" w:rsidRPr="009345DE" w:rsidRDefault="00D90097" w:rsidP="009345DE">
      <w:pPr>
        <w:spacing w:line="360" w:lineRule="auto"/>
        <w:rPr>
          <w:rFonts w:ascii="Arial" w:hAnsi="Arial" w:cs="Arial"/>
        </w:rPr>
      </w:pPr>
      <w:r w:rsidRPr="009345DE">
        <w:rPr>
          <w:rFonts w:ascii="Arial" w:hAnsi="Arial" w:cs="Arial"/>
        </w:rPr>
        <w:lastRenderedPageBreak/>
        <w:t>Type 2 diabetes presents a major and growing challenge for individuals, communities, healthcare systems and economies. Its consequences are wide-ranging: chronic complications, reduced quality of life, psychological strain and substantial risk of premature mortality. The pressure on healthcare services is significant, with billions spent annually on managing diabetes and its complications. Economic burdens extend beyond healthcare, affecting productivity, employment and household finances (Hex et al., 2024). Importantly, T2D reinforces and widens existing health inequalities, disproportionately affecting deprived and ethnic minority populations (</w:t>
      </w:r>
      <w:proofErr w:type="spellStart"/>
      <w:r w:rsidRPr="009345DE">
        <w:rPr>
          <w:rFonts w:ascii="Arial" w:hAnsi="Arial" w:cs="Arial"/>
        </w:rPr>
        <w:t>Xie</w:t>
      </w:r>
      <w:proofErr w:type="spellEnd"/>
      <w:r w:rsidRPr="009345DE">
        <w:rPr>
          <w:rFonts w:ascii="Arial" w:hAnsi="Arial" w:cs="Arial"/>
        </w:rPr>
        <w:t xml:space="preserve"> et al., 2022). Preventing and managing T2D requires a dual approach: strengthening clinical care and implementing population-level interventions that address the environmental and social drivers of the disease. With coordinated action across government, healthcare and communities, many of the severe clinical, economic and social consequences of T2D can be prevented (Zhou et al., 2024).</w:t>
      </w:r>
    </w:p>
    <w:p w14:paraId="1F28952C" w14:textId="77777777" w:rsidR="00D90097" w:rsidRPr="009345DE" w:rsidRDefault="00D90097" w:rsidP="009345DE">
      <w:pPr>
        <w:spacing w:line="360" w:lineRule="auto"/>
        <w:rPr>
          <w:rFonts w:ascii="Arial" w:hAnsi="Arial" w:cs="Arial"/>
        </w:rPr>
      </w:pPr>
    </w:p>
    <w:p w14:paraId="72EF73E0" w14:textId="77777777" w:rsidR="00D90097" w:rsidRPr="009345DE" w:rsidRDefault="00D90097" w:rsidP="009345DE">
      <w:pPr>
        <w:spacing w:line="360" w:lineRule="auto"/>
        <w:rPr>
          <w:rFonts w:ascii="Arial" w:hAnsi="Arial" w:cs="Arial"/>
        </w:rPr>
      </w:pPr>
      <w:r w:rsidRPr="009345DE">
        <w:rPr>
          <w:rFonts w:ascii="Arial" w:hAnsi="Arial" w:cs="Arial"/>
        </w:rPr>
        <w:t>Reference list</w:t>
      </w:r>
    </w:p>
    <w:p w14:paraId="673D4FBC" w14:textId="77777777" w:rsidR="00D90097" w:rsidRPr="009345DE" w:rsidRDefault="00D90097" w:rsidP="009345DE">
      <w:pPr>
        <w:spacing w:line="360" w:lineRule="auto"/>
        <w:rPr>
          <w:rFonts w:ascii="Arial" w:hAnsi="Arial" w:cs="Arial"/>
        </w:rPr>
      </w:pPr>
      <w:r w:rsidRPr="009345DE">
        <w:rPr>
          <w:rFonts w:ascii="Arial" w:hAnsi="Arial" w:cs="Arial"/>
        </w:rPr>
        <w:t xml:space="preserve">Hex, N., Bartlett, C., Wright, D., Taylor, M. &amp; </w:t>
      </w:r>
      <w:proofErr w:type="spellStart"/>
      <w:r w:rsidRPr="009345DE">
        <w:rPr>
          <w:rFonts w:ascii="Arial" w:hAnsi="Arial" w:cs="Arial"/>
        </w:rPr>
        <w:t>Varley</w:t>
      </w:r>
      <w:proofErr w:type="spellEnd"/>
      <w:r w:rsidRPr="009345DE">
        <w:rPr>
          <w:rFonts w:ascii="Arial" w:hAnsi="Arial" w:cs="Arial"/>
        </w:rPr>
        <w:t>, D. (2024) ‘Estimating the current and future costs of Type 2 diabetes in the UK’, Diabetic Medicine, 41(6), pp. 1–10.</w:t>
      </w:r>
    </w:p>
    <w:p w14:paraId="3628C6C6" w14:textId="77777777" w:rsidR="00D90097" w:rsidRPr="009345DE" w:rsidRDefault="00D90097" w:rsidP="009345DE">
      <w:pPr>
        <w:spacing w:line="360" w:lineRule="auto"/>
        <w:rPr>
          <w:rFonts w:ascii="Arial" w:hAnsi="Arial" w:cs="Arial"/>
        </w:rPr>
      </w:pPr>
      <w:r w:rsidRPr="009345DE">
        <w:rPr>
          <w:rFonts w:ascii="Arial" w:hAnsi="Arial" w:cs="Arial"/>
        </w:rPr>
        <w:t xml:space="preserve">Kahn, M.B.A., </w:t>
      </w:r>
      <w:proofErr w:type="spellStart"/>
      <w:r w:rsidRPr="009345DE">
        <w:rPr>
          <w:rFonts w:ascii="Arial" w:hAnsi="Arial" w:cs="Arial"/>
        </w:rPr>
        <w:t>Hashim</w:t>
      </w:r>
      <w:proofErr w:type="spellEnd"/>
      <w:r w:rsidRPr="009345DE">
        <w:rPr>
          <w:rFonts w:ascii="Arial" w:hAnsi="Arial" w:cs="Arial"/>
        </w:rPr>
        <w:t xml:space="preserve">, M.J., King, K., </w:t>
      </w:r>
      <w:proofErr w:type="spellStart"/>
      <w:r w:rsidRPr="009345DE">
        <w:rPr>
          <w:rFonts w:ascii="Arial" w:hAnsi="Arial" w:cs="Arial"/>
        </w:rPr>
        <w:t>Govender</w:t>
      </w:r>
      <w:proofErr w:type="spellEnd"/>
      <w:r w:rsidRPr="009345DE">
        <w:rPr>
          <w:rFonts w:ascii="Arial" w:hAnsi="Arial" w:cs="Arial"/>
        </w:rPr>
        <w:t xml:space="preserve">, R.D., Mustafa, H. &amp; Al </w:t>
      </w:r>
      <w:proofErr w:type="spellStart"/>
      <w:r w:rsidRPr="009345DE">
        <w:rPr>
          <w:rFonts w:ascii="Arial" w:hAnsi="Arial" w:cs="Arial"/>
        </w:rPr>
        <w:t>Kaabi</w:t>
      </w:r>
      <w:proofErr w:type="spellEnd"/>
      <w:r w:rsidRPr="009345DE">
        <w:rPr>
          <w:rFonts w:ascii="Arial" w:hAnsi="Arial" w:cs="Arial"/>
        </w:rPr>
        <w:t>, J. (2020) ‘Epidemiology of Type 2 Diabetes—Global Burden, Risk Factors and Prevention’, Journal of Epidemiology and Global Health, 10(1), pp. 107–111.</w:t>
      </w:r>
    </w:p>
    <w:p w14:paraId="555E6DD9" w14:textId="77777777" w:rsidR="00D90097" w:rsidRPr="009345DE" w:rsidRDefault="00D90097" w:rsidP="009345DE">
      <w:pPr>
        <w:spacing w:line="360" w:lineRule="auto"/>
        <w:rPr>
          <w:rFonts w:ascii="Arial" w:hAnsi="Arial" w:cs="Arial"/>
        </w:rPr>
      </w:pPr>
      <w:proofErr w:type="spellStart"/>
      <w:r w:rsidRPr="009345DE">
        <w:rPr>
          <w:rFonts w:ascii="Arial" w:hAnsi="Arial" w:cs="Arial"/>
        </w:rPr>
        <w:t>Neuen</w:t>
      </w:r>
      <w:proofErr w:type="spellEnd"/>
      <w:r w:rsidRPr="009345DE">
        <w:rPr>
          <w:rFonts w:ascii="Arial" w:hAnsi="Arial" w:cs="Arial"/>
        </w:rPr>
        <w:t xml:space="preserve">, B.L., </w:t>
      </w:r>
      <w:proofErr w:type="spellStart"/>
      <w:r w:rsidRPr="009345DE">
        <w:rPr>
          <w:rFonts w:ascii="Arial" w:hAnsi="Arial" w:cs="Arial"/>
        </w:rPr>
        <w:t>Arnott</w:t>
      </w:r>
      <w:proofErr w:type="spellEnd"/>
      <w:r w:rsidRPr="009345DE">
        <w:rPr>
          <w:rFonts w:ascii="Arial" w:hAnsi="Arial" w:cs="Arial"/>
        </w:rPr>
        <w:t xml:space="preserve">, C., </w:t>
      </w:r>
      <w:proofErr w:type="spellStart"/>
      <w:r w:rsidRPr="009345DE">
        <w:rPr>
          <w:rFonts w:ascii="Arial" w:hAnsi="Arial" w:cs="Arial"/>
        </w:rPr>
        <w:t>Perkovic</w:t>
      </w:r>
      <w:proofErr w:type="spellEnd"/>
      <w:r w:rsidRPr="009345DE">
        <w:rPr>
          <w:rFonts w:ascii="Arial" w:hAnsi="Arial" w:cs="Arial"/>
        </w:rPr>
        <w:t>, V. &amp; Mahaffey, K. (2024) ‘Cardiovascular and Kidney Outcomes Associated with GLP-1 Receptor Agonists in Type 2 Diabetes: A Systematic Review and Meta-analysis’, Circulation, 149(3), pp. 215–229.</w:t>
      </w:r>
    </w:p>
    <w:p w14:paraId="22A90875" w14:textId="77777777" w:rsidR="00D90097" w:rsidRPr="009345DE" w:rsidRDefault="00D90097" w:rsidP="009345DE">
      <w:pPr>
        <w:spacing w:line="360" w:lineRule="auto"/>
        <w:rPr>
          <w:rFonts w:ascii="Arial" w:hAnsi="Arial" w:cs="Arial"/>
        </w:rPr>
      </w:pPr>
      <w:proofErr w:type="spellStart"/>
      <w:r w:rsidRPr="009345DE">
        <w:rPr>
          <w:rFonts w:ascii="Arial" w:hAnsi="Arial" w:cs="Arial"/>
        </w:rPr>
        <w:t>Xie</w:t>
      </w:r>
      <w:proofErr w:type="spellEnd"/>
      <w:r w:rsidRPr="009345DE">
        <w:rPr>
          <w:rFonts w:ascii="Arial" w:hAnsi="Arial" w:cs="Arial"/>
        </w:rPr>
        <w:t>, J., et al. (2022) ‘Global burden of type 2 diabetes in adolescents and young adults: a systematic analysis’, The BMJ, 379, e070308.</w:t>
      </w:r>
    </w:p>
    <w:p w14:paraId="49B63630" w14:textId="77777777" w:rsidR="00D90097" w:rsidRPr="009345DE" w:rsidRDefault="00D90097" w:rsidP="009345DE">
      <w:pPr>
        <w:spacing w:line="360" w:lineRule="auto"/>
        <w:rPr>
          <w:rFonts w:ascii="Arial" w:hAnsi="Arial" w:cs="Arial"/>
        </w:rPr>
      </w:pPr>
      <w:r w:rsidRPr="009345DE">
        <w:rPr>
          <w:rFonts w:ascii="Arial" w:hAnsi="Arial" w:cs="Arial"/>
        </w:rPr>
        <w:t xml:space="preserve">Zhou, B., </w:t>
      </w:r>
      <w:proofErr w:type="spellStart"/>
      <w:r w:rsidRPr="009345DE">
        <w:rPr>
          <w:rFonts w:ascii="Arial" w:hAnsi="Arial" w:cs="Arial"/>
        </w:rPr>
        <w:t>Danaei</w:t>
      </w:r>
      <w:proofErr w:type="spellEnd"/>
      <w:r w:rsidRPr="009345DE">
        <w:rPr>
          <w:rFonts w:ascii="Arial" w:hAnsi="Arial" w:cs="Arial"/>
        </w:rPr>
        <w:t xml:space="preserve">, G., Stevens, G.A., et al. (2024) ‘Worldwide trends in diabetes prevalence, diagnosis, complications, and mortality from 1990 to 2021: a systematic </w:t>
      </w:r>
      <w:r w:rsidRPr="009345DE">
        <w:rPr>
          <w:rFonts w:ascii="Arial" w:hAnsi="Arial" w:cs="Arial"/>
        </w:rPr>
        <w:lastRenderedPageBreak/>
        <w:t>analysis for the Global Burden of Disease Study’, The Lancet, 403(10421), pp. 1990–2007.</w:t>
      </w:r>
    </w:p>
    <w:p w14:paraId="6E49A66D" w14:textId="77777777" w:rsidR="00D90097" w:rsidRPr="009345DE" w:rsidRDefault="00D90097" w:rsidP="009345DE">
      <w:pPr>
        <w:spacing w:line="360" w:lineRule="auto"/>
        <w:rPr>
          <w:rFonts w:ascii="Arial" w:hAnsi="Arial" w:cs="Arial"/>
        </w:rPr>
      </w:pPr>
      <w:r w:rsidRPr="009345DE">
        <w:rPr>
          <w:rFonts w:ascii="Arial" w:hAnsi="Arial" w:cs="Arial"/>
        </w:rPr>
        <w:t>Global Burden of Disease Diabetes Collaborators (2023) ‘Global, regional, and national burden of diabetes, 1990–2021’, The Lancet Diabetes &amp; Endocrinology, 11(12), pp. 965–987.</w:t>
      </w:r>
    </w:p>
    <w:sectPr w:rsidR="00D90097" w:rsidRPr="009345DE">
      <w:footerReference w:type="even" r:id="rId6"/>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74E79" w14:textId="77777777" w:rsidR="002440DF" w:rsidRDefault="002440DF" w:rsidP="00041BBB">
      <w:pPr>
        <w:spacing w:after="0" w:line="240" w:lineRule="auto"/>
      </w:pPr>
      <w:r>
        <w:separator/>
      </w:r>
    </w:p>
  </w:endnote>
  <w:endnote w:type="continuationSeparator" w:id="0">
    <w:p w14:paraId="179510FC" w14:textId="77777777" w:rsidR="002440DF" w:rsidRDefault="002440DF" w:rsidP="00041B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60677"/>
      <w:docPartObj>
        <w:docPartGallery w:val="Page Numbers (Bottom of Page)"/>
        <w:docPartUnique/>
      </w:docPartObj>
    </w:sdtPr>
    <w:sdtContent>
      <w:p w14:paraId="48576398" w14:textId="6F1E832B" w:rsidR="00041BBB" w:rsidRDefault="00041BBB" w:rsidP="008B6D20">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2B3DFC" w14:textId="77777777" w:rsidR="00041BBB" w:rsidRDefault="00041BBB" w:rsidP="00041BB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06629226"/>
      <w:docPartObj>
        <w:docPartGallery w:val="Page Numbers (Bottom of Page)"/>
        <w:docPartUnique/>
      </w:docPartObj>
    </w:sdtPr>
    <w:sdtContent>
      <w:p w14:paraId="501C0ECA" w14:textId="163B8DE2" w:rsidR="00041BBB" w:rsidRDefault="00041BBB" w:rsidP="008B6D20">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7A4B17" w14:textId="77777777" w:rsidR="00041BBB" w:rsidRDefault="00041BBB" w:rsidP="00041BB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230BF" w14:textId="77777777" w:rsidR="002440DF" w:rsidRDefault="002440DF" w:rsidP="00041BBB">
      <w:pPr>
        <w:spacing w:after="0" w:line="240" w:lineRule="auto"/>
      </w:pPr>
      <w:r>
        <w:separator/>
      </w:r>
    </w:p>
  </w:footnote>
  <w:footnote w:type="continuationSeparator" w:id="0">
    <w:p w14:paraId="11D29BE7" w14:textId="77777777" w:rsidR="002440DF" w:rsidRDefault="002440DF" w:rsidP="00041B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097"/>
    <w:rsid w:val="00041BBB"/>
    <w:rsid w:val="000952E1"/>
    <w:rsid w:val="000E0EED"/>
    <w:rsid w:val="00127B3B"/>
    <w:rsid w:val="002440DF"/>
    <w:rsid w:val="00267EC6"/>
    <w:rsid w:val="00402572"/>
    <w:rsid w:val="00735B27"/>
    <w:rsid w:val="00842B3B"/>
    <w:rsid w:val="00845973"/>
    <w:rsid w:val="0087513D"/>
    <w:rsid w:val="008B6D1D"/>
    <w:rsid w:val="008B740F"/>
    <w:rsid w:val="00924D90"/>
    <w:rsid w:val="009345DE"/>
    <w:rsid w:val="009E28C9"/>
    <w:rsid w:val="00A84619"/>
    <w:rsid w:val="00AE1C3F"/>
    <w:rsid w:val="00D90097"/>
    <w:rsid w:val="00E76B05"/>
    <w:rsid w:val="00F0242B"/>
    <w:rsid w:val="00F42CFB"/>
    <w:rsid w:val="00F64B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644E26"/>
  <w15:chartTrackingRefBased/>
  <w15:docId w15:val="{B8AF24E6-C0DA-9941-8A86-772F0A750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00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00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00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00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00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00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00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00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00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0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00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00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00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00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00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00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00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0097"/>
    <w:rPr>
      <w:rFonts w:eastAsiaTheme="majorEastAsia" w:cstheme="majorBidi"/>
      <w:color w:val="272727" w:themeColor="text1" w:themeTint="D8"/>
    </w:rPr>
  </w:style>
  <w:style w:type="paragraph" w:styleId="Title">
    <w:name w:val="Title"/>
    <w:basedOn w:val="Normal"/>
    <w:next w:val="Normal"/>
    <w:link w:val="TitleChar"/>
    <w:uiPriority w:val="10"/>
    <w:qFormat/>
    <w:rsid w:val="00D900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00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00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00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0097"/>
    <w:pPr>
      <w:spacing w:before="160"/>
      <w:jc w:val="center"/>
    </w:pPr>
    <w:rPr>
      <w:i/>
      <w:iCs/>
      <w:color w:val="404040" w:themeColor="text1" w:themeTint="BF"/>
    </w:rPr>
  </w:style>
  <w:style w:type="character" w:customStyle="1" w:styleId="QuoteChar">
    <w:name w:val="Quote Char"/>
    <w:basedOn w:val="DefaultParagraphFont"/>
    <w:link w:val="Quote"/>
    <w:uiPriority w:val="29"/>
    <w:rsid w:val="00D90097"/>
    <w:rPr>
      <w:i/>
      <w:iCs/>
      <w:color w:val="404040" w:themeColor="text1" w:themeTint="BF"/>
    </w:rPr>
  </w:style>
  <w:style w:type="paragraph" w:styleId="ListParagraph">
    <w:name w:val="List Paragraph"/>
    <w:basedOn w:val="Normal"/>
    <w:uiPriority w:val="34"/>
    <w:qFormat/>
    <w:rsid w:val="00D90097"/>
    <w:pPr>
      <w:ind w:left="720"/>
      <w:contextualSpacing/>
    </w:pPr>
  </w:style>
  <w:style w:type="character" w:styleId="IntenseEmphasis">
    <w:name w:val="Intense Emphasis"/>
    <w:basedOn w:val="DefaultParagraphFont"/>
    <w:uiPriority w:val="21"/>
    <w:qFormat/>
    <w:rsid w:val="00D90097"/>
    <w:rPr>
      <w:i/>
      <w:iCs/>
      <w:color w:val="0F4761" w:themeColor="accent1" w:themeShade="BF"/>
    </w:rPr>
  </w:style>
  <w:style w:type="paragraph" w:styleId="IntenseQuote">
    <w:name w:val="Intense Quote"/>
    <w:basedOn w:val="Normal"/>
    <w:next w:val="Normal"/>
    <w:link w:val="IntenseQuoteChar"/>
    <w:uiPriority w:val="30"/>
    <w:qFormat/>
    <w:rsid w:val="00D900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0097"/>
    <w:rPr>
      <w:i/>
      <w:iCs/>
      <w:color w:val="0F4761" w:themeColor="accent1" w:themeShade="BF"/>
    </w:rPr>
  </w:style>
  <w:style w:type="character" w:styleId="IntenseReference">
    <w:name w:val="Intense Reference"/>
    <w:basedOn w:val="DefaultParagraphFont"/>
    <w:uiPriority w:val="32"/>
    <w:qFormat/>
    <w:rsid w:val="00D90097"/>
    <w:rPr>
      <w:b/>
      <w:bCs/>
      <w:smallCaps/>
      <w:color w:val="0F4761" w:themeColor="accent1" w:themeShade="BF"/>
      <w:spacing w:val="5"/>
    </w:rPr>
  </w:style>
  <w:style w:type="paragraph" w:styleId="Header">
    <w:name w:val="header"/>
    <w:basedOn w:val="Normal"/>
    <w:link w:val="HeaderChar"/>
    <w:uiPriority w:val="99"/>
    <w:unhideWhenUsed/>
    <w:rsid w:val="00041B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1BBB"/>
  </w:style>
  <w:style w:type="paragraph" w:styleId="Footer">
    <w:name w:val="footer"/>
    <w:basedOn w:val="Normal"/>
    <w:link w:val="FooterChar"/>
    <w:uiPriority w:val="99"/>
    <w:unhideWhenUsed/>
    <w:rsid w:val="00041B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1BBB"/>
  </w:style>
  <w:style w:type="character" w:styleId="PageNumber">
    <w:name w:val="page number"/>
    <w:basedOn w:val="DefaultParagraphFont"/>
    <w:uiPriority w:val="99"/>
    <w:semiHidden/>
    <w:unhideWhenUsed/>
    <w:rsid w:val="00041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2.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TotalTime>
  <Pages>8</Pages>
  <Words>1417</Words>
  <Characters>8082</Characters>
  <Application>Microsoft Office Word</Application>
  <DocSecurity>0</DocSecurity>
  <Lines>67</Lines>
  <Paragraphs>18</Paragraphs>
  <ScaleCrop>false</ScaleCrop>
  <Company/>
  <LinksUpToDate>false</LinksUpToDate>
  <CharactersWithSpaces>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Shellymae Mulcare</dc:creator>
  <cp:keywords/>
  <dc:description/>
  <cp:lastModifiedBy>Shellymae Mulcare</cp:lastModifiedBy>
  <cp:revision>23</cp:revision>
  <dcterms:created xsi:type="dcterms:W3CDTF">2025-11-17T23:21:00Z</dcterms:created>
  <dcterms:modified xsi:type="dcterms:W3CDTF">2025-11-18T00:26:00Z</dcterms:modified>
</cp:coreProperties>
</file>