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57F3140" w:rsidR="7908378C" w:rsidRDefault="7908378C" w:rsidP="33572C6E">
            <w:pPr>
              <w:ind w:right="237"/>
              <w:rPr>
                <w:b/>
                <w:bCs/>
                <w:color w:val="auto"/>
                <w:sz w:val="32"/>
                <w:szCs w:val="32"/>
              </w:rPr>
            </w:pPr>
            <w:r w:rsidRPr="33572C6E">
              <w:rPr>
                <w:b/>
                <w:bCs/>
                <w:color w:val="auto"/>
                <w:sz w:val="32"/>
                <w:szCs w:val="32"/>
              </w:rPr>
              <w:t xml:space="preserve">Learner name: </w:t>
            </w:r>
            <w:r w:rsidR="00DF0597">
              <w:rPr>
                <w:b/>
                <w:bCs/>
                <w:color w:val="auto"/>
                <w:sz w:val="32"/>
                <w:szCs w:val="32"/>
              </w:rPr>
              <w:t>Evan Meadows</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0309E046" w:rsidR="7908378C" w:rsidRDefault="00DF0597" w:rsidP="33572C6E">
            <w:pPr>
              <w:ind w:right="237"/>
              <w:rPr>
                <w:b/>
                <w:bCs/>
                <w:color w:val="auto"/>
                <w:sz w:val="32"/>
                <w:szCs w:val="32"/>
              </w:rPr>
            </w:pPr>
            <w:r>
              <w:rPr>
                <w:b/>
                <w:bCs/>
                <w:color w:val="auto"/>
                <w:sz w:val="32"/>
                <w:szCs w:val="32"/>
              </w:rPr>
              <w:t>2029406</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552D6D"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5F4CCD4A" w14:textId="3166DFC0" w:rsidR="000325D9" w:rsidRPr="00DF0597" w:rsidRDefault="000325D9" w:rsidP="00DF0597">
      <w:pPr>
        <w:overflowPunct/>
        <w:autoSpaceDE/>
        <w:autoSpaceDN/>
        <w:adjustRightInd/>
        <w:ind w:right="237"/>
        <w:textAlignment w:val="auto"/>
        <w:rPr>
          <w:b/>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lastRenderedPageBreak/>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2DA36B43" w14:textId="52A28CC9" w:rsidR="007C1D94" w:rsidRPr="00E676F7" w:rsidRDefault="007C1D94" w:rsidP="00340E9A">
      <w:pPr>
        <w:ind w:right="237"/>
        <w:rPr>
          <w:b/>
          <w:sz w:val="24"/>
          <w:szCs w:val="24"/>
        </w:rPr>
      </w:pP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6F74A7BB" w14:textId="2F3327A1" w:rsidR="00446F80" w:rsidRPr="0071499F" w:rsidRDefault="00446F80" w:rsidP="00AB13E0">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1C5E834A" w14:textId="77777777" w:rsidR="003565AD" w:rsidRDefault="003565AD" w:rsidP="5B843AF0">
      <w:pPr>
        <w:ind w:right="237"/>
        <w:jc w:val="center"/>
        <w:rPr>
          <w:rFonts w:eastAsia="Arial"/>
          <w:b/>
          <w:bCs/>
          <w:color w:val="000000" w:themeColor="text1"/>
          <w:sz w:val="24"/>
          <w:szCs w:val="24"/>
        </w:rPr>
      </w:pPr>
    </w:p>
    <w:p w14:paraId="45AC6C53" w14:textId="77777777" w:rsidR="003565AD" w:rsidRDefault="003565AD" w:rsidP="5B843AF0">
      <w:pPr>
        <w:ind w:right="237"/>
        <w:jc w:val="center"/>
        <w:rPr>
          <w:rFonts w:eastAsia="Arial"/>
          <w:b/>
          <w:bCs/>
          <w:color w:val="000000" w:themeColor="text1"/>
          <w:sz w:val="24"/>
          <w:szCs w:val="24"/>
        </w:rPr>
      </w:pPr>
    </w:p>
    <w:p w14:paraId="499164B8" w14:textId="77777777" w:rsidR="003565AD" w:rsidRDefault="003565AD" w:rsidP="5B843AF0">
      <w:pPr>
        <w:ind w:right="237"/>
        <w:jc w:val="center"/>
        <w:rPr>
          <w:rFonts w:eastAsia="Arial"/>
          <w:b/>
          <w:bCs/>
          <w:color w:val="000000" w:themeColor="text1"/>
          <w:sz w:val="24"/>
          <w:szCs w:val="24"/>
        </w:rPr>
      </w:pPr>
    </w:p>
    <w:p w14:paraId="2FD6D6DF" w14:textId="77777777" w:rsidR="003565AD" w:rsidRDefault="003565AD" w:rsidP="5B843AF0">
      <w:pPr>
        <w:ind w:right="237"/>
        <w:jc w:val="center"/>
        <w:rPr>
          <w:rFonts w:eastAsia="Arial"/>
          <w:b/>
          <w:bCs/>
          <w:color w:val="000000" w:themeColor="text1"/>
          <w:sz w:val="24"/>
          <w:szCs w:val="24"/>
        </w:rPr>
      </w:pPr>
    </w:p>
    <w:p w14:paraId="2AB8454C" w14:textId="77777777" w:rsidR="003565AD" w:rsidRDefault="003565AD" w:rsidP="5B843AF0">
      <w:pPr>
        <w:ind w:right="237"/>
        <w:jc w:val="center"/>
        <w:rPr>
          <w:rFonts w:eastAsia="Arial"/>
          <w:b/>
          <w:bCs/>
          <w:color w:val="000000" w:themeColor="text1"/>
          <w:sz w:val="24"/>
          <w:szCs w:val="24"/>
        </w:rPr>
      </w:pPr>
    </w:p>
    <w:p w14:paraId="1A072111" w14:textId="77777777" w:rsidR="003565AD" w:rsidRDefault="003565AD" w:rsidP="5B843AF0">
      <w:pPr>
        <w:ind w:right="237"/>
        <w:jc w:val="center"/>
        <w:rPr>
          <w:rFonts w:eastAsia="Arial"/>
          <w:b/>
          <w:bCs/>
          <w:color w:val="000000" w:themeColor="text1"/>
          <w:sz w:val="24"/>
          <w:szCs w:val="24"/>
        </w:rPr>
      </w:pPr>
    </w:p>
    <w:p w14:paraId="0863BD4A" w14:textId="77777777" w:rsidR="003565AD" w:rsidRDefault="003565AD" w:rsidP="5B843AF0">
      <w:pPr>
        <w:ind w:right="237"/>
        <w:jc w:val="center"/>
        <w:rPr>
          <w:rFonts w:eastAsia="Arial"/>
          <w:b/>
          <w:bCs/>
          <w:color w:val="000000" w:themeColor="text1"/>
          <w:sz w:val="24"/>
          <w:szCs w:val="24"/>
        </w:rPr>
      </w:pPr>
    </w:p>
    <w:p w14:paraId="0C948C45" w14:textId="1E8C5348"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r w:rsidR="00641F00" w:rsidRPr="00E676F7" w14:paraId="65A769E6" w14:textId="77777777" w:rsidTr="5CE196A1">
        <w:tc>
          <w:tcPr>
            <w:tcW w:w="10188" w:type="dxa"/>
            <w:shd w:val="clear" w:color="auto" w:fill="auto"/>
          </w:tcPr>
          <w:p w14:paraId="0D8FEDEE" w14:textId="77777777" w:rsidR="00641F00" w:rsidRPr="00E676F7" w:rsidRDefault="00641F00" w:rsidP="00C614CF">
            <w:pPr>
              <w:ind w:right="237"/>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6A9B729C" w14:textId="77777777" w:rsidR="00EF695A" w:rsidRPr="00EF695A" w:rsidRDefault="00EF695A" w:rsidP="00EF695A">
      <w:pPr>
        <w:pStyle w:val="NoSpacing"/>
        <w:spacing w:line="360" w:lineRule="auto"/>
        <w:rPr>
          <w:sz w:val="22"/>
          <w:szCs w:val="22"/>
        </w:rPr>
      </w:pPr>
      <w:r w:rsidRPr="00EF695A">
        <w:rPr>
          <w:sz w:val="22"/>
          <w:szCs w:val="22"/>
        </w:rPr>
        <w:t>In the course of my policing duties, I have had numerous dealings with victims of both crime and of anti-social behaviour. It is important when dealing with to remember that everybody is different and due to this will have different needs which should be supported throughout the investigation. Some groups of people are inherently vulnerable, such as children or people suffering with their mental health (UK Government, 2015). This means that when dealing with an offence with a child victim or a victim who falls into any different category of vulnerability then considerations should be made for how to support that person and their needs throughout the entirety of the investigation.</w:t>
      </w:r>
    </w:p>
    <w:p w14:paraId="6888C7BA" w14:textId="77777777" w:rsidR="00EF695A" w:rsidRPr="00EF695A" w:rsidRDefault="00EF695A" w:rsidP="00EF695A">
      <w:pPr>
        <w:pStyle w:val="NoSpacing"/>
        <w:spacing w:line="360" w:lineRule="auto"/>
        <w:rPr>
          <w:sz w:val="22"/>
          <w:szCs w:val="22"/>
        </w:rPr>
      </w:pPr>
    </w:p>
    <w:p w14:paraId="62630A7A" w14:textId="77777777" w:rsidR="00EF695A" w:rsidRPr="00EF695A" w:rsidRDefault="00EF695A" w:rsidP="00EF695A">
      <w:pPr>
        <w:pStyle w:val="NoSpacing"/>
        <w:spacing w:line="360" w:lineRule="auto"/>
        <w:rPr>
          <w:sz w:val="22"/>
          <w:szCs w:val="22"/>
        </w:rPr>
      </w:pPr>
      <w:r w:rsidRPr="00EF695A">
        <w:rPr>
          <w:sz w:val="22"/>
          <w:szCs w:val="22"/>
        </w:rPr>
        <w:t xml:space="preserve">An example of an incident in which I have played a significant role with a victim was an assault on a child by another child while they were playing together in the summer holidays, this was reported by a third party. The third party reported having seen the child being attacked with a stick before being pushed to the floor and his head bouncing off the floor. The reporting person said that both of the involved parties were children, and that the perpetrator was slightly older than the victim. The reporting person did not know either of the children but escorted the victim home so that we were able to ascertain an address for him. Upon visiting the address, it was clear that the victim’s mother was not expecting this kind of thing to happen but equally did not wish to have the other boy arrested, due to his age. </w:t>
      </w:r>
      <w:r w:rsidRPr="00EF695A">
        <w:rPr>
          <w:sz w:val="22"/>
          <w:szCs w:val="22"/>
        </w:rPr>
        <w:lastRenderedPageBreak/>
        <w:t>Alternative means of dealing with the matter were discussed with the victim’s mother and she agreed that the Restorative Justice approach would be the most appropriate course of action that she would like to accept and take forward.</w:t>
      </w:r>
    </w:p>
    <w:p w14:paraId="0C95D758" w14:textId="77777777" w:rsidR="00EF695A" w:rsidRPr="00EF695A" w:rsidRDefault="00EF695A" w:rsidP="00EF695A">
      <w:pPr>
        <w:pStyle w:val="NoSpacing"/>
        <w:spacing w:line="360" w:lineRule="auto"/>
        <w:rPr>
          <w:sz w:val="22"/>
          <w:szCs w:val="22"/>
        </w:rPr>
      </w:pPr>
    </w:p>
    <w:p w14:paraId="6B730975" w14:textId="77777777" w:rsidR="00EF695A" w:rsidRPr="00EF695A" w:rsidRDefault="00EF695A" w:rsidP="00EF695A">
      <w:pPr>
        <w:pStyle w:val="NoSpacing"/>
        <w:spacing w:line="360" w:lineRule="auto"/>
        <w:rPr>
          <w:sz w:val="22"/>
          <w:szCs w:val="22"/>
        </w:rPr>
      </w:pPr>
      <w:r w:rsidRPr="00EF695A">
        <w:rPr>
          <w:sz w:val="22"/>
          <w:szCs w:val="22"/>
        </w:rPr>
        <w:t>Restorative Justice is the process of police officers explaining the nature of an allegation to a suspect and seeing what they have to say about it, in South Wales Police this is done as a method of obtaining a positive outcome without arresting and interviewing someone for an offence. If the offender admits to the offence that they have been accused of, then they are asked to sign an official apology for the act to the victim separately of the victim. The victim then signs to say that they accept the apology, again separately from the suspect. The Restorative Justice process can only happen once per offence type or per victim, so if the perpetrator was found to have done the same again to a different victim then they would no longer be eligible, and equally if the perpetrator did anything else to the same victim then again they would no longer be eligible (Crown Prosecution Service, 2019).</w:t>
      </w:r>
    </w:p>
    <w:p w14:paraId="373EBA13" w14:textId="77777777" w:rsidR="00EF695A" w:rsidRPr="00EF695A" w:rsidRDefault="00EF695A" w:rsidP="00EF695A">
      <w:pPr>
        <w:pStyle w:val="NoSpacing"/>
        <w:spacing w:line="360" w:lineRule="auto"/>
        <w:rPr>
          <w:sz w:val="22"/>
          <w:szCs w:val="22"/>
        </w:rPr>
      </w:pPr>
    </w:p>
    <w:p w14:paraId="7C754C61" w14:textId="77777777" w:rsidR="00EF695A" w:rsidRPr="00EF695A" w:rsidRDefault="00EF695A" w:rsidP="00EF695A">
      <w:pPr>
        <w:pStyle w:val="NoSpacing"/>
        <w:spacing w:line="360" w:lineRule="auto"/>
        <w:rPr>
          <w:sz w:val="22"/>
          <w:szCs w:val="22"/>
        </w:rPr>
      </w:pPr>
      <w:r w:rsidRPr="00EF695A">
        <w:rPr>
          <w:sz w:val="22"/>
          <w:szCs w:val="22"/>
        </w:rPr>
        <w:t>Due to both of the involved parties in this offence being legally children due to their ages, they both needed to be spoken to with Appropriate Adults present when police attended. Appropriate Adults are a tool to make sure that vulnerable people understand what is happening when the police are involved in a matter, they ensure that the person being spoken to in the matter, in this case children, have a full understanding of what is being said to them or what they are saying themselves. Appropriate Adults are a fundamental part of the justice process when calls police deal with relate to either child victims or child suspects, in the above case I was able to use each of the boys mothers as the Appropriate Adult for each of them as they had not seen what had happened and had not been involved in any way (Home Office, 2011). This is one of the most effective methods of dealing with vulnerable people through the justice process as it allows the police and other partner agencies such as the Crown Prosecution Service (CPS) to ensure that all those who are involved in the offence are fully aware and understand completely what has happened and what is going to happen throughout the process.</w:t>
      </w:r>
    </w:p>
    <w:p w14:paraId="3B003181" w14:textId="77777777" w:rsidR="00EF695A" w:rsidRPr="00EF695A" w:rsidRDefault="00EF695A" w:rsidP="00EF695A">
      <w:pPr>
        <w:pStyle w:val="NoSpacing"/>
        <w:spacing w:line="360" w:lineRule="auto"/>
        <w:rPr>
          <w:sz w:val="22"/>
          <w:szCs w:val="22"/>
        </w:rPr>
      </w:pPr>
    </w:p>
    <w:p w14:paraId="1177FCE8" w14:textId="77777777" w:rsidR="00EF695A" w:rsidRPr="00EF695A" w:rsidRDefault="00EF695A" w:rsidP="00EF695A">
      <w:pPr>
        <w:pStyle w:val="NoSpacing"/>
        <w:spacing w:line="360" w:lineRule="auto"/>
        <w:rPr>
          <w:sz w:val="22"/>
          <w:szCs w:val="22"/>
        </w:rPr>
      </w:pPr>
      <w:r w:rsidRPr="00EF695A">
        <w:rPr>
          <w:sz w:val="22"/>
          <w:szCs w:val="22"/>
        </w:rPr>
        <w:t xml:space="preserve">With the Restorative Justice method, even when utilising an Appropriate Adult, there is still the risk that the perpetrator would not fully grasp the gravity of the situation and what has actually been alleged. This could lead to the perpetrator repeating the behaviour because they do not necessarily acknowledge that what they did was wrong, or now believe that the consequences of their actions are lesser due to their age. However, it does meet a requirement to take a positive approach to crime while at the same time not criminalising a juvenile who may have made this one mistake and could go on to learn from having </w:t>
      </w:r>
      <w:r w:rsidRPr="00EF695A">
        <w:rPr>
          <w:sz w:val="22"/>
          <w:szCs w:val="22"/>
        </w:rPr>
        <w:lastRenderedPageBreak/>
        <w:t>Restorative Justice being used as an official warning. The Restorative Justice puts it on record that they have admitted to the offence and apologised for it, meaning that any further commission of offences can be dealt with more seriously due to the presence of one Restorative Justice already existing on that person’s record. If the gravity of this is explained to the child/perpetrator, then there is a possibility to mitigate the risk of reoffending as they may be more likely to understand that if there were other reports of the same behaviour then they are more likely to be arrested and potentially charged. The presence of an Appropriate Adult makes this more likely due to having a person who either knows the child personally or is a professional Appropriate Adult and deals with the same circumstances regularly. This ensures that the parties will actually understand the circumstances.</w:t>
      </w:r>
    </w:p>
    <w:p w14:paraId="432DF7FE" w14:textId="77777777" w:rsidR="00EF695A" w:rsidRPr="00EF695A" w:rsidRDefault="00EF695A" w:rsidP="00EF695A">
      <w:pPr>
        <w:pStyle w:val="NoSpacing"/>
        <w:spacing w:line="360" w:lineRule="auto"/>
        <w:rPr>
          <w:sz w:val="22"/>
          <w:szCs w:val="22"/>
        </w:rPr>
      </w:pPr>
    </w:p>
    <w:p w14:paraId="558FAF74" w14:textId="77777777" w:rsidR="00EF695A" w:rsidRPr="00EF695A" w:rsidRDefault="00EF695A" w:rsidP="00EF695A">
      <w:pPr>
        <w:pStyle w:val="NoSpacing"/>
        <w:spacing w:line="360" w:lineRule="auto"/>
        <w:rPr>
          <w:sz w:val="22"/>
          <w:szCs w:val="22"/>
        </w:rPr>
      </w:pPr>
      <w:r w:rsidRPr="00EF695A">
        <w:rPr>
          <w:sz w:val="22"/>
          <w:szCs w:val="22"/>
        </w:rPr>
        <w:t>Another way that the police ensure that they get the best possible evidential material from vulnerable witnesses or victims, as well as ensuring that vulnerable victims are properly supported, is that of ABE Interviews (Achieving Best Evidence). This is where, in particular offences or with specific vulnerabilities, the victim is subject to a recorded interview which can be played out in court rather than that victim providing a written statement to police. The benefits of an ABE interview are that the victim’s true emotions can be captured in a much more substantial way than in a written statement, the victim still has access to an Appropriate Adult where necessary, so the full understanding of the victim is still maintained, and their rights are still administered to. By conducting ABE interviews, it can make the prospect of prosecution stronger and can help lead to longer sentencing due to the raw nature of the emotions being expressed while giving their evidence on the recording. ABE interviews take into account the totality of the circumstance of any given police report and so are not used in every case with vulnerability, however when they are needed they can offer the victim the best possible results in a criminal matter (Smith &amp; Shaw, 2022). In the above scenario, an ABE interview was not required due to the victim and his mother being happy with the Restorative Justice Process. Had the victim and his mother not wanted to use Restorative Justice in this case, then the use of an ABE would have likely been dependant on the level of injuries sustained, as well as the other individual facts of the case. Due to the victim’s age (6 years old) it is likely that an ABE interview would have been necessary to obtain the best possible evidence as well as to correctly support his as a victim.</w:t>
      </w:r>
    </w:p>
    <w:p w14:paraId="044AC95D" w14:textId="77777777" w:rsidR="00EF695A" w:rsidRPr="00EF695A" w:rsidRDefault="00EF695A" w:rsidP="00EF695A">
      <w:pPr>
        <w:pStyle w:val="NoSpacing"/>
        <w:spacing w:line="360" w:lineRule="auto"/>
        <w:rPr>
          <w:sz w:val="22"/>
          <w:szCs w:val="22"/>
        </w:rPr>
      </w:pPr>
    </w:p>
    <w:p w14:paraId="441BAE8E" w14:textId="77777777" w:rsidR="00EF695A" w:rsidRPr="00EF695A" w:rsidRDefault="00EF695A" w:rsidP="00EF695A">
      <w:pPr>
        <w:pStyle w:val="NoSpacing"/>
        <w:spacing w:line="360" w:lineRule="auto"/>
        <w:rPr>
          <w:sz w:val="22"/>
          <w:szCs w:val="22"/>
        </w:rPr>
      </w:pPr>
      <w:r w:rsidRPr="00EF695A">
        <w:rPr>
          <w:sz w:val="22"/>
          <w:szCs w:val="22"/>
        </w:rPr>
        <w:t xml:space="preserve">The Code of Ethics (College of Policing, 2014) sets out a clear structure for the expected behaviour and conduct of police officers across the UK, this means that whenever police officers respond to any sort of call they should do so in a professional manner. When dealing with vulnerable members of the public, it can assist the members of public as well as the police officers to ensure that this Code of Ethics is followed. The third element of the Code of </w:t>
      </w:r>
      <w:r w:rsidRPr="00EF695A">
        <w:rPr>
          <w:sz w:val="22"/>
          <w:szCs w:val="22"/>
        </w:rPr>
        <w:lastRenderedPageBreak/>
        <w:t>Ethics is ‘Equality and Diversity’ which ensures that officers will not act in an unfair manner, and they will ensure that they take into account equality in the way they deal with incidents. Police officers should consider the full circumstances of any case before them so that they can ensure they are dealing with it in a fair and competent manner, this includes aspects as explained above such as using ABE interviews as well as the introduction of Appropriate Adults into the justice process.</w:t>
      </w:r>
    </w:p>
    <w:p w14:paraId="75045925" w14:textId="77777777" w:rsidR="00EF695A" w:rsidRPr="00EF695A" w:rsidRDefault="00EF695A" w:rsidP="00EF695A">
      <w:pPr>
        <w:pStyle w:val="NoSpacing"/>
        <w:spacing w:line="360" w:lineRule="auto"/>
        <w:rPr>
          <w:sz w:val="22"/>
          <w:szCs w:val="22"/>
        </w:rPr>
      </w:pPr>
    </w:p>
    <w:p w14:paraId="42DCDF4C" w14:textId="77777777" w:rsidR="00EF695A" w:rsidRPr="00EF695A" w:rsidRDefault="00EF695A" w:rsidP="00EF695A">
      <w:pPr>
        <w:pStyle w:val="NoSpacing"/>
        <w:spacing w:line="360" w:lineRule="auto"/>
        <w:rPr>
          <w:sz w:val="22"/>
          <w:szCs w:val="22"/>
        </w:rPr>
      </w:pPr>
      <w:r w:rsidRPr="00EF695A">
        <w:rPr>
          <w:sz w:val="22"/>
          <w:szCs w:val="22"/>
        </w:rPr>
        <w:t>Evidence Based Policing (College of Policing, 2022) is another method utilised by police services across the country to tackle repeat victimisation. This is a method of policing which looks both at the individual circumstances of a case as well as anything which has worked in the immediate area to tackle repeat issues of a similar nature. This allows police to compare and contrast similar cases with similar suspects or victims to ensure that the aspects of a solution which have worked with those cases are used to help with the new case. For example, if Restorative Justice is found to work well with child offenders of a certain age group and for offences of a similar nature then it is clearly evidentially found to work for these kinds of cases.</w:t>
      </w:r>
    </w:p>
    <w:p w14:paraId="2E6F2E04" w14:textId="77777777" w:rsidR="00EF695A" w:rsidRPr="00EF695A" w:rsidRDefault="00EF695A" w:rsidP="00EF695A">
      <w:pPr>
        <w:pStyle w:val="NoSpacing"/>
        <w:spacing w:line="360" w:lineRule="auto"/>
        <w:rPr>
          <w:sz w:val="22"/>
          <w:szCs w:val="22"/>
        </w:rPr>
      </w:pPr>
    </w:p>
    <w:p w14:paraId="7A452D43" w14:textId="77777777" w:rsidR="00EF695A" w:rsidRPr="00EF695A" w:rsidRDefault="00EF695A" w:rsidP="00EF695A">
      <w:pPr>
        <w:pStyle w:val="NoSpacing"/>
        <w:spacing w:line="360" w:lineRule="auto"/>
        <w:rPr>
          <w:sz w:val="22"/>
          <w:szCs w:val="22"/>
        </w:rPr>
      </w:pPr>
      <w:r w:rsidRPr="00EF695A">
        <w:rPr>
          <w:sz w:val="22"/>
          <w:szCs w:val="22"/>
        </w:rPr>
        <w:t>Vulnerability is defined by the College of Policing using the ‘THRIVE Model’ (2021). THRIVE is a model which takes into account Threat, Harm, Risk, Investigation, Vulnerability and Engagement, this means that the case can be assessed on an individual level taking into account each of the relevant elements to ensure that the police response to an incident is conducted on an appropriate scale with an individual focus. Taking vulnerability into account when responding to incidents means that officers can prepare in advance for the individual circumstances, adjusting any attitudes and approaches taken by the officers before they arrive on scene. In the above outlined scenario, before I attended at the scene of the assault and before speaking to the victim and suspect with their Appropriate Adults, I took into account the ages of both the suspect and the victim. Speaking to the victim and his Appropriate Adult first ensured that I could meet their needs in terms of how the investigation was progressed, and also allowed the alternative processes to arrest, such as Restorative Justice, to be explained in full. Restorative Justice was the most suitable solution for the investigation due to the age of the suspect in the case, as criminalising a young child could have negative effects in the future. Adversely, Restorative Justice allowed the case to be explained to the suspect in front of his Appropriate Adult and the severity of the situation to be explained in a way which the suspect was more likely to understand. In line with THRIVE, this means that each individual circumstance of the case was taken into account before a decision was made, and the Evidence Based Policing model was also able to be followed, administering a solution which was more suitable.</w:t>
      </w:r>
    </w:p>
    <w:p w14:paraId="4AE64D10" w14:textId="77777777" w:rsidR="00EF695A" w:rsidRPr="00EF695A" w:rsidRDefault="00EF695A" w:rsidP="00EF695A">
      <w:pPr>
        <w:pStyle w:val="NoSpacing"/>
        <w:spacing w:line="360" w:lineRule="auto"/>
        <w:rPr>
          <w:sz w:val="22"/>
          <w:szCs w:val="22"/>
        </w:rPr>
      </w:pPr>
    </w:p>
    <w:p w14:paraId="0027440B" w14:textId="77777777" w:rsidR="00EF695A" w:rsidRPr="00EF695A" w:rsidRDefault="00EF695A" w:rsidP="00EF695A">
      <w:pPr>
        <w:pStyle w:val="NoSpacing"/>
        <w:spacing w:line="360" w:lineRule="auto"/>
        <w:rPr>
          <w:sz w:val="22"/>
          <w:szCs w:val="22"/>
        </w:rPr>
      </w:pPr>
      <w:r w:rsidRPr="00EF695A">
        <w:rPr>
          <w:sz w:val="22"/>
          <w:szCs w:val="22"/>
        </w:rPr>
        <w:t>Overall, the police services in the UK are likely to come across vulnerability and risk on a near daily basis, this involves both the victims and the suspects in cases such as Anti-Social Behaviour as well as in crimes. Police officers are likely to respond to calls where they will need to take vulnerability into account and adjust their methods of dealing with the members of public who will be present at the call. There are a number of outcomes available to police officers in how to deal with calls, not all positive outcomes involve criminalising or arresting individuals and there are a number of ways to take vulnerability and risk into account when dealing with both the victims and suspects of Anti-Social Behaviour or criminal matters. Some methods are more appropriate than others depending on the individual circumstances of any call, including the nature of any alleged offences, the involved individuals and any other vulnerabilities such as age, health conditions or mental health conditions of the involved parties and any outcome officers decide on should weigh all of these factors up before a decision is reached, for the welfare of anyone involved and to ensure that victims are receiving the best care possible.</w:t>
      </w:r>
    </w:p>
    <w:p w14:paraId="1E96D16A" w14:textId="01F342EE" w:rsidR="5B843AF0" w:rsidRDefault="5B843AF0" w:rsidP="00075B18">
      <w:pPr>
        <w:ind w:right="237"/>
        <w:rPr>
          <w:b/>
          <w:bCs/>
          <w:sz w:val="24"/>
          <w:szCs w:val="24"/>
        </w:rPr>
      </w:pPr>
    </w:p>
    <w:p w14:paraId="6C5B4F05" w14:textId="08C5A067" w:rsidR="00EF695A" w:rsidRPr="00E676F7" w:rsidRDefault="00EF695A" w:rsidP="00075B18">
      <w:pPr>
        <w:ind w:right="237"/>
        <w:rPr>
          <w:b/>
          <w:bCs/>
          <w:sz w:val="24"/>
          <w:szCs w:val="24"/>
        </w:rPr>
      </w:pPr>
      <w:r>
        <w:rPr>
          <w:b/>
          <w:bCs/>
          <w:sz w:val="24"/>
          <w:szCs w:val="24"/>
        </w:rPr>
        <w:t>2024 Words</w:t>
      </w:r>
    </w:p>
    <w:p w14:paraId="5A14BEB8" w14:textId="69952D76" w:rsidR="5B843AF0" w:rsidRPr="00E676F7" w:rsidRDefault="5B843AF0" w:rsidP="5B843AF0">
      <w:pPr>
        <w:ind w:right="237"/>
        <w:jc w:val="center"/>
        <w:rPr>
          <w:b/>
          <w:bCs/>
          <w:sz w:val="24"/>
          <w:szCs w:val="24"/>
        </w:rPr>
      </w:pPr>
    </w:p>
    <w:p w14:paraId="2598748B" w14:textId="317DB806" w:rsidR="69F7424F" w:rsidRDefault="00E676F7" w:rsidP="003A101F">
      <w:pPr>
        <w:overflowPunct/>
        <w:autoSpaceDE/>
        <w:autoSpaceDN/>
        <w:adjustRightInd/>
        <w:textAlignment w:val="auto"/>
        <w:rPr>
          <w:b/>
          <w:bCs/>
          <w:sz w:val="24"/>
          <w:szCs w:val="24"/>
        </w:rPr>
      </w:pPr>
      <w:r w:rsidRPr="5CE196A1">
        <w:rPr>
          <w:b/>
          <w:bCs/>
          <w:sz w:val="24"/>
          <w:szCs w:val="24"/>
        </w:rPr>
        <w:br w:type="page"/>
      </w: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answer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3A8A1016" w14:textId="0D63309B" w:rsidR="0FF883D4" w:rsidRPr="003A101F"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74C72E6"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1AE08AFE" w:rsidR="005C76DE" w:rsidRPr="00E676F7" w:rsidRDefault="00DF0597" w:rsidP="5CE196A1">
      <w:pPr>
        <w:ind w:right="237"/>
        <w:jc w:val="both"/>
        <w:rPr>
          <w:b/>
          <w:bCs/>
          <w:sz w:val="24"/>
          <w:szCs w:val="24"/>
        </w:rPr>
      </w:pPr>
      <w:r>
        <w:rPr>
          <w:b/>
          <w:bCs/>
          <w:sz w:val="24"/>
          <w:szCs w:val="24"/>
        </w:rPr>
        <w:t xml:space="preserve"> </w:t>
      </w:r>
      <w:r w:rsidR="005C76DE" w:rsidRPr="5CE196A1">
        <w:rPr>
          <w:b/>
          <w:bCs/>
          <w:sz w:val="24"/>
          <w:szCs w:val="24"/>
        </w:rPr>
        <w:t>ANSWER:</w:t>
      </w:r>
    </w:p>
    <w:p w14:paraId="1E05796E" w14:textId="77777777" w:rsidR="005C76DE" w:rsidRPr="00E676F7" w:rsidRDefault="005C76DE" w:rsidP="005C76DE">
      <w:pPr>
        <w:ind w:right="237"/>
        <w:jc w:val="both"/>
        <w:rPr>
          <w:sz w:val="24"/>
          <w:szCs w:val="24"/>
        </w:rPr>
      </w:pPr>
    </w:p>
    <w:p w14:paraId="77185B9A" w14:textId="5DE3C839" w:rsidR="00025650" w:rsidRPr="00E676F7" w:rsidRDefault="00025650" w:rsidP="0FF883D4">
      <w:pPr>
        <w:ind w:right="237"/>
        <w:jc w:val="both"/>
        <w:rPr>
          <w:color w:val="000000" w:themeColor="text1"/>
          <w:sz w:val="24"/>
          <w:szCs w:val="24"/>
        </w:rPr>
      </w:pPr>
    </w:p>
    <w:p w14:paraId="2950439F" w14:textId="77777777" w:rsidR="00BE222F" w:rsidRDefault="00BE222F" w:rsidP="00BE222F">
      <w:pPr>
        <w:spacing w:line="360" w:lineRule="auto"/>
        <w:ind w:right="237"/>
        <w:jc w:val="both"/>
        <w:rPr>
          <w:color w:val="000000" w:themeColor="text1"/>
          <w:sz w:val="22"/>
          <w:szCs w:val="22"/>
        </w:rPr>
      </w:pPr>
      <w:r w:rsidRPr="008769E1">
        <w:rPr>
          <w:color w:val="000000" w:themeColor="text1"/>
          <w:sz w:val="22"/>
          <w:szCs w:val="22"/>
        </w:rPr>
        <w:t xml:space="preserve">The initial attendance of any call relating to Domestic Abuse is always a naturally challenging experience, in fact they are among the most challenging calls to deal with. </w:t>
      </w:r>
      <w:r w:rsidRPr="008769E1">
        <w:rPr>
          <w:color w:val="000000" w:themeColor="text1"/>
          <w:sz w:val="22"/>
          <w:szCs w:val="22"/>
        </w:rPr>
        <w:lastRenderedPageBreak/>
        <w:t>Domestic Abuse calls come with a number of challenges such as the nature of entering another person’s home without the intimate knowledge of the layout that the occupants have, especially when you are entering a potentially volatile situation. Often, when entering such environments, attending officers are met by an intimate couple who may instead defend one another instead of supporting police action, due to this many forces have adopted policies of ‘Positive Action’ wherein there is a clear course of action expected from any officers who attend the calls, such as making an arrest if there are any offences identified or removing one party from the address to prevent any further offences being committed following police attendance (College of Policing, 20</w:t>
      </w:r>
      <w:r>
        <w:rPr>
          <w:color w:val="000000" w:themeColor="text1"/>
          <w:sz w:val="22"/>
          <w:szCs w:val="22"/>
        </w:rPr>
        <w:t>18</w:t>
      </w:r>
      <w:r w:rsidRPr="008769E1">
        <w:rPr>
          <w:color w:val="000000" w:themeColor="text1"/>
          <w:sz w:val="22"/>
          <w:szCs w:val="22"/>
        </w:rPr>
        <w:t>)</w:t>
      </w:r>
      <w:r>
        <w:rPr>
          <w:color w:val="000000" w:themeColor="text1"/>
          <w:sz w:val="22"/>
          <w:szCs w:val="22"/>
        </w:rPr>
        <w:t>.</w:t>
      </w:r>
    </w:p>
    <w:p w14:paraId="073EE1B0" w14:textId="77777777" w:rsidR="00BE222F" w:rsidRDefault="00BE222F" w:rsidP="00BE222F">
      <w:pPr>
        <w:spacing w:line="360" w:lineRule="auto"/>
        <w:ind w:right="237"/>
        <w:jc w:val="both"/>
        <w:rPr>
          <w:color w:val="000000" w:themeColor="text1"/>
          <w:sz w:val="22"/>
          <w:szCs w:val="22"/>
        </w:rPr>
      </w:pPr>
    </w:p>
    <w:p w14:paraId="1264D5E3" w14:textId="77777777" w:rsidR="00BE222F" w:rsidRDefault="00BE222F" w:rsidP="00BE222F">
      <w:pPr>
        <w:spacing w:line="360" w:lineRule="auto"/>
        <w:ind w:right="237"/>
        <w:jc w:val="both"/>
        <w:rPr>
          <w:color w:val="000000" w:themeColor="text1"/>
          <w:sz w:val="22"/>
          <w:szCs w:val="22"/>
        </w:rPr>
      </w:pPr>
      <w:r>
        <w:rPr>
          <w:color w:val="000000" w:themeColor="text1"/>
          <w:sz w:val="22"/>
          <w:szCs w:val="22"/>
        </w:rPr>
        <w:t>In the course of my own policing career, I have attended several Domestic Abuse related calls, one such incident was of a particularly complex nature due to the attitudes and behaviour of both parties, along with the allegation that had been made. On this occasion, my colleague and I had been told on our radios by the control room that the male partner had picked up the female and removed her from the house, he had then thrown her to the floor before threatening to strike her. However, the situation was made more complex as we were then told that the female had then stabbed the male in the arm after getting up from the floor. Upon attendance, both parties had separated themselves and were standing at opposite ends of the road from one another. I spoke with the female whilst my colleague spoke with the male, she then gave me information that further complicated the matter when she informed my colleague and I that the couple had very young children who needed childcare. Thus, due to the allegations that both parties had assaulted one another, there was the possibility of arresting both, however, due to the children requiring childcare only the male was arrested due to his having assaulted the female first and her claim that stabbing him in the arm was self-defence after grabbing hold of something from the floor after he had thrown her down.</w:t>
      </w:r>
    </w:p>
    <w:p w14:paraId="416E1ABD" w14:textId="77777777" w:rsidR="00BE222F" w:rsidRDefault="00BE222F" w:rsidP="00BE222F">
      <w:pPr>
        <w:spacing w:line="360" w:lineRule="auto"/>
        <w:ind w:right="237"/>
        <w:jc w:val="both"/>
        <w:rPr>
          <w:color w:val="000000" w:themeColor="text1"/>
          <w:sz w:val="22"/>
          <w:szCs w:val="22"/>
        </w:rPr>
      </w:pPr>
    </w:p>
    <w:p w14:paraId="3804A41F" w14:textId="77777777" w:rsidR="00BE222F" w:rsidRDefault="00BE222F" w:rsidP="00BE222F">
      <w:pPr>
        <w:spacing w:line="360" w:lineRule="auto"/>
        <w:ind w:right="237"/>
        <w:jc w:val="both"/>
        <w:rPr>
          <w:color w:val="000000" w:themeColor="text1"/>
          <w:sz w:val="22"/>
          <w:szCs w:val="22"/>
        </w:rPr>
      </w:pPr>
      <w:r>
        <w:rPr>
          <w:color w:val="000000" w:themeColor="text1"/>
          <w:sz w:val="22"/>
          <w:szCs w:val="22"/>
        </w:rPr>
        <w:t xml:space="preserve">In the above scenario, positive action was taken by my colleague and I ensuring that one party was arrested despite the lack of a complaint from the victim. However, there are several challenges associated with any such incident, and in particular the above scenario. The victim was unwilling to make a complaint and press charges against her partner for the assault due to not wanting her partner and the father of her children to be arrested and to get in trouble. According to Women’s Aid (2020), women, or other victims, are unlikely to leave situations of Domestic Abuse because of a number of factors, one of these is the fear of making the situation worse. It is thought that the victim knows their current partner and how to act with them in order to keep the situation manageable, leaving the situation could open them up to further violence from their partner, or even to being killed. Women’s Aid </w:t>
      </w:r>
      <w:r>
        <w:rPr>
          <w:color w:val="000000" w:themeColor="text1"/>
          <w:sz w:val="22"/>
          <w:szCs w:val="22"/>
        </w:rPr>
        <w:lastRenderedPageBreak/>
        <w:t>(2020) say that 41% of women who were killed by their partner did so after leaving them. This makes it harder for the victims of Domestic Abuse to make complaints, give statements or want their partners arrested for what they have done as there is a possibility in all such cases for the abuse to worsen. Women’s Aid (2020) also state embarrassment as a factor for victims to not want to make complaints or leave, this is due to a fear of being judged by peers for having become a victim of abuse in the first place, and therefore not wanting to admit that they have been at all.</w:t>
      </w:r>
    </w:p>
    <w:p w14:paraId="2518FC79" w14:textId="77777777" w:rsidR="00BE222F" w:rsidRDefault="00BE222F" w:rsidP="00BE222F">
      <w:pPr>
        <w:spacing w:line="360" w:lineRule="auto"/>
        <w:ind w:right="237"/>
        <w:jc w:val="both"/>
        <w:rPr>
          <w:color w:val="000000" w:themeColor="text1"/>
          <w:sz w:val="22"/>
          <w:szCs w:val="22"/>
        </w:rPr>
      </w:pPr>
    </w:p>
    <w:p w14:paraId="4A9A852C" w14:textId="77777777" w:rsidR="00BE222F" w:rsidRDefault="00BE222F" w:rsidP="00BE222F">
      <w:pPr>
        <w:spacing w:line="360" w:lineRule="auto"/>
        <w:ind w:right="237"/>
        <w:jc w:val="both"/>
        <w:rPr>
          <w:color w:val="000000" w:themeColor="text1"/>
          <w:sz w:val="22"/>
          <w:szCs w:val="22"/>
        </w:rPr>
      </w:pPr>
      <w:r>
        <w:rPr>
          <w:color w:val="000000" w:themeColor="text1"/>
          <w:sz w:val="22"/>
          <w:szCs w:val="22"/>
        </w:rPr>
        <w:t>According to R. Mann (2000) there is an issue where police are hesitant dealing with Domestic Abuse when it comes to repeat calls, this being calls to the same couple, calls to the same perpetrator with a new partner, or calls to the same victim with a new partner. This can lead to bias in a police approach such as not believing a victim because they have had similar issues with multiple partners so some officers could be less likely to take them seriously. Some officers also find it difficult to believe when the families of repeat victims are unwilling to have the victim back, ‘You made your bed, you lie in it, you’re not coming home with me’ (Mann 2000). This could be due to the families also finding it hard to either believe in the existence or severity of the abuse, or simply that the family know how many relationships the victim has been in where there has been abuse. There could also be a concern for family members of the violence worsening after the couple separate as per Women’s Aid (2020).</w:t>
      </w:r>
    </w:p>
    <w:p w14:paraId="24F3D34F" w14:textId="77777777" w:rsidR="00BE222F" w:rsidRDefault="00BE222F" w:rsidP="00BE222F">
      <w:pPr>
        <w:spacing w:line="360" w:lineRule="auto"/>
        <w:ind w:right="237"/>
        <w:jc w:val="both"/>
        <w:rPr>
          <w:color w:val="000000" w:themeColor="text1"/>
          <w:sz w:val="22"/>
          <w:szCs w:val="22"/>
        </w:rPr>
      </w:pPr>
    </w:p>
    <w:p w14:paraId="38FE4DE0" w14:textId="77777777" w:rsidR="00BE222F" w:rsidRDefault="00BE222F" w:rsidP="00BE222F">
      <w:pPr>
        <w:spacing w:line="360" w:lineRule="auto"/>
        <w:ind w:right="237"/>
        <w:jc w:val="both"/>
        <w:rPr>
          <w:color w:val="000000" w:themeColor="text1"/>
          <w:sz w:val="22"/>
          <w:szCs w:val="22"/>
        </w:rPr>
      </w:pPr>
      <w:r>
        <w:rPr>
          <w:color w:val="000000" w:themeColor="text1"/>
          <w:sz w:val="22"/>
          <w:szCs w:val="22"/>
        </w:rPr>
        <w:t>In 2013, the Government of the United Kingdom recognised the difficulties in responding to incidences of Domestic Abuse from a Law Enforcement perspective. This included providing alternative means to dealing with Domestic Abuse as attempts to keep the victims safe as well as ‘Clare’s Law’ which was introduced to allow other women to avoid becoming the victims of Domestic Abuse. This allows women to request information from the police and from other agencies to ascertain if their new or prospective partner has had any violent history towards partners that has been reported to police (Gov.UK, 2013).</w:t>
      </w:r>
    </w:p>
    <w:p w14:paraId="0EFE4B7E" w14:textId="77777777" w:rsidR="00BE222F" w:rsidRDefault="00BE222F" w:rsidP="00BE222F">
      <w:pPr>
        <w:spacing w:line="360" w:lineRule="auto"/>
        <w:ind w:right="237"/>
        <w:jc w:val="both"/>
        <w:rPr>
          <w:color w:val="000000" w:themeColor="text1"/>
          <w:sz w:val="22"/>
          <w:szCs w:val="22"/>
        </w:rPr>
      </w:pPr>
    </w:p>
    <w:p w14:paraId="4CA2CE54" w14:textId="77777777" w:rsidR="00BE222F" w:rsidRDefault="00BE222F" w:rsidP="00BE222F">
      <w:pPr>
        <w:spacing w:line="360" w:lineRule="auto"/>
        <w:ind w:right="237"/>
        <w:jc w:val="both"/>
        <w:rPr>
          <w:color w:val="000000" w:themeColor="text1"/>
          <w:sz w:val="22"/>
          <w:szCs w:val="22"/>
        </w:rPr>
      </w:pPr>
      <w:r>
        <w:rPr>
          <w:color w:val="000000" w:themeColor="text1"/>
          <w:sz w:val="22"/>
          <w:szCs w:val="22"/>
        </w:rPr>
        <w:t xml:space="preserve">Clare’s Law allows persons of any gender the ability to make an application to police requesting information about your current or ex-partner, or that of an acquaintance, if you are worried that they may have been violent in the past (Clare’s Law, 2014). This is, however, flawed in that the partner a person is worried about may not have been violent before, which does not mean they will not be violent in the future, or if they have been violent, it may not have been reported to the police before by any other previous partner. The College of Policing (2022) describes Domestic Abuse as being like an iceburg, this is to say that there is a lot more under the surface than is initially reported to police, as well as </w:t>
      </w:r>
      <w:r>
        <w:rPr>
          <w:color w:val="000000" w:themeColor="text1"/>
          <w:sz w:val="22"/>
          <w:szCs w:val="22"/>
        </w:rPr>
        <w:lastRenderedPageBreak/>
        <w:t>more than meets the eye at any given incident. There could be many incidents listed on police systems involving a couple, but many more which were not reported, The College of Policing say that the call is unlikely to be the first instance of Domestic Abuse, even if it is the first one that has been reported to police. This also comes with the issues surrounding Coercive Control, where a victim may not realise that they are a victim as the abuse has become systemic, but subtle. Attending officers may find it harder to identify matters of Coercive Control on the first instance that abuse is reported to police as they do not have a sufficient background in their mind to constitute Coercive Control, especially if the victim does not see it that way.</w:t>
      </w:r>
    </w:p>
    <w:p w14:paraId="1CD25724" w14:textId="77777777" w:rsidR="00BE222F" w:rsidRDefault="00BE222F" w:rsidP="00BE222F">
      <w:pPr>
        <w:spacing w:line="360" w:lineRule="auto"/>
        <w:ind w:right="237"/>
        <w:jc w:val="both"/>
        <w:rPr>
          <w:color w:val="000000" w:themeColor="text1"/>
          <w:sz w:val="22"/>
          <w:szCs w:val="22"/>
        </w:rPr>
      </w:pPr>
    </w:p>
    <w:p w14:paraId="4C65C5C3" w14:textId="77777777" w:rsidR="00BE222F" w:rsidRDefault="00BE222F" w:rsidP="00BE222F">
      <w:pPr>
        <w:spacing w:line="360" w:lineRule="auto"/>
        <w:ind w:right="237"/>
        <w:jc w:val="both"/>
        <w:rPr>
          <w:color w:val="000000" w:themeColor="text1"/>
          <w:sz w:val="22"/>
          <w:szCs w:val="22"/>
        </w:rPr>
      </w:pPr>
      <w:r>
        <w:rPr>
          <w:color w:val="000000" w:themeColor="text1"/>
          <w:sz w:val="22"/>
          <w:szCs w:val="22"/>
        </w:rPr>
        <w:t>Another issue with many Domestic Abuse calls is that the victim or the perpetrator may refuse officers entry to their property. This was not an issue in the scenario described above as both parties had gone to the street, however in many cases entry may be refused to a premises. In such cases, there are powers of entry afforded to officers in order to preserve life or limb, this is due to the fact that entry may be refused out of fear for repercussion or the fact that the perpetrator may say that nothing has happened in order to protect themselves. As such, Section 17(e) of PACE (1984) allows officers entry in order to ensure the safety of all persons within the property (College of Policing, 2022).</w:t>
      </w:r>
    </w:p>
    <w:p w14:paraId="7760A0D4" w14:textId="77777777" w:rsidR="00BE222F" w:rsidRDefault="00BE222F" w:rsidP="00BE222F">
      <w:pPr>
        <w:spacing w:line="360" w:lineRule="auto"/>
        <w:ind w:right="237"/>
        <w:jc w:val="both"/>
        <w:rPr>
          <w:color w:val="000000" w:themeColor="text1"/>
          <w:sz w:val="22"/>
          <w:szCs w:val="22"/>
        </w:rPr>
      </w:pPr>
    </w:p>
    <w:p w14:paraId="5106E0CC" w14:textId="77777777" w:rsidR="00BE222F" w:rsidRDefault="00BE222F" w:rsidP="00BE222F">
      <w:pPr>
        <w:spacing w:line="360" w:lineRule="auto"/>
        <w:ind w:right="237"/>
        <w:jc w:val="both"/>
        <w:rPr>
          <w:color w:val="000000" w:themeColor="text1"/>
          <w:sz w:val="22"/>
          <w:szCs w:val="22"/>
        </w:rPr>
      </w:pPr>
      <w:r>
        <w:rPr>
          <w:color w:val="000000" w:themeColor="text1"/>
          <w:sz w:val="22"/>
          <w:szCs w:val="22"/>
        </w:rPr>
        <w:t>Domestic Abuse Protection Notices (DVPN) and Domestic Abuse Protection Orders (DVPO) were introduced by the Crime and Security Act 2010 in order to enable the police to give a level of protection to the victim in the days immediately following an incident of Domestic Abuse. DVPNs can be issued by the police and include certain prohibitions on the offender, they will be heard by a Magistrates Court within 48 hours. DVPOs are then applied for by the police at a Magistrates Court to extend the prohibitions for up to 28 days (College of Policing, 2015). These must be granted by a person of rank Superintendent or above and can enforce the restrictions with a power of arrest. DVPNs and DVPOs can be used as a means of positive action without the consent of the victim in order to ensure their safety, they are a means of keeping the parties separate and reducing the risk of further offences in the interim period, as well as providing the victim time to decide whether or not they wish to make a complaint regarding any prior offences that may have taken place. One issue of the process behind DVPOs and DVPNs is that there is no clear definition of violence in law, therefore the common definition from the Oxford English Dictionary must suffice. This is ‘behaviour involving physical force intended to hurt, damage, or kill’ (Oxford English Dictionary, 2007), the definition itself is broad however, and as such could be misunderstood.</w:t>
      </w:r>
    </w:p>
    <w:p w14:paraId="0FEACEA6" w14:textId="77777777" w:rsidR="00BE222F" w:rsidRDefault="00BE222F" w:rsidP="00BE222F">
      <w:pPr>
        <w:spacing w:line="360" w:lineRule="auto"/>
        <w:ind w:right="237"/>
        <w:jc w:val="both"/>
        <w:rPr>
          <w:color w:val="000000" w:themeColor="text1"/>
          <w:sz w:val="22"/>
          <w:szCs w:val="22"/>
        </w:rPr>
      </w:pPr>
    </w:p>
    <w:p w14:paraId="3E06764B" w14:textId="77777777" w:rsidR="00BE222F" w:rsidRDefault="00BE222F" w:rsidP="00BE222F">
      <w:pPr>
        <w:spacing w:line="360" w:lineRule="auto"/>
        <w:ind w:right="237"/>
        <w:jc w:val="both"/>
        <w:rPr>
          <w:color w:val="000000" w:themeColor="text1"/>
          <w:sz w:val="22"/>
          <w:szCs w:val="22"/>
        </w:rPr>
      </w:pPr>
      <w:r>
        <w:rPr>
          <w:color w:val="000000" w:themeColor="text1"/>
          <w:sz w:val="22"/>
          <w:szCs w:val="22"/>
        </w:rPr>
        <w:lastRenderedPageBreak/>
        <w:t>The Police as an agency work closely with other agencies such as the health services, education providers, local councils, and charities such as Women’s Aid. This allows service users to benefit from the expertise of multiple agencies who may better provide the correct assistance to victims in need. Women’s Aid can provide supported living such as refuges to female victims of Domestic Abuse as well as Independent Domestic Violence Advocates (IDVAs) who can provide advice to female victims of Domestic Abuse as well as assist them through the police and legal processes (Women’s Aid, 2022). By referring victims to these agencies using Public Protection Notifications, the Police as an agency can ensure the lasting support for these victims and attempt to break the cycle of Domestic Abuse, offering the victims lasting support, rather than just an initial response to a call.</w:t>
      </w:r>
    </w:p>
    <w:p w14:paraId="18F4F9BC" w14:textId="77777777" w:rsidR="00BE222F" w:rsidRDefault="00BE222F" w:rsidP="00BE222F">
      <w:pPr>
        <w:spacing w:line="360" w:lineRule="auto"/>
        <w:ind w:right="237"/>
        <w:jc w:val="both"/>
        <w:rPr>
          <w:color w:val="000000" w:themeColor="text1"/>
          <w:sz w:val="22"/>
          <w:szCs w:val="22"/>
        </w:rPr>
      </w:pPr>
    </w:p>
    <w:p w14:paraId="091D56A6" w14:textId="77777777" w:rsidR="00BE222F" w:rsidRPr="00CE08E4" w:rsidRDefault="00BE222F" w:rsidP="00BE222F">
      <w:pPr>
        <w:spacing w:line="360" w:lineRule="auto"/>
        <w:ind w:right="237"/>
        <w:jc w:val="both"/>
        <w:rPr>
          <w:color w:val="000000" w:themeColor="text1"/>
          <w:sz w:val="22"/>
          <w:szCs w:val="22"/>
        </w:rPr>
      </w:pPr>
      <w:r>
        <w:rPr>
          <w:color w:val="000000" w:themeColor="text1"/>
          <w:sz w:val="22"/>
          <w:szCs w:val="22"/>
        </w:rPr>
        <w:t>Overall, there are several challenges facing Police Officers responding to calls of Domestic Abuse, but these can, to a degree, be overcome by using the different methods available. Officers can take positive action to separate the parties, arresting based off disclosure without a complaint, officers can put DVPOs in place and later apply for DVPNs, and assistance can be sought from a number of partner agencies who can look to put into place suitable levels of support for the victims of Domestic Abuse. Calls of Domestic Abuse can be difficult to get to the bottom of, they can be affected by both the perpetrator and victims’ refusal to engage as well as if the victim is unwilling to provide a statement of complaint to police or pursue the matter any further. Due to this, there are other measures which have been put into place by law, by the government and by police, to ensure that assistance can be sought for the victims. For example, there are several new laws which have been brought into legislation because of recognition from the government of certain gaps in legislation. One such example is the introduction of Coercive Control becoming an offence of its own right (Serious Crime Act, 2015). Due to the complex nature of these incidents, there are a number of ways to deal with them, even down to having a power of entry to enter the property to ensure the safety of anyone in the address as well as new laws brought in in order to protect victims more sufficiently from multiple different types of offending which can have a more profound psychological and mental impact on the victims of Domestic Abuse.</w:t>
      </w:r>
    </w:p>
    <w:p w14:paraId="00BED0F7" w14:textId="67A06889" w:rsidR="00025650" w:rsidRDefault="00025650" w:rsidP="0FF883D4">
      <w:pPr>
        <w:ind w:right="237"/>
        <w:jc w:val="both"/>
        <w:rPr>
          <w:color w:val="000000" w:themeColor="text1"/>
          <w:sz w:val="24"/>
          <w:szCs w:val="24"/>
        </w:rPr>
      </w:pPr>
    </w:p>
    <w:p w14:paraId="0FD73693" w14:textId="14091EBB" w:rsidR="00BE222F" w:rsidRDefault="00BE222F" w:rsidP="0FF883D4">
      <w:pPr>
        <w:ind w:right="237"/>
        <w:jc w:val="both"/>
        <w:rPr>
          <w:color w:val="000000" w:themeColor="text1"/>
          <w:sz w:val="24"/>
          <w:szCs w:val="24"/>
        </w:rPr>
      </w:pPr>
    </w:p>
    <w:p w14:paraId="3CEC95E5" w14:textId="5B3F413D" w:rsidR="00BE222F" w:rsidRDefault="00BE222F" w:rsidP="0FF883D4">
      <w:pPr>
        <w:ind w:right="237"/>
        <w:jc w:val="both"/>
        <w:rPr>
          <w:color w:val="000000" w:themeColor="text1"/>
          <w:sz w:val="24"/>
          <w:szCs w:val="24"/>
        </w:rPr>
      </w:pPr>
    </w:p>
    <w:p w14:paraId="24B6B334" w14:textId="2CBC7495" w:rsidR="00BE222F" w:rsidRPr="00E676F7" w:rsidRDefault="00BE222F" w:rsidP="0FF883D4">
      <w:pPr>
        <w:ind w:right="237"/>
        <w:jc w:val="both"/>
        <w:rPr>
          <w:color w:val="000000" w:themeColor="text1"/>
          <w:sz w:val="24"/>
          <w:szCs w:val="24"/>
        </w:rPr>
      </w:pPr>
      <w:r>
        <w:rPr>
          <w:color w:val="000000" w:themeColor="text1"/>
          <w:sz w:val="24"/>
          <w:szCs w:val="24"/>
        </w:rPr>
        <w:t>1994 Words</w:t>
      </w:r>
    </w:p>
    <w:p w14:paraId="2E902B8F" w14:textId="04D4B231" w:rsidR="00025650" w:rsidRPr="00E676F7" w:rsidRDefault="00025650" w:rsidP="0FF883D4">
      <w:pPr>
        <w:ind w:right="237"/>
        <w:jc w:val="both"/>
        <w:rPr>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66D27FA2" w14:textId="2E573F43" w:rsidR="0FF883D4" w:rsidRDefault="0FF883D4" w:rsidP="0FF883D4">
      <w:pPr>
        <w:ind w:right="237"/>
        <w:jc w:val="both"/>
        <w:rPr>
          <w:color w:val="000000" w:themeColor="text1"/>
          <w:sz w:val="24"/>
          <w:szCs w:val="24"/>
        </w:rPr>
      </w:pPr>
    </w:p>
    <w:p w14:paraId="1C6E93E6" w14:textId="547AA299" w:rsidR="00025650" w:rsidRPr="00E676F7" w:rsidRDefault="00025650" w:rsidP="00340E9A">
      <w:pPr>
        <w:ind w:right="237"/>
      </w:pPr>
    </w:p>
    <w:p w14:paraId="76B6FAAC" w14:textId="6FD00BAD" w:rsidR="0FF883D4" w:rsidRDefault="0FF883D4" w:rsidP="0FF883D4">
      <w:pPr>
        <w:ind w:left="2880" w:right="225" w:firstLine="720"/>
        <w:rPr>
          <w:b/>
          <w:bCs/>
          <w:sz w:val="24"/>
          <w:szCs w:val="24"/>
          <w:lang w:eastAsia="zh-TW"/>
        </w:rPr>
      </w:pPr>
    </w:p>
    <w:p w14:paraId="2B22C76A" w14:textId="77777777" w:rsidR="005C5382" w:rsidRDefault="005C5382" w:rsidP="5CE196A1">
      <w:pPr>
        <w:rPr>
          <w:rFonts w:eastAsia="Arial"/>
          <w:b/>
          <w:bCs/>
          <w:color w:val="000000" w:themeColor="text1"/>
          <w:sz w:val="24"/>
          <w:szCs w:val="24"/>
        </w:rPr>
      </w:pPr>
    </w:p>
    <w:p w14:paraId="3C301891" w14:textId="77777777" w:rsidR="005C5382" w:rsidRDefault="005C5382" w:rsidP="5CE196A1">
      <w:pPr>
        <w:rPr>
          <w:rFonts w:eastAsia="Arial"/>
          <w:b/>
          <w:bCs/>
          <w:color w:val="000000" w:themeColor="text1"/>
          <w:sz w:val="24"/>
          <w:szCs w:val="24"/>
        </w:rPr>
      </w:pPr>
    </w:p>
    <w:p w14:paraId="41E44F7E" w14:textId="77777777" w:rsidR="005C5382" w:rsidRDefault="005C5382" w:rsidP="5CE196A1">
      <w:pPr>
        <w:rPr>
          <w:rFonts w:eastAsia="Arial"/>
          <w:b/>
          <w:bCs/>
          <w:color w:val="000000" w:themeColor="text1"/>
          <w:sz w:val="24"/>
          <w:szCs w:val="24"/>
        </w:rPr>
      </w:pPr>
    </w:p>
    <w:p w14:paraId="63FA31A0" w14:textId="274801C6" w:rsidR="005C5382" w:rsidRDefault="005C5382" w:rsidP="5CE196A1">
      <w:pPr>
        <w:rPr>
          <w:rFonts w:eastAsia="Arial"/>
          <w:b/>
          <w:bCs/>
          <w:color w:val="000000" w:themeColor="text1"/>
          <w:sz w:val="24"/>
          <w:szCs w:val="24"/>
        </w:rPr>
      </w:pPr>
    </w:p>
    <w:p w14:paraId="337675EC" w14:textId="1078C2B4" w:rsidR="005C5382" w:rsidRDefault="005C5382" w:rsidP="5CE196A1">
      <w:pPr>
        <w:rPr>
          <w:rFonts w:eastAsia="Arial"/>
          <w:b/>
          <w:bCs/>
          <w:color w:val="000000" w:themeColor="text1"/>
          <w:sz w:val="24"/>
          <w:szCs w:val="24"/>
        </w:rPr>
      </w:pPr>
      <w:r>
        <w:rPr>
          <w:rFonts w:eastAsia="Arial"/>
          <w:b/>
          <w:bCs/>
          <w:noProof/>
          <w:color w:val="000000" w:themeColor="text1"/>
          <w:sz w:val="24"/>
          <w:szCs w:val="24"/>
        </w:rPr>
        <mc:AlternateContent>
          <mc:Choice Requires="wpi">
            <w:drawing>
              <wp:anchor distT="0" distB="0" distL="114300" distR="114300" simplePos="0" relativeHeight="251665408" behindDoc="0" locked="0" layoutInCell="1" allowOverlap="1" wp14:anchorId="7FF98683" wp14:editId="3A7C7AAA">
                <wp:simplePos x="0" y="0"/>
                <wp:positionH relativeFrom="column">
                  <wp:posOffset>2091690</wp:posOffset>
                </wp:positionH>
                <wp:positionV relativeFrom="paragraph">
                  <wp:posOffset>-160020</wp:posOffset>
                </wp:positionV>
                <wp:extent cx="2455825" cy="495360"/>
                <wp:effectExtent l="38100" t="38100" r="0" b="57150"/>
                <wp:wrapNone/>
                <wp:docPr id="8" name="Ink 8"/>
                <wp:cNvGraphicFramePr/>
                <a:graphic xmlns:a="http://schemas.openxmlformats.org/drawingml/2006/main">
                  <a:graphicData uri="http://schemas.microsoft.com/office/word/2010/wordprocessingInk">
                    <w14:contentPart bwMode="auto" r:id="rId15">
                      <w14:nvContentPartPr>
                        <w14:cNvContentPartPr/>
                      </w14:nvContentPartPr>
                      <w14:xfrm>
                        <a:off x="0" y="0"/>
                        <a:ext cx="2455825" cy="495360"/>
                      </w14:xfrm>
                    </w14:contentPart>
                  </a:graphicData>
                </a:graphic>
              </wp:anchor>
            </w:drawing>
          </mc:Choice>
          <mc:Fallback>
            <w:pict>
              <v:shapetype w14:anchorId="57C22A2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64pt;margin-top:-13.3pt;width:194.75pt;height:40.4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">
                <v:imagedata r:id="rId16" o:title=""/>
              </v:shape>
            </w:pict>
          </mc:Fallback>
        </mc:AlternateContent>
      </w:r>
    </w:p>
    <w:p w14:paraId="1ADEFAE5" w14:textId="104EA0AB"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6F6648E7" w:rsidR="0FF883D4" w:rsidRDefault="5CE196A1" w:rsidP="5CE196A1">
      <w:r w:rsidRPr="5CE196A1">
        <w:rPr>
          <w:rFonts w:eastAsia="Arial"/>
          <w:b/>
          <w:bCs/>
          <w:color w:val="000000" w:themeColor="text1"/>
          <w:sz w:val="24"/>
          <w:szCs w:val="24"/>
        </w:rPr>
        <w:t xml:space="preserve">Signed: </w:t>
      </w:r>
      <w:r w:rsidR="008D7B6C">
        <w:rPr>
          <w:rFonts w:eastAsia="Arial"/>
          <w:b/>
          <w:bCs/>
          <w:color w:val="000000" w:themeColor="text1"/>
          <w:sz w:val="24"/>
          <w:szCs w:val="24"/>
        </w:rPr>
        <w:t>Evan Meadows</w:t>
      </w:r>
    </w:p>
    <w:p w14:paraId="563192E7" w14:textId="7A83C86F" w:rsidR="0FF883D4" w:rsidRDefault="5CE196A1" w:rsidP="5CE196A1">
      <w:r w:rsidRPr="5CE196A1">
        <w:rPr>
          <w:rFonts w:eastAsia="Arial"/>
          <w:b/>
          <w:bCs/>
          <w:color w:val="000000" w:themeColor="text1"/>
          <w:sz w:val="24"/>
          <w:szCs w:val="24"/>
        </w:rPr>
        <w:t xml:space="preserve"> </w:t>
      </w:r>
    </w:p>
    <w:p w14:paraId="22DBB0E5" w14:textId="43985F4F" w:rsidR="0FF883D4" w:rsidRDefault="5CE196A1" w:rsidP="5CE196A1">
      <w:r w:rsidRPr="5CE196A1">
        <w:rPr>
          <w:rFonts w:eastAsia="Arial"/>
          <w:b/>
          <w:bCs/>
          <w:color w:val="000000" w:themeColor="text1"/>
          <w:sz w:val="24"/>
          <w:szCs w:val="24"/>
        </w:rPr>
        <w:t>Date:</w:t>
      </w:r>
    </w:p>
    <w:p w14:paraId="482B2B3A" w14:textId="5756E6F8" w:rsidR="0FF883D4" w:rsidRDefault="00281627" w:rsidP="5CE196A1">
      <w:pPr>
        <w:ind w:left="2880" w:right="225" w:firstLine="720"/>
        <w:rPr>
          <w:b/>
          <w:bCs/>
          <w:sz w:val="24"/>
          <w:szCs w:val="24"/>
          <w:lang w:eastAsia="zh-TW"/>
        </w:rPr>
        <w:sectPr w:rsidR="0FF883D4" w:rsidSect="0022001B">
          <w:headerReference w:type="even" r:id="rId17"/>
          <w:headerReference w:type="default" r:id="rId18"/>
          <w:footerReference w:type="even" r:id="rId19"/>
          <w:footerReference w:type="default" r:id="rId20"/>
          <w:headerReference w:type="first" r:id="rId21"/>
          <w:footerReference w:type="first" r:id="rId22"/>
          <w:pgSz w:w="11906" w:h="16838" w:code="9"/>
          <w:pgMar w:top="1440" w:right="1440" w:bottom="1440" w:left="1440" w:header="720" w:footer="720" w:gutter="0"/>
          <w:cols w:space="720"/>
          <w:docGrid w:linePitch="272"/>
        </w:sectPr>
      </w:pPr>
      <w:r>
        <w:rPr>
          <w:b/>
          <w:bCs/>
          <w:sz w:val="24"/>
          <w:szCs w:val="24"/>
          <w:lang w:eastAsia="zh-TW"/>
        </w:rPr>
        <w:t>20/10/2022</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C90D025"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w:t>
      </w:r>
    </w:p>
    <w:p w14:paraId="49692A6A" w14:textId="03A50C52" w:rsidR="00DF0597" w:rsidRPr="000D38AC" w:rsidRDefault="00DF0597"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Clare's Law. 2014. </w:t>
      </w:r>
      <w:r w:rsidRPr="000D38AC">
        <w:rPr>
          <w:rFonts w:asciiTheme="minorHAnsi" w:hAnsiTheme="minorHAnsi" w:cstheme="minorHAnsi"/>
          <w:i/>
          <w:iCs/>
          <w:sz w:val="22"/>
          <w:szCs w:val="22"/>
          <w:shd w:val="clear" w:color="auto" w:fill="FFFFFF"/>
        </w:rPr>
        <w:t>What is Clare's Law? - Clare's Law</w:t>
      </w:r>
      <w:r w:rsidRPr="000D38AC">
        <w:rPr>
          <w:rFonts w:asciiTheme="minorHAnsi" w:hAnsiTheme="minorHAnsi" w:cstheme="minorHAnsi"/>
          <w:sz w:val="22"/>
          <w:szCs w:val="22"/>
          <w:shd w:val="clear" w:color="auto" w:fill="FFFFFF"/>
        </w:rPr>
        <w:t xml:space="preserve">. [online] Available at: </w:t>
      </w:r>
      <w:hyperlink r:id="rId23" w:history="1">
        <w:r w:rsidRPr="000D38AC">
          <w:rPr>
            <w:rStyle w:val="Hyperlink"/>
            <w:rFonts w:asciiTheme="minorHAnsi" w:hAnsiTheme="minorHAnsi" w:cstheme="minorHAnsi"/>
            <w:sz w:val="22"/>
            <w:szCs w:val="22"/>
            <w:shd w:val="clear" w:color="auto" w:fill="FFFFFF"/>
          </w:rPr>
          <w:t>https://clares-law.com/what-is-clares-law/</w:t>
        </w:r>
      </w:hyperlink>
      <w:r w:rsidRPr="000D38AC">
        <w:rPr>
          <w:rFonts w:asciiTheme="minorHAnsi" w:hAnsiTheme="minorHAnsi" w:cstheme="minorHAnsi"/>
          <w:sz w:val="22"/>
          <w:szCs w:val="22"/>
          <w:shd w:val="clear" w:color="auto" w:fill="FFFFFF"/>
        </w:rPr>
        <w:t xml:space="preserve">  [Accessed 21 September 2022].</w:t>
      </w:r>
    </w:p>
    <w:p w14:paraId="6DD64DA6" w14:textId="516DCB6B" w:rsidR="007118BD" w:rsidRPr="000D38AC" w:rsidRDefault="007118BD" w:rsidP="00DF0597">
      <w:pPr>
        <w:pStyle w:val="NoSpacing"/>
        <w:rPr>
          <w:rFonts w:asciiTheme="minorHAnsi" w:hAnsiTheme="minorHAnsi" w:cstheme="minorHAnsi"/>
          <w:sz w:val="22"/>
          <w:szCs w:val="22"/>
          <w:shd w:val="clear" w:color="auto" w:fill="FFFFFF"/>
        </w:rPr>
      </w:pPr>
    </w:p>
    <w:p w14:paraId="7C21BA49" w14:textId="2FA2062F" w:rsidR="007118BD" w:rsidRPr="000D38AC" w:rsidRDefault="007118BD"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College of Policing. 2015. </w:t>
      </w:r>
      <w:r w:rsidRPr="000D38AC">
        <w:rPr>
          <w:rFonts w:asciiTheme="minorHAnsi" w:hAnsiTheme="minorHAnsi" w:cstheme="minorHAnsi"/>
          <w:i/>
          <w:iCs/>
          <w:sz w:val="22"/>
          <w:szCs w:val="22"/>
          <w:shd w:val="clear" w:color="auto" w:fill="FFFFFF"/>
        </w:rPr>
        <w:t>Using domestic violence protection notices and domestic violence protection orders to make victims safer | College of Policing</w:t>
      </w:r>
      <w:r w:rsidRPr="000D38AC">
        <w:rPr>
          <w:rFonts w:asciiTheme="minorHAnsi" w:hAnsiTheme="minorHAnsi" w:cstheme="minorHAnsi"/>
          <w:sz w:val="22"/>
          <w:szCs w:val="22"/>
          <w:shd w:val="clear" w:color="auto" w:fill="FFFFFF"/>
        </w:rPr>
        <w:t xml:space="preserve">. [online] Available at: </w:t>
      </w:r>
      <w:hyperlink r:id="rId24" w:history="1">
        <w:r w:rsidRPr="000D38AC">
          <w:rPr>
            <w:rStyle w:val="Hyperlink"/>
            <w:rFonts w:asciiTheme="minorHAnsi" w:hAnsiTheme="minorHAnsi" w:cstheme="minorHAnsi"/>
            <w:sz w:val="22"/>
            <w:szCs w:val="22"/>
            <w:shd w:val="clear" w:color="auto" w:fill="FFFFFF"/>
          </w:rPr>
          <w:t>https://www.college.police.uk/app/major-investigation-and-public-protection/domestic-abuse/using-domestic-violence-protection-notices-and-domestic-violence-protection-orders-make-victims-safer</w:t>
        </w:r>
      </w:hyperlink>
      <w:r w:rsidRPr="000D38AC">
        <w:rPr>
          <w:rFonts w:asciiTheme="minorHAnsi" w:hAnsiTheme="minorHAnsi" w:cstheme="minorHAnsi"/>
          <w:sz w:val="22"/>
          <w:szCs w:val="22"/>
          <w:shd w:val="clear" w:color="auto" w:fill="FFFFFF"/>
        </w:rPr>
        <w:t xml:space="preserve">  [Accessed 21 September 2022]. </w:t>
      </w:r>
    </w:p>
    <w:p w14:paraId="53ADA908" w14:textId="25E13023" w:rsidR="00DF0597" w:rsidRPr="000D38AC" w:rsidRDefault="00DF0597" w:rsidP="00DF0597">
      <w:pPr>
        <w:pStyle w:val="NoSpacing"/>
        <w:rPr>
          <w:rFonts w:asciiTheme="minorHAnsi" w:hAnsiTheme="minorHAnsi" w:cstheme="minorHAnsi"/>
          <w:sz w:val="22"/>
          <w:szCs w:val="22"/>
          <w:shd w:val="clear" w:color="auto" w:fill="FFFFFF"/>
        </w:rPr>
      </w:pPr>
    </w:p>
    <w:p w14:paraId="1307279A" w14:textId="19E93592" w:rsidR="00654B75" w:rsidRPr="000D38AC" w:rsidRDefault="00654B75" w:rsidP="00654B75">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College of Policing (2014) Code of Ethics, College of Policing. Available at: https://www.college.police.uk/ethics/code-of-ethics [Accessed: October 19, 2022].</w:t>
      </w:r>
    </w:p>
    <w:p w14:paraId="22B8DFA2" w14:textId="77777777" w:rsidR="00654B75" w:rsidRPr="000D38AC" w:rsidRDefault="00654B75" w:rsidP="00654B75">
      <w:pPr>
        <w:pStyle w:val="NoSpacing"/>
        <w:rPr>
          <w:rFonts w:asciiTheme="minorHAnsi" w:hAnsiTheme="minorHAnsi" w:cstheme="minorHAnsi"/>
          <w:sz w:val="22"/>
          <w:szCs w:val="22"/>
          <w:shd w:val="clear" w:color="auto" w:fill="FFFFFF"/>
        </w:rPr>
      </w:pPr>
    </w:p>
    <w:p w14:paraId="4B006D5B" w14:textId="1486FECA" w:rsidR="00654B75" w:rsidRPr="000D38AC" w:rsidRDefault="00654B75" w:rsidP="00654B75">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College of Policing. 2022. Evidence-based policing | College of Policing. [online] Available at: &lt;https://www.college.police.uk/research/evidence-based-policing-EBP&gt; [Accessed 21 September 2022].</w:t>
      </w:r>
    </w:p>
    <w:p w14:paraId="682A740E" w14:textId="77777777" w:rsidR="00654B75" w:rsidRPr="000D38AC" w:rsidRDefault="00654B75" w:rsidP="00DF0597">
      <w:pPr>
        <w:pStyle w:val="NoSpacing"/>
        <w:rPr>
          <w:rFonts w:asciiTheme="minorHAnsi" w:hAnsiTheme="minorHAnsi" w:cstheme="minorHAnsi"/>
          <w:sz w:val="22"/>
          <w:szCs w:val="22"/>
          <w:shd w:val="clear" w:color="auto" w:fill="FFFFFF"/>
        </w:rPr>
      </w:pPr>
    </w:p>
    <w:p w14:paraId="4A8DD6EF" w14:textId="628CEEAF" w:rsidR="00DF0597" w:rsidRPr="000D38AC" w:rsidRDefault="00DF0597"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College of Policing. 2018. </w:t>
      </w:r>
      <w:r w:rsidRPr="000D38AC">
        <w:rPr>
          <w:rFonts w:asciiTheme="minorHAnsi" w:hAnsiTheme="minorHAnsi" w:cstheme="minorHAnsi"/>
          <w:i/>
          <w:iCs/>
          <w:sz w:val="22"/>
          <w:szCs w:val="22"/>
          <w:shd w:val="clear" w:color="auto" w:fill="FFFFFF"/>
        </w:rPr>
        <w:t>Arrest and other positive approaches | College of Policing</w:t>
      </w:r>
      <w:r w:rsidRPr="000D38AC">
        <w:rPr>
          <w:rFonts w:asciiTheme="minorHAnsi" w:hAnsiTheme="minorHAnsi" w:cstheme="minorHAnsi"/>
          <w:sz w:val="22"/>
          <w:szCs w:val="22"/>
          <w:shd w:val="clear" w:color="auto" w:fill="FFFFFF"/>
        </w:rPr>
        <w:t xml:space="preserve">. [online] Available at: </w:t>
      </w:r>
      <w:hyperlink r:id="rId25" w:history="1">
        <w:r w:rsidRPr="000D38AC">
          <w:rPr>
            <w:rStyle w:val="Hyperlink"/>
            <w:rFonts w:asciiTheme="minorHAnsi" w:hAnsiTheme="minorHAnsi" w:cstheme="minorHAnsi"/>
            <w:sz w:val="22"/>
            <w:szCs w:val="22"/>
            <w:shd w:val="clear" w:color="auto" w:fill="FFFFFF"/>
          </w:rPr>
          <w:t>https://www.college.police.uk/app/major-investigation-and-public-protection/domestic-abuse/arrest-and-other-positive-approaches</w:t>
        </w:r>
      </w:hyperlink>
      <w:r w:rsidRPr="000D38AC">
        <w:rPr>
          <w:rFonts w:asciiTheme="minorHAnsi" w:hAnsiTheme="minorHAnsi" w:cstheme="minorHAnsi"/>
          <w:sz w:val="22"/>
          <w:szCs w:val="22"/>
          <w:shd w:val="clear" w:color="auto" w:fill="FFFFFF"/>
        </w:rPr>
        <w:t xml:space="preserve">  [Accessed 21 September 2022].</w:t>
      </w:r>
    </w:p>
    <w:p w14:paraId="202C45D0" w14:textId="6DD5CA27" w:rsidR="00DF0597" w:rsidRPr="000D38AC" w:rsidRDefault="00DF0597" w:rsidP="00DF0597">
      <w:pPr>
        <w:pStyle w:val="NoSpacing"/>
        <w:rPr>
          <w:rFonts w:asciiTheme="minorHAnsi" w:hAnsiTheme="minorHAnsi" w:cstheme="minorHAnsi"/>
          <w:sz w:val="22"/>
          <w:szCs w:val="22"/>
          <w:shd w:val="clear" w:color="auto" w:fill="FFFFFF"/>
        </w:rPr>
      </w:pPr>
    </w:p>
    <w:p w14:paraId="3DB92936" w14:textId="2F97BE36" w:rsidR="000D38AC" w:rsidRPr="000D38AC" w:rsidRDefault="000D38AC"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College of Policing (2021) Introduction to vulnerability-related risk, College of Policing. Available at: https://www.college.police.uk/guidance/vulnerability-related-risks/introduction-vulnerability-related-risk (Accessed: October 20, 2022).</w:t>
      </w:r>
    </w:p>
    <w:p w14:paraId="4F458B3E" w14:textId="77777777" w:rsidR="000D38AC" w:rsidRPr="000D38AC" w:rsidRDefault="000D38AC" w:rsidP="00DF0597">
      <w:pPr>
        <w:pStyle w:val="NoSpacing"/>
        <w:rPr>
          <w:rFonts w:asciiTheme="minorHAnsi" w:hAnsiTheme="minorHAnsi" w:cstheme="minorHAnsi"/>
          <w:sz w:val="22"/>
          <w:szCs w:val="22"/>
          <w:shd w:val="clear" w:color="auto" w:fill="FFFFFF"/>
        </w:rPr>
      </w:pPr>
    </w:p>
    <w:p w14:paraId="6A7DB949" w14:textId="423BB29D" w:rsidR="00DF0597" w:rsidRPr="000D38AC" w:rsidRDefault="00DF0597"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College of Policing. 2022. </w:t>
      </w:r>
      <w:r w:rsidRPr="000D38AC">
        <w:rPr>
          <w:rFonts w:asciiTheme="minorHAnsi" w:hAnsiTheme="minorHAnsi" w:cstheme="minorHAnsi"/>
          <w:i/>
          <w:iCs/>
          <w:sz w:val="22"/>
          <w:szCs w:val="22"/>
          <w:shd w:val="clear" w:color="auto" w:fill="FFFFFF"/>
        </w:rPr>
        <w:t>First response | College of Policing</w:t>
      </w:r>
      <w:r w:rsidRPr="000D38AC">
        <w:rPr>
          <w:rFonts w:asciiTheme="minorHAnsi" w:hAnsiTheme="minorHAnsi" w:cstheme="minorHAnsi"/>
          <w:sz w:val="22"/>
          <w:szCs w:val="22"/>
          <w:shd w:val="clear" w:color="auto" w:fill="FFFFFF"/>
        </w:rPr>
        <w:t xml:space="preserve">. [online] Available at: </w:t>
      </w:r>
      <w:hyperlink r:id="rId26" w:history="1">
        <w:r w:rsidRPr="000D38AC">
          <w:rPr>
            <w:rStyle w:val="Hyperlink"/>
            <w:rFonts w:asciiTheme="minorHAnsi" w:hAnsiTheme="minorHAnsi" w:cstheme="minorHAnsi"/>
            <w:sz w:val="22"/>
            <w:szCs w:val="22"/>
            <w:shd w:val="clear" w:color="auto" w:fill="FFFFFF"/>
          </w:rPr>
          <w:t>https://www.college.police.uk/app/major-investigation-and-public-protection/domestic-abuse/first-response</w:t>
        </w:r>
      </w:hyperlink>
      <w:r w:rsidRPr="000D38AC">
        <w:rPr>
          <w:rFonts w:asciiTheme="minorHAnsi" w:hAnsiTheme="minorHAnsi" w:cstheme="minorHAnsi"/>
          <w:sz w:val="22"/>
          <w:szCs w:val="22"/>
          <w:shd w:val="clear" w:color="auto" w:fill="FFFFFF"/>
        </w:rPr>
        <w:t xml:space="preserve">  [Accessed 21 September 2022].</w:t>
      </w:r>
    </w:p>
    <w:p w14:paraId="07401777" w14:textId="40D0EF52" w:rsidR="000B1FE4" w:rsidRPr="000D38AC" w:rsidRDefault="000B1FE4" w:rsidP="00DF0597">
      <w:pPr>
        <w:pStyle w:val="NoSpacing"/>
        <w:rPr>
          <w:rFonts w:asciiTheme="minorHAnsi" w:hAnsiTheme="minorHAnsi" w:cstheme="minorHAnsi"/>
          <w:sz w:val="22"/>
          <w:szCs w:val="22"/>
          <w:shd w:val="clear" w:color="auto" w:fill="FFFFFF"/>
        </w:rPr>
      </w:pPr>
    </w:p>
    <w:p w14:paraId="2A79F462" w14:textId="5BC58A1D" w:rsidR="000B1FE4" w:rsidRPr="000D38AC" w:rsidRDefault="000B1FE4"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Cps.gov.uk. 2019. </w:t>
      </w:r>
      <w:r w:rsidRPr="000D38AC">
        <w:rPr>
          <w:rFonts w:asciiTheme="minorHAnsi" w:hAnsiTheme="minorHAnsi" w:cstheme="minorHAnsi"/>
          <w:i/>
          <w:iCs/>
          <w:sz w:val="22"/>
          <w:szCs w:val="22"/>
          <w:shd w:val="clear" w:color="auto" w:fill="FFFFFF"/>
        </w:rPr>
        <w:t>Restorative Justice | The Crown Prosecution Service</w:t>
      </w:r>
      <w:r w:rsidRPr="000D38AC">
        <w:rPr>
          <w:rFonts w:asciiTheme="minorHAnsi" w:hAnsiTheme="minorHAnsi" w:cstheme="minorHAnsi"/>
          <w:sz w:val="22"/>
          <w:szCs w:val="22"/>
          <w:shd w:val="clear" w:color="auto" w:fill="FFFFFF"/>
        </w:rPr>
        <w:t>. [online] Available at: &lt;https://www.cps.gov.uk/legal-guidance/restorative-justice&gt; [Accessed 11 October 2022].</w:t>
      </w:r>
    </w:p>
    <w:p w14:paraId="44505D97" w14:textId="5A2348A3" w:rsidR="00D02DBF" w:rsidRPr="000D38AC" w:rsidRDefault="00D02DBF" w:rsidP="00DF0597">
      <w:pPr>
        <w:pStyle w:val="NoSpacing"/>
        <w:rPr>
          <w:rFonts w:asciiTheme="minorHAnsi" w:hAnsiTheme="minorHAnsi" w:cstheme="minorHAnsi"/>
          <w:sz w:val="22"/>
          <w:szCs w:val="22"/>
          <w:shd w:val="clear" w:color="auto" w:fill="FFFFFF"/>
        </w:rPr>
      </w:pPr>
    </w:p>
    <w:p w14:paraId="16A68CCE" w14:textId="3E2BC607" w:rsidR="00D02DBF" w:rsidRPr="000D38AC" w:rsidRDefault="00D02DBF"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Guide for appropriate adults. 2011. [online] Available at: &lt;https://assets.publishing.service.gov.uk/government/uploads/system/uploads/attachment_data/file/117682/appropriate-adults-guide.pdf&gt; [Accessed 11 October 2022].</w:t>
      </w:r>
    </w:p>
    <w:p w14:paraId="322789B8" w14:textId="77777777" w:rsidR="00DF0597" w:rsidRPr="000D38AC" w:rsidRDefault="00DF0597" w:rsidP="00DF0597">
      <w:pPr>
        <w:pStyle w:val="NoSpacing"/>
        <w:rPr>
          <w:rFonts w:asciiTheme="minorHAnsi" w:hAnsiTheme="minorHAnsi" w:cstheme="minorHAnsi"/>
          <w:sz w:val="22"/>
          <w:szCs w:val="22"/>
          <w:shd w:val="clear" w:color="auto" w:fill="FFFFFF"/>
        </w:rPr>
      </w:pPr>
    </w:p>
    <w:p w14:paraId="742ADA8D" w14:textId="548E69AD" w:rsidR="00DF0597" w:rsidRPr="000D38AC" w:rsidRDefault="00DF0597" w:rsidP="00DF0597">
      <w:pPr>
        <w:pStyle w:val="NoSpacing"/>
        <w:rPr>
          <w:rFonts w:asciiTheme="minorHAnsi" w:hAnsiTheme="minorHAnsi" w:cstheme="minorHAnsi"/>
          <w:color w:val="auto"/>
          <w:sz w:val="22"/>
          <w:szCs w:val="22"/>
        </w:rPr>
      </w:pPr>
      <w:r w:rsidRPr="000D38AC">
        <w:rPr>
          <w:rFonts w:asciiTheme="minorHAnsi" w:hAnsiTheme="minorHAnsi" w:cstheme="minorHAnsi"/>
          <w:color w:val="auto"/>
          <w:sz w:val="22"/>
          <w:szCs w:val="22"/>
        </w:rPr>
        <w:t xml:space="preserve">Mann, Ruth M. “Law Enforcement, Legal, and Medical Intervenors.” </w:t>
      </w:r>
      <w:r w:rsidRPr="000D38AC">
        <w:rPr>
          <w:rFonts w:asciiTheme="minorHAnsi" w:hAnsiTheme="minorHAnsi" w:cstheme="minorHAnsi"/>
          <w:i/>
          <w:iCs/>
          <w:color w:val="auto"/>
          <w:sz w:val="22"/>
          <w:szCs w:val="22"/>
        </w:rPr>
        <w:t>Who Owns Domestic Abuse?: The Local Politics of a Social Problem</w:t>
      </w:r>
      <w:r w:rsidRPr="000D38AC">
        <w:rPr>
          <w:rFonts w:asciiTheme="minorHAnsi" w:hAnsiTheme="minorHAnsi" w:cstheme="minorHAnsi"/>
          <w:color w:val="auto"/>
          <w:sz w:val="22"/>
          <w:szCs w:val="22"/>
        </w:rPr>
        <w:t xml:space="preserve">, University of Toronto Press, 2000, pp. 113–32. </w:t>
      </w:r>
      <w:r w:rsidRPr="000D38AC">
        <w:rPr>
          <w:rFonts w:asciiTheme="minorHAnsi" w:hAnsiTheme="minorHAnsi" w:cstheme="minorHAnsi"/>
          <w:i/>
          <w:iCs/>
          <w:color w:val="auto"/>
          <w:sz w:val="22"/>
          <w:szCs w:val="22"/>
        </w:rPr>
        <w:t>JSTOR</w:t>
      </w:r>
      <w:r w:rsidRPr="000D38AC">
        <w:rPr>
          <w:rFonts w:asciiTheme="minorHAnsi" w:hAnsiTheme="minorHAnsi" w:cstheme="minorHAnsi"/>
          <w:color w:val="auto"/>
          <w:sz w:val="22"/>
          <w:szCs w:val="22"/>
        </w:rPr>
        <w:t xml:space="preserve">, </w:t>
      </w:r>
      <w:hyperlink r:id="rId27" w:history="1">
        <w:r w:rsidRPr="000D38AC">
          <w:rPr>
            <w:rStyle w:val="Hyperlink"/>
            <w:rFonts w:asciiTheme="minorHAnsi" w:hAnsiTheme="minorHAnsi" w:cstheme="minorHAnsi"/>
            <w:sz w:val="22"/>
            <w:szCs w:val="22"/>
          </w:rPr>
          <w:t>http://www.jstor.org/stable/10.3138/9781442683402.11. Accessed 21 Sep. 2022</w:t>
        </w:r>
      </w:hyperlink>
      <w:r w:rsidRPr="000D38AC">
        <w:rPr>
          <w:rFonts w:asciiTheme="minorHAnsi" w:hAnsiTheme="minorHAnsi" w:cstheme="minorHAnsi"/>
          <w:color w:val="auto"/>
          <w:sz w:val="22"/>
          <w:szCs w:val="22"/>
        </w:rPr>
        <w:t>.</w:t>
      </w:r>
    </w:p>
    <w:p w14:paraId="7678FEA4" w14:textId="1ACDCFE4" w:rsidR="00DF0597" w:rsidRPr="000D38AC" w:rsidRDefault="00DF0597" w:rsidP="00DF0597">
      <w:pPr>
        <w:pStyle w:val="NoSpacing"/>
        <w:rPr>
          <w:rFonts w:asciiTheme="minorHAnsi" w:hAnsiTheme="minorHAnsi" w:cstheme="minorHAnsi"/>
          <w:color w:val="auto"/>
          <w:sz w:val="22"/>
          <w:szCs w:val="22"/>
        </w:rPr>
      </w:pPr>
    </w:p>
    <w:p w14:paraId="64AD3079" w14:textId="559A2C75" w:rsidR="00DF0597" w:rsidRPr="000D38AC" w:rsidRDefault="00DF0597"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May, T., 2013. </w:t>
      </w:r>
      <w:r w:rsidRPr="000D38AC">
        <w:rPr>
          <w:rFonts w:asciiTheme="minorHAnsi" w:hAnsiTheme="minorHAnsi" w:cstheme="minorHAnsi"/>
          <w:i/>
          <w:iCs/>
          <w:sz w:val="22"/>
          <w:szCs w:val="22"/>
          <w:shd w:val="clear" w:color="auto" w:fill="FFFFFF"/>
        </w:rPr>
        <w:t>Major review of police response to domestic violence</w:t>
      </w:r>
      <w:r w:rsidRPr="000D38AC">
        <w:rPr>
          <w:rFonts w:asciiTheme="minorHAnsi" w:hAnsiTheme="minorHAnsi" w:cstheme="minorHAnsi"/>
          <w:sz w:val="22"/>
          <w:szCs w:val="22"/>
          <w:shd w:val="clear" w:color="auto" w:fill="FFFFFF"/>
        </w:rPr>
        <w:t xml:space="preserve">. [online] GOV.UK. Available at: </w:t>
      </w:r>
      <w:hyperlink r:id="rId28" w:history="1">
        <w:r w:rsidRPr="000D38AC">
          <w:rPr>
            <w:rStyle w:val="Hyperlink"/>
            <w:rFonts w:asciiTheme="minorHAnsi" w:hAnsiTheme="minorHAnsi" w:cstheme="minorHAnsi"/>
            <w:sz w:val="22"/>
            <w:szCs w:val="22"/>
            <w:shd w:val="clear" w:color="auto" w:fill="FFFFFF"/>
          </w:rPr>
          <w:t>https://www.gov.uk/government/news/major-review-of-police-response-to-domestic-violence</w:t>
        </w:r>
      </w:hyperlink>
      <w:r w:rsidRPr="000D38AC">
        <w:rPr>
          <w:rFonts w:asciiTheme="minorHAnsi" w:hAnsiTheme="minorHAnsi" w:cstheme="minorHAnsi"/>
          <w:sz w:val="22"/>
          <w:szCs w:val="22"/>
          <w:shd w:val="clear" w:color="auto" w:fill="FFFFFF"/>
        </w:rPr>
        <w:t xml:space="preserve"> [Accessed 21 September 2022].</w:t>
      </w:r>
    </w:p>
    <w:p w14:paraId="16A8622B" w14:textId="54CAC10B" w:rsidR="00386179" w:rsidRPr="000D38AC" w:rsidRDefault="00386179" w:rsidP="00DF0597">
      <w:pPr>
        <w:pStyle w:val="NoSpacing"/>
        <w:rPr>
          <w:rFonts w:asciiTheme="minorHAnsi" w:hAnsiTheme="minorHAnsi" w:cstheme="minorHAnsi"/>
          <w:sz w:val="22"/>
          <w:szCs w:val="22"/>
          <w:shd w:val="clear" w:color="auto" w:fill="FFFFFF"/>
        </w:rPr>
      </w:pPr>
    </w:p>
    <w:p w14:paraId="015CB065" w14:textId="4E511F2B" w:rsidR="00386179" w:rsidRPr="000D38AC" w:rsidRDefault="00386179"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lastRenderedPageBreak/>
        <w:t>Smith, Dr. K. and Shaw, Dr. G., 2022. [online] Achieving Best Evidence in Criminal Proceedings: Guidance on Interviewing Victims and Witnesses, and Guidance on Using Special Measures. Available at: &lt;https://assets.publishing.service.gov.uk/government/uploads/system/uploads/attachment_data/file/1051269/achieving-best-evidence-criminal-proceedings.pdf&gt; [Accessed 11 October 2022].</w:t>
      </w:r>
    </w:p>
    <w:p w14:paraId="582FA72C" w14:textId="68365B4A" w:rsidR="003B78E1" w:rsidRPr="000D38AC" w:rsidRDefault="003B78E1" w:rsidP="00DF0597">
      <w:pPr>
        <w:pStyle w:val="NoSpacing"/>
        <w:rPr>
          <w:rFonts w:asciiTheme="minorHAnsi" w:hAnsiTheme="minorHAnsi" w:cstheme="minorHAnsi"/>
          <w:sz w:val="22"/>
          <w:szCs w:val="22"/>
          <w:shd w:val="clear" w:color="auto" w:fill="FFFFFF"/>
        </w:rPr>
      </w:pPr>
    </w:p>
    <w:p w14:paraId="08590785" w14:textId="47EBE731" w:rsidR="00CA7725" w:rsidRPr="000D38AC" w:rsidRDefault="00CA7725"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 xml:space="preserve">UK Government, 2015. [online] Available at: </w:t>
      </w:r>
      <w:hyperlink r:id="rId29" w:history="1">
        <w:r w:rsidRPr="000D38AC">
          <w:rPr>
            <w:rStyle w:val="Hyperlink"/>
            <w:rFonts w:asciiTheme="minorHAnsi" w:hAnsiTheme="minorHAnsi" w:cstheme="minorHAnsi"/>
            <w:sz w:val="22"/>
            <w:szCs w:val="22"/>
            <w:shd w:val="clear" w:color="auto" w:fill="FFFFFF"/>
          </w:rPr>
          <w:t>https://www.legislation.gov.uk/ukpga/2015/9/section/76/enacted</w:t>
        </w:r>
      </w:hyperlink>
      <w:r w:rsidRPr="000D38AC">
        <w:rPr>
          <w:rFonts w:asciiTheme="minorHAnsi" w:hAnsiTheme="minorHAnsi" w:cstheme="minorHAnsi"/>
          <w:sz w:val="22"/>
          <w:szCs w:val="22"/>
          <w:shd w:val="clear" w:color="auto" w:fill="FFFFFF"/>
        </w:rPr>
        <w:t xml:space="preserve">  [Accessed 21 September 2022].</w:t>
      </w:r>
    </w:p>
    <w:p w14:paraId="401114EC" w14:textId="77777777" w:rsidR="00BF3D13" w:rsidRPr="000D38AC" w:rsidRDefault="00BF3D13" w:rsidP="00DF0597">
      <w:pPr>
        <w:pStyle w:val="NoSpacing"/>
        <w:rPr>
          <w:rFonts w:asciiTheme="minorHAnsi" w:hAnsiTheme="minorHAnsi" w:cstheme="minorHAnsi"/>
          <w:sz w:val="22"/>
          <w:szCs w:val="22"/>
          <w:shd w:val="clear" w:color="auto" w:fill="FFFFFF"/>
        </w:rPr>
      </w:pPr>
    </w:p>
    <w:p w14:paraId="53C95BBB" w14:textId="07E21B67" w:rsidR="00E56B08" w:rsidRPr="000D38AC" w:rsidRDefault="00BF3D13"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 xml:space="preserve">UK Government, 2105 </w:t>
      </w:r>
      <w:r w:rsidR="002A4324" w:rsidRPr="000D38AC">
        <w:rPr>
          <w:rFonts w:asciiTheme="minorHAnsi" w:hAnsiTheme="minorHAnsi" w:cstheme="minorHAnsi"/>
          <w:sz w:val="22"/>
          <w:szCs w:val="22"/>
          <w:shd w:val="clear" w:color="auto" w:fill="FFFFFF"/>
        </w:rPr>
        <w:t xml:space="preserve">[online] </w:t>
      </w:r>
      <w:r w:rsidR="00E56B08" w:rsidRPr="000D38AC">
        <w:rPr>
          <w:rFonts w:asciiTheme="minorHAnsi" w:hAnsiTheme="minorHAnsi" w:cstheme="minorHAnsi"/>
          <w:sz w:val="22"/>
          <w:szCs w:val="22"/>
          <w:shd w:val="clear" w:color="auto" w:fill="FFFFFF"/>
        </w:rPr>
        <w:t>Vulnerable Groups and Inequalities Task and Finish group Report. Available at: &lt;https://assets.publishing.service.gov.uk/government/uploads/system/uploads/attachment_data/file/414326/Vulnerable_Groups_and_Inequalities.pdf&gt; [Accessed 21 September 2022].</w:t>
      </w:r>
    </w:p>
    <w:p w14:paraId="4D22EEC2" w14:textId="77777777" w:rsidR="00CA7725" w:rsidRPr="000D38AC" w:rsidRDefault="00CA7725" w:rsidP="00DF0597">
      <w:pPr>
        <w:pStyle w:val="NoSpacing"/>
        <w:rPr>
          <w:rFonts w:asciiTheme="minorHAnsi" w:hAnsiTheme="minorHAnsi" w:cstheme="minorHAnsi"/>
          <w:sz w:val="22"/>
          <w:szCs w:val="22"/>
          <w:shd w:val="clear" w:color="auto" w:fill="FFFFFF"/>
        </w:rPr>
      </w:pPr>
    </w:p>
    <w:p w14:paraId="57926984" w14:textId="39F2AB5C" w:rsidR="003B78E1" w:rsidRPr="000D38AC" w:rsidRDefault="003B78E1" w:rsidP="00DF0597">
      <w:pPr>
        <w:pStyle w:val="NoSpacing"/>
        <w:rPr>
          <w:rFonts w:asciiTheme="minorHAnsi" w:hAnsiTheme="minorHAnsi" w:cstheme="minorHAnsi"/>
          <w:color w:val="auto"/>
          <w:sz w:val="22"/>
          <w:szCs w:val="22"/>
        </w:rPr>
      </w:pPr>
      <w:r w:rsidRPr="000D38AC">
        <w:rPr>
          <w:rFonts w:asciiTheme="minorHAnsi" w:hAnsiTheme="minorHAnsi" w:cstheme="minorHAnsi"/>
          <w:sz w:val="22"/>
          <w:szCs w:val="22"/>
          <w:shd w:val="clear" w:color="auto" w:fill="FFFFFF"/>
        </w:rPr>
        <w:t>Waite, M., 2007. </w:t>
      </w:r>
      <w:r w:rsidRPr="000D38AC">
        <w:rPr>
          <w:rFonts w:asciiTheme="minorHAnsi" w:hAnsiTheme="minorHAnsi" w:cstheme="minorHAnsi"/>
          <w:i/>
          <w:iCs/>
          <w:sz w:val="22"/>
          <w:szCs w:val="22"/>
          <w:shd w:val="clear" w:color="auto" w:fill="FFFFFF"/>
        </w:rPr>
        <w:t>Oxford dictionary and thesaurus</w:t>
      </w:r>
      <w:r w:rsidRPr="000D38AC">
        <w:rPr>
          <w:rFonts w:asciiTheme="minorHAnsi" w:hAnsiTheme="minorHAnsi" w:cstheme="minorHAnsi"/>
          <w:sz w:val="22"/>
          <w:szCs w:val="22"/>
          <w:shd w:val="clear" w:color="auto" w:fill="FFFFFF"/>
        </w:rPr>
        <w:t>. Oxford: Oxford University Press.</w:t>
      </w:r>
      <w:r w:rsidR="00A7585B" w:rsidRPr="000D38AC">
        <w:rPr>
          <w:rFonts w:asciiTheme="minorHAnsi" w:hAnsiTheme="minorHAnsi" w:cstheme="minorHAnsi"/>
          <w:sz w:val="22"/>
          <w:szCs w:val="22"/>
          <w:shd w:val="clear" w:color="auto" w:fill="FFFFFF"/>
        </w:rPr>
        <w:t xml:space="preserve"> Pp. </w:t>
      </w:r>
      <w:r w:rsidR="003130FB" w:rsidRPr="000D38AC">
        <w:rPr>
          <w:rFonts w:asciiTheme="minorHAnsi" w:hAnsiTheme="minorHAnsi" w:cstheme="minorHAnsi"/>
          <w:sz w:val="22"/>
          <w:szCs w:val="22"/>
          <w:shd w:val="clear" w:color="auto" w:fill="FFFFFF"/>
        </w:rPr>
        <w:t>1158</w:t>
      </w:r>
    </w:p>
    <w:p w14:paraId="5FF50C84" w14:textId="77777777" w:rsidR="00DF0597" w:rsidRPr="000D38AC" w:rsidRDefault="00DF0597" w:rsidP="00DF0597">
      <w:pPr>
        <w:pStyle w:val="NoSpacing"/>
        <w:rPr>
          <w:rFonts w:asciiTheme="minorHAnsi" w:hAnsiTheme="minorHAnsi" w:cstheme="minorHAnsi"/>
          <w:color w:val="auto"/>
          <w:sz w:val="22"/>
          <w:szCs w:val="22"/>
        </w:rPr>
      </w:pPr>
    </w:p>
    <w:p w14:paraId="20B2C4B0" w14:textId="678EA5BA" w:rsidR="00DF0597" w:rsidRPr="000D38AC" w:rsidRDefault="00DF0597" w:rsidP="00DF0597">
      <w:pPr>
        <w:pStyle w:val="NoSpacing"/>
        <w:rPr>
          <w:rFonts w:asciiTheme="minorHAnsi" w:hAnsiTheme="minorHAnsi" w:cstheme="minorHAnsi"/>
          <w:sz w:val="22"/>
          <w:szCs w:val="22"/>
          <w:shd w:val="clear" w:color="auto" w:fill="FFFFFF"/>
        </w:rPr>
      </w:pPr>
      <w:r w:rsidRPr="000D38AC">
        <w:rPr>
          <w:rFonts w:asciiTheme="minorHAnsi" w:hAnsiTheme="minorHAnsi" w:cstheme="minorHAnsi"/>
          <w:sz w:val="22"/>
          <w:szCs w:val="22"/>
          <w:shd w:val="clear" w:color="auto" w:fill="FFFFFF"/>
        </w:rPr>
        <w:t>Women’s Aid. 2022. </w:t>
      </w:r>
      <w:r w:rsidRPr="000D38AC">
        <w:rPr>
          <w:rFonts w:asciiTheme="minorHAnsi" w:hAnsiTheme="minorHAnsi" w:cstheme="minorHAnsi"/>
          <w:i/>
          <w:iCs/>
          <w:sz w:val="22"/>
          <w:szCs w:val="22"/>
          <w:shd w:val="clear" w:color="auto" w:fill="FFFFFF"/>
        </w:rPr>
        <w:t>Why don't women leave? - Women’s Aid</w:t>
      </w:r>
      <w:r w:rsidRPr="000D38AC">
        <w:rPr>
          <w:rFonts w:asciiTheme="minorHAnsi" w:hAnsiTheme="minorHAnsi" w:cstheme="minorHAnsi"/>
          <w:sz w:val="22"/>
          <w:szCs w:val="22"/>
          <w:shd w:val="clear" w:color="auto" w:fill="FFFFFF"/>
        </w:rPr>
        <w:t xml:space="preserve">. [online] Available at: </w:t>
      </w:r>
      <w:hyperlink r:id="rId30" w:history="1">
        <w:r w:rsidRPr="000D38AC">
          <w:rPr>
            <w:rStyle w:val="Hyperlink"/>
            <w:rFonts w:asciiTheme="minorHAnsi" w:hAnsiTheme="minorHAnsi" w:cstheme="minorHAnsi"/>
            <w:sz w:val="22"/>
            <w:szCs w:val="22"/>
            <w:shd w:val="clear" w:color="auto" w:fill="FFFFFF"/>
          </w:rPr>
          <w:t>https://www.womensaid.org.uk/information-support/what-is-domestic-abuse/women-leave/</w:t>
        </w:r>
      </w:hyperlink>
      <w:r w:rsidRPr="000D38AC">
        <w:rPr>
          <w:rFonts w:asciiTheme="minorHAnsi" w:hAnsiTheme="minorHAnsi" w:cstheme="minorHAnsi"/>
          <w:sz w:val="22"/>
          <w:szCs w:val="22"/>
          <w:shd w:val="clear" w:color="auto" w:fill="FFFFFF"/>
        </w:rPr>
        <w:t xml:space="preserve">  [Accessed 21 September 2022].</w:t>
      </w:r>
    </w:p>
    <w:p w14:paraId="6678B0B4" w14:textId="3F1FC4F4" w:rsidR="006C5A40" w:rsidRPr="000D38AC" w:rsidRDefault="006C5A40" w:rsidP="00DF0597">
      <w:pPr>
        <w:pStyle w:val="NoSpacing"/>
        <w:rPr>
          <w:rFonts w:asciiTheme="minorHAnsi" w:hAnsiTheme="minorHAnsi" w:cstheme="minorHAnsi"/>
          <w:sz w:val="22"/>
          <w:szCs w:val="22"/>
          <w:shd w:val="clear" w:color="auto" w:fill="FFFFFF"/>
        </w:rPr>
      </w:pPr>
    </w:p>
    <w:p w14:paraId="40D39D22" w14:textId="79A3FC38" w:rsidR="006C5A40" w:rsidRPr="000D38AC" w:rsidRDefault="006C5A40" w:rsidP="00DF0597">
      <w:pPr>
        <w:pStyle w:val="NoSpacing"/>
        <w:rPr>
          <w:rFonts w:asciiTheme="minorHAnsi" w:hAnsiTheme="minorHAnsi" w:cstheme="minorHAnsi"/>
          <w:sz w:val="22"/>
          <w:szCs w:val="22"/>
        </w:rPr>
      </w:pPr>
      <w:r w:rsidRPr="000D38AC">
        <w:rPr>
          <w:rFonts w:asciiTheme="minorHAnsi" w:hAnsiTheme="minorHAnsi" w:cstheme="minorHAnsi"/>
          <w:sz w:val="22"/>
          <w:szCs w:val="22"/>
          <w:shd w:val="clear" w:color="auto" w:fill="FFFFFF"/>
        </w:rPr>
        <w:t>Women’s Aid. 2022. </w:t>
      </w:r>
      <w:r w:rsidRPr="000D38AC">
        <w:rPr>
          <w:rFonts w:asciiTheme="minorHAnsi" w:hAnsiTheme="minorHAnsi" w:cstheme="minorHAnsi"/>
          <w:i/>
          <w:iCs/>
          <w:sz w:val="22"/>
          <w:szCs w:val="22"/>
          <w:shd w:val="clear" w:color="auto" w:fill="FFFFFF"/>
        </w:rPr>
        <w:t>Police and the CPS - Women’s Aid</w:t>
      </w:r>
      <w:r w:rsidRPr="000D38AC">
        <w:rPr>
          <w:rFonts w:asciiTheme="minorHAnsi" w:hAnsiTheme="minorHAnsi" w:cstheme="minorHAnsi"/>
          <w:sz w:val="22"/>
          <w:szCs w:val="22"/>
          <w:shd w:val="clear" w:color="auto" w:fill="FFFFFF"/>
        </w:rPr>
        <w:t xml:space="preserve">. [online] Available at: </w:t>
      </w:r>
      <w:hyperlink r:id="rId31" w:history="1">
        <w:r w:rsidR="00A36BFF" w:rsidRPr="000D38AC">
          <w:rPr>
            <w:rStyle w:val="Hyperlink"/>
            <w:rFonts w:asciiTheme="minorHAnsi" w:hAnsiTheme="minorHAnsi" w:cstheme="minorHAnsi"/>
            <w:sz w:val="22"/>
            <w:szCs w:val="22"/>
            <w:shd w:val="clear" w:color="auto" w:fill="FFFFFF"/>
          </w:rPr>
          <w:t>https://www.womensaid.org.uk/information-support/the-survivors-handbook/police-and-the-cps/</w:t>
        </w:r>
      </w:hyperlink>
      <w:r w:rsidR="00A36BFF" w:rsidRPr="000D38AC">
        <w:rPr>
          <w:rFonts w:asciiTheme="minorHAnsi" w:hAnsiTheme="minorHAnsi" w:cstheme="minorHAnsi"/>
          <w:sz w:val="22"/>
          <w:szCs w:val="22"/>
          <w:shd w:val="clear" w:color="auto" w:fill="FFFFFF"/>
        </w:rPr>
        <w:t xml:space="preserve"> </w:t>
      </w:r>
      <w:r w:rsidRPr="000D38AC">
        <w:rPr>
          <w:rFonts w:asciiTheme="minorHAnsi" w:hAnsiTheme="minorHAnsi" w:cstheme="minorHAnsi"/>
          <w:sz w:val="22"/>
          <w:szCs w:val="22"/>
          <w:shd w:val="clear" w:color="auto" w:fill="FFFFFF"/>
        </w:rPr>
        <w:t xml:space="preserve"> [Accessed 21 September 2022].</w:t>
      </w:r>
    </w:p>
    <w:sectPr w:rsidR="006C5A40" w:rsidRPr="000D38A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9C297" w14:textId="77777777" w:rsidR="00852374" w:rsidRDefault="00852374">
      <w:r>
        <w:separator/>
      </w:r>
    </w:p>
  </w:endnote>
  <w:endnote w:type="continuationSeparator" w:id="0">
    <w:p w14:paraId="4803C0DB" w14:textId="77777777" w:rsidR="00852374" w:rsidRDefault="00852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78817" w14:textId="77777777" w:rsidR="00DF0597" w:rsidRDefault="00DF05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6BDDE" w14:textId="77777777" w:rsidR="00DF0597" w:rsidRDefault="00DF05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838596" w14:textId="77777777" w:rsidR="00852374" w:rsidRDefault="00852374">
      <w:r>
        <w:separator/>
      </w:r>
    </w:p>
  </w:footnote>
  <w:footnote w:type="continuationSeparator" w:id="0">
    <w:p w14:paraId="42615516" w14:textId="77777777" w:rsidR="00852374" w:rsidRDefault="008523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D6F8A" w14:textId="77777777" w:rsidR="00DF0597" w:rsidRDefault="00DF05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768C3" w14:textId="77777777" w:rsidR="00DF0597" w:rsidRDefault="00DF05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7FE62" w14:textId="77777777" w:rsidR="00DF0597" w:rsidRDefault="00DF0597">
    <w:pPr>
      <w:pStyle w:val="Header"/>
    </w:pPr>
  </w:p>
</w:hdr>
</file>

<file path=word/intelligence2.xml><?xml version="1.0" encoding="utf-8"?>
<int2:intelligence xmlns:int2="http://schemas.microsoft.com/office/intelligence/2020/intelligence">
  <int2:observations>
    <int2:textHash int2:hashCode="CIzEkdJ0/bblq0" int2:id="f+fQUpQP">
      <int2:state int2:type="AugLoop_Text_Critique" int2:value="Rejected"/>
    </int2:textHash>
    <int2:bookmark int2:bookmarkName="_Int_iqtpDieQ" int2:invalidationBookmarkName="" int2:hashCode="D4JDEQ/HN5+s4C" int2:id="cnnUzY7w">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BE25910"/>
    <w:lvl w:ilvl="0" w:tplc="54CECBB8">
      <w:start w:val="1"/>
      <w:numFmt w:val="decimal"/>
      <w:lvlText w:val="%1."/>
      <w:lvlJc w:val="left"/>
      <w:pPr>
        <w:ind w:left="720" w:hanging="360"/>
      </w:pPr>
    </w:lvl>
    <w:lvl w:ilvl="1" w:tplc="D624B030">
      <w:start w:val="1"/>
      <w:numFmt w:val="lowerLetter"/>
      <w:lvlText w:val="%2."/>
      <w:lvlJc w:val="left"/>
      <w:pPr>
        <w:ind w:left="1440" w:hanging="360"/>
      </w:pPr>
    </w:lvl>
    <w:lvl w:ilvl="2" w:tplc="A7947A7A">
      <w:start w:val="1"/>
      <w:numFmt w:val="lowerRoman"/>
      <w:lvlText w:val="%3."/>
      <w:lvlJc w:val="right"/>
      <w:pPr>
        <w:ind w:left="2160" w:hanging="180"/>
      </w:pPr>
    </w:lvl>
    <w:lvl w:ilvl="3" w:tplc="132CD1FC">
      <w:start w:val="1"/>
      <w:numFmt w:val="decimal"/>
      <w:lvlText w:val="%4."/>
      <w:lvlJc w:val="left"/>
      <w:pPr>
        <w:ind w:left="2880" w:hanging="360"/>
      </w:pPr>
    </w:lvl>
    <w:lvl w:ilvl="4" w:tplc="4B0C7CBC">
      <w:start w:val="1"/>
      <w:numFmt w:val="lowerLetter"/>
      <w:lvlText w:val="%5."/>
      <w:lvlJc w:val="left"/>
      <w:pPr>
        <w:ind w:left="3600" w:hanging="360"/>
      </w:pPr>
    </w:lvl>
    <w:lvl w:ilvl="5" w:tplc="95CC4730">
      <w:start w:val="1"/>
      <w:numFmt w:val="lowerRoman"/>
      <w:lvlText w:val="%6."/>
      <w:lvlJc w:val="right"/>
      <w:pPr>
        <w:ind w:left="4320" w:hanging="180"/>
      </w:pPr>
    </w:lvl>
    <w:lvl w:ilvl="6" w:tplc="836C5624">
      <w:start w:val="1"/>
      <w:numFmt w:val="decimal"/>
      <w:lvlText w:val="%7."/>
      <w:lvlJc w:val="left"/>
      <w:pPr>
        <w:ind w:left="5040" w:hanging="360"/>
      </w:pPr>
    </w:lvl>
    <w:lvl w:ilvl="7" w:tplc="1B6448F2">
      <w:start w:val="1"/>
      <w:numFmt w:val="lowerLetter"/>
      <w:lvlText w:val="%8."/>
      <w:lvlJc w:val="left"/>
      <w:pPr>
        <w:ind w:left="5760" w:hanging="360"/>
      </w:pPr>
    </w:lvl>
    <w:lvl w:ilvl="8" w:tplc="C40ECCE6">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2CB23494"/>
    <w:lvl w:ilvl="0" w:tplc="A00EDC3A">
      <w:start w:val="1"/>
      <w:numFmt w:val="decimal"/>
      <w:lvlText w:val="%1."/>
      <w:lvlJc w:val="left"/>
      <w:pPr>
        <w:ind w:left="720" w:hanging="360"/>
      </w:pPr>
    </w:lvl>
    <w:lvl w:ilvl="1" w:tplc="3CA4B442">
      <w:start w:val="1"/>
      <w:numFmt w:val="decimal"/>
      <w:lvlText w:val="%2."/>
      <w:lvlJc w:val="left"/>
      <w:pPr>
        <w:ind w:left="1440" w:hanging="360"/>
      </w:pPr>
    </w:lvl>
    <w:lvl w:ilvl="2" w:tplc="C9E84176">
      <w:start w:val="1"/>
      <w:numFmt w:val="lowerRoman"/>
      <w:lvlText w:val="%3."/>
      <w:lvlJc w:val="right"/>
      <w:pPr>
        <w:ind w:left="2160" w:hanging="180"/>
      </w:pPr>
    </w:lvl>
    <w:lvl w:ilvl="3" w:tplc="BACCAFD2">
      <w:start w:val="1"/>
      <w:numFmt w:val="decimal"/>
      <w:lvlText w:val="%4."/>
      <w:lvlJc w:val="left"/>
      <w:pPr>
        <w:ind w:left="2880" w:hanging="360"/>
      </w:pPr>
    </w:lvl>
    <w:lvl w:ilvl="4" w:tplc="C1A8E19C">
      <w:start w:val="1"/>
      <w:numFmt w:val="lowerLetter"/>
      <w:lvlText w:val="%5."/>
      <w:lvlJc w:val="left"/>
      <w:pPr>
        <w:ind w:left="3600" w:hanging="360"/>
      </w:pPr>
    </w:lvl>
    <w:lvl w:ilvl="5" w:tplc="D2A6C174">
      <w:start w:val="1"/>
      <w:numFmt w:val="lowerRoman"/>
      <w:lvlText w:val="%6."/>
      <w:lvlJc w:val="right"/>
      <w:pPr>
        <w:ind w:left="4320" w:hanging="180"/>
      </w:pPr>
    </w:lvl>
    <w:lvl w:ilvl="6" w:tplc="331C3980">
      <w:start w:val="1"/>
      <w:numFmt w:val="decimal"/>
      <w:lvlText w:val="%7."/>
      <w:lvlJc w:val="left"/>
      <w:pPr>
        <w:ind w:left="5040" w:hanging="360"/>
      </w:pPr>
    </w:lvl>
    <w:lvl w:ilvl="7" w:tplc="445E5DC8">
      <w:start w:val="1"/>
      <w:numFmt w:val="lowerLetter"/>
      <w:lvlText w:val="%8."/>
      <w:lvlJc w:val="left"/>
      <w:pPr>
        <w:ind w:left="5760" w:hanging="360"/>
      </w:pPr>
    </w:lvl>
    <w:lvl w:ilvl="8" w:tplc="5A5E39FC">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7"/>
  </w:num>
  <w:num w:numId="2">
    <w:abstractNumId w:val="10"/>
  </w:num>
  <w:num w:numId="3">
    <w:abstractNumId w:val="1"/>
    <w:lvlOverride w:ilvl="0">
      <w:lvl w:ilvl="0">
        <w:start w:val="1"/>
        <w:numFmt w:val="bullet"/>
        <w:lvlText w:val=""/>
        <w:lvlJc w:val="left"/>
        <w:pPr>
          <w:ind w:left="720" w:hanging="360"/>
        </w:pPr>
        <w:rPr>
          <w:rFonts w:ascii="Symbol" w:hAnsi="Symbol" w:hint="default"/>
        </w:rPr>
      </w:lvl>
    </w:lvlOverride>
  </w:num>
  <w:num w:numId="4">
    <w:abstractNumId w:val="22"/>
  </w:num>
  <w:num w:numId="5">
    <w:abstractNumId w:val="44"/>
  </w:num>
  <w:num w:numId="6">
    <w:abstractNumId w:val="46"/>
  </w:num>
  <w:num w:numId="7">
    <w:abstractNumId w:val="34"/>
  </w:num>
  <w:num w:numId="8">
    <w:abstractNumId w:val="32"/>
  </w:num>
  <w:num w:numId="9">
    <w:abstractNumId w:val="29"/>
  </w:num>
  <w:num w:numId="10">
    <w:abstractNumId w:val="30"/>
  </w:num>
  <w:num w:numId="11">
    <w:abstractNumId w:val="9"/>
  </w:num>
  <w:num w:numId="12">
    <w:abstractNumId w:val="33"/>
  </w:num>
  <w:num w:numId="13">
    <w:abstractNumId w:val="17"/>
  </w:num>
  <w:num w:numId="14">
    <w:abstractNumId w:val="16"/>
  </w:num>
  <w:num w:numId="15">
    <w:abstractNumId w:val="26"/>
  </w:num>
  <w:num w:numId="16">
    <w:abstractNumId w:val="7"/>
  </w:num>
  <w:num w:numId="17">
    <w:abstractNumId w:val="25"/>
  </w:num>
  <w:num w:numId="18">
    <w:abstractNumId w:val="15"/>
  </w:num>
  <w:num w:numId="19">
    <w:abstractNumId w:val="13"/>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num>
  <w:num w:numId="22">
    <w:abstractNumId w:val="18"/>
  </w:num>
  <w:num w:numId="23">
    <w:abstractNumId w:val="14"/>
  </w:num>
  <w:num w:numId="24">
    <w:abstractNumId w:val="11"/>
  </w:num>
  <w:num w:numId="25">
    <w:abstractNumId w:val="27"/>
  </w:num>
  <w:num w:numId="26">
    <w:abstractNumId w:val="19"/>
  </w:num>
  <w:num w:numId="27">
    <w:abstractNumId w:val="40"/>
  </w:num>
  <w:num w:numId="28">
    <w:abstractNumId w:val="35"/>
  </w:num>
  <w:num w:numId="29">
    <w:abstractNumId w:val="39"/>
  </w:num>
  <w:num w:numId="30">
    <w:abstractNumId w:val="20"/>
  </w:num>
  <w:num w:numId="31">
    <w:abstractNumId w:val="42"/>
  </w:num>
  <w:num w:numId="32">
    <w:abstractNumId w:val="31"/>
  </w:num>
  <w:num w:numId="33">
    <w:abstractNumId w:val="12"/>
  </w:num>
  <w:num w:numId="34">
    <w:abstractNumId w:val="43"/>
  </w:num>
  <w:num w:numId="35">
    <w:abstractNumId w:val="38"/>
  </w:num>
  <w:num w:numId="36">
    <w:abstractNumId w:val="4"/>
  </w:num>
  <w:num w:numId="37">
    <w:abstractNumId w:val="45"/>
  </w:num>
  <w:num w:numId="38">
    <w:abstractNumId w:val="41"/>
  </w:num>
  <w:num w:numId="39">
    <w:abstractNumId w:val="36"/>
  </w:num>
  <w:num w:numId="40">
    <w:abstractNumId w:val="37"/>
  </w:num>
  <w:num w:numId="41">
    <w:abstractNumId w:val="3"/>
  </w:num>
  <w:num w:numId="42">
    <w:abstractNumId w:val="5"/>
  </w:num>
  <w:num w:numId="43">
    <w:abstractNumId w:val="24"/>
  </w:num>
  <w:num w:numId="44">
    <w:abstractNumId w:val="6"/>
  </w:num>
  <w:num w:numId="45">
    <w:abstractNumId w:val="2"/>
  </w:num>
  <w:num w:numId="46">
    <w:abstractNumId w:val="0"/>
  </w:num>
  <w:num w:numId="47">
    <w:abstractNumId w:val="21"/>
  </w:num>
  <w:num w:numId="48">
    <w:abstractNumId w:val="28"/>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75B1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1FE4"/>
    <w:rsid w:val="000C378F"/>
    <w:rsid w:val="000C6892"/>
    <w:rsid w:val="000C6FFE"/>
    <w:rsid w:val="000D0BB6"/>
    <w:rsid w:val="000D38AC"/>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36509"/>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81627"/>
    <w:rsid w:val="00291ADD"/>
    <w:rsid w:val="00294868"/>
    <w:rsid w:val="00295CA1"/>
    <w:rsid w:val="002A291A"/>
    <w:rsid w:val="002A4324"/>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0FB"/>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565AD"/>
    <w:rsid w:val="00365DF9"/>
    <w:rsid w:val="0036668D"/>
    <w:rsid w:val="00372DB4"/>
    <w:rsid w:val="0037490C"/>
    <w:rsid w:val="00375AF5"/>
    <w:rsid w:val="003761BD"/>
    <w:rsid w:val="003769F6"/>
    <w:rsid w:val="00385414"/>
    <w:rsid w:val="00386179"/>
    <w:rsid w:val="00390074"/>
    <w:rsid w:val="00394CE5"/>
    <w:rsid w:val="00394EC2"/>
    <w:rsid w:val="0039762B"/>
    <w:rsid w:val="003A0C37"/>
    <w:rsid w:val="003A101F"/>
    <w:rsid w:val="003A1B6B"/>
    <w:rsid w:val="003A2F82"/>
    <w:rsid w:val="003A46C0"/>
    <w:rsid w:val="003A600E"/>
    <w:rsid w:val="003A6513"/>
    <w:rsid w:val="003B16C7"/>
    <w:rsid w:val="003B78E1"/>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516"/>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1758"/>
    <w:rsid w:val="00546187"/>
    <w:rsid w:val="005463F1"/>
    <w:rsid w:val="00552D6D"/>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5382"/>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1F00"/>
    <w:rsid w:val="006447DE"/>
    <w:rsid w:val="0065276E"/>
    <w:rsid w:val="00654329"/>
    <w:rsid w:val="00654B75"/>
    <w:rsid w:val="00654CEC"/>
    <w:rsid w:val="00655507"/>
    <w:rsid w:val="006712A7"/>
    <w:rsid w:val="006733CC"/>
    <w:rsid w:val="00674FC2"/>
    <w:rsid w:val="00677E42"/>
    <w:rsid w:val="00682334"/>
    <w:rsid w:val="00684B16"/>
    <w:rsid w:val="00694C00"/>
    <w:rsid w:val="00696F65"/>
    <w:rsid w:val="006A7A6D"/>
    <w:rsid w:val="006B5E67"/>
    <w:rsid w:val="006C2EB5"/>
    <w:rsid w:val="006C5A40"/>
    <w:rsid w:val="006D18A3"/>
    <w:rsid w:val="006D5970"/>
    <w:rsid w:val="006E481E"/>
    <w:rsid w:val="006E795F"/>
    <w:rsid w:val="00700249"/>
    <w:rsid w:val="0070604C"/>
    <w:rsid w:val="007069CD"/>
    <w:rsid w:val="00710D69"/>
    <w:rsid w:val="007110E6"/>
    <w:rsid w:val="007118BD"/>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2374"/>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181"/>
    <w:rsid w:val="008C2FFB"/>
    <w:rsid w:val="008C6EEA"/>
    <w:rsid w:val="008D5813"/>
    <w:rsid w:val="008D634E"/>
    <w:rsid w:val="008D778A"/>
    <w:rsid w:val="008D7B6C"/>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36BFF"/>
    <w:rsid w:val="00A40ED6"/>
    <w:rsid w:val="00A470EE"/>
    <w:rsid w:val="00A47621"/>
    <w:rsid w:val="00A479CD"/>
    <w:rsid w:val="00A50CFC"/>
    <w:rsid w:val="00A54D67"/>
    <w:rsid w:val="00A55A3F"/>
    <w:rsid w:val="00A56BC4"/>
    <w:rsid w:val="00A652F6"/>
    <w:rsid w:val="00A732EA"/>
    <w:rsid w:val="00A7489E"/>
    <w:rsid w:val="00A7585B"/>
    <w:rsid w:val="00A8015F"/>
    <w:rsid w:val="00A80BD2"/>
    <w:rsid w:val="00A85039"/>
    <w:rsid w:val="00A851F7"/>
    <w:rsid w:val="00A906AA"/>
    <w:rsid w:val="00A94C5E"/>
    <w:rsid w:val="00AA241A"/>
    <w:rsid w:val="00AA252C"/>
    <w:rsid w:val="00AA666E"/>
    <w:rsid w:val="00AB13E0"/>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222F"/>
    <w:rsid w:val="00BF3D13"/>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725"/>
    <w:rsid w:val="00CA7F4F"/>
    <w:rsid w:val="00CB258E"/>
    <w:rsid w:val="00CB3C8F"/>
    <w:rsid w:val="00CB75CE"/>
    <w:rsid w:val="00CC02F1"/>
    <w:rsid w:val="00CC11A6"/>
    <w:rsid w:val="00CC135E"/>
    <w:rsid w:val="00CD5D3F"/>
    <w:rsid w:val="00CF1E90"/>
    <w:rsid w:val="00CF3DB3"/>
    <w:rsid w:val="00D02DBF"/>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DF0597"/>
    <w:rsid w:val="00E03B6D"/>
    <w:rsid w:val="00E0649E"/>
    <w:rsid w:val="00E17160"/>
    <w:rsid w:val="00E35BEC"/>
    <w:rsid w:val="00E50821"/>
    <w:rsid w:val="00E50EF8"/>
    <w:rsid w:val="00E51F91"/>
    <w:rsid w:val="00E56B08"/>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EF695A"/>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Spacing">
    <w:name w:val="No Spacing"/>
    <w:uiPriority w:val="1"/>
    <w:qFormat/>
    <w:rsid w:val="00DF0597"/>
    <w:pPr>
      <w:overflowPunct w:val="0"/>
      <w:autoSpaceDE w:val="0"/>
      <w:autoSpaceDN w:val="0"/>
      <w:adjustRightInd w:val="0"/>
      <w:textAlignment w:val="baseline"/>
    </w:pPr>
    <w:rPr>
      <w:rFonts w:ascii="Arial" w:hAnsi="Arial" w:cs="Arial"/>
      <w:color w:val="000000"/>
      <w:lang w:eastAsia="en-GB"/>
    </w:rPr>
  </w:style>
  <w:style w:type="character" w:styleId="UnresolvedMention">
    <w:name w:val="Unresolved Mention"/>
    <w:basedOn w:val="DefaultParagraphFont"/>
    <w:uiPriority w:val="99"/>
    <w:semiHidden/>
    <w:unhideWhenUsed/>
    <w:rsid w:val="00DF05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504246511">
      <w:bodyDiv w:val="1"/>
      <w:marLeft w:val="0"/>
      <w:marRight w:val="0"/>
      <w:marTop w:val="0"/>
      <w:marBottom w:val="0"/>
      <w:divBdr>
        <w:top w:val="none" w:sz="0" w:space="0" w:color="auto"/>
        <w:left w:val="none" w:sz="0" w:space="0" w:color="auto"/>
        <w:bottom w:val="none" w:sz="0" w:space="0" w:color="auto"/>
        <w:right w:val="none" w:sz="0" w:space="0" w:color="auto"/>
      </w:divBdr>
    </w:div>
    <w:div w:id="1001591456">
      <w:bodyDiv w:val="1"/>
      <w:marLeft w:val="0"/>
      <w:marRight w:val="0"/>
      <w:marTop w:val="0"/>
      <w:marBottom w:val="0"/>
      <w:divBdr>
        <w:top w:val="none" w:sz="0" w:space="0" w:color="auto"/>
        <w:left w:val="none" w:sz="0" w:space="0" w:color="auto"/>
        <w:bottom w:val="none" w:sz="0" w:space="0" w:color="auto"/>
        <w:right w:val="none" w:sz="0" w:space="0" w:color="auto"/>
      </w:divBdr>
      <w:divsChild>
        <w:div w:id="905841773">
          <w:marLeft w:val="0"/>
          <w:marRight w:val="0"/>
          <w:marTop w:val="0"/>
          <w:marBottom w:val="0"/>
          <w:divBdr>
            <w:top w:val="none" w:sz="0" w:space="0" w:color="auto"/>
            <w:left w:val="none" w:sz="0" w:space="0" w:color="auto"/>
            <w:bottom w:val="none" w:sz="0" w:space="0" w:color="auto"/>
            <w:right w:val="none" w:sz="0" w:space="0" w:color="auto"/>
          </w:divBdr>
          <w:divsChild>
            <w:div w:id="66821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hyperlink" Target="https://www.college.police.uk/app/major-investigation-and-public-protection/domestic-abuse/first-response" TargetMode="External"/><Relationship Id="rId3" Type="http://schemas.openxmlformats.org/officeDocument/2006/relationships/customXml" Target="../customXml/item3.xml"/><Relationship Id="rId21" Type="http://schemas.openxmlformats.org/officeDocument/2006/relationships/header" Target="header3.xml"/><Relationship Id="rId34"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yperlink" Target="https://www.college.police.uk/app/major-investigation-and-public-protection/domestic-abuse/arrest-and-other-positive-approach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2.xml"/><Relationship Id="rId29" Type="http://schemas.openxmlformats.org/officeDocument/2006/relationships/hyperlink" Target="https://www.legislation.gov.uk/ukpga/2015/9/section/76/enact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ustomXml" Target="ink/ink1.xml"/><Relationship Id="rId23" Type="http://schemas.openxmlformats.org/officeDocument/2006/relationships/hyperlink" Target="https://clares-law.com/what-is-clares-law/" TargetMode="External"/><Relationship Id="rId28" Type="http://schemas.openxmlformats.org/officeDocument/2006/relationships/hyperlink" Target="https://www.gov.uk/government/news/major-review-of-police-response-to-domestic-violence" TargetMode="Externa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womensaid.org.uk/information-support/the-survivors-handbook/police-and-the-cp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footer" Target="footer3.xml"/><Relationship Id="rId27" Type="http://schemas.openxmlformats.org/officeDocument/2006/relationships/hyperlink" Target="http://www.jstor.org/stable/10.3138/9781442683402.11.%20Accessed%2021%20Sep.%202022" TargetMode="External"/><Relationship Id="rId30" Type="http://schemas.openxmlformats.org/officeDocument/2006/relationships/hyperlink" Target="https://www.womensaid.org.uk/information-support/what-is-domestic-abuse/women-leave/" TargetMode="External"/><Relationship Id="rId8"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2-10-20T19:31:06.202"/>
    </inkml:context>
    <inkml:brush xml:id="br0">
      <inkml:brushProperty name="width" value="0.05" units="cm"/>
      <inkml:brushProperty name="height" value="0.05" units="cm"/>
    </inkml:brush>
  </inkml:definitions>
  <inkml:trace contextRef="#ctx0" brushRef="#br0">195 477 6249 0 0,'0'0'65'0'0,"0"0"-1"0"0,1 0 1 0 0,-1 0-1 0 0,0 0 1 0 0,0 0-1 0 0,0 0 0 0 0,1 0 1 0 0,-1 0-1 0 0,0 0 1 0 0,0 0-1 0 0,0 0 1 0 0,1 0-1 0 0,-1 0 0 0 0,0 0 1 0 0,0 0-1 0 0,0 0 1 0 0,1 0-1 0 0,-1 0 1 0 0,0 0-1 0 0,0 0 0 0 0,0 0 1 0 0,1 0-1 0 0,-1 0 1 0 0,0 1-1 0 0,0-1 1 0 0,0 0-1 0 0,0 0 0 0 0,1 0 1 0 0,-1 0-1 0 0,0 0 1 0 0,0 0-1 0 0,0 1 1 0 0,0-1-1 0 0,0 0 1 0 0,0 0-1 0 0,1 0 0 0 0,-1 1 1 0 0,0-1-1 0 0,0 0 1 0 0,0 0-1 0 0,0 0 1 0 0,0 1-1 0 0,4 15 482 0 0,-2 18-631 0 0,-5-20 231 0 0,0 0 1 0 0,-1 0 0 0 0,0-1-1 0 0,-1 1 1 0 0,-10 18 0 0 0,-41 64 1073 0 0,17-31-448 0 0,20-31-269 0 0,-19 50-1 0 0,34-72-464 0 0,-1 1 1 0 0,2-1-1 0 0,0 1 0 0 0,0 0 0 0 0,1-1 1 0 0,1 1-1 0 0,0 26 0 0 0,2-32-40 0 0,1 0 0 0 0,-1 0 0 0 0,1 0 0 0 0,1-1 0 0 0,-1 1 0 0 0,1-1 0 0 0,0 1 0 0 0,8 11 0 0 0,-4-8-10 0 0,0 0 0 0 0,1 0 1 0 0,0-1-1 0 0,12 10 0 0 0,3-1-11 0 0,1 0 0 0 0,0-2 0 0 0,1-1 0 0 0,0-1 0 0 0,2-1 0 0 0,-1-1 0 0 0,1-2-1 0 0,42 11 1 0 0,-40-14-250 0 0,1-1 0 0 0,0-1 0 0 0,0-2-1 0 0,0-1 1 0 0,1-1 0 0 0,-1-1-1 0 0,0-2 1 0 0,33-7 0 0 0,-27 0-250 0 0,-5-4-136 0 0</inkml:trace>
  <inkml:trace contextRef="#ctx0" brushRef="#br0" timeOffset="453.06">237 384 9282 0 0,'9'-13'3544'0'0,"-8"12"-3514"0"0,0-1-1 0 0,0 0 1 0 0,1 1 0 0 0,-1-1-1 0 0,0 1 1 0 0,0 0-1 0 0,1-1 1 0 0,-1 1-1 0 0,1 0 1 0 0,-1 0-1 0 0,1 0 1 0 0,-1 0 0 0 0,4-2-1 0 0,66-19-884 0 0,-13 5-517 0 0,-35 8 1244 0 0,0 1-1 0 0,1 2 1 0 0,0 0-1 0 0,0 2 1 0 0,1 0 0 0 0,30 0-1 0 0,121 15-3216 0 0,-157-11 2193 0 0</inkml:trace>
  <inkml:trace contextRef="#ctx0" brushRef="#br0" timeOffset="906.12">23 873 8402 0 0,'1'-1'179'0'0,"-1"0"1"0"0,1 0 0 0 0,-1 1-1 0 0,1-1 1 0 0,-1 0 0 0 0,1 0-1 0 0,-1 1 1 0 0,1-1 0 0 0,0 1-1 0 0,-1-1 1 0 0,1 0 0 0 0,0 1-1 0 0,0-1 1 0 0,-1 1 0 0 0,1-1-1 0 0,0 1 1 0 0,0 0 0 0 0,0-1-1 0 0,0 1 1 0 0,0 0 0 0 0,1-1-1 0 0,26-6-913 0 0,-22 6 1025 0 0,49-13-678 0 0,70-7 1 0 0,-102 19 92 0 0,1 1 1 0 0,-1 0-1 0 0,0 2 1 0 0,1 1-1 0 0,41 9 1 0 0,-63-11 241 0 0,14 5-732 0 0,0-1 0 0 0,0-1-1 0 0,1-1 1 0 0,-1 0 0 0 0,1-1 0 0 0,28-2-1 0 0,-26-4-113 0 0</inkml:trace>
  <inkml:trace contextRef="#ctx0" brushRef="#br0" timeOffset="1374.8">688 409 8610 0 0,'-9'-8'3290'0'0,"0"0"-1220"0"0,16 22-2269 0 0,25 44-2812 0 0,50 122 0 0 0,-61-118 3597 0 0,-2 0 0 0 0,12 70 0 0 0,-26-103-45 0 0,4 17 168 0 0,-2 0 0 0 0,2 60 0 0 0,-9-103-764 0 0,0 0 0 0 0,0 0 0 0 0,-1-1 0 0 0,1 1 1 0 0,-1 0-1 0 0,0 0 0 0 0,-1 5 0 0 0,2-8 46 0 0,0 0-1 0 0,0 0 0 0 0,0 0 1 0 0,0 0-1 0 0,0 0 1 0 0,0 1-1 0 0,0-1 1 0 0,-1 0-1 0 0,1 0 0 0 0,0 0 1 0 0,0 0-1 0 0,0 0 1 0 0,0 0-1 0 0,0 0 1 0 0,0 0-1 0 0,0 0 0 0 0,0 0 1 0 0,0 0-1 0 0,0 1 1 0 0,0-1-1 0 0,0 0 1 0 0,0 0-1 0 0,0 0 0 0 0,-1 0 1 0 0,1 0-1 0 0,0 0 1 0 0,0 0-1 0 0,0 0 1 0 0,0 0-1 0 0,0 0 0 0 0,0 0 1 0 0,0 0-1 0 0,0 0 1 0 0,-1 0-1 0 0,1 0 1 0 0,0 0-1 0 0,0 0 0 0 0,0 0 1 0 0,0 0-1 0 0,0 0 1 0 0,0 0-1 0 0,0 0 0 0 0,0 0 1 0 0,0 0-1 0 0,-1 0 1 0 0,1 0-1 0 0,0 0 1 0 0,0 0-1 0 0,0 0 0 0 0,0 0 1 0 0,0 0-1 0 0,0-1 1 0 0,0 1-1 0 0,0 0 1 0 0,0 0-1 0 0,0 0 0 0 0,0 0 1 0 0,-1 0-1 0 0,-1-15-353 0 0,1-19 314 0 0,3 1 1 0 0,6-44 0 0 0,-1 21 115 0 0,34-266 615 0 0,-33 274-523 0 0,1 1 1 0 0,25-72-1 0 0,-28 104-159 0 0,0 0 1 0 0,0 1-1 0 0,2 0 1 0 0,-1 0-1 0 0,2 0 1 0 0,0 1-1 0 0,0 1 1 0 0,1-1-1 0 0,1 2 1 0 0,0-1-1 0 0,22-16 1 0 0,-27 24-16 0 0,1 0 0 0 0,-1 0 1 0 0,1 1-1 0 0,0 0 0 0 0,0 0 0 0 0,0 1 1 0 0,0 0-1 0 0,0 0 0 0 0,1 0 0 0 0,-1 1 1 0 0,1 0-1 0 0,-1 1 0 0 0,1 0 0 0 0,-1 0 1 0 0,1 0-1 0 0,-1 1 0 0 0,1 0 0 0 0,-1 1 1 0 0,0-1-1 0 0,13 6 0 0 0,-14-5 8 0 0,-1 1-1 0 0,1 0 0 0 0,0 0 1 0 0,-1 0-1 0 0,1 1 1 0 0,-1 0-1 0 0,0 0 0 0 0,0 1 1 0 0,-1-1-1 0 0,1 1 1 0 0,-1 0-1 0 0,0 0 0 0 0,0 0 1 0 0,-1 1-1 0 0,1-1 1 0 0,-1 1-1 0 0,-1 0 0 0 0,1 0 1 0 0,-1 0-1 0 0,0 0 1 0 0,0 1-1 0 0,-1-1 0 0 0,2 13 1 0 0,-3-14 4 0 0,0 0 1 0 0,0 0-1 0 0,-1 1 1 0 0,1-1-1 0 0,-1 0 0 0 0,0 0 1 0 0,-1 0-1 0 0,1 0 1 0 0,-1-1-1 0 0,0 1 1 0 0,0 0-1 0 0,-5 6 0 0 0,-3 4 12 0 0,-1 0-1 0 0,-15 15 1 0 0,15-18 4 0 0,-13 14 53 0 0,-2-1 1 0 0,-1-1-1 0 0,-1-1 0 0 0,-1-2 0 0 0,-1-1 1 0 0,-1-1-1 0 0,0-1 0 0 0,-38 14 0 0 0,61-29-201 0 0,0 0-1 0 0,0 0 0 0 0,0-1 1 0 0,0-1-1 0 0,0 1 0 0 0,0-1 1 0 0,-1-1-1 0 0,1 0 0 0 0,0 0 1 0 0,0 0-1 0 0,-1-1 0 0 0,-13-3 0 0 0,3-2-645 0 0,1 0-1 0 0,0-1 1 0 0,0-1-1 0 0,-20-12 0 0 0,16 7-462 0 0</inkml:trace>
  <inkml:trace contextRef="#ctx0" brushRef="#br0" timeOffset="1702.89">1583 306 2336 0 0,'-14'9'225'0'0,"-2"0"-690"0"0,0 2 409 0 0,1-1-392 0 0,1-2-136 0 0</inkml:trace>
  <inkml:trace contextRef="#ctx0" brushRef="#br0" timeOffset="2624.64">1379 332 5937 0 0,'-1'-7'4709'0'0,"1"24"-4305"0"0,1 0-417 0 0,0-1-141 0 0,-1 1 0 0 0,0-1 0 0 0,-1 1 0 0 0,-3 18 1 0 0,-38 287-233 0 0,42-315 447 0 0,0-1 1 0 0,0 1-1 0 0,0 0 0 0 0,1-1 1 0 0,0 1-1 0 0,1 0 1 0 0,2 7-1 0 0,-4-13-54 0 0,0 0 0 0 0,1 1 0 0 0,-1-1 0 0 0,0 0 0 0 0,1 0 0 0 0,-1 1 0 0 0,1-1 0 0 0,0 0 0 0 0,-1 0 0 0 0,1 0 0 0 0,0 0 0 0 0,0 0 0 0 0,0 0 0 0 0,0 0 0 0 0,0 0 0 0 0,0 0 0 0 0,0-1 0 0 0,0 1 0 0 0,0 0 0 0 0,0-1 0 0 0,0 1 0 0 0,0 0 0 0 0,0-1 0 0 0,1 0 0 0 0,-1 1-1 0 0,0-1 1 0 0,0 0 0 0 0,1 1 0 0 0,-1-1 0 0 0,0 0 0 0 0,1 0 0 0 0,-1 0 0 0 0,0 0 0 0 0,0 0 0 0 0,1 0 0 0 0,-1-1 0 0 0,0 1 0 0 0,0 0 0 0 0,1-1 0 0 0,-1 1 0 0 0,2-2 0 0 0,3-1 15 0 0,1 0 0 0 0,-1-1 0 0 0,0 0 0 0 0,0-1 0 0 0,0 1 0 0 0,-1-1 0 0 0,0 0 0 0 0,9-11 0 0 0,0-3 43 0 0,16-29 1 0 0,-6 9 12 0 0,145-240 310 0 0,-99 166-195 0 0,43-62 340 0 0,-90 141-377 0 0,-10 15 8 0 0,21-25 1 0 0,-30 39-131 0 0,0 1-1 0 0,0-1 1 0 0,1 1-1 0 0,0 1 1 0 0,0-1 0 0 0,0 0-1 0 0,0 1 1 0 0,0 0-1 0 0,1 0 1 0 0,6-1-1 0 0,-11 3-30 0 0,0 1-1 0 0,1-1 0 0 0,-1 1 0 0 0,1 0 0 0 0,-1 0 0 0 0,0-1 0 0 0,1 1 0 0 0,-1 0 0 0 0,0 0 0 0 0,1 0 0 0 0,-1 1 0 0 0,1-1 0 0 0,-1 0 0 0 0,0 0 0 0 0,1 1 0 0 0,-1-1 0 0 0,0 1 0 0 0,1-1 0 0 0,-1 1 1 0 0,0 0-1 0 0,0-1 0 0 0,0 1 0 0 0,0 0 0 0 0,0 0 0 0 0,1 0 0 0 0,-1 0 0 0 0,-1 0 0 0 0,1 0 0 0 0,0 0 0 0 0,0 0 0 0 0,0 0 0 0 0,-1 1 0 0 0,1-1 0 0 0,0 0 0 0 0,-1 0 0 0 0,1 2 0 0 0,2 5-9 0 0,-1 0 0 0 0,0 0 0 0 0,0 0 0 0 0,1 14 0 0 0,-3-21 6 0 0,3 57-23 0 0,-4 0-1 0 0,-13 110 0 0 0,7-107 33 0 0,0 11 52 0 0,-2 0 364 0 0,2 140-1 0 0,7-205-387 0 0,1-1 1 0 0,-1 1-1 0 0,1-1 0 0 0,1 0 1 0 0,-1 1-1 0 0,1-1 1 0 0,0 0-1 0 0,1 0 1 0 0,0 0-1 0 0,0 0 1 0 0,5 8-1 0 0,-6-12-31 0 0,0 0-1 0 0,0 0 1 0 0,0 0-1 0 0,0-1 1 0 0,0 1-1 0 0,0-1 1 0 0,0 1-1 0 0,0-1 1 0 0,1 0-1 0 0,-1 0 1 0 0,0 0-1 0 0,1 0 1 0 0,-1 0-1 0 0,1 0 1 0 0,-1-1-1 0 0,1 0 1 0 0,-1 1-1 0 0,1-1 1 0 0,-1 0-1 0 0,1 0 1 0 0,0 0-1 0 0,-1 0 1 0 0,1-1-1 0 0,-1 1 1 0 0,1-1 0 0 0,-1 1-1 0 0,1-1 1 0 0,-1 0-1 0 0,0 0 1 0 0,4-2-1 0 0,4-2-3 0 0,-1 0 0 0 0,1-1 0 0 0,-1 0 0 0 0,0-1 0 0 0,0 0 0 0 0,11-11 0 0 0,42-52-23 0 0,85-133-13 0 0,-70 94 85 0 0,-68 95-27 0 0,1 0-1 0 0,0 1 1 0 0,1 1 0 0 0,1 0-1 0 0,25-21 1 0 0,-36 32-21 0 0,-1 1-1 0 0,1-1 1 0 0,0 1 0 0 0,0-1-1 0 0,0 1 1 0 0,0 0-1 0 0,-1-1 1 0 0,1 1 0 0 0,0 0-1 0 0,0-1 1 0 0,0 1 0 0 0,0 0-1 0 0,0 0 1 0 0,0 0-1 0 0,0 0 1 0 0,0 0 0 0 0,0 0-1 0 0,0 0 1 0 0,0 0 0 0 0,0 0-1 0 0,0 1 1 0 0,0-1-1 0 0,0 0 1 0 0,1 1 0 0 0,-1 0-1 0 0,0 0 0 0 0,0 0 0 0 0,0 0 0 0 0,0 0 0 0 0,0 1 0 0 0,0-1 0 0 0,-1 0 0 0 0,1 0 0 0 0,0 0 0 0 0,-1 1 0 0 0,1-1 0 0 0,-1 0 0 0 0,1 1 0 0 0,0 1 0 0 0,0 5-3 0 0,0-1 0 0 0,0 1 0 0 0,-1-1 0 0 0,0 15-1 0 0,-9 48-70 0 0,-27 110 0 0 0,-34 68 3 0 0,-3 6 584 0 0,73-253-505 0 0,-6 32 194 0 0,6-33-196 0 0,0 1-1 0 0,0 0 0 0 0,0-1 1 0 0,-1 1-1 0 0,1 0 1 0 0,0-1-1 0 0,0 1 0 0 0,0 0 1 0 0,0 0-1 0 0,0-1 0 0 0,0 1 1 0 0,1 0-1 0 0,-1-1 0 0 0,0 1 1 0 0,0 0-1 0 0,0-1 1 0 0,1 1-1 0 0,-1-1 0 0 0,0 1 1 0 0,1 0-1 0 0,-1-1 0 0 0,0 1 1 0 0,1-1-1 0 0,-1 1 1 0 0,1-1-1 0 0,-1 1 0 0 0,1-1 1 0 0,-1 1-1 0 0,1-1 0 0 0,-1 1 1 0 0,1-1-1 0 0,-1 0 0 0 0,1 1 1 0 0,0-1-1 0 0,-1 0 1 0 0,2 1-1 0 0,1-2-12 0 0,0-1 1 0 0,0 1-1 0 0,-1-1 1 0 0,1 0-1 0 0,-1 0 1 0 0,1 0-1 0 0,-1 0 1 0 0,1 0-1 0 0,-1 0 1 0 0,0-1-1 0 0,2-3 1 0 0,4-2-24 0 0,41-46-59 0 0,-47 53 92 0 0,-1 0 0 0 0,1 1 0 0 0,-1-1-1 0 0,1 0 1 0 0,-1 0 0 0 0,1 1 0 0 0,0-1-1 0 0,-1 1 1 0 0,1-1 0 0 0,0 1 0 0 0,0 0-1 0 0,-1-1 1 0 0,1 1 0 0 0,0 0 0 0 0,0 0-1 0 0,-1 1 1 0 0,1-1 0 0 0,0 0 0 0 0,0 0-1 0 0,-1 1 1 0 0,1-1 0 0 0,0 1 0 0 0,-1 0-1 0 0,1-1 1 0 0,0 1 0 0 0,1 1 0 0 0,-1-1 2 0 0,0 0 0 0 0,0 0 0 0 0,1 0-1 0 0,-1 0 1 0 0,0-1 0 0 0,1 1 0 0 0,-1-1 0 0 0,0 0 0 0 0,1 1 0 0 0,-1-1 0 0 0,0 0 0 0 0,1 0 0 0 0,-1-1 0 0 0,3 0 0 0 0,12-7-2 0 0,-1-1 1 0 0,0 0-1 0 0,-1-1 1 0 0,0-1-1 0 0,23-23 1 0 0,19-11-24 0 0,-30 24 2 0 0,32-20 6 0 0,-53 37 2 0 0,0 1 1 0 0,1 0-1 0 0,0 0 1 0 0,-1 0-1 0 0,1 1 1 0 0,0 0-1 0 0,11-1 1 0 0,-17 2 4 0 0,0 1-1 0 0,0 0 1 0 0,0 0 0 0 0,0 0 0 0 0,0 0-1 0 0,0 0 1 0 0,0 1 0 0 0,0-1 0 0 0,0 0 0 0 0,0 0-1 0 0,0 1 1 0 0,0-1 0 0 0,-1 0 0 0 0,1 1-1 0 0,0-1 1 0 0,0 1 0 0 0,0-1 0 0 0,-1 1-1 0 0,1-1 1 0 0,0 1 0 0 0,0 0 0 0 0,-1-1-1 0 0,1 1 1 0 0,0 1 0 0 0,1 0-5 0 0,-1 1 0 0 0,0-1 1 0 0,0 0-1 0 0,0 1 0 0 0,0-1 1 0 0,-1 1-1 0 0,1-1 0 0 0,-1 1 0 0 0,1 3 1 0 0,-1 6-20 0 0,0 0 1 0 0,-1 0-1 0 0,-2 12 0 0 0,3-21 23 0 0,-4 28-15 0 0,-14 153 666 0 0,18-177-560 0 0,0-1 0 0 0,0 1 0 0 0,1-1 0 0 0,0 1 0 0 0,0-1 0 0 0,1 0 0 0 0,-1 1 0 0 0,1-1 0 0 0,1 0 0 0 0,-1 0 0 0 0,1 0 0 0 0,6 9 0 0 0,-6-11-42 0 0,0-1 0 0 0,0 1 0 0 0,1-1 0 0 0,0 1 0 0 0,-1-1 0 0 0,1 0 1 0 0,0 0-1 0 0,0-1 0 0 0,1 1 0 0 0,-1-1 0 0 0,1 0 0 0 0,-1 0 0 0 0,1-1 0 0 0,-1 1 0 0 0,1-1 0 0 0,0 0 0 0 0,9 1 0 0 0,11 0-27 0 0,0-2-1 0 0,0 0 1 0 0,0-2-1 0 0,0-1 1 0 0,41-10-1 0 0,122-44-57 0 0,-163 48 35 0 0,177-57 94 0 0,3 8 0 0 0,398-57-1 0 0,206 46 633 0 0,3 34-2437 0 0,-239 29-1979 0 0,-386 6 1702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5550</Words>
  <Characters>31636</Characters>
  <Application>Microsoft Office Word</Application>
  <DocSecurity>0</DocSecurity>
  <Lines>263</Lines>
  <Paragraphs>74</Paragraphs>
  <ScaleCrop>false</ScaleCrop>
  <Company>Powys County Council</Company>
  <LinksUpToDate>false</LinksUpToDate>
  <CharactersWithSpaces>37112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Meadows,Evan swp6956</cp:lastModifiedBy>
  <cp:revision>2</cp:revision>
  <cp:lastPrinted>2014-08-26T08:55:00Z</cp:lastPrinted>
  <dcterms:created xsi:type="dcterms:W3CDTF">2022-10-27T20:03:00Z</dcterms:created>
  <dcterms:modified xsi:type="dcterms:W3CDTF">2022-10-27T20:03:00Z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2022-09-21T19:49:34Z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ccf54c38-4656-4122-9116-1cd711c525ec</vt:lpwstr>
  </property>
  <property fmtid="{D5CDD505-2E9C-101B-9397-08002B2CF9AE}" pid="9" name="MSIP_Label_66cf8fe5-b7b7-4df7-b38d-1c61ac2f6639_ContentBits">
    <vt:lpwstr>0</vt:lpwstr>
  </property>
</Properties>
</file>