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9255B" w:rsidR="0009255B" w:rsidP="5ED9664E" w:rsidRDefault="0009255B" w14:paraId="4CFF93E0" w14:textId="20E7BE71">
      <w:pPr>
        <w:pStyle w:val="Normal"/>
        <w:spacing w:line="360" w:lineRule="auto"/>
      </w:pPr>
      <w:r w:rsidR="089450E5">
        <w:drawing>
          <wp:inline wp14:editId="3DAD7EB7" wp14:anchorId="788606EE">
            <wp:extent cx="4362450" cy="1685925"/>
            <wp:effectExtent l="0" t="0" r="0" b="0"/>
            <wp:docPr id="976190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6190928" name="Picture 976190928"/>
                    <pic:cNvPicPr/>
                  </pic:nvPicPr>
                  <pic:blipFill>
                    <a:blip xmlns:r="http://schemas.openxmlformats.org/officeDocument/2006/relationships" r:embed="rId2023606427">
                      <a:extLst>
                        <a:ext uri="{28A0092B-C50C-407E-A947-70E740481C1C}">
                          <a14:useLocalDpi xmlns:a14="http://schemas.microsoft.com/office/drawing/2010/main"/>
                        </a:ext>
                      </a:extLst>
                    </a:blip>
                    <a:stretch>
                      <a:fillRect/>
                    </a:stretch>
                  </pic:blipFill>
                  <pic:spPr>
                    <a:xfrm>
                      <a:off x="0" y="0"/>
                      <a:ext cx="4362450" cy="1685925"/>
                    </a:xfrm>
                    <a:prstGeom prst="rect">
                      <a:avLst/>
                    </a:prstGeom>
                  </pic:spPr>
                </pic:pic>
              </a:graphicData>
            </a:graphic>
          </wp:inline>
        </w:drawing>
      </w:r>
    </w:p>
    <w:p w:rsidRPr="0009255B" w:rsidR="0009255B" w:rsidP="5ED9664E" w:rsidRDefault="0009255B" w14:paraId="219C0779" w14:textId="61CC46C6">
      <w:pPr>
        <w:pStyle w:val="Normal"/>
        <w:spacing w:line="360" w:lineRule="auto"/>
      </w:pPr>
    </w:p>
    <w:p w:rsidRPr="0009255B" w:rsidR="0009255B" w:rsidP="5ED9664E" w:rsidRDefault="0009255B" w14:paraId="2F697FAB" w14:textId="392EA62C">
      <w:pPr>
        <w:pStyle w:val="Normal"/>
        <w:spacing w:line="360" w:lineRule="auto"/>
      </w:pPr>
    </w:p>
    <w:p w:rsidRPr="0009255B" w:rsidR="0009255B" w:rsidP="5ED9664E" w:rsidRDefault="0009255B" w14:paraId="0150DB0E" w14:textId="229F6356">
      <w:pPr>
        <w:pStyle w:val="Normal"/>
        <w:spacing w:line="360" w:lineRule="auto"/>
      </w:pPr>
    </w:p>
    <w:p w:rsidRPr="0009255B" w:rsidR="0009255B" w:rsidP="31059CE2" w:rsidRDefault="0009255B" w14:paraId="17DA1634" w14:textId="5C6111D6">
      <w:pPr>
        <w:tabs>
          <w:tab w:val="left" w:leader="none" w:pos="6540"/>
        </w:tabs>
        <w:spacing w:after="220" w:line="360" w:lineRule="auto"/>
        <w:ind w:left="426"/>
        <w:rPr>
          <w:rFonts w:ascii="Arial" w:hAnsi="Arial" w:eastAsia="Arial" w:cs="Arial"/>
          <w:b w:val="1"/>
          <w:bCs w:val="1"/>
          <w:i w:val="0"/>
          <w:iCs w:val="0"/>
          <w:caps w:val="0"/>
          <w:smallCaps w:val="0"/>
          <w:noProof w:val="0"/>
          <w:color w:val="000000" w:themeColor="text1" w:themeTint="FF" w:themeShade="FF"/>
          <w:sz w:val="28"/>
          <w:szCs w:val="28"/>
          <w:lang w:val="en-GB"/>
        </w:rPr>
      </w:pPr>
      <w:r w:rsidRPr="31059CE2" w:rsidR="089450E5">
        <w:rPr>
          <w:rFonts w:ascii="Arial" w:hAnsi="Arial" w:eastAsia="Arial" w:cs="Arial"/>
          <w:b w:val="1"/>
          <w:bCs w:val="1"/>
          <w:i w:val="0"/>
          <w:iCs w:val="0"/>
          <w:caps w:val="0"/>
          <w:smallCaps w:val="0"/>
          <w:noProof w:val="0"/>
          <w:color w:val="000000" w:themeColor="text1" w:themeTint="FF" w:themeShade="FF"/>
          <w:sz w:val="28"/>
          <w:szCs w:val="28"/>
          <w:lang w:val="en-GB"/>
        </w:rPr>
        <w:t>Student name: Asya Zulfiqar</w:t>
      </w:r>
    </w:p>
    <w:p w:rsidRPr="0009255B" w:rsidR="0009255B" w:rsidP="31059CE2" w:rsidRDefault="0009255B" w14:paraId="485F6692" w14:textId="45455C30">
      <w:pPr>
        <w:tabs>
          <w:tab w:val="left" w:leader="none" w:pos="6540"/>
        </w:tabs>
        <w:spacing w:after="220" w:line="360" w:lineRule="auto"/>
        <w:ind w:left="426"/>
        <w:rPr>
          <w:rFonts w:ascii="Arial" w:hAnsi="Arial" w:eastAsia="Arial" w:cs="Arial"/>
          <w:b w:val="1"/>
          <w:bCs w:val="1"/>
          <w:i w:val="0"/>
          <w:iCs w:val="0"/>
          <w:caps w:val="0"/>
          <w:smallCaps w:val="0"/>
          <w:noProof w:val="0"/>
          <w:color w:val="000000" w:themeColor="text1" w:themeTint="FF" w:themeShade="FF"/>
          <w:sz w:val="28"/>
          <w:szCs w:val="28"/>
          <w:lang w:val="en-GB"/>
        </w:rPr>
      </w:pPr>
      <w:r w:rsidRPr="31059CE2" w:rsidR="089450E5">
        <w:rPr>
          <w:rFonts w:ascii="Arial" w:hAnsi="Arial" w:eastAsia="Arial" w:cs="Arial"/>
          <w:b w:val="1"/>
          <w:bCs w:val="1"/>
          <w:i w:val="0"/>
          <w:iCs w:val="0"/>
          <w:caps w:val="0"/>
          <w:smallCaps w:val="0"/>
          <w:noProof w:val="0"/>
          <w:color w:val="000000" w:themeColor="text1" w:themeTint="FF" w:themeShade="FF"/>
          <w:sz w:val="28"/>
          <w:szCs w:val="28"/>
          <w:lang w:val="en-GB"/>
        </w:rPr>
        <w:t xml:space="preserve">Student ID: </w:t>
      </w:r>
      <w:r w:rsidRPr="31059CE2" w:rsidR="089450E5">
        <w:rPr>
          <w:rFonts w:ascii="Arial" w:hAnsi="Arial" w:eastAsia="Arial" w:cs="Arial"/>
          <w:b w:val="1"/>
          <w:bCs w:val="1"/>
          <w:i w:val="0"/>
          <w:iCs w:val="0"/>
          <w:caps w:val="0"/>
          <w:smallCaps w:val="0"/>
          <w:noProof w:val="0"/>
          <w:color w:val="000000" w:themeColor="text1" w:themeTint="FF" w:themeShade="FF"/>
          <w:sz w:val="28"/>
          <w:szCs w:val="28"/>
          <w:lang w:val="en-GB"/>
        </w:rPr>
        <w:t>2229775</w:t>
      </w:r>
    </w:p>
    <w:p w:rsidRPr="0009255B" w:rsidR="0009255B" w:rsidP="31059CE2" w:rsidRDefault="0009255B" w14:paraId="5CC37DC7" w14:textId="3D589CBA">
      <w:pPr>
        <w:pStyle w:val="Normal"/>
        <w:tabs>
          <w:tab w:val="left" w:leader="none" w:pos="6540"/>
        </w:tabs>
        <w:spacing w:after="220" w:line="360" w:lineRule="auto"/>
        <w:ind w:left="426"/>
        <w:rPr>
          <w:rFonts w:ascii="Arial" w:hAnsi="Arial" w:eastAsia="Arial" w:cs="Arial"/>
          <w:b w:val="1"/>
          <w:bCs w:val="1"/>
          <w:noProof w:val="0"/>
          <w:sz w:val="28"/>
          <w:szCs w:val="28"/>
          <w:lang w:val="en-GB"/>
        </w:rPr>
      </w:pPr>
      <w:r w:rsidRPr="31059CE2" w:rsidR="30AD6F7E">
        <w:rPr>
          <w:rFonts w:ascii="Arial" w:hAnsi="Arial" w:eastAsia="Arial" w:cs="Arial"/>
          <w:b w:val="1"/>
          <w:bCs w:val="1"/>
          <w:noProof w:val="0"/>
          <w:sz w:val="28"/>
          <w:szCs w:val="28"/>
          <w:lang w:val="en-GB"/>
        </w:rPr>
        <w:t>Programme</w:t>
      </w:r>
      <w:r w:rsidRPr="31059CE2" w:rsidR="30AD6F7E">
        <w:rPr>
          <w:rFonts w:ascii="Arial" w:hAnsi="Arial" w:eastAsia="Arial" w:cs="Arial"/>
          <w:b w:val="1"/>
          <w:bCs w:val="1"/>
          <w:noProof w:val="0"/>
          <w:sz w:val="28"/>
          <w:szCs w:val="28"/>
          <w:lang w:val="en-GB"/>
        </w:rPr>
        <w:t>: BSc (</w:t>
      </w:r>
      <w:r w:rsidRPr="31059CE2" w:rsidR="30AD6F7E">
        <w:rPr>
          <w:rFonts w:ascii="Arial" w:hAnsi="Arial" w:eastAsia="Arial" w:cs="Arial"/>
          <w:b w:val="1"/>
          <w:bCs w:val="1"/>
          <w:noProof w:val="0"/>
          <w:sz w:val="28"/>
          <w:szCs w:val="28"/>
          <w:lang w:val="en-GB"/>
        </w:rPr>
        <w:t>Hons</w:t>
      </w:r>
      <w:r w:rsidRPr="31059CE2" w:rsidR="30AD6F7E">
        <w:rPr>
          <w:rFonts w:ascii="Arial" w:hAnsi="Arial" w:eastAsia="Arial" w:cs="Arial"/>
          <w:b w:val="1"/>
          <w:bCs w:val="1"/>
          <w:noProof w:val="0"/>
          <w:sz w:val="28"/>
          <w:szCs w:val="28"/>
          <w:lang w:val="en-GB"/>
        </w:rPr>
        <w:t xml:space="preserve">) Health </w:t>
      </w:r>
      <w:r w:rsidRPr="31059CE2" w:rsidR="30AD6F7E">
        <w:rPr>
          <w:rFonts w:ascii="Arial" w:hAnsi="Arial" w:eastAsia="Arial" w:cs="Arial"/>
          <w:b w:val="1"/>
          <w:bCs w:val="1"/>
          <w:noProof w:val="0"/>
          <w:sz w:val="28"/>
          <w:szCs w:val="28"/>
          <w:lang w:val="en-GB"/>
        </w:rPr>
        <w:t>and</w:t>
      </w:r>
      <w:r w:rsidRPr="31059CE2" w:rsidR="30AD6F7E">
        <w:rPr>
          <w:rFonts w:ascii="Arial" w:hAnsi="Arial" w:eastAsia="Arial" w:cs="Arial"/>
          <w:b w:val="1"/>
          <w:bCs w:val="1"/>
          <w:noProof w:val="0"/>
          <w:sz w:val="28"/>
          <w:szCs w:val="28"/>
          <w:lang w:val="en-GB"/>
        </w:rPr>
        <w:t xml:space="preserve"> </w:t>
      </w:r>
      <w:r w:rsidRPr="31059CE2" w:rsidR="30AD6F7E">
        <w:rPr>
          <w:rFonts w:ascii="Arial" w:hAnsi="Arial" w:eastAsia="Arial" w:cs="Arial"/>
          <w:b w:val="1"/>
          <w:bCs w:val="1"/>
          <w:noProof w:val="0"/>
          <w:sz w:val="28"/>
          <w:szCs w:val="28"/>
          <w:lang w:val="en-GB"/>
        </w:rPr>
        <w:t>Social</w:t>
      </w:r>
      <w:r w:rsidRPr="31059CE2" w:rsidR="30AD6F7E">
        <w:rPr>
          <w:rFonts w:ascii="Arial" w:hAnsi="Arial" w:eastAsia="Arial" w:cs="Arial"/>
          <w:b w:val="1"/>
          <w:bCs w:val="1"/>
          <w:noProof w:val="0"/>
          <w:sz w:val="28"/>
          <w:szCs w:val="28"/>
          <w:lang w:val="en-GB"/>
        </w:rPr>
        <w:t xml:space="preserve"> Care</w:t>
      </w:r>
    </w:p>
    <w:p w:rsidRPr="0009255B" w:rsidR="0009255B" w:rsidP="31059CE2" w:rsidRDefault="0009255B" w14:paraId="3D3A1A45" w14:textId="1DBE3A32">
      <w:pPr>
        <w:pStyle w:val="Normal"/>
        <w:tabs>
          <w:tab w:val="left" w:leader="none" w:pos="6540"/>
        </w:tabs>
        <w:spacing w:after="220" w:line="360" w:lineRule="auto"/>
        <w:ind w:left="426"/>
        <w:rPr>
          <w:rFonts w:ascii="Arial" w:hAnsi="Arial" w:eastAsia="Arial" w:cs="Arial"/>
          <w:b w:val="1"/>
          <w:bCs w:val="1"/>
          <w:i w:val="0"/>
          <w:iCs w:val="0"/>
          <w:caps w:val="0"/>
          <w:smallCaps w:val="0"/>
          <w:noProof w:val="0"/>
          <w:color w:val="000000" w:themeColor="text1" w:themeTint="FF" w:themeShade="FF"/>
          <w:sz w:val="28"/>
          <w:szCs w:val="28"/>
          <w:lang w:val="en-GB"/>
        </w:rPr>
      </w:pPr>
      <w:r w:rsidRPr="31059CE2" w:rsidR="63700124">
        <w:rPr>
          <w:rFonts w:ascii="Arial" w:hAnsi="Arial" w:eastAsia="Arial" w:cs="Arial"/>
          <w:b w:val="1"/>
          <w:bCs w:val="1"/>
          <w:i w:val="0"/>
          <w:iCs w:val="0"/>
          <w:caps w:val="0"/>
          <w:smallCaps w:val="0"/>
          <w:noProof w:val="0"/>
          <w:color w:val="000000" w:themeColor="text1" w:themeTint="FF" w:themeShade="FF"/>
          <w:sz w:val="28"/>
          <w:szCs w:val="28"/>
          <w:lang w:val="en-GB"/>
        </w:rPr>
        <w:t>Module Name: Health, Wellbeing and Sustainable Development</w:t>
      </w:r>
    </w:p>
    <w:p w:rsidRPr="0009255B" w:rsidR="0009255B" w:rsidP="31059CE2" w:rsidRDefault="0009255B" w14:paraId="100BF655" w14:textId="5B5CA4C7">
      <w:pPr>
        <w:pStyle w:val="Normal"/>
        <w:tabs>
          <w:tab w:val="left" w:leader="none" w:pos="6540"/>
        </w:tabs>
        <w:spacing w:after="220" w:line="360" w:lineRule="auto"/>
        <w:ind w:left="0"/>
        <w:rPr>
          <w:rFonts w:ascii="Arial" w:hAnsi="Arial" w:eastAsia="Arial" w:cs="Arial"/>
          <w:b w:val="1"/>
          <w:bCs w:val="1"/>
          <w:noProof w:val="0"/>
          <w:sz w:val="28"/>
          <w:szCs w:val="28"/>
          <w:lang w:val="en-GB"/>
        </w:rPr>
      </w:pPr>
      <w:r w:rsidRPr="31059CE2" w:rsidR="76D2D609">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31059CE2" w:rsidR="67D4CE84">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31059CE2" w:rsidR="12A4CF88">
        <w:rPr>
          <w:rFonts w:ascii="Arial" w:hAnsi="Arial" w:eastAsia="Arial" w:cs="Arial"/>
          <w:b w:val="1"/>
          <w:bCs w:val="1"/>
          <w:noProof w:val="0"/>
          <w:sz w:val="28"/>
          <w:szCs w:val="28"/>
          <w:lang w:val="en-GB"/>
        </w:rPr>
        <w:t xml:space="preserve">Assignment </w:t>
      </w:r>
      <w:r w:rsidRPr="31059CE2" w:rsidR="427DE70D">
        <w:rPr>
          <w:rFonts w:ascii="Arial" w:hAnsi="Arial" w:eastAsia="Arial" w:cs="Arial"/>
          <w:b w:val="1"/>
          <w:bCs w:val="1"/>
          <w:noProof w:val="0"/>
          <w:sz w:val="28"/>
          <w:szCs w:val="28"/>
          <w:lang w:val="en-GB"/>
        </w:rPr>
        <w:t>Title: Component</w:t>
      </w:r>
      <w:r w:rsidRPr="31059CE2" w:rsidR="564ED171">
        <w:rPr>
          <w:rFonts w:ascii="Arial" w:hAnsi="Arial" w:eastAsia="Arial" w:cs="Arial"/>
          <w:b w:val="1"/>
          <w:bCs w:val="1"/>
          <w:noProof w:val="0"/>
          <w:sz w:val="28"/>
          <w:szCs w:val="28"/>
          <w:lang w:val="en-GB"/>
        </w:rPr>
        <w:t xml:space="preserve"> 2</w:t>
      </w:r>
      <w:r w:rsidRPr="31059CE2" w:rsidR="30F89EE7">
        <w:rPr>
          <w:rFonts w:ascii="Arial" w:hAnsi="Arial" w:eastAsia="Arial" w:cs="Arial"/>
          <w:b w:val="1"/>
          <w:bCs w:val="1"/>
          <w:noProof w:val="0"/>
          <w:sz w:val="28"/>
          <w:szCs w:val="28"/>
          <w:lang w:val="en-GB"/>
        </w:rPr>
        <w:t xml:space="preserve"> -</w:t>
      </w:r>
      <w:r w:rsidRPr="31059CE2" w:rsidR="1A79A0C7">
        <w:rPr>
          <w:rFonts w:ascii="Arial" w:hAnsi="Arial" w:eastAsia="Arial" w:cs="Arial"/>
          <w:b w:val="1"/>
          <w:bCs w:val="1"/>
          <w:noProof w:val="0"/>
          <w:sz w:val="28"/>
          <w:szCs w:val="28"/>
          <w:lang w:val="en-GB"/>
        </w:rPr>
        <w:t xml:space="preserve"> </w:t>
      </w:r>
      <w:r w:rsidRPr="31059CE2" w:rsidR="564ED171">
        <w:rPr>
          <w:rFonts w:ascii="Arial" w:hAnsi="Arial" w:eastAsia="Arial" w:cs="Arial"/>
          <w:b w:val="1"/>
          <w:bCs w:val="1"/>
          <w:noProof w:val="0"/>
          <w:sz w:val="28"/>
          <w:szCs w:val="28"/>
          <w:lang w:val="en-GB"/>
        </w:rPr>
        <w:t xml:space="preserve">Written </w:t>
      </w:r>
      <w:r w:rsidRPr="31059CE2" w:rsidR="760FC0B8">
        <w:rPr>
          <w:rFonts w:ascii="Arial" w:hAnsi="Arial" w:eastAsia="Arial" w:cs="Arial"/>
          <w:b w:val="1"/>
          <w:bCs w:val="1"/>
          <w:noProof w:val="0"/>
          <w:sz w:val="28"/>
          <w:szCs w:val="28"/>
          <w:lang w:val="en-GB"/>
        </w:rPr>
        <w:t>Assignment (</w:t>
      </w:r>
      <w:r w:rsidRPr="31059CE2" w:rsidR="564ED171">
        <w:rPr>
          <w:rFonts w:ascii="Arial" w:hAnsi="Arial" w:eastAsia="Arial" w:cs="Arial"/>
          <w:b w:val="1"/>
          <w:bCs w:val="1"/>
          <w:noProof w:val="0"/>
          <w:sz w:val="28"/>
          <w:szCs w:val="28"/>
          <w:lang w:val="en-GB"/>
        </w:rPr>
        <w:t>Report)</w:t>
      </w:r>
    </w:p>
    <w:p w:rsidR="089450E5" w:rsidP="31059CE2" w:rsidRDefault="089450E5" w14:paraId="67C59B9C" w14:textId="64F86F02">
      <w:pPr>
        <w:pStyle w:val="Normal"/>
        <w:spacing w:line="360" w:lineRule="auto"/>
        <w:rPr>
          <w:rFonts w:ascii="Arial" w:hAnsi="Arial" w:eastAsia="Arial" w:cs="Arial"/>
          <w:b w:val="1"/>
          <w:bCs w:val="1"/>
          <w:noProof w:val="0"/>
          <w:sz w:val="28"/>
          <w:szCs w:val="28"/>
          <w:lang w:val="en-GB"/>
        </w:rPr>
      </w:pPr>
      <w:r w:rsidRPr="31059CE2" w:rsidR="089450E5">
        <w:rPr>
          <w:rFonts w:ascii="Arial" w:hAnsi="Arial" w:eastAsia="Arial" w:cs="Arial"/>
          <w:b w:val="1"/>
          <w:bCs w:val="1"/>
          <w:i w:val="0"/>
          <w:iCs w:val="0"/>
          <w:caps w:val="0"/>
          <w:smallCaps w:val="0"/>
          <w:noProof w:val="0"/>
          <w:color w:val="000000" w:themeColor="text1" w:themeTint="FF" w:themeShade="FF"/>
          <w:sz w:val="28"/>
          <w:szCs w:val="28"/>
          <w:lang w:val="en-GB"/>
        </w:rPr>
        <w:t xml:space="preserve">     Module code:</w:t>
      </w:r>
      <w:r w:rsidRPr="31059CE2" w:rsidR="26921F71">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31059CE2" w:rsidR="26921F71">
        <w:rPr>
          <w:rFonts w:ascii="Arial" w:hAnsi="Arial" w:eastAsia="Arial" w:cs="Arial"/>
          <w:b w:val="1"/>
          <w:bCs w:val="1"/>
          <w:noProof w:val="0"/>
          <w:sz w:val="28"/>
          <w:szCs w:val="28"/>
          <w:lang w:val="en-GB"/>
        </w:rPr>
        <w:t>BMHP6030</w:t>
      </w:r>
    </w:p>
    <w:p w:rsidR="31059CE2" w:rsidP="31059CE2" w:rsidRDefault="31059CE2" w14:paraId="04B81C2B" w14:textId="2B8EF901">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243D023C" w14:textId="22CB535F">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014B04C4" w14:textId="2C800EA2">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129ACC65" w14:textId="11E072DA">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5EFD1EDC" w14:textId="788B628D">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1206BF8F" w14:textId="5514B6F0">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7A0FE10E" w14:textId="339979A0">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419569BD" w14:textId="36F8A5E3">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23014955" w14:textId="74E91F1F">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16304A5B" w14:textId="201E22C4">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31059CE2" w:rsidP="31059CE2" w:rsidRDefault="31059CE2" w14:paraId="01AF8157" w14:textId="5D1285AC">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p>
    <w:p w:rsidR="12F5731C" w:rsidP="31059CE2" w:rsidRDefault="12F5731C" w14:paraId="0FF57229" w14:textId="3EA136D3">
      <w:pPr>
        <w:pStyle w:val="Normal"/>
        <w:spacing w:line="360" w:lineRule="auto"/>
        <w:rPr>
          <w:rFonts w:ascii="Arial" w:hAnsi="Arial" w:eastAsia="Arial" w:cs="Arial"/>
          <w:b w:val="1"/>
          <w:bCs w:val="1"/>
          <w:i w:val="0"/>
          <w:iCs w:val="0"/>
          <w:caps w:val="0"/>
          <w:smallCaps w:val="0"/>
          <w:noProof w:val="0"/>
          <w:color w:val="000000" w:themeColor="text1" w:themeTint="FF" w:themeShade="FF"/>
          <w:sz w:val="40"/>
          <w:szCs w:val="40"/>
          <w:lang w:val="en-US"/>
        </w:rPr>
      </w:pPr>
      <w:r w:rsidRPr="31059CE2" w:rsidR="12F5731C">
        <w:rPr>
          <w:rFonts w:ascii="Arial" w:hAnsi="Arial" w:eastAsia="Arial" w:cs="Arial"/>
          <w:b w:val="1"/>
          <w:bCs w:val="1"/>
          <w:i w:val="0"/>
          <w:iCs w:val="0"/>
          <w:caps w:val="0"/>
          <w:smallCaps w:val="0"/>
          <w:noProof w:val="0"/>
          <w:color w:val="000000" w:themeColor="text1" w:themeTint="FF" w:themeShade="FF"/>
          <w:sz w:val="40"/>
          <w:szCs w:val="40"/>
          <w:lang w:val="en-US"/>
        </w:rPr>
        <w:t>Contents</w:t>
      </w:r>
    </w:p>
    <w:sdt>
      <w:sdtPr>
        <w:id w:val="1948319149"/>
        <w:docPartObj>
          <w:docPartGallery w:val="Table of Contents"/>
          <w:docPartUnique/>
        </w:docPartObj>
      </w:sdtPr>
      <w:sdtContent>
        <w:p w:rsidR="31059CE2" w:rsidP="31059CE2" w:rsidRDefault="31059CE2" w14:paraId="1D1BBC09" w14:textId="69F83276">
          <w:pPr>
            <w:pStyle w:val="TOC2"/>
            <w:tabs>
              <w:tab w:val="right" w:leader="dot" w:pos="9015"/>
            </w:tabs>
            <w:bidi w:val="0"/>
            <w:rPr>
              <w:rStyle w:val="Hyperlink"/>
            </w:rPr>
          </w:pPr>
          <w:r>
            <w:fldChar w:fldCharType="begin"/>
          </w:r>
          <w:r>
            <w:instrText xml:space="preserve">TOC \o \z \u \h</w:instrText>
          </w:r>
          <w:r>
            <w:fldChar w:fldCharType="separate"/>
          </w:r>
          <w:hyperlink w:anchor="_Toc127181113">
            <w:r w:rsidRPr="31059CE2" w:rsidR="31059CE2">
              <w:rPr>
                <w:rStyle w:val="Hyperlink"/>
              </w:rPr>
              <w:t>Introduction</w:t>
            </w:r>
            <w:r>
              <w:tab/>
            </w:r>
            <w:r>
              <w:fldChar w:fldCharType="begin"/>
            </w:r>
            <w:r>
              <w:instrText xml:space="preserve">PAGEREF _Toc127181113 \h</w:instrText>
            </w:r>
            <w:r>
              <w:fldChar w:fldCharType="separate"/>
            </w:r>
            <w:r w:rsidRPr="31059CE2" w:rsidR="31059CE2">
              <w:rPr>
                <w:rStyle w:val="Hyperlink"/>
              </w:rPr>
              <w:t>3</w:t>
            </w:r>
            <w:r>
              <w:fldChar w:fldCharType="end"/>
            </w:r>
          </w:hyperlink>
        </w:p>
        <w:p w:rsidR="31059CE2" w:rsidP="31059CE2" w:rsidRDefault="31059CE2" w14:paraId="2A27E110" w14:textId="49A5192E">
          <w:pPr>
            <w:pStyle w:val="TOC2"/>
            <w:tabs>
              <w:tab w:val="right" w:leader="dot" w:pos="9015"/>
            </w:tabs>
            <w:bidi w:val="0"/>
            <w:rPr>
              <w:rStyle w:val="Hyperlink"/>
            </w:rPr>
          </w:pPr>
          <w:hyperlink w:anchor="_Toc830021110">
            <w:r w:rsidRPr="31059CE2" w:rsidR="31059CE2">
              <w:rPr>
                <w:rStyle w:val="Hyperlink"/>
              </w:rPr>
              <w:t>SDG 3 – Good Health and Wellbeing</w:t>
            </w:r>
            <w:r>
              <w:tab/>
            </w:r>
            <w:r>
              <w:fldChar w:fldCharType="begin"/>
            </w:r>
            <w:r>
              <w:instrText xml:space="preserve">PAGEREF _Toc830021110 \h</w:instrText>
            </w:r>
            <w:r>
              <w:fldChar w:fldCharType="separate"/>
            </w:r>
            <w:r w:rsidRPr="31059CE2" w:rsidR="31059CE2">
              <w:rPr>
                <w:rStyle w:val="Hyperlink"/>
              </w:rPr>
              <w:t>3</w:t>
            </w:r>
            <w:r>
              <w:fldChar w:fldCharType="end"/>
            </w:r>
          </w:hyperlink>
        </w:p>
        <w:p w:rsidR="31059CE2" w:rsidP="31059CE2" w:rsidRDefault="31059CE2" w14:paraId="72D777B7" w14:textId="076693DE">
          <w:pPr>
            <w:pStyle w:val="TOC3"/>
            <w:tabs>
              <w:tab w:val="right" w:leader="dot" w:pos="9015"/>
            </w:tabs>
            <w:bidi w:val="0"/>
            <w:rPr>
              <w:rStyle w:val="Hyperlink"/>
            </w:rPr>
          </w:pPr>
          <w:hyperlink w:anchor="_Toc1082425602">
            <w:r w:rsidRPr="31059CE2" w:rsidR="31059CE2">
              <w:rPr>
                <w:rStyle w:val="Hyperlink"/>
              </w:rPr>
              <w:t>Section 1 – Overview of SDG 3</w:t>
            </w:r>
            <w:r>
              <w:tab/>
            </w:r>
            <w:r>
              <w:fldChar w:fldCharType="begin"/>
            </w:r>
            <w:r>
              <w:instrText xml:space="preserve">PAGEREF _Toc1082425602 \h</w:instrText>
            </w:r>
            <w:r>
              <w:fldChar w:fldCharType="separate"/>
            </w:r>
            <w:r w:rsidRPr="31059CE2" w:rsidR="31059CE2">
              <w:rPr>
                <w:rStyle w:val="Hyperlink"/>
              </w:rPr>
              <w:t>3</w:t>
            </w:r>
            <w:r>
              <w:fldChar w:fldCharType="end"/>
            </w:r>
          </w:hyperlink>
        </w:p>
        <w:p w:rsidR="31059CE2" w:rsidP="31059CE2" w:rsidRDefault="31059CE2" w14:paraId="39486233" w14:textId="6B7D9AE3">
          <w:pPr>
            <w:pStyle w:val="TOC3"/>
            <w:tabs>
              <w:tab w:val="right" w:leader="dot" w:pos="9015"/>
            </w:tabs>
            <w:bidi w:val="0"/>
            <w:rPr>
              <w:rStyle w:val="Hyperlink"/>
            </w:rPr>
          </w:pPr>
          <w:hyperlink w:anchor="_Toc209034603">
            <w:r w:rsidRPr="31059CE2" w:rsidR="31059CE2">
              <w:rPr>
                <w:rStyle w:val="Hyperlink"/>
              </w:rPr>
              <w:t>Section 2 – Analyse current national and local policies</w:t>
            </w:r>
            <w:r>
              <w:tab/>
            </w:r>
            <w:r>
              <w:fldChar w:fldCharType="begin"/>
            </w:r>
            <w:r>
              <w:instrText xml:space="preserve">PAGEREF _Toc209034603 \h</w:instrText>
            </w:r>
            <w:r>
              <w:fldChar w:fldCharType="separate"/>
            </w:r>
            <w:r w:rsidRPr="31059CE2" w:rsidR="31059CE2">
              <w:rPr>
                <w:rStyle w:val="Hyperlink"/>
              </w:rPr>
              <w:t>4</w:t>
            </w:r>
            <w:r>
              <w:fldChar w:fldCharType="end"/>
            </w:r>
          </w:hyperlink>
        </w:p>
        <w:p w:rsidR="31059CE2" w:rsidP="31059CE2" w:rsidRDefault="31059CE2" w14:paraId="4EFC4DE8" w14:textId="7049325B">
          <w:pPr>
            <w:pStyle w:val="TOC3"/>
            <w:tabs>
              <w:tab w:val="right" w:leader="dot" w:pos="9015"/>
            </w:tabs>
            <w:bidi w:val="0"/>
            <w:rPr>
              <w:rStyle w:val="Hyperlink"/>
            </w:rPr>
          </w:pPr>
          <w:hyperlink w:anchor="_Toc1165717813">
            <w:r w:rsidRPr="31059CE2" w:rsidR="31059CE2">
              <w:rPr>
                <w:rStyle w:val="Hyperlink"/>
              </w:rPr>
              <w:t>Section 3 – Evaluate effectiveness using evidence</w:t>
            </w:r>
            <w:r>
              <w:tab/>
            </w:r>
            <w:r>
              <w:fldChar w:fldCharType="begin"/>
            </w:r>
            <w:r>
              <w:instrText xml:space="preserve">PAGEREF _Toc1165717813 \h</w:instrText>
            </w:r>
            <w:r>
              <w:fldChar w:fldCharType="separate"/>
            </w:r>
            <w:r w:rsidRPr="31059CE2" w:rsidR="31059CE2">
              <w:rPr>
                <w:rStyle w:val="Hyperlink"/>
              </w:rPr>
              <w:t>5</w:t>
            </w:r>
            <w:r>
              <w:fldChar w:fldCharType="end"/>
            </w:r>
          </w:hyperlink>
        </w:p>
        <w:p w:rsidR="31059CE2" w:rsidP="31059CE2" w:rsidRDefault="31059CE2" w14:paraId="43AB18EA" w14:textId="2255B48D">
          <w:pPr>
            <w:pStyle w:val="TOC3"/>
            <w:tabs>
              <w:tab w:val="right" w:leader="dot" w:pos="9015"/>
            </w:tabs>
            <w:bidi w:val="0"/>
            <w:rPr>
              <w:rStyle w:val="Hyperlink"/>
            </w:rPr>
          </w:pPr>
          <w:hyperlink w:anchor="_Toc2146154904">
            <w:r w:rsidRPr="31059CE2" w:rsidR="31059CE2">
              <w:rPr>
                <w:rStyle w:val="Hyperlink"/>
              </w:rPr>
              <w:t>Section 4 – Recommendations for improvement</w:t>
            </w:r>
            <w:r>
              <w:tab/>
            </w:r>
            <w:r>
              <w:fldChar w:fldCharType="begin"/>
            </w:r>
            <w:r>
              <w:instrText xml:space="preserve">PAGEREF _Toc2146154904 \h</w:instrText>
            </w:r>
            <w:r>
              <w:fldChar w:fldCharType="separate"/>
            </w:r>
            <w:r w:rsidRPr="31059CE2" w:rsidR="31059CE2">
              <w:rPr>
                <w:rStyle w:val="Hyperlink"/>
              </w:rPr>
              <w:t>5</w:t>
            </w:r>
            <w:r>
              <w:fldChar w:fldCharType="end"/>
            </w:r>
          </w:hyperlink>
        </w:p>
        <w:p w:rsidR="31059CE2" w:rsidP="31059CE2" w:rsidRDefault="31059CE2" w14:paraId="1052B10F" w14:textId="65929681">
          <w:pPr>
            <w:pStyle w:val="TOC2"/>
            <w:tabs>
              <w:tab w:val="right" w:leader="dot" w:pos="9015"/>
            </w:tabs>
            <w:bidi w:val="0"/>
            <w:rPr>
              <w:rStyle w:val="Hyperlink"/>
            </w:rPr>
          </w:pPr>
          <w:hyperlink w:anchor="_Toc47666193">
            <w:r w:rsidRPr="31059CE2" w:rsidR="31059CE2">
              <w:rPr>
                <w:rStyle w:val="Hyperlink"/>
              </w:rPr>
              <w:t>SDG 13 – Climate Action</w:t>
            </w:r>
            <w:r>
              <w:tab/>
            </w:r>
            <w:r>
              <w:fldChar w:fldCharType="begin"/>
            </w:r>
            <w:r>
              <w:instrText xml:space="preserve">PAGEREF _Toc47666193 \h</w:instrText>
            </w:r>
            <w:r>
              <w:fldChar w:fldCharType="separate"/>
            </w:r>
            <w:r w:rsidRPr="31059CE2" w:rsidR="31059CE2">
              <w:rPr>
                <w:rStyle w:val="Hyperlink"/>
              </w:rPr>
              <w:t>6</w:t>
            </w:r>
            <w:r>
              <w:fldChar w:fldCharType="end"/>
            </w:r>
          </w:hyperlink>
        </w:p>
        <w:p w:rsidR="31059CE2" w:rsidP="31059CE2" w:rsidRDefault="31059CE2" w14:paraId="08EFC06F" w14:textId="5B325254">
          <w:pPr>
            <w:pStyle w:val="TOC3"/>
            <w:tabs>
              <w:tab w:val="right" w:leader="dot" w:pos="9015"/>
            </w:tabs>
            <w:bidi w:val="0"/>
            <w:rPr>
              <w:rStyle w:val="Hyperlink"/>
            </w:rPr>
          </w:pPr>
          <w:hyperlink w:anchor="_Toc1962749780">
            <w:r w:rsidRPr="31059CE2" w:rsidR="31059CE2">
              <w:rPr>
                <w:rStyle w:val="Hyperlink"/>
              </w:rPr>
              <w:t>Section 1 – Overview of SDG 13</w:t>
            </w:r>
            <w:r>
              <w:tab/>
            </w:r>
            <w:r>
              <w:fldChar w:fldCharType="begin"/>
            </w:r>
            <w:r>
              <w:instrText xml:space="preserve">PAGEREF _Toc1962749780 \h</w:instrText>
            </w:r>
            <w:r>
              <w:fldChar w:fldCharType="separate"/>
            </w:r>
            <w:r w:rsidRPr="31059CE2" w:rsidR="31059CE2">
              <w:rPr>
                <w:rStyle w:val="Hyperlink"/>
              </w:rPr>
              <w:t>6</w:t>
            </w:r>
            <w:r>
              <w:fldChar w:fldCharType="end"/>
            </w:r>
          </w:hyperlink>
        </w:p>
        <w:p w:rsidR="31059CE2" w:rsidP="31059CE2" w:rsidRDefault="31059CE2" w14:paraId="05439F18" w14:textId="133B1B9B">
          <w:pPr>
            <w:pStyle w:val="TOC3"/>
            <w:tabs>
              <w:tab w:val="right" w:leader="dot" w:pos="9015"/>
            </w:tabs>
            <w:bidi w:val="0"/>
            <w:rPr>
              <w:rStyle w:val="Hyperlink"/>
            </w:rPr>
          </w:pPr>
          <w:hyperlink w:anchor="_Toc1927434399">
            <w:r w:rsidRPr="31059CE2" w:rsidR="31059CE2">
              <w:rPr>
                <w:rStyle w:val="Hyperlink"/>
              </w:rPr>
              <w:t>Section 2 – Analyse current national and local policies</w:t>
            </w:r>
            <w:r>
              <w:tab/>
            </w:r>
            <w:r>
              <w:fldChar w:fldCharType="begin"/>
            </w:r>
            <w:r>
              <w:instrText xml:space="preserve">PAGEREF _Toc1927434399 \h</w:instrText>
            </w:r>
            <w:r>
              <w:fldChar w:fldCharType="separate"/>
            </w:r>
            <w:r w:rsidRPr="31059CE2" w:rsidR="31059CE2">
              <w:rPr>
                <w:rStyle w:val="Hyperlink"/>
              </w:rPr>
              <w:t>7</w:t>
            </w:r>
            <w:r>
              <w:fldChar w:fldCharType="end"/>
            </w:r>
          </w:hyperlink>
        </w:p>
        <w:p w:rsidR="31059CE2" w:rsidP="31059CE2" w:rsidRDefault="31059CE2" w14:paraId="6846604D" w14:textId="49BDA004">
          <w:pPr>
            <w:pStyle w:val="TOC3"/>
            <w:tabs>
              <w:tab w:val="right" w:leader="dot" w:pos="9015"/>
            </w:tabs>
            <w:bidi w:val="0"/>
            <w:rPr>
              <w:rStyle w:val="Hyperlink"/>
            </w:rPr>
          </w:pPr>
          <w:hyperlink w:anchor="_Toc810022997">
            <w:r w:rsidRPr="31059CE2" w:rsidR="31059CE2">
              <w:rPr>
                <w:rStyle w:val="Hyperlink"/>
              </w:rPr>
              <w:t>Section 3 – Evaluate effectiveness using evidence</w:t>
            </w:r>
            <w:r>
              <w:tab/>
            </w:r>
            <w:r>
              <w:fldChar w:fldCharType="begin"/>
            </w:r>
            <w:r>
              <w:instrText xml:space="preserve">PAGEREF _Toc810022997 \h</w:instrText>
            </w:r>
            <w:r>
              <w:fldChar w:fldCharType="separate"/>
            </w:r>
            <w:r w:rsidRPr="31059CE2" w:rsidR="31059CE2">
              <w:rPr>
                <w:rStyle w:val="Hyperlink"/>
              </w:rPr>
              <w:t>8</w:t>
            </w:r>
            <w:r>
              <w:fldChar w:fldCharType="end"/>
            </w:r>
          </w:hyperlink>
        </w:p>
        <w:p w:rsidR="31059CE2" w:rsidP="31059CE2" w:rsidRDefault="31059CE2" w14:paraId="553E0C63" w14:textId="7D04E07F">
          <w:pPr>
            <w:pStyle w:val="TOC3"/>
            <w:tabs>
              <w:tab w:val="right" w:leader="dot" w:pos="9015"/>
            </w:tabs>
            <w:bidi w:val="0"/>
            <w:rPr>
              <w:rStyle w:val="Hyperlink"/>
            </w:rPr>
          </w:pPr>
          <w:hyperlink w:anchor="_Toc600002924">
            <w:r w:rsidRPr="31059CE2" w:rsidR="31059CE2">
              <w:rPr>
                <w:rStyle w:val="Hyperlink"/>
              </w:rPr>
              <w:t>Section 4 – Recommendations for improvement</w:t>
            </w:r>
            <w:r>
              <w:tab/>
            </w:r>
            <w:r>
              <w:fldChar w:fldCharType="begin"/>
            </w:r>
            <w:r>
              <w:instrText xml:space="preserve">PAGEREF _Toc600002924 \h</w:instrText>
            </w:r>
            <w:r>
              <w:fldChar w:fldCharType="separate"/>
            </w:r>
            <w:r w:rsidRPr="31059CE2" w:rsidR="31059CE2">
              <w:rPr>
                <w:rStyle w:val="Hyperlink"/>
              </w:rPr>
              <w:t>9</w:t>
            </w:r>
            <w:r>
              <w:fldChar w:fldCharType="end"/>
            </w:r>
          </w:hyperlink>
        </w:p>
        <w:p w:rsidR="31059CE2" w:rsidP="31059CE2" w:rsidRDefault="31059CE2" w14:paraId="3FA7A238" w14:textId="332837C2">
          <w:pPr>
            <w:pStyle w:val="TOC2"/>
            <w:tabs>
              <w:tab w:val="right" w:leader="dot" w:pos="9015"/>
            </w:tabs>
            <w:bidi w:val="0"/>
            <w:rPr>
              <w:rStyle w:val="Hyperlink"/>
            </w:rPr>
          </w:pPr>
          <w:hyperlink w:anchor="_Toc1772058538">
            <w:r w:rsidRPr="31059CE2" w:rsidR="31059CE2">
              <w:rPr>
                <w:rStyle w:val="Hyperlink"/>
              </w:rPr>
              <w:t>Overall Conclusion – summarise key insights</w:t>
            </w:r>
            <w:r>
              <w:tab/>
            </w:r>
            <w:r>
              <w:fldChar w:fldCharType="begin"/>
            </w:r>
            <w:r>
              <w:instrText xml:space="preserve">PAGEREF _Toc1772058538 \h</w:instrText>
            </w:r>
            <w:r>
              <w:fldChar w:fldCharType="separate"/>
            </w:r>
            <w:r w:rsidRPr="31059CE2" w:rsidR="31059CE2">
              <w:rPr>
                <w:rStyle w:val="Hyperlink"/>
              </w:rPr>
              <w:t>9</w:t>
            </w:r>
            <w:r>
              <w:fldChar w:fldCharType="end"/>
            </w:r>
          </w:hyperlink>
        </w:p>
        <w:p w:rsidR="31059CE2" w:rsidP="31059CE2" w:rsidRDefault="31059CE2" w14:paraId="2369AE40" w14:textId="15E2C9BD">
          <w:pPr>
            <w:pStyle w:val="TOC2"/>
            <w:tabs>
              <w:tab w:val="right" w:leader="dot" w:pos="9015"/>
            </w:tabs>
            <w:bidi w:val="0"/>
            <w:rPr>
              <w:rStyle w:val="Hyperlink"/>
            </w:rPr>
          </w:pPr>
          <w:hyperlink w:anchor="_Toc2047391599">
            <w:r w:rsidRPr="31059CE2" w:rsidR="31059CE2">
              <w:rPr>
                <w:rStyle w:val="Hyperlink"/>
              </w:rPr>
              <w:t>References</w:t>
            </w:r>
            <w:r>
              <w:tab/>
            </w:r>
            <w:r>
              <w:fldChar w:fldCharType="begin"/>
            </w:r>
            <w:r>
              <w:instrText xml:space="preserve">PAGEREF _Toc2047391599 \h</w:instrText>
            </w:r>
            <w:r>
              <w:fldChar w:fldCharType="separate"/>
            </w:r>
            <w:r w:rsidRPr="31059CE2" w:rsidR="31059CE2">
              <w:rPr>
                <w:rStyle w:val="Hyperlink"/>
              </w:rPr>
              <w:t>11</w:t>
            </w:r>
            <w:r>
              <w:fldChar w:fldCharType="end"/>
            </w:r>
          </w:hyperlink>
          <w:r>
            <w:fldChar w:fldCharType="end"/>
          </w:r>
        </w:p>
      </w:sdtContent>
    </w:sdt>
    <w:p w:rsidR="31059CE2" w:rsidP="31059CE2" w:rsidRDefault="31059CE2" w14:paraId="6D4B4274" w14:textId="77AB6BC3">
      <w:pPr>
        <w:pStyle w:val="Normal"/>
        <w:spacing w:line="360" w:lineRule="auto"/>
        <w:rPr>
          <w:rFonts w:ascii="Arial" w:hAnsi="Arial" w:eastAsia="Arial" w:cs="Arial"/>
          <w:b w:val="1"/>
          <w:bCs w:val="1"/>
          <w:i w:val="0"/>
          <w:iCs w:val="0"/>
          <w:caps w:val="0"/>
          <w:smallCaps w:val="0"/>
          <w:noProof w:val="0"/>
          <w:color w:val="000000" w:themeColor="text1" w:themeTint="FF" w:themeShade="FF"/>
          <w:sz w:val="40"/>
          <w:szCs w:val="40"/>
          <w:lang w:val="en-US"/>
        </w:rPr>
      </w:pPr>
    </w:p>
    <w:p w:rsidR="31059CE2" w:rsidP="31059CE2" w:rsidRDefault="31059CE2" w14:paraId="422FCD9A" w14:textId="1BC6CD93">
      <w:pPr>
        <w:pStyle w:val="Normal"/>
        <w:spacing w:line="360" w:lineRule="auto"/>
        <w:rPr>
          <w:rFonts w:ascii="Arial" w:hAnsi="Arial" w:eastAsia="Arial" w:cs="Arial"/>
          <w:b w:val="1"/>
          <w:bCs w:val="1"/>
          <w:i w:val="0"/>
          <w:iCs w:val="0"/>
          <w:caps w:val="0"/>
          <w:smallCaps w:val="0"/>
          <w:noProof w:val="0"/>
          <w:color w:val="000000" w:themeColor="text1" w:themeTint="FF" w:themeShade="FF"/>
          <w:sz w:val="40"/>
          <w:szCs w:val="40"/>
          <w:lang w:val="en-US"/>
        </w:rPr>
      </w:pPr>
    </w:p>
    <w:p w:rsidR="31059CE2" w:rsidP="31059CE2" w:rsidRDefault="31059CE2" w14:paraId="48D8420D" w14:textId="5C563EC3">
      <w:pPr>
        <w:pStyle w:val="Normal"/>
        <w:spacing w:line="360" w:lineRule="auto"/>
        <w:rPr>
          <w:rFonts w:ascii="Arial" w:hAnsi="Arial" w:eastAsia="Arial" w:cs="Arial"/>
          <w:b w:val="1"/>
          <w:bCs w:val="1"/>
          <w:i w:val="0"/>
          <w:iCs w:val="0"/>
          <w:caps w:val="0"/>
          <w:smallCaps w:val="0"/>
          <w:noProof w:val="0"/>
          <w:color w:val="000000" w:themeColor="text1" w:themeTint="FF" w:themeShade="FF"/>
          <w:sz w:val="40"/>
          <w:szCs w:val="40"/>
          <w:lang w:val="en-US"/>
        </w:rPr>
      </w:pPr>
    </w:p>
    <w:p w:rsidR="31059CE2" w:rsidP="31059CE2" w:rsidRDefault="31059CE2" w14:paraId="6C768416" w14:textId="2BD380D5">
      <w:pPr>
        <w:pStyle w:val="Normal"/>
        <w:spacing w:line="360" w:lineRule="auto"/>
        <w:rPr>
          <w:rFonts w:ascii="Arial" w:hAnsi="Arial" w:eastAsia="Arial" w:cs="Arial"/>
          <w:sz w:val="32"/>
          <w:szCs w:val="32"/>
        </w:rPr>
      </w:pPr>
    </w:p>
    <w:p w:rsidR="31059CE2" w:rsidP="31059CE2" w:rsidRDefault="31059CE2" w14:paraId="75B5C379" w14:textId="4A378430">
      <w:pPr>
        <w:pStyle w:val="Normal"/>
        <w:spacing w:line="360" w:lineRule="auto"/>
      </w:pPr>
    </w:p>
    <w:p w:rsidR="31059CE2" w:rsidP="31059CE2" w:rsidRDefault="31059CE2" w14:paraId="64CF7DF0" w14:textId="60D6E4AC">
      <w:pPr>
        <w:pStyle w:val="Normal"/>
        <w:spacing w:line="360" w:lineRule="auto"/>
      </w:pPr>
    </w:p>
    <w:p w:rsidR="31059CE2" w:rsidP="31059CE2" w:rsidRDefault="31059CE2" w14:paraId="063A6F9F" w14:textId="4B76C14D">
      <w:pPr>
        <w:pStyle w:val="Normal"/>
        <w:spacing w:line="360" w:lineRule="auto"/>
      </w:pPr>
    </w:p>
    <w:p w:rsidR="31059CE2" w:rsidP="31059CE2" w:rsidRDefault="31059CE2" w14:paraId="5D0AC660" w14:textId="7CD1CC61">
      <w:pPr>
        <w:pStyle w:val="Normal"/>
        <w:spacing w:line="360" w:lineRule="auto"/>
      </w:pPr>
    </w:p>
    <w:p w:rsidR="66A702BA" w:rsidP="31059CE2" w:rsidRDefault="66A702BA" w14:paraId="7616FA18" w14:textId="7C4F5CF2">
      <w:pPr>
        <w:pStyle w:val="Heading1"/>
        <w:rPr>
          <w:rFonts w:ascii="Arial" w:hAnsi="Arial" w:eastAsia="Arial" w:cs="Arial"/>
          <w:b w:val="1"/>
          <w:bCs w:val="1"/>
          <w:noProof w:val="0"/>
          <w:color w:val="auto"/>
          <w:lang w:val="en-GB"/>
        </w:rPr>
      </w:pPr>
      <w:r w:rsidRPr="31059CE2" w:rsidR="66A702BA">
        <w:rPr>
          <w:rFonts w:ascii="Arial" w:hAnsi="Arial" w:eastAsia="Arial" w:cs="Arial"/>
          <w:b w:val="1"/>
          <w:bCs w:val="1"/>
          <w:noProof w:val="0"/>
          <w:color w:val="auto"/>
          <w:lang w:val="en-GB"/>
        </w:rPr>
        <w:t>Current health, wellbeing and sustainability policies and initiatives that</w:t>
      </w:r>
      <w:r w:rsidRPr="31059CE2" w:rsidR="66A702BA">
        <w:rPr>
          <w:rFonts w:ascii="Arial" w:hAnsi="Arial" w:eastAsia="Arial" w:cs="Arial"/>
          <w:b w:val="1"/>
          <w:bCs w:val="1"/>
          <w:noProof w:val="0"/>
          <w:color w:val="auto"/>
          <w:lang w:val="en-GB"/>
        </w:rPr>
        <w:t xml:space="preserve"> </w:t>
      </w:r>
      <w:r w:rsidRPr="31059CE2" w:rsidR="66A702BA">
        <w:rPr>
          <w:rFonts w:ascii="Arial" w:hAnsi="Arial" w:eastAsia="Arial" w:cs="Arial"/>
          <w:b w:val="1"/>
          <w:bCs w:val="1"/>
          <w:noProof w:val="0"/>
          <w:color w:val="auto"/>
          <w:lang w:val="en-GB"/>
        </w:rPr>
        <w:t>impac</w:t>
      </w:r>
      <w:r w:rsidRPr="31059CE2" w:rsidR="66A702BA">
        <w:rPr>
          <w:rFonts w:ascii="Arial" w:hAnsi="Arial" w:eastAsia="Arial" w:cs="Arial"/>
          <w:b w:val="1"/>
          <w:bCs w:val="1"/>
          <w:noProof w:val="0"/>
          <w:color w:val="auto"/>
          <w:lang w:val="en-GB"/>
        </w:rPr>
        <w:t>t</w:t>
      </w:r>
      <w:r w:rsidRPr="31059CE2" w:rsidR="66A702BA">
        <w:rPr>
          <w:rFonts w:ascii="Arial" w:hAnsi="Arial" w:eastAsia="Arial" w:cs="Arial"/>
          <w:b w:val="1"/>
          <w:bCs w:val="1"/>
          <w:noProof w:val="0"/>
          <w:color w:val="auto"/>
          <w:lang w:val="en-GB"/>
        </w:rPr>
        <w:t xml:space="preserve"> citizens on a global,</w:t>
      </w:r>
      <w:r w:rsidRPr="31059CE2" w:rsidR="66A702BA">
        <w:rPr>
          <w:rFonts w:ascii="Arial" w:hAnsi="Arial" w:eastAsia="Arial" w:cs="Arial"/>
          <w:b w:val="1"/>
          <w:bCs w:val="1"/>
          <w:noProof w:val="0"/>
          <w:color w:val="auto"/>
          <w:lang w:val="en-GB"/>
        </w:rPr>
        <w:t xml:space="preserve"> </w:t>
      </w:r>
      <w:r w:rsidRPr="31059CE2" w:rsidR="66A702BA">
        <w:rPr>
          <w:rFonts w:ascii="Arial" w:hAnsi="Arial" w:eastAsia="Arial" w:cs="Arial"/>
          <w:b w:val="1"/>
          <w:bCs w:val="1"/>
          <w:noProof w:val="0"/>
          <w:color w:val="auto"/>
          <w:lang w:val="en-GB"/>
        </w:rPr>
        <w:t>nationa</w:t>
      </w:r>
      <w:r w:rsidRPr="31059CE2" w:rsidR="66A702BA">
        <w:rPr>
          <w:rFonts w:ascii="Arial" w:hAnsi="Arial" w:eastAsia="Arial" w:cs="Arial"/>
          <w:b w:val="1"/>
          <w:bCs w:val="1"/>
          <w:noProof w:val="0"/>
          <w:color w:val="auto"/>
          <w:lang w:val="en-GB"/>
        </w:rPr>
        <w:t>l</w:t>
      </w:r>
      <w:r w:rsidRPr="31059CE2" w:rsidR="66A702BA">
        <w:rPr>
          <w:rFonts w:ascii="Arial" w:hAnsi="Arial" w:eastAsia="Arial" w:cs="Arial"/>
          <w:b w:val="1"/>
          <w:bCs w:val="1"/>
          <w:noProof w:val="0"/>
          <w:color w:val="auto"/>
          <w:lang w:val="en-GB"/>
        </w:rPr>
        <w:t xml:space="preserve"> and local level</w:t>
      </w:r>
    </w:p>
    <w:p w:rsidR="31059CE2" w:rsidP="31059CE2" w:rsidRDefault="31059CE2" w14:paraId="19863A4E" w14:textId="71FE0975">
      <w:pPr>
        <w:pStyle w:val="Normal"/>
        <w:spacing w:line="360" w:lineRule="auto"/>
      </w:pPr>
    </w:p>
    <w:p w:rsidR="2419E8D4" w:rsidP="31059CE2" w:rsidRDefault="2419E8D4" w14:paraId="668D6E06" w14:textId="489F4F82">
      <w:pPr>
        <w:pStyle w:val="Heading2"/>
        <w:rPr>
          <w:rFonts w:ascii="Arial" w:hAnsi="Arial" w:eastAsia="Arial" w:cs="Arial"/>
          <w:b w:val="1"/>
          <w:bCs w:val="1"/>
          <w:i w:val="0"/>
          <w:iCs w:val="0"/>
          <w:caps w:val="0"/>
          <w:smallCaps w:val="0"/>
          <w:noProof w:val="0"/>
          <w:color w:val="auto"/>
          <w:sz w:val="28"/>
          <w:szCs w:val="28"/>
          <w:lang w:val="en-GB"/>
        </w:rPr>
      </w:pPr>
      <w:bookmarkStart w:name="_Toc127181113" w:id="603561843"/>
      <w:r w:rsidRPr="31059CE2" w:rsidR="2419E8D4">
        <w:rPr>
          <w:rFonts w:ascii="Arial" w:hAnsi="Arial" w:eastAsia="Arial" w:cs="Arial"/>
          <w:b w:val="1"/>
          <w:bCs w:val="1"/>
          <w:noProof w:val="0"/>
          <w:color w:val="auto"/>
          <w:sz w:val="28"/>
          <w:szCs w:val="28"/>
          <w:lang w:val="en-GB"/>
        </w:rPr>
        <w:t>Introduction</w:t>
      </w:r>
      <w:bookmarkEnd w:id="603561843"/>
    </w:p>
    <w:p w:rsidR="2419E8D4" w:rsidP="5ED9664E" w:rsidRDefault="2419E8D4" w14:paraId="3C535568" w14:textId="481D8F64">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The Sustainable Development Goals (SDGs) </w:t>
      </w:r>
      <w:r w:rsidRPr="5ED9664E" w:rsidR="2419E8D4">
        <w:rPr>
          <w:rFonts w:ascii="Arial" w:hAnsi="Arial" w:eastAsia="Arial" w:cs="Arial"/>
          <w:b w:val="0"/>
          <w:bCs w:val="0"/>
          <w:i w:val="0"/>
          <w:iCs w:val="0"/>
          <w:caps w:val="0"/>
          <w:smallCaps w:val="0"/>
          <w:noProof w:val="0"/>
          <w:color w:val="242424"/>
          <w:sz w:val="22"/>
          <w:szCs w:val="22"/>
          <w:lang w:val="en-GB"/>
        </w:rPr>
        <w:t>establish</w:t>
      </w:r>
      <w:r w:rsidRPr="5ED9664E" w:rsidR="2419E8D4">
        <w:rPr>
          <w:rFonts w:ascii="Arial" w:hAnsi="Arial" w:eastAsia="Arial" w:cs="Arial"/>
          <w:b w:val="0"/>
          <w:bCs w:val="0"/>
          <w:i w:val="0"/>
          <w:iCs w:val="0"/>
          <w:caps w:val="0"/>
          <w:smallCaps w:val="0"/>
          <w:noProof w:val="0"/>
          <w:color w:val="242424"/>
          <w:sz w:val="22"/>
          <w:szCs w:val="22"/>
          <w:lang w:val="en-GB"/>
        </w:rPr>
        <w:t xml:space="preserve"> an integrated framework for advancing global health, </w:t>
      </w:r>
      <w:r w:rsidRPr="5ED9664E" w:rsidR="2419E8D4">
        <w:rPr>
          <w:rFonts w:ascii="Arial" w:hAnsi="Arial" w:eastAsia="Arial" w:cs="Arial"/>
          <w:b w:val="0"/>
          <w:bCs w:val="0"/>
          <w:i w:val="0"/>
          <w:iCs w:val="0"/>
          <w:caps w:val="0"/>
          <w:smallCaps w:val="0"/>
          <w:noProof w:val="0"/>
          <w:color w:val="242424"/>
          <w:sz w:val="22"/>
          <w:szCs w:val="22"/>
          <w:lang w:val="en-GB"/>
        </w:rPr>
        <w:t>equity</w:t>
      </w:r>
      <w:r w:rsidRPr="5ED9664E" w:rsidR="2419E8D4">
        <w:rPr>
          <w:rFonts w:ascii="Arial" w:hAnsi="Arial" w:eastAsia="Arial" w:cs="Arial"/>
          <w:b w:val="0"/>
          <w:bCs w:val="0"/>
          <w:i w:val="0"/>
          <w:iCs w:val="0"/>
          <w:caps w:val="0"/>
          <w:smallCaps w:val="0"/>
          <w:noProof w:val="0"/>
          <w:color w:val="242424"/>
          <w:sz w:val="22"/>
          <w:szCs w:val="22"/>
          <w:lang w:val="en-GB"/>
        </w:rPr>
        <w:t xml:space="preserve"> and environmental sustainability (United Nations, 2022). Among them, SDG 3 (Good Health and Wellbeing) and SDG 13 (Climate Action) are structurally interdependent: climate change shapes health outcomes, while healthcare systems materially contribute to carbon emissions (WHO, 2023c; Lancet Countdown, 2023).</w:t>
      </w:r>
    </w:p>
    <w:p w:rsidR="2419E8D4" w:rsidP="5ED9664E" w:rsidRDefault="2419E8D4" w14:paraId="3E775681" w14:textId="0DF1C903">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This report critically examines policies linked to SDG 3 and SDG 13 across global, national (UK) and local levels. It argues that despite rhetorical alignment with the SDGs, implementation </w:t>
      </w:r>
      <w:r w:rsidRPr="5ED9664E" w:rsidR="2419E8D4">
        <w:rPr>
          <w:rFonts w:ascii="Arial" w:hAnsi="Arial" w:eastAsia="Arial" w:cs="Arial"/>
          <w:b w:val="0"/>
          <w:bCs w:val="0"/>
          <w:i w:val="0"/>
          <w:iCs w:val="0"/>
          <w:caps w:val="0"/>
          <w:smallCaps w:val="0"/>
          <w:noProof w:val="0"/>
          <w:color w:val="242424"/>
          <w:sz w:val="22"/>
          <w:szCs w:val="22"/>
          <w:lang w:val="en-GB"/>
        </w:rPr>
        <w:t>remains</w:t>
      </w:r>
      <w:r w:rsidRPr="5ED9664E" w:rsidR="2419E8D4">
        <w:rPr>
          <w:rFonts w:ascii="Arial" w:hAnsi="Arial" w:eastAsia="Arial" w:cs="Arial"/>
          <w:b w:val="0"/>
          <w:bCs w:val="0"/>
          <w:i w:val="0"/>
          <w:iCs w:val="0"/>
          <w:caps w:val="0"/>
          <w:smallCaps w:val="0"/>
          <w:noProof w:val="0"/>
          <w:color w:val="242424"/>
          <w:sz w:val="22"/>
          <w:szCs w:val="22"/>
          <w:lang w:val="en-GB"/>
        </w:rPr>
        <w:t xml:space="preserve"> constrained by austerity-driven governance, fragmented public health </w:t>
      </w:r>
      <w:r w:rsidRPr="5ED9664E" w:rsidR="2419E8D4">
        <w:rPr>
          <w:rFonts w:ascii="Arial" w:hAnsi="Arial" w:eastAsia="Arial" w:cs="Arial"/>
          <w:b w:val="0"/>
          <w:bCs w:val="0"/>
          <w:i w:val="0"/>
          <w:iCs w:val="0"/>
          <w:caps w:val="0"/>
          <w:smallCaps w:val="0"/>
          <w:noProof w:val="0"/>
          <w:color w:val="242424"/>
          <w:sz w:val="22"/>
          <w:szCs w:val="22"/>
          <w:lang w:val="en-GB"/>
        </w:rPr>
        <w:t>systems</w:t>
      </w:r>
      <w:r w:rsidRPr="5ED9664E" w:rsidR="2419E8D4">
        <w:rPr>
          <w:rFonts w:ascii="Arial" w:hAnsi="Arial" w:eastAsia="Arial" w:cs="Arial"/>
          <w:b w:val="0"/>
          <w:bCs w:val="0"/>
          <w:i w:val="0"/>
          <w:iCs w:val="0"/>
          <w:caps w:val="0"/>
          <w:smallCaps w:val="0"/>
          <w:noProof w:val="0"/>
          <w:color w:val="242424"/>
          <w:sz w:val="22"/>
          <w:szCs w:val="22"/>
          <w:lang w:val="en-GB"/>
        </w:rPr>
        <w:t xml:space="preserve"> and growth-oriented economic models incompatible with health equity. Consequently, progress towards sustainable and </w:t>
      </w:r>
      <w:r w:rsidRPr="5ED9664E" w:rsidR="2419E8D4">
        <w:rPr>
          <w:rFonts w:ascii="Arial" w:hAnsi="Arial" w:eastAsia="Arial" w:cs="Arial"/>
          <w:b w:val="0"/>
          <w:bCs w:val="0"/>
          <w:i w:val="0"/>
          <w:iCs w:val="0"/>
          <w:caps w:val="0"/>
          <w:smallCaps w:val="0"/>
          <w:noProof w:val="0"/>
          <w:color w:val="242424"/>
          <w:sz w:val="22"/>
          <w:szCs w:val="22"/>
          <w:lang w:val="en-GB"/>
        </w:rPr>
        <w:t>equitable</w:t>
      </w:r>
      <w:r w:rsidRPr="5ED9664E" w:rsidR="2419E8D4">
        <w:rPr>
          <w:rFonts w:ascii="Arial" w:hAnsi="Arial" w:eastAsia="Arial" w:cs="Arial"/>
          <w:b w:val="0"/>
          <w:bCs w:val="0"/>
          <w:i w:val="0"/>
          <w:iCs w:val="0"/>
          <w:caps w:val="0"/>
          <w:smallCaps w:val="0"/>
          <w:noProof w:val="0"/>
          <w:color w:val="242424"/>
          <w:sz w:val="22"/>
          <w:szCs w:val="22"/>
          <w:lang w:val="en-GB"/>
        </w:rPr>
        <w:t xml:space="preserve"> wellbeing </w:t>
      </w:r>
      <w:r w:rsidRPr="5ED9664E" w:rsidR="2419E8D4">
        <w:rPr>
          <w:rFonts w:ascii="Arial" w:hAnsi="Arial" w:eastAsia="Arial" w:cs="Arial"/>
          <w:b w:val="0"/>
          <w:bCs w:val="0"/>
          <w:i w:val="0"/>
          <w:iCs w:val="0"/>
          <w:caps w:val="0"/>
          <w:smallCaps w:val="0"/>
          <w:noProof w:val="0"/>
          <w:color w:val="242424"/>
          <w:sz w:val="22"/>
          <w:szCs w:val="22"/>
          <w:lang w:val="en-GB"/>
        </w:rPr>
        <w:t>remains</w:t>
      </w:r>
      <w:r w:rsidRPr="5ED9664E" w:rsidR="2419E8D4">
        <w:rPr>
          <w:rFonts w:ascii="Arial" w:hAnsi="Arial" w:eastAsia="Arial" w:cs="Arial"/>
          <w:b w:val="0"/>
          <w:bCs w:val="0"/>
          <w:i w:val="0"/>
          <w:iCs w:val="0"/>
          <w:caps w:val="0"/>
          <w:smallCaps w:val="0"/>
          <w:noProof w:val="0"/>
          <w:color w:val="242424"/>
          <w:sz w:val="22"/>
          <w:szCs w:val="22"/>
          <w:lang w:val="en-GB"/>
        </w:rPr>
        <w:t xml:space="preserve"> partial and uneven.</w:t>
      </w:r>
    </w:p>
    <w:p w:rsidR="2419E8D4" w:rsidP="5ED9664E" w:rsidRDefault="2419E8D4" w14:paraId="63E25C56" w14:textId="07A541F8">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In addition, the interaction between environmental degradation and social inequality further intensifies health disparities, particularly among vulnerable populations. Climate-related risks such as heatwaves, flooding and air pollution disproportionately affect low-income communities, reinforcing the urgency of integrated policy action.</w:t>
      </w:r>
    </w:p>
    <w:p w:rsidR="2419E8D4" w:rsidP="31059CE2" w:rsidRDefault="2419E8D4" w14:paraId="4D16482F" w14:textId="466E05AC">
      <w:pPr>
        <w:pStyle w:val="Heading2"/>
        <w:spacing w:line="360" w:lineRule="auto"/>
        <w:rPr>
          <w:rFonts w:ascii="Arial" w:hAnsi="Arial" w:eastAsia="Arial" w:cs="Arial"/>
          <w:b w:val="1"/>
          <w:bCs w:val="1"/>
          <w:i w:val="0"/>
          <w:iCs w:val="0"/>
          <w:caps w:val="0"/>
          <w:smallCaps w:val="0"/>
          <w:noProof w:val="0"/>
          <w:color w:val="auto"/>
          <w:sz w:val="28"/>
          <w:szCs w:val="28"/>
          <w:lang w:val="en-GB"/>
        </w:rPr>
      </w:pPr>
      <w:bookmarkStart w:name="_Toc830021110" w:id="1554890845"/>
      <w:r w:rsidRPr="31059CE2" w:rsidR="2419E8D4">
        <w:rPr>
          <w:rFonts w:ascii="Arial" w:hAnsi="Arial" w:eastAsia="Arial" w:cs="Arial"/>
          <w:b w:val="1"/>
          <w:bCs w:val="1"/>
          <w:noProof w:val="0"/>
          <w:color w:val="auto"/>
          <w:sz w:val="28"/>
          <w:szCs w:val="28"/>
          <w:lang w:val="en-GB"/>
        </w:rPr>
        <w:t>SDG 3 – Good Health and Wellbeing</w:t>
      </w:r>
      <w:bookmarkEnd w:id="1554890845"/>
    </w:p>
    <w:p w:rsidR="2419E8D4" w:rsidP="31059CE2" w:rsidRDefault="2419E8D4" w14:paraId="1C4C3824" w14:textId="32CEF11F">
      <w:pPr>
        <w:pStyle w:val="Heading3"/>
        <w:spacing w:line="360" w:lineRule="auto"/>
        <w:rPr>
          <w:rFonts w:ascii="Arial" w:hAnsi="Arial" w:eastAsia="Arial" w:cs="Arial"/>
          <w:b w:val="1"/>
          <w:bCs w:val="1"/>
          <w:i w:val="0"/>
          <w:iCs w:val="0"/>
          <w:caps w:val="0"/>
          <w:smallCaps w:val="0"/>
          <w:noProof w:val="0"/>
          <w:color w:val="auto"/>
          <w:sz w:val="22"/>
          <w:szCs w:val="22"/>
          <w:lang w:val="en-GB"/>
        </w:rPr>
      </w:pPr>
      <w:bookmarkStart w:name="_Toc1082425602" w:id="2142624712"/>
      <w:r w:rsidRPr="31059CE2" w:rsidR="2419E8D4">
        <w:rPr>
          <w:rFonts w:ascii="Arial" w:hAnsi="Arial" w:eastAsia="Arial" w:cs="Arial"/>
          <w:b w:val="1"/>
          <w:bCs w:val="1"/>
          <w:noProof w:val="0"/>
          <w:color w:val="auto"/>
          <w:sz w:val="22"/>
          <w:szCs w:val="22"/>
          <w:lang w:val="en-GB"/>
        </w:rPr>
        <w:t>Section 1 – Overview of SDG 3</w:t>
      </w:r>
      <w:bookmarkEnd w:id="2142624712"/>
    </w:p>
    <w:p w:rsidR="2419E8D4" w:rsidP="5ED9664E" w:rsidRDefault="2419E8D4" w14:paraId="7FF1DA2F" w14:textId="0AF77BFF">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SDG 3 seeks to “ensure healthy lives and promote wellbeing for all at all ages” (United Nations, 2022). Its targets include universal health coverage, reductions in communicable and non-communicable diseases, mental health </w:t>
      </w:r>
      <w:r w:rsidRPr="5ED9664E" w:rsidR="2419E8D4">
        <w:rPr>
          <w:rFonts w:ascii="Arial" w:hAnsi="Arial" w:eastAsia="Arial" w:cs="Arial"/>
          <w:b w:val="0"/>
          <w:bCs w:val="0"/>
          <w:i w:val="0"/>
          <w:iCs w:val="0"/>
          <w:caps w:val="0"/>
          <w:smallCaps w:val="0"/>
          <w:noProof w:val="0"/>
          <w:color w:val="242424"/>
          <w:sz w:val="22"/>
          <w:szCs w:val="22"/>
          <w:lang w:val="en-GB"/>
        </w:rPr>
        <w:t>promotion</w:t>
      </w:r>
      <w:r w:rsidRPr="5ED9664E" w:rsidR="2419E8D4">
        <w:rPr>
          <w:rFonts w:ascii="Arial" w:hAnsi="Arial" w:eastAsia="Arial" w:cs="Arial"/>
          <w:b w:val="0"/>
          <w:bCs w:val="0"/>
          <w:i w:val="0"/>
          <w:iCs w:val="0"/>
          <w:caps w:val="0"/>
          <w:smallCaps w:val="0"/>
          <w:noProof w:val="0"/>
          <w:color w:val="242424"/>
          <w:sz w:val="22"/>
          <w:szCs w:val="22"/>
          <w:lang w:val="en-GB"/>
        </w:rPr>
        <w:t xml:space="preserve"> and health system resilience.</w:t>
      </w:r>
    </w:p>
    <w:p w:rsidR="2419E8D4" w:rsidP="31059CE2" w:rsidRDefault="2419E8D4" w14:paraId="0A4A504B" w14:textId="02EC0947">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 xml:space="preserve">Global health governance has shifted from “international health” to complex, multi-actor “global health” arrangements (Brown, Cueto and Fee, 2006). WHO now coordinates transnational partnerships involving the World Bank and Global Fund (Ruger, 2005; WHO, 2025). While these structures mobilise resources, they embed managerial and market logics that can prioritise measurable outputs over structural equity (Kickbusch, </w:t>
      </w:r>
      <w:r w:rsidRPr="31059CE2" w:rsidR="2419E8D4">
        <w:rPr>
          <w:rFonts w:ascii="Arial" w:hAnsi="Arial" w:eastAsia="Arial" w:cs="Arial"/>
          <w:b w:val="0"/>
          <w:bCs w:val="0"/>
          <w:i w:val="0"/>
          <w:iCs w:val="0"/>
          <w:caps w:val="0"/>
          <w:smallCaps w:val="0"/>
          <w:noProof w:val="0"/>
          <w:color w:val="242424"/>
          <w:sz w:val="22"/>
          <w:szCs w:val="22"/>
          <w:lang w:val="en-GB"/>
        </w:rPr>
        <w:t>Szabo</w:t>
      </w:r>
      <w:r w:rsidRPr="31059CE2" w:rsidR="2419E8D4">
        <w:rPr>
          <w:rFonts w:ascii="Arial" w:hAnsi="Arial" w:eastAsia="Arial" w:cs="Arial"/>
          <w:b w:val="0"/>
          <w:bCs w:val="0"/>
          <w:i w:val="0"/>
          <w:iCs w:val="0"/>
          <w:caps w:val="0"/>
          <w:smallCaps w:val="0"/>
          <w:noProof w:val="0"/>
          <w:color w:val="242424"/>
          <w:sz w:val="22"/>
          <w:szCs w:val="22"/>
          <w:lang w:val="en-GB"/>
        </w:rPr>
        <w:t xml:space="preserve"> and Cassar, 2014).</w:t>
      </w:r>
    </w:p>
    <w:p w:rsidR="2419E8D4" w:rsidP="5ED9664E" w:rsidRDefault="2419E8D4" w14:paraId="5146F484" w14:textId="04530893">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WHO (2008; 2021) identifies health inequities as products of unequal power, income and living conditions. Yet progress </w:t>
      </w:r>
      <w:r w:rsidRPr="5ED9664E" w:rsidR="2419E8D4">
        <w:rPr>
          <w:rFonts w:ascii="Arial" w:hAnsi="Arial" w:eastAsia="Arial" w:cs="Arial"/>
          <w:b w:val="0"/>
          <w:bCs w:val="0"/>
          <w:i w:val="0"/>
          <w:iCs w:val="0"/>
          <w:caps w:val="0"/>
          <w:smallCaps w:val="0"/>
          <w:noProof w:val="0"/>
          <w:color w:val="242424"/>
          <w:sz w:val="22"/>
          <w:szCs w:val="22"/>
          <w:lang w:val="en-GB"/>
        </w:rPr>
        <w:t>remains</w:t>
      </w:r>
      <w:r w:rsidRPr="5ED9664E" w:rsidR="2419E8D4">
        <w:rPr>
          <w:rFonts w:ascii="Arial" w:hAnsi="Arial" w:eastAsia="Arial" w:cs="Arial"/>
          <w:b w:val="0"/>
          <w:bCs w:val="0"/>
          <w:i w:val="0"/>
          <w:iCs w:val="0"/>
          <w:caps w:val="0"/>
          <w:smallCaps w:val="0"/>
          <w:noProof w:val="0"/>
          <w:color w:val="242424"/>
          <w:sz w:val="22"/>
          <w:szCs w:val="22"/>
          <w:lang w:val="en-GB"/>
        </w:rPr>
        <w:t xml:space="preserve"> uneven (WHO, 2023b). In England, the Marmot Review (2020) </w:t>
      </w:r>
      <w:r w:rsidRPr="5ED9664E" w:rsidR="2419E8D4">
        <w:rPr>
          <w:rFonts w:ascii="Arial" w:hAnsi="Arial" w:eastAsia="Arial" w:cs="Arial"/>
          <w:b w:val="0"/>
          <w:bCs w:val="0"/>
          <w:i w:val="0"/>
          <w:iCs w:val="0"/>
          <w:caps w:val="0"/>
          <w:smallCaps w:val="0"/>
          <w:noProof w:val="0"/>
          <w:color w:val="242424"/>
          <w:sz w:val="22"/>
          <w:szCs w:val="22"/>
          <w:lang w:val="en-GB"/>
        </w:rPr>
        <w:t>demonstrates</w:t>
      </w:r>
      <w:r w:rsidRPr="5ED9664E" w:rsidR="2419E8D4">
        <w:rPr>
          <w:rFonts w:ascii="Arial" w:hAnsi="Arial" w:eastAsia="Arial" w:cs="Arial"/>
          <w:b w:val="0"/>
          <w:bCs w:val="0"/>
          <w:i w:val="0"/>
          <w:iCs w:val="0"/>
          <w:caps w:val="0"/>
          <w:smallCaps w:val="0"/>
          <w:noProof w:val="0"/>
          <w:color w:val="242424"/>
          <w:sz w:val="22"/>
          <w:szCs w:val="22"/>
          <w:lang w:val="en-GB"/>
        </w:rPr>
        <w:t xml:space="preserve"> stalled life expectancy and widening socioeconomic gradients since 2010. This exposes a structural contradiction: global commitment to equity coexists with domestic policies that have intensified inequality.</w:t>
      </w:r>
    </w:p>
    <w:p w:rsidR="2419E8D4" w:rsidP="5ED9664E" w:rsidRDefault="2419E8D4" w14:paraId="68A87B30" w14:textId="0126DA22">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Health security further illustrates governance fragility. The Ebola epidemic exposed systemic weaknesses in national systems and global coordination (Gostin and Friedman, 2015). Ongoing emerging infections reinforce the need for resilient infrastructure (CDC, 2023; UKHSA, 2025). SDG 3 therefore depends not only on healthcare provision but on redistributive and preventive policy across sectors.</w:t>
      </w:r>
    </w:p>
    <w:p w:rsidR="2419E8D4" w:rsidP="5ED9664E" w:rsidRDefault="2419E8D4" w14:paraId="6BCAF95C" w14:textId="2C0D20B4">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Moreover, demographic transitions, including population ageing and urbanisation, place </w:t>
      </w:r>
      <w:r w:rsidRPr="5ED9664E" w:rsidR="2419E8D4">
        <w:rPr>
          <w:rFonts w:ascii="Arial" w:hAnsi="Arial" w:eastAsia="Arial" w:cs="Arial"/>
          <w:b w:val="0"/>
          <w:bCs w:val="0"/>
          <w:i w:val="0"/>
          <w:iCs w:val="0"/>
          <w:caps w:val="0"/>
          <w:smallCaps w:val="0"/>
          <w:noProof w:val="0"/>
          <w:color w:val="242424"/>
          <w:sz w:val="22"/>
          <w:szCs w:val="22"/>
          <w:lang w:val="en-GB"/>
        </w:rPr>
        <w:t>additional</w:t>
      </w:r>
      <w:r w:rsidRPr="5ED9664E" w:rsidR="2419E8D4">
        <w:rPr>
          <w:rFonts w:ascii="Arial" w:hAnsi="Arial" w:eastAsia="Arial" w:cs="Arial"/>
          <w:b w:val="0"/>
          <w:bCs w:val="0"/>
          <w:i w:val="0"/>
          <w:iCs w:val="0"/>
          <w:caps w:val="0"/>
          <w:smallCaps w:val="0"/>
          <w:noProof w:val="0"/>
          <w:color w:val="242424"/>
          <w:sz w:val="22"/>
          <w:szCs w:val="22"/>
          <w:lang w:val="en-GB"/>
        </w:rPr>
        <w:t xml:space="preserve"> strain on health systems, requiring adaptive and anticipatory policy frameworks. Without sustained cross-sector coordination, commitments to resilience risk </w:t>
      </w:r>
      <w:r w:rsidRPr="5ED9664E" w:rsidR="2419E8D4">
        <w:rPr>
          <w:rFonts w:ascii="Arial" w:hAnsi="Arial" w:eastAsia="Arial" w:cs="Arial"/>
          <w:b w:val="0"/>
          <w:bCs w:val="0"/>
          <w:i w:val="0"/>
          <w:iCs w:val="0"/>
          <w:caps w:val="0"/>
          <w:smallCaps w:val="0"/>
          <w:noProof w:val="0"/>
          <w:color w:val="242424"/>
          <w:sz w:val="22"/>
          <w:szCs w:val="22"/>
          <w:lang w:val="en-GB"/>
        </w:rPr>
        <w:t>remaining</w:t>
      </w:r>
      <w:r w:rsidRPr="5ED9664E" w:rsidR="2419E8D4">
        <w:rPr>
          <w:rFonts w:ascii="Arial" w:hAnsi="Arial" w:eastAsia="Arial" w:cs="Arial"/>
          <w:b w:val="0"/>
          <w:bCs w:val="0"/>
          <w:i w:val="0"/>
          <w:iCs w:val="0"/>
          <w:caps w:val="0"/>
          <w:smallCaps w:val="0"/>
          <w:noProof w:val="0"/>
          <w:color w:val="242424"/>
          <w:sz w:val="22"/>
          <w:szCs w:val="22"/>
          <w:lang w:val="en-GB"/>
        </w:rPr>
        <w:t xml:space="preserve"> aspirational rather than operational.</w:t>
      </w:r>
    </w:p>
    <w:p w:rsidR="2419E8D4" w:rsidP="31059CE2" w:rsidRDefault="2419E8D4" w14:paraId="3D3BA3EF" w14:textId="636C74C2">
      <w:pPr>
        <w:pStyle w:val="Heading3"/>
        <w:spacing w:line="360" w:lineRule="auto"/>
        <w:rPr>
          <w:rFonts w:ascii="Arial" w:hAnsi="Arial" w:eastAsia="Arial" w:cs="Arial"/>
          <w:b w:val="1"/>
          <w:bCs w:val="1"/>
          <w:i w:val="0"/>
          <w:iCs w:val="0"/>
          <w:caps w:val="0"/>
          <w:smallCaps w:val="0"/>
          <w:noProof w:val="0"/>
          <w:color w:val="auto"/>
          <w:sz w:val="22"/>
          <w:szCs w:val="22"/>
          <w:lang w:val="en-GB"/>
        </w:rPr>
      </w:pPr>
      <w:bookmarkStart w:name="_Toc209034603" w:id="2005813724"/>
      <w:r w:rsidRPr="31059CE2" w:rsidR="2419E8D4">
        <w:rPr>
          <w:rFonts w:ascii="Arial" w:hAnsi="Arial" w:eastAsia="Arial" w:cs="Arial"/>
          <w:b w:val="1"/>
          <w:bCs w:val="1"/>
          <w:noProof w:val="0"/>
          <w:color w:val="auto"/>
          <w:sz w:val="22"/>
          <w:szCs w:val="22"/>
          <w:lang w:val="en-GB"/>
        </w:rPr>
        <w:t>Section 2 – Analyse current national and local policies</w:t>
      </w:r>
      <w:bookmarkEnd w:id="2005813724"/>
    </w:p>
    <w:p w:rsidR="2419E8D4" w:rsidP="5ED9664E" w:rsidRDefault="2419E8D4" w14:paraId="027201E1" w14:textId="0939F55E">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At national level, the NHS Long Term Plan emphasises prevention, digital </w:t>
      </w:r>
      <w:r w:rsidRPr="5ED9664E" w:rsidR="2419E8D4">
        <w:rPr>
          <w:rFonts w:ascii="Arial" w:hAnsi="Arial" w:eastAsia="Arial" w:cs="Arial"/>
          <w:b w:val="0"/>
          <w:bCs w:val="0"/>
          <w:i w:val="0"/>
          <w:iCs w:val="0"/>
          <w:caps w:val="0"/>
          <w:smallCaps w:val="0"/>
          <w:noProof w:val="0"/>
          <w:color w:val="242424"/>
          <w:sz w:val="22"/>
          <w:szCs w:val="22"/>
          <w:lang w:val="en-GB"/>
        </w:rPr>
        <w:t>innovation</w:t>
      </w:r>
      <w:r w:rsidRPr="5ED9664E" w:rsidR="2419E8D4">
        <w:rPr>
          <w:rFonts w:ascii="Arial" w:hAnsi="Arial" w:eastAsia="Arial" w:cs="Arial"/>
          <w:b w:val="0"/>
          <w:bCs w:val="0"/>
          <w:i w:val="0"/>
          <w:iCs w:val="0"/>
          <w:caps w:val="0"/>
          <w:smallCaps w:val="0"/>
          <w:noProof w:val="0"/>
          <w:color w:val="242424"/>
          <w:sz w:val="22"/>
          <w:szCs w:val="22"/>
          <w:lang w:val="en-GB"/>
        </w:rPr>
        <w:t xml:space="preserve"> and integrated care (NHS England, 2023). It aligns rhetorically with SDG 3 through commitments to earlier diagnosis, mental health </w:t>
      </w:r>
      <w:r w:rsidRPr="5ED9664E" w:rsidR="2419E8D4">
        <w:rPr>
          <w:rFonts w:ascii="Arial" w:hAnsi="Arial" w:eastAsia="Arial" w:cs="Arial"/>
          <w:b w:val="0"/>
          <w:bCs w:val="0"/>
          <w:i w:val="0"/>
          <w:iCs w:val="0"/>
          <w:caps w:val="0"/>
          <w:smallCaps w:val="0"/>
          <w:noProof w:val="0"/>
          <w:color w:val="242424"/>
          <w:sz w:val="22"/>
          <w:szCs w:val="22"/>
          <w:lang w:val="en-GB"/>
        </w:rPr>
        <w:t>expansion</w:t>
      </w:r>
      <w:r w:rsidRPr="5ED9664E" w:rsidR="2419E8D4">
        <w:rPr>
          <w:rFonts w:ascii="Arial" w:hAnsi="Arial" w:eastAsia="Arial" w:cs="Arial"/>
          <w:b w:val="0"/>
          <w:bCs w:val="0"/>
          <w:i w:val="0"/>
          <w:iCs w:val="0"/>
          <w:caps w:val="0"/>
          <w:smallCaps w:val="0"/>
          <w:noProof w:val="0"/>
          <w:color w:val="242424"/>
          <w:sz w:val="22"/>
          <w:szCs w:val="22"/>
          <w:lang w:val="en-GB"/>
        </w:rPr>
        <w:t xml:space="preserve"> and inequality reduction. The King’s Fund (2023) outlines strategic priorities including community partnership and data-driven targeting.</w:t>
      </w:r>
    </w:p>
    <w:p w:rsidR="2419E8D4" w:rsidP="5ED9664E" w:rsidRDefault="2419E8D4" w14:paraId="2C5433FF" w14:textId="7C06ABDE">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However, structural constraints limit transformative potential. The King’s Fund (2020) argues that acute service pressures restrict preventive investment. Arnold et al. (2025) highlight that waiting list recovery and productivity dominate NHS priorities, reflecting short-term fiscal imperatives. SDG 3 requires long-term social investment, yet NHS planning </w:t>
      </w:r>
      <w:r w:rsidRPr="5ED9664E" w:rsidR="2419E8D4">
        <w:rPr>
          <w:rFonts w:ascii="Arial" w:hAnsi="Arial" w:eastAsia="Arial" w:cs="Arial"/>
          <w:b w:val="0"/>
          <w:bCs w:val="0"/>
          <w:i w:val="0"/>
          <w:iCs w:val="0"/>
          <w:caps w:val="0"/>
          <w:smallCaps w:val="0"/>
          <w:noProof w:val="0"/>
          <w:color w:val="242424"/>
          <w:sz w:val="22"/>
          <w:szCs w:val="22"/>
          <w:lang w:val="en-GB"/>
        </w:rPr>
        <w:t>remains</w:t>
      </w:r>
      <w:r w:rsidRPr="5ED9664E" w:rsidR="2419E8D4">
        <w:rPr>
          <w:rFonts w:ascii="Arial" w:hAnsi="Arial" w:eastAsia="Arial" w:cs="Arial"/>
          <w:b w:val="0"/>
          <w:bCs w:val="0"/>
          <w:i w:val="0"/>
          <w:iCs w:val="0"/>
          <w:caps w:val="0"/>
          <w:smallCaps w:val="0"/>
          <w:noProof w:val="0"/>
          <w:color w:val="242424"/>
          <w:sz w:val="22"/>
          <w:szCs w:val="22"/>
          <w:lang w:val="en-GB"/>
        </w:rPr>
        <w:t xml:space="preserve"> politically reactive.</w:t>
      </w:r>
    </w:p>
    <w:p w:rsidR="2419E8D4" w:rsidP="5ED9664E" w:rsidRDefault="2419E8D4" w14:paraId="0E75FB59" w14:textId="1529CAE0">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Public health governance reform has intensified fragmentation. The dissolution of Public Health England and creation of UKHSA prioritised health protection but separated it from broader health improvement (</w:t>
      </w:r>
      <w:r w:rsidRPr="5ED9664E" w:rsidR="2419E8D4">
        <w:rPr>
          <w:rFonts w:ascii="Arial" w:hAnsi="Arial" w:eastAsia="Arial" w:cs="Arial"/>
          <w:b w:val="0"/>
          <w:bCs w:val="0"/>
          <w:i w:val="0"/>
          <w:iCs w:val="0"/>
          <w:caps w:val="0"/>
          <w:smallCaps w:val="0"/>
          <w:noProof w:val="0"/>
          <w:color w:val="242424"/>
          <w:sz w:val="22"/>
          <w:szCs w:val="22"/>
          <w:lang w:val="en-GB"/>
        </w:rPr>
        <w:t>Littlejohns</w:t>
      </w:r>
      <w:r w:rsidRPr="5ED9664E" w:rsidR="2419E8D4">
        <w:rPr>
          <w:rFonts w:ascii="Arial" w:hAnsi="Arial" w:eastAsia="Arial" w:cs="Arial"/>
          <w:b w:val="0"/>
          <w:bCs w:val="0"/>
          <w:i w:val="0"/>
          <w:iCs w:val="0"/>
          <w:caps w:val="0"/>
          <w:smallCaps w:val="0"/>
          <w:noProof w:val="0"/>
          <w:color w:val="242424"/>
          <w:sz w:val="22"/>
          <w:szCs w:val="22"/>
          <w:lang w:val="en-GB"/>
        </w:rPr>
        <w:t xml:space="preserve">, Hunter and Weale, 2023a). UKHSA (2025) </w:t>
      </w:r>
      <w:r w:rsidRPr="5ED9664E" w:rsidR="2419E8D4">
        <w:rPr>
          <w:rFonts w:ascii="Arial" w:hAnsi="Arial" w:eastAsia="Arial" w:cs="Arial"/>
          <w:b w:val="0"/>
          <w:bCs w:val="0"/>
          <w:i w:val="0"/>
          <w:iCs w:val="0"/>
          <w:caps w:val="0"/>
          <w:smallCaps w:val="0"/>
          <w:noProof w:val="0"/>
          <w:color w:val="242424"/>
          <w:sz w:val="22"/>
          <w:szCs w:val="22"/>
          <w:lang w:val="en-GB"/>
        </w:rPr>
        <w:t>identifies</w:t>
      </w:r>
      <w:r w:rsidRPr="5ED9664E" w:rsidR="2419E8D4">
        <w:rPr>
          <w:rFonts w:ascii="Arial" w:hAnsi="Arial" w:eastAsia="Arial" w:cs="Arial"/>
          <w:b w:val="0"/>
          <w:bCs w:val="0"/>
          <w:i w:val="0"/>
          <w:iCs w:val="0"/>
          <w:caps w:val="0"/>
          <w:smallCaps w:val="0"/>
          <w:noProof w:val="0"/>
          <w:color w:val="242424"/>
          <w:sz w:val="22"/>
          <w:szCs w:val="22"/>
          <w:lang w:val="en-GB"/>
        </w:rPr>
        <w:t xml:space="preserve"> inequalities in vaccination and infectious disease risk, yet health protection measures alone cannot address structural deprivation.</w:t>
      </w:r>
    </w:p>
    <w:p w:rsidR="2419E8D4" w:rsidP="5ED9664E" w:rsidRDefault="2419E8D4" w14:paraId="12538683" w14:textId="6998BD56">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Locally, Integrated Care Systems and community-centred practice frameworks aim to embed prevention through partnership (Public Health England, 2018). Behavioural theories such as the Theory of Planned Behaviour (</w:t>
      </w:r>
      <w:r w:rsidRPr="5ED9664E" w:rsidR="2419E8D4">
        <w:rPr>
          <w:rFonts w:ascii="Arial" w:hAnsi="Arial" w:eastAsia="Arial" w:cs="Arial"/>
          <w:b w:val="0"/>
          <w:bCs w:val="0"/>
          <w:i w:val="0"/>
          <w:iCs w:val="0"/>
          <w:caps w:val="0"/>
          <w:smallCaps w:val="0"/>
          <w:noProof w:val="0"/>
          <w:color w:val="242424"/>
          <w:sz w:val="22"/>
          <w:szCs w:val="22"/>
          <w:lang w:val="en-GB"/>
        </w:rPr>
        <w:t>Fossos</w:t>
      </w:r>
      <w:r w:rsidRPr="5ED9664E" w:rsidR="2419E8D4">
        <w:rPr>
          <w:rFonts w:ascii="Arial" w:hAnsi="Arial" w:eastAsia="Arial" w:cs="Arial"/>
          <w:b w:val="0"/>
          <w:bCs w:val="0"/>
          <w:i w:val="0"/>
          <w:iCs w:val="0"/>
          <w:caps w:val="0"/>
          <w:smallCaps w:val="0"/>
          <w:noProof w:val="0"/>
          <w:color w:val="242424"/>
          <w:sz w:val="22"/>
          <w:szCs w:val="22"/>
          <w:lang w:val="en-GB"/>
        </w:rPr>
        <w:t>, 2019) and Social Cognitive Theory (Nickerson, 2024) underpin interventions. Yet behaviour change strategies are limited where socioeconomic conditions constrain choice (Glanz, Rimer and Viswanath, 2015).</w:t>
      </w:r>
    </w:p>
    <w:p w:rsidR="2419E8D4" w:rsidP="5ED9664E" w:rsidRDefault="2419E8D4" w14:paraId="32B8B384" w14:textId="7C238883">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Digital transformation is framed as progressive reform. NICE (2024) supports AI in evidence generation, and digital health may improve rural access (Maita et al., 2024). However, digitalisation risks reinforcing exclusion if structural inequalities persist. Thus, </w:t>
      </w:r>
      <w:r w:rsidRPr="5ED9664E" w:rsidR="2419E8D4">
        <w:rPr>
          <w:rFonts w:ascii="Arial" w:hAnsi="Arial" w:eastAsia="Arial" w:cs="Arial"/>
          <w:b w:val="0"/>
          <w:bCs w:val="0"/>
          <w:i w:val="0"/>
          <w:iCs w:val="0"/>
          <w:caps w:val="0"/>
          <w:smallCaps w:val="0"/>
          <w:noProof w:val="0"/>
          <w:color w:val="242424"/>
          <w:sz w:val="22"/>
          <w:szCs w:val="22"/>
          <w:lang w:val="en-GB"/>
        </w:rPr>
        <w:t>national</w:t>
      </w:r>
      <w:r w:rsidRPr="5ED9664E" w:rsidR="2419E8D4">
        <w:rPr>
          <w:rFonts w:ascii="Arial" w:hAnsi="Arial" w:eastAsia="Arial" w:cs="Arial"/>
          <w:b w:val="0"/>
          <w:bCs w:val="0"/>
          <w:i w:val="0"/>
          <w:iCs w:val="0"/>
          <w:caps w:val="0"/>
          <w:smallCaps w:val="0"/>
          <w:noProof w:val="0"/>
          <w:color w:val="242424"/>
          <w:sz w:val="22"/>
          <w:szCs w:val="22"/>
          <w:lang w:val="en-GB"/>
        </w:rPr>
        <w:t xml:space="preserve"> and local SDG 3 strategies </w:t>
      </w:r>
      <w:r w:rsidRPr="5ED9664E" w:rsidR="2419E8D4">
        <w:rPr>
          <w:rFonts w:ascii="Arial" w:hAnsi="Arial" w:eastAsia="Arial" w:cs="Arial"/>
          <w:b w:val="0"/>
          <w:bCs w:val="0"/>
          <w:i w:val="0"/>
          <w:iCs w:val="0"/>
          <w:caps w:val="0"/>
          <w:smallCaps w:val="0"/>
          <w:noProof w:val="0"/>
          <w:color w:val="242424"/>
          <w:sz w:val="22"/>
          <w:szCs w:val="22"/>
          <w:lang w:val="en-GB"/>
        </w:rPr>
        <w:t>operate</w:t>
      </w:r>
      <w:r w:rsidRPr="5ED9664E" w:rsidR="2419E8D4">
        <w:rPr>
          <w:rFonts w:ascii="Arial" w:hAnsi="Arial" w:eastAsia="Arial" w:cs="Arial"/>
          <w:b w:val="0"/>
          <w:bCs w:val="0"/>
          <w:i w:val="0"/>
          <w:iCs w:val="0"/>
          <w:caps w:val="0"/>
          <w:smallCaps w:val="0"/>
          <w:noProof w:val="0"/>
          <w:color w:val="242424"/>
          <w:sz w:val="22"/>
          <w:szCs w:val="22"/>
          <w:lang w:val="en-GB"/>
        </w:rPr>
        <w:t xml:space="preserve"> within fiscal and socioeconomic boundaries that blunt equity impact.</w:t>
      </w:r>
    </w:p>
    <w:p w:rsidR="2419E8D4" w:rsidP="5ED9664E" w:rsidRDefault="2419E8D4" w14:paraId="0FA6C6A2" w14:textId="14507A42">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This tension highlights the gap between innovation discourse and the lived realities of communities experiencing deprivation, where access, literacy and trust remain significant barriers.</w:t>
      </w:r>
    </w:p>
    <w:p w:rsidR="2419E8D4" w:rsidP="31059CE2" w:rsidRDefault="2419E8D4" w14:paraId="0ED98C59" w14:textId="03664459">
      <w:pPr>
        <w:pStyle w:val="Heading3"/>
        <w:spacing w:line="360" w:lineRule="auto"/>
        <w:rPr>
          <w:rFonts w:ascii="Arial" w:hAnsi="Arial" w:eastAsia="Arial" w:cs="Arial"/>
          <w:b w:val="1"/>
          <w:bCs w:val="1"/>
          <w:i w:val="0"/>
          <w:iCs w:val="0"/>
          <w:caps w:val="0"/>
          <w:smallCaps w:val="0"/>
          <w:noProof w:val="0"/>
          <w:color w:val="auto"/>
          <w:sz w:val="22"/>
          <w:szCs w:val="22"/>
          <w:lang w:val="en-GB"/>
        </w:rPr>
      </w:pPr>
      <w:bookmarkStart w:name="_Toc1165717813" w:id="289801872"/>
      <w:r w:rsidRPr="31059CE2" w:rsidR="2419E8D4">
        <w:rPr>
          <w:rFonts w:ascii="Arial" w:hAnsi="Arial" w:eastAsia="Arial" w:cs="Arial"/>
          <w:b w:val="1"/>
          <w:bCs w:val="1"/>
          <w:noProof w:val="0"/>
          <w:color w:val="auto"/>
          <w:sz w:val="22"/>
          <w:szCs w:val="22"/>
          <w:lang w:val="en-GB"/>
        </w:rPr>
        <w:t>Section 3 – Evaluate effectiveness using evidence</w:t>
      </w:r>
      <w:bookmarkEnd w:id="289801872"/>
    </w:p>
    <w:p w:rsidR="2419E8D4" w:rsidP="5ED9664E" w:rsidRDefault="2419E8D4" w14:paraId="23D97EF6" w14:textId="6379C223">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Across governance levels, policy ambition exceeds outcome.</w:t>
      </w:r>
    </w:p>
    <w:p w:rsidR="2419E8D4" w:rsidP="5ED9664E" w:rsidRDefault="2419E8D4" w14:paraId="4674B2F6" w14:textId="1E959B39">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Globally, targeted initiatives such as the Global Fund (2025) and UNAIDS (2023) have reduced HIV mortality, </w:t>
      </w:r>
      <w:r w:rsidRPr="5ED9664E" w:rsidR="2419E8D4">
        <w:rPr>
          <w:rFonts w:ascii="Arial" w:hAnsi="Arial" w:eastAsia="Arial" w:cs="Arial"/>
          <w:b w:val="0"/>
          <w:bCs w:val="0"/>
          <w:i w:val="0"/>
          <w:iCs w:val="0"/>
          <w:caps w:val="0"/>
          <w:smallCaps w:val="0"/>
          <w:noProof w:val="0"/>
          <w:color w:val="242424"/>
          <w:sz w:val="22"/>
          <w:szCs w:val="22"/>
          <w:lang w:val="en-GB"/>
        </w:rPr>
        <w:t>demonstrating</w:t>
      </w:r>
      <w:r w:rsidRPr="5ED9664E" w:rsidR="2419E8D4">
        <w:rPr>
          <w:rFonts w:ascii="Arial" w:hAnsi="Arial" w:eastAsia="Arial" w:cs="Arial"/>
          <w:b w:val="0"/>
          <w:bCs w:val="0"/>
          <w:i w:val="0"/>
          <w:iCs w:val="0"/>
          <w:caps w:val="0"/>
          <w:smallCaps w:val="0"/>
          <w:noProof w:val="0"/>
          <w:color w:val="242424"/>
          <w:sz w:val="22"/>
          <w:szCs w:val="22"/>
          <w:lang w:val="en-GB"/>
        </w:rPr>
        <w:t xml:space="preserve"> the effectiveness of coordinated financing. However, Ruger (2005) cautions that vertical funding models may distort national priorities and neglect system-wide strengthening.</w:t>
      </w:r>
    </w:p>
    <w:p w:rsidR="2419E8D4" w:rsidP="5ED9664E" w:rsidRDefault="2419E8D4" w14:paraId="299C2E13" w14:textId="5943F0C6">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Nationally, Marmot (2020) documents widening health inequalities in England, particularly in deprived regions. This </w:t>
      </w:r>
      <w:r w:rsidRPr="5ED9664E" w:rsidR="2419E8D4">
        <w:rPr>
          <w:rFonts w:ascii="Arial" w:hAnsi="Arial" w:eastAsia="Arial" w:cs="Arial"/>
          <w:b w:val="0"/>
          <w:bCs w:val="0"/>
          <w:i w:val="0"/>
          <w:iCs w:val="0"/>
          <w:caps w:val="0"/>
          <w:smallCaps w:val="0"/>
          <w:noProof w:val="0"/>
          <w:color w:val="242424"/>
          <w:sz w:val="22"/>
          <w:szCs w:val="22"/>
          <w:lang w:val="en-GB"/>
        </w:rPr>
        <w:t>indicates</w:t>
      </w:r>
      <w:r w:rsidRPr="5ED9664E" w:rsidR="2419E8D4">
        <w:rPr>
          <w:rFonts w:ascii="Arial" w:hAnsi="Arial" w:eastAsia="Arial" w:cs="Arial"/>
          <w:b w:val="0"/>
          <w:bCs w:val="0"/>
          <w:i w:val="0"/>
          <w:iCs w:val="0"/>
          <w:caps w:val="0"/>
          <w:smallCaps w:val="0"/>
          <w:noProof w:val="0"/>
          <w:color w:val="242424"/>
          <w:sz w:val="22"/>
          <w:szCs w:val="22"/>
          <w:lang w:val="en-GB"/>
        </w:rPr>
        <w:t xml:space="preserve"> that healthcare reform alone cannot offset adverse social policy. Primary care </w:t>
      </w:r>
      <w:r w:rsidRPr="5ED9664E" w:rsidR="2419E8D4">
        <w:rPr>
          <w:rFonts w:ascii="Arial" w:hAnsi="Arial" w:eastAsia="Arial" w:cs="Arial"/>
          <w:b w:val="0"/>
          <w:bCs w:val="0"/>
          <w:i w:val="0"/>
          <w:iCs w:val="0"/>
          <w:caps w:val="0"/>
          <w:smallCaps w:val="0"/>
          <w:noProof w:val="0"/>
          <w:color w:val="242424"/>
          <w:sz w:val="22"/>
          <w:szCs w:val="22"/>
          <w:lang w:val="en-GB"/>
        </w:rPr>
        <w:t>remains</w:t>
      </w:r>
      <w:r w:rsidRPr="5ED9664E" w:rsidR="2419E8D4">
        <w:rPr>
          <w:rFonts w:ascii="Arial" w:hAnsi="Arial" w:eastAsia="Arial" w:cs="Arial"/>
          <w:b w:val="0"/>
          <w:bCs w:val="0"/>
          <w:i w:val="0"/>
          <w:iCs w:val="0"/>
          <w:caps w:val="0"/>
          <w:smallCaps w:val="0"/>
          <w:noProof w:val="0"/>
          <w:color w:val="242424"/>
          <w:sz w:val="22"/>
          <w:szCs w:val="22"/>
          <w:lang w:val="en-GB"/>
        </w:rPr>
        <w:t xml:space="preserve"> essential for </w:t>
      </w:r>
      <w:r w:rsidRPr="5ED9664E" w:rsidR="2419E8D4">
        <w:rPr>
          <w:rFonts w:ascii="Arial" w:hAnsi="Arial" w:eastAsia="Arial" w:cs="Arial"/>
          <w:b w:val="0"/>
          <w:bCs w:val="0"/>
          <w:i w:val="0"/>
          <w:iCs w:val="0"/>
          <w:caps w:val="0"/>
          <w:smallCaps w:val="0"/>
          <w:noProof w:val="0"/>
          <w:color w:val="242424"/>
          <w:sz w:val="22"/>
          <w:szCs w:val="22"/>
          <w:lang w:val="en-GB"/>
        </w:rPr>
        <w:t>equitable</w:t>
      </w:r>
      <w:r w:rsidRPr="5ED9664E" w:rsidR="2419E8D4">
        <w:rPr>
          <w:rFonts w:ascii="Arial" w:hAnsi="Arial" w:eastAsia="Arial" w:cs="Arial"/>
          <w:b w:val="0"/>
          <w:bCs w:val="0"/>
          <w:i w:val="0"/>
          <w:iCs w:val="0"/>
          <w:caps w:val="0"/>
          <w:smallCaps w:val="0"/>
          <w:noProof w:val="0"/>
          <w:color w:val="242424"/>
          <w:sz w:val="22"/>
          <w:szCs w:val="22"/>
          <w:lang w:val="en-GB"/>
        </w:rPr>
        <w:t xml:space="preserve"> systems (Hone, </w:t>
      </w:r>
      <w:r w:rsidRPr="5ED9664E" w:rsidR="2419E8D4">
        <w:rPr>
          <w:rFonts w:ascii="Arial" w:hAnsi="Arial" w:eastAsia="Arial" w:cs="Arial"/>
          <w:b w:val="0"/>
          <w:bCs w:val="0"/>
          <w:i w:val="0"/>
          <w:iCs w:val="0"/>
          <w:caps w:val="0"/>
          <w:smallCaps w:val="0"/>
          <w:noProof w:val="0"/>
          <w:color w:val="242424"/>
          <w:sz w:val="22"/>
          <w:szCs w:val="22"/>
          <w:lang w:val="en-GB"/>
        </w:rPr>
        <w:t>Macinko</w:t>
      </w:r>
      <w:r w:rsidRPr="5ED9664E" w:rsidR="2419E8D4">
        <w:rPr>
          <w:rFonts w:ascii="Arial" w:hAnsi="Arial" w:eastAsia="Arial" w:cs="Arial"/>
          <w:b w:val="0"/>
          <w:bCs w:val="0"/>
          <w:i w:val="0"/>
          <w:iCs w:val="0"/>
          <w:caps w:val="0"/>
          <w:smallCaps w:val="0"/>
          <w:noProof w:val="0"/>
          <w:color w:val="242424"/>
          <w:sz w:val="22"/>
          <w:szCs w:val="22"/>
          <w:lang w:val="en-GB"/>
        </w:rPr>
        <w:t xml:space="preserve"> and Millett, 2018), yet sustained underinvestment weakens preventive capacity.</w:t>
      </w:r>
    </w:p>
    <w:p w:rsidR="2419E8D4" w:rsidP="5ED9664E" w:rsidRDefault="2419E8D4" w14:paraId="53B46B51" w14:textId="616259F6">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Local authorities face reduced public health budgets, constraining upstream interventions. Ethical concerns arise when policy emphasises lifestyle change without addressing structural poverty (Buchanan, 2019).</w:t>
      </w:r>
    </w:p>
    <w:p w:rsidR="2419E8D4" w:rsidP="31059CE2" w:rsidRDefault="2419E8D4" w14:paraId="5DE60494" w14:textId="7146881B">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 xml:space="preserve">A consistent pattern </w:t>
      </w:r>
      <w:r w:rsidRPr="31059CE2" w:rsidR="47CB562F">
        <w:rPr>
          <w:rFonts w:ascii="Arial" w:hAnsi="Arial" w:eastAsia="Arial" w:cs="Arial"/>
          <w:b w:val="0"/>
          <w:bCs w:val="0"/>
          <w:i w:val="0"/>
          <w:iCs w:val="0"/>
          <w:caps w:val="0"/>
          <w:smallCaps w:val="0"/>
          <w:noProof w:val="0"/>
          <w:color w:val="242424"/>
          <w:sz w:val="22"/>
          <w:szCs w:val="22"/>
          <w:lang w:val="en-GB"/>
        </w:rPr>
        <w:t>emerges</w:t>
      </w:r>
      <w:r w:rsidRPr="31059CE2" w:rsidR="2419E8D4">
        <w:rPr>
          <w:rFonts w:ascii="Arial" w:hAnsi="Arial" w:eastAsia="Arial" w:cs="Arial"/>
          <w:b w:val="0"/>
          <w:bCs w:val="0"/>
          <w:i w:val="0"/>
          <w:iCs w:val="0"/>
          <w:caps w:val="0"/>
          <w:smallCaps w:val="0"/>
          <w:noProof w:val="0"/>
          <w:color w:val="242424"/>
          <w:sz w:val="22"/>
          <w:szCs w:val="22"/>
          <w:lang w:val="en-GB"/>
        </w:rPr>
        <w:t xml:space="preserve"> technical reforms generate incremental gains, yet underlying political economy structures limit redistributive impact. SDG 3 implementation is therefore institutionally embedded but structurally constrained.</w:t>
      </w:r>
    </w:p>
    <w:p w:rsidR="2419E8D4" w:rsidP="5ED9664E" w:rsidRDefault="2419E8D4" w14:paraId="56D413A5" w14:textId="36EED4C7">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Furthermore, evaluation metrics often prioritise short-term performance indicators rather than long-term wellbeing outcomes, obscuring the cumulative effects of inequality.</w:t>
      </w:r>
    </w:p>
    <w:p w:rsidR="2419E8D4" w:rsidP="31059CE2" w:rsidRDefault="2419E8D4" w14:paraId="098F3948" w14:textId="5C0F4A05">
      <w:pPr>
        <w:pStyle w:val="Heading3"/>
        <w:spacing w:line="360" w:lineRule="auto"/>
        <w:rPr>
          <w:rFonts w:ascii="Arial" w:hAnsi="Arial" w:eastAsia="Arial" w:cs="Arial"/>
          <w:b w:val="1"/>
          <w:bCs w:val="1"/>
          <w:i w:val="0"/>
          <w:iCs w:val="0"/>
          <w:caps w:val="0"/>
          <w:smallCaps w:val="0"/>
          <w:noProof w:val="0"/>
          <w:color w:val="auto"/>
          <w:sz w:val="22"/>
          <w:szCs w:val="22"/>
          <w:lang w:val="en-GB"/>
        </w:rPr>
      </w:pPr>
      <w:bookmarkStart w:name="_Toc2146154904" w:id="1795301383"/>
      <w:r w:rsidRPr="31059CE2" w:rsidR="2419E8D4">
        <w:rPr>
          <w:rFonts w:ascii="Arial" w:hAnsi="Arial" w:eastAsia="Arial" w:cs="Arial"/>
          <w:b w:val="1"/>
          <w:bCs w:val="1"/>
          <w:noProof w:val="0"/>
          <w:color w:val="auto"/>
          <w:sz w:val="22"/>
          <w:szCs w:val="22"/>
          <w:lang w:val="en-GB"/>
        </w:rPr>
        <w:t>Section 4 – Recommendations for improvement</w:t>
      </w:r>
      <w:bookmarkEnd w:id="1795301383"/>
    </w:p>
    <w:p w:rsidR="2419E8D4" w:rsidP="5ED9664E" w:rsidRDefault="2419E8D4" w14:paraId="65FF483D" w14:textId="4E09897A">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To move from rhetorical alignment to structural transformation:</w:t>
      </w:r>
    </w:p>
    <w:p w:rsidR="2419E8D4" w:rsidP="31059CE2" w:rsidRDefault="2419E8D4" w14:paraId="38C8FACA" w14:textId="79A3DEC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1</w:t>
      </w:r>
      <w:r w:rsidRPr="31059CE2" w:rsidR="16A983BD">
        <w:rPr>
          <w:rFonts w:ascii="Arial" w:hAnsi="Arial" w:eastAsia="Arial" w:cs="Arial"/>
          <w:b w:val="0"/>
          <w:bCs w:val="0"/>
          <w:i w:val="0"/>
          <w:iCs w:val="0"/>
          <w:caps w:val="0"/>
          <w:smallCaps w:val="0"/>
          <w:noProof w:val="0"/>
          <w:color w:val="242424"/>
          <w:sz w:val="22"/>
          <w:szCs w:val="22"/>
          <w:lang w:val="en-GB"/>
        </w:rPr>
        <w:t>.</w:t>
      </w:r>
      <w:r w:rsidRPr="31059CE2" w:rsidR="2419E8D4">
        <w:rPr>
          <w:rFonts w:ascii="Arial" w:hAnsi="Arial" w:eastAsia="Arial" w:cs="Arial"/>
          <w:b w:val="0"/>
          <w:bCs w:val="0"/>
          <w:i w:val="0"/>
          <w:iCs w:val="0"/>
          <w:caps w:val="0"/>
          <w:smallCaps w:val="0"/>
          <w:noProof w:val="0"/>
          <w:color w:val="242424"/>
          <w:sz w:val="22"/>
          <w:szCs w:val="22"/>
          <w:lang w:val="en-GB"/>
        </w:rPr>
        <w:t xml:space="preserve"> Institutionalise Health in All Policies (HiAP) across fiscal, housing and employment policy (Green et al., 2021)</w:t>
      </w:r>
      <w:r w:rsidRPr="31059CE2" w:rsidR="2419E8D4">
        <w:rPr>
          <w:rFonts w:ascii="Arial" w:hAnsi="Arial" w:eastAsia="Arial" w:cs="Arial"/>
          <w:b w:val="0"/>
          <w:bCs w:val="0"/>
          <w:i w:val="0"/>
          <w:iCs w:val="0"/>
          <w:caps w:val="0"/>
          <w:smallCaps w:val="0"/>
          <w:noProof w:val="0"/>
          <w:color w:val="242424"/>
          <w:sz w:val="22"/>
          <w:szCs w:val="22"/>
          <w:lang w:val="en-GB"/>
        </w:rPr>
        <w:t xml:space="preserve">.  </w:t>
      </w:r>
    </w:p>
    <w:p w:rsidR="31059CE2" w:rsidP="31059CE2" w:rsidRDefault="31059CE2" w14:paraId="0B5B8E0B" w14:textId="3A1477E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p>
    <w:p w:rsidR="2419E8D4" w:rsidP="31059CE2" w:rsidRDefault="2419E8D4" w14:paraId="68810580" w14:textId="02E7E17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2</w:t>
      </w:r>
      <w:r w:rsidRPr="31059CE2" w:rsidR="5A58D63E">
        <w:rPr>
          <w:rFonts w:ascii="Arial" w:hAnsi="Arial" w:eastAsia="Arial" w:cs="Arial"/>
          <w:b w:val="0"/>
          <w:bCs w:val="0"/>
          <w:i w:val="0"/>
          <w:iCs w:val="0"/>
          <w:caps w:val="0"/>
          <w:smallCaps w:val="0"/>
          <w:noProof w:val="0"/>
          <w:color w:val="242424"/>
          <w:sz w:val="22"/>
          <w:szCs w:val="22"/>
          <w:lang w:val="en-GB"/>
        </w:rPr>
        <w:t>.</w:t>
      </w:r>
      <w:r w:rsidRPr="31059CE2" w:rsidR="2419E8D4">
        <w:rPr>
          <w:rFonts w:ascii="Arial" w:hAnsi="Arial" w:eastAsia="Arial" w:cs="Arial"/>
          <w:b w:val="0"/>
          <w:bCs w:val="0"/>
          <w:i w:val="0"/>
          <w:iCs w:val="0"/>
          <w:caps w:val="0"/>
          <w:smallCaps w:val="0"/>
          <w:noProof w:val="0"/>
          <w:color w:val="242424"/>
          <w:sz w:val="22"/>
          <w:szCs w:val="22"/>
          <w:lang w:val="en-GB"/>
        </w:rPr>
        <w:t xml:space="preserve"> Restore and ring-fence public health funding, reversing austerity erosion (Marmot, 2020)</w:t>
      </w:r>
      <w:r w:rsidRPr="31059CE2" w:rsidR="2419E8D4">
        <w:rPr>
          <w:rFonts w:ascii="Arial" w:hAnsi="Arial" w:eastAsia="Arial" w:cs="Arial"/>
          <w:b w:val="0"/>
          <w:bCs w:val="0"/>
          <w:i w:val="0"/>
          <w:iCs w:val="0"/>
          <w:caps w:val="0"/>
          <w:smallCaps w:val="0"/>
          <w:noProof w:val="0"/>
          <w:color w:val="242424"/>
          <w:sz w:val="22"/>
          <w:szCs w:val="22"/>
          <w:lang w:val="en-GB"/>
        </w:rPr>
        <w:t xml:space="preserve">.  </w:t>
      </w:r>
    </w:p>
    <w:p w:rsidR="31059CE2" w:rsidP="31059CE2" w:rsidRDefault="31059CE2" w14:paraId="5AFC3956" w14:textId="29F2EA7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p>
    <w:p w:rsidR="2419E8D4" w:rsidP="31059CE2" w:rsidRDefault="2419E8D4" w14:paraId="63C179D2" w14:textId="100CA40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3</w:t>
      </w:r>
      <w:r w:rsidRPr="31059CE2" w:rsidR="6E4C65D5">
        <w:rPr>
          <w:rFonts w:ascii="Arial" w:hAnsi="Arial" w:eastAsia="Arial" w:cs="Arial"/>
          <w:b w:val="0"/>
          <w:bCs w:val="0"/>
          <w:i w:val="0"/>
          <w:iCs w:val="0"/>
          <w:caps w:val="0"/>
          <w:smallCaps w:val="0"/>
          <w:noProof w:val="0"/>
          <w:color w:val="242424"/>
          <w:sz w:val="22"/>
          <w:szCs w:val="22"/>
          <w:lang w:val="en-GB"/>
        </w:rPr>
        <w:t>.</w:t>
      </w:r>
      <w:r w:rsidRPr="31059CE2" w:rsidR="2419E8D4">
        <w:rPr>
          <w:rFonts w:ascii="Arial" w:hAnsi="Arial" w:eastAsia="Arial" w:cs="Arial"/>
          <w:b w:val="0"/>
          <w:bCs w:val="0"/>
          <w:i w:val="0"/>
          <w:iCs w:val="0"/>
          <w:caps w:val="0"/>
          <w:smallCaps w:val="0"/>
          <w:noProof w:val="0"/>
          <w:color w:val="242424"/>
          <w:sz w:val="22"/>
          <w:szCs w:val="22"/>
          <w:lang w:val="en-GB"/>
        </w:rPr>
        <w:t xml:space="preserve">Strengthen primary care and community infrastructure, consistent with </w:t>
      </w:r>
      <w:r w:rsidRPr="31059CE2" w:rsidR="2419E8D4">
        <w:rPr>
          <w:rFonts w:ascii="Arial" w:hAnsi="Arial" w:eastAsia="Arial" w:cs="Arial"/>
          <w:b w:val="0"/>
          <w:bCs w:val="0"/>
          <w:i w:val="0"/>
          <w:iCs w:val="0"/>
          <w:caps w:val="0"/>
          <w:smallCaps w:val="0"/>
          <w:noProof w:val="0"/>
          <w:color w:val="242424"/>
          <w:sz w:val="22"/>
          <w:szCs w:val="22"/>
          <w:lang w:val="en-GB"/>
        </w:rPr>
        <w:t>Alma-Ata</w:t>
      </w:r>
      <w:r w:rsidRPr="31059CE2" w:rsidR="2419E8D4">
        <w:rPr>
          <w:rFonts w:ascii="Arial" w:hAnsi="Arial" w:eastAsia="Arial" w:cs="Arial"/>
          <w:b w:val="0"/>
          <w:bCs w:val="0"/>
          <w:i w:val="0"/>
          <w:iCs w:val="0"/>
          <w:caps w:val="0"/>
          <w:smallCaps w:val="0"/>
          <w:noProof w:val="0"/>
          <w:color w:val="242424"/>
          <w:sz w:val="22"/>
          <w:szCs w:val="22"/>
          <w:lang w:val="en-GB"/>
        </w:rPr>
        <w:t xml:space="preserve"> principles (Hone et al., 2018)</w:t>
      </w:r>
      <w:r w:rsidRPr="31059CE2" w:rsidR="2419E8D4">
        <w:rPr>
          <w:rFonts w:ascii="Arial" w:hAnsi="Arial" w:eastAsia="Arial" w:cs="Arial"/>
          <w:b w:val="0"/>
          <w:bCs w:val="0"/>
          <w:i w:val="0"/>
          <w:iCs w:val="0"/>
          <w:caps w:val="0"/>
          <w:smallCaps w:val="0"/>
          <w:noProof w:val="0"/>
          <w:color w:val="242424"/>
          <w:sz w:val="22"/>
          <w:szCs w:val="22"/>
          <w:lang w:val="en-GB"/>
        </w:rPr>
        <w:t xml:space="preserve">.  </w:t>
      </w:r>
    </w:p>
    <w:p w:rsidR="31059CE2" w:rsidP="31059CE2" w:rsidRDefault="31059CE2" w14:paraId="51FC5F73" w14:textId="030CF09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p>
    <w:p w:rsidR="2419E8D4" w:rsidP="31059CE2" w:rsidRDefault="2419E8D4" w14:paraId="3F69F0F0" w14:textId="3162ED4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4</w:t>
      </w:r>
      <w:r w:rsidRPr="31059CE2" w:rsidR="1A74EA63">
        <w:rPr>
          <w:rFonts w:ascii="Arial" w:hAnsi="Arial" w:eastAsia="Arial" w:cs="Arial"/>
          <w:b w:val="0"/>
          <w:bCs w:val="0"/>
          <w:i w:val="0"/>
          <w:iCs w:val="0"/>
          <w:caps w:val="0"/>
          <w:smallCaps w:val="0"/>
          <w:noProof w:val="0"/>
          <w:color w:val="242424"/>
          <w:sz w:val="22"/>
          <w:szCs w:val="22"/>
          <w:lang w:val="en-GB"/>
        </w:rPr>
        <w:t>.</w:t>
      </w:r>
      <w:r w:rsidRPr="31059CE2" w:rsidR="2419E8D4">
        <w:rPr>
          <w:rFonts w:ascii="Arial" w:hAnsi="Arial" w:eastAsia="Arial" w:cs="Arial"/>
          <w:b w:val="0"/>
          <w:bCs w:val="0"/>
          <w:i w:val="0"/>
          <w:iCs w:val="0"/>
          <w:caps w:val="0"/>
          <w:smallCaps w:val="0"/>
          <w:noProof w:val="0"/>
          <w:color w:val="242424"/>
          <w:sz w:val="22"/>
          <w:szCs w:val="22"/>
          <w:lang w:val="en-GB"/>
        </w:rPr>
        <w:t xml:space="preserve"> Address digital exclusion alongside technological innovation (Maita et al., 2024)</w:t>
      </w:r>
      <w:r w:rsidRPr="31059CE2" w:rsidR="2419E8D4">
        <w:rPr>
          <w:rFonts w:ascii="Arial" w:hAnsi="Arial" w:eastAsia="Arial" w:cs="Arial"/>
          <w:b w:val="0"/>
          <w:bCs w:val="0"/>
          <w:i w:val="0"/>
          <w:iCs w:val="0"/>
          <w:caps w:val="0"/>
          <w:smallCaps w:val="0"/>
          <w:noProof w:val="0"/>
          <w:color w:val="242424"/>
          <w:sz w:val="22"/>
          <w:szCs w:val="22"/>
          <w:lang w:val="en-GB"/>
        </w:rPr>
        <w:t xml:space="preserve">.  </w:t>
      </w:r>
    </w:p>
    <w:p w:rsidR="31059CE2" w:rsidP="31059CE2" w:rsidRDefault="31059CE2" w14:paraId="4BAC9BC5" w14:textId="16324E1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p>
    <w:p w:rsidR="2419E8D4" w:rsidP="31059CE2" w:rsidRDefault="2419E8D4" w14:paraId="2966701D" w14:textId="65105D4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2419E8D4">
        <w:rPr>
          <w:rFonts w:ascii="Arial" w:hAnsi="Arial" w:eastAsia="Arial" w:cs="Arial"/>
          <w:b w:val="0"/>
          <w:bCs w:val="0"/>
          <w:i w:val="0"/>
          <w:iCs w:val="0"/>
          <w:caps w:val="0"/>
          <w:smallCaps w:val="0"/>
          <w:noProof w:val="0"/>
          <w:color w:val="242424"/>
          <w:sz w:val="22"/>
          <w:szCs w:val="22"/>
          <w:lang w:val="en-GB"/>
        </w:rPr>
        <w:t>5</w:t>
      </w:r>
      <w:r w:rsidRPr="31059CE2" w:rsidR="6682865C">
        <w:rPr>
          <w:rFonts w:ascii="Arial" w:hAnsi="Arial" w:eastAsia="Arial" w:cs="Arial"/>
          <w:b w:val="0"/>
          <w:bCs w:val="0"/>
          <w:i w:val="0"/>
          <w:iCs w:val="0"/>
          <w:caps w:val="0"/>
          <w:smallCaps w:val="0"/>
          <w:noProof w:val="0"/>
          <w:color w:val="242424"/>
          <w:sz w:val="22"/>
          <w:szCs w:val="22"/>
          <w:lang w:val="en-GB"/>
        </w:rPr>
        <w:t>.</w:t>
      </w:r>
      <w:r w:rsidRPr="31059CE2" w:rsidR="2419E8D4">
        <w:rPr>
          <w:rFonts w:ascii="Arial" w:hAnsi="Arial" w:eastAsia="Arial" w:cs="Arial"/>
          <w:b w:val="0"/>
          <w:bCs w:val="0"/>
          <w:i w:val="0"/>
          <w:iCs w:val="0"/>
          <w:caps w:val="0"/>
          <w:smallCaps w:val="0"/>
          <w:noProof w:val="0"/>
          <w:color w:val="242424"/>
          <w:sz w:val="22"/>
          <w:szCs w:val="22"/>
          <w:lang w:val="en-GB"/>
        </w:rPr>
        <w:t xml:space="preserve"> Apply proportionate universalism to reduce inequality gradients (WHO, 2008)</w:t>
      </w:r>
      <w:r w:rsidRPr="31059CE2" w:rsidR="2419E8D4">
        <w:rPr>
          <w:rFonts w:ascii="Arial" w:hAnsi="Arial" w:eastAsia="Arial" w:cs="Arial"/>
          <w:b w:val="0"/>
          <w:bCs w:val="0"/>
          <w:i w:val="0"/>
          <w:iCs w:val="0"/>
          <w:caps w:val="0"/>
          <w:smallCaps w:val="0"/>
          <w:noProof w:val="0"/>
          <w:color w:val="242424"/>
          <w:sz w:val="22"/>
          <w:szCs w:val="22"/>
          <w:lang w:val="en-GB"/>
        </w:rPr>
        <w:t xml:space="preserve">.  </w:t>
      </w:r>
    </w:p>
    <w:p w:rsidR="5ED9664E" w:rsidP="5ED9664E" w:rsidRDefault="5ED9664E" w14:paraId="3D590C68" w14:textId="7F72BD2C">
      <w:pPr>
        <w:shd w:val="clear" w:color="auto" w:fill="FFFFFF" w:themeFill="background1"/>
        <w:spacing w:before="0" w:beforeAutospacing="off" w:after="180" w:afterAutospacing="off" w:line="360" w:lineRule="auto"/>
        <w:rPr>
          <w:rFonts w:ascii="Arial" w:hAnsi="Arial" w:eastAsia="Arial" w:cs="Arial"/>
          <w:sz w:val="22"/>
          <w:szCs w:val="22"/>
        </w:rPr>
      </w:pPr>
    </w:p>
    <w:p w:rsidR="2419E8D4" w:rsidP="5ED9664E" w:rsidRDefault="2419E8D4" w14:paraId="63387D79" w14:textId="3AC6992D">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 xml:space="preserve">Without structural redistribution, SDG 3 </w:t>
      </w:r>
      <w:r w:rsidRPr="5ED9664E" w:rsidR="2419E8D4">
        <w:rPr>
          <w:rFonts w:ascii="Arial" w:hAnsi="Arial" w:eastAsia="Arial" w:cs="Arial"/>
          <w:b w:val="0"/>
          <w:bCs w:val="0"/>
          <w:i w:val="0"/>
          <w:iCs w:val="0"/>
          <w:caps w:val="0"/>
          <w:smallCaps w:val="0"/>
          <w:noProof w:val="0"/>
          <w:color w:val="242424"/>
          <w:sz w:val="22"/>
          <w:szCs w:val="22"/>
          <w:lang w:val="en-GB"/>
        </w:rPr>
        <w:t>remains</w:t>
      </w:r>
      <w:r w:rsidRPr="5ED9664E" w:rsidR="2419E8D4">
        <w:rPr>
          <w:rFonts w:ascii="Arial" w:hAnsi="Arial" w:eastAsia="Arial" w:cs="Arial"/>
          <w:b w:val="0"/>
          <w:bCs w:val="0"/>
          <w:i w:val="0"/>
          <w:iCs w:val="0"/>
          <w:caps w:val="0"/>
          <w:smallCaps w:val="0"/>
          <w:noProof w:val="0"/>
          <w:color w:val="242424"/>
          <w:sz w:val="22"/>
          <w:szCs w:val="22"/>
          <w:lang w:val="en-GB"/>
        </w:rPr>
        <w:t xml:space="preserve"> normatively ambitious yet materially limited.</w:t>
      </w:r>
    </w:p>
    <w:p w:rsidR="2419E8D4" w:rsidP="5ED9664E" w:rsidRDefault="2419E8D4" w14:paraId="2CA641E8" w14:textId="741DECA0">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2419E8D4">
        <w:rPr>
          <w:rFonts w:ascii="Arial" w:hAnsi="Arial" w:eastAsia="Arial" w:cs="Arial"/>
          <w:b w:val="0"/>
          <w:bCs w:val="0"/>
          <w:i w:val="0"/>
          <w:iCs w:val="0"/>
          <w:caps w:val="0"/>
          <w:smallCaps w:val="0"/>
          <w:noProof w:val="0"/>
          <w:color w:val="242424"/>
          <w:sz w:val="22"/>
          <w:szCs w:val="22"/>
          <w:lang w:val="en-GB"/>
        </w:rPr>
        <w:t>Sustained political commitment, transparent accountability mechanisms and cross-sector collaboration are essential to translate strategic intent into measurable equity gains.</w:t>
      </w:r>
    </w:p>
    <w:p w:rsidR="64996C9B" w:rsidP="31059CE2" w:rsidRDefault="64996C9B" w14:paraId="0DF98874" w14:textId="79C89495">
      <w:pPr>
        <w:pStyle w:val="Heading2"/>
        <w:spacing w:line="360" w:lineRule="auto"/>
        <w:rPr>
          <w:rFonts w:ascii="Arial" w:hAnsi="Arial" w:eastAsia="Arial" w:cs="Arial"/>
          <w:b w:val="1"/>
          <w:bCs w:val="1"/>
          <w:i w:val="0"/>
          <w:iCs w:val="0"/>
          <w:caps w:val="0"/>
          <w:smallCaps w:val="0"/>
          <w:noProof w:val="0"/>
          <w:color w:val="auto"/>
          <w:sz w:val="28"/>
          <w:szCs w:val="28"/>
          <w:lang w:val="en-GB"/>
        </w:rPr>
      </w:pPr>
      <w:bookmarkStart w:name="_Toc47666193" w:id="1308711268"/>
      <w:r w:rsidRPr="31059CE2" w:rsidR="64996C9B">
        <w:rPr>
          <w:rFonts w:ascii="Arial" w:hAnsi="Arial" w:eastAsia="Arial" w:cs="Arial"/>
          <w:b w:val="1"/>
          <w:bCs w:val="1"/>
          <w:noProof w:val="0"/>
          <w:color w:val="auto"/>
          <w:sz w:val="28"/>
          <w:szCs w:val="28"/>
          <w:lang w:val="en-GB"/>
        </w:rPr>
        <w:t>SDG 13 – Climate Action</w:t>
      </w:r>
      <w:bookmarkEnd w:id="1308711268"/>
    </w:p>
    <w:p w:rsidR="64996C9B" w:rsidP="31059CE2" w:rsidRDefault="64996C9B" w14:paraId="218DDC5A" w14:textId="4EADAD11">
      <w:pPr>
        <w:pStyle w:val="Heading3"/>
        <w:spacing w:line="360" w:lineRule="auto"/>
        <w:rPr>
          <w:rFonts w:ascii="Arial" w:hAnsi="Arial" w:eastAsia="Arial" w:cs="Arial"/>
          <w:b w:val="1"/>
          <w:bCs w:val="1"/>
          <w:noProof w:val="0"/>
          <w:color w:val="auto"/>
          <w:sz w:val="22"/>
          <w:szCs w:val="22"/>
          <w:lang w:val="en-GB"/>
        </w:rPr>
      </w:pPr>
      <w:bookmarkStart w:name="_Toc1962749780" w:id="878970581"/>
      <w:r w:rsidRPr="31059CE2" w:rsidR="64996C9B">
        <w:rPr>
          <w:rFonts w:ascii="Arial" w:hAnsi="Arial" w:eastAsia="Arial" w:cs="Arial"/>
          <w:b w:val="1"/>
          <w:bCs w:val="1"/>
          <w:noProof w:val="0"/>
          <w:color w:val="auto"/>
          <w:sz w:val="22"/>
          <w:szCs w:val="22"/>
          <w:lang w:val="en-GB"/>
        </w:rPr>
        <w:t>Section 1 – Overview of SDG 13</w:t>
      </w:r>
      <w:bookmarkEnd w:id="878970581"/>
    </w:p>
    <w:p w:rsidR="64996C9B" w:rsidP="31059CE2" w:rsidRDefault="64996C9B" w14:paraId="5D15D787" w14:textId="0A01DCF1">
      <w:pPr>
        <w:pStyle w:val="Normal"/>
        <w:spacing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SDG 13 calls for urgent climate action (United Nations, 2022). Climate change is a defining public health threat (WHO, 2023c). The Lancet Countdown (2023) documents escalating heat-related mortality, air pollution </w:t>
      </w:r>
      <w:r w:rsidRPr="31059CE2" w:rsidR="64996C9B">
        <w:rPr>
          <w:rFonts w:ascii="Arial" w:hAnsi="Arial" w:eastAsia="Arial" w:cs="Arial"/>
          <w:b w:val="0"/>
          <w:bCs w:val="0"/>
          <w:i w:val="0"/>
          <w:iCs w:val="0"/>
          <w:caps w:val="0"/>
          <w:smallCaps w:val="0"/>
          <w:noProof w:val="0"/>
          <w:color w:val="242424"/>
          <w:sz w:val="22"/>
          <w:szCs w:val="22"/>
          <w:lang w:val="en-GB"/>
        </w:rPr>
        <w:t>exposure</w:t>
      </w:r>
      <w:r w:rsidRPr="31059CE2" w:rsidR="64996C9B">
        <w:rPr>
          <w:rFonts w:ascii="Arial" w:hAnsi="Arial" w:eastAsia="Arial" w:cs="Arial"/>
          <w:b w:val="0"/>
          <w:bCs w:val="0"/>
          <w:i w:val="0"/>
          <w:iCs w:val="0"/>
          <w:caps w:val="0"/>
          <w:smallCaps w:val="0"/>
          <w:noProof w:val="0"/>
          <w:color w:val="242424"/>
          <w:sz w:val="22"/>
          <w:szCs w:val="22"/>
          <w:lang w:val="en-GB"/>
        </w:rPr>
        <w:t xml:space="preserve"> and food insecurity. These impacts are not future projections but present realities, with measurable increases in heatwave frequency, wildfire exposure and climate-sensitive infectious diseases </w:t>
      </w:r>
      <w:r w:rsidRPr="31059CE2" w:rsidR="64996C9B">
        <w:rPr>
          <w:rFonts w:ascii="Arial" w:hAnsi="Arial" w:eastAsia="Arial" w:cs="Arial"/>
          <w:b w:val="0"/>
          <w:bCs w:val="0"/>
          <w:i w:val="0"/>
          <w:iCs w:val="0"/>
          <w:caps w:val="0"/>
          <w:smallCaps w:val="0"/>
          <w:noProof w:val="0"/>
          <w:color w:val="242424"/>
          <w:sz w:val="22"/>
          <w:szCs w:val="22"/>
          <w:lang w:val="en-GB"/>
        </w:rPr>
        <w:t>observed</w:t>
      </w:r>
      <w:r w:rsidRPr="31059CE2" w:rsidR="64996C9B">
        <w:rPr>
          <w:rFonts w:ascii="Arial" w:hAnsi="Arial" w:eastAsia="Arial" w:cs="Arial"/>
          <w:b w:val="0"/>
          <w:bCs w:val="0"/>
          <w:i w:val="0"/>
          <w:iCs w:val="0"/>
          <w:caps w:val="0"/>
          <w:smallCaps w:val="0"/>
          <w:noProof w:val="0"/>
          <w:color w:val="242424"/>
          <w:sz w:val="22"/>
          <w:szCs w:val="22"/>
          <w:lang w:val="en-GB"/>
        </w:rPr>
        <w:t xml:space="preserve"> across multiple regions. Climate change acts as a threat multiplier</w:t>
      </w:r>
      <w:r w:rsidRPr="31059CE2" w:rsidR="64996C9B">
        <w:rPr>
          <w:rFonts w:ascii="Arial" w:hAnsi="Arial" w:eastAsia="Arial" w:cs="Arial"/>
          <w:b w:val="0"/>
          <w:bCs w:val="0"/>
          <w:i w:val="0"/>
          <w:iCs w:val="0"/>
          <w:caps w:val="0"/>
          <w:smallCaps w:val="0"/>
          <w:noProof w:val="0"/>
          <w:color w:val="242424"/>
          <w:sz w:val="22"/>
          <w:szCs w:val="22"/>
          <w:lang w:val="en-GB"/>
        </w:rPr>
        <w:t>,</w:t>
      </w:r>
      <w:r w:rsidRPr="31059CE2" w:rsidR="64996C9B">
        <w:rPr>
          <w:rFonts w:ascii="Arial" w:hAnsi="Arial" w:eastAsia="Arial" w:cs="Arial"/>
          <w:b w:val="0"/>
          <w:bCs w:val="0"/>
          <w:i w:val="0"/>
          <w:iCs w:val="0"/>
          <w:caps w:val="0"/>
          <w:smallCaps w:val="0"/>
          <w:noProof w:val="0"/>
          <w:color w:val="242424"/>
          <w:sz w:val="22"/>
          <w:szCs w:val="22"/>
          <w:lang w:val="en-GB"/>
        </w:rPr>
        <w:t xml:space="preserve"> intensifying existing vulnerabilities and compounding socioeconomic disadvantage.</w:t>
      </w:r>
    </w:p>
    <w:p w:rsidR="64996C9B" w:rsidP="31059CE2" w:rsidRDefault="64996C9B" w14:paraId="72732D02" w14:textId="10A27056">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Climate impacts disproportionately affect vulnerable populations, reinforcing health inequities (WHO, 2021). </w:t>
      </w:r>
      <w:r w:rsidRPr="31059CE2" w:rsidR="15A1DC4A">
        <w:rPr>
          <w:rFonts w:ascii="Arial" w:hAnsi="Arial" w:eastAsia="Arial" w:cs="Arial"/>
          <w:b w:val="0"/>
          <w:bCs w:val="0"/>
          <w:i w:val="0"/>
          <w:iCs w:val="0"/>
          <w:caps w:val="0"/>
          <w:smallCaps w:val="0"/>
          <w:noProof w:val="0"/>
          <w:color w:val="242424"/>
          <w:sz w:val="22"/>
          <w:szCs w:val="22"/>
          <w:lang w:val="en-GB"/>
        </w:rPr>
        <w:t>Low-income</w:t>
      </w:r>
      <w:r w:rsidRPr="31059CE2" w:rsidR="64996C9B">
        <w:rPr>
          <w:rFonts w:ascii="Arial" w:hAnsi="Arial" w:eastAsia="Arial" w:cs="Arial"/>
          <w:b w:val="0"/>
          <w:bCs w:val="0"/>
          <w:i w:val="0"/>
          <w:iCs w:val="0"/>
          <w:caps w:val="0"/>
          <w:smallCaps w:val="0"/>
          <w:noProof w:val="0"/>
          <w:color w:val="242424"/>
          <w:sz w:val="22"/>
          <w:szCs w:val="22"/>
          <w:lang w:val="en-GB"/>
        </w:rPr>
        <w:t xml:space="preserve"> communities, older adults, </w:t>
      </w:r>
      <w:r w:rsidRPr="31059CE2" w:rsidR="64996C9B">
        <w:rPr>
          <w:rFonts w:ascii="Arial" w:hAnsi="Arial" w:eastAsia="Arial" w:cs="Arial"/>
          <w:b w:val="0"/>
          <w:bCs w:val="0"/>
          <w:i w:val="0"/>
          <w:iCs w:val="0"/>
          <w:caps w:val="0"/>
          <w:smallCaps w:val="0"/>
          <w:noProof w:val="0"/>
          <w:color w:val="242424"/>
          <w:sz w:val="22"/>
          <w:szCs w:val="22"/>
          <w:lang w:val="en-GB"/>
        </w:rPr>
        <w:t>children</w:t>
      </w:r>
      <w:r w:rsidRPr="31059CE2" w:rsidR="64996C9B">
        <w:rPr>
          <w:rFonts w:ascii="Arial" w:hAnsi="Arial" w:eastAsia="Arial" w:cs="Arial"/>
          <w:b w:val="0"/>
          <w:bCs w:val="0"/>
          <w:i w:val="0"/>
          <w:iCs w:val="0"/>
          <w:caps w:val="0"/>
          <w:smallCaps w:val="0"/>
          <w:noProof w:val="0"/>
          <w:color w:val="242424"/>
          <w:sz w:val="22"/>
          <w:szCs w:val="22"/>
          <w:lang w:val="en-GB"/>
        </w:rPr>
        <w:t xml:space="preserve"> and those with pre-existing health conditions experience higher exposure to environmental hazards and reduced adaptive capacity. Marmot (2020) argues that environmental sustainability and social justice are inseparable, as both require redistribution of power, </w:t>
      </w:r>
      <w:r w:rsidRPr="31059CE2" w:rsidR="64996C9B">
        <w:rPr>
          <w:rFonts w:ascii="Arial" w:hAnsi="Arial" w:eastAsia="Arial" w:cs="Arial"/>
          <w:b w:val="0"/>
          <w:bCs w:val="0"/>
          <w:i w:val="0"/>
          <w:iCs w:val="0"/>
          <w:caps w:val="0"/>
          <w:smallCaps w:val="0"/>
          <w:noProof w:val="0"/>
          <w:color w:val="242424"/>
          <w:sz w:val="22"/>
          <w:szCs w:val="22"/>
          <w:lang w:val="en-GB"/>
        </w:rPr>
        <w:t>resources</w:t>
      </w:r>
      <w:r w:rsidRPr="31059CE2" w:rsidR="64996C9B">
        <w:rPr>
          <w:rFonts w:ascii="Arial" w:hAnsi="Arial" w:eastAsia="Arial" w:cs="Arial"/>
          <w:b w:val="0"/>
          <w:bCs w:val="0"/>
          <w:i w:val="0"/>
          <w:iCs w:val="0"/>
          <w:caps w:val="0"/>
          <w:smallCaps w:val="0"/>
          <w:noProof w:val="0"/>
          <w:color w:val="242424"/>
          <w:sz w:val="22"/>
          <w:szCs w:val="22"/>
          <w:lang w:val="en-GB"/>
        </w:rPr>
        <w:t xml:space="preserve"> and opportunity. Climate injustice mirrors health inequality: those least responsible for emissions often bear the greatest burden of harm. Yet global governance relies </w:t>
      </w:r>
      <w:r w:rsidRPr="31059CE2" w:rsidR="64996C9B">
        <w:rPr>
          <w:rFonts w:ascii="Arial" w:hAnsi="Arial" w:eastAsia="Arial" w:cs="Arial"/>
          <w:b w:val="0"/>
          <w:bCs w:val="0"/>
          <w:i w:val="0"/>
          <w:iCs w:val="0"/>
          <w:caps w:val="0"/>
          <w:smallCaps w:val="0"/>
          <w:noProof w:val="0"/>
          <w:color w:val="242424"/>
          <w:sz w:val="22"/>
          <w:szCs w:val="22"/>
          <w:lang w:val="en-GB"/>
        </w:rPr>
        <w:t>largely on</w:t>
      </w:r>
      <w:r w:rsidRPr="31059CE2" w:rsidR="64996C9B">
        <w:rPr>
          <w:rFonts w:ascii="Arial" w:hAnsi="Arial" w:eastAsia="Arial" w:cs="Arial"/>
          <w:b w:val="0"/>
          <w:bCs w:val="0"/>
          <w:i w:val="0"/>
          <w:iCs w:val="0"/>
          <w:caps w:val="0"/>
          <w:smallCaps w:val="0"/>
          <w:noProof w:val="0"/>
          <w:color w:val="242424"/>
          <w:sz w:val="22"/>
          <w:szCs w:val="22"/>
          <w:lang w:val="en-GB"/>
        </w:rPr>
        <w:t xml:space="preserve"> voluntary compliance, limiting enforcement capacity (WHO, 2023a). International agreements such as the Paris Accord depend on nationally determined contributions, which vary in ambition and are </w:t>
      </w:r>
      <w:r w:rsidRPr="31059CE2" w:rsidR="64996C9B">
        <w:rPr>
          <w:rFonts w:ascii="Arial" w:hAnsi="Arial" w:eastAsia="Arial" w:cs="Arial"/>
          <w:b w:val="0"/>
          <w:bCs w:val="0"/>
          <w:i w:val="0"/>
          <w:iCs w:val="0"/>
          <w:caps w:val="0"/>
          <w:smallCaps w:val="0"/>
          <w:noProof w:val="0"/>
          <w:color w:val="242424"/>
          <w:sz w:val="22"/>
          <w:szCs w:val="22"/>
          <w:lang w:val="en-GB"/>
        </w:rPr>
        <w:t>frequently</w:t>
      </w:r>
      <w:r w:rsidRPr="31059CE2" w:rsidR="64996C9B">
        <w:rPr>
          <w:rFonts w:ascii="Arial" w:hAnsi="Arial" w:eastAsia="Arial" w:cs="Arial"/>
          <w:b w:val="0"/>
          <w:bCs w:val="0"/>
          <w:i w:val="0"/>
          <w:iCs w:val="0"/>
          <w:caps w:val="0"/>
          <w:smallCaps w:val="0"/>
          <w:noProof w:val="0"/>
          <w:color w:val="242424"/>
          <w:sz w:val="22"/>
          <w:szCs w:val="22"/>
          <w:lang w:val="en-GB"/>
        </w:rPr>
        <w:t xml:space="preserve"> shaped by domestic political constraints.</w:t>
      </w:r>
    </w:p>
    <w:p w:rsidR="64996C9B" w:rsidP="31059CE2" w:rsidRDefault="64996C9B" w14:paraId="77CFC86D" w14:textId="3AD7E1B3">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Moreover, climate change intersects with the social determinants of health in complex ways. Housing quality, employment conditions, food systems and transport infrastructure mediate exposure and resilience. For example, poorly insulated housing </w:t>
      </w:r>
      <w:r w:rsidRPr="31059CE2" w:rsidR="64996C9B">
        <w:rPr>
          <w:rFonts w:ascii="Arial" w:hAnsi="Arial" w:eastAsia="Arial" w:cs="Arial"/>
          <w:b w:val="0"/>
          <w:bCs w:val="0"/>
          <w:i w:val="0"/>
          <w:iCs w:val="0"/>
          <w:caps w:val="0"/>
          <w:smallCaps w:val="0"/>
          <w:noProof w:val="0"/>
          <w:color w:val="242424"/>
          <w:sz w:val="22"/>
          <w:szCs w:val="22"/>
          <w:lang w:val="en-GB"/>
        </w:rPr>
        <w:t>exacerbates</w:t>
      </w:r>
      <w:r w:rsidRPr="31059CE2" w:rsidR="64996C9B">
        <w:rPr>
          <w:rFonts w:ascii="Arial" w:hAnsi="Arial" w:eastAsia="Arial" w:cs="Arial"/>
          <w:b w:val="0"/>
          <w:bCs w:val="0"/>
          <w:i w:val="0"/>
          <w:iCs w:val="0"/>
          <w:caps w:val="0"/>
          <w:smallCaps w:val="0"/>
          <w:noProof w:val="0"/>
          <w:color w:val="242424"/>
          <w:sz w:val="22"/>
          <w:szCs w:val="22"/>
          <w:lang w:val="en-GB"/>
        </w:rPr>
        <w:t xml:space="preserve"> vulnerability to both extreme heat and cold, while reliance on fossil fuel-based transport increases air pollution-related morbidity. Addressing SDG 13 therefore requires systemic transformation across energy, urban </w:t>
      </w:r>
      <w:r w:rsidRPr="31059CE2" w:rsidR="64996C9B">
        <w:rPr>
          <w:rFonts w:ascii="Arial" w:hAnsi="Arial" w:eastAsia="Arial" w:cs="Arial"/>
          <w:b w:val="0"/>
          <w:bCs w:val="0"/>
          <w:i w:val="0"/>
          <w:iCs w:val="0"/>
          <w:caps w:val="0"/>
          <w:smallCaps w:val="0"/>
          <w:noProof w:val="0"/>
          <w:color w:val="242424"/>
          <w:sz w:val="22"/>
          <w:szCs w:val="22"/>
          <w:lang w:val="en-GB"/>
        </w:rPr>
        <w:t>planning</w:t>
      </w:r>
      <w:r w:rsidRPr="31059CE2" w:rsidR="64996C9B">
        <w:rPr>
          <w:rFonts w:ascii="Arial" w:hAnsi="Arial" w:eastAsia="Arial" w:cs="Arial"/>
          <w:b w:val="0"/>
          <w:bCs w:val="0"/>
          <w:i w:val="0"/>
          <w:iCs w:val="0"/>
          <w:caps w:val="0"/>
          <w:smallCaps w:val="0"/>
          <w:noProof w:val="0"/>
          <w:color w:val="242424"/>
          <w:sz w:val="22"/>
          <w:szCs w:val="22"/>
          <w:lang w:val="en-GB"/>
        </w:rPr>
        <w:t xml:space="preserve"> and economic policy, rather than isolated environmental initiatives.</w:t>
      </w:r>
    </w:p>
    <w:p w:rsidR="64996C9B" w:rsidP="31059CE2" w:rsidRDefault="64996C9B" w14:paraId="2402EB95" w14:textId="0B448D8F">
      <w:pPr>
        <w:pStyle w:val="Heading3"/>
        <w:rPr>
          <w:rFonts w:ascii="Arial" w:hAnsi="Arial" w:eastAsia="Arial" w:cs="Arial"/>
          <w:b w:val="1"/>
          <w:bCs w:val="1"/>
          <w:i w:val="0"/>
          <w:iCs w:val="0"/>
          <w:caps w:val="0"/>
          <w:smallCaps w:val="0"/>
          <w:noProof w:val="0"/>
          <w:color w:val="auto"/>
          <w:sz w:val="22"/>
          <w:szCs w:val="22"/>
          <w:lang w:val="en-GB"/>
        </w:rPr>
      </w:pPr>
      <w:bookmarkStart w:name="_Toc1927434399" w:id="2042008969"/>
      <w:r w:rsidRPr="31059CE2" w:rsidR="64996C9B">
        <w:rPr>
          <w:rFonts w:ascii="Arial" w:hAnsi="Arial" w:eastAsia="Arial" w:cs="Arial"/>
          <w:b w:val="1"/>
          <w:bCs w:val="1"/>
          <w:noProof w:val="0"/>
          <w:color w:val="auto"/>
          <w:sz w:val="22"/>
          <w:szCs w:val="22"/>
          <w:lang w:val="en-GB"/>
        </w:rPr>
        <w:t>Section 2 – Analyse current national and local policies</w:t>
      </w:r>
      <w:bookmarkEnd w:id="2042008969"/>
    </w:p>
    <w:p w:rsidR="64996C9B" w:rsidP="5ED9664E" w:rsidRDefault="64996C9B" w14:paraId="0F4EF77E" w14:textId="03A7F137">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64996C9B">
        <w:rPr>
          <w:rFonts w:ascii="Arial" w:hAnsi="Arial" w:eastAsia="Arial" w:cs="Arial"/>
          <w:b w:val="0"/>
          <w:bCs w:val="0"/>
          <w:i w:val="0"/>
          <w:iCs w:val="0"/>
          <w:caps w:val="0"/>
          <w:smallCaps w:val="0"/>
          <w:noProof w:val="0"/>
          <w:color w:val="242424"/>
          <w:sz w:val="22"/>
          <w:szCs w:val="22"/>
          <w:lang w:val="en-GB"/>
        </w:rPr>
        <w:t xml:space="preserve">The UK Health Security Agency’s Health Effects of Climate Change (HECC) report outlines health risks from heatwaves, </w:t>
      </w:r>
      <w:r w:rsidRPr="5ED9664E" w:rsidR="64996C9B">
        <w:rPr>
          <w:rFonts w:ascii="Arial" w:hAnsi="Arial" w:eastAsia="Arial" w:cs="Arial"/>
          <w:b w:val="0"/>
          <w:bCs w:val="0"/>
          <w:i w:val="0"/>
          <w:iCs w:val="0"/>
          <w:caps w:val="0"/>
          <w:smallCaps w:val="0"/>
          <w:noProof w:val="0"/>
          <w:color w:val="242424"/>
          <w:sz w:val="22"/>
          <w:szCs w:val="22"/>
          <w:lang w:val="en-GB"/>
        </w:rPr>
        <w:t>flooding</w:t>
      </w:r>
      <w:r w:rsidRPr="5ED9664E" w:rsidR="64996C9B">
        <w:rPr>
          <w:rFonts w:ascii="Arial" w:hAnsi="Arial" w:eastAsia="Arial" w:cs="Arial"/>
          <w:b w:val="0"/>
          <w:bCs w:val="0"/>
          <w:i w:val="0"/>
          <w:iCs w:val="0"/>
          <w:caps w:val="0"/>
          <w:smallCaps w:val="0"/>
          <w:noProof w:val="0"/>
          <w:color w:val="242424"/>
          <w:sz w:val="22"/>
          <w:szCs w:val="22"/>
          <w:lang w:val="en-GB"/>
        </w:rPr>
        <w:t xml:space="preserve"> and vector-borne disease (UKHSA, 2024). It strengthens adaptation planning through surveillance, early warning </w:t>
      </w:r>
      <w:r w:rsidRPr="5ED9664E" w:rsidR="64996C9B">
        <w:rPr>
          <w:rFonts w:ascii="Arial" w:hAnsi="Arial" w:eastAsia="Arial" w:cs="Arial"/>
          <w:b w:val="0"/>
          <w:bCs w:val="0"/>
          <w:i w:val="0"/>
          <w:iCs w:val="0"/>
          <w:caps w:val="0"/>
          <w:smallCaps w:val="0"/>
          <w:noProof w:val="0"/>
          <w:color w:val="242424"/>
          <w:sz w:val="22"/>
          <w:szCs w:val="22"/>
          <w:lang w:val="en-GB"/>
        </w:rPr>
        <w:t>systems</w:t>
      </w:r>
      <w:r w:rsidRPr="5ED9664E" w:rsidR="64996C9B">
        <w:rPr>
          <w:rFonts w:ascii="Arial" w:hAnsi="Arial" w:eastAsia="Arial" w:cs="Arial"/>
          <w:b w:val="0"/>
          <w:bCs w:val="0"/>
          <w:i w:val="0"/>
          <w:iCs w:val="0"/>
          <w:caps w:val="0"/>
          <w:smallCaps w:val="0"/>
          <w:noProof w:val="0"/>
          <w:color w:val="242424"/>
          <w:sz w:val="22"/>
          <w:szCs w:val="22"/>
          <w:lang w:val="en-GB"/>
        </w:rPr>
        <w:t xml:space="preserve"> and interagency coordination. </w:t>
      </w:r>
    </w:p>
    <w:p w:rsidR="64996C9B" w:rsidP="5ED9664E" w:rsidRDefault="64996C9B" w14:paraId="0A995D14" w14:textId="6F268356">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64996C9B">
        <w:rPr>
          <w:rFonts w:ascii="Arial" w:hAnsi="Arial" w:eastAsia="Arial" w:cs="Arial"/>
          <w:b w:val="0"/>
          <w:bCs w:val="0"/>
          <w:i w:val="0"/>
          <w:iCs w:val="0"/>
          <w:caps w:val="0"/>
          <w:smallCaps w:val="0"/>
          <w:noProof w:val="0"/>
          <w:color w:val="242424"/>
          <w:sz w:val="22"/>
          <w:szCs w:val="22"/>
          <w:lang w:val="en-GB"/>
        </w:rPr>
        <w:t>This reflects a maturing recognition that climate resilience must be embedded within public health protection. However, the report primarily focuses on adaptation rather than mitigation and does not mandate emission reductions across sectors. As a result, it manages downstream consequences without fully addressing upstream drivers.</w:t>
      </w:r>
    </w:p>
    <w:p w:rsidR="64996C9B" w:rsidP="5ED9664E" w:rsidRDefault="64996C9B" w14:paraId="345FC814" w14:textId="550BA29C">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64996C9B">
        <w:rPr>
          <w:rFonts w:ascii="Arial" w:hAnsi="Arial" w:eastAsia="Arial" w:cs="Arial"/>
          <w:b w:val="0"/>
          <w:bCs w:val="0"/>
          <w:i w:val="0"/>
          <w:iCs w:val="0"/>
          <w:caps w:val="0"/>
          <w:smallCaps w:val="0"/>
          <w:noProof w:val="0"/>
          <w:color w:val="242424"/>
          <w:sz w:val="22"/>
          <w:szCs w:val="22"/>
          <w:lang w:val="en-GB"/>
        </w:rPr>
        <w:t xml:space="preserve">The NHS Net Zero commitment signals leadership in sustainable healthcare, aiming to reduce emissions from estates, supply </w:t>
      </w:r>
      <w:r w:rsidRPr="5ED9664E" w:rsidR="64996C9B">
        <w:rPr>
          <w:rFonts w:ascii="Arial" w:hAnsi="Arial" w:eastAsia="Arial" w:cs="Arial"/>
          <w:b w:val="0"/>
          <w:bCs w:val="0"/>
          <w:i w:val="0"/>
          <w:iCs w:val="0"/>
          <w:caps w:val="0"/>
          <w:smallCaps w:val="0"/>
          <w:noProof w:val="0"/>
          <w:color w:val="242424"/>
          <w:sz w:val="22"/>
          <w:szCs w:val="22"/>
          <w:lang w:val="en-GB"/>
        </w:rPr>
        <w:t>chains</w:t>
      </w:r>
      <w:r w:rsidRPr="5ED9664E" w:rsidR="64996C9B">
        <w:rPr>
          <w:rFonts w:ascii="Arial" w:hAnsi="Arial" w:eastAsia="Arial" w:cs="Arial"/>
          <w:b w:val="0"/>
          <w:bCs w:val="0"/>
          <w:i w:val="0"/>
          <w:iCs w:val="0"/>
          <w:caps w:val="0"/>
          <w:smallCaps w:val="0"/>
          <w:noProof w:val="0"/>
          <w:color w:val="242424"/>
          <w:sz w:val="22"/>
          <w:szCs w:val="22"/>
          <w:lang w:val="en-GB"/>
        </w:rPr>
        <w:t xml:space="preserve"> and clinical practice. Given that healthcare systems contribute significantly to national carbon footprints, decarbonisation of procurement, pharmaceuticals and infrastructure is essential</w:t>
      </w:r>
      <w:r w:rsidRPr="5ED9664E" w:rsidR="5E0C6675">
        <w:rPr>
          <w:rFonts w:ascii="Arial" w:hAnsi="Arial" w:eastAsia="Arial" w:cs="Arial"/>
          <w:b w:val="0"/>
          <w:bCs w:val="0"/>
          <w:i w:val="0"/>
          <w:iCs w:val="0"/>
          <w:caps w:val="0"/>
          <w:smallCaps w:val="0"/>
          <w:noProof w:val="0"/>
          <w:color w:val="242424"/>
          <w:sz w:val="22"/>
          <w:szCs w:val="22"/>
          <w:lang w:val="en-GB"/>
        </w:rPr>
        <w:t>.</w:t>
      </w:r>
    </w:p>
    <w:p w:rsidR="64996C9B" w:rsidP="5ED9664E" w:rsidRDefault="64996C9B" w14:paraId="13F0AE22" w14:textId="09610B1B">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64996C9B">
        <w:rPr>
          <w:rFonts w:ascii="Arial" w:hAnsi="Arial" w:eastAsia="Arial" w:cs="Arial"/>
          <w:b w:val="0"/>
          <w:bCs w:val="0"/>
          <w:i w:val="0"/>
          <w:iCs w:val="0"/>
          <w:caps w:val="0"/>
          <w:smallCaps w:val="0"/>
          <w:noProof w:val="0"/>
          <w:color w:val="242424"/>
          <w:sz w:val="22"/>
          <w:szCs w:val="22"/>
          <w:lang w:val="en-GB"/>
        </w:rPr>
        <w:t xml:space="preserve"> However, achieving net zero requires procurement reform and capital investment exceeding current funding settlements. Financial pressures, workforce </w:t>
      </w:r>
      <w:r w:rsidRPr="5ED9664E" w:rsidR="64996C9B">
        <w:rPr>
          <w:rFonts w:ascii="Arial" w:hAnsi="Arial" w:eastAsia="Arial" w:cs="Arial"/>
          <w:b w:val="0"/>
          <w:bCs w:val="0"/>
          <w:i w:val="0"/>
          <w:iCs w:val="0"/>
          <w:caps w:val="0"/>
          <w:smallCaps w:val="0"/>
          <w:noProof w:val="0"/>
          <w:color w:val="242424"/>
          <w:sz w:val="22"/>
          <w:szCs w:val="22"/>
          <w:lang w:val="en-GB"/>
        </w:rPr>
        <w:t>shortages</w:t>
      </w:r>
      <w:r w:rsidRPr="5ED9664E" w:rsidR="64996C9B">
        <w:rPr>
          <w:rFonts w:ascii="Arial" w:hAnsi="Arial" w:eastAsia="Arial" w:cs="Arial"/>
          <w:b w:val="0"/>
          <w:bCs w:val="0"/>
          <w:i w:val="0"/>
          <w:iCs w:val="0"/>
          <w:caps w:val="0"/>
          <w:smallCaps w:val="0"/>
          <w:noProof w:val="0"/>
          <w:color w:val="242424"/>
          <w:sz w:val="22"/>
          <w:szCs w:val="22"/>
          <w:lang w:val="en-GB"/>
        </w:rPr>
        <w:t xml:space="preserve"> and backlog recovery compete with sustainability goals. Without ring-fenced investment and clear accountability mechanisms, net zero risks becoming aspirational rather than operational.</w:t>
      </w:r>
    </w:p>
    <w:p w:rsidR="5ED9664E" w:rsidP="5ED9664E" w:rsidRDefault="5ED9664E" w14:paraId="67E50DF1" w14:textId="7A65C871">
      <w:pPr>
        <w:shd w:val="clear" w:color="auto" w:fill="FFFFFF" w:themeFill="background1"/>
        <w:spacing w:before="0" w:beforeAutospacing="off" w:after="180" w:afterAutospacing="off" w:line="360" w:lineRule="auto"/>
        <w:rPr>
          <w:rFonts w:ascii="Arial" w:hAnsi="Arial" w:eastAsia="Arial" w:cs="Arial"/>
          <w:sz w:val="22"/>
          <w:szCs w:val="22"/>
        </w:rPr>
      </w:pPr>
    </w:p>
    <w:p w:rsidR="64996C9B" w:rsidP="31059CE2" w:rsidRDefault="64996C9B" w14:paraId="6AD90DA6" w14:textId="7826DCC5">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At national level, climate policy is articulated through legally binding carbon budgets and the UK’s commitment to net zero by 2050. While this legislative framework is comparatively robust, implementation gaps persist. Infrastructure transitions</w:t>
      </w:r>
      <w:r w:rsidRPr="31059CE2" w:rsidR="09DE5018">
        <w:rPr>
          <w:rFonts w:ascii="Arial" w:hAnsi="Arial" w:eastAsia="Arial" w:cs="Arial"/>
          <w:b w:val="0"/>
          <w:bCs w:val="0"/>
          <w:i w:val="0"/>
          <w:iCs w:val="0"/>
          <w:caps w:val="0"/>
          <w:smallCaps w:val="0"/>
          <w:noProof w:val="0"/>
          <w:color w:val="242424"/>
          <w:sz w:val="22"/>
          <w:szCs w:val="22"/>
          <w:lang w:val="en-GB"/>
        </w:rPr>
        <w:t xml:space="preserve"> </w:t>
      </w:r>
      <w:r w:rsidRPr="31059CE2" w:rsidR="64996C9B">
        <w:rPr>
          <w:rFonts w:ascii="Arial" w:hAnsi="Arial" w:eastAsia="Arial" w:cs="Arial"/>
          <w:b w:val="0"/>
          <w:bCs w:val="0"/>
          <w:i w:val="0"/>
          <w:iCs w:val="0"/>
          <w:caps w:val="0"/>
          <w:smallCaps w:val="0"/>
          <w:noProof w:val="0"/>
          <w:color w:val="242424"/>
          <w:sz w:val="22"/>
          <w:szCs w:val="22"/>
          <w:lang w:val="en-GB"/>
        </w:rPr>
        <w:t xml:space="preserve">such as renewable energy expansion, home </w:t>
      </w:r>
      <w:r w:rsidRPr="31059CE2" w:rsidR="64996C9B">
        <w:rPr>
          <w:rFonts w:ascii="Arial" w:hAnsi="Arial" w:eastAsia="Arial" w:cs="Arial"/>
          <w:b w:val="0"/>
          <w:bCs w:val="0"/>
          <w:i w:val="0"/>
          <w:iCs w:val="0"/>
          <w:caps w:val="0"/>
          <w:smallCaps w:val="0"/>
          <w:noProof w:val="0"/>
          <w:color w:val="242424"/>
          <w:sz w:val="22"/>
          <w:szCs w:val="22"/>
          <w:lang w:val="en-GB"/>
        </w:rPr>
        <w:t>retrofitting</w:t>
      </w:r>
      <w:r w:rsidRPr="31059CE2" w:rsidR="64996C9B">
        <w:rPr>
          <w:rFonts w:ascii="Arial" w:hAnsi="Arial" w:eastAsia="Arial" w:cs="Arial"/>
          <w:b w:val="0"/>
          <w:bCs w:val="0"/>
          <w:i w:val="0"/>
          <w:iCs w:val="0"/>
          <w:caps w:val="0"/>
          <w:smallCaps w:val="0"/>
          <w:noProof w:val="0"/>
          <w:color w:val="242424"/>
          <w:sz w:val="22"/>
          <w:szCs w:val="22"/>
          <w:lang w:val="en-GB"/>
        </w:rPr>
        <w:t xml:space="preserve"> and public transport reform</w:t>
      </w:r>
      <w:r w:rsidRPr="31059CE2" w:rsidR="1F6A4A1E">
        <w:rPr>
          <w:rFonts w:ascii="Arial" w:hAnsi="Arial" w:eastAsia="Arial" w:cs="Arial"/>
          <w:b w:val="0"/>
          <w:bCs w:val="0"/>
          <w:i w:val="0"/>
          <w:iCs w:val="0"/>
          <w:caps w:val="0"/>
          <w:smallCaps w:val="0"/>
          <w:noProof w:val="0"/>
          <w:color w:val="242424"/>
          <w:sz w:val="22"/>
          <w:szCs w:val="22"/>
          <w:lang w:val="en-GB"/>
        </w:rPr>
        <w:t xml:space="preserve"> </w:t>
      </w:r>
      <w:r w:rsidRPr="31059CE2" w:rsidR="64996C9B">
        <w:rPr>
          <w:rFonts w:ascii="Arial" w:hAnsi="Arial" w:eastAsia="Arial" w:cs="Arial"/>
          <w:b w:val="0"/>
          <w:bCs w:val="0"/>
          <w:i w:val="0"/>
          <w:iCs w:val="0"/>
          <w:caps w:val="0"/>
          <w:smallCaps w:val="0"/>
          <w:noProof w:val="0"/>
          <w:color w:val="242424"/>
          <w:sz w:val="22"/>
          <w:szCs w:val="22"/>
          <w:lang w:val="en-GB"/>
        </w:rPr>
        <w:t>require sustained fiscal commitment. Short-term political cycles can undermine long-term climate planning, particularly where policies are perceived to impose immediate economic costs.</w:t>
      </w:r>
    </w:p>
    <w:p w:rsidR="64996C9B" w:rsidP="31059CE2" w:rsidRDefault="64996C9B" w14:paraId="728ACDC8" w14:textId="618AF1D9">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Local authorities shape climate-health outcomes through planning, </w:t>
      </w:r>
      <w:r w:rsidRPr="31059CE2" w:rsidR="64996C9B">
        <w:rPr>
          <w:rFonts w:ascii="Arial" w:hAnsi="Arial" w:eastAsia="Arial" w:cs="Arial"/>
          <w:b w:val="0"/>
          <w:bCs w:val="0"/>
          <w:i w:val="0"/>
          <w:iCs w:val="0"/>
          <w:caps w:val="0"/>
          <w:smallCaps w:val="0"/>
          <w:noProof w:val="0"/>
          <w:color w:val="242424"/>
          <w:sz w:val="22"/>
          <w:szCs w:val="22"/>
          <w:lang w:val="en-GB"/>
        </w:rPr>
        <w:t>transport</w:t>
      </w:r>
      <w:r w:rsidRPr="31059CE2" w:rsidR="64996C9B">
        <w:rPr>
          <w:rFonts w:ascii="Arial" w:hAnsi="Arial" w:eastAsia="Arial" w:cs="Arial"/>
          <w:b w:val="0"/>
          <w:bCs w:val="0"/>
          <w:i w:val="0"/>
          <w:iCs w:val="0"/>
          <w:caps w:val="0"/>
          <w:smallCaps w:val="0"/>
          <w:noProof w:val="0"/>
          <w:color w:val="242424"/>
          <w:sz w:val="22"/>
          <w:szCs w:val="22"/>
          <w:lang w:val="en-GB"/>
        </w:rPr>
        <w:t xml:space="preserve"> and housing policy. Decisions </w:t>
      </w:r>
      <w:r w:rsidRPr="31059CE2" w:rsidR="64996C9B">
        <w:rPr>
          <w:rFonts w:ascii="Arial" w:hAnsi="Arial" w:eastAsia="Arial" w:cs="Arial"/>
          <w:b w:val="0"/>
          <w:bCs w:val="0"/>
          <w:i w:val="0"/>
          <w:iCs w:val="0"/>
          <w:caps w:val="0"/>
          <w:smallCaps w:val="0"/>
          <w:noProof w:val="0"/>
          <w:color w:val="242424"/>
          <w:sz w:val="22"/>
          <w:szCs w:val="22"/>
          <w:lang w:val="en-GB"/>
        </w:rPr>
        <w:t>regarding</w:t>
      </w:r>
      <w:r w:rsidRPr="31059CE2" w:rsidR="64996C9B">
        <w:rPr>
          <w:rFonts w:ascii="Arial" w:hAnsi="Arial" w:eastAsia="Arial" w:cs="Arial"/>
          <w:b w:val="0"/>
          <w:bCs w:val="0"/>
          <w:i w:val="0"/>
          <w:iCs w:val="0"/>
          <w:caps w:val="0"/>
          <w:smallCaps w:val="0"/>
          <w:noProof w:val="0"/>
          <w:color w:val="242424"/>
          <w:sz w:val="22"/>
          <w:szCs w:val="22"/>
          <w:lang w:val="en-GB"/>
        </w:rPr>
        <w:t xml:space="preserve"> green space allocation, active travel infrastructure and flood defence directly influence exposure to climate risk and co-benefits such as improved mental wellbeing and reduced air pollution. </w:t>
      </w:r>
    </w:p>
    <w:p w:rsidR="64996C9B" w:rsidP="31059CE2" w:rsidRDefault="64996C9B" w14:paraId="6374AF63" w14:textId="658739B5">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Yet fiscal constraint restricts large-scale adaptation, illustrating a vertical governance tension: national commitments exceed local delivery capacity. Revenue reductions and limited borrowing powers constrain council</w:t>
      </w:r>
      <w:r w:rsidRPr="31059CE2" w:rsidR="111DCDA4">
        <w:rPr>
          <w:rFonts w:ascii="Arial" w:hAnsi="Arial" w:eastAsia="Arial" w:cs="Arial"/>
          <w:b w:val="0"/>
          <w:bCs w:val="0"/>
          <w:i w:val="0"/>
          <w:iCs w:val="0"/>
          <w:caps w:val="0"/>
          <w:smallCaps w:val="0"/>
          <w:noProof w:val="0"/>
          <w:color w:val="242424"/>
          <w:sz w:val="22"/>
          <w:szCs w:val="22"/>
          <w:lang w:val="en-GB"/>
        </w:rPr>
        <w:t>’s</w:t>
      </w:r>
      <w:r w:rsidRPr="31059CE2" w:rsidR="64996C9B">
        <w:rPr>
          <w:rFonts w:ascii="Arial" w:hAnsi="Arial" w:eastAsia="Arial" w:cs="Arial"/>
          <w:b w:val="0"/>
          <w:bCs w:val="0"/>
          <w:i w:val="0"/>
          <w:iCs w:val="0"/>
          <w:caps w:val="0"/>
          <w:smallCaps w:val="0"/>
          <w:noProof w:val="0"/>
          <w:color w:val="242424"/>
          <w:sz w:val="22"/>
          <w:szCs w:val="22"/>
          <w:lang w:val="en-GB"/>
        </w:rPr>
        <w:t xml:space="preserve"> ability to invest in sustainable infrastructure. Consequently, climate ambition at national level may not translate into </w:t>
      </w:r>
      <w:r w:rsidRPr="31059CE2" w:rsidR="64996C9B">
        <w:rPr>
          <w:rFonts w:ascii="Arial" w:hAnsi="Arial" w:eastAsia="Arial" w:cs="Arial"/>
          <w:b w:val="0"/>
          <w:bCs w:val="0"/>
          <w:i w:val="0"/>
          <w:iCs w:val="0"/>
          <w:caps w:val="0"/>
          <w:smallCaps w:val="0"/>
          <w:noProof w:val="0"/>
          <w:color w:val="242424"/>
          <w:sz w:val="22"/>
          <w:szCs w:val="22"/>
          <w:lang w:val="en-GB"/>
        </w:rPr>
        <w:t>equitable</w:t>
      </w:r>
      <w:r w:rsidRPr="31059CE2" w:rsidR="64996C9B">
        <w:rPr>
          <w:rFonts w:ascii="Arial" w:hAnsi="Arial" w:eastAsia="Arial" w:cs="Arial"/>
          <w:b w:val="0"/>
          <w:bCs w:val="0"/>
          <w:i w:val="0"/>
          <w:iCs w:val="0"/>
          <w:caps w:val="0"/>
          <w:smallCaps w:val="0"/>
          <w:noProof w:val="0"/>
          <w:color w:val="242424"/>
          <w:sz w:val="22"/>
          <w:szCs w:val="22"/>
          <w:lang w:val="en-GB"/>
        </w:rPr>
        <w:t xml:space="preserve"> local outcomes.</w:t>
      </w:r>
    </w:p>
    <w:p w:rsidR="64996C9B" w:rsidP="31059CE2" w:rsidRDefault="64996C9B" w14:paraId="16E18C0B" w14:textId="49E43EC4">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Community-based initiatives, including urban greening and social prescribing linked to nature exposure, </w:t>
      </w:r>
      <w:r w:rsidRPr="31059CE2" w:rsidR="64996C9B">
        <w:rPr>
          <w:rFonts w:ascii="Arial" w:hAnsi="Arial" w:eastAsia="Arial" w:cs="Arial"/>
          <w:b w:val="0"/>
          <w:bCs w:val="0"/>
          <w:i w:val="0"/>
          <w:iCs w:val="0"/>
          <w:caps w:val="0"/>
          <w:smallCaps w:val="0"/>
          <w:noProof w:val="0"/>
          <w:color w:val="242424"/>
          <w:sz w:val="22"/>
          <w:szCs w:val="22"/>
          <w:lang w:val="en-GB"/>
        </w:rPr>
        <w:t>demonstrate</w:t>
      </w:r>
      <w:r w:rsidRPr="31059CE2" w:rsidR="64996C9B">
        <w:rPr>
          <w:rFonts w:ascii="Arial" w:hAnsi="Arial" w:eastAsia="Arial" w:cs="Arial"/>
          <w:b w:val="0"/>
          <w:bCs w:val="0"/>
          <w:i w:val="0"/>
          <w:iCs w:val="0"/>
          <w:caps w:val="0"/>
          <w:smallCaps w:val="0"/>
          <w:noProof w:val="0"/>
          <w:color w:val="242424"/>
          <w:sz w:val="22"/>
          <w:szCs w:val="22"/>
          <w:lang w:val="en-GB"/>
        </w:rPr>
        <w:t xml:space="preserve"> the potential for integrated climate-health interventions. However, such programmes often depend on short-term grants rather than stable funding streams. This undermines continuity and limits evaluation of long-term impact.</w:t>
      </w:r>
    </w:p>
    <w:p w:rsidR="64996C9B" w:rsidP="31059CE2" w:rsidRDefault="64996C9B" w14:paraId="27970AE6" w14:textId="78FC5020">
      <w:pPr>
        <w:pStyle w:val="Heading3"/>
        <w:spacing w:line="360" w:lineRule="auto"/>
        <w:rPr>
          <w:rFonts w:ascii="Arial" w:hAnsi="Arial" w:eastAsia="Arial" w:cs="Arial"/>
          <w:b w:val="1"/>
          <w:bCs w:val="1"/>
          <w:i w:val="0"/>
          <w:iCs w:val="0"/>
          <w:caps w:val="0"/>
          <w:smallCaps w:val="0"/>
          <w:noProof w:val="0"/>
          <w:color w:val="auto"/>
          <w:sz w:val="22"/>
          <w:szCs w:val="22"/>
          <w:lang w:val="en-GB"/>
        </w:rPr>
      </w:pPr>
      <w:bookmarkStart w:name="_Toc810022997" w:id="2050732407"/>
      <w:r w:rsidRPr="31059CE2" w:rsidR="64996C9B">
        <w:rPr>
          <w:rFonts w:ascii="Arial" w:hAnsi="Arial" w:eastAsia="Arial" w:cs="Arial"/>
          <w:b w:val="1"/>
          <w:bCs w:val="1"/>
          <w:noProof w:val="0"/>
          <w:color w:val="auto"/>
          <w:sz w:val="22"/>
          <w:szCs w:val="22"/>
          <w:lang w:val="en-GB"/>
        </w:rPr>
        <w:t>Section 3 – Evaluate effectiveness using evidence</w:t>
      </w:r>
      <w:bookmarkEnd w:id="2050732407"/>
    </w:p>
    <w:p w:rsidR="64996C9B" w:rsidP="5ED9664E" w:rsidRDefault="64996C9B" w14:paraId="35CFD8B0" w14:textId="0D95528F">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64996C9B">
        <w:rPr>
          <w:rFonts w:ascii="Arial" w:hAnsi="Arial" w:eastAsia="Arial" w:cs="Arial"/>
          <w:b w:val="0"/>
          <w:bCs w:val="0"/>
          <w:i w:val="0"/>
          <w:iCs w:val="0"/>
          <w:caps w:val="0"/>
          <w:smallCaps w:val="0"/>
          <w:noProof w:val="0"/>
          <w:color w:val="242424"/>
          <w:sz w:val="22"/>
          <w:szCs w:val="22"/>
          <w:lang w:val="en-GB"/>
        </w:rPr>
        <w:t xml:space="preserve">Climate-health risks continue to intensify despite policy commitments. The Lancet Countdown (2023) </w:t>
      </w:r>
      <w:r w:rsidRPr="5ED9664E" w:rsidR="64996C9B">
        <w:rPr>
          <w:rFonts w:ascii="Arial" w:hAnsi="Arial" w:eastAsia="Arial" w:cs="Arial"/>
          <w:b w:val="0"/>
          <w:bCs w:val="0"/>
          <w:i w:val="0"/>
          <w:iCs w:val="0"/>
          <w:caps w:val="0"/>
          <w:smallCaps w:val="0"/>
          <w:noProof w:val="0"/>
          <w:color w:val="242424"/>
          <w:sz w:val="22"/>
          <w:szCs w:val="22"/>
          <w:lang w:val="en-GB"/>
        </w:rPr>
        <w:t>demonstrates</w:t>
      </w:r>
      <w:r w:rsidRPr="5ED9664E" w:rsidR="64996C9B">
        <w:rPr>
          <w:rFonts w:ascii="Arial" w:hAnsi="Arial" w:eastAsia="Arial" w:cs="Arial"/>
          <w:b w:val="0"/>
          <w:bCs w:val="0"/>
          <w:i w:val="0"/>
          <w:iCs w:val="0"/>
          <w:caps w:val="0"/>
          <w:smallCaps w:val="0"/>
          <w:noProof w:val="0"/>
          <w:color w:val="242424"/>
          <w:sz w:val="22"/>
          <w:szCs w:val="22"/>
          <w:lang w:val="en-GB"/>
        </w:rPr>
        <w:t xml:space="preserve"> rising exposure to fossil fuel-related harms, including record heat exposure among older populations and increasing wildfire-related particulate pollution. WHO (2023c) reports increasing climate-sensitive disease burdens, including shifts in vector distribution and heightened risk of malnutrition linked to crop instability. These trends </w:t>
      </w:r>
      <w:r w:rsidRPr="5ED9664E" w:rsidR="64996C9B">
        <w:rPr>
          <w:rFonts w:ascii="Arial" w:hAnsi="Arial" w:eastAsia="Arial" w:cs="Arial"/>
          <w:b w:val="0"/>
          <w:bCs w:val="0"/>
          <w:i w:val="0"/>
          <w:iCs w:val="0"/>
          <w:caps w:val="0"/>
          <w:smallCaps w:val="0"/>
          <w:noProof w:val="0"/>
          <w:color w:val="242424"/>
          <w:sz w:val="22"/>
          <w:szCs w:val="22"/>
          <w:lang w:val="en-GB"/>
        </w:rPr>
        <w:t>indicate</w:t>
      </w:r>
      <w:r w:rsidRPr="5ED9664E" w:rsidR="64996C9B">
        <w:rPr>
          <w:rFonts w:ascii="Arial" w:hAnsi="Arial" w:eastAsia="Arial" w:cs="Arial"/>
          <w:b w:val="0"/>
          <w:bCs w:val="0"/>
          <w:i w:val="0"/>
          <w:iCs w:val="0"/>
          <w:caps w:val="0"/>
          <w:smallCaps w:val="0"/>
          <w:noProof w:val="0"/>
          <w:color w:val="242424"/>
          <w:sz w:val="22"/>
          <w:szCs w:val="22"/>
          <w:lang w:val="en-GB"/>
        </w:rPr>
        <w:t xml:space="preserve"> that adaptation measures alone are insufficient to offset escalating emissions.</w:t>
      </w:r>
    </w:p>
    <w:p w:rsidR="64996C9B" w:rsidP="31059CE2" w:rsidRDefault="64996C9B" w14:paraId="7C8C65C3" w14:textId="0441CAE5">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UKHSA (2024) provides robust risk assessment, yet adaptation without aggressive mitigation limits long-term effectiveness. Early warning systems may reduce immediate mortality during heatwaves, but without decarbonisation the frequency and severity of such events will continue to rise. This reflects a policy imbalance between resilience-building and structural emission reduction.</w:t>
      </w:r>
    </w:p>
    <w:p w:rsidR="64996C9B" w:rsidP="31059CE2" w:rsidRDefault="64996C9B" w14:paraId="78CC4B1F" w14:textId="545B8A23">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Economic structures </w:t>
      </w:r>
      <w:r w:rsidRPr="31059CE2" w:rsidR="64996C9B">
        <w:rPr>
          <w:rFonts w:ascii="Arial" w:hAnsi="Arial" w:eastAsia="Arial" w:cs="Arial"/>
          <w:b w:val="0"/>
          <w:bCs w:val="0"/>
          <w:i w:val="0"/>
          <w:iCs w:val="0"/>
          <w:caps w:val="0"/>
          <w:smallCaps w:val="0"/>
          <w:noProof w:val="0"/>
          <w:color w:val="242424"/>
          <w:sz w:val="22"/>
          <w:szCs w:val="22"/>
          <w:lang w:val="en-GB"/>
        </w:rPr>
        <w:t>remain</w:t>
      </w:r>
      <w:r w:rsidRPr="31059CE2" w:rsidR="64996C9B">
        <w:rPr>
          <w:rFonts w:ascii="Arial" w:hAnsi="Arial" w:eastAsia="Arial" w:cs="Arial"/>
          <w:b w:val="0"/>
          <w:bCs w:val="0"/>
          <w:i w:val="0"/>
          <w:iCs w:val="0"/>
          <w:caps w:val="0"/>
          <w:smallCaps w:val="0"/>
          <w:noProof w:val="0"/>
          <w:color w:val="242424"/>
          <w:sz w:val="22"/>
          <w:szCs w:val="22"/>
          <w:lang w:val="en-GB"/>
        </w:rPr>
        <w:t xml:space="preserve"> </w:t>
      </w:r>
      <w:r w:rsidRPr="31059CE2" w:rsidR="72921678">
        <w:rPr>
          <w:rFonts w:ascii="Arial" w:hAnsi="Arial" w:eastAsia="Arial" w:cs="Arial"/>
          <w:b w:val="0"/>
          <w:bCs w:val="0"/>
          <w:i w:val="0"/>
          <w:iCs w:val="0"/>
          <w:caps w:val="0"/>
          <w:smallCaps w:val="0"/>
          <w:noProof w:val="0"/>
          <w:color w:val="242424"/>
          <w:sz w:val="22"/>
          <w:szCs w:val="22"/>
          <w:lang w:val="en-GB"/>
        </w:rPr>
        <w:t>growth driven</w:t>
      </w:r>
      <w:r w:rsidRPr="31059CE2" w:rsidR="64996C9B">
        <w:rPr>
          <w:rFonts w:ascii="Arial" w:hAnsi="Arial" w:eastAsia="Arial" w:cs="Arial"/>
          <w:b w:val="0"/>
          <w:bCs w:val="0"/>
          <w:i w:val="0"/>
          <w:iCs w:val="0"/>
          <w:caps w:val="0"/>
          <w:smallCaps w:val="0"/>
          <w:noProof w:val="0"/>
          <w:color w:val="242424"/>
          <w:sz w:val="22"/>
          <w:szCs w:val="22"/>
          <w:lang w:val="en-GB"/>
        </w:rPr>
        <w:t>. Brand-Correa et al. (2022) argue that neoclassical paradigms prioritising GDP expansion are incompatible with planetary health. Continuous material growth increases energy demand and resource extraction, undermining emission targets. As with SDG 3, there is a contradiction between rhetorical commitment to sustainability and macroeconomic policies centred on productivity and consumption growth. Fossil fuel subsidies and aviation expansion further illustrate this tension.</w:t>
      </w:r>
    </w:p>
    <w:p w:rsidR="64996C9B" w:rsidP="31059CE2" w:rsidRDefault="64996C9B" w14:paraId="3FE535F5" w14:textId="5FAB6CD2">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Health co-benefits of mitigation</w:t>
      </w:r>
      <w:r w:rsidRPr="31059CE2" w:rsidR="029D5C7E">
        <w:rPr>
          <w:rFonts w:ascii="Arial" w:hAnsi="Arial" w:eastAsia="Arial" w:cs="Arial"/>
          <w:b w:val="0"/>
          <w:bCs w:val="0"/>
          <w:i w:val="0"/>
          <w:iCs w:val="0"/>
          <w:caps w:val="0"/>
          <w:smallCaps w:val="0"/>
          <w:noProof w:val="0"/>
          <w:color w:val="242424"/>
          <w:sz w:val="22"/>
          <w:szCs w:val="22"/>
          <w:lang w:val="en-GB"/>
        </w:rPr>
        <w:t xml:space="preserve"> </w:t>
      </w:r>
      <w:r w:rsidRPr="31059CE2" w:rsidR="64996C9B">
        <w:rPr>
          <w:rFonts w:ascii="Arial" w:hAnsi="Arial" w:eastAsia="Arial" w:cs="Arial"/>
          <w:b w:val="0"/>
          <w:bCs w:val="0"/>
          <w:i w:val="0"/>
          <w:iCs w:val="0"/>
          <w:caps w:val="0"/>
          <w:smallCaps w:val="0"/>
          <w:noProof w:val="0"/>
          <w:color w:val="242424"/>
          <w:sz w:val="22"/>
          <w:szCs w:val="22"/>
          <w:lang w:val="en-GB"/>
        </w:rPr>
        <w:t>such as reduced air pollution, increased physical activity and improved dietary sustainability</w:t>
      </w:r>
      <w:r w:rsidRPr="31059CE2" w:rsidR="1D0FA7AA">
        <w:rPr>
          <w:rFonts w:ascii="Arial" w:hAnsi="Arial" w:eastAsia="Arial" w:cs="Arial"/>
          <w:b w:val="0"/>
          <w:bCs w:val="0"/>
          <w:i w:val="0"/>
          <w:iCs w:val="0"/>
          <w:caps w:val="0"/>
          <w:smallCaps w:val="0"/>
          <w:noProof w:val="0"/>
          <w:color w:val="242424"/>
          <w:sz w:val="22"/>
          <w:szCs w:val="22"/>
          <w:lang w:val="en-GB"/>
        </w:rPr>
        <w:t xml:space="preserve"> </w:t>
      </w:r>
      <w:r w:rsidRPr="31059CE2" w:rsidR="64996C9B">
        <w:rPr>
          <w:rFonts w:ascii="Arial" w:hAnsi="Arial" w:eastAsia="Arial" w:cs="Arial"/>
          <w:b w:val="0"/>
          <w:bCs w:val="0"/>
          <w:i w:val="0"/>
          <w:iCs w:val="0"/>
          <w:caps w:val="0"/>
          <w:smallCaps w:val="0"/>
          <w:noProof w:val="0"/>
          <w:color w:val="242424"/>
          <w:sz w:val="22"/>
          <w:szCs w:val="22"/>
          <w:lang w:val="en-GB"/>
        </w:rPr>
        <w:t xml:space="preserve">are well documented. However, these benefits are often marginalised within economic appraisal frameworks that discount long-term gains. The persistence of fossil fuel dependency suggests that climate-health integration </w:t>
      </w:r>
      <w:r w:rsidRPr="31059CE2" w:rsidR="64996C9B">
        <w:rPr>
          <w:rFonts w:ascii="Arial" w:hAnsi="Arial" w:eastAsia="Arial" w:cs="Arial"/>
          <w:b w:val="0"/>
          <w:bCs w:val="0"/>
          <w:i w:val="0"/>
          <w:iCs w:val="0"/>
          <w:caps w:val="0"/>
          <w:smallCaps w:val="0"/>
          <w:noProof w:val="0"/>
          <w:color w:val="242424"/>
          <w:sz w:val="22"/>
          <w:szCs w:val="22"/>
          <w:lang w:val="en-GB"/>
        </w:rPr>
        <w:t>remains</w:t>
      </w:r>
      <w:r w:rsidRPr="31059CE2" w:rsidR="64996C9B">
        <w:rPr>
          <w:rFonts w:ascii="Arial" w:hAnsi="Arial" w:eastAsia="Arial" w:cs="Arial"/>
          <w:b w:val="0"/>
          <w:bCs w:val="0"/>
          <w:i w:val="0"/>
          <w:iCs w:val="0"/>
          <w:caps w:val="0"/>
          <w:smallCaps w:val="0"/>
          <w:noProof w:val="0"/>
          <w:color w:val="242424"/>
          <w:sz w:val="22"/>
          <w:szCs w:val="22"/>
          <w:lang w:val="en-GB"/>
        </w:rPr>
        <w:t xml:space="preserve"> partial. Policy effectiveness is therefore constrained not by lack of evidence but by competing political and economic priorities.</w:t>
      </w:r>
    </w:p>
    <w:p w:rsidR="64996C9B" w:rsidP="31059CE2" w:rsidRDefault="64996C9B" w14:paraId="286C9045" w14:textId="298FCECF">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Thus, as with SDG 3, ambitious targets coexist with structural economic contradictions. Climate-health policy </w:t>
      </w:r>
      <w:r w:rsidRPr="31059CE2" w:rsidR="64996C9B">
        <w:rPr>
          <w:rFonts w:ascii="Arial" w:hAnsi="Arial" w:eastAsia="Arial" w:cs="Arial"/>
          <w:b w:val="0"/>
          <w:bCs w:val="0"/>
          <w:i w:val="0"/>
          <w:iCs w:val="0"/>
          <w:caps w:val="0"/>
          <w:smallCaps w:val="0"/>
          <w:noProof w:val="0"/>
          <w:color w:val="242424"/>
          <w:sz w:val="22"/>
          <w:szCs w:val="22"/>
          <w:lang w:val="en-GB"/>
        </w:rPr>
        <w:t>remains</w:t>
      </w:r>
      <w:r w:rsidRPr="31059CE2" w:rsidR="64996C9B">
        <w:rPr>
          <w:rFonts w:ascii="Arial" w:hAnsi="Arial" w:eastAsia="Arial" w:cs="Arial"/>
          <w:b w:val="0"/>
          <w:bCs w:val="0"/>
          <w:i w:val="0"/>
          <w:iCs w:val="0"/>
          <w:caps w:val="0"/>
          <w:smallCaps w:val="0"/>
          <w:noProof w:val="0"/>
          <w:color w:val="242424"/>
          <w:sz w:val="22"/>
          <w:szCs w:val="22"/>
          <w:lang w:val="en-GB"/>
        </w:rPr>
        <w:t xml:space="preserve"> constrained by fiscal and political economy priorities. Incremental adaptation measures generate short-term resilience, yet transformative mitigation requires systemic reform extending beyond the health sector.</w:t>
      </w:r>
    </w:p>
    <w:p w:rsidR="5ED9664E" w:rsidP="31059CE2" w:rsidRDefault="5ED9664E" w14:paraId="6D065AD1" w14:textId="7EDC0C7B">
      <w:pPr>
        <w:pStyle w:val="Heading3"/>
        <w:spacing w:line="360" w:lineRule="auto"/>
        <w:rPr>
          <w:rFonts w:ascii="Arial" w:hAnsi="Arial" w:eastAsia="Arial" w:cs="Arial"/>
          <w:b w:val="1"/>
          <w:bCs w:val="1"/>
          <w:i w:val="0"/>
          <w:iCs w:val="0"/>
          <w:caps w:val="0"/>
          <w:smallCaps w:val="0"/>
          <w:noProof w:val="0"/>
          <w:color w:val="auto"/>
          <w:sz w:val="22"/>
          <w:szCs w:val="22"/>
          <w:lang w:val="en-GB"/>
        </w:rPr>
      </w:pPr>
      <w:bookmarkStart w:name="_Toc600002924" w:id="1655501710"/>
      <w:r w:rsidRPr="31059CE2" w:rsidR="64996C9B">
        <w:rPr>
          <w:rFonts w:ascii="Arial" w:hAnsi="Arial" w:eastAsia="Arial" w:cs="Arial"/>
          <w:b w:val="1"/>
          <w:bCs w:val="1"/>
          <w:noProof w:val="0"/>
          <w:color w:val="auto"/>
          <w:sz w:val="22"/>
          <w:szCs w:val="22"/>
          <w:lang w:val="en-GB"/>
        </w:rPr>
        <w:t>Section 4 – Recommendations for improvement</w:t>
      </w:r>
      <w:bookmarkEnd w:id="1655501710"/>
    </w:p>
    <w:p w:rsidR="64996C9B" w:rsidP="5ED9664E" w:rsidRDefault="64996C9B" w14:paraId="3288719E" w14:textId="77CEF5B0">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Embed climate adaptation within primary care commissioning, ensuring that vulnerability mapping, heatwave response and community outreach are integrated into routine service delivery.</w:t>
      </w:r>
    </w:p>
    <w:p w:rsidR="31059CE2" w:rsidP="31059CE2" w:rsidRDefault="31059CE2" w14:paraId="1C2E9A6C" w14:textId="5FB4296B">
      <w:pPr>
        <w:pStyle w:val="ListParagraph"/>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242424"/>
          <w:sz w:val="22"/>
          <w:szCs w:val="22"/>
          <w:lang w:val="en-GB"/>
        </w:rPr>
      </w:pPr>
    </w:p>
    <w:p w:rsidR="64996C9B" w:rsidP="5ED9664E" w:rsidRDefault="64996C9B" w14:paraId="2A9AAFBB" w14:textId="50F98440">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Expand </w:t>
      </w:r>
      <w:r w:rsidRPr="31059CE2" w:rsidR="64996C9B">
        <w:rPr>
          <w:rFonts w:ascii="Arial" w:hAnsi="Arial" w:eastAsia="Arial" w:cs="Arial"/>
          <w:b w:val="0"/>
          <w:bCs w:val="0"/>
          <w:i w:val="0"/>
          <w:iCs w:val="0"/>
          <w:caps w:val="0"/>
          <w:smallCaps w:val="0"/>
          <w:noProof w:val="0"/>
          <w:color w:val="242424"/>
          <w:sz w:val="22"/>
          <w:szCs w:val="22"/>
          <w:lang w:val="en-GB"/>
        </w:rPr>
        <w:t>equitable</w:t>
      </w:r>
      <w:r w:rsidRPr="31059CE2" w:rsidR="64996C9B">
        <w:rPr>
          <w:rFonts w:ascii="Arial" w:hAnsi="Arial" w:eastAsia="Arial" w:cs="Arial"/>
          <w:b w:val="0"/>
          <w:bCs w:val="0"/>
          <w:i w:val="0"/>
          <w:iCs w:val="0"/>
          <w:caps w:val="0"/>
          <w:smallCaps w:val="0"/>
          <w:noProof w:val="0"/>
          <w:color w:val="242424"/>
          <w:sz w:val="22"/>
          <w:szCs w:val="22"/>
          <w:lang w:val="en-GB"/>
        </w:rPr>
        <w:t xml:space="preserve"> urban greening and social prescribing initiatives, prioritising deprived areas with limited access to safe green space. Such interventions deliver dual benefits for mental health and climate resilience.</w:t>
      </w:r>
    </w:p>
    <w:p w:rsidR="31059CE2" w:rsidP="31059CE2" w:rsidRDefault="31059CE2" w14:paraId="4C3543C2" w14:textId="07B8E3AA">
      <w:pPr>
        <w:pStyle w:val="ListParagraph"/>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242424"/>
          <w:sz w:val="22"/>
          <w:szCs w:val="22"/>
          <w:lang w:val="en-GB"/>
        </w:rPr>
      </w:pPr>
    </w:p>
    <w:p w:rsidR="64996C9B" w:rsidP="5ED9664E" w:rsidRDefault="64996C9B" w14:paraId="7F7D9614" w14:textId="6FD27339">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Increase fiscal autonomy and funding for local climate-health action, enabling councils to invest in housing retrofits, flood </w:t>
      </w:r>
      <w:r w:rsidRPr="31059CE2" w:rsidR="64996C9B">
        <w:rPr>
          <w:rFonts w:ascii="Arial" w:hAnsi="Arial" w:eastAsia="Arial" w:cs="Arial"/>
          <w:b w:val="0"/>
          <w:bCs w:val="0"/>
          <w:i w:val="0"/>
          <w:iCs w:val="0"/>
          <w:caps w:val="0"/>
          <w:smallCaps w:val="0"/>
          <w:noProof w:val="0"/>
          <w:color w:val="242424"/>
          <w:sz w:val="22"/>
          <w:szCs w:val="22"/>
          <w:lang w:val="en-GB"/>
        </w:rPr>
        <w:t>protection</w:t>
      </w:r>
      <w:r w:rsidRPr="31059CE2" w:rsidR="64996C9B">
        <w:rPr>
          <w:rFonts w:ascii="Arial" w:hAnsi="Arial" w:eastAsia="Arial" w:cs="Arial"/>
          <w:b w:val="0"/>
          <w:bCs w:val="0"/>
          <w:i w:val="0"/>
          <w:iCs w:val="0"/>
          <w:caps w:val="0"/>
          <w:smallCaps w:val="0"/>
          <w:noProof w:val="0"/>
          <w:color w:val="242424"/>
          <w:sz w:val="22"/>
          <w:szCs w:val="22"/>
          <w:lang w:val="en-GB"/>
        </w:rPr>
        <w:t xml:space="preserve"> and active travel infrastructure.</w:t>
      </w:r>
    </w:p>
    <w:p w:rsidR="31059CE2" w:rsidP="31059CE2" w:rsidRDefault="31059CE2" w14:paraId="083D6A6D" w14:textId="31865488">
      <w:pPr>
        <w:pStyle w:val="ListParagraph"/>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242424"/>
          <w:sz w:val="22"/>
          <w:szCs w:val="22"/>
          <w:lang w:val="en-GB"/>
        </w:rPr>
      </w:pPr>
    </w:p>
    <w:p w:rsidR="64996C9B" w:rsidP="5ED9664E" w:rsidRDefault="64996C9B" w14:paraId="234B53FA" w14:textId="6FA64DB3">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Integrate sustainability into workforce education and procurement policy, embedding carbon literacy across clinical and managerial training while reforming supply chains.</w:t>
      </w:r>
    </w:p>
    <w:p w:rsidR="31059CE2" w:rsidP="31059CE2" w:rsidRDefault="31059CE2" w14:paraId="24CB91CD" w14:textId="6D2EA349">
      <w:pPr>
        <w:pStyle w:val="ListParagraph"/>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242424"/>
          <w:sz w:val="22"/>
          <w:szCs w:val="22"/>
          <w:lang w:val="en-GB"/>
        </w:rPr>
      </w:pPr>
    </w:p>
    <w:p w:rsidR="64996C9B" w:rsidP="5ED9664E" w:rsidRDefault="64996C9B" w14:paraId="2C370C70" w14:textId="71CDF640">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Adopt wellbeing-oriented economic indicators beyond GDP, aligning fiscal policy with health equity (Brand-Correa et al., 2022). This would reorient national success metrics toward ecological stability and population wellbeing rather than aggregate output.</w:t>
      </w:r>
    </w:p>
    <w:p w:rsidR="31059CE2" w:rsidP="31059CE2" w:rsidRDefault="31059CE2" w14:paraId="158114E5" w14:textId="4000FE2F">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64996C9B" w:rsidP="31059CE2" w:rsidRDefault="64996C9B" w14:paraId="43974FEE" w14:textId="1595D95C">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Without economic reform, SDG 13 will remain declarative rather than transformative. Structural alignment between climate mitigation, social justice and health equity is essential for durable progress.</w:t>
      </w:r>
    </w:p>
    <w:p w:rsidR="64996C9B" w:rsidP="31059CE2" w:rsidRDefault="64996C9B" w14:paraId="46465B10" w14:textId="00D32E61">
      <w:pPr>
        <w:pStyle w:val="Heading2"/>
        <w:spacing w:line="360" w:lineRule="auto"/>
        <w:rPr>
          <w:rFonts w:ascii="Arial" w:hAnsi="Arial" w:eastAsia="Arial" w:cs="Arial"/>
          <w:b w:val="1"/>
          <w:bCs w:val="1"/>
          <w:i w:val="0"/>
          <w:iCs w:val="0"/>
          <w:caps w:val="0"/>
          <w:smallCaps w:val="0"/>
          <w:noProof w:val="0"/>
          <w:color w:val="auto"/>
          <w:sz w:val="28"/>
          <w:szCs w:val="28"/>
          <w:lang w:val="en-GB"/>
        </w:rPr>
      </w:pPr>
      <w:bookmarkStart w:name="_Toc1772058538" w:id="716771257"/>
      <w:r w:rsidRPr="31059CE2" w:rsidR="64996C9B">
        <w:rPr>
          <w:rFonts w:ascii="Arial" w:hAnsi="Arial" w:eastAsia="Arial" w:cs="Arial"/>
          <w:b w:val="1"/>
          <w:bCs w:val="1"/>
          <w:noProof w:val="0"/>
          <w:color w:val="auto"/>
          <w:sz w:val="28"/>
          <w:szCs w:val="28"/>
          <w:lang w:val="en-GB"/>
        </w:rPr>
        <w:t>Overall Conclusion – summarise key insights</w:t>
      </w:r>
      <w:bookmarkEnd w:id="716771257"/>
    </w:p>
    <w:p w:rsidR="64996C9B" w:rsidP="5ED9664E" w:rsidRDefault="64996C9B" w14:paraId="591A8D81" w14:textId="0A3B8F05">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5ED9664E" w:rsidR="64996C9B">
        <w:rPr>
          <w:rFonts w:ascii="Arial" w:hAnsi="Arial" w:eastAsia="Arial" w:cs="Arial"/>
          <w:b w:val="0"/>
          <w:bCs w:val="0"/>
          <w:i w:val="0"/>
          <w:iCs w:val="0"/>
          <w:caps w:val="0"/>
          <w:smallCaps w:val="0"/>
          <w:noProof w:val="0"/>
          <w:color w:val="242424"/>
          <w:sz w:val="22"/>
          <w:szCs w:val="22"/>
          <w:lang w:val="en-GB"/>
        </w:rPr>
        <w:t>SDG 3 and SDG 13 are conceptually integrated yet structurally constrained. Climate change amplifies health inequities, while health systems contribute to environmental degradation. Globally, partnerships deliver measurable gains but lack enforcement power. Nationally, UK policies align rhetorically with SDG commitments but are limited by austerity and short-term fiscal priorities. Locally, implementation capacity is curtailed by funding constraints despite strong potential for community engagement.</w:t>
      </w:r>
    </w:p>
    <w:p w:rsidR="64996C9B" w:rsidP="31059CE2" w:rsidRDefault="64996C9B" w14:paraId="4A05CF2B" w14:textId="3889A50D">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Health inequalities in England have widened (Marmot, 2020), while climate-related harms escalate (Lancet Countdown, 2023; WHO, 2023c). Adaptation strategies have strengthened risk management, yet mitigation </w:t>
      </w:r>
      <w:r w:rsidRPr="31059CE2" w:rsidR="64996C9B">
        <w:rPr>
          <w:rFonts w:ascii="Arial" w:hAnsi="Arial" w:eastAsia="Arial" w:cs="Arial"/>
          <w:b w:val="0"/>
          <w:bCs w:val="0"/>
          <w:i w:val="0"/>
          <w:iCs w:val="0"/>
          <w:caps w:val="0"/>
          <w:smallCaps w:val="0"/>
          <w:noProof w:val="0"/>
          <w:color w:val="242424"/>
          <w:sz w:val="22"/>
          <w:szCs w:val="22"/>
          <w:lang w:val="en-GB"/>
        </w:rPr>
        <w:t>remains</w:t>
      </w:r>
      <w:r w:rsidRPr="31059CE2" w:rsidR="64996C9B">
        <w:rPr>
          <w:rFonts w:ascii="Arial" w:hAnsi="Arial" w:eastAsia="Arial" w:cs="Arial"/>
          <w:b w:val="0"/>
          <w:bCs w:val="0"/>
          <w:i w:val="0"/>
          <w:iCs w:val="0"/>
          <w:caps w:val="0"/>
          <w:smallCaps w:val="0"/>
          <w:noProof w:val="0"/>
          <w:color w:val="242424"/>
          <w:sz w:val="22"/>
          <w:szCs w:val="22"/>
          <w:lang w:val="en-GB"/>
        </w:rPr>
        <w:t xml:space="preserve"> insufficient to reverse emission trajectories. The persistent ap between ambition and outcome reflects deeper political economy tensions: growth-centred models and fragmented governance undermine redistributive and preventive reform.</w:t>
      </w:r>
    </w:p>
    <w:p w:rsidR="64996C9B" w:rsidP="31059CE2" w:rsidRDefault="64996C9B" w14:paraId="152A11AF" w14:textId="3DAEFD02">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r w:rsidRPr="31059CE2" w:rsidR="64996C9B">
        <w:rPr>
          <w:rFonts w:ascii="Arial" w:hAnsi="Arial" w:eastAsia="Arial" w:cs="Arial"/>
          <w:b w:val="0"/>
          <w:bCs w:val="0"/>
          <w:i w:val="0"/>
          <w:iCs w:val="0"/>
          <w:caps w:val="0"/>
          <w:smallCaps w:val="0"/>
          <w:noProof w:val="0"/>
          <w:color w:val="242424"/>
          <w:sz w:val="22"/>
          <w:szCs w:val="22"/>
          <w:lang w:val="en-GB"/>
        </w:rPr>
        <w:t xml:space="preserve">Achieving sustainable health equity requires integrated climate-health governance, reinvestment in social determinants and economic frameworks prioritising wellbeing </w:t>
      </w:r>
      <w:r w:rsidRPr="31059CE2" w:rsidR="0D6E0F7E">
        <w:rPr>
          <w:rFonts w:ascii="Arial" w:hAnsi="Arial" w:eastAsia="Arial" w:cs="Arial"/>
          <w:b w:val="0"/>
          <w:bCs w:val="0"/>
          <w:i w:val="0"/>
          <w:iCs w:val="0"/>
          <w:caps w:val="0"/>
          <w:smallCaps w:val="0"/>
          <w:noProof w:val="0"/>
          <w:color w:val="242424"/>
          <w:sz w:val="22"/>
          <w:szCs w:val="22"/>
          <w:lang w:val="en-GB"/>
        </w:rPr>
        <w:t>overgrowth</w:t>
      </w:r>
      <w:r w:rsidRPr="31059CE2" w:rsidR="64996C9B">
        <w:rPr>
          <w:rFonts w:ascii="Arial" w:hAnsi="Arial" w:eastAsia="Arial" w:cs="Arial"/>
          <w:b w:val="0"/>
          <w:bCs w:val="0"/>
          <w:i w:val="0"/>
          <w:iCs w:val="0"/>
          <w:caps w:val="0"/>
          <w:smallCaps w:val="0"/>
          <w:noProof w:val="0"/>
          <w:color w:val="242424"/>
          <w:sz w:val="22"/>
          <w:szCs w:val="22"/>
          <w:lang w:val="en-GB"/>
        </w:rPr>
        <w:t xml:space="preserve">. Policy coherence across energy, housing, </w:t>
      </w:r>
      <w:r w:rsidRPr="31059CE2" w:rsidR="64996C9B">
        <w:rPr>
          <w:rFonts w:ascii="Arial" w:hAnsi="Arial" w:eastAsia="Arial" w:cs="Arial"/>
          <w:b w:val="0"/>
          <w:bCs w:val="0"/>
          <w:i w:val="0"/>
          <w:iCs w:val="0"/>
          <w:caps w:val="0"/>
          <w:smallCaps w:val="0"/>
          <w:noProof w:val="0"/>
          <w:color w:val="242424"/>
          <w:sz w:val="22"/>
          <w:szCs w:val="22"/>
          <w:lang w:val="en-GB"/>
        </w:rPr>
        <w:t>transport</w:t>
      </w:r>
      <w:r w:rsidRPr="31059CE2" w:rsidR="64996C9B">
        <w:rPr>
          <w:rFonts w:ascii="Arial" w:hAnsi="Arial" w:eastAsia="Arial" w:cs="Arial"/>
          <w:b w:val="0"/>
          <w:bCs w:val="0"/>
          <w:i w:val="0"/>
          <w:iCs w:val="0"/>
          <w:caps w:val="0"/>
          <w:smallCaps w:val="0"/>
          <w:noProof w:val="0"/>
          <w:color w:val="242424"/>
          <w:sz w:val="22"/>
          <w:szCs w:val="22"/>
          <w:lang w:val="en-GB"/>
        </w:rPr>
        <w:t xml:space="preserve"> and healthcare is necessary to realise co-benefits and prevent maladaptation. Without structural transformation, SDG 3 and SDG 13 will remain aspirational commitments rather than instruments of substantive equity and sustainability.</w:t>
      </w:r>
    </w:p>
    <w:p w:rsidR="5ED9664E" w:rsidP="5ED9664E" w:rsidRDefault="5ED9664E" w14:paraId="3B75A23D" w14:textId="52577032">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5604788B" w14:textId="4DEE8CA1">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003CB4F5" w14:textId="79F3F218">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69AF87E5" w14:textId="47D1C6F3">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6E2946EB" w14:textId="010E8892">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0D9C8076" w14:textId="363ADDB5">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40E5A290" w14:textId="6FB5FED2">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1A52638F" w14:textId="0AC279DD">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5806CCD3" w14:textId="61C7BCE8">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78F1D817" w14:textId="38AE1E8C">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0CB7D587" w14:textId="60E3D51B">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3E30988E" w14:textId="67E6EEC4">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5ED9664E" w:rsidP="5ED9664E" w:rsidRDefault="5ED9664E" w14:paraId="7B5229DC" w14:textId="1C308C96">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31059CE2" w:rsidP="31059CE2" w:rsidRDefault="31059CE2" w14:paraId="770323F8" w14:textId="51494AC2">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31059CE2" w:rsidP="31059CE2" w:rsidRDefault="31059CE2" w14:paraId="1567D529" w14:textId="32ABE4E8">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2"/>
          <w:szCs w:val="22"/>
          <w:lang w:val="en-GB"/>
        </w:rPr>
      </w:pPr>
    </w:p>
    <w:p w:rsidR="31059CE2" w:rsidP="31059CE2" w:rsidRDefault="31059CE2" w14:paraId="7BA48B37" w14:textId="22BEDA3B">
      <w:pPr>
        <w:spacing w:line="360" w:lineRule="auto"/>
        <w:rPr>
          <w:rFonts w:ascii="Arial" w:hAnsi="Arial" w:cs="Arial"/>
          <w:sz w:val="22"/>
          <w:szCs w:val="22"/>
        </w:rPr>
      </w:pPr>
    </w:p>
    <w:p w:rsidR="52BA7C49" w:rsidP="31059CE2" w:rsidRDefault="52BA7C49" w14:paraId="2BCF9B09" w14:textId="451303D7">
      <w:pPr>
        <w:pStyle w:val="Heading2"/>
        <w:spacing w:line="360" w:lineRule="auto"/>
        <w:rPr>
          <w:rFonts w:ascii="Arial" w:hAnsi="Arial" w:eastAsia="Arial" w:cs="Arial"/>
          <w:b w:val="1"/>
          <w:bCs w:val="1"/>
          <w:color w:val="auto"/>
          <w:sz w:val="28"/>
          <w:szCs w:val="28"/>
        </w:rPr>
      </w:pPr>
      <w:bookmarkStart w:name="_Toc2047391599" w:id="349381261"/>
      <w:r w:rsidRPr="31059CE2" w:rsidR="52BA7C49">
        <w:rPr>
          <w:rFonts w:ascii="Arial" w:hAnsi="Arial" w:eastAsia="Arial" w:cs="Arial"/>
          <w:b w:val="1"/>
          <w:bCs w:val="1"/>
          <w:color w:val="auto"/>
          <w:sz w:val="28"/>
          <w:szCs w:val="28"/>
        </w:rPr>
        <w:t>References</w:t>
      </w:r>
      <w:bookmarkEnd w:id="349381261"/>
      <w:r w:rsidRPr="31059CE2" w:rsidR="52BA7C49">
        <w:rPr>
          <w:rFonts w:ascii="Arial" w:hAnsi="Arial" w:eastAsia="Arial" w:cs="Arial"/>
          <w:b w:val="1"/>
          <w:bCs w:val="1"/>
          <w:color w:val="auto"/>
          <w:sz w:val="28"/>
          <w:szCs w:val="28"/>
        </w:rPr>
        <w:t> </w:t>
      </w:r>
    </w:p>
    <w:p w:rsidR="52BA7C49" w:rsidP="5ED9664E" w:rsidRDefault="52BA7C49" w14:paraId="0D429883" w14:textId="7E467C05">
      <w:pPr>
        <w:spacing w:line="360" w:lineRule="auto"/>
        <w:rPr>
          <w:rFonts w:ascii="Arial" w:hAnsi="Arial" w:cs="Arial"/>
          <w:sz w:val="22"/>
          <w:szCs w:val="22"/>
        </w:rPr>
      </w:pPr>
      <w:r>
        <w:br/>
      </w:r>
      <w:r w:rsidRPr="5EB9CC47" w:rsidR="52BA7C49">
        <w:rPr>
          <w:rFonts w:ascii="Arial" w:hAnsi="Arial" w:cs="Arial"/>
          <w:sz w:val="22"/>
          <w:szCs w:val="22"/>
        </w:rPr>
        <w:t>Arnold, S., Wickens, C., Baird, B., Gilburt, H., Robertson, R., Wenzel, L., Baylis, A. and Mistry, P. (2025)</w:t>
      </w:r>
      <w:r w:rsidRPr="5EB9CC47" w:rsidR="52BA7C49">
        <w:rPr>
          <w:rFonts w:ascii="Arial" w:hAnsi="Arial" w:cs="Arial"/>
          <w:i w:val="1"/>
          <w:iCs w:val="1"/>
          <w:sz w:val="22"/>
          <w:szCs w:val="22"/>
        </w:rPr>
        <w:t xml:space="preserve"> NHS priorities for 2025/26: our expert insights</w:t>
      </w:r>
      <w:r w:rsidRPr="5EB9CC47" w:rsidR="52BA7C49">
        <w:rPr>
          <w:rFonts w:ascii="Arial" w:hAnsi="Arial" w:cs="Arial"/>
          <w:sz w:val="22"/>
          <w:szCs w:val="22"/>
        </w:rPr>
        <w:t>. Available at: </w:t>
      </w:r>
      <w:hyperlink r:id="R0b30ae5d05a84b21">
        <w:r w:rsidRPr="5EB9CC47" w:rsidR="52BA7C49">
          <w:rPr>
            <w:rStyle w:val="Hyperlink"/>
            <w:rFonts w:ascii="Arial" w:hAnsi="Arial" w:cs="Arial"/>
            <w:sz w:val="22"/>
            <w:szCs w:val="22"/>
          </w:rPr>
          <w:t>https://www.kingsfund.org.uk/insight-and-analysis/blogs/planning-guidance-2025-top-takes</w:t>
        </w:r>
      </w:hyperlink>
      <w:r w:rsidRPr="5EB9CC47" w:rsidR="52BA7C49">
        <w:rPr>
          <w:rFonts w:ascii="Arial" w:hAnsi="Arial" w:cs="Arial"/>
          <w:sz w:val="22"/>
          <w:szCs w:val="22"/>
        </w:rPr>
        <w:t xml:space="preserve"> (Accessed: </w:t>
      </w:r>
      <w:r w:rsidRPr="5EB9CC47" w:rsidR="6DE72299">
        <w:rPr>
          <w:rFonts w:ascii="Arial" w:hAnsi="Arial" w:cs="Arial"/>
          <w:sz w:val="22"/>
          <w:szCs w:val="22"/>
        </w:rPr>
        <w:t>24 February</w:t>
      </w:r>
      <w:r w:rsidRPr="5EB9CC47" w:rsidR="52BA7C49">
        <w:rPr>
          <w:rFonts w:ascii="Arial" w:hAnsi="Arial" w:cs="Arial"/>
          <w:sz w:val="22"/>
          <w:szCs w:val="22"/>
        </w:rPr>
        <w:t xml:space="preserve"> 202</w:t>
      </w:r>
      <w:r w:rsidRPr="5EB9CC47" w:rsidR="3B8A1E37">
        <w:rPr>
          <w:rFonts w:ascii="Arial" w:hAnsi="Arial" w:cs="Arial"/>
          <w:sz w:val="22"/>
          <w:szCs w:val="22"/>
        </w:rPr>
        <w:t>6</w:t>
      </w:r>
      <w:r w:rsidRPr="5EB9CC47" w:rsidR="52BA7C49">
        <w:rPr>
          <w:rFonts w:ascii="Arial" w:hAnsi="Arial" w:cs="Arial"/>
          <w:sz w:val="22"/>
          <w:szCs w:val="22"/>
        </w:rPr>
        <w:t>).</w:t>
      </w:r>
    </w:p>
    <w:p w:rsidR="5ED9664E" w:rsidP="5ED9664E" w:rsidRDefault="5ED9664E" w14:paraId="699EBC73">
      <w:pPr>
        <w:spacing w:line="360" w:lineRule="auto"/>
        <w:rPr>
          <w:rFonts w:ascii="Arial" w:hAnsi="Arial" w:cs="Arial"/>
          <w:sz w:val="22"/>
          <w:szCs w:val="22"/>
        </w:rPr>
      </w:pPr>
    </w:p>
    <w:p w:rsidR="52BA7C49" w:rsidP="31059CE2" w:rsidRDefault="52BA7C49" w14:paraId="6BD362CA" w14:textId="279C545C">
      <w:pPr>
        <w:pStyle w:val="Normal"/>
        <w:spacing w:line="360" w:lineRule="auto"/>
        <w:rPr>
          <w:rFonts w:ascii="Arial" w:hAnsi="Arial" w:eastAsia="Arial" w:cs="Arial"/>
          <w:b w:val="0"/>
          <w:bCs w:val="0"/>
          <w:i w:val="0"/>
          <w:iCs w:val="0"/>
          <w:caps w:val="0"/>
          <w:smallCaps w:val="0"/>
          <w:noProof w:val="0"/>
          <w:color w:val="212121"/>
          <w:sz w:val="22"/>
          <w:szCs w:val="22"/>
          <w:lang w:val="en-GB"/>
        </w:rPr>
      </w:pPr>
      <w:r w:rsidRPr="31059CE2" w:rsidR="52BA7C49">
        <w:rPr>
          <w:rFonts w:ascii="Arial" w:hAnsi="Arial" w:cs="Arial"/>
          <w:sz w:val="22"/>
          <w:szCs w:val="22"/>
        </w:rPr>
        <w:t xml:space="preserve">Brand-Correa, L., Brook, A., </w:t>
      </w:r>
      <w:r w:rsidRPr="31059CE2" w:rsidR="52BA7C49">
        <w:rPr>
          <w:rFonts w:ascii="Arial" w:hAnsi="Arial" w:cs="Arial"/>
          <w:sz w:val="22"/>
          <w:szCs w:val="22"/>
        </w:rPr>
        <w:t>Büchs</w:t>
      </w:r>
      <w:r w:rsidRPr="31059CE2" w:rsidR="52BA7C49">
        <w:rPr>
          <w:rFonts w:ascii="Arial" w:hAnsi="Arial" w:cs="Arial"/>
          <w:sz w:val="22"/>
          <w:szCs w:val="22"/>
        </w:rPr>
        <w:t xml:space="preserve">, M., Meier, </w:t>
      </w:r>
      <w:r w:rsidRPr="31059CE2" w:rsidR="52BA7C49">
        <w:rPr>
          <w:rFonts w:ascii="Arial" w:hAnsi="Arial" w:cs="Arial"/>
          <w:sz w:val="22"/>
          <w:szCs w:val="22"/>
        </w:rPr>
        <w:t>P.</w:t>
      </w:r>
      <w:r w:rsidRPr="31059CE2" w:rsidR="52BA7C49">
        <w:rPr>
          <w:rFonts w:ascii="Arial" w:hAnsi="Arial" w:cs="Arial"/>
          <w:sz w:val="22"/>
          <w:szCs w:val="22"/>
        </w:rPr>
        <w:t xml:space="preserve"> and Naik, Y. (2022) ‘Economics for people and planet—moving beyond the neoclassical paradigm’,</w:t>
      </w:r>
      <w:r w:rsidRPr="31059CE2" w:rsidR="52BA7C49">
        <w:rPr>
          <w:rFonts w:ascii="Arial" w:hAnsi="Arial" w:cs="Arial"/>
          <w:i w:val="1"/>
          <w:iCs w:val="1"/>
          <w:sz w:val="22"/>
          <w:szCs w:val="22"/>
        </w:rPr>
        <w:t xml:space="preserve"> The Lancet Planetary Health</w:t>
      </w:r>
      <w:r w:rsidRPr="31059CE2" w:rsidR="52BA7C49">
        <w:rPr>
          <w:rFonts w:ascii="Arial" w:hAnsi="Arial" w:cs="Arial"/>
          <w:sz w:val="22"/>
          <w:szCs w:val="22"/>
        </w:rPr>
        <w:t>, 6(4), pp. e371–e379</w:t>
      </w:r>
      <w:r w:rsidRPr="31059CE2" w:rsidR="52BA7C49">
        <w:rPr>
          <w:rFonts w:ascii="Arial" w:hAnsi="Arial" w:eastAsia="Arial" w:cs="Arial"/>
          <w:sz w:val="22"/>
          <w:szCs w:val="22"/>
        </w:rPr>
        <w:t>.</w:t>
      </w:r>
      <w:r w:rsidRPr="31059CE2" w:rsidR="029DE514">
        <w:rPr>
          <w:rFonts w:ascii="Arial" w:hAnsi="Arial" w:eastAsia="Arial" w:cs="Arial"/>
          <w:sz w:val="22"/>
          <w:szCs w:val="22"/>
        </w:rPr>
        <w:t xml:space="preserve"> Available at: </w:t>
      </w:r>
      <w:hyperlink r:id="Ra896bb916c4b461e">
        <w:r w:rsidRPr="31059CE2" w:rsidR="029DE514">
          <w:rPr>
            <w:rStyle w:val="Hyperlink"/>
            <w:rFonts w:ascii="Arial" w:hAnsi="Arial" w:eastAsia="Arial" w:cs="Arial"/>
            <w:b w:val="0"/>
            <w:bCs w:val="0"/>
            <w:i w:val="0"/>
            <w:iCs w:val="0"/>
            <w:caps w:val="0"/>
            <w:smallCaps w:val="0"/>
            <w:noProof w:val="0"/>
            <w:sz w:val="22"/>
            <w:szCs w:val="22"/>
            <w:lang w:val="en-GB"/>
          </w:rPr>
          <w:t>https://doi.org/10.1016/S2542-5196(22)00063-8</w:t>
        </w:r>
      </w:hyperlink>
      <w:r w:rsidRPr="31059CE2" w:rsidR="029DE514">
        <w:rPr>
          <w:rFonts w:ascii="Arial" w:hAnsi="Arial" w:eastAsia="Arial" w:cs="Arial"/>
          <w:b w:val="0"/>
          <w:bCs w:val="0"/>
          <w:i w:val="0"/>
          <w:iCs w:val="0"/>
          <w:caps w:val="0"/>
          <w:smallCaps w:val="0"/>
          <w:noProof w:val="0"/>
          <w:color w:val="212121"/>
          <w:sz w:val="22"/>
          <w:szCs w:val="22"/>
          <w:lang w:val="en-GB"/>
        </w:rPr>
        <w:t xml:space="preserve"> (Accessed: 27 </w:t>
      </w:r>
      <w:r w:rsidRPr="31059CE2" w:rsidR="389A0E0C">
        <w:rPr>
          <w:rFonts w:ascii="Arial" w:hAnsi="Arial" w:eastAsia="Arial" w:cs="Arial"/>
          <w:b w:val="0"/>
          <w:bCs w:val="0"/>
          <w:i w:val="0"/>
          <w:iCs w:val="0"/>
          <w:caps w:val="0"/>
          <w:smallCaps w:val="0"/>
          <w:noProof w:val="0"/>
          <w:color w:val="212121"/>
          <w:sz w:val="22"/>
          <w:szCs w:val="22"/>
          <w:lang w:val="en-GB"/>
        </w:rPr>
        <w:t>February</w:t>
      </w:r>
      <w:r w:rsidRPr="31059CE2" w:rsidR="029DE514">
        <w:rPr>
          <w:rFonts w:ascii="Arial" w:hAnsi="Arial" w:eastAsia="Arial" w:cs="Arial"/>
          <w:b w:val="0"/>
          <w:bCs w:val="0"/>
          <w:i w:val="0"/>
          <w:iCs w:val="0"/>
          <w:caps w:val="0"/>
          <w:smallCaps w:val="0"/>
          <w:noProof w:val="0"/>
          <w:color w:val="212121"/>
          <w:sz w:val="22"/>
          <w:szCs w:val="22"/>
          <w:lang w:val="en-GB"/>
        </w:rPr>
        <w:t xml:space="preserve"> 2026).</w:t>
      </w:r>
    </w:p>
    <w:p w:rsidR="5ED9664E" w:rsidP="5ED9664E" w:rsidRDefault="5ED9664E" w14:paraId="1B8C4E25">
      <w:pPr>
        <w:spacing w:line="360" w:lineRule="auto"/>
        <w:rPr>
          <w:rFonts w:ascii="Arial" w:hAnsi="Arial" w:cs="Arial"/>
          <w:sz w:val="22"/>
          <w:szCs w:val="22"/>
        </w:rPr>
      </w:pPr>
    </w:p>
    <w:p w:rsidR="52BA7C49" w:rsidP="31059CE2" w:rsidRDefault="52BA7C49" w14:paraId="10A46997" w14:textId="5A6A7C9C">
      <w:pPr>
        <w:pStyle w:val="Normal"/>
        <w:spacing w:line="360" w:lineRule="auto"/>
        <w:rPr>
          <w:rFonts w:ascii="Arial" w:hAnsi="Arial" w:eastAsia="Arial" w:cs="Arial"/>
          <w:noProof w:val="0"/>
          <w:sz w:val="22"/>
          <w:szCs w:val="22"/>
          <w:lang w:val="en-GB"/>
        </w:rPr>
      </w:pPr>
      <w:r w:rsidRPr="31059CE2" w:rsidR="52BA7C49">
        <w:rPr>
          <w:rFonts w:ascii="Arial" w:hAnsi="Arial" w:eastAsia="Arial" w:cs="Arial"/>
          <w:sz w:val="22"/>
          <w:szCs w:val="22"/>
        </w:rPr>
        <w:t xml:space="preserve">Brown, T.M., Cueto, M. and Fee, E. (2006) ‘The </w:t>
      </w:r>
      <w:r w:rsidRPr="31059CE2" w:rsidR="3A45BCE0">
        <w:rPr>
          <w:rFonts w:ascii="Arial" w:hAnsi="Arial" w:eastAsia="Arial" w:cs="Arial"/>
          <w:sz w:val="22"/>
          <w:szCs w:val="22"/>
        </w:rPr>
        <w:t>w</w:t>
      </w:r>
      <w:r w:rsidRPr="31059CE2" w:rsidR="52BA7C49">
        <w:rPr>
          <w:rFonts w:ascii="Arial" w:hAnsi="Arial" w:eastAsia="Arial" w:cs="Arial"/>
          <w:sz w:val="22"/>
          <w:szCs w:val="22"/>
        </w:rPr>
        <w:t xml:space="preserve">orld </w:t>
      </w:r>
      <w:r w:rsidRPr="31059CE2" w:rsidR="50BE74A9">
        <w:rPr>
          <w:rFonts w:ascii="Arial" w:hAnsi="Arial" w:eastAsia="Arial" w:cs="Arial"/>
          <w:sz w:val="22"/>
          <w:szCs w:val="22"/>
        </w:rPr>
        <w:t>h</w:t>
      </w:r>
      <w:r w:rsidRPr="31059CE2" w:rsidR="52BA7C49">
        <w:rPr>
          <w:rFonts w:ascii="Arial" w:hAnsi="Arial" w:eastAsia="Arial" w:cs="Arial"/>
          <w:sz w:val="22"/>
          <w:szCs w:val="22"/>
        </w:rPr>
        <w:t xml:space="preserve">ealth </w:t>
      </w:r>
      <w:r w:rsidRPr="31059CE2" w:rsidR="3C94A0A8">
        <w:rPr>
          <w:rFonts w:ascii="Arial" w:hAnsi="Arial" w:eastAsia="Arial" w:cs="Arial"/>
          <w:sz w:val="22"/>
          <w:szCs w:val="22"/>
        </w:rPr>
        <w:t>o</w:t>
      </w:r>
      <w:r w:rsidRPr="31059CE2" w:rsidR="52BA7C49">
        <w:rPr>
          <w:rFonts w:ascii="Arial" w:hAnsi="Arial" w:eastAsia="Arial" w:cs="Arial"/>
          <w:sz w:val="22"/>
          <w:szCs w:val="22"/>
        </w:rPr>
        <w:t xml:space="preserve">rganization and the transition from “international” to “global” public health’, </w:t>
      </w:r>
      <w:r w:rsidRPr="31059CE2" w:rsidR="52BA7C49">
        <w:rPr>
          <w:rFonts w:ascii="Arial" w:hAnsi="Arial" w:eastAsia="Arial" w:cs="Arial"/>
          <w:i w:val="1"/>
          <w:iCs w:val="1"/>
          <w:sz w:val="22"/>
          <w:szCs w:val="22"/>
        </w:rPr>
        <w:t>American Journal of Public Health</w:t>
      </w:r>
      <w:r w:rsidRPr="31059CE2" w:rsidR="52BA7C49">
        <w:rPr>
          <w:rFonts w:ascii="Arial" w:hAnsi="Arial" w:eastAsia="Arial" w:cs="Arial"/>
          <w:sz w:val="22"/>
          <w:szCs w:val="22"/>
        </w:rPr>
        <w:t>, 96(1), pp. 62–72.</w:t>
      </w:r>
      <w:r w:rsidRPr="31059CE2" w:rsidR="43D8CF92">
        <w:rPr>
          <w:rFonts w:ascii="Arial" w:hAnsi="Arial" w:eastAsia="Arial" w:cs="Arial"/>
          <w:sz w:val="22"/>
          <w:szCs w:val="22"/>
        </w:rPr>
        <w:t xml:space="preserve"> Available: </w:t>
      </w:r>
      <w:hyperlink r:id="R285da53f187946ff">
        <w:r w:rsidRPr="31059CE2" w:rsidR="43D8CF92">
          <w:rPr>
            <w:rStyle w:val="Hyperlink"/>
            <w:rFonts w:ascii="Arial" w:hAnsi="Arial" w:eastAsia="Arial" w:cs="Arial"/>
            <w:b w:val="0"/>
            <w:bCs w:val="0"/>
            <w:i w:val="0"/>
            <w:iCs w:val="0"/>
            <w:caps w:val="0"/>
            <w:smallCaps w:val="0"/>
            <w:noProof w:val="0"/>
            <w:sz w:val="22"/>
            <w:szCs w:val="22"/>
            <w:lang w:val="en-GB"/>
          </w:rPr>
          <w:t>https://doi.org/10.2105/AJPH.2004.050831</w:t>
        </w:r>
      </w:hyperlink>
      <w:r w:rsidRPr="31059CE2" w:rsidR="43D8CF92">
        <w:rPr>
          <w:rFonts w:ascii="Arial" w:hAnsi="Arial" w:eastAsia="Arial" w:cs="Arial"/>
          <w:b w:val="0"/>
          <w:bCs w:val="0"/>
          <w:i w:val="0"/>
          <w:iCs w:val="0"/>
          <w:caps w:val="0"/>
          <w:smallCaps w:val="0"/>
          <w:noProof w:val="0"/>
          <w:color w:val="212121"/>
          <w:sz w:val="22"/>
          <w:szCs w:val="22"/>
          <w:lang w:val="en-GB"/>
        </w:rPr>
        <w:t xml:space="preserve"> (</w:t>
      </w:r>
      <w:r w:rsidRPr="31059CE2" w:rsidR="5230B065">
        <w:rPr>
          <w:rFonts w:ascii="Arial" w:hAnsi="Arial" w:eastAsia="Arial" w:cs="Arial"/>
          <w:b w:val="0"/>
          <w:bCs w:val="0"/>
          <w:i w:val="0"/>
          <w:iCs w:val="0"/>
          <w:caps w:val="0"/>
          <w:smallCaps w:val="0"/>
          <w:noProof w:val="0"/>
          <w:color w:val="212121"/>
          <w:sz w:val="22"/>
          <w:szCs w:val="22"/>
          <w:lang w:val="en-GB"/>
        </w:rPr>
        <w:t xml:space="preserve"> Accessed: 23 February 2026).</w:t>
      </w:r>
    </w:p>
    <w:p w:rsidR="5ED9664E" w:rsidP="5ED9664E" w:rsidRDefault="5ED9664E" w14:paraId="40880CBD">
      <w:pPr>
        <w:spacing w:line="360" w:lineRule="auto"/>
        <w:rPr>
          <w:rFonts w:ascii="Arial" w:hAnsi="Arial" w:cs="Arial"/>
          <w:sz w:val="22"/>
          <w:szCs w:val="22"/>
        </w:rPr>
      </w:pPr>
    </w:p>
    <w:p w:rsidR="52BA7C49" w:rsidP="5ED9664E" w:rsidRDefault="52BA7C49" w14:paraId="10D80094" w14:textId="69E8246B">
      <w:pPr>
        <w:spacing w:line="360" w:lineRule="auto"/>
        <w:rPr>
          <w:rFonts w:ascii="Arial" w:hAnsi="Arial" w:cs="Arial"/>
          <w:sz w:val="22"/>
          <w:szCs w:val="22"/>
        </w:rPr>
      </w:pPr>
      <w:r w:rsidRPr="31059CE2" w:rsidR="52BA7C49">
        <w:rPr>
          <w:rFonts w:ascii="Arial" w:hAnsi="Arial" w:cs="Arial"/>
          <w:sz w:val="22"/>
          <w:szCs w:val="22"/>
        </w:rPr>
        <w:t xml:space="preserve">Buchanan, D.R. (2019) ‘Public health interventions: ethical implications’, in The Oxford Handbook of Public Health Ethics. </w:t>
      </w:r>
      <w:r w:rsidRPr="31059CE2" w:rsidR="52BA7C49">
        <w:rPr>
          <w:rFonts w:ascii="Arial" w:hAnsi="Arial" w:cs="Arial"/>
          <w:i w:val="1"/>
          <w:iCs w:val="1"/>
          <w:sz w:val="22"/>
          <w:szCs w:val="22"/>
        </w:rPr>
        <w:t>Oxford: Oxford University Press</w:t>
      </w:r>
      <w:r w:rsidRPr="31059CE2" w:rsidR="52BA7C49">
        <w:rPr>
          <w:rFonts w:ascii="Arial" w:hAnsi="Arial" w:cs="Arial"/>
          <w:sz w:val="22"/>
          <w:szCs w:val="22"/>
        </w:rPr>
        <w:t>, pp. 76–88. Available at: </w:t>
      </w:r>
      <w:hyperlink r:id="R298fb5227677461c">
        <w:r w:rsidRPr="31059CE2" w:rsidR="52BA7C49">
          <w:rPr>
            <w:rStyle w:val="Hyperlink"/>
            <w:rFonts w:ascii="Arial" w:hAnsi="Arial" w:cs="Arial"/>
            <w:sz w:val="22"/>
            <w:szCs w:val="22"/>
          </w:rPr>
          <w:t>https://doi.org/10.1093/oxfordhb/9780190245191.013.8</w:t>
        </w:r>
      </w:hyperlink>
      <w:r w:rsidRPr="31059CE2" w:rsidR="52BA7C49">
        <w:rPr>
          <w:rFonts w:ascii="Arial" w:hAnsi="Arial" w:cs="Arial"/>
          <w:sz w:val="22"/>
          <w:szCs w:val="22"/>
        </w:rPr>
        <w:t xml:space="preserve"> (Accessed: </w:t>
      </w:r>
      <w:r w:rsidRPr="31059CE2" w:rsidR="3C568C07">
        <w:rPr>
          <w:rFonts w:ascii="Arial" w:hAnsi="Arial" w:cs="Arial"/>
          <w:sz w:val="22"/>
          <w:szCs w:val="22"/>
        </w:rPr>
        <w:t xml:space="preserve">24 February </w:t>
      </w:r>
      <w:r w:rsidRPr="31059CE2" w:rsidR="52BA7C49">
        <w:rPr>
          <w:rFonts w:ascii="Arial" w:hAnsi="Arial" w:cs="Arial"/>
          <w:sz w:val="22"/>
          <w:szCs w:val="22"/>
        </w:rPr>
        <w:t>202</w:t>
      </w:r>
      <w:r w:rsidRPr="31059CE2" w:rsidR="24B566E4">
        <w:rPr>
          <w:rFonts w:ascii="Arial" w:hAnsi="Arial" w:cs="Arial"/>
          <w:sz w:val="22"/>
          <w:szCs w:val="22"/>
        </w:rPr>
        <w:t>6</w:t>
      </w:r>
      <w:r w:rsidRPr="31059CE2" w:rsidR="52BA7C49">
        <w:rPr>
          <w:rFonts w:ascii="Arial" w:hAnsi="Arial" w:cs="Arial"/>
          <w:sz w:val="22"/>
          <w:szCs w:val="22"/>
        </w:rPr>
        <w:t>).</w:t>
      </w:r>
    </w:p>
    <w:p w:rsidR="5ED9664E" w:rsidP="5ED9664E" w:rsidRDefault="5ED9664E" w14:paraId="1F50F0D4">
      <w:pPr>
        <w:spacing w:line="360" w:lineRule="auto"/>
        <w:rPr>
          <w:rFonts w:ascii="Arial" w:hAnsi="Arial" w:cs="Arial"/>
          <w:sz w:val="22"/>
          <w:szCs w:val="22"/>
        </w:rPr>
      </w:pPr>
    </w:p>
    <w:p w:rsidR="52BA7C49" w:rsidP="5ED9664E" w:rsidRDefault="52BA7C49" w14:paraId="4B2EA81F" w14:textId="1472DFCB">
      <w:pPr>
        <w:spacing w:line="360" w:lineRule="auto"/>
        <w:rPr>
          <w:rFonts w:ascii="Arial" w:hAnsi="Arial" w:cs="Arial"/>
          <w:sz w:val="22"/>
          <w:szCs w:val="22"/>
        </w:rPr>
      </w:pPr>
      <w:r w:rsidRPr="31059CE2" w:rsidR="52BA7C49">
        <w:rPr>
          <w:rFonts w:ascii="Arial" w:hAnsi="Arial" w:cs="Arial"/>
          <w:sz w:val="22"/>
          <w:szCs w:val="22"/>
        </w:rPr>
        <w:t>Centers</w:t>
      </w:r>
      <w:r w:rsidRPr="31059CE2" w:rsidR="52BA7C49">
        <w:rPr>
          <w:rFonts w:ascii="Arial" w:hAnsi="Arial" w:cs="Arial"/>
          <w:sz w:val="22"/>
          <w:szCs w:val="22"/>
        </w:rPr>
        <w:t xml:space="preserve"> for Disease Control and Prevention</w:t>
      </w:r>
      <w:r w:rsidRPr="31059CE2" w:rsidR="538431A1">
        <w:rPr>
          <w:rFonts w:ascii="Arial" w:hAnsi="Arial" w:cs="Arial"/>
          <w:sz w:val="22"/>
          <w:szCs w:val="22"/>
        </w:rPr>
        <w:t>.</w:t>
      </w:r>
      <w:r w:rsidRPr="31059CE2" w:rsidR="52BA7C49">
        <w:rPr>
          <w:rFonts w:ascii="Arial" w:hAnsi="Arial" w:cs="Arial"/>
          <w:sz w:val="22"/>
          <w:szCs w:val="22"/>
        </w:rPr>
        <w:t xml:space="preserve"> (2023)</w:t>
      </w:r>
      <w:r w:rsidRPr="31059CE2" w:rsidR="52BA7C49">
        <w:rPr>
          <w:rFonts w:ascii="Arial" w:hAnsi="Arial" w:cs="Arial"/>
          <w:i w:val="1"/>
          <w:iCs w:val="1"/>
          <w:sz w:val="22"/>
          <w:szCs w:val="22"/>
        </w:rPr>
        <w:t xml:space="preserve"> Emerging </w:t>
      </w:r>
      <w:r w:rsidRPr="31059CE2" w:rsidR="33A3F1FD">
        <w:rPr>
          <w:rFonts w:ascii="Arial" w:hAnsi="Arial" w:cs="Arial"/>
          <w:i w:val="1"/>
          <w:iCs w:val="1"/>
          <w:sz w:val="22"/>
          <w:szCs w:val="22"/>
        </w:rPr>
        <w:t>i</w:t>
      </w:r>
      <w:r w:rsidRPr="31059CE2" w:rsidR="52BA7C49">
        <w:rPr>
          <w:rFonts w:ascii="Arial" w:hAnsi="Arial" w:cs="Arial"/>
          <w:i w:val="1"/>
          <w:iCs w:val="1"/>
          <w:sz w:val="22"/>
          <w:szCs w:val="22"/>
        </w:rPr>
        <w:t xml:space="preserve">nfectious </w:t>
      </w:r>
      <w:r w:rsidRPr="31059CE2" w:rsidR="72DC6FD6">
        <w:rPr>
          <w:rFonts w:ascii="Arial" w:hAnsi="Arial" w:cs="Arial"/>
          <w:i w:val="1"/>
          <w:iCs w:val="1"/>
          <w:sz w:val="22"/>
          <w:szCs w:val="22"/>
        </w:rPr>
        <w:t>d</w:t>
      </w:r>
      <w:r w:rsidRPr="31059CE2" w:rsidR="52BA7C49">
        <w:rPr>
          <w:rFonts w:ascii="Arial" w:hAnsi="Arial" w:cs="Arial"/>
          <w:i w:val="1"/>
          <w:iCs w:val="1"/>
          <w:sz w:val="22"/>
          <w:szCs w:val="22"/>
        </w:rPr>
        <w:t>iseases</w:t>
      </w:r>
      <w:r w:rsidRPr="31059CE2" w:rsidR="52BA7C49">
        <w:rPr>
          <w:rFonts w:ascii="Arial" w:hAnsi="Arial" w:cs="Arial"/>
          <w:sz w:val="22"/>
          <w:szCs w:val="22"/>
        </w:rPr>
        <w:t>. Available at: </w:t>
      </w:r>
      <w:hyperlink r:id="R89dd5bd4486e464d">
        <w:r w:rsidRPr="31059CE2" w:rsidR="52BA7C49">
          <w:rPr>
            <w:rStyle w:val="Hyperlink"/>
            <w:rFonts w:ascii="Arial" w:hAnsi="Arial" w:cs="Arial"/>
            <w:sz w:val="22"/>
            <w:szCs w:val="22"/>
          </w:rPr>
          <w:t>https://wwwnc.cdc.gov/eid/</w:t>
        </w:r>
      </w:hyperlink>
      <w:r w:rsidRPr="31059CE2" w:rsidR="52BA7C49">
        <w:rPr>
          <w:rFonts w:ascii="Arial" w:hAnsi="Arial" w:cs="Arial"/>
          <w:sz w:val="22"/>
          <w:szCs w:val="22"/>
        </w:rPr>
        <w:t xml:space="preserve"> (Accessed: </w:t>
      </w:r>
      <w:r w:rsidRPr="31059CE2" w:rsidR="29595A6E">
        <w:rPr>
          <w:rFonts w:ascii="Arial" w:hAnsi="Arial" w:cs="Arial"/>
          <w:sz w:val="22"/>
          <w:szCs w:val="22"/>
        </w:rPr>
        <w:t xml:space="preserve">28 February </w:t>
      </w:r>
      <w:r w:rsidRPr="31059CE2" w:rsidR="52BA7C49">
        <w:rPr>
          <w:rFonts w:ascii="Arial" w:hAnsi="Arial" w:cs="Arial"/>
          <w:sz w:val="22"/>
          <w:szCs w:val="22"/>
        </w:rPr>
        <w:t>202</w:t>
      </w:r>
      <w:r w:rsidRPr="31059CE2" w:rsidR="4E4429AC">
        <w:rPr>
          <w:rFonts w:ascii="Arial" w:hAnsi="Arial" w:cs="Arial"/>
          <w:sz w:val="22"/>
          <w:szCs w:val="22"/>
        </w:rPr>
        <w:t>6</w:t>
      </w:r>
      <w:r w:rsidRPr="31059CE2" w:rsidR="52BA7C49">
        <w:rPr>
          <w:rFonts w:ascii="Arial" w:hAnsi="Arial" w:cs="Arial"/>
          <w:sz w:val="22"/>
          <w:szCs w:val="22"/>
        </w:rPr>
        <w:t>).</w:t>
      </w:r>
    </w:p>
    <w:p w:rsidR="5ED9664E" w:rsidP="5ED9664E" w:rsidRDefault="5ED9664E" w14:paraId="5E57BCB8">
      <w:pPr>
        <w:spacing w:line="360" w:lineRule="auto"/>
        <w:rPr>
          <w:rFonts w:ascii="Arial" w:hAnsi="Arial" w:cs="Arial"/>
          <w:sz w:val="22"/>
          <w:szCs w:val="22"/>
        </w:rPr>
      </w:pPr>
    </w:p>
    <w:p w:rsidR="52BA7C49" w:rsidP="5ED9664E" w:rsidRDefault="52BA7C49" w14:paraId="2A554F79" w14:textId="09D6BAD3">
      <w:pPr>
        <w:spacing w:line="360" w:lineRule="auto"/>
        <w:rPr>
          <w:rFonts w:ascii="Arial" w:hAnsi="Arial" w:cs="Arial"/>
          <w:sz w:val="22"/>
          <w:szCs w:val="22"/>
        </w:rPr>
      </w:pPr>
      <w:r w:rsidRPr="31059CE2" w:rsidR="52BA7C49">
        <w:rPr>
          <w:rFonts w:ascii="Arial" w:hAnsi="Arial" w:cs="Arial"/>
          <w:sz w:val="22"/>
          <w:szCs w:val="22"/>
        </w:rPr>
        <w:t>Fossos</w:t>
      </w:r>
      <w:r w:rsidRPr="31059CE2" w:rsidR="52BA7C49">
        <w:rPr>
          <w:rFonts w:ascii="Arial" w:hAnsi="Arial" w:cs="Arial"/>
          <w:sz w:val="22"/>
          <w:szCs w:val="22"/>
        </w:rPr>
        <w:t>, N. (2019)</w:t>
      </w:r>
      <w:r w:rsidRPr="31059CE2" w:rsidR="52BA7C49">
        <w:rPr>
          <w:rFonts w:ascii="Arial" w:hAnsi="Arial" w:cs="Arial"/>
          <w:i w:val="1"/>
          <w:iCs w:val="1"/>
          <w:sz w:val="22"/>
          <w:szCs w:val="22"/>
        </w:rPr>
        <w:t xml:space="preserve"> Theory of </w:t>
      </w:r>
      <w:r w:rsidRPr="31059CE2" w:rsidR="55C78C3B">
        <w:rPr>
          <w:rFonts w:ascii="Arial" w:hAnsi="Arial" w:cs="Arial"/>
          <w:i w:val="1"/>
          <w:iCs w:val="1"/>
          <w:sz w:val="22"/>
          <w:szCs w:val="22"/>
        </w:rPr>
        <w:t>p</w:t>
      </w:r>
      <w:r w:rsidRPr="31059CE2" w:rsidR="52BA7C49">
        <w:rPr>
          <w:rFonts w:ascii="Arial" w:hAnsi="Arial" w:cs="Arial"/>
          <w:i w:val="1"/>
          <w:iCs w:val="1"/>
          <w:sz w:val="22"/>
          <w:szCs w:val="22"/>
        </w:rPr>
        <w:t xml:space="preserve">anned </w:t>
      </w:r>
      <w:r w:rsidRPr="31059CE2" w:rsidR="675B73E4">
        <w:rPr>
          <w:rFonts w:ascii="Arial" w:hAnsi="Arial" w:cs="Arial"/>
          <w:i w:val="1"/>
          <w:iCs w:val="1"/>
          <w:sz w:val="22"/>
          <w:szCs w:val="22"/>
        </w:rPr>
        <w:t>behaviour</w:t>
      </w:r>
      <w:r w:rsidRPr="31059CE2" w:rsidR="52BA7C49">
        <w:rPr>
          <w:rFonts w:ascii="Arial" w:hAnsi="Arial" w:cs="Arial"/>
          <w:i w:val="1"/>
          <w:iCs w:val="1"/>
          <w:sz w:val="22"/>
          <w:szCs w:val="22"/>
        </w:rPr>
        <w:t xml:space="preserve"> – an overview</w:t>
      </w:r>
      <w:r w:rsidRPr="31059CE2" w:rsidR="52BA7C49">
        <w:rPr>
          <w:rFonts w:ascii="Arial" w:hAnsi="Arial" w:cs="Arial"/>
          <w:sz w:val="22"/>
          <w:szCs w:val="22"/>
        </w:rPr>
        <w:t>. Available at: </w:t>
      </w:r>
      <w:hyperlink r:id="R6e6b493f4e384d00">
        <w:r w:rsidRPr="31059CE2" w:rsidR="52BA7C49">
          <w:rPr>
            <w:rStyle w:val="Hyperlink"/>
            <w:rFonts w:ascii="Arial" w:hAnsi="Arial" w:cs="Arial"/>
            <w:sz w:val="22"/>
            <w:szCs w:val="22"/>
          </w:rPr>
          <w:t>https://www.sciencedirect.com/topics/psychology/theory-of-planned-behavior</w:t>
        </w:r>
      </w:hyperlink>
      <w:r w:rsidRPr="31059CE2" w:rsidR="52BA7C49">
        <w:rPr>
          <w:rFonts w:ascii="Arial" w:hAnsi="Arial" w:cs="Arial"/>
          <w:sz w:val="22"/>
          <w:szCs w:val="22"/>
        </w:rPr>
        <w:t xml:space="preserve"> (Accessed: </w:t>
      </w:r>
      <w:r w:rsidRPr="31059CE2" w:rsidR="13446A15">
        <w:rPr>
          <w:rFonts w:ascii="Arial" w:hAnsi="Arial" w:cs="Arial"/>
          <w:sz w:val="22"/>
          <w:szCs w:val="22"/>
        </w:rPr>
        <w:t>24 February</w:t>
      </w:r>
      <w:r w:rsidRPr="31059CE2" w:rsidR="52BA7C49">
        <w:rPr>
          <w:rFonts w:ascii="Arial" w:hAnsi="Arial" w:cs="Arial"/>
          <w:sz w:val="22"/>
          <w:szCs w:val="22"/>
        </w:rPr>
        <w:t xml:space="preserve"> 202</w:t>
      </w:r>
      <w:r w:rsidRPr="31059CE2" w:rsidR="0C535F6D">
        <w:rPr>
          <w:rFonts w:ascii="Arial" w:hAnsi="Arial" w:cs="Arial"/>
          <w:sz w:val="22"/>
          <w:szCs w:val="22"/>
        </w:rPr>
        <w:t>6</w:t>
      </w:r>
      <w:r w:rsidRPr="31059CE2" w:rsidR="52BA7C49">
        <w:rPr>
          <w:rFonts w:ascii="Arial" w:hAnsi="Arial" w:cs="Arial"/>
          <w:sz w:val="22"/>
          <w:szCs w:val="22"/>
        </w:rPr>
        <w:t>).</w:t>
      </w:r>
    </w:p>
    <w:p w:rsidR="5ED9664E" w:rsidP="5ED9664E" w:rsidRDefault="5ED9664E" w14:paraId="5D2EC076">
      <w:pPr>
        <w:spacing w:line="360" w:lineRule="auto"/>
        <w:rPr>
          <w:rFonts w:ascii="Arial" w:hAnsi="Arial" w:cs="Arial"/>
          <w:sz w:val="22"/>
          <w:szCs w:val="22"/>
        </w:rPr>
      </w:pPr>
    </w:p>
    <w:p w:rsidR="52BA7C49" w:rsidP="5ED9664E" w:rsidRDefault="52BA7C49" w14:paraId="6957550D" w14:textId="3E050B15">
      <w:pPr>
        <w:spacing w:line="360" w:lineRule="auto"/>
        <w:rPr>
          <w:rFonts w:ascii="Arial" w:hAnsi="Arial" w:cs="Arial"/>
          <w:sz w:val="22"/>
          <w:szCs w:val="22"/>
        </w:rPr>
      </w:pPr>
      <w:r w:rsidRPr="31059CE2" w:rsidR="52BA7C49">
        <w:rPr>
          <w:rFonts w:ascii="Arial" w:hAnsi="Arial" w:cs="Arial"/>
          <w:sz w:val="22"/>
          <w:szCs w:val="22"/>
        </w:rPr>
        <w:t>Glanz, K., Rimer, B. and Viswanath, K. (2015)</w:t>
      </w:r>
      <w:r w:rsidRPr="31059CE2" w:rsidR="52BA7C49">
        <w:rPr>
          <w:rFonts w:ascii="Arial" w:hAnsi="Arial" w:cs="Arial"/>
          <w:i w:val="1"/>
          <w:iCs w:val="1"/>
          <w:sz w:val="22"/>
          <w:szCs w:val="22"/>
        </w:rPr>
        <w:t xml:space="preserve"> Health </w:t>
      </w:r>
      <w:r w:rsidRPr="31059CE2" w:rsidR="52BA7C49">
        <w:rPr>
          <w:rFonts w:ascii="Arial" w:hAnsi="Arial" w:cs="Arial"/>
          <w:i w:val="1"/>
          <w:iCs w:val="1"/>
          <w:sz w:val="22"/>
          <w:szCs w:val="22"/>
        </w:rPr>
        <w:t>behavior</w:t>
      </w:r>
      <w:r w:rsidRPr="31059CE2" w:rsidR="52BA7C49">
        <w:rPr>
          <w:rFonts w:ascii="Arial" w:hAnsi="Arial" w:cs="Arial"/>
          <w:i w:val="1"/>
          <w:iCs w:val="1"/>
          <w:sz w:val="22"/>
          <w:szCs w:val="22"/>
        </w:rPr>
        <w:t>: theory, research, and practice</w:t>
      </w:r>
      <w:r w:rsidRPr="31059CE2" w:rsidR="52BA7C49">
        <w:rPr>
          <w:rFonts w:ascii="Arial" w:hAnsi="Arial" w:cs="Arial"/>
          <w:sz w:val="22"/>
          <w:szCs w:val="22"/>
        </w:rPr>
        <w:t xml:space="preserve">. 5th </w:t>
      </w:r>
      <w:r w:rsidRPr="31059CE2" w:rsidR="52BA7C49">
        <w:rPr>
          <w:rFonts w:ascii="Arial" w:hAnsi="Arial" w:cs="Arial"/>
          <w:sz w:val="22"/>
          <w:szCs w:val="22"/>
        </w:rPr>
        <w:t>edn</w:t>
      </w:r>
      <w:r w:rsidRPr="31059CE2" w:rsidR="52BA7C49">
        <w:rPr>
          <w:rFonts w:ascii="Arial" w:hAnsi="Arial" w:cs="Arial"/>
          <w:sz w:val="22"/>
          <w:szCs w:val="22"/>
        </w:rPr>
        <w:t xml:space="preserve">. San Francisco: John Wiley </w:t>
      </w:r>
      <w:r w:rsidRPr="31059CE2" w:rsidR="0051BCF1">
        <w:rPr>
          <w:rFonts w:ascii="Arial" w:hAnsi="Arial" w:cs="Arial"/>
          <w:sz w:val="22"/>
          <w:szCs w:val="22"/>
        </w:rPr>
        <w:t>and</w:t>
      </w:r>
      <w:r w:rsidRPr="31059CE2" w:rsidR="52BA7C49">
        <w:rPr>
          <w:rFonts w:ascii="Arial" w:hAnsi="Arial" w:cs="Arial"/>
          <w:sz w:val="22"/>
          <w:szCs w:val="22"/>
        </w:rPr>
        <w:t xml:space="preserve"> Sons.</w:t>
      </w:r>
    </w:p>
    <w:p w:rsidR="31059CE2" w:rsidP="31059CE2" w:rsidRDefault="31059CE2" w14:paraId="74BC6930" w14:textId="6A966197">
      <w:pPr>
        <w:pStyle w:val="Normal"/>
        <w:spacing w:line="360" w:lineRule="auto"/>
        <w:rPr>
          <w:rFonts w:ascii="Arial" w:hAnsi="Arial" w:cs="Arial"/>
          <w:sz w:val="22"/>
          <w:szCs w:val="22"/>
        </w:rPr>
      </w:pPr>
    </w:p>
    <w:p w:rsidR="52BA7C49" w:rsidP="31059CE2" w:rsidRDefault="52BA7C49" w14:paraId="61B1F6CC" w14:textId="35A7A9AC">
      <w:pPr>
        <w:pStyle w:val="Normal"/>
        <w:spacing w:line="360" w:lineRule="auto"/>
        <w:rPr>
          <w:rFonts w:ascii="Arial" w:hAnsi="Arial" w:eastAsia="Arial" w:cs="Arial"/>
          <w:noProof w:val="0"/>
          <w:sz w:val="22"/>
          <w:szCs w:val="22"/>
          <w:lang w:val="en-GB"/>
        </w:rPr>
      </w:pPr>
      <w:r w:rsidRPr="31059CE2" w:rsidR="52BA7C49">
        <w:rPr>
          <w:rFonts w:ascii="Arial" w:hAnsi="Arial" w:eastAsia="Arial" w:cs="Arial"/>
          <w:sz w:val="22"/>
          <w:szCs w:val="22"/>
        </w:rPr>
        <w:t xml:space="preserve">Gostin, L.O. and Friedman, E.A. (2015) ‘A retrospective and prospective analysis of the West African Ebola virus disease epidemic’, </w:t>
      </w:r>
      <w:r w:rsidRPr="31059CE2" w:rsidR="52BA7C49">
        <w:rPr>
          <w:rFonts w:ascii="Arial" w:hAnsi="Arial" w:eastAsia="Arial" w:cs="Arial"/>
          <w:i w:val="1"/>
          <w:iCs w:val="1"/>
          <w:sz w:val="22"/>
          <w:szCs w:val="22"/>
        </w:rPr>
        <w:t>The Lancet</w:t>
      </w:r>
      <w:r w:rsidRPr="31059CE2" w:rsidR="52BA7C49">
        <w:rPr>
          <w:rFonts w:ascii="Arial" w:hAnsi="Arial" w:eastAsia="Arial" w:cs="Arial"/>
          <w:sz w:val="22"/>
          <w:szCs w:val="22"/>
        </w:rPr>
        <w:t>, 385(9980), pp. 1902–1909.</w:t>
      </w:r>
      <w:r w:rsidRPr="31059CE2" w:rsidR="1F38CB9F">
        <w:rPr>
          <w:rFonts w:ascii="Arial" w:hAnsi="Arial" w:eastAsia="Arial" w:cs="Arial"/>
          <w:sz w:val="22"/>
          <w:szCs w:val="22"/>
        </w:rPr>
        <w:t xml:space="preserve"> Available at: </w:t>
      </w:r>
      <w:hyperlink r:id="Reb22ad646e7a4586">
        <w:r w:rsidRPr="31059CE2" w:rsidR="1F38CB9F">
          <w:rPr>
            <w:rStyle w:val="Hyperlink"/>
            <w:rFonts w:ascii="Arial" w:hAnsi="Arial" w:eastAsia="Arial" w:cs="Arial"/>
            <w:b w:val="0"/>
            <w:bCs w:val="0"/>
            <w:i w:val="0"/>
            <w:iCs w:val="0"/>
            <w:caps w:val="0"/>
            <w:smallCaps w:val="0"/>
            <w:noProof w:val="0"/>
            <w:sz w:val="22"/>
            <w:szCs w:val="22"/>
            <w:lang w:val="en-GB"/>
          </w:rPr>
          <w:t>https://doi.org/10.1016/S0140-6736(15)60644-4</w:t>
        </w:r>
      </w:hyperlink>
      <w:r w:rsidRPr="31059CE2" w:rsidR="1F38CB9F">
        <w:rPr>
          <w:rFonts w:ascii="Arial" w:hAnsi="Arial" w:eastAsia="Arial" w:cs="Arial"/>
          <w:b w:val="0"/>
          <w:bCs w:val="0"/>
          <w:i w:val="0"/>
          <w:iCs w:val="0"/>
          <w:caps w:val="0"/>
          <w:smallCaps w:val="0"/>
          <w:noProof w:val="0"/>
          <w:color w:val="212121"/>
          <w:sz w:val="22"/>
          <w:szCs w:val="22"/>
          <w:lang w:val="en-GB"/>
        </w:rPr>
        <w:t xml:space="preserve"> (Accessed: 3 March 2026).</w:t>
      </w:r>
    </w:p>
    <w:p w:rsidR="5ED9664E" w:rsidP="5ED9664E" w:rsidRDefault="5ED9664E" w14:paraId="65F357CC">
      <w:pPr>
        <w:spacing w:line="360" w:lineRule="auto"/>
        <w:rPr>
          <w:rFonts w:ascii="Arial" w:hAnsi="Arial" w:cs="Arial"/>
          <w:sz w:val="22"/>
          <w:szCs w:val="22"/>
        </w:rPr>
      </w:pPr>
    </w:p>
    <w:p w:rsidR="52BA7C49" w:rsidP="31059CE2" w:rsidRDefault="52BA7C49" w14:paraId="32F8B9AC" w14:textId="4421C615">
      <w:pPr>
        <w:pStyle w:val="Normal"/>
        <w:spacing w:line="360" w:lineRule="auto"/>
        <w:rPr>
          <w:rFonts w:ascii="Arial" w:hAnsi="Arial" w:eastAsia="Arial" w:cs="Arial"/>
          <w:noProof w:val="0"/>
          <w:sz w:val="22"/>
          <w:szCs w:val="22"/>
          <w:lang w:val="en-GB"/>
        </w:rPr>
      </w:pPr>
      <w:r w:rsidRPr="31059CE2" w:rsidR="52BA7C49">
        <w:rPr>
          <w:rFonts w:ascii="Arial" w:hAnsi="Arial" w:eastAsia="Arial" w:cs="Arial"/>
          <w:sz w:val="22"/>
          <w:szCs w:val="22"/>
        </w:rPr>
        <w:t xml:space="preserve">Green, L., Ashton, K., Bellis, </w:t>
      </w:r>
      <w:r w:rsidRPr="31059CE2" w:rsidR="52BA7C49">
        <w:rPr>
          <w:rFonts w:ascii="Arial" w:hAnsi="Arial" w:eastAsia="Arial" w:cs="Arial"/>
          <w:sz w:val="22"/>
          <w:szCs w:val="22"/>
        </w:rPr>
        <w:t>M.A.</w:t>
      </w:r>
      <w:r w:rsidRPr="31059CE2" w:rsidR="52BA7C49">
        <w:rPr>
          <w:rFonts w:ascii="Arial" w:hAnsi="Arial" w:eastAsia="Arial" w:cs="Arial"/>
          <w:sz w:val="22"/>
          <w:szCs w:val="22"/>
        </w:rPr>
        <w:t xml:space="preserve"> and Clemens, T. (2021) ‘Health in all policies—A key driver for health and well-being in a post-COVID-19 pandemic world’,</w:t>
      </w:r>
      <w:r w:rsidRPr="31059CE2" w:rsidR="52BA7C49">
        <w:rPr>
          <w:rFonts w:ascii="Arial" w:hAnsi="Arial" w:eastAsia="Arial" w:cs="Arial"/>
          <w:i w:val="1"/>
          <w:iCs w:val="1"/>
          <w:sz w:val="22"/>
          <w:szCs w:val="22"/>
        </w:rPr>
        <w:t xml:space="preserve"> International Journal of Environmental Research and Public Health</w:t>
      </w:r>
      <w:r w:rsidRPr="31059CE2" w:rsidR="52BA7C49">
        <w:rPr>
          <w:rFonts w:ascii="Arial" w:hAnsi="Arial" w:eastAsia="Arial" w:cs="Arial"/>
          <w:sz w:val="22"/>
          <w:szCs w:val="22"/>
        </w:rPr>
        <w:t>, 18(18), 9468.</w:t>
      </w:r>
      <w:r w:rsidRPr="31059CE2" w:rsidR="3BF2CD0E">
        <w:rPr>
          <w:rFonts w:ascii="Arial" w:hAnsi="Arial" w:eastAsia="Arial" w:cs="Arial"/>
          <w:sz w:val="22"/>
          <w:szCs w:val="22"/>
        </w:rPr>
        <w:t xml:space="preserve"> Available at: </w:t>
      </w:r>
      <w:hyperlink r:id="Rc5baeabf96bb492b">
        <w:r w:rsidRPr="31059CE2" w:rsidR="3BF2CD0E">
          <w:rPr>
            <w:rStyle w:val="Hyperlink"/>
            <w:rFonts w:ascii="Arial" w:hAnsi="Arial" w:eastAsia="Arial" w:cs="Arial"/>
            <w:b w:val="0"/>
            <w:bCs w:val="0"/>
            <w:i w:val="0"/>
            <w:iCs w:val="0"/>
            <w:caps w:val="0"/>
            <w:smallCaps w:val="0"/>
            <w:noProof w:val="0"/>
            <w:sz w:val="22"/>
            <w:szCs w:val="22"/>
            <w:lang w:val="en-GB"/>
          </w:rPr>
          <w:t>https://doi.org/10.3390/ijerph18189468</w:t>
        </w:r>
      </w:hyperlink>
      <w:r w:rsidRPr="31059CE2" w:rsidR="3BF2CD0E">
        <w:rPr>
          <w:rFonts w:ascii="Arial" w:hAnsi="Arial" w:eastAsia="Arial" w:cs="Arial"/>
          <w:b w:val="0"/>
          <w:bCs w:val="0"/>
          <w:i w:val="0"/>
          <w:iCs w:val="0"/>
          <w:caps w:val="0"/>
          <w:smallCaps w:val="0"/>
          <w:noProof w:val="0"/>
          <w:color w:val="212121"/>
          <w:sz w:val="22"/>
          <w:szCs w:val="22"/>
          <w:lang w:val="en-GB"/>
        </w:rPr>
        <w:t xml:space="preserve"> (Accessed: 1 March 2026).</w:t>
      </w:r>
    </w:p>
    <w:p w:rsidR="5ED9664E" w:rsidP="31059CE2" w:rsidRDefault="5ED9664E" w14:paraId="34CD6281">
      <w:pPr>
        <w:spacing w:line="360" w:lineRule="auto"/>
        <w:rPr>
          <w:rFonts w:ascii="Arial" w:hAnsi="Arial" w:eastAsia="Arial" w:cs="Arial"/>
          <w:sz w:val="22"/>
          <w:szCs w:val="22"/>
        </w:rPr>
      </w:pPr>
    </w:p>
    <w:p w:rsidR="52BA7C49" w:rsidP="31059CE2" w:rsidRDefault="52BA7C49" w14:paraId="3F25C73E" w14:textId="351CE51E">
      <w:pPr>
        <w:pStyle w:val="Normal"/>
        <w:spacing w:line="360" w:lineRule="auto"/>
        <w:rPr>
          <w:rFonts w:ascii="Arial" w:hAnsi="Arial" w:eastAsia="Arial" w:cs="Arial"/>
          <w:noProof w:val="0"/>
          <w:sz w:val="22"/>
          <w:szCs w:val="22"/>
          <w:lang w:val="en-GB"/>
        </w:rPr>
      </w:pPr>
      <w:r w:rsidRPr="31059CE2" w:rsidR="52BA7C49">
        <w:rPr>
          <w:rFonts w:ascii="Arial" w:hAnsi="Arial" w:eastAsia="Arial" w:cs="Arial"/>
          <w:sz w:val="22"/>
          <w:szCs w:val="22"/>
        </w:rPr>
        <w:t xml:space="preserve">Hone, T., </w:t>
      </w:r>
      <w:r w:rsidRPr="31059CE2" w:rsidR="52BA7C49">
        <w:rPr>
          <w:rFonts w:ascii="Arial" w:hAnsi="Arial" w:eastAsia="Arial" w:cs="Arial"/>
          <w:sz w:val="22"/>
          <w:szCs w:val="22"/>
        </w:rPr>
        <w:t>Macinko</w:t>
      </w:r>
      <w:r w:rsidRPr="31059CE2" w:rsidR="52BA7C49">
        <w:rPr>
          <w:rFonts w:ascii="Arial" w:hAnsi="Arial" w:eastAsia="Arial" w:cs="Arial"/>
          <w:sz w:val="22"/>
          <w:szCs w:val="22"/>
        </w:rPr>
        <w:t>, J. and Millett, C. (2018) ‘Revisiting Alma-Ata: what is the role of primary health care in achieving the Sustainable Development Goals?’,</w:t>
      </w:r>
      <w:r w:rsidRPr="31059CE2" w:rsidR="52BA7C49">
        <w:rPr>
          <w:rFonts w:ascii="Arial" w:hAnsi="Arial" w:eastAsia="Arial" w:cs="Arial"/>
          <w:i w:val="1"/>
          <w:iCs w:val="1"/>
          <w:sz w:val="22"/>
          <w:szCs w:val="22"/>
        </w:rPr>
        <w:t xml:space="preserve"> The Lancet</w:t>
      </w:r>
      <w:r w:rsidRPr="31059CE2" w:rsidR="52BA7C49">
        <w:rPr>
          <w:rFonts w:ascii="Arial" w:hAnsi="Arial" w:eastAsia="Arial" w:cs="Arial"/>
          <w:sz w:val="22"/>
          <w:szCs w:val="22"/>
        </w:rPr>
        <w:t>, 392(10156), pp. 1461–1472.</w:t>
      </w:r>
      <w:r w:rsidRPr="31059CE2" w:rsidR="3C10F0AB">
        <w:rPr>
          <w:rFonts w:ascii="Arial" w:hAnsi="Arial" w:eastAsia="Arial" w:cs="Arial"/>
          <w:sz w:val="22"/>
          <w:szCs w:val="22"/>
        </w:rPr>
        <w:t xml:space="preserve"> Available At: </w:t>
      </w:r>
      <w:hyperlink r:id="R4f568530fbab4322">
        <w:r w:rsidRPr="31059CE2" w:rsidR="3C10F0AB">
          <w:rPr>
            <w:rStyle w:val="Hyperlink"/>
            <w:rFonts w:ascii="Arial" w:hAnsi="Arial" w:eastAsia="Arial" w:cs="Arial"/>
            <w:b w:val="0"/>
            <w:bCs w:val="0"/>
            <w:i w:val="0"/>
            <w:iCs w:val="0"/>
            <w:caps w:val="0"/>
            <w:smallCaps w:val="0"/>
            <w:noProof w:val="0"/>
            <w:sz w:val="22"/>
            <w:szCs w:val="22"/>
            <w:lang w:val="en-GB"/>
          </w:rPr>
          <w:t>https://doi.org/10.1016/S0140-6736(18)31829-4</w:t>
        </w:r>
      </w:hyperlink>
      <w:r w:rsidRPr="31059CE2" w:rsidR="3C10F0AB">
        <w:rPr>
          <w:rFonts w:ascii="Arial" w:hAnsi="Arial" w:eastAsia="Arial" w:cs="Arial"/>
          <w:b w:val="0"/>
          <w:bCs w:val="0"/>
          <w:i w:val="0"/>
          <w:iCs w:val="0"/>
          <w:caps w:val="0"/>
          <w:smallCaps w:val="0"/>
          <w:noProof w:val="0"/>
          <w:color w:val="212121"/>
          <w:sz w:val="22"/>
          <w:szCs w:val="22"/>
          <w:lang w:val="en-GB"/>
        </w:rPr>
        <w:t xml:space="preserve"> (Accessed: 7 March 2026).</w:t>
      </w:r>
    </w:p>
    <w:p w:rsidR="5ED9664E" w:rsidP="5ED9664E" w:rsidRDefault="5ED9664E" w14:paraId="4ABC11A3">
      <w:pPr>
        <w:spacing w:line="360" w:lineRule="auto"/>
        <w:rPr>
          <w:rFonts w:ascii="Arial" w:hAnsi="Arial" w:cs="Arial"/>
          <w:sz w:val="22"/>
          <w:szCs w:val="22"/>
        </w:rPr>
      </w:pPr>
    </w:p>
    <w:p w:rsidR="52BA7C49" w:rsidP="31059CE2" w:rsidRDefault="52BA7C49" w14:paraId="7E331F1E" w14:textId="08333305">
      <w:pPr>
        <w:pStyle w:val="Normal"/>
        <w:spacing w:line="360" w:lineRule="auto"/>
        <w:rPr>
          <w:rFonts w:ascii="Arial" w:hAnsi="Arial" w:eastAsia="Arial" w:cs="Arial"/>
          <w:noProof w:val="0"/>
          <w:sz w:val="22"/>
          <w:szCs w:val="22"/>
          <w:lang w:val="en-GB"/>
        </w:rPr>
      </w:pPr>
      <w:r w:rsidRPr="31059CE2" w:rsidR="52BA7C49">
        <w:rPr>
          <w:rFonts w:ascii="Arial" w:hAnsi="Arial" w:eastAsia="Arial" w:cs="Arial"/>
          <w:sz w:val="22"/>
          <w:szCs w:val="22"/>
        </w:rPr>
        <w:t xml:space="preserve">Kickbusch, I., Szabo, </w:t>
      </w:r>
      <w:r w:rsidRPr="31059CE2" w:rsidR="52BA7C49">
        <w:rPr>
          <w:rFonts w:ascii="Arial" w:hAnsi="Arial" w:eastAsia="Arial" w:cs="Arial"/>
          <w:sz w:val="22"/>
          <w:szCs w:val="22"/>
        </w:rPr>
        <w:t>M.M.</w:t>
      </w:r>
      <w:r w:rsidRPr="31059CE2" w:rsidR="52BA7C49">
        <w:rPr>
          <w:rFonts w:ascii="Arial" w:hAnsi="Arial" w:eastAsia="Arial" w:cs="Arial"/>
          <w:sz w:val="22"/>
          <w:szCs w:val="22"/>
        </w:rPr>
        <w:t xml:space="preserve"> and Cassar Szabo, M. (2014) ‘A new governance space for health’, </w:t>
      </w:r>
      <w:r w:rsidRPr="31059CE2" w:rsidR="52BA7C49">
        <w:rPr>
          <w:rFonts w:ascii="Arial" w:hAnsi="Arial" w:eastAsia="Arial" w:cs="Arial"/>
          <w:i w:val="1"/>
          <w:iCs w:val="1"/>
          <w:sz w:val="22"/>
          <w:szCs w:val="22"/>
        </w:rPr>
        <w:t>Global Health Action</w:t>
      </w:r>
      <w:r w:rsidRPr="31059CE2" w:rsidR="52BA7C49">
        <w:rPr>
          <w:rFonts w:ascii="Arial" w:hAnsi="Arial" w:eastAsia="Arial" w:cs="Arial"/>
          <w:sz w:val="22"/>
          <w:szCs w:val="22"/>
        </w:rPr>
        <w:t>, 7(1), 23507.</w:t>
      </w:r>
      <w:r w:rsidRPr="31059CE2" w:rsidR="7578E8D7">
        <w:rPr>
          <w:rFonts w:ascii="Arial" w:hAnsi="Arial" w:eastAsia="Arial" w:cs="Arial"/>
          <w:sz w:val="22"/>
          <w:szCs w:val="22"/>
        </w:rPr>
        <w:t xml:space="preserve"> Available at: </w:t>
      </w:r>
      <w:hyperlink r:id="R8bf10c35f261493f">
        <w:r w:rsidRPr="31059CE2" w:rsidR="7578E8D7">
          <w:rPr>
            <w:rStyle w:val="Hyperlink"/>
            <w:rFonts w:ascii="Arial" w:hAnsi="Arial" w:eastAsia="Arial" w:cs="Arial"/>
            <w:b w:val="0"/>
            <w:bCs w:val="0"/>
            <w:i w:val="0"/>
            <w:iCs w:val="0"/>
            <w:caps w:val="0"/>
            <w:smallCaps w:val="0"/>
            <w:noProof w:val="0"/>
            <w:sz w:val="22"/>
            <w:szCs w:val="22"/>
            <w:lang w:val="en-GB"/>
          </w:rPr>
          <w:t>https://doi.org/10.3402/gha.v7.23507</w:t>
        </w:r>
      </w:hyperlink>
      <w:r w:rsidRPr="31059CE2" w:rsidR="7578E8D7">
        <w:rPr>
          <w:rFonts w:ascii="Arial" w:hAnsi="Arial" w:eastAsia="Arial" w:cs="Arial"/>
          <w:b w:val="0"/>
          <w:bCs w:val="0"/>
          <w:i w:val="0"/>
          <w:iCs w:val="0"/>
          <w:caps w:val="0"/>
          <w:smallCaps w:val="0"/>
          <w:noProof w:val="0"/>
          <w:color w:val="212121"/>
          <w:sz w:val="22"/>
          <w:szCs w:val="22"/>
          <w:lang w:val="en-GB"/>
        </w:rPr>
        <w:t xml:space="preserve"> (Accessed: 23 February 2026).</w:t>
      </w:r>
    </w:p>
    <w:p w:rsidR="5ED9664E" w:rsidP="5ED9664E" w:rsidRDefault="5ED9664E" w14:paraId="01BF44F7">
      <w:pPr>
        <w:spacing w:line="360" w:lineRule="auto"/>
        <w:rPr>
          <w:rFonts w:ascii="Arial" w:hAnsi="Arial" w:cs="Arial"/>
          <w:sz w:val="22"/>
          <w:szCs w:val="22"/>
        </w:rPr>
      </w:pPr>
    </w:p>
    <w:p w:rsidR="52BA7C49" w:rsidP="5ED9664E" w:rsidRDefault="52BA7C49" w14:paraId="5FA47238" w14:textId="1F0D5E8B">
      <w:pPr>
        <w:spacing w:line="360" w:lineRule="auto"/>
        <w:rPr>
          <w:rFonts w:ascii="Arial" w:hAnsi="Arial" w:cs="Arial"/>
          <w:sz w:val="22"/>
          <w:szCs w:val="22"/>
        </w:rPr>
      </w:pPr>
      <w:r w:rsidRPr="31059CE2" w:rsidR="52BA7C49">
        <w:rPr>
          <w:rFonts w:ascii="Arial" w:hAnsi="Arial" w:cs="Arial"/>
          <w:sz w:val="22"/>
          <w:szCs w:val="22"/>
        </w:rPr>
        <w:t>Lancet Countdown</w:t>
      </w:r>
      <w:r w:rsidRPr="31059CE2" w:rsidR="0E1D2784">
        <w:rPr>
          <w:rFonts w:ascii="Arial" w:hAnsi="Arial" w:cs="Arial"/>
          <w:sz w:val="22"/>
          <w:szCs w:val="22"/>
        </w:rPr>
        <w:t>.</w:t>
      </w:r>
      <w:r w:rsidRPr="31059CE2" w:rsidR="52BA7C49">
        <w:rPr>
          <w:rFonts w:ascii="Arial" w:hAnsi="Arial" w:cs="Arial"/>
          <w:sz w:val="22"/>
          <w:szCs w:val="22"/>
        </w:rPr>
        <w:t xml:space="preserve"> (2023) 2023 Report. Available at: </w:t>
      </w:r>
      <w:hyperlink r:id="R24ccab3461ca48e0">
        <w:r w:rsidRPr="31059CE2" w:rsidR="52BA7C49">
          <w:rPr>
            <w:rStyle w:val="Hyperlink"/>
            <w:rFonts w:ascii="Arial" w:hAnsi="Arial" w:cs="Arial"/>
            <w:sz w:val="22"/>
            <w:szCs w:val="22"/>
          </w:rPr>
          <w:t>https://www.lancetcountdown.org/2023-report/</w:t>
        </w:r>
      </w:hyperlink>
      <w:r w:rsidRPr="31059CE2" w:rsidR="52BA7C49">
        <w:rPr>
          <w:rFonts w:ascii="Arial" w:hAnsi="Arial" w:cs="Arial"/>
          <w:sz w:val="22"/>
          <w:szCs w:val="22"/>
        </w:rPr>
        <w:t xml:space="preserve"> (Accessed: </w:t>
      </w:r>
      <w:r w:rsidRPr="31059CE2" w:rsidR="7F735ACD">
        <w:rPr>
          <w:rFonts w:ascii="Arial" w:hAnsi="Arial" w:cs="Arial"/>
          <w:sz w:val="22"/>
          <w:szCs w:val="22"/>
        </w:rPr>
        <w:t>3 May</w:t>
      </w:r>
      <w:r w:rsidRPr="31059CE2" w:rsidR="52BA7C49">
        <w:rPr>
          <w:rFonts w:ascii="Arial" w:hAnsi="Arial" w:cs="Arial"/>
          <w:sz w:val="22"/>
          <w:szCs w:val="22"/>
        </w:rPr>
        <w:t xml:space="preserve"> 202</w:t>
      </w:r>
      <w:r w:rsidRPr="31059CE2" w:rsidR="61DDADD1">
        <w:rPr>
          <w:rFonts w:ascii="Arial" w:hAnsi="Arial" w:cs="Arial"/>
          <w:sz w:val="22"/>
          <w:szCs w:val="22"/>
        </w:rPr>
        <w:t>6</w:t>
      </w:r>
      <w:r w:rsidRPr="31059CE2" w:rsidR="52BA7C49">
        <w:rPr>
          <w:rFonts w:ascii="Arial" w:hAnsi="Arial" w:cs="Arial"/>
          <w:sz w:val="22"/>
          <w:szCs w:val="22"/>
        </w:rPr>
        <w:t>).</w:t>
      </w:r>
    </w:p>
    <w:p w:rsidR="5ED9664E" w:rsidP="5ED9664E" w:rsidRDefault="5ED9664E" w14:paraId="63FB861B">
      <w:pPr>
        <w:spacing w:line="360" w:lineRule="auto"/>
        <w:rPr>
          <w:rFonts w:ascii="Arial" w:hAnsi="Arial" w:cs="Arial"/>
          <w:sz w:val="22"/>
          <w:szCs w:val="22"/>
        </w:rPr>
      </w:pPr>
    </w:p>
    <w:p w:rsidR="5ED9664E" w:rsidP="31059CE2" w:rsidRDefault="5ED9664E" w14:paraId="57802B83" w14:textId="118B41C0">
      <w:pPr>
        <w:pStyle w:val="Normal"/>
        <w:spacing w:line="360" w:lineRule="auto"/>
        <w:rPr>
          <w:rFonts w:ascii="Arial" w:hAnsi="Arial" w:eastAsia="Arial" w:cs="Arial"/>
          <w:noProof w:val="0"/>
          <w:sz w:val="22"/>
          <w:szCs w:val="22"/>
          <w:lang w:val="en-GB"/>
        </w:rPr>
      </w:pPr>
      <w:r w:rsidRPr="31059CE2" w:rsidR="79216890">
        <w:rPr>
          <w:rFonts w:ascii="Arial" w:hAnsi="Arial" w:eastAsia="Arial" w:cs="Arial"/>
          <w:b w:val="0"/>
          <w:bCs w:val="0"/>
          <w:i w:val="0"/>
          <w:iCs w:val="0"/>
          <w:caps w:val="0"/>
          <w:smallCaps w:val="0"/>
          <w:noProof w:val="0"/>
          <w:color w:val="212121"/>
          <w:sz w:val="22"/>
          <w:szCs w:val="22"/>
          <w:lang w:val="en-GB"/>
        </w:rPr>
        <w:t xml:space="preserve">Hunter, D. J., </w:t>
      </w:r>
      <w:r w:rsidRPr="31059CE2" w:rsidR="79216890">
        <w:rPr>
          <w:rFonts w:ascii="Arial" w:hAnsi="Arial" w:eastAsia="Arial" w:cs="Arial"/>
          <w:b w:val="0"/>
          <w:bCs w:val="0"/>
          <w:i w:val="0"/>
          <w:iCs w:val="0"/>
          <w:caps w:val="0"/>
          <w:smallCaps w:val="0"/>
          <w:noProof w:val="0"/>
          <w:color w:val="212121"/>
          <w:sz w:val="22"/>
          <w:szCs w:val="22"/>
          <w:lang w:val="en-GB"/>
        </w:rPr>
        <w:t>Littlejohns</w:t>
      </w:r>
      <w:r w:rsidRPr="31059CE2" w:rsidR="79216890">
        <w:rPr>
          <w:rFonts w:ascii="Arial" w:hAnsi="Arial" w:eastAsia="Arial" w:cs="Arial"/>
          <w:b w:val="0"/>
          <w:bCs w:val="0"/>
          <w:i w:val="0"/>
          <w:iCs w:val="0"/>
          <w:caps w:val="0"/>
          <w:smallCaps w:val="0"/>
          <w:noProof w:val="0"/>
          <w:color w:val="212121"/>
          <w:sz w:val="22"/>
          <w:szCs w:val="22"/>
          <w:lang w:val="en-GB"/>
        </w:rPr>
        <w:t>, P., &amp; Weale, A. (202</w:t>
      </w:r>
      <w:r w:rsidRPr="31059CE2" w:rsidR="3E0A592E">
        <w:rPr>
          <w:rFonts w:ascii="Arial" w:hAnsi="Arial" w:eastAsia="Arial" w:cs="Arial"/>
          <w:b w:val="0"/>
          <w:bCs w:val="0"/>
          <w:i w:val="0"/>
          <w:iCs w:val="0"/>
          <w:caps w:val="0"/>
          <w:smallCaps w:val="0"/>
          <w:noProof w:val="0"/>
          <w:color w:val="212121"/>
          <w:sz w:val="22"/>
          <w:szCs w:val="22"/>
          <w:lang w:val="en-GB"/>
        </w:rPr>
        <w:t>2a</w:t>
      </w:r>
      <w:r w:rsidRPr="31059CE2" w:rsidR="79216890">
        <w:rPr>
          <w:rFonts w:ascii="Arial" w:hAnsi="Arial" w:eastAsia="Arial" w:cs="Arial"/>
          <w:b w:val="0"/>
          <w:bCs w:val="0"/>
          <w:i w:val="0"/>
          <w:iCs w:val="0"/>
          <w:caps w:val="0"/>
          <w:smallCaps w:val="0"/>
          <w:noProof w:val="0"/>
          <w:color w:val="212121"/>
          <w:sz w:val="22"/>
          <w:szCs w:val="22"/>
          <w:lang w:val="en-GB"/>
        </w:rPr>
        <w:t xml:space="preserve">). </w:t>
      </w:r>
      <w:r w:rsidRPr="31059CE2" w:rsidR="1C0D61D1">
        <w:rPr>
          <w:rFonts w:ascii="Arial" w:hAnsi="Arial" w:eastAsia="Arial" w:cs="Arial"/>
          <w:b w:val="0"/>
          <w:bCs w:val="0"/>
          <w:i w:val="0"/>
          <w:iCs w:val="0"/>
          <w:caps w:val="0"/>
          <w:smallCaps w:val="0"/>
          <w:noProof w:val="0"/>
          <w:color w:val="212121"/>
          <w:sz w:val="22"/>
          <w:szCs w:val="22"/>
          <w:lang w:val="en-GB"/>
        </w:rPr>
        <w:t>‘</w:t>
      </w:r>
      <w:r w:rsidRPr="31059CE2" w:rsidR="79216890">
        <w:rPr>
          <w:rFonts w:ascii="Arial" w:hAnsi="Arial" w:eastAsia="Arial" w:cs="Arial"/>
          <w:b w:val="0"/>
          <w:bCs w:val="0"/>
          <w:i w:val="0"/>
          <w:iCs w:val="0"/>
          <w:caps w:val="0"/>
          <w:smallCaps w:val="0"/>
          <w:noProof w:val="0"/>
          <w:color w:val="212121"/>
          <w:sz w:val="22"/>
          <w:szCs w:val="22"/>
          <w:lang w:val="en-GB"/>
        </w:rPr>
        <w:t>Reforming the public health system in England</w:t>
      </w:r>
      <w:r w:rsidRPr="31059CE2" w:rsidR="64FD46E4">
        <w:rPr>
          <w:rFonts w:ascii="Arial" w:hAnsi="Arial" w:eastAsia="Arial" w:cs="Arial"/>
          <w:b w:val="0"/>
          <w:bCs w:val="0"/>
          <w:i w:val="0"/>
          <w:iCs w:val="0"/>
          <w:caps w:val="0"/>
          <w:smallCaps w:val="0"/>
          <w:noProof w:val="0"/>
          <w:color w:val="212121"/>
          <w:sz w:val="22"/>
          <w:szCs w:val="22"/>
          <w:lang w:val="en-GB"/>
        </w:rPr>
        <w:t>’</w:t>
      </w:r>
      <w:r w:rsidRPr="31059CE2" w:rsidR="79216890">
        <w:rPr>
          <w:rFonts w:ascii="Arial" w:hAnsi="Arial" w:eastAsia="Arial" w:cs="Arial"/>
          <w:b w:val="0"/>
          <w:bCs w:val="0"/>
          <w:i w:val="0"/>
          <w:iCs w:val="0"/>
          <w:caps w:val="0"/>
          <w:smallCaps w:val="0"/>
          <w:noProof w:val="0"/>
          <w:color w:val="212121"/>
          <w:sz w:val="22"/>
          <w:szCs w:val="22"/>
          <w:lang w:val="en-GB"/>
        </w:rPr>
        <w:t>.</w:t>
      </w:r>
      <w:r w:rsidRPr="31059CE2" w:rsidR="79216890">
        <w:rPr>
          <w:rFonts w:ascii="Arial" w:hAnsi="Arial" w:eastAsia="Arial" w:cs="Arial"/>
          <w:b w:val="0"/>
          <w:bCs w:val="0"/>
          <w:i w:val="0"/>
          <w:iCs w:val="0"/>
          <w:caps w:val="0"/>
          <w:smallCaps w:val="0"/>
          <w:noProof w:val="0"/>
          <w:color w:val="212121"/>
          <w:sz w:val="22"/>
          <w:szCs w:val="22"/>
          <w:lang w:val="en-GB"/>
        </w:rPr>
        <w:t xml:space="preserve"> </w:t>
      </w:r>
      <w:r w:rsidRPr="31059CE2" w:rsidR="79216890">
        <w:rPr>
          <w:rFonts w:ascii="Arial" w:hAnsi="Arial" w:eastAsia="Arial" w:cs="Arial"/>
          <w:b w:val="0"/>
          <w:bCs w:val="0"/>
          <w:i w:val="1"/>
          <w:iCs w:val="1"/>
          <w:caps w:val="0"/>
          <w:smallCaps w:val="0"/>
          <w:noProof w:val="0"/>
          <w:color w:val="212121"/>
          <w:sz w:val="22"/>
          <w:szCs w:val="22"/>
          <w:lang w:val="en-GB"/>
        </w:rPr>
        <w:t>The Lancet. Public health</w:t>
      </w:r>
      <w:r w:rsidRPr="31059CE2" w:rsidR="79216890">
        <w:rPr>
          <w:rFonts w:ascii="Arial" w:hAnsi="Arial" w:eastAsia="Arial" w:cs="Arial"/>
          <w:b w:val="0"/>
          <w:bCs w:val="0"/>
          <w:i w:val="0"/>
          <w:iCs w:val="0"/>
          <w:caps w:val="0"/>
          <w:smallCaps w:val="0"/>
          <w:noProof w:val="0"/>
          <w:color w:val="212121"/>
          <w:sz w:val="22"/>
          <w:szCs w:val="22"/>
          <w:lang w:val="en-GB"/>
        </w:rPr>
        <w:t xml:space="preserve">, </w:t>
      </w:r>
      <w:r w:rsidRPr="31059CE2" w:rsidR="79216890">
        <w:rPr>
          <w:rFonts w:ascii="Arial" w:hAnsi="Arial" w:eastAsia="Arial" w:cs="Arial"/>
          <w:b w:val="0"/>
          <w:bCs w:val="0"/>
          <w:i w:val="1"/>
          <w:iCs w:val="1"/>
          <w:caps w:val="0"/>
          <w:smallCaps w:val="0"/>
          <w:noProof w:val="0"/>
          <w:color w:val="212121"/>
          <w:sz w:val="22"/>
          <w:szCs w:val="22"/>
          <w:lang w:val="en-GB"/>
        </w:rPr>
        <w:t>7</w:t>
      </w:r>
      <w:r w:rsidRPr="31059CE2" w:rsidR="79216890">
        <w:rPr>
          <w:rFonts w:ascii="Arial" w:hAnsi="Arial" w:eastAsia="Arial" w:cs="Arial"/>
          <w:b w:val="0"/>
          <w:bCs w:val="0"/>
          <w:i w:val="0"/>
          <w:iCs w:val="0"/>
          <w:caps w:val="0"/>
          <w:smallCaps w:val="0"/>
          <w:noProof w:val="0"/>
          <w:color w:val="212121"/>
          <w:sz w:val="22"/>
          <w:szCs w:val="22"/>
          <w:lang w:val="en-GB"/>
        </w:rPr>
        <w:t xml:space="preserve">(9), e797–e800. </w:t>
      </w:r>
      <w:r w:rsidRPr="31059CE2" w:rsidR="38579CF7">
        <w:rPr>
          <w:rFonts w:ascii="Arial" w:hAnsi="Arial" w:eastAsia="Arial" w:cs="Arial"/>
          <w:b w:val="0"/>
          <w:bCs w:val="0"/>
          <w:i w:val="0"/>
          <w:iCs w:val="0"/>
          <w:caps w:val="0"/>
          <w:smallCaps w:val="0"/>
          <w:noProof w:val="0"/>
          <w:color w:val="212121"/>
          <w:sz w:val="22"/>
          <w:szCs w:val="22"/>
          <w:lang w:val="en-GB"/>
        </w:rPr>
        <w:t xml:space="preserve">Available at: </w:t>
      </w:r>
      <w:hyperlink r:id="R6d5a46d76d5d469e">
        <w:r w:rsidRPr="31059CE2" w:rsidR="79216890">
          <w:rPr>
            <w:rStyle w:val="Hyperlink"/>
            <w:rFonts w:ascii="Arial" w:hAnsi="Arial" w:eastAsia="Arial" w:cs="Arial"/>
            <w:b w:val="0"/>
            <w:bCs w:val="0"/>
            <w:i w:val="0"/>
            <w:iCs w:val="0"/>
            <w:caps w:val="0"/>
            <w:smallCaps w:val="0"/>
            <w:noProof w:val="0"/>
            <w:sz w:val="22"/>
            <w:szCs w:val="22"/>
            <w:lang w:val="en-GB"/>
          </w:rPr>
          <w:t>https://doi.org/10.1016/S2468-2667(22)00199-2</w:t>
        </w:r>
      </w:hyperlink>
      <w:r w:rsidRPr="31059CE2" w:rsidR="4843DFE9">
        <w:rPr>
          <w:rFonts w:ascii="Arial" w:hAnsi="Arial" w:eastAsia="Arial" w:cs="Arial"/>
          <w:b w:val="0"/>
          <w:bCs w:val="0"/>
          <w:i w:val="0"/>
          <w:iCs w:val="0"/>
          <w:caps w:val="0"/>
          <w:smallCaps w:val="0"/>
          <w:noProof w:val="0"/>
          <w:color w:val="212121"/>
          <w:sz w:val="22"/>
          <w:szCs w:val="22"/>
          <w:lang w:val="en-GB"/>
        </w:rPr>
        <w:t xml:space="preserve"> (Accessed: 27 February 2026).</w:t>
      </w:r>
    </w:p>
    <w:p w:rsidR="52BA7C49" w:rsidP="5ED9664E" w:rsidRDefault="52BA7C49" w14:paraId="7BF8AB29" w14:textId="6AD23FBE">
      <w:pPr>
        <w:spacing w:line="360" w:lineRule="auto"/>
        <w:rPr>
          <w:rFonts w:ascii="Arial" w:hAnsi="Arial" w:cs="Arial"/>
          <w:sz w:val="22"/>
          <w:szCs w:val="22"/>
        </w:rPr>
      </w:pPr>
      <w:r w:rsidRPr="31059CE2" w:rsidR="52BA7C49">
        <w:rPr>
          <w:rFonts w:ascii="Arial" w:hAnsi="Arial" w:cs="Arial"/>
          <w:sz w:val="22"/>
          <w:szCs w:val="22"/>
        </w:rPr>
        <w:t>Local Government Association</w:t>
      </w:r>
      <w:r w:rsidRPr="31059CE2" w:rsidR="36C5A371">
        <w:rPr>
          <w:rFonts w:ascii="Arial" w:hAnsi="Arial" w:cs="Arial"/>
          <w:sz w:val="22"/>
          <w:szCs w:val="22"/>
        </w:rPr>
        <w:t>.</w:t>
      </w:r>
      <w:r w:rsidRPr="31059CE2" w:rsidR="52BA7C49">
        <w:rPr>
          <w:rFonts w:ascii="Arial" w:hAnsi="Arial" w:cs="Arial"/>
          <w:sz w:val="22"/>
          <w:szCs w:val="22"/>
        </w:rPr>
        <w:t xml:space="preserve"> (2011)</w:t>
      </w:r>
      <w:r w:rsidRPr="31059CE2" w:rsidR="52BA7C49">
        <w:rPr>
          <w:rFonts w:ascii="Arial" w:hAnsi="Arial" w:cs="Arial"/>
          <w:i w:val="1"/>
          <w:iCs w:val="1"/>
          <w:sz w:val="22"/>
          <w:szCs w:val="22"/>
        </w:rPr>
        <w:t xml:space="preserve"> Measuring impact in health improvement: an accessible guide for health practitioners.</w:t>
      </w:r>
      <w:r w:rsidRPr="31059CE2" w:rsidR="52BA7C49">
        <w:rPr>
          <w:rFonts w:ascii="Arial" w:hAnsi="Arial" w:cs="Arial"/>
          <w:sz w:val="22"/>
          <w:szCs w:val="22"/>
        </w:rPr>
        <w:t xml:space="preserve"> Available at: </w:t>
      </w:r>
      <w:hyperlink r:id="Rcfb3d459d8624e43">
        <w:r w:rsidRPr="31059CE2" w:rsidR="52BA7C49">
          <w:rPr>
            <w:rStyle w:val="Hyperlink"/>
            <w:rFonts w:ascii="Arial" w:hAnsi="Arial" w:cs="Arial"/>
            <w:sz w:val="22"/>
            <w:szCs w:val="22"/>
          </w:rPr>
          <w:t>https://www.local.gov.uk/sites/default/files/documents/measuring-impact-health-i-8ce.pdf</w:t>
        </w:r>
      </w:hyperlink>
      <w:r w:rsidRPr="31059CE2" w:rsidR="52BA7C49">
        <w:rPr>
          <w:rFonts w:ascii="Arial" w:hAnsi="Arial" w:cs="Arial"/>
          <w:sz w:val="22"/>
          <w:szCs w:val="22"/>
        </w:rPr>
        <w:t xml:space="preserve"> (Accessed: </w:t>
      </w:r>
      <w:r w:rsidRPr="31059CE2" w:rsidR="1E77C680">
        <w:rPr>
          <w:rFonts w:ascii="Arial" w:hAnsi="Arial" w:cs="Arial"/>
          <w:sz w:val="22"/>
          <w:szCs w:val="22"/>
        </w:rPr>
        <w:t>28 February 2026)</w:t>
      </w:r>
      <w:r w:rsidRPr="31059CE2" w:rsidR="52BA7C49">
        <w:rPr>
          <w:rFonts w:ascii="Arial" w:hAnsi="Arial" w:cs="Arial"/>
          <w:sz w:val="22"/>
          <w:szCs w:val="22"/>
        </w:rPr>
        <w:t>.</w:t>
      </w:r>
    </w:p>
    <w:p w:rsidR="5ED9664E" w:rsidP="5ED9664E" w:rsidRDefault="5ED9664E" w14:paraId="3C55E4E5">
      <w:pPr>
        <w:spacing w:line="360" w:lineRule="auto"/>
        <w:rPr>
          <w:rFonts w:ascii="Arial" w:hAnsi="Arial" w:cs="Arial"/>
          <w:sz w:val="22"/>
          <w:szCs w:val="22"/>
        </w:rPr>
      </w:pPr>
    </w:p>
    <w:p w:rsidR="52BA7C49" w:rsidP="5ED9664E" w:rsidRDefault="52BA7C49" w14:paraId="49CB9735" w14:textId="6169C82A">
      <w:pPr>
        <w:spacing w:line="360" w:lineRule="auto"/>
        <w:rPr>
          <w:rFonts w:ascii="Arial" w:hAnsi="Arial" w:cs="Arial"/>
          <w:sz w:val="22"/>
          <w:szCs w:val="22"/>
        </w:rPr>
      </w:pPr>
      <w:r w:rsidRPr="31059CE2" w:rsidR="52BA7C49">
        <w:rPr>
          <w:rFonts w:ascii="Arial" w:hAnsi="Arial" w:cs="Arial"/>
          <w:sz w:val="22"/>
          <w:szCs w:val="22"/>
        </w:rPr>
        <w:t xml:space="preserve">Maita, K.C., Maniaci, M.J., Haider, C.R., Avila, F.R., Torres-Guzman, R.A., Borna, S., Lunde, J.J., Coffey, J.D., </w:t>
      </w:r>
      <w:r w:rsidRPr="31059CE2" w:rsidR="52BA7C49">
        <w:rPr>
          <w:rFonts w:ascii="Arial" w:hAnsi="Arial" w:cs="Arial"/>
          <w:sz w:val="22"/>
          <w:szCs w:val="22"/>
        </w:rPr>
        <w:t>Demaerschalk</w:t>
      </w:r>
      <w:r w:rsidRPr="31059CE2" w:rsidR="52BA7C49">
        <w:rPr>
          <w:rFonts w:ascii="Arial" w:hAnsi="Arial" w:cs="Arial"/>
          <w:sz w:val="22"/>
          <w:szCs w:val="22"/>
        </w:rPr>
        <w:t xml:space="preserve">, B.M. and Forte, A.J. (2024) ‘The impact of digital health solutions on bridging the health care gap in rural areas: A scoping review’, </w:t>
      </w:r>
      <w:r w:rsidRPr="31059CE2" w:rsidR="52BA7C49">
        <w:rPr>
          <w:rFonts w:ascii="Arial" w:hAnsi="Arial" w:cs="Arial"/>
          <w:i w:val="1"/>
          <w:iCs w:val="1"/>
          <w:sz w:val="22"/>
          <w:szCs w:val="22"/>
        </w:rPr>
        <w:t>The Permanente Journal</w:t>
      </w:r>
      <w:r w:rsidRPr="31059CE2" w:rsidR="52BA7C49">
        <w:rPr>
          <w:rFonts w:ascii="Arial" w:hAnsi="Arial" w:cs="Arial"/>
          <w:sz w:val="22"/>
          <w:szCs w:val="22"/>
        </w:rPr>
        <w:t>, 28(3), pp. 1–14. Available at: </w:t>
      </w:r>
      <w:hyperlink r:id="R0fa84acd406345ea">
        <w:r w:rsidRPr="31059CE2" w:rsidR="52BA7C49">
          <w:rPr>
            <w:rStyle w:val="Hyperlink"/>
            <w:rFonts w:ascii="Arial" w:hAnsi="Arial" w:cs="Arial"/>
            <w:sz w:val="22"/>
            <w:szCs w:val="22"/>
          </w:rPr>
          <w:t>https://doi.org/10.7812/tpp/23.134</w:t>
        </w:r>
      </w:hyperlink>
      <w:r w:rsidRPr="31059CE2" w:rsidR="52BA7C49">
        <w:rPr>
          <w:rFonts w:ascii="Arial" w:hAnsi="Arial" w:cs="Arial"/>
          <w:sz w:val="22"/>
          <w:szCs w:val="22"/>
        </w:rPr>
        <w:t xml:space="preserve"> (Accessed: </w:t>
      </w:r>
      <w:r w:rsidRPr="31059CE2" w:rsidR="1D64ECDF">
        <w:rPr>
          <w:rFonts w:ascii="Arial" w:hAnsi="Arial" w:cs="Arial"/>
          <w:sz w:val="22"/>
          <w:szCs w:val="22"/>
        </w:rPr>
        <w:t xml:space="preserve">10 March </w:t>
      </w:r>
      <w:r w:rsidRPr="31059CE2" w:rsidR="52BA7C49">
        <w:rPr>
          <w:rFonts w:ascii="Arial" w:hAnsi="Arial" w:cs="Arial"/>
          <w:sz w:val="22"/>
          <w:szCs w:val="22"/>
        </w:rPr>
        <w:t>202</w:t>
      </w:r>
      <w:r w:rsidRPr="31059CE2" w:rsidR="4DDE2E0D">
        <w:rPr>
          <w:rFonts w:ascii="Arial" w:hAnsi="Arial" w:cs="Arial"/>
          <w:sz w:val="22"/>
          <w:szCs w:val="22"/>
        </w:rPr>
        <w:t>6</w:t>
      </w:r>
      <w:r w:rsidRPr="31059CE2" w:rsidR="52BA7C49">
        <w:rPr>
          <w:rFonts w:ascii="Arial" w:hAnsi="Arial" w:cs="Arial"/>
          <w:sz w:val="22"/>
          <w:szCs w:val="22"/>
        </w:rPr>
        <w:t>).</w:t>
      </w:r>
    </w:p>
    <w:p w:rsidR="5ED9664E" w:rsidP="5ED9664E" w:rsidRDefault="5ED9664E" w14:paraId="3E660979">
      <w:pPr>
        <w:spacing w:line="360" w:lineRule="auto"/>
        <w:rPr>
          <w:rFonts w:ascii="Arial" w:hAnsi="Arial" w:cs="Arial"/>
          <w:sz w:val="22"/>
          <w:szCs w:val="22"/>
        </w:rPr>
      </w:pPr>
    </w:p>
    <w:p w:rsidR="52BA7C49" w:rsidP="5ED9664E" w:rsidRDefault="52BA7C49" w14:paraId="301F4261">
      <w:pPr>
        <w:spacing w:line="360" w:lineRule="auto"/>
        <w:rPr>
          <w:rFonts w:ascii="Arial" w:hAnsi="Arial" w:cs="Arial"/>
          <w:sz w:val="22"/>
          <w:szCs w:val="22"/>
        </w:rPr>
      </w:pPr>
      <w:r w:rsidRPr="31059CE2" w:rsidR="52BA7C49">
        <w:rPr>
          <w:rFonts w:ascii="Arial" w:hAnsi="Arial" w:cs="Arial"/>
          <w:sz w:val="22"/>
          <w:szCs w:val="22"/>
        </w:rPr>
        <w:t>Marmot, M. (2020)</w:t>
      </w:r>
      <w:r w:rsidRPr="31059CE2" w:rsidR="52BA7C49">
        <w:rPr>
          <w:rFonts w:ascii="Arial" w:hAnsi="Arial" w:cs="Arial"/>
          <w:i w:val="1"/>
          <w:iCs w:val="1"/>
          <w:sz w:val="22"/>
          <w:szCs w:val="22"/>
        </w:rPr>
        <w:t xml:space="preserve"> Health equity in England: The Marmot Review 10 years on.</w:t>
      </w:r>
      <w:r w:rsidRPr="31059CE2" w:rsidR="52BA7C49">
        <w:rPr>
          <w:rFonts w:ascii="Arial" w:hAnsi="Arial" w:cs="Arial"/>
          <w:sz w:val="22"/>
          <w:szCs w:val="22"/>
        </w:rPr>
        <w:t xml:space="preserve"> London: Institute of Health Equity.</w:t>
      </w:r>
    </w:p>
    <w:p w:rsidR="5ED9664E" w:rsidP="5ED9664E" w:rsidRDefault="5ED9664E" w14:paraId="306C6728">
      <w:pPr>
        <w:spacing w:line="360" w:lineRule="auto"/>
        <w:rPr>
          <w:rFonts w:ascii="Arial" w:hAnsi="Arial" w:cs="Arial"/>
          <w:sz w:val="22"/>
          <w:szCs w:val="22"/>
        </w:rPr>
      </w:pPr>
    </w:p>
    <w:p w:rsidR="52BA7C49" w:rsidP="5ED9664E" w:rsidRDefault="52BA7C49" w14:paraId="671C10C1" w14:textId="1A721B33">
      <w:pPr>
        <w:spacing w:line="360" w:lineRule="auto"/>
        <w:rPr>
          <w:rFonts w:ascii="Arial" w:hAnsi="Arial" w:cs="Arial"/>
          <w:sz w:val="22"/>
          <w:szCs w:val="22"/>
        </w:rPr>
      </w:pPr>
      <w:r w:rsidRPr="31059CE2" w:rsidR="52BA7C49">
        <w:rPr>
          <w:rFonts w:ascii="Arial" w:hAnsi="Arial" w:cs="Arial"/>
          <w:sz w:val="22"/>
          <w:szCs w:val="22"/>
        </w:rPr>
        <w:t>NHS England</w:t>
      </w:r>
      <w:r w:rsidRPr="31059CE2" w:rsidR="07104F5B">
        <w:rPr>
          <w:rFonts w:ascii="Arial" w:hAnsi="Arial" w:cs="Arial"/>
          <w:sz w:val="22"/>
          <w:szCs w:val="22"/>
        </w:rPr>
        <w:t>.</w:t>
      </w:r>
      <w:r w:rsidRPr="31059CE2" w:rsidR="52BA7C49">
        <w:rPr>
          <w:rFonts w:ascii="Arial" w:hAnsi="Arial" w:cs="Arial"/>
          <w:sz w:val="22"/>
          <w:szCs w:val="22"/>
        </w:rPr>
        <w:t xml:space="preserve"> (2023)</w:t>
      </w:r>
      <w:r w:rsidRPr="31059CE2" w:rsidR="52BA7C49">
        <w:rPr>
          <w:rFonts w:ascii="Arial" w:hAnsi="Arial" w:cs="Arial"/>
          <w:i w:val="1"/>
          <w:iCs w:val="1"/>
          <w:sz w:val="22"/>
          <w:szCs w:val="22"/>
        </w:rPr>
        <w:t xml:space="preserve"> Long term conditions</w:t>
      </w:r>
      <w:r w:rsidRPr="31059CE2" w:rsidR="52BA7C49">
        <w:rPr>
          <w:rFonts w:ascii="Arial" w:hAnsi="Arial" w:cs="Arial"/>
          <w:sz w:val="22"/>
          <w:szCs w:val="22"/>
        </w:rPr>
        <w:t>. Available at: </w:t>
      </w:r>
      <w:hyperlink r:id="R1c7b3c14d5784984">
        <w:r w:rsidRPr="31059CE2" w:rsidR="52BA7C49">
          <w:rPr>
            <w:rStyle w:val="Hyperlink"/>
            <w:rFonts w:ascii="Arial" w:hAnsi="Arial" w:cs="Arial"/>
            <w:sz w:val="22"/>
            <w:szCs w:val="22"/>
          </w:rPr>
          <w:t>https://www.england.nhs.uk/long-term-conditions/</w:t>
        </w:r>
      </w:hyperlink>
      <w:r w:rsidRPr="31059CE2" w:rsidR="52BA7C49">
        <w:rPr>
          <w:rFonts w:ascii="Arial" w:hAnsi="Arial" w:cs="Arial"/>
          <w:sz w:val="22"/>
          <w:szCs w:val="22"/>
        </w:rPr>
        <w:t xml:space="preserve"> (Accessed: </w:t>
      </w:r>
      <w:r w:rsidRPr="31059CE2" w:rsidR="5A278BC5">
        <w:rPr>
          <w:rFonts w:ascii="Arial" w:hAnsi="Arial" w:cs="Arial"/>
          <w:sz w:val="22"/>
          <w:szCs w:val="22"/>
        </w:rPr>
        <w:t>8 March</w:t>
      </w:r>
      <w:r w:rsidRPr="31059CE2" w:rsidR="52BA7C49">
        <w:rPr>
          <w:rFonts w:ascii="Arial" w:hAnsi="Arial" w:cs="Arial"/>
          <w:sz w:val="22"/>
          <w:szCs w:val="22"/>
        </w:rPr>
        <w:t xml:space="preserve"> 202</w:t>
      </w:r>
      <w:r w:rsidRPr="31059CE2" w:rsidR="2E7322FF">
        <w:rPr>
          <w:rFonts w:ascii="Arial" w:hAnsi="Arial" w:cs="Arial"/>
          <w:sz w:val="22"/>
          <w:szCs w:val="22"/>
        </w:rPr>
        <w:t>6</w:t>
      </w:r>
      <w:r w:rsidRPr="31059CE2" w:rsidR="52BA7C49">
        <w:rPr>
          <w:rFonts w:ascii="Arial" w:hAnsi="Arial" w:cs="Arial"/>
          <w:sz w:val="22"/>
          <w:szCs w:val="22"/>
        </w:rPr>
        <w:t>).</w:t>
      </w:r>
    </w:p>
    <w:p w:rsidR="5ED9664E" w:rsidP="5ED9664E" w:rsidRDefault="5ED9664E" w14:paraId="667DFF08">
      <w:pPr>
        <w:spacing w:line="360" w:lineRule="auto"/>
        <w:rPr>
          <w:rFonts w:ascii="Arial" w:hAnsi="Arial" w:cs="Arial"/>
          <w:sz w:val="22"/>
          <w:szCs w:val="22"/>
        </w:rPr>
      </w:pPr>
    </w:p>
    <w:p w:rsidR="52BA7C49" w:rsidP="5ED9664E" w:rsidRDefault="52BA7C49" w14:paraId="6624DEB6" w14:textId="384A5FA3">
      <w:pPr>
        <w:spacing w:line="360" w:lineRule="auto"/>
        <w:rPr>
          <w:rFonts w:ascii="Arial" w:hAnsi="Arial" w:cs="Arial"/>
          <w:sz w:val="22"/>
          <w:szCs w:val="22"/>
        </w:rPr>
      </w:pPr>
      <w:r w:rsidRPr="31059CE2" w:rsidR="52BA7C49">
        <w:rPr>
          <w:rFonts w:ascii="Arial" w:hAnsi="Arial" w:cs="Arial"/>
          <w:sz w:val="22"/>
          <w:szCs w:val="22"/>
        </w:rPr>
        <w:t>National Institute for Health and Care Excellence</w:t>
      </w:r>
      <w:r w:rsidRPr="31059CE2" w:rsidR="50E482CE">
        <w:rPr>
          <w:rFonts w:ascii="Arial" w:hAnsi="Arial" w:cs="Arial"/>
          <w:sz w:val="22"/>
          <w:szCs w:val="22"/>
        </w:rPr>
        <w:t>.</w:t>
      </w:r>
      <w:r w:rsidRPr="31059CE2" w:rsidR="52BA7C49">
        <w:rPr>
          <w:rFonts w:ascii="Arial" w:hAnsi="Arial" w:cs="Arial"/>
          <w:sz w:val="22"/>
          <w:szCs w:val="22"/>
        </w:rPr>
        <w:t xml:space="preserve"> (2024)</w:t>
      </w:r>
      <w:r w:rsidRPr="31059CE2" w:rsidR="52BA7C49">
        <w:rPr>
          <w:rFonts w:ascii="Arial" w:hAnsi="Arial" w:cs="Arial"/>
          <w:i w:val="1"/>
          <w:iCs w:val="1"/>
          <w:sz w:val="22"/>
          <w:szCs w:val="22"/>
        </w:rPr>
        <w:t xml:space="preserve"> Use of AI in evidence generation: NICE position statement.</w:t>
      </w:r>
      <w:r w:rsidRPr="31059CE2" w:rsidR="52BA7C49">
        <w:rPr>
          <w:rFonts w:ascii="Arial" w:hAnsi="Arial" w:cs="Arial"/>
          <w:sz w:val="22"/>
          <w:szCs w:val="22"/>
        </w:rPr>
        <w:t xml:space="preserve"> Available at: </w:t>
      </w:r>
      <w:hyperlink r:id="Reef5829da7984793">
        <w:r w:rsidRPr="31059CE2" w:rsidR="52BA7C49">
          <w:rPr>
            <w:rStyle w:val="Hyperlink"/>
            <w:rFonts w:ascii="Arial" w:hAnsi="Arial" w:cs="Arial"/>
            <w:sz w:val="22"/>
            <w:szCs w:val="22"/>
          </w:rPr>
          <w:t>https://www.nice.org.uk/about/what-we-do/our-research-work/use-of-ai-in-evidence-generation–nice-position-statement</w:t>
        </w:r>
      </w:hyperlink>
      <w:r w:rsidRPr="31059CE2" w:rsidR="52BA7C49">
        <w:rPr>
          <w:rFonts w:ascii="Arial" w:hAnsi="Arial" w:cs="Arial"/>
          <w:sz w:val="22"/>
          <w:szCs w:val="22"/>
        </w:rPr>
        <w:t> </w:t>
      </w:r>
      <w:r w:rsidRPr="31059CE2" w:rsidR="3F147C7A">
        <w:rPr>
          <w:rFonts w:ascii="Arial" w:hAnsi="Arial" w:cs="Arial"/>
          <w:sz w:val="22"/>
          <w:szCs w:val="22"/>
        </w:rPr>
        <w:t xml:space="preserve"> (6 March 2026</w:t>
      </w:r>
      <w:r w:rsidRPr="31059CE2" w:rsidR="52BA7C49">
        <w:rPr>
          <w:rFonts w:ascii="Arial" w:hAnsi="Arial" w:cs="Arial"/>
          <w:sz w:val="22"/>
          <w:szCs w:val="22"/>
        </w:rPr>
        <w:t>).</w:t>
      </w:r>
    </w:p>
    <w:p w:rsidR="5ED9664E" w:rsidP="5ED9664E" w:rsidRDefault="5ED9664E" w14:paraId="449EEAEC">
      <w:pPr>
        <w:spacing w:line="360" w:lineRule="auto"/>
        <w:rPr>
          <w:rFonts w:ascii="Arial" w:hAnsi="Arial" w:cs="Arial"/>
          <w:sz w:val="22"/>
          <w:szCs w:val="22"/>
        </w:rPr>
      </w:pPr>
    </w:p>
    <w:p w:rsidR="52BA7C49" w:rsidP="5ED9664E" w:rsidRDefault="52BA7C49" w14:paraId="62A26EFD">
      <w:pPr>
        <w:spacing w:line="360" w:lineRule="auto"/>
        <w:rPr>
          <w:rFonts w:ascii="Arial" w:hAnsi="Arial" w:cs="Arial"/>
          <w:sz w:val="22"/>
          <w:szCs w:val="22"/>
        </w:rPr>
      </w:pPr>
      <w:r w:rsidRPr="31059CE2" w:rsidR="52BA7C49">
        <w:rPr>
          <w:rFonts w:ascii="Arial" w:hAnsi="Arial" w:cs="Arial"/>
          <w:sz w:val="22"/>
          <w:szCs w:val="22"/>
        </w:rPr>
        <w:t>Ruger, J.P. (2005) ‘The changing role of the World Bank in global health’,</w:t>
      </w:r>
      <w:r w:rsidRPr="31059CE2" w:rsidR="52BA7C49">
        <w:rPr>
          <w:rFonts w:ascii="Arial" w:hAnsi="Arial" w:cs="Arial"/>
          <w:i w:val="1"/>
          <w:iCs w:val="1"/>
          <w:sz w:val="22"/>
          <w:szCs w:val="22"/>
        </w:rPr>
        <w:t xml:space="preserve"> American Journal of Public Health</w:t>
      </w:r>
      <w:r w:rsidRPr="31059CE2" w:rsidR="52BA7C49">
        <w:rPr>
          <w:rFonts w:ascii="Arial" w:hAnsi="Arial" w:cs="Arial"/>
          <w:sz w:val="22"/>
          <w:szCs w:val="22"/>
        </w:rPr>
        <w:t>, 95(1), pp. 60–70.</w:t>
      </w:r>
    </w:p>
    <w:p w:rsidR="5ED9664E" w:rsidP="5ED9664E" w:rsidRDefault="5ED9664E" w14:paraId="0D74C818">
      <w:pPr>
        <w:spacing w:line="360" w:lineRule="auto"/>
        <w:rPr>
          <w:rFonts w:ascii="Arial" w:hAnsi="Arial" w:cs="Arial"/>
          <w:sz w:val="22"/>
          <w:szCs w:val="22"/>
        </w:rPr>
      </w:pPr>
    </w:p>
    <w:p w:rsidR="52BA7C49" w:rsidP="5ED9664E" w:rsidRDefault="52BA7C49" w14:paraId="20A6EA30" w14:textId="3F08018B">
      <w:pPr>
        <w:spacing w:line="360" w:lineRule="auto"/>
        <w:rPr>
          <w:rFonts w:ascii="Arial" w:hAnsi="Arial" w:cs="Arial"/>
          <w:sz w:val="22"/>
          <w:szCs w:val="22"/>
        </w:rPr>
      </w:pPr>
      <w:r w:rsidRPr="31059CE2" w:rsidR="52BA7C49">
        <w:rPr>
          <w:rFonts w:ascii="Arial" w:hAnsi="Arial" w:cs="Arial"/>
          <w:sz w:val="22"/>
          <w:szCs w:val="22"/>
        </w:rPr>
        <w:t>The Global Fund</w:t>
      </w:r>
      <w:r w:rsidRPr="31059CE2" w:rsidR="15F8DF8E">
        <w:rPr>
          <w:rFonts w:ascii="Arial" w:hAnsi="Arial" w:cs="Arial"/>
          <w:sz w:val="22"/>
          <w:szCs w:val="22"/>
        </w:rPr>
        <w:t>.</w:t>
      </w:r>
      <w:r w:rsidRPr="31059CE2" w:rsidR="52BA7C49">
        <w:rPr>
          <w:rFonts w:ascii="Arial" w:hAnsi="Arial" w:cs="Arial"/>
          <w:sz w:val="22"/>
          <w:szCs w:val="22"/>
        </w:rPr>
        <w:t xml:space="preserve"> (2025)</w:t>
      </w:r>
      <w:r w:rsidRPr="31059CE2" w:rsidR="52BA7C49">
        <w:rPr>
          <w:rFonts w:ascii="Arial" w:hAnsi="Arial" w:cs="Arial"/>
          <w:i w:val="1"/>
          <w:iCs w:val="1"/>
          <w:sz w:val="22"/>
          <w:szCs w:val="22"/>
        </w:rPr>
        <w:t xml:space="preserve"> News releases</w:t>
      </w:r>
      <w:r w:rsidRPr="31059CE2" w:rsidR="52BA7C49">
        <w:rPr>
          <w:rFonts w:ascii="Arial" w:hAnsi="Arial" w:cs="Arial"/>
          <w:sz w:val="22"/>
          <w:szCs w:val="22"/>
        </w:rPr>
        <w:t>. Available at: </w:t>
      </w:r>
      <w:hyperlink r:id="R904dea5874f04976">
        <w:r w:rsidRPr="31059CE2" w:rsidR="52BA7C49">
          <w:rPr>
            <w:rStyle w:val="Hyperlink"/>
            <w:rFonts w:ascii="Arial" w:hAnsi="Arial" w:cs="Arial"/>
            <w:sz w:val="22"/>
            <w:szCs w:val="22"/>
          </w:rPr>
          <w:t>https://www.theglobalfund.org/en/news/2025/</w:t>
        </w:r>
      </w:hyperlink>
      <w:r w:rsidRPr="31059CE2" w:rsidR="52BA7C49">
        <w:rPr>
          <w:rFonts w:ascii="Arial" w:hAnsi="Arial" w:cs="Arial"/>
          <w:sz w:val="22"/>
          <w:szCs w:val="22"/>
        </w:rPr>
        <w:t> (Accessed:</w:t>
      </w:r>
      <w:r w:rsidRPr="31059CE2" w:rsidR="0CEADDEE">
        <w:rPr>
          <w:rFonts w:ascii="Arial" w:hAnsi="Arial" w:cs="Arial"/>
          <w:sz w:val="22"/>
          <w:szCs w:val="22"/>
        </w:rPr>
        <w:t xml:space="preserve"> 9 March 2026</w:t>
      </w:r>
      <w:r w:rsidRPr="31059CE2" w:rsidR="52BA7C49">
        <w:rPr>
          <w:rFonts w:ascii="Arial" w:hAnsi="Arial" w:cs="Arial"/>
          <w:sz w:val="22"/>
          <w:szCs w:val="22"/>
        </w:rPr>
        <w:t>).</w:t>
      </w:r>
    </w:p>
    <w:p w:rsidR="5ED9664E" w:rsidP="5ED9664E" w:rsidRDefault="5ED9664E" w14:paraId="72A71F4D">
      <w:pPr>
        <w:spacing w:line="360" w:lineRule="auto"/>
        <w:rPr>
          <w:rFonts w:ascii="Arial" w:hAnsi="Arial" w:cs="Arial"/>
          <w:sz w:val="22"/>
          <w:szCs w:val="22"/>
        </w:rPr>
      </w:pPr>
    </w:p>
    <w:p w:rsidR="52BA7C49" w:rsidP="5ED9664E" w:rsidRDefault="52BA7C49" w14:paraId="6464CF3B" w14:textId="2281194A">
      <w:pPr>
        <w:spacing w:line="360" w:lineRule="auto"/>
        <w:rPr>
          <w:rFonts w:ascii="Arial" w:hAnsi="Arial" w:cs="Arial"/>
          <w:sz w:val="22"/>
          <w:szCs w:val="22"/>
        </w:rPr>
      </w:pPr>
      <w:r w:rsidRPr="31059CE2" w:rsidR="52BA7C49">
        <w:rPr>
          <w:rFonts w:ascii="Arial" w:hAnsi="Arial" w:cs="Arial"/>
          <w:sz w:val="22"/>
          <w:szCs w:val="22"/>
        </w:rPr>
        <w:t>The King’s Fund</w:t>
      </w:r>
      <w:r w:rsidRPr="31059CE2" w:rsidR="3BCF7D67">
        <w:rPr>
          <w:rFonts w:ascii="Arial" w:hAnsi="Arial" w:cs="Arial"/>
          <w:sz w:val="22"/>
          <w:szCs w:val="22"/>
        </w:rPr>
        <w:t>.</w:t>
      </w:r>
      <w:r w:rsidRPr="31059CE2" w:rsidR="52BA7C49">
        <w:rPr>
          <w:rFonts w:ascii="Arial" w:hAnsi="Arial" w:cs="Arial"/>
          <w:sz w:val="22"/>
          <w:szCs w:val="22"/>
        </w:rPr>
        <w:t xml:space="preserve"> (2020) </w:t>
      </w:r>
      <w:r w:rsidRPr="31059CE2" w:rsidR="52BA7C49">
        <w:rPr>
          <w:rFonts w:ascii="Arial" w:hAnsi="Arial" w:cs="Arial"/>
          <w:i w:val="1"/>
          <w:iCs w:val="1"/>
          <w:sz w:val="22"/>
          <w:szCs w:val="22"/>
        </w:rPr>
        <w:t>The road to renewal: five priorities for health and care</w:t>
      </w:r>
      <w:r w:rsidRPr="31059CE2" w:rsidR="52BA7C49">
        <w:rPr>
          <w:rFonts w:ascii="Arial" w:hAnsi="Arial" w:cs="Arial"/>
          <w:sz w:val="22"/>
          <w:szCs w:val="22"/>
        </w:rPr>
        <w:t>. Available at: </w:t>
      </w:r>
      <w:hyperlink r:id="R50a47a1d1a064fbf">
        <w:r w:rsidRPr="31059CE2" w:rsidR="52BA7C49">
          <w:rPr>
            <w:rStyle w:val="Hyperlink"/>
            <w:rFonts w:ascii="Arial" w:hAnsi="Arial" w:cs="Arial"/>
            <w:sz w:val="22"/>
            <w:szCs w:val="22"/>
          </w:rPr>
          <w:t>https://www.kingsfund.org.uk/insight-and-analysis/long-reads/covid-19-road-renewal-health-and-care</w:t>
        </w:r>
      </w:hyperlink>
      <w:r w:rsidRPr="31059CE2" w:rsidR="52BA7C49">
        <w:rPr>
          <w:rFonts w:ascii="Arial" w:hAnsi="Arial" w:cs="Arial"/>
          <w:sz w:val="22"/>
          <w:szCs w:val="22"/>
        </w:rPr>
        <w:t> (Accessed:</w:t>
      </w:r>
      <w:r w:rsidRPr="31059CE2" w:rsidR="5C7D82D8">
        <w:rPr>
          <w:rFonts w:ascii="Arial" w:hAnsi="Arial" w:cs="Arial"/>
          <w:sz w:val="22"/>
          <w:szCs w:val="22"/>
        </w:rPr>
        <w:t>9 March 2026</w:t>
      </w:r>
      <w:r w:rsidRPr="31059CE2" w:rsidR="52BA7C49">
        <w:rPr>
          <w:rFonts w:ascii="Arial" w:hAnsi="Arial" w:cs="Arial"/>
          <w:sz w:val="22"/>
          <w:szCs w:val="22"/>
        </w:rPr>
        <w:t>).</w:t>
      </w:r>
    </w:p>
    <w:p w:rsidR="5ED9664E" w:rsidP="5ED9664E" w:rsidRDefault="5ED9664E" w14:paraId="52F6B960">
      <w:pPr>
        <w:spacing w:line="360" w:lineRule="auto"/>
        <w:rPr>
          <w:rFonts w:ascii="Arial" w:hAnsi="Arial" w:cs="Arial"/>
          <w:sz w:val="22"/>
          <w:szCs w:val="22"/>
        </w:rPr>
      </w:pPr>
    </w:p>
    <w:p w:rsidR="52BA7C49" w:rsidP="5ED9664E" w:rsidRDefault="52BA7C49" w14:paraId="769BE516" w14:textId="0D06C391">
      <w:pPr>
        <w:spacing w:line="360" w:lineRule="auto"/>
        <w:rPr>
          <w:rFonts w:ascii="Arial" w:hAnsi="Arial" w:cs="Arial"/>
          <w:sz w:val="22"/>
          <w:szCs w:val="22"/>
        </w:rPr>
      </w:pPr>
      <w:r w:rsidRPr="31059CE2" w:rsidR="52BA7C49">
        <w:rPr>
          <w:rFonts w:ascii="Arial" w:hAnsi="Arial" w:cs="Arial"/>
          <w:sz w:val="22"/>
          <w:szCs w:val="22"/>
        </w:rPr>
        <w:t>The King’s Fund</w:t>
      </w:r>
      <w:r w:rsidRPr="31059CE2" w:rsidR="0A858DF8">
        <w:rPr>
          <w:rFonts w:ascii="Arial" w:hAnsi="Arial" w:cs="Arial"/>
          <w:sz w:val="22"/>
          <w:szCs w:val="22"/>
        </w:rPr>
        <w:t xml:space="preserve">. </w:t>
      </w:r>
      <w:r w:rsidRPr="31059CE2" w:rsidR="52BA7C49">
        <w:rPr>
          <w:rFonts w:ascii="Arial" w:hAnsi="Arial" w:cs="Arial"/>
          <w:sz w:val="22"/>
          <w:szCs w:val="22"/>
        </w:rPr>
        <w:t>(2023)</w:t>
      </w:r>
      <w:r w:rsidRPr="31059CE2" w:rsidR="52BA7C49">
        <w:rPr>
          <w:rFonts w:ascii="Arial" w:hAnsi="Arial" w:cs="Arial"/>
          <w:i w:val="1"/>
          <w:iCs w:val="1"/>
          <w:sz w:val="22"/>
          <w:szCs w:val="22"/>
        </w:rPr>
        <w:t xml:space="preserve"> Tackling health inequalities: seven priorities for the NHS</w:t>
      </w:r>
      <w:r w:rsidRPr="31059CE2" w:rsidR="52BA7C49">
        <w:rPr>
          <w:rFonts w:ascii="Arial" w:hAnsi="Arial" w:cs="Arial"/>
          <w:sz w:val="22"/>
          <w:szCs w:val="22"/>
        </w:rPr>
        <w:t>. Available at: </w:t>
      </w:r>
      <w:hyperlink r:id="R2e4eb425acad4c1d">
        <w:r w:rsidRPr="31059CE2" w:rsidR="52BA7C49">
          <w:rPr>
            <w:rStyle w:val="Hyperlink"/>
            <w:rFonts w:ascii="Arial" w:hAnsi="Arial" w:cs="Arial"/>
            <w:sz w:val="22"/>
            <w:szCs w:val="22"/>
          </w:rPr>
          <w:t>https://www.kingsfund.org.uk/insight-and-analysis/long-reads/tackling-health-inequalities-seven-priorities-nhs</w:t>
        </w:r>
      </w:hyperlink>
      <w:r w:rsidRPr="31059CE2" w:rsidR="52BA7C49">
        <w:rPr>
          <w:rFonts w:ascii="Arial" w:hAnsi="Arial" w:cs="Arial"/>
          <w:sz w:val="22"/>
          <w:szCs w:val="22"/>
        </w:rPr>
        <w:t xml:space="preserve"> (Accessed: </w:t>
      </w:r>
      <w:r w:rsidRPr="31059CE2" w:rsidR="1CA9D0DE">
        <w:rPr>
          <w:rFonts w:ascii="Arial" w:hAnsi="Arial" w:cs="Arial"/>
          <w:sz w:val="22"/>
          <w:szCs w:val="22"/>
        </w:rPr>
        <w:t>1 March 2026</w:t>
      </w:r>
      <w:r w:rsidRPr="31059CE2" w:rsidR="52BA7C49">
        <w:rPr>
          <w:rFonts w:ascii="Arial" w:hAnsi="Arial" w:cs="Arial"/>
          <w:sz w:val="22"/>
          <w:szCs w:val="22"/>
        </w:rPr>
        <w:t>).</w:t>
      </w:r>
    </w:p>
    <w:p w:rsidR="5ED9664E" w:rsidP="5ED9664E" w:rsidRDefault="5ED9664E" w14:paraId="07A3E371">
      <w:pPr>
        <w:spacing w:line="360" w:lineRule="auto"/>
        <w:rPr>
          <w:rFonts w:ascii="Arial" w:hAnsi="Arial" w:cs="Arial"/>
          <w:sz w:val="22"/>
          <w:szCs w:val="22"/>
        </w:rPr>
      </w:pPr>
    </w:p>
    <w:p w:rsidR="52BA7C49" w:rsidP="5ED9664E" w:rsidRDefault="52BA7C49" w14:paraId="16B51961" w14:textId="41D65401">
      <w:pPr>
        <w:spacing w:line="360" w:lineRule="auto"/>
        <w:rPr>
          <w:rFonts w:ascii="Arial" w:hAnsi="Arial" w:cs="Arial"/>
          <w:sz w:val="22"/>
          <w:szCs w:val="22"/>
        </w:rPr>
      </w:pPr>
      <w:r w:rsidRPr="31059CE2" w:rsidR="52BA7C49">
        <w:rPr>
          <w:rFonts w:ascii="Arial" w:hAnsi="Arial" w:cs="Arial"/>
          <w:sz w:val="22"/>
          <w:szCs w:val="22"/>
        </w:rPr>
        <w:t>UK Health Security Agency (UKHSA)</w:t>
      </w:r>
      <w:r w:rsidRPr="31059CE2" w:rsidR="3AE0DDC0">
        <w:rPr>
          <w:rFonts w:ascii="Arial" w:hAnsi="Arial" w:cs="Arial"/>
          <w:sz w:val="22"/>
          <w:szCs w:val="22"/>
        </w:rPr>
        <w:t>,</w:t>
      </w:r>
      <w:r w:rsidRPr="31059CE2" w:rsidR="52BA7C49">
        <w:rPr>
          <w:rFonts w:ascii="Arial" w:hAnsi="Arial" w:cs="Arial"/>
          <w:sz w:val="22"/>
          <w:szCs w:val="22"/>
        </w:rPr>
        <w:t xml:space="preserve"> (2024) </w:t>
      </w:r>
      <w:r w:rsidRPr="31059CE2" w:rsidR="52BA7C49">
        <w:rPr>
          <w:rFonts w:ascii="Arial" w:hAnsi="Arial" w:cs="Arial"/>
          <w:i w:val="1"/>
          <w:iCs w:val="1"/>
          <w:sz w:val="22"/>
          <w:szCs w:val="22"/>
        </w:rPr>
        <w:t>Health effects of climate change (HECC) report.</w:t>
      </w:r>
      <w:r w:rsidRPr="31059CE2" w:rsidR="52BA7C49">
        <w:rPr>
          <w:rFonts w:ascii="Arial" w:hAnsi="Arial" w:cs="Arial"/>
          <w:sz w:val="22"/>
          <w:szCs w:val="22"/>
        </w:rPr>
        <w:t xml:space="preserve"> Available at: </w:t>
      </w:r>
      <w:hyperlink r:id="R4551d42d0a4c4dba">
        <w:r w:rsidRPr="31059CE2" w:rsidR="52BA7C49">
          <w:rPr>
            <w:rStyle w:val="Hyperlink"/>
            <w:rFonts w:ascii="Arial" w:hAnsi="Arial" w:cs="Arial"/>
            <w:sz w:val="22"/>
            <w:szCs w:val="22"/>
          </w:rPr>
          <w:t>https://www.gov.uk/guidance/heat-summary-health-effects-of-climate-change-hecc-full-report</w:t>
        </w:r>
      </w:hyperlink>
      <w:r w:rsidRPr="31059CE2" w:rsidR="52BA7C49">
        <w:rPr>
          <w:rFonts w:ascii="Arial" w:hAnsi="Arial" w:cs="Arial"/>
          <w:sz w:val="22"/>
          <w:szCs w:val="22"/>
        </w:rPr>
        <w:t xml:space="preserve"> (Accessed: </w:t>
      </w:r>
      <w:r w:rsidRPr="31059CE2" w:rsidR="12B25629">
        <w:rPr>
          <w:rFonts w:ascii="Arial" w:hAnsi="Arial" w:cs="Arial"/>
          <w:sz w:val="22"/>
          <w:szCs w:val="22"/>
        </w:rPr>
        <w:t>22 February 2026</w:t>
      </w:r>
      <w:r w:rsidRPr="31059CE2" w:rsidR="52BA7C49">
        <w:rPr>
          <w:rFonts w:ascii="Arial" w:hAnsi="Arial" w:cs="Arial"/>
          <w:sz w:val="22"/>
          <w:szCs w:val="22"/>
        </w:rPr>
        <w:t>).</w:t>
      </w:r>
    </w:p>
    <w:p w:rsidR="5ED9664E" w:rsidP="5ED9664E" w:rsidRDefault="5ED9664E" w14:paraId="0D87A939">
      <w:pPr>
        <w:spacing w:line="360" w:lineRule="auto"/>
        <w:rPr>
          <w:rFonts w:ascii="Arial" w:hAnsi="Arial" w:cs="Arial"/>
          <w:sz w:val="22"/>
          <w:szCs w:val="22"/>
        </w:rPr>
      </w:pPr>
    </w:p>
    <w:p w:rsidR="52BA7C49" w:rsidP="5ED9664E" w:rsidRDefault="52BA7C49" w14:paraId="5B175226" w14:textId="163F492C">
      <w:pPr>
        <w:spacing w:line="360" w:lineRule="auto"/>
        <w:rPr>
          <w:rFonts w:ascii="Arial" w:hAnsi="Arial" w:cs="Arial"/>
          <w:sz w:val="22"/>
          <w:szCs w:val="22"/>
        </w:rPr>
      </w:pPr>
      <w:r w:rsidRPr="31059CE2" w:rsidR="52BA7C49">
        <w:rPr>
          <w:rFonts w:ascii="Arial" w:hAnsi="Arial" w:cs="Arial"/>
          <w:sz w:val="22"/>
          <w:szCs w:val="22"/>
        </w:rPr>
        <w:t>UK Health Security Agency (UKHSA)</w:t>
      </w:r>
      <w:r w:rsidRPr="31059CE2" w:rsidR="791077A0">
        <w:rPr>
          <w:rFonts w:ascii="Arial" w:hAnsi="Arial" w:cs="Arial"/>
          <w:sz w:val="22"/>
          <w:szCs w:val="22"/>
        </w:rPr>
        <w:t xml:space="preserve">. </w:t>
      </w:r>
      <w:r w:rsidRPr="31059CE2" w:rsidR="52BA7C49">
        <w:rPr>
          <w:rFonts w:ascii="Arial" w:hAnsi="Arial" w:cs="Arial"/>
          <w:sz w:val="22"/>
          <w:szCs w:val="22"/>
        </w:rPr>
        <w:t>(2025)</w:t>
      </w:r>
      <w:r w:rsidRPr="31059CE2" w:rsidR="52BA7C49">
        <w:rPr>
          <w:rFonts w:ascii="Arial" w:hAnsi="Arial" w:cs="Arial"/>
          <w:i w:val="1"/>
          <w:iCs w:val="1"/>
          <w:sz w:val="22"/>
          <w:szCs w:val="22"/>
        </w:rPr>
        <w:t xml:space="preserve"> Health inequalities in health protection report 2025</w:t>
      </w:r>
      <w:r w:rsidRPr="31059CE2" w:rsidR="52BA7C49">
        <w:rPr>
          <w:rFonts w:ascii="Arial" w:hAnsi="Arial" w:cs="Arial"/>
          <w:sz w:val="22"/>
          <w:szCs w:val="22"/>
        </w:rPr>
        <w:t>. Available at: </w:t>
      </w:r>
      <w:hyperlink r:id="R422700fec4c241b0">
        <w:r w:rsidRPr="31059CE2" w:rsidR="52BA7C49">
          <w:rPr>
            <w:rStyle w:val="Hyperlink"/>
            <w:rFonts w:ascii="Arial" w:hAnsi="Arial" w:cs="Arial"/>
            <w:sz w:val="22"/>
            <w:szCs w:val="22"/>
          </w:rPr>
          <w:t>https://www.gov.uk/government/publications/health-inequalities-in-health-protection-report/health-inequalities-in-health-protection-report-2025</w:t>
        </w:r>
      </w:hyperlink>
      <w:r w:rsidRPr="31059CE2" w:rsidR="52BA7C49">
        <w:rPr>
          <w:rFonts w:ascii="Arial" w:hAnsi="Arial" w:cs="Arial"/>
          <w:sz w:val="22"/>
          <w:szCs w:val="22"/>
        </w:rPr>
        <w:t xml:space="preserve"> (Accessed: </w:t>
      </w:r>
      <w:r w:rsidRPr="31059CE2" w:rsidR="646484D9">
        <w:rPr>
          <w:rFonts w:ascii="Arial" w:hAnsi="Arial" w:cs="Arial"/>
          <w:sz w:val="22"/>
          <w:szCs w:val="22"/>
        </w:rPr>
        <w:t>25 February 2026</w:t>
      </w:r>
      <w:r w:rsidRPr="31059CE2" w:rsidR="52BA7C49">
        <w:rPr>
          <w:rFonts w:ascii="Arial" w:hAnsi="Arial" w:cs="Arial"/>
          <w:sz w:val="22"/>
          <w:szCs w:val="22"/>
        </w:rPr>
        <w:t>).</w:t>
      </w:r>
    </w:p>
    <w:p w:rsidR="5ED9664E" w:rsidP="5ED9664E" w:rsidRDefault="5ED9664E" w14:paraId="1704EDA9">
      <w:pPr>
        <w:spacing w:line="360" w:lineRule="auto"/>
        <w:rPr>
          <w:rFonts w:ascii="Arial" w:hAnsi="Arial" w:cs="Arial"/>
          <w:sz w:val="22"/>
          <w:szCs w:val="22"/>
        </w:rPr>
      </w:pPr>
    </w:p>
    <w:p w:rsidR="52BA7C49" w:rsidP="5ED9664E" w:rsidRDefault="52BA7C49" w14:paraId="585A84D9" w14:textId="2998EE9A">
      <w:pPr>
        <w:spacing w:line="360" w:lineRule="auto"/>
        <w:rPr>
          <w:rFonts w:ascii="Arial" w:hAnsi="Arial" w:cs="Arial"/>
          <w:sz w:val="22"/>
          <w:szCs w:val="22"/>
        </w:rPr>
      </w:pPr>
      <w:r w:rsidRPr="31059CE2" w:rsidR="52BA7C49">
        <w:rPr>
          <w:rFonts w:ascii="Arial" w:hAnsi="Arial" w:cs="Arial"/>
          <w:sz w:val="22"/>
          <w:szCs w:val="22"/>
        </w:rPr>
        <w:t>UNAIDS</w:t>
      </w:r>
      <w:r w:rsidRPr="31059CE2" w:rsidR="22322938">
        <w:rPr>
          <w:rFonts w:ascii="Arial" w:hAnsi="Arial" w:cs="Arial"/>
          <w:sz w:val="22"/>
          <w:szCs w:val="22"/>
        </w:rPr>
        <w:t>.</w:t>
      </w:r>
      <w:r w:rsidRPr="31059CE2" w:rsidR="52BA7C49">
        <w:rPr>
          <w:rFonts w:ascii="Arial" w:hAnsi="Arial" w:cs="Arial"/>
          <w:sz w:val="22"/>
          <w:szCs w:val="22"/>
        </w:rPr>
        <w:t xml:space="preserve"> (2023)</w:t>
      </w:r>
      <w:r w:rsidRPr="31059CE2" w:rsidR="52BA7C49">
        <w:rPr>
          <w:rFonts w:ascii="Arial" w:hAnsi="Arial" w:cs="Arial"/>
          <w:i w:val="1"/>
          <w:iCs w:val="1"/>
          <w:sz w:val="22"/>
          <w:szCs w:val="22"/>
        </w:rPr>
        <w:t xml:space="preserve"> Global HIV &amp; AIDS statistics – Fact sheet</w:t>
      </w:r>
      <w:r w:rsidRPr="31059CE2" w:rsidR="52BA7C49">
        <w:rPr>
          <w:rFonts w:ascii="Arial" w:hAnsi="Arial" w:cs="Arial"/>
          <w:sz w:val="22"/>
          <w:szCs w:val="22"/>
        </w:rPr>
        <w:t>. Available at: </w:t>
      </w:r>
      <w:hyperlink r:id="R82bbd7bcff16483e">
        <w:r w:rsidRPr="31059CE2" w:rsidR="52BA7C49">
          <w:rPr>
            <w:rStyle w:val="Hyperlink"/>
            <w:rFonts w:ascii="Arial" w:hAnsi="Arial" w:cs="Arial"/>
            <w:sz w:val="22"/>
            <w:szCs w:val="22"/>
          </w:rPr>
          <w:t>https://www.unaids.org/en/resources/fact-sheet</w:t>
        </w:r>
      </w:hyperlink>
      <w:r w:rsidRPr="31059CE2" w:rsidR="52BA7C49">
        <w:rPr>
          <w:rFonts w:ascii="Arial" w:hAnsi="Arial" w:cs="Arial"/>
          <w:sz w:val="22"/>
          <w:szCs w:val="22"/>
        </w:rPr>
        <w:t xml:space="preserve"> (Accessed: </w:t>
      </w:r>
      <w:r w:rsidRPr="31059CE2" w:rsidR="319ECE6F">
        <w:rPr>
          <w:rFonts w:ascii="Arial" w:hAnsi="Arial" w:cs="Arial"/>
          <w:sz w:val="22"/>
          <w:szCs w:val="22"/>
        </w:rPr>
        <w:t>26 February 2026</w:t>
      </w:r>
      <w:r w:rsidRPr="31059CE2" w:rsidR="52BA7C49">
        <w:rPr>
          <w:rFonts w:ascii="Arial" w:hAnsi="Arial" w:cs="Arial"/>
          <w:sz w:val="22"/>
          <w:szCs w:val="22"/>
        </w:rPr>
        <w:t>).</w:t>
      </w:r>
    </w:p>
    <w:p w:rsidR="5ED9664E" w:rsidP="5ED9664E" w:rsidRDefault="5ED9664E" w14:paraId="7C0C26CD">
      <w:pPr>
        <w:spacing w:line="360" w:lineRule="auto"/>
        <w:rPr>
          <w:rFonts w:ascii="Arial" w:hAnsi="Arial" w:cs="Arial"/>
          <w:sz w:val="22"/>
          <w:szCs w:val="22"/>
        </w:rPr>
      </w:pPr>
    </w:p>
    <w:p w:rsidR="52BA7C49" w:rsidP="31059CE2" w:rsidRDefault="52BA7C49" w14:paraId="1902BE15" w14:textId="52D00F01">
      <w:pPr>
        <w:spacing w:line="360" w:lineRule="auto"/>
        <w:rPr>
          <w:rFonts w:ascii="Arial" w:hAnsi="Arial" w:cs="Arial"/>
          <w:sz w:val="22"/>
          <w:szCs w:val="22"/>
        </w:rPr>
      </w:pPr>
      <w:r w:rsidRPr="31059CE2" w:rsidR="52BA7C49">
        <w:rPr>
          <w:rFonts w:ascii="Arial" w:hAnsi="Arial" w:cs="Arial"/>
          <w:sz w:val="22"/>
          <w:szCs w:val="22"/>
        </w:rPr>
        <w:t>United Nations</w:t>
      </w:r>
      <w:r w:rsidRPr="31059CE2" w:rsidR="0AEC031F">
        <w:rPr>
          <w:rFonts w:ascii="Arial" w:hAnsi="Arial" w:cs="Arial"/>
          <w:sz w:val="22"/>
          <w:szCs w:val="22"/>
        </w:rPr>
        <w:t>.</w:t>
      </w:r>
      <w:r w:rsidRPr="31059CE2" w:rsidR="52BA7C49">
        <w:rPr>
          <w:rFonts w:ascii="Arial" w:hAnsi="Arial" w:cs="Arial"/>
          <w:sz w:val="22"/>
          <w:szCs w:val="22"/>
        </w:rPr>
        <w:t xml:space="preserve"> (2022) </w:t>
      </w:r>
      <w:r w:rsidRPr="31059CE2" w:rsidR="52BA7C49">
        <w:rPr>
          <w:rFonts w:ascii="Arial" w:hAnsi="Arial" w:cs="Arial"/>
          <w:i w:val="1"/>
          <w:iCs w:val="1"/>
          <w:sz w:val="22"/>
          <w:szCs w:val="22"/>
        </w:rPr>
        <w:t>The 17 Goals</w:t>
      </w:r>
      <w:r w:rsidRPr="31059CE2" w:rsidR="52BA7C49">
        <w:rPr>
          <w:rFonts w:ascii="Arial" w:hAnsi="Arial" w:cs="Arial"/>
          <w:sz w:val="22"/>
          <w:szCs w:val="22"/>
        </w:rPr>
        <w:t>. Available at: </w:t>
      </w:r>
      <w:hyperlink r:id="Raaf38001dae9422c">
        <w:r w:rsidRPr="31059CE2" w:rsidR="52BA7C49">
          <w:rPr>
            <w:rStyle w:val="Hyperlink"/>
            <w:rFonts w:ascii="Arial" w:hAnsi="Arial" w:cs="Arial"/>
            <w:sz w:val="22"/>
            <w:szCs w:val="22"/>
          </w:rPr>
          <w:t>https://sdgs.un.org/goals</w:t>
        </w:r>
      </w:hyperlink>
      <w:r w:rsidRPr="31059CE2" w:rsidR="52BA7C49">
        <w:rPr>
          <w:rFonts w:ascii="Arial" w:hAnsi="Arial" w:cs="Arial"/>
          <w:sz w:val="22"/>
          <w:szCs w:val="22"/>
        </w:rPr>
        <w:t> (Accessed</w:t>
      </w:r>
      <w:r w:rsidRPr="31059CE2" w:rsidR="4C08AE06">
        <w:rPr>
          <w:rFonts w:ascii="Arial" w:hAnsi="Arial" w:cs="Arial"/>
          <w:sz w:val="22"/>
          <w:szCs w:val="22"/>
        </w:rPr>
        <w:t>: 20 February 2026).</w:t>
      </w:r>
    </w:p>
    <w:p w:rsidR="52BA7C49" w:rsidP="31059CE2" w:rsidRDefault="52BA7C49" w14:paraId="074FA4EA" w14:textId="7342C77C">
      <w:pPr>
        <w:spacing w:line="360" w:lineRule="auto"/>
        <w:rPr>
          <w:rFonts w:ascii="Arial" w:hAnsi="Arial" w:cs="Arial"/>
          <w:sz w:val="22"/>
          <w:szCs w:val="22"/>
        </w:rPr>
      </w:pPr>
      <w:r w:rsidRPr="31059CE2" w:rsidR="52BA7C49">
        <w:rPr>
          <w:rFonts w:ascii="Arial" w:hAnsi="Arial" w:cs="Arial"/>
          <w:sz w:val="22"/>
          <w:szCs w:val="22"/>
        </w:rPr>
        <w:t>World Health Organization (WHO)</w:t>
      </w:r>
      <w:r w:rsidRPr="31059CE2" w:rsidR="3FDD72E9">
        <w:rPr>
          <w:rFonts w:ascii="Arial" w:hAnsi="Arial" w:cs="Arial"/>
          <w:sz w:val="22"/>
          <w:szCs w:val="22"/>
        </w:rPr>
        <w:t>.</w:t>
      </w:r>
      <w:r w:rsidRPr="31059CE2" w:rsidR="52BA7C49">
        <w:rPr>
          <w:rFonts w:ascii="Arial" w:hAnsi="Arial" w:cs="Arial"/>
          <w:sz w:val="22"/>
          <w:szCs w:val="22"/>
        </w:rPr>
        <w:t xml:space="preserve"> (2008) </w:t>
      </w:r>
      <w:r w:rsidRPr="31059CE2" w:rsidR="52BA7C49">
        <w:rPr>
          <w:rFonts w:ascii="Arial" w:hAnsi="Arial" w:cs="Arial"/>
          <w:i w:val="1"/>
          <w:iCs w:val="1"/>
          <w:sz w:val="22"/>
          <w:szCs w:val="22"/>
        </w:rPr>
        <w:t>Closing the gap in a generation: Health equity through action on the social determinants of health</w:t>
      </w:r>
      <w:r w:rsidRPr="31059CE2" w:rsidR="52BA7C49">
        <w:rPr>
          <w:rFonts w:ascii="Arial" w:hAnsi="Arial" w:cs="Arial"/>
          <w:sz w:val="22"/>
          <w:szCs w:val="22"/>
        </w:rPr>
        <w:t>. Available at: </w:t>
      </w:r>
      <w:hyperlink r:id="R4be0e55c751e426c">
        <w:r w:rsidRPr="31059CE2" w:rsidR="52BA7C49">
          <w:rPr>
            <w:rStyle w:val="Hyperlink"/>
            <w:rFonts w:ascii="Arial" w:hAnsi="Arial" w:cs="Arial"/>
            <w:sz w:val="22"/>
            <w:szCs w:val="22"/>
          </w:rPr>
          <w:t>https://apps.who.int/iris/bitstream/handle/10665/43943/9789241563703_eng.pdf</w:t>
        </w:r>
      </w:hyperlink>
      <w:r w:rsidRPr="31059CE2" w:rsidR="52BA7C49">
        <w:rPr>
          <w:rFonts w:ascii="Arial" w:hAnsi="Arial" w:cs="Arial"/>
          <w:sz w:val="22"/>
          <w:szCs w:val="22"/>
        </w:rPr>
        <w:t> </w:t>
      </w:r>
    </w:p>
    <w:p w:rsidR="52BA7C49" w:rsidP="5ED9664E" w:rsidRDefault="52BA7C49" w14:paraId="3ECD751A" w14:textId="46021F81">
      <w:pPr>
        <w:spacing w:line="360" w:lineRule="auto"/>
        <w:rPr>
          <w:rFonts w:ascii="Arial" w:hAnsi="Arial" w:cs="Arial"/>
          <w:sz w:val="22"/>
          <w:szCs w:val="22"/>
        </w:rPr>
      </w:pPr>
      <w:r w:rsidRPr="31059CE2" w:rsidR="5482EE35">
        <w:rPr>
          <w:rFonts w:ascii="Arial" w:hAnsi="Arial" w:cs="Arial"/>
          <w:sz w:val="22"/>
          <w:szCs w:val="22"/>
        </w:rPr>
        <w:t>(</w:t>
      </w:r>
      <w:r w:rsidRPr="31059CE2" w:rsidR="52BA7C49">
        <w:rPr>
          <w:rFonts w:ascii="Arial" w:hAnsi="Arial" w:cs="Arial"/>
          <w:sz w:val="22"/>
          <w:szCs w:val="22"/>
        </w:rPr>
        <w:t>Acce</w:t>
      </w:r>
      <w:r w:rsidRPr="31059CE2" w:rsidR="08F167B2">
        <w:rPr>
          <w:rFonts w:ascii="Arial" w:hAnsi="Arial" w:cs="Arial"/>
          <w:sz w:val="22"/>
          <w:szCs w:val="22"/>
        </w:rPr>
        <w:t>ss</w:t>
      </w:r>
      <w:r w:rsidRPr="31059CE2" w:rsidR="38574B4D">
        <w:rPr>
          <w:rFonts w:ascii="Arial" w:hAnsi="Arial" w:cs="Arial"/>
          <w:sz w:val="22"/>
          <w:szCs w:val="22"/>
        </w:rPr>
        <w:t>e</w:t>
      </w:r>
      <w:r w:rsidRPr="31059CE2" w:rsidR="52BA7C49">
        <w:rPr>
          <w:rFonts w:ascii="Arial" w:hAnsi="Arial" w:cs="Arial"/>
          <w:sz w:val="22"/>
          <w:szCs w:val="22"/>
        </w:rPr>
        <w:t>d</w:t>
      </w:r>
      <w:r w:rsidRPr="31059CE2" w:rsidR="52BA7C49">
        <w:rPr>
          <w:rFonts w:ascii="Arial" w:hAnsi="Arial" w:cs="Arial"/>
          <w:sz w:val="22"/>
          <w:szCs w:val="22"/>
        </w:rPr>
        <w:t xml:space="preserve">: </w:t>
      </w:r>
      <w:r w:rsidRPr="31059CE2" w:rsidR="284A1357">
        <w:rPr>
          <w:rFonts w:ascii="Arial" w:hAnsi="Arial" w:cs="Arial"/>
          <w:sz w:val="22"/>
          <w:szCs w:val="22"/>
        </w:rPr>
        <w:t>21 February 2026</w:t>
      </w:r>
      <w:r w:rsidRPr="31059CE2" w:rsidR="52BA7C49">
        <w:rPr>
          <w:rFonts w:ascii="Arial" w:hAnsi="Arial" w:cs="Arial"/>
          <w:sz w:val="22"/>
          <w:szCs w:val="22"/>
        </w:rPr>
        <w:t>).</w:t>
      </w:r>
    </w:p>
    <w:p w:rsidR="5ED9664E" w:rsidP="5ED9664E" w:rsidRDefault="5ED9664E" w14:paraId="382D8474">
      <w:pPr>
        <w:spacing w:line="360" w:lineRule="auto"/>
        <w:rPr>
          <w:rFonts w:ascii="Arial" w:hAnsi="Arial" w:cs="Arial"/>
          <w:sz w:val="22"/>
          <w:szCs w:val="22"/>
        </w:rPr>
      </w:pPr>
    </w:p>
    <w:p w:rsidR="52BA7C49" w:rsidP="5ED9664E" w:rsidRDefault="52BA7C49" w14:paraId="3808BACD" w14:textId="5478DA30">
      <w:pPr>
        <w:spacing w:line="360" w:lineRule="auto"/>
        <w:rPr>
          <w:rFonts w:ascii="Arial" w:hAnsi="Arial" w:cs="Arial"/>
          <w:sz w:val="22"/>
          <w:szCs w:val="22"/>
        </w:rPr>
      </w:pPr>
      <w:r w:rsidRPr="31059CE2" w:rsidR="52BA7C49">
        <w:rPr>
          <w:rFonts w:ascii="Arial" w:hAnsi="Arial" w:cs="Arial"/>
          <w:sz w:val="22"/>
          <w:szCs w:val="22"/>
        </w:rPr>
        <w:t>World Health Organization (WHO)</w:t>
      </w:r>
      <w:r w:rsidRPr="31059CE2" w:rsidR="0E7AD039">
        <w:rPr>
          <w:rFonts w:ascii="Arial" w:hAnsi="Arial" w:cs="Arial"/>
          <w:sz w:val="22"/>
          <w:szCs w:val="22"/>
        </w:rPr>
        <w:t>.</w:t>
      </w:r>
      <w:r w:rsidRPr="31059CE2" w:rsidR="52BA7C49">
        <w:rPr>
          <w:rFonts w:ascii="Arial" w:hAnsi="Arial" w:cs="Arial"/>
          <w:sz w:val="22"/>
          <w:szCs w:val="22"/>
        </w:rPr>
        <w:t xml:space="preserve"> (2021)</w:t>
      </w:r>
      <w:r w:rsidRPr="31059CE2" w:rsidR="52BA7C49">
        <w:rPr>
          <w:rFonts w:ascii="Arial" w:hAnsi="Arial" w:cs="Arial"/>
          <w:i w:val="1"/>
          <w:iCs w:val="1"/>
          <w:sz w:val="22"/>
          <w:szCs w:val="22"/>
        </w:rPr>
        <w:t xml:space="preserve"> Health inequities and their causes</w:t>
      </w:r>
      <w:r w:rsidRPr="31059CE2" w:rsidR="52BA7C49">
        <w:rPr>
          <w:rFonts w:ascii="Arial" w:hAnsi="Arial" w:cs="Arial"/>
          <w:sz w:val="22"/>
          <w:szCs w:val="22"/>
        </w:rPr>
        <w:t>. Available at: </w:t>
      </w:r>
      <w:hyperlink r:id="R491a4bba611d4ec2">
        <w:r w:rsidRPr="31059CE2" w:rsidR="52BA7C49">
          <w:rPr>
            <w:rStyle w:val="Hyperlink"/>
            <w:rFonts w:ascii="Arial" w:hAnsi="Arial" w:cs="Arial"/>
            <w:sz w:val="22"/>
            <w:szCs w:val="22"/>
          </w:rPr>
          <w:t>https://www.who.int/news-room/facts-in-pictures/detail/health-inequities-and-their-causes</w:t>
        </w:r>
      </w:hyperlink>
      <w:r w:rsidRPr="31059CE2" w:rsidR="52BA7C49">
        <w:rPr>
          <w:rFonts w:ascii="Arial" w:hAnsi="Arial" w:cs="Arial"/>
          <w:sz w:val="22"/>
          <w:szCs w:val="22"/>
        </w:rPr>
        <w:t xml:space="preserve"> (Accessed: </w:t>
      </w:r>
      <w:r w:rsidRPr="31059CE2" w:rsidR="1C566040">
        <w:rPr>
          <w:rFonts w:ascii="Arial" w:hAnsi="Arial" w:cs="Arial"/>
          <w:sz w:val="22"/>
          <w:szCs w:val="22"/>
        </w:rPr>
        <w:t>22 February 2026</w:t>
      </w:r>
      <w:r w:rsidRPr="31059CE2" w:rsidR="52BA7C49">
        <w:rPr>
          <w:rFonts w:ascii="Arial" w:hAnsi="Arial" w:cs="Arial"/>
          <w:sz w:val="22"/>
          <w:szCs w:val="22"/>
        </w:rPr>
        <w:t>).</w:t>
      </w:r>
    </w:p>
    <w:p w:rsidR="5ED9664E" w:rsidP="5ED9664E" w:rsidRDefault="5ED9664E" w14:paraId="7D5AC775">
      <w:pPr>
        <w:spacing w:line="360" w:lineRule="auto"/>
        <w:rPr>
          <w:rFonts w:ascii="Arial" w:hAnsi="Arial" w:cs="Arial"/>
          <w:sz w:val="22"/>
          <w:szCs w:val="22"/>
        </w:rPr>
      </w:pPr>
    </w:p>
    <w:p w:rsidR="52BA7C49" w:rsidP="5ED9664E" w:rsidRDefault="52BA7C49" w14:paraId="7DC77F87" w14:textId="0450803A">
      <w:pPr>
        <w:spacing w:line="360" w:lineRule="auto"/>
        <w:rPr>
          <w:rFonts w:ascii="Arial" w:hAnsi="Arial" w:cs="Arial"/>
          <w:sz w:val="22"/>
          <w:szCs w:val="22"/>
        </w:rPr>
      </w:pPr>
      <w:r w:rsidRPr="31059CE2" w:rsidR="52BA7C49">
        <w:rPr>
          <w:rFonts w:ascii="Arial" w:hAnsi="Arial" w:cs="Arial"/>
          <w:sz w:val="22"/>
          <w:szCs w:val="22"/>
        </w:rPr>
        <w:t>World Health Organization (WHO)</w:t>
      </w:r>
      <w:r w:rsidRPr="31059CE2" w:rsidR="23A524BE">
        <w:rPr>
          <w:rFonts w:ascii="Arial" w:hAnsi="Arial" w:cs="Arial"/>
          <w:sz w:val="22"/>
          <w:szCs w:val="22"/>
        </w:rPr>
        <w:t>.</w:t>
      </w:r>
      <w:r w:rsidRPr="31059CE2" w:rsidR="52BA7C49">
        <w:rPr>
          <w:rFonts w:ascii="Arial" w:hAnsi="Arial" w:cs="Arial"/>
          <w:sz w:val="22"/>
          <w:szCs w:val="22"/>
        </w:rPr>
        <w:t xml:space="preserve"> (2023a) </w:t>
      </w:r>
      <w:r w:rsidRPr="31059CE2" w:rsidR="52BA7C49">
        <w:rPr>
          <w:rFonts w:ascii="Arial" w:hAnsi="Arial" w:cs="Arial"/>
          <w:i w:val="1"/>
          <w:iCs w:val="1"/>
          <w:sz w:val="22"/>
          <w:szCs w:val="22"/>
        </w:rPr>
        <w:t>What we do.</w:t>
      </w:r>
      <w:r w:rsidRPr="31059CE2" w:rsidR="52BA7C49">
        <w:rPr>
          <w:rFonts w:ascii="Arial" w:hAnsi="Arial" w:cs="Arial"/>
          <w:sz w:val="22"/>
          <w:szCs w:val="22"/>
        </w:rPr>
        <w:t xml:space="preserve"> Available at: </w:t>
      </w:r>
      <w:hyperlink r:id="R73514e72588f4e92">
        <w:r w:rsidRPr="31059CE2" w:rsidR="52BA7C49">
          <w:rPr>
            <w:rStyle w:val="Hyperlink"/>
            <w:rFonts w:ascii="Arial" w:hAnsi="Arial" w:cs="Arial"/>
            <w:sz w:val="22"/>
            <w:szCs w:val="22"/>
          </w:rPr>
          <w:t>https://www.who.int/about/what-we-do</w:t>
        </w:r>
      </w:hyperlink>
      <w:r w:rsidRPr="31059CE2" w:rsidR="52BA7C49">
        <w:rPr>
          <w:rFonts w:ascii="Arial" w:hAnsi="Arial" w:cs="Arial"/>
          <w:sz w:val="22"/>
          <w:szCs w:val="22"/>
        </w:rPr>
        <w:t xml:space="preserve"> (Accessed: </w:t>
      </w:r>
      <w:r w:rsidRPr="31059CE2" w:rsidR="7C9AA2C9">
        <w:rPr>
          <w:rFonts w:ascii="Arial" w:hAnsi="Arial" w:cs="Arial"/>
          <w:sz w:val="22"/>
          <w:szCs w:val="22"/>
        </w:rPr>
        <w:t>24 February 2026</w:t>
      </w:r>
      <w:r w:rsidRPr="31059CE2" w:rsidR="52BA7C49">
        <w:rPr>
          <w:rFonts w:ascii="Arial" w:hAnsi="Arial" w:cs="Arial"/>
          <w:sz w:val="22"/>
          <w:szCs w:val="22"/>
        </w:rPr>
        <w:t>).</w:t>
      </w:r>
    </w:p>
    <w:p w:rsidR="5ED9664E" w:rsidP="5ED9664E" w:rsidRDefault="5ED9664E" w14:paraId="04B5BCEF">
      <w:pPr>
        <w:spacing w:line="360" w:lineRule="auto"/>
        <w:rPr>
          <w:rFonts w:ascii="Arial" w:hAnsi="Arial" w:cs="Arial"/>
          <w:sz w:val="22"/>
          <w:szCs w:val="22"/>
        </w:rPr>
      </w:pPr>
    </w:p>
    <w:p w:rsidR="52BA7C49" w:rsidP="5ED9664E" w:rsidRDefault="52BA7C49" w14:paraId="2E24835A" w14:textId="3AF28FCA">
      <w:pPr>
        <w:spacing w:line="360" w:lineRule="auto"/>
        <w:rPr>
          <w:rFonts w:ascii="Arial" w:hAnsi="Arial" w:cs="Arial"/>
          <w:sz w:val="22"/>
          <w:szCs w:val="22"/>
        </w:rPr>
      </w:pPr>
      <w:r w:rsidRPr="31059CE2" w:rsidR="52BA7C49">
        <w:rPr>
          <w:rFonts w:ascii="Arial" w:hAnsi="Arial" w:cs="Arial"/>
          <w:sz w:val="22"/>
          <w:szCs w:val="22"/>
        </w:rPr>
        <w:t>World Health Organization (WHO)</w:t>
      </w:r>
      <w:r w:rsidRPr="31059CE2" w:rsidR="57E99956">
        <w:rPr>
          <w:rFonts w:ascii="Arial" w:hAnsi="Arial" w:cs="Arial"/>
          <w:sz w:val="22"/>
          <w:szCs w:val="22"/>
        </w:rPr>
        <w:t>.</w:t>
      </w:r>
      <w:r w:rsidRPr="31059CE2" w:rsidR="52BA7C49">
        <w:rPr>
          <w:rFonts w:ascii="Arial" w:hAnsi="Arial" w:cs="Arial"/>
          <w:sz w:val="22"/>
          <w:szCs w:val="22"/>
        </w:rPr>
        <w:t xml:space="preserve"> (2023b)</w:t>
      </w:r>
      <w:r w:rsidRPr="31059CE2" w:rsidR="52BA7C49">
        <w:rPr>
          <w:rFonts w:ascii="Arial" w:hAnsi="Arial" w:cs="Arial"/>
          <w:i w:val="1"/>
          <w:iCs w:val="1"/>
          <w:sz w:val="22"/>
          <w:szCs w:val="22"/>
        </w:rPr>
        <w:t xml:space="preserve"> World health statistics 2023: Monitoring health for the SDGs</w:t>
      </w:r>
      <w:r w:rsidRPr="31059CE2" w:rsidR="52BA7C49">
        <w:rPr>
          <w:rFonts w:ascii="Arial" w:hAnsi="Arial" w:cs="Arial"/>
          <w:sz w:val="22"/>
          <w:szCs w:val="22"/>
        </w:rPr>
        <w:t>. Available at: </w:t>
      </w:r>
      <w:hyperlink r:id="Rd1a5fad493d845cb">
        <w:r w:rsidRPr="31059CE2" w:rsidR="52BA7C49">
          <w:rPr>
            <w:rStyle w:val="Hyperlink"/>
            <w:rFonts w:ascii="Arial" w:hAnsi="Arial" w:cs="Arial"/>
            <w:sz w:val="22"/>
            <w:szCs w:val="22"/>
          </w:rPr>
          <w:t>https://www.who.int/publications/i/item/9789240074323</w:t>
        </w:r>
      </w:hyperlink>
      <w:r w:rsidRPr="31059CE2" w:rsidR="52BA7C49">
        <w:rPr>
          <w:rFonts w:ascii="Arial" w:hAnsi="Arial" w:cs="Arial"/>
          <w:sz w:val="22"/>
          <w:szCs w:val="22"/>
        </w:rPr>
        <w:t xml:space="preserve"> (Accessed: </w:t>
      </w:r>
      <w:r w:rsidRPr="31059CE2" w:rsidR="752C29FF">
        <w:rPr>
          <w:rFonts w:ascii="Arial" w:hAnsi="Arial" w:cs="Arial"/>
          <w:sz w:val="22"/>
          <w:szCs w:val="22"/>
        </w:rPr>
        <w:t>22 February 2026</w:t>
      </w:r>
      <w:r w:rsidRPr="31059CE2" w:rsidR="52BA7C49">
        <w:rPr>
          <w:rFonts w:ascii="Arial" w:hAnsi="Arial" w:cs="Arial"/>
          <w:sz w:val="22"/>
          <w:szCs w:val="22"/>
        </w:rPr>
        <w:t>).</w:t>
      </w:r>
    </w:p>
    <w:p w:rsidR="5ED9664E" w:rsidP="5ED9664E" w:rsidRDefault="5ED9664E" w14:paraId="25BF139E">
      <w:pPr>
        <w:spacing w:line="360" w:lineRule="auto"/>
        <w:rPr>
          <w:rFonts w:ascii="Arial" w:hAnsi="Arial" w:cs="Arial"/>
          <w:sz w:val="22"/>
          <w:szCs w:val="22"/>
        </w:rPr>
      </w:pPr>
    </w:p>
    <w:p w:rsidR="52BA7C49" w:rsidP="31059CE2" w:rsidRDefault="52BA7C49" w14:paraId="3B1E9AB0" w14:textId="6D7B621F">
      <w:pPr>
        <w:spacing w:line="360" w:lineRule="auto"/>
        <w:rPr>
          <w:rFonts w:ascii="Arial" w:hAnsi="Arial" w:cs="Arial"/>
          <w:sz w:val="22"/>
          <w:szCs w:val="22"/>
        </w:rPr>
      </w:pPr>
      <w:r w:rsidRPr="31059CE2" w:rsidR="52BA7C49">
        <w:rPr>
          <w:rFonts w:ascii="Arial" w:hAnsi="Arial" w:cs="Arial"/>
          <w:sz w:val="22"/>
          <w:szCs w:val="22"/>
        </w:rPr>
        <w:t>World Health Organization (WHO)</w:t>
      </w:r>
      <w:r w:rsidRPr="31059CE2" w:rsidR="30DF3A47">
        <w:rPr>
          <w:rFonts w:ascii="Arial" w:hAnsi="Arial" w:cs="Arial"/>
          <w:sz w:val="22"/>
          <w:szCs w:val="22"/>
        </w:rPr>
        <w:t>.</w:t>
      </w:r>
      <w:r w:rsidRPr="31059CE2" w:rsidR="52BA7C49">
        <w:rPr>
          <w:rFonts w:ascii="Arial" w:hAnsi="Arial" w:cs="Arial"/>
          <w:sz w:val="22"/>
          <w:szCs w:val="22"/>
        </w:rPr>
        <w:t xml:space="preserve"> (2023c) </w:t>
      </w:r>
      <w:r w:rsidRPr="31059CE2" w:rsidR="52BA7C49">
        <w:rPr>
          <w:rFonts w:ascii="Arial" w:hAnsi="Arial" w:cs="Arial"/>
          <w:i w:val="1"/>
          <w:iCs w:val="1"/>
          <w:sz w:val="22"/>
          <w:szCs w:val="22"/>
        </w:rPr>
        <w:t>Climate change and health</w:t>
      </w:r>
      <w:r w:rsidRPr="31059CE2" w:rsidR="52BA7C49">
        <w:rPr>
          <w:rFonts w:ascii="Arial" w:hAnsi="Arial" w:cs="Arial"/>
          <w:sz w:val="22"/>
          <w:szCs w:val="22"/>
        </w:rPr>
        <w:t>. Available at: </w:t>
      </w:r>
      <w:hyperlink r:id="Rf3bb7bf1f70b49cf">
        <w:r w:rsidRPr="31059CE2" w:rsidR="52BA7C49">
          <w:rPr>
            <w:rStyle w:val="Hyperlink"/>
            <w:rFonts w:ascii="Arial" w:hAnsi="Arial" w:cs="Arial"/>
            <w:sz w:val="22"/>
            <w:szCs w:val="22"/>
          </w:rPr>
          <w:t>https://www.who.int/news-room/fact-sheets/detail/climate-change-and-health</w:t>
        </w:r>
      </w:hyperlink>
      <w:r w:rsidRPr="31059CE2" w:rsidR="52BA7C49">
        <w:rPr>
          <w:rFonts w:ascii="Arial" w:hAnsi="Arial" w:cs="Arial"/>
          <w:sz w:val="22"/>
          <w:szCs w:val="22"/>
        </w:rPr>
        <w:t> </w:t>
      </w:r>
    </w:p>
    <w:p w:rsidR="52BA7C49" w:rsidP="5ED9664E" w:rsidRDefault="52BA7C49" w14:paraId="1BE09969" w14:textId="3D2117F6">
      <w:pPr>
        <w:spacing w:line="360" w:lineRule="auto"/>
        <w:rPr>
          <w:rFonts w:ascii="Arial" w:hAnsi="Arial" w:cs="Arial"/>
          <w:sz w:val="22"/>
          <w:szCs w:val="22"/>
        </w:rPr>
      </w:pPr>
      <w:r w:rsidRPr="31059CE2" w:rsidR="52BA7C49">
        <w:rPr>
          <w:rFonts w:ascii="Arial" w:hAnsi="Arial" w:cs="Arial"/>
          <w:sz w:val="22"/>
          <w:szCs w:val="22"/>
        </w:rPr>
        <w:t xml:space="preserve">(Accessed: </w:t>
      </w:r>
      <w:r w:rsidRPr="31059CE2" w:rsidR="6BDA34A1">
        <w:rPr>
          <w:rFonts w:ascii="Arial" w:hAnsi="Arial" w:cs="Arial"/>
          <w:sz w:val="22"/>
          <w:szCs w:val="22"/>
        </w:rPr>
        <w:t>2 March 2026</w:t>
      </w:r>
      <w:r w:rsidRPr="31059CE2" w:rsidR="52BA7C49">
        <w:rPr>
          <w:rFonts w:ascii="Arial" w:hAnsi="Arial" w:cs="Arial"/>
          <w:sz w:val="22"/>
          <w:szCs w:val="22"/>
        </w:rPr>
        <w:t>).</w:t>
      </w:r>
    </w:p>
    <w:p w:rsidR="5ED9664E" w:rsidP="5ED9664E" w:rsidRDefault="5ED9664E" w14:paraId="33580C65">
      <w:pPr>
        <w:spacing w:line="360" w:lineRule="auto"/>
        <w:rPr>
          <w:rFonts w:ascii="Arial" w:hAnsi="Arial" w:cs="Arial"/>
          <w:sz w:val="22"/>
          <w:szCs w:val="22"/>
        </w:rPr>
      </w:pPr>
    </w:p>
    <w:p w:rsidR="52BA7C49" w:rsidP="31059CE2" w:rsidRDefault="52BA7C49" w14:paraId="4D446439" w14:textId="7E46E2F4">
      <w:pPr>
        <w:spacing w:line="360" w:lineRule="auto"/>
        <w:rPr>
          <w:rFonts w:ascii="Arial" w:hAnsi="Arial" w:cs="Arial"/>
          <w:sz w:val="22"/>
          <w:szCs w:val="22"/>
        </w:rPr>
      </w:pPr>
      <w:r w:rsidRPr="31059CE2" w:rsidR="52BA7C49">
        <w:rPr>
          <w:rFonts w:ascii="Arial" w:hAnsi="Arial" w:cs="Arial"/>
          <w:sz w:val="22"/>
          <w:szCs w:val="22"/>
        </w:rPr>
        <w:t>World Health Organization (WHO)</w:t>
      </w:r>
      <w:r w:rsidRPr="31059CE2" w:rsidR="6E9A29F2">
        <w:rPr>
          <w:rFonts w:ascii="Arial" w:hAnsi="Arial" w:cs="Arial"/>
          <w:sz w:val="22"/>
          <w:szCs w:val="22"/>
        </w:rPr>
        <w:t>.</w:t>
      </w:r>
      <w:r w:rsidRPr="31059CE2" w:rsidR="52BA7C49">
        <w:rPr>
          <w:rFonts w:ascii="Arial" w:hAnsi="Arial" w:cs="Arial"/>
          <w:sz w:val="22"/>
          <w:szCs w:val="22"/>
        </w:rPr>
        <w:t xml:space="preserve"> (2025)</w:t>
      </w:r>
      <w:r w:rsidRPr="31059CE2" w:rsidR="52BA7C49">
        <w:rPr>
          <w:rFonts w:ascii="Arial" w:hAnsi="Arial" w:cs="Arial"/>
          <w:i w:val="1"/>
          <w:iCs w:val="1"/>
          <w:sz w:val="22"/>
          <w:szCs w:val="22"/>
        </w:rPr>
        <w:t xml:space="preserve"> Partnerships</w:t>
      </w:r>
      <w:r w:rsidRPr="31059CE2" w:rsidR="52BA7C49">
        <w:rPr>
          <w:rFonts w:ascii="Arial" w:hAnsi="Arial" w:cs="Arial"/>
          <w:sz w:val="22"/>
          <w:szCs w:val="22"/>
        </w:rPr>
        <w:t>. Available at: </w:t>
      </w:r>
      <w:hyperlink r:id="R0893a2cf82804d2a">
        <w:r w:rsidRPr="31059CE2" w:rsidR="52BA7C49">
          <w:rPr>
            <w:rStyle w:val="Hyperlink"/>
            <w:rFonts w:ascii="Arial" w:hAnsi="Arial" w:cs="Arial"/>
            <w:sz w:val="22"/>
            <w:szCs w:val="22"/>
          </w:rPr>
          <w:t>https://www.who.int/about/collaboration/partnerships</w:t>
        </w:r>
      </w:hyperlink>
      <w:r w:rsidRPr="31059CE2" w:rsidR="52BA7C49">
        <w:rPr>
          <w:rFonts w:ascii="Arial" w:hAnsi="Arial" w:cs="Arial"/>
          <w:sz w:val="22"/>
          <w:szCs w:val="22"/>
        </w:rPr>
        <w:t xml:space="preserve"> (Accessed: </w:t>
      </w:r>
      <w:r w:rsidRPr="31059CE2" w:rsidR="7B4ADC9A">
        <w:rPr>
          <w:rFonts w:ascii="Arial" w:hAnsi="Arial" w:cs="Arial"/>
          <w:sz w:val="22"/>
          <w:szCs w:val="22"/>
        </w:rPr>
        <w:t>6 March 2026</w:t>
      </w:r>
      <w:r w:rsidRPr="31059CE2" w:rsidR="52BA7C49">
        <w:rPr>
          <w:rFonts w:ascii="Arial" w:hAnsi="Arial" w:cs="Arial"/>
          <w:sz w:val="22"/>
          <w:szCs w:val="22"/>
        </w:rPr>
        <w:t>).</w:t>
      </w:r>
    </w:p>
    <w:sectPr w:rsidR="0009255B">
      <w:footerReference w:type="default" r:id="rId3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6387" w:rsidP="0009255B" w:rsidRDefault="00BD6387" w14:paraId="51BAD8D7" w14:textId="77777777">
      <w:pPr>
        <w:spacing w:after="0" w:line="240" w:lineRule="auto"/>
      </w:pPr>
      <w:r>
        <w:separator/>
      </w:r>
    </w:p>
  </w:endnote>
  <w:endnote w:type="continuationSeparator" w:id="0">
    <w:p w:rsidR="00BD6387" w:rsidP="0009255B" w:rsidRDefault="00BD6387" w14:paraId="6F1408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972122"/>
      <w:docPartObj>
        <w:docPartGallery w:val="Page Numbers (Bottom of Page)"/>
        <w:docPartUnique/>
      </w:docPartObj>
    </w:sdtPr>
    <w:sdtEndPr>
      <w:rPr>
        <w:noProof/>
      </w:rPr>
    </w:sdtEndPr>
    <w:sdtContent>
      <w:p w:rsidR="0009255B" w:rsidRDefault="0009255B" w14:paraId="14B04D1E" w14:textId="239F13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9255B" w:rsidRDefault="0009255B" w14:paraId="668247A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6387" w:rsidP="0009255B" w:rsidRDefault="00BD6387" w14:paraId="10EA5994" w14:textId="77777777">
      <w:pPr>
        <w:spacing w:after="0" w:line="240" w:lineRule="auto"/>
      </w:pPr>
      <w:r>
        <w:separator/>
      </w:r>
    </w:p>
  </w:footnote>
  <w:footnote w:type="continuationSeparator" w:id="0">
    <w:p w:rsidR="00BD6387" w:rsidP="0009255B" w:rsidRDefault="00BD6387" w14:paraId="59693CD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ni8UUdXdlt6RIo" int2:id="Hiz0QA5f">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7fa7ea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B904AF3"/>
    <w:multiLevelType w:val="multilevel"/>
    <w:tmpl w:val="249A8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E636D8"/>
    <w:multiLevelType w:val="multilevel"/>
    <w:tmpl w:val="88ACA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
    <w:abstractNumId w:val="2"/>
  </w:num>
  <w:num w:numId="1" w16cid:durableId="162473588">
    <w:abstractNumId w:val="0"/>
  </w:num>
  <w:num w:numId="2" w16cid:durableId="179694881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55B"/>
    <w:rsid w:val="0009255B"/>
    <w:rsid w:val="002D5241"/>
    <w:rsid w:val="0051BCF1"/>
    <w:rsid w:val="00935A02"/>
    <w:rsid w:val="00BD6387"/>
    <w:rsid w:val="026D88A6"/>
    <w:rsid w:val="029D5C7E"/>
    <w:rsid w:val="029DE514"/>
    <w:rsid w:val="05C839A0"/>
    <w:rsid w:val="05C839A0"/>
    <w:rsid w:val="05CA134A"/>
    <w:rsid w:val="0683C3FB"/>
    <w:rsid w:val="07104F5B"/>
    <w:rsid w:val="07B86035"/>
    <w:rsid w:val="089450E5"/>
    <w:rsid w:val="08F167B2"/>
    <w:rsid w:val="09496F99"/>
    <w:rsid w:val="09C34B28"/>
    <w:rsid w:val="09DE5018"/>
    <w:rsid w:val="0A858DF8"/>
    <w:rsid w:val="0AEC031F"/>
    <w:rsid w:val="0C535F6D"/>
    <w:rsid w:val="0CEADDEE"/>
    <w:rsid w:val="0D6E0F7E"/>
    <w:rsid w:val="0DC8EC90"/>
    <w:rsid w:val="0E1D2784"/>
    <w:rsid w:val="0E7AD039"/>
    <w:rsid w:val="0EBB0118"/>
    <w:rsid w:val="11110812"/>
    <w:rsid w:val="111DCDA4"/>
    <w:rsid w:val="1157A4AD"/>
    <w:rsid w:val="12A4CF88"/>
    <w:rsid w:val="12B25629"/>
    <w:rsid w:val="12F5731C"/>
    <w:rsid w:val="13446A15"/>
    <w:rsid w:val="15A1DC4A"/>
    <w:rsid w:val="15D38C05"/>
    <w:rsid w:val="15F8DF8E"/>
    <w:rsid w:val="16659D09"/>
    <w:rsid w:val="16A983BD"/>
    <w:rsid w:val="173F10D5"/>
    <w:rsid w:val="17ABDB90"/>
    <w:rsid w:val="181696A5"/>
    <w:rsid w:val="198BA288"/>
    <w:rsid w:val="19FEBC3F"/>
    <w:rsid w:val="1A31D0D8"/>
    <w:rsid w:val="1A74EA63"/>
    <w:rsid w:val="1A79A0C7"/>
    <w:rsid w:val="1C0D61D1"/>
    <w:rsid w:val="1C566040"/>
    <w:rsid w:val="1CA9D0DE"/>
    <w:rsid w:val="1D0FA7AA"/>
    <w:rsid w:val="1D64ECDF"/>
    <w:rsid w:val="1DAA2722"/>
    <w:rsid w:val="1E77C680"/>
    <w:rsid w:val="1EEAAA6E"/>
    <w:rsid w:val="1F38CB9F"/>
    <w:rsid w:val="1F6A4A1E"/>
    <w:rsid w:val="1FDFD97E"/>
    <w:rsid w:val="21479B97"/>
    <w:rsid w:val="22322938"/>
    <w:rsid w:val="2318845E"/>
    <w:rsid w:val="2346584B"/>
    <w:rsid w:val="23A524BE"/>
    <w:rsid w:val="2419E8D4"/>
    <w:rsid w:val="24B566E4"/>
    <w:rsid w:val="2541C796"/>
    <w:rsid w:val="266B5A19"/>
    <w:rsid w:val="26921F71"/>
    <w:rsid w:val="270209CE"/>
    <w:rsid w:val="27AF65C7"/>
    <w:rsid w:val="284A1357"/>
    <w:rsid w:val="29595A6E"/>
    <w:rsid w:val="2B807608"/>
    <w:rsid w:val="2C18858E"/>
    <w:rsid w:val="2C99588A"/>
    <w:rsid w:val="2D118B6A"/>
    <w:rsid w:val="2E7322FF"/>
    <w:rsid w:val="308510A3"/>
    <w:rsid w:val="30AD6F7E"/>
    <w:rsid w:val="30D2CE3C"/>
    <w:rsid w:val="30DF3A47"/>
    <w:rsid w:val="30F89EE7"/>
    <w:rsid w:val="31059CE2"/>
    <w:rsid w:val="319D00A0"/>
    <w:rsid w:val="319ECE6F"/>
    <w:rsid w:val="32032F7C"/>
    <w:rsid w:val="323BC448"/>
    <w:rsid w:val="33A3F1FD"/>
    <w:rsid w:val="35EB15AF"/>
    <w:rsid w:val="361CCE14"/>
    <w:rsid w:val="36C5A371"/>
    <w:rsid w:val="3834EFA5"/>
    <w:rsid w:val="38574B4D"/>
    <w:rsid w:val="38579CF7"/>
    <w:rsid w:val="389A0E0C"/>
    <w:rsid w:val="3A45BCE0"/>
    <w:rsid w:val="3AE0DDC0"/>
    <w:rsid w:val="3B8A1E37"/>
    <w:rsid w:val="3BCF7D67"/>
    <w:rsid w:val="3BF2CD0E"/>
    <w:rsid w:val="3C10F0AB"/>
    <w:rsid w:val="3C568C07"/>
    <w:rsid w:val="3C5B3BA5"/>
    <w:rsid w:val="3C94A0A8"/>
    <w:rsid w:val="3CE27455"/>
    <w:rsid w:val="3D172A90"/>
    <w:rsid w:val="3E07B6EE"/>
    <w:rsid w:val="3E0A592E"/>
    <w:rsid w:val="3F147C7A"/>
    <w:rsid w:val="3F3ABEE8"/>
    <w:rsid w:val="3FDD72E9"/>
    <w:rsid w:val="40532A54"/>
    <w:rsid w:val="41972484"/>
    <w:rsid w:val="427DE70D"/>
    <w:rsid w:val="4308FA24"/>
    <w:rsid w:val="43D431D2"/>
    <w:rsid w:val="43D8CF92"/>
    <w:rsid w:val="445FD976"/>
    <w:rsid w:val="4607A351"/>
    <w:rsid w:val="47CB562F"/>
    <w:rsid w:val="4843DFE9"/>
    <w:rsid w:val="4AD8012C"/>
    <w:rsid w:val="4B004F7D"/>
    <w:rsid w:val="4C08AE06"/>
    <w:rsid w:val="4DDE2E0D"/>
    <w:rsid w:val="4E4429AC"/>
    <w:rsid w:val="4F997990"/>
    <w:rsid w:val="4FA914FD"/>
    <w:rsid w:val="502E4CFD"/>
    <w:rsid w:val="50BE74A9"/>
    <w:rsid w:val="50E482CE"/>
    <w:rsid w:val="5155C027"/>
    <w:rsid w:val="5230B065"/>
    <w:rsid w:val="5239D05F"/>
    <w:rsid w:val="52BA7C49"/>
    <w:rsid w:val="538431A1"/>
    <w:rsid w:val="545B2C01"/>
    <w:rsid w:val="5482EE35"/>
    <w:rsid w:val="54BE76E5"/>
    <w:rsid w:val="55C78C3B"/>
    <w:rsid w:val="564ED171"/>
    <w:rsid w:val="5667881F"/>
    <w:rsid w:val="57E99956"/>
    <w:rsid w:val="59C244BD"/>
    <w:rsid w:val="59EEA7E8"/>
    <w:rsid w:val="5A278BC5"/>
    <w:rsid w:val="5A58D63E"/>
    <w:rsid w:val="5B7398E5"/>
    <w:rsid w:val="5BA8F840"/>
    <w:rsid w:val="5BBB4127"/>
    <w:rsid w:val="5C7D82D8"/>
    <w:rsid w:val="5CFB9D1B"/>
    <w:rsid w:val="5E0C6675"/>
    <w:rsid w:val="5EB9CC47"/>
    <w:rsid w:val="5ED9664E"/>
    <w:rsid w:val="5FA962DF"/>
    <w:rsid w:val="6074D3A1"/>
    <w:rsid w:val="61DDADD1"/>
    <w:rsid w:val="61F463B3"/>
    <w:rsid w:val="62BE94F0"/>
    <w:rsid w:val="63700124"/>
    <w:rsid w:val="63AB0BDE"/>
    <w:rsid w:val="646484D9"/>
    <w:rsid w:val="64996C9B"/>
    <w:rsid w:val="64DEAE27"/>
    <w:rsid w:val="64FD46E4"/>
    <w:rsid w:val="65015D29"/>
    <w:rsid w:val="652B5B87"/>
    <w:rsid w:val="657E0B9D"/>
    <w:rsid w:val="6682865C"/>
    <w:rsid w:val="66A702BA"/>
    <w:rsid w:val="66CBC26C"/>
    <w:rsid w:val="66F69091"/>
    <w:rsid w:val="675B73E4"/>
    <w:rsid w:val="67D4CE84"/>
    <w:rsid w:val="69AAF11B"/>
    <w:rsid w:val="6B7A1243"/>
    <w:rsid w:val="6BC145DA"/>
    <w:rsid w:val="6BDA34A1"/>
    <w:rsid w:val="6CB276E3"/>
    <w:rsid w:val="6CC2D707"/>
    <w:rsid w:val="6DE72299"/>
    <w:rsid w:val="6E4C65D5"/>
    <w:rsid w:val="6E9A29F2"/>
    <w:rsid w:val="6EB6E205"/>
    <w:rsid w:val="6ED8B29F"/>
    <w:rsid w:val="6F5F4C51"/>
    <w:rsid w:val="6F849DA0"/>
    <w:rsid w:val="72921678"/>
    <w:rsid w:val="72DC6FD6"/>
    <w:rsid w:val="7467EE7D"/>
    <w:rsid w:val="7486BA54"/>
    <w:rsid w:val="752C29FF"/>
    <w:rsid w:val="7578E8D7"/>
    <w:rsid w:val="758CC852"/>
    <w:rsid w:val="75AE1448"/>
    <w:rsid w:val="760FC0B8"/>
    <w:rsid w:val="76D2D609"/>
    <w:rsid w:val="771D19BB"/>
    <w:rsid w:val="782B2BDE"/>
    <w:rsid w:val="791077A0"/>
    <w:rsid w:val="79216890"/>
    <w:rsid w:val="796C1EEE"/>
    <w:rsid w:val="79E76100"/>
    <w:rsid w:val="7B1E7DEC"/>
    <w:rsid w:val="7B4ADC9A"/>
    <w:rsid w:val="7C741FFF"/>
    <w:rsid w:val="7C9AA2C9"/>
    <w:rsid w:val="7CE65CD7"/>
    <w:rsid w:val="7D047E4F"/>
    <w:rsid w:val="7E27CF90"/>
    <w:rsid w:val="7E4C6C63"/>
    <w:rsid w:val="7F6635BC"/>
    <w:rsid w:val="7F735ACD"/>
    <w:rsid w:val="7F80E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A1054"/>
  <w15:chartTrackingRefBased/>
  <w15:docId w15:val="{F8105033-49B8-4FBD-9C57-2BD3C18460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9255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55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5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5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5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55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9255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9255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9255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9255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9255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9255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9255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9255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9255B"/>
    <w:rPr>
      <w:rFonts w:eastAsiaTheme="majorEastAsia" w:cstheme="majorBidi"/>
      <w:color w:val="272727" w:themeColor="text1" w:themeTint="D8"/>
    </w:rPr>
  </w:style>
  <w:style w:type="paragraph" w:styleId="Title">
    <w:name w:val="Title"/>
    <w:basedOn w:val="Normal"/>
    <w:next w:val="Normal"/>
    <w:link w:val="TitleChar"/>
    <w:uiPriority w:val="10"/>
    <w:qFormat/>
    <w:rsid w:val="0009255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9255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9255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92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55B"/>
    <w:pPr>
      <w:spacing w:before="160"/>
      <w:jc w:val="center"/>
    </w:pPr>
    <w:rPr>
      <w:i/>
      <w:iCs/>
      <w:color w:val="404040" w:themeColor="text1" w:themeTint="BF"/>
    </w:rPr>
  </w:style>
  <w:style w:type="character" w:styleId="QuoteChar" w:customStyle="1">
    <w:name w:val="Quote Char"/>
    <w:basedOn w:val="DefaultParagraphFont"/>
    <w:link w:val="Quote"/>
    <w:uiPriority w:val="29"/>
    <w:rsid w:val="0009255B"/>
    <w:rPr>
      <w:i/>
      <w:iCs/>
      <w:color w:val="404040" w:themeColor="text1" w:themeTint="BF"/>
    </w:rPr>
  </w:style>
  <w:style w:type="paragraph" w:styleId="ListParagraph">
    <w:name w:val="List Paragraph"/>
    <w:basedOn w:val="Normal"/>
    <w:uiPriority w:val="34"/>
    <w:qFormat/>
    <w:rsid w:val="0009255B"/>
    <w:pPr>
      <w:ind w:left="720"/>
      <w:contextualSpacing/>
    </w:pPr>
  </w:style>
  <w:style w:type="character" w:styleId="IntenseEmphasis">
    <w:name w:val="Intense Emphasis"/>
    <w:basedOn w:val="DefaultParagraphFont"/>
    <w:uiPriority w:val="21"/>
    <w:qFormat/>
    <w:rsid w:val="0009255B"/>
    <w:rPr>
      <w:i/>
      <w:iCs/>
      <w:color w:val="0F4761" w:themeColor="accent1" w:themeShade="BF"/>
    </w:rPr>
  </w:style>
  <w:style w:type="paragraph" w:styleId="IntenseQuote">
    <w:name w:val="Intense Quote"/>
    <w:basedOn w:val="Normal"/>
    <w:next w:val="Normal"/>
    <w:link w:val="IntenseQuoteChar"/>
    <w:uiPriority w:val="30"/>
    <w:qFormat/>
    <w:rsid w:val="0009255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9255B"/>
    <w:rPr>
      <w:i/>
      <w:iCs/>
      <w:color w:val="0F4761" w:themeColor="accent1" w:themeShade="BF"/>
    </w:rPr>
  </w:style>
  <w:style w:type="character" w:styleId="IntenseReference">
    <w:name w:val="Intense Reference"/>
    <w:basedOn w:val="DefaultParagraphFont"/>
    <w:uiPriority w:val="32"/>
    <w:qFormat/>
    <w:rsid w:val="0009255B"/>
    <w:rPr>
      <w:b/>
      <w:bCs/>
      <w:smallCaps/>
      <w:color w:val="0F4761" w:themeColor="accent1" w:themeShade="BF"/>
      <w:spacing w:val="5"/>
    </w:rPr>
  </w:style>
  <w:style w:type="character" w:styleId="Hyperlink">
    <w:name w:val="Hyperlink"/>
    <w:basedOn w:val="DefaultParagraphFont"/>
    <w:uiPriority w:val="99"/>
    <w:unhideWhenUsed/>
    <w:rsid w:val="0009255B"/>
    <w:rPr>
      <w:color w:val="467886" w:themeColor="hyperlink"/>
      <w:u w:val="single"/>
    </w:rPr>
  </w:style>
  <w:style w:type="character" w:styleId="UnresolvedMention">
    <w:name w:val="Unresolved Mention"/>
    <w:basedOn w:val="DefaultParagraphFont"/>
    <w:uiPriority w:val="99"/>
    <w:semiHidden/>
    <w:unhideWhenUsed/>
    <w:rsid w:val="0009255B"/>
    <w:rPr>
      <w:color w:val="605E5C"/>
      <w:shd w:val="clear" w:color="auto" w:fill="E1DFDD"/>
    </w:rPr>
  </w:style>
  <w:style w:type="paragraph" w:styleId="Header">
    <w:name w:val="header"/>
    <w:basedOn w:val="Normal"/>
    <w:link w:val="HeaderChar"/>
    <w:uiPriority w:val="99"/>
    <w:unhideWhenUsed/>
    <w:rsid w:val="000925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9255B"/>
  </w:style>
  <w:style w:type="paragraph" w:styleId="Footer">
    <w:name w:val="footer"/>
    <w:basedOn w:val="Normal"/>
    <w:link w:val="FooterChar"/>
    <w:uiPriority w:val="99"/>
    <w:unhideWhenUsed/>
    <w:rsid w:val="000925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9255B"/>
  </w:style>
  <w:style w:type="paragraph" w:styleId="TOC2">
    <w:uiPriority w:val="39"/>
    <w:name w:val="toc 2"/>
    <w:basedOn w:val="Normal"/>
    <w:next w:val="Normal"/>
    <w:unhideWhenUsed/>
    <w:rsid w:val="31059CE2"/>
    <w:pPr>
      <w:spacing w:after="100"/>
      <w:ind w:left="220"/>
    </w:pPr>
  </w:style>
  <w:style w:type="paragraph" w:styleId="TOC3">
    <w:uiPriority w:val="39"/>
    <w:name w:val="toc 3"/>
    <w:basedOn w:val="Normal"/>
    <w:next w:val="Normal"/>
    <w:unhideWhenUsed/>
    <w:rsid w:val="31059C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theme" Target="theme/theme1.xml" Id="rId34" /><Relationship Type="http://schemas.openxmlformats.org/officeDocument/2006/relationships/webSettings" Target="webSettings.xml" Id="rId7"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32"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notes" Target="footnotes.xml" Id="rId8" /><Relationship Type="http://schemas.openxmlformats.org/officeDocument/2006/relationships/image" Target="/media/image.png" Id="rId2023606427" /><Relationship Type="http://schemas.openxmlformats.org/officeDocument/2006/relationships/hyperlink" Target="https://doi.org/10.1016/S2542-5196(22)00063-8" TargetMode="External" Id="Ra896bb916c4b461e" /><Relationship Type="http://schemas.openxmlformats.org/officeDocument/2006/relationships/hyperlink" Target="https://doi.org/10.2105/AJPH.2004.050831" TargetMode="External" Id="R285da53f187946ff" /><Relationship Type="http://schemas.openxmlformats.org/officeDocument/2006/relationships/hyperlink" Target="https://doi.org/10.1093/oxfordhb/9780190245191.013.8" TargetMode="External" Id="R298fb5227677461c" /><Relationship Type="http://schemas.openxmlformats.org/officeDocument/2006/relationships/hyperlink" Target="https://wwwnc.cdc.gov/eid/" TargetMode="External" Id="R89dd5bd4486e464d" /><Relationship Type="http://schemas.openxmlformats.org/officeDocument/2006/relationships/hyperlink" Target="https://www.sciencedirect.com/topics/psychology/theory-of-planned-behavior" TargetMode="External" Id="R6e6b493f4e384d00" /><Relationship Type="http://schemas.openxmlformats.org/officeDocument/2006/relationships/hyperlink" Target="https://doi.org/10.1016/S0140-6736(15)60644-4" TargetMode="External" Id="Reb22ad646e7a4586" /><Relationship Type="http://schemas.openxmlformats.org/officeDocument/2006/relationships/hyperlink" Target="https://doi.org/10.3390/ijerph18189468" TargetMode="External" Id="Rc5baeabf96bb492b" /><Relationship Type="http://schemas.openxmlformats.org/officeDocument/2006/relationships/hyperlink" Target="https://doi.org/10.1016/S0140-6736(18)31829-4" TargetMode="External" Id="R4f568530fbab4322" /><Relationship Type="http://schemas.openxmlformats.org/officeDocument/2006/relationships/hyperlink" Target="https://doi.org/10.3402/gha.v7.23507" TargetMode="External" Id="R8bf10c35f261493f" /><Relationship Type="http://schemas.openxmlformats.org/officeDocument/2006/relationships/hyperlink" Target="https://www.lancetcountdown.org/2023-report/" TargetMode="External" Id="R24ccab3461ca48e0" /><Relationship Type="http://schemas.openxmlformats.org/officeDocument/2006/relationships/hyperlink" Target="https://doi.org/10.1016/S2468-2667(22)00199-2" TargetMode="External" Id="R6d5a46d76d5d469e" /><Relationship Type="http://schemas.openxmlformats.org/officeDocument/2006/relationships/hyperlink" Target="https://www.local.gov.uk/sites/default/files/documents/measuring-impact-health-i-8ce.pdf" TargetMode="External" Id="Rcfb3d459d8624e43" /><Relationship Type="http://schemas.openxmlformats.org/officeDocument/2006/relationships/hyperlink" Target="https://doi.org/10.7812/tpp/23.134" TargetMode="External" Id="R0fa84acd406345ea" /><Relationship Type="http://schemas.openxmlformats.org/officeDocument/2006/relationships/hyperlink" Target="https://www.england.nhs.uk/long-term-conditions/" TargetMode="External" Id="R1c7b3c14d5784984" /><Relationship Type="http://schemas.openxmlformats.org/officeDocument/2006/relationships/hyperlink" Target="https://www.nice.org.uk/about/what-we-do/our-research-work/use-of-ai-in-evidence-generation%E2%80%93nice-position-statement" TargetMode="External" Id="Reef5829da7984793" /><Relationship Type="http://schemas.openxmlformats.org/officeDocument/2006/relationships/hyperlink" Target="https://www.theglobalfund.org/en/news/2025/" TargetMode="External" Id="R904dea5874f04976" /><Relationship Type="http://schemas.openxmlformats.org/officeDocument/2006/relationships/hyperlink" Target="https://www.kingsfund.org.uk/insight-and-analysis/long-reads/covid-19-road-renewal-health-and-care" TargetMode="External" Id="R50a47a1d1a064fbf" /><Relationship Type="http://schemas.openxmlformats.org/officeDocument/2006/relationships/hyperlink" Target="https://www.kingsfund.org.uk/insight-and-analysis/long-reads/tackling-health-inequalities-seven-priorities-nhs" TargetMode="External" Id="R2e4eb425acad4c1d" /><Relationship Type="http://schemas.openxmlformats.org/officeDocument/2006/relationships/hyperlink" Target="https://www.gov.uk/guidance/heat-summary-health-effects-of-climate-change-hecc-full-report" TargetMode="External" Id="R4551d42d0a4c4dba" /><Relationship Type="http://schemas.openxmlformats.org/officeDocument/2006/relationships/hyperlink" Target="https://www.gov.uk/government/publications/health-inequalities-in-health-protection-report/health-inequalities-in-health-protection-report-2025" TargetMode="External" Id="R422700fec4c241b0" /><Relationship Type="http://schemas.openxmlformats.org/officeDocument/2006/relationships/hyperlink" Target="https://www.unaids.org/en/resources/fact-sheet" TargetMode="External" Id="R82bbd7bcff16483e" /><Relationship Type="http://schemas.openxmlformats.org/officeDocument/2006/relationships/hyperlink" Target="https://sdgs.un.org/goals" TargetMode="External" Id="Raaf38001dae9422c" /><Relationship Type="http://schemas.openxmlformats.org/officeDocument/2006/relationships/hyperlink" Target="https://apps.who.int/iris/bitstream/handle/10665/43943/9789241563703_eng.pdf" TargetMode="External" Id="R4be0e55c751e426c" /><Relationship Type="http://schemas.openxmlformats.org/officeDocument/2006/relationships/hyperlink" Target="https://www.who.int/news-room/facts-in-pictures/detail/health-inequities-and-their-causes" TargetMode="External" Id="R491a4bba611d4ec2" /><Relationship Type="http://schemas.openxmlformats.org/officeDocument/2006/relationships/hyperlink" Target="https://www.who.int/about/what-we-do" TargetMode="External" Id="R73514e72588f4e92" /><Relationship Type="http://schemas.openxmlformats.org/officeDocument/2006/relationships/hyperlink" Target="https://www.who.int/publications/i/item/9789240074323" TargetMode="External" Id="Rd1a5fad493d845cb" /><Relationship Type="http://schemas.openxmlformats.org/officeDocument/2006/relationships/hyperlink" Target="https://www.who.int/news-room/fact-sheets/detail/climate-change-and-health" TargetMode="External" Id="Rf3bb7bf1f70b49cf" /><Relationship Type="http://schemas.openxmlformats.org/officeDocument/2006/relationships/hyperlink" Target="https://www.who.int/about/collaboration/partnerships" TargetMode="External" Id="R0893a2cf82804d2a" /><Relationship Type="http://schemas.microsoft.com/office/2020/10/relationships/intelligence" Target="intelligence2.xml" Id="Ree18996ba4da40ce" /><Relationship Type="http://schemas.openxmlformats.org/officeDocument/2006/relationships/hyperlink" Target="https://www.kingsfund.org.uk/insight-and-analysis/blogs/planning-guidance-2025-top-takes" TargetMode="External" Id="R0b30ae5d05a84b2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ea15ddfc84a5bfe60da0dd1c9ff97f3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a3f5b24268e1e1c9afd1da11b104cfab"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13C47072-6A65-42AE-B051-7738C127F4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014928-9AD8-4BD0-A973-F2C4C7AD5ACA}">
  <ds:schemaRefs>
    <ds:schemaRef ds:uri="http://schemas.microsoft.com/sharepoint/v3/contenttype/forms"/>
  </ds:schemaRefs>
</ds:datastoreItem>
</file>

<file path=customXml/itemProps3.xml><?xml version="1.0" encoding="utf-8"?>
<ds:datastoreItem xmlns:ds="http://schemas.openxmlformats.org/officeDocument/2006/customXml" ds:itemID="{FDC74BD1-A2B0-4ABD-911E-859257D14E8A}">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Asya Zulfiqar (2229775)</dc:creator>
  <keywords/>
  <dc:description/>
  <lastModifiedBy>Asya Zulfiqar (2229775)</lastModifiedBy>
  <revision>4</revision>
  <dcterms:created xsi:type="dcterms:W3CDTF">2026-02-13T00:51:00.0000000Z</dcterms:created>
  <dcterms:modified xsi:type="dcterms:W3CDTF">2026-03-15T19:29:58.5474572Z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