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szCs w:val="24"/>
          <w:lang w:val="en-GB" w:eastAsia="en-GB"/>
        </w:rPr>
        <w:id w:val="-573426570"/>
        <w:docPartObj>
          <w:docPartGallery w:val="Cover Pages"/>
          <w:docPartUnique/>
        </w:docPartObj>
      </w:sdtPr>
      <w:sdtEndPr>
        <w:rPr>
          <w:rFonts w:ascii="Baskerville" w:eastAsia="Times New Roman" w:hAnsi="Baskerville" w:cs="Heebo"/>
          <w:b/>
          <w:bCs/>
          <w:caps w:val="0"/>
          <w:shd w:val="clear" w:color="auto" w:fill="FFFFFF"/>
        </w:rPr>
      </w:sdtEndPr>
      <w:sdtContent>
        <w:tbl>
          <w:tblPr>
            <w:tblW w:w="5000" w:type="pct"/>
            <w:jc w:val="center"/>
            <w:tblLook w:val="04A0" w:firstRow="1" w:lastRow="0" w:firstColumn="1" w:lastColumn="0" w:noHBand="0" w:noVBand="1"/>
          </w:tblPr>
          <w:tblGrid>
            <w:gridCol w:w="9236"/>
          </w:tblGrid>
          <w:tr w:rsidR="00E45D95" w:rsidRPr="00882953" w14:paraId="5E5FF874" w14:textId="77777777" w:rsidTr="000E2D87">
            <w:trPr>
              <w:trHeight w:val="2880"/>
              <w:jc w:val="center"/>
            </w:trPr>
            <w:tc>
              <w:tcPr>
                <w:tcW w:w="5000" w:type="pct"/>
              </w:tcPr>
              <w:p w14:paraId="21C359FD" w14:textId="77777777" w:rsidR="00E45D95" w:rsidRPr="00882953" w:rsidRDefault="00E45D95" w:rsidP="000E2D87">
                <w:pPr>
                  <w:pStyle w:val="NoSpacing"/>
                  <w:jc w:val="center"/>
                  <w:rPr>
                    <w:rFonts w:asciiTheme="majorHAnsi" w:eastAsiaTheme="majorEastAsia" w:hAnsiTheme="majorHAnsi" w:cstheme="majorBidi"/>
                    <w:caps/>
                  </w:rPr>
                </w:pPr>
              </w:p>
            </w:tc>
          </w:tr>
          <w:tr w:rsidR="00E45D95" w:rsidRPr="00882953" w14:paraId="704174BF" w14:textId="77777777" w:rsidTr="000E2D87">
            <w:trPr>
              <w:trHeight w:val="948"/>
              <w:jc w:val="center"/>
            </w:trPr>
            <w:tc>
              <w:tcPr>
                <w:tcW w:w="5000" w:type="pct"/>
                <w:tcBorders>
                  <w:bottom w:val="single" w:sz="4" w:space="0" w:color="4472C4" w:themeColor="accent1"/>
                </w:tcBorders>
                <w:vAlign w:val="center"/>
              </w:tcPr>
              <w:p w14:paraId="206849D3" w14:textId="77777777" w:rsidR="00E45D95" w:rsidRDefault="00DF3E44" w:rsidP="000E2D87">
                <w:pPr>
                  <w:pStyle w:val="NoSpacing"/>
                  <w:jc w:val="center"/>
                  <w:rPr>
                    <w:rFonts w:ascii="Arial" w:hAnsi="Arial" w:cs="Arial"/>
                    <w:b/>
                    <w:bCs/>
                    <w:sz w:val="56"/>
                    <w:szCs w:val="56"/>
                  </w:rPr>
                </w:pPr>
                <w:r w:rsidRPr="00DF3E44">
                  <w:rPr>
                    <w:rFonts w:ascii="Arial" w:hAnsi="Arial" w:cs="Arial"/>
                    <w:b/>
                    <w:bCs/>
                    <w:sz w:val="56"/>
                    <w:szCs w:val="56"/>
                  </w:rPr>
                  <w:t>Quantitative Research Methods</w:t>
                </w:r>
              </w:p>
              <w:p w14:paraId="22CB672A" w14:textId="2E23FB64" w:rsidR="00591DF0" w:rsidRPr="00882953" w:rsidRDefault="00591DF0" w:rsidP="000E2D87">
                <w:pPr>
                  <w:pStyle w:val="NoSpacing"/>
                  <w:jc w:val="center"/>
                  <w:rPr>
                    <w:rFonts w:ascii="Arial" w:hAnsi="Arial" w:cs="Arial"/>
                    <w:b/>
                    <w:bCs/>
                    <w:sz w:val="56"/>
                    <w:szCs w:val="56"/>
                  </w:rPr>
                </w:pPr>
                <w:r>
                  <w:rPr>
                    <w:rFonts w:ascii="Arial" w:hAnsi="Arial" w:cs="Arial"/>
                    <w:b/>
                    <w:bCs/>
                    <w:sz w:val="56"/>
                    <w:szCs w:val="56"/>
                  </w:rPr>
                  <w:t>Journal A</w:t>
                </w:r>
                <w:r w:rsidRPr="00591DF0">
                  <w:rPr>
                    <w:rFonts w:ascii="Arial" w:hAnsi="Arial" w:cs="Arial"/>
                    <w:b/>
                    <w:bCs/>
                    <w:sz w:val="56"/>
                    <w:szCs w:val="56"/>
                  </w:rPr>
                  <w:t>rticle</w:t>
                </w:r>
              </w:p>
            </w:tc>
          </w:tr>
          <w:tr w:rsidR="00E45D95" w:rsidRPr="00882953" w14:paraId="25F32B7D" w14:textId="77777777" w:rsidTr="000E2D87">
            <w:trPr>
              <w:trHeight w:val="720"/>
              <w:jc w:val="center"/>
            </w:trPr>
            <w:tc>
              <w:tcPr>
                <w:tcW w:w="5000" w:type="pct"/>
                <w:tcBorders>
                  <w:top w:val="single" w:sz="4" w:space="0" w:color="4472C4" w:themeColor="accent1"/>
                </w:tcBorders>
                <w:vAlign w:val="center"/>
              </w:tcPr>
              <w:p w14:paraId="1A28AFF6" w14:textId="77777777" w:rsidR="00E45D95" w:rsidRPr="00882953" w:rsidRDefault="00E45D95" w:rsidP="000E2D87">
                <w:pPr>
                  <w:pStyle w:val="NoSpacing"/>
                  <w:jc w:val="center"/>
                  <w:rPr>
                    <w:rFonts w:ascii="Arial" w:eastAsiaTheme="majorEastAsia" w:hAnsi="Arial" w:cs="Arial"/>
                    <w:sz w:val="44"/>
                    <w:szCs w:val="44"/>
                  </w:rPr>
                </w:pPr>
              </w:p>
            </w:tc>
          </w:tr>
          <w:tr w:rsidR="00E45D95" w:rsidRPr="00882953" w14:paraId="09685A52" w14:textId="77777777" w:rsidTr="000E2D87">
            <w:trPr>
              <w:trHeight w:val="360"/>
              <w:jc w:val="center"/>
            </w:trPr>
            <w:tc>
              <w:tcPr>
                <w:tcW w:w="5000" w:type="pct"/>
                <w:vAlign w:val="center"/>
              </w:tcPr>
              <w:p w14:paraId="7CD819F2" w14:textId="77777777" w:rsidR="00E45D95" w:rsidRPr="00882953" w:rsidRDefault="00E45D95" w:rsidP="000E2D87">
                <w:pPr>
                  <w:pStyle w:val="NoSpacing"/>
                  <w:rPr>
                    <w:rFonts w:ascii="Arial" w:hAnsi="Arial" w:cs="Arial"/>
                  </w:rPr>
                </w:pPr>
              </w:p>
            </w:tc>
          </w:tr>
        </w:tbl>
        <w:p w14:paraId="7E786B60" w14:textId="77777777" w:rsidR="00D14EB4" w:rsidRPr="00D14EB4" w:rsidRDefault="00D14EB4" w:rsidP="00D14EB4">
          <w:pPr>
            <w:spacing w:line="276" w:lineRule="auto"/>
            <w:jc w:val="both"/>
            <w:rPr>
              <w:rFonts w:ascii="Arial" w:hAnsi="Arial" w:cs="Arial"/>
              <w:bCs/>
              <w:shd w:val="clear" w:color="auto" w:fill="FFFFFF"/>
            </w:rPr>
          </w:pPr>
          <w:r w:rsidRPr="00D14EB4">
            <w:rPr>
              <w:rFonts w:ascii="Arial" w:hAnsi="Arial" w:cs="Arial"/>
              <w:bCs/>
              <w:shd w:val="clear" w:color="auto" w:fill="FFFFFF"/>
            </w:rPr>
            <w:t>Ethan Keeble</w:t>
          </w:r>
        </w:p>
        <w:p w14:paraId="6CBC2BF9" w14:textId="77777777" w:rsidR="00D14EB4" w:rsidRDefault="00D14EB4" w:rsidP="00D14EB4">
          <w:pPr>
            <w:spacing w:line="276" w:lineRule="auto"/>
            <w:jc w:val="both"/>
            <w:rPr>
              <w:rFonts w:ascii="Arial" w:hAnsi="Arial" w:cs="Arial"/>
              <w:bCs/>
              <w:shd w:val="clear" w:color="auto" w:fill="FFFFFF"/>
            </w:rPr>
          </w:pPr>
          <w:r w:rsidRPr="00D14EB4">
            <w:rPr>
              <w:rFonts w:ascii="Arial" w:hAnsi="Arial" w:cs="Arial"/>
              <w:bCs/>
              <w:shd w:val="clear" w:color="auto" w:fill="FFFFFF"/>
            </w:rPr>
            <w:t>Student number: 2405245</w:t>
          </w:r>
        </w:p>
        <w:p w14:paraId="1134D370" w14:textId="77777777" w:rsidR="00D14EB4" w:rsidRPr="00D14EB4" w:rsidRDefault="00D14EB4" w:rsidP="00D14EB4">
          <w:pPr>
            <w:spacing w:line="276" w:lineRule="auto"/>
            <w:jc w:val="both"/>
            <w:rPr>
              <w:rFonts w:ascii="Arial" w:hAnsi="Arial" w:cs="Arial"/>
              <w:bCs/>
              <w:shd w:val="clear" w:color="auto" w:fill="FFFFFF"/>
            </w:rPr>
          </w:pPr>
        </w:p>
        <w:p w14:paraId="09EFD118" w14:textId="77777777" w:rsidR="00D14EB4" w:rsidRPr="00D14EB4" w:rsidRDefault="00D14EB4" w:rsidP="00D14EB4">
          <w:pPr>
            <w:spacing w:line="276" w:lineRule="auto"/>
            <w:jc w:val="both"/>
            <w:rPr>
              <w:rFonts w:ascii="Arial" w:hAnsi="Arial" w:cs="Arial"/>
              <w:bCs/>
              <w:shd w:val="clear" w:color="auto" w:fill="FFFFFF"/>
            </w:rPr>
          </w:pPr>
          <w:r w:rsidRPr="00D14EB4">
            <w:rPr>
              <w:rFonts w:ascii="Arial" w:hAnsi="Arial" w:cs="Arial"/>
              <w:bCs/>
              <w:shd w:val="clear" w:color="auto" w:fill="FFFFFF"/>
            </w:rPr>
            <w:t>Course: Doctorate in Professional Practice (</w:t>
          </w:r>
          <w:proofErr w:type="spellStart"/>
          <w:r w:rsidRPr="00D14EB4">
            <w:rPr>
              <w:rFonts w:ascii="Arial" w:hAnsi="Arial" w:cs="Arial"/>
              <w:bCs/>
              <w:shd w:val="clear" w:color="auto" w:fill="FFFFFF"/>
            </w:rPr>
            <w:t>DProf</w:t>
          </w:r>
          <w:proofErr w:type="spellEnd"/>
          <w:r w:rsidRPr="00D14EB4">
            <w:rPr>
              <w:rFonts w:ascii="Arial" w:hAnsi="Arial" w:cs="Arial"/>
              <w:bCs/>
              <w:shd w:val="clear" w:color="auto" w:fill="FFFFFF"/>
            </w:rPr>
            <w:t>)</w:t>
          </w:r>
        </w:p>
        <w:p w14:paraId="50352CE8" w14:textId="77777777" w:rsidR="00D14EB4" w:rsidRDefault="00D14EB4" w:rsidP="00D14EB4">
          <w:pPr>
            <w:spacing w:line="276" w:lineRule="auto"/>
            <w:jc w:val="both"/>
            <w:rPr>
              <w:rFonts w:ascii="Arial" w:hAnsi="Arial" w:cs="Arial"/>
              <w:bCs/>
              <w:shd w:val="clear" w:color="auto" w:fill="FFFFFF"/>
            </w:rPr>
          </w:pPr>
          <w:r w:rsidRPr="00D14EB4">
            <w:rPr>
              <w:rFonts w:ascii="Arial" w:hAnsi="Arial" w:cs="Arial"/>
              <w:bCs/>
              <w:shd w:val="clear" w:color="auto" w:fill="FFFFFF"/>
            </w:rPr>
            <w:t>Module: BMDP7009 Quantitative Research Methods</w:t>
          </w:r>
        </w:p>
        <w:p w14:paraId="1BD981DA" w14:textId="77777777" w:rsidR="00D14EB4" w:rsidRPr="00D14EB4" w:rsidRDefault="00D14EB4" w:rsidP="00D14EB4">
          <w:pPr>
            <w:spacing w:line="276" w:lineRule="auto"/>
            <w:jc w:val="both"/>
            <w:rPr>
              <w:rFonts w:ascii="Arial" w:hAnsi="Arial" w:cs="Arial"/>
              <w:bCs/>
              <w:shd w:val="clear" w:color="auto" w:fill="FFFFFF"/>
            </w:rPr>
          </w:pPr>
        </w:p>
        <w:p w14:paraId="23089A0C" w14:textId="170E90B2" w:rsidR="00D14EB4" w:rsidRDefault="006A3F8B" w:rsidP="00D14EB4">
          <w:pPr>
            <w:spacing w:line="276" w:lineRule="auto"/>
            <w:jc w:val="both"/>
            <w:rPr>
              <w:rFonts w:ascii="Arial" w:hAnsi="Arial" w:cs="Arial"/>
              <w:bCs/>
              <w:shd w:val="clear" w:color="auto" w:fill="FFFFFF"/>
            </w:rPr>
          </w:pPr>
          <w:r>
            <w:rPr>
              <w:rFonts w:ascii="Arial" w:hAnsi="Arial" w:cs="Arial"/>
              <w:bCs/>
              <w:shd w:val="clear" w:color="auto" w:fill="FFFFFF"/>
            </w:rPr>
            <w:t xml:space="preserve">Word count: </w:t>
          </w:r>
          <w:r w:rsidR="00D14EB4" w:rsidRPr="00D14EB4">
            <w:rPr>
              <w:rFonts w:ascii="Arial" w:hAnsi="Arial" w:cs="Arial"/>
              <w:bCs/>
              <w:shd w:val="clear" w:color="auto" w:fill="FFFFFF"/>
            </w:rPr>
            <w:t>In accordance with Section 7.7 of the UWTSD Academic Quality Handbook 2025/26, the 7,500-word limit permits</w:t>
          </w:r>
          <w:r w:rsidR="0072404F">
            <w:rPr>
              <w:rFonts w:ascii="Arial" w:hAnsi="Arial" w:cs="Arial"/>
              <w:bCs/>
              <w:shd w:val="clear" w:color="auto" w:fill="FFFFFF"/>
            </w:rPr>
            <w:t xml:space="preserve"> an additional 10% (750 words); t</w:t>
          </w:r>
          <w:r w:rsidR="00D14EB4" w:rsidRPr="00D14EB4">
            <w:rPr>
              <w:rFonts w:ascii="Arial" w:hAnsi="Arial" w:cs="Arial"/>
              <w:bCs/>
              <w:shd w:val="clear" w:color="auto" w:fill="FFFFFF"/>
            </w:rPr>
            <w:t xml:space="preserve">his submission contains </w:t>
          </w:r>
          <w:r w:rsidR="0072404F" w:rsidRPr="0072404F">
            <w:rPr>
              <w:rFonts w:ascii="Arial" w:hAnsi="Arial" w:cs="Arial"/>
              <w:b/>
              <w:bCs/>
              <w:shd w:val="clear" w:color="auto" w:fill="FFFFFF"/>
            </w:rPr>
            <w:t>8,172</w:t>
          </w:r>
          <w:r w:rsidR="00D14EB4" w:rsidRPr="0072404F">
            <w:rPr>
              <w:rFonts w:ascii="Arial" w:hAnsi="Arial" w:cs="Arial"/>
              <w:b/>
              <w:bCs/>
              <w:shd w:val="clear" w:color="auto" w:fill="FFFFFF"/>
            </w:rPr>
            <w:t xml:space="preserve"> words</w:t>
          </w:r>
          <w:r w:rsidR="00D14EB4" w:rsidRPr="0072404F">
            <w:rPr>
              <w:rFonts w:ascii="Arial" w:hAnsi="Arial" w:cs="Arial"/>
              <w:bCs/>
              <w:shd w:val="clear" w:color="auto" w:fill="FFFFFF"/>
            </w:rPr>
            <w:t>,</w:t>
          </w:r>
          <w:r w:rsidR="00D14EB4" w:rsidRPr="00D14EB4">
            <w:rPr>
              <w:rFonts w:ascii="Arial" w:hAnsi="Arial" w:cs="Arial"/>
              <w:bCs/>
              <w:shd w:val="clear" w:color="auto" w:fill="FFFFFF"/>
            </w:rPr>
            <w:t xml:space="preserve"> excluding the abstract, tables and reference list</w:t>
          </w:r>
          <w:r w:rsidR="0072404F">
            <w:rPr>
              <w:rFonts w:ascii="Arial" w:hAnsi="Arial" w:cs="Arial"/>
              <w:bCs/>
              <w:shd w:val="clear" w:color="auto" w:fill="FFFFFF"/>
            </w:rPr>
            <w:t>.</w:t>
          </w:r>
        </w:p>
        <w:p w14:paraId="7A18CB5A" w14:textId="77777777" w:rsidR="00D14EB4" w:rsidRPr="00D14EB4" w:rsidRDefault="00D14EB4" w:rsidP="00D14EB4">
          <w:pPr>
            <w:spacing w:line="276" w:lineRule="auto"/>
            <w:jc w:val="both"/>
            <w:rPr>
              <w:rFonts w:ascii="Arial" w:hAnsi="Arial" w:cs="Arial"/>
              <w:bCs/>
              <w:shd w:val="clear" w:color="auto" w:fill="FFFFFF"/>
            </w:rPr>
          </w:pPr>
        </w:p>
        <w:p w14:paraId="0DB4618E" w14:textId="1C05EEF2" w:rsidR="00E45D95" w:rsidRPr="00DE0054" w:rsidRDefault="00DE0054" w:rsidP="00DE0054">
          <w:pPr>
            <w:spacing w:line="276" w:lineRule="auto"/>
            <w:jc w:val="both"/>
            <w:rPr>
              <w:rFonts w:ascii="Arial" w:hAnsi="Arial" w:cs="Arial"/>
              <w:bCs/>
              <w:shd w:val="clear" w:color="auto" w:fill="FFFFFF"/>
            </w:rPr>
          </w:pPr>
          <w:r>
            <w:rPr>
              <w:rFonts w:ascii="Arial" w:hAnsi="Arial" w:cs="Arial"/>
              <w:bCs/>
              <w:shd w:val="clear" w:color="auto" w:fill="FFFFFF"/>
            </w:rPr>
            <w:t xml:space="preserve">Academic Integrity: </w:t>
          </w:r>
          <w:r w:rsidRPr="00DE0054">
            <w:rPr>
              <w:rFonts w:ascii="Arial" w:hAnsi="Arial" w:cs="Arial"/>
              <w:bCs/>
              <w:shd w:val="clear" w:color="auto" w:fill="FFFFFF"/>
            </w:rPr>
            <w:t>This work is my own. No generative artificial intelligence tools were used in the writing or production of this work.</w:t>
          </w:r>
          <w:r w:rsidR="00E45D95" w:rsidRPr="00882953">
            <w:rPr>
              <w:rFonts w:ascii="Baskerville" w:hAnsi="Baskerville" w:cs="Heebo"/>
              <w:b/>
              <w:bCs/>
              <w:shd w:val="clear" w:color="auto" w:fill="FFFFFF"/>
            </w:rPr>
            <w:br w:type="page"/>
          </w:r>
        </w:p>
      </w:sdtContent>
    </w:sdt>
    <w:p w14:paraId="29098F4D" w14:textId="6AE0995A" w:rsidR="00B435F5" w:rsidRPr="00D7269F" w:rsidRDefault="00A22DD1" w:rsidP="00E45D95">
      <w:pPr>
        <w:spacing w:line="276" w:lineRule="auto"/>
        <w:jc w:val="center"/>
        <w:rPr>
          <w:rFonts w:ascii="Arial" w:hAnsi="Arial" w:cs="Arial"/>
          <w:b/>
          <w:bCs/>
        </w:rPr>
      </w:pPr>
      <w:r w:rsidRPr="00D7269F">
        <w:rPr>
          <w:rFonts w:ascii="Arial" w:hAnsi="Arial" w:cs="Arial"/>
          <w:b/>
          <w:bCs/>
        </w:rPr>
        <w:lastRenderedPageBreak/>
        <w:t>TRENDS IN THE COST OF MEDICINES USED IN SECONDARY CARE IN THE UK NATIONAL HEALTH SERVICE: AN ANALYSIS OF OPEN-ACCESS DATA</w:t>
      </w:r>
    </w:p>
    <w:p w14:paraId="6952FA1A" w14:textId="1F71DD3E" w:rsidR="005B4044" w:rsidRPr="00153F31" w:rsidRDefault="005B4044" w:rsidP="00F66B3A">
      <w:pPr>
        <w:spacing w:line="276" w:lineRule="auto"/>
        <w:jc w:val="both"/>
        <w:rPr>
          <w:rFonts w:ascii="Arial" w:hAnsi="Arial" w:cs="Arial"/>
        </w:rPr>
      </w:pPr>
    </w:p>
    <w:p w14:paraId="6E415BE7" w14:textId="7AE0C83A" w:rsidR="000B3DCB" w:rsidRPr="00153F31" w:rsidRDefault="000B3DCB" w:rsidP="00F66B3A">
      <w:pPr>
        <w:spacing w:line="276" w:lineRule="auto"/>
        <w:jc w:val="both"/>
        <w:rPr>
          <w:rFonts w:ascii="Arial" w:hAnsi="Arial" w:cs="Arial"/>
          <w:b/>
          <w:bCs/>
        </w:rPr>
      </w:pPr>
      <w:r w:rsidRPr="00153F31">
        <w:rPr>
          <w:rFonts w:ascii="Arial" w:hAnsi="Arial" w:cs="Arial"/>
          <w:b/>
          <w:bCs/>
        </w:rPr>
        <w:t>Abstract</w:t>
      </w:r>
    </w:p>
    <w:p w14:paraId="1C6E6616" w14:textId="524F2E23" w:rsidR="000B3DCB" w:rsidRPr="00153F31" w:rsidRDefault="000B3DCB" w:rsidP="00F66B3A">
      <w:pPr>
        <w:spacing w:line="276" w:lineRule="auto"/>
        <w:jc w:val="both"/>
        <w:rPr>
          <w:rFonts w:ascii="Arial" w:hAnsi="Arial" w:cs="Arial"/>
        </w:rPr>
      </w:pPr>
    </w:p>
    <w:p w14:paraId="2BD9D1B6" w14:textId="1D80774F" w:rsidR="0011475B" w:rsidRPr="00153F31" w:rsidRDefault="0011475B" w:rsidP="00F66B3A">
      <w:pPr>
        <w:spacing w:line="276" w:lineRule="auto"/>
        <w:jc w:val="both"/>
        <w:rPr>
          <w:rFonts w:ascii="Arial" w:hAnsi="Arial" w:cs="Arial"/>
        </w:rPr>
      </w:pPr>
      <w:r w:rsidRPr="00153F31">
        <w:rPr>
          <w:rFonts w:ascii="Arial" w:hAnsi="Arial" w:cs="Arial"/>
          <w:b/>
          <w:bCs/>
        </w:rPr>
        <w:t>Background:</w:t>
      </w:r>
      <w:r w:rsidRPr="00153F31">
        <w:rPr>
          <w:rFonts w:ascii="Arial" w:hAnsi="Arial" w:cs="Arial"/>
        </w:rPr>
        <w:t xml:space="preserve"> The increasing cost of medicines presents a growing challenge for publicly funded healthcare systems, particularly in secondary care where more costly treatments are routinely used. Although spending on hospital medicines continues to rise, there has been little research on long-term trends in the most commonly prescribed and highest-cost drugs within NHS secondary care.</w:t>
      </w:r>
    </w:p>
    <w:p w14:paraId="699642D4" w14:textId="77777777" w:rsidR="0011475B" w:rsidRPr="00153F31" w:rsidRDefault="0011475B" w:rsidP="00F66B3A">
      <w:pPr>
        <w:spacing w:line="276" w:lineRule="auto"/>
        <w:jc w:val="both"/>
        <w:rPr>
          <w:rFonts w:ascii="Arial" w:hAnsi="Arial" w:cs="Arial"/>
        </w:rPr>
      </w:pPr>
    </w:p>
    <w:p w14:paraId="5E4F0C35" w14:textId="646DCC4B" w:rsidR="0011475B" w:rsidRPr="00153F31" w:rsidRDefault="0011475B" w:rsidP="00F66B3A">
      <w:pPr>
        <w:spacing w:line="276" w:lineRule="auto"/>
        <w:jc w:val="both"/>
        <w:rPr>
          <w:rFonts w:ascii="Arial" w:hAnsi="Arial" w:cs="Arial"/>
        </w:rPr>
      </w:pPr>
      <w:r w:rsidRPr="00153F31">
        <w:rPr>
          <w:rFonts w:ascii="Arial" w:hAnsi="Arial" w:cs="Arial"/>
          <w:b/>
          <w:bCs/>
        </w:rPr>
        <w:t>Aim:</w:t>
      </w:r>
      <w:r w:rsidRPr="00153F31">
        <w:rPr>
          <w:rFonts w:ascii="Arial" w:hAnsi="Arial" w:cs="Arial"/>
        </w:rPr>
        <w:t xml:space="preserve"> To investigate how the costs of the most commonly prescribed and highest-cost medicines in NHS secondary care in England have changed over time, using open-access national prescribing data.</w:t>
      </w:r>
    </w:p>
    <w:p w14:paraId="634334BB" w14:textId="77777777" w:rsidR="0011475B" w:rsidRPr="00153F31" w:rsidRDefault="0011475B" w:rsidP="00F66B3A">
      <w:pPr>
        <w:spacing w:line="276" w:lineRule="auto"/>
        <w:jc w:val="both"/>
        <w:rPr>
          <w:rFonts w:ascii="Arial" w:hAnsi="Arial" w:cs="Arial"/>
        </w:rPr>
      </w:pPr>
    </w:p>
    <w:p w14:paraId="199425F9" w14:textId="6F692D9D" w:rsidR="0011475B" w:rsidRPr="00153F31" w:rsidRDefault="0011475B" w:rsidP="00F66B3A">
      <w:pPr>
        <w:spacing w:line="276" w:lineRule="auto"/>
        <w:jc w:val="both"/>
        <w:rPr>
          <w:rFonts w:ascii="Arial" w:hAnsi="Arial" w:cs="Arial"/>
        </w:rPr>
      </w:pPr>
      <w:r w:rsidRPr="00153F31">
        <w:rPr>
          <w:rFonts w:ascii="Arial" w:hAnsi="Arial" w:cs="Arial"/>
          <w:b/>
          <w:bCs/>
        </w:rPr>
        <w:t>Methods:</w:t>
      </w:r>
      <w:r w:rsidRPr="00153F31">
        <w:rPr>
          <w:rFonts w:ascii="Arial" w:hAnsi="Arial" w:cs="Arial"/>
        </w:rPr>
        <w:t xml:space="preserve"> This retrospective, longitudinal observational study was based on the NHS Business Services Authority Secondary Care Medicines Data. Annual data from April 2021 to April 2026 were reviewed. For each year, the ten most frequently prescribed medicines and ten medicines with the highest costs were identified. Descriptive analyses were used to summarise prescribing volumes, indicative spending, unit prices, and changes over tim</w:t>
      </w:r>
      <w:r w:rsidR="00D31D1B" w:rsidRPr="00153F31">
        <w:rPr>
          <w:rFonts w:ascii="Arial" w:hAnsi="Arial" w:cs="Arial"/>
        </w:rPr>
        <w:t>e</w:t>
      </w:r>
      <w:r w:rsidRPr="00153F31">
        <w:rPr>
          <w:rFonts w:ascii="Arial" w:hAnsi="Arial" w:cs="Arial"/>
        </w:rPr>
        <w:t>.</w:t>
      </w:r>
      <w:r w:rsidR="00D31D1B" w:rsidRPr="00153F31">
        <w:rPr>
          <w:rFonts w:ascii="Arial" w:hAnsi="Arial" w:cs="Arial"/>
        </w:rPr>
        <w:t xml:space="preserve"> </w:t>
      </w:r>
    </w:p>
    <w:p w14:paraId="0998E8E1" w14:textId="77777777" w:rsidR="00D31D1B" w:rsidRPr="00153F31" w:rsidRDefault="00D31D1B" w:rsidP="00F66B3A">
      <w:pPr>
        <w:spacing w:line="276" w:lineRule="auto"/>
        <w:jc w:val="both"/>
        <w:rPr>
          <w:rFonts w:ascii="Arial" w:hAnsi="Arial" w:cs="Arial"/>
        </w:rPr>
      </w:pPr>
    </w:p>
    <w:p w14:paraId="63817754" w14:textId="1E195077" w:rsidR="0011475B" w:rsidRPr="00153F31" w:rsidRDefault="0011475B" w:rsidP="00F66B3A">
      <w:pPr>
        <w:spacing w:line="276" w:lineRule="auto"/>
        <w:jc w:val="both"/>
        <w:rPr>
          <w:rFonts w:ascii="Arial" w:hAnsi="Arial" w:cs="Arial"/>
        </w:rPr>
      </w:pPr>
      <w:r w:rsidRPr="00153F31">
        <w:rPr>
          <w:rFonts w:ascii="Arial" w:hAnsi="Arial" w:cs="Arial"/>
          <w:b/>
          <w:bCs/>
        </w:rPr>
        <w:t>Results:</w:t>
      </w:r>
      <w:r w:rsidRPr="00153F31">
        <w:rPr>
          <w:rFonts w:ascii="Arial" w:hAnsi="Arial" w:cs="Arial"/>
        </w:rPr>
        <w:t xml:space="preserve"> The most frequently prescribed medicines were mainly long-established generics and nutritional supplements, such as paracetamol, heparin, metronidazole, lactulose, and various oral nutritional products. The combined prescribing volume for the top ten medicines </w:t>
      </w:r>
      <w:r w:rsidR="00E170C1" w:rsidRPr="00153F31">
        <w:rPr>
          <w:rFonts w:ascii="Arial" w:hAnsi="Arial" w:cs="Arial"/>
        </w:rPr>
        <w:t>decreased</w:t>
      </w:r>
      <w:r w:rsidRPr="00153F31">
        <w:rPr>
          <w:rFonts w:ascii="Arial" w:hAnsi="Arial" w:cs="Arial"/>
        </w:rPr>
        <w:t xml:space="preserve"> from 32.3 million to 13.4 million </w:t>
      </w:r>
      <w:r w:rsidR="00E170C1" w:rsidRPr="00153F31">
        <w:rPr>
          <w:rFonts w:ascii="Arial" w:hAnsi="Arial" w:cs="Arial"/>
        </w:rPr>
        <w:t xml:space="preserve">units </w:t>
      </w:r>
      <w:r w:rsidRPr="00153F31">
        <w:rPr>
          <w:rFonts w:ascii="Arial" w:hAnsi="Arial" w:cs="Arial"/>
        </w:rPr>
        <w:t xml:space="preserve">over the study period, with </w:t>
      </w:r>
      <w:r w:rsidR="00E170C1" w:rsidRPr="00153F31">
        <w:rPr>
          <w:rFonts w:ascii="Arial" w:hAnsi="Arial" w:cs="Arial"/>
        </w:rPr>
        <w:t xml:space="preserve">the </w:t>
      </w:r>
      <w:r w:rsidRPr="00153F31">
        <w:rPr>
          <w:rFonts w:ascii="Arial" w:hAnsi="Arial" w:cs="Arial"/>
        </w:rPr>
        <w:t xml:space="preserve">corresponding indicative spending </w:t>
      </w:r>
      <w:r w:rsidR="00E170C1" w:rsidRPr="00153F31">
        <w:rPr>
          <w:rFonts w:ascii="Arial" w:hAnsi="Arial" w:cs="Arial"/>
        </w:rPr>
        <w:t>declining</w:t>
      </w:r>
      <w:r w:rsidRPr="00153F31">
        <w:rPr>
          <w:rFonts w:ascii="Arial" w:hAnsi="Arial" w:cs="Arial"/>
        </w:rPr>
        <w:t xml:space="preserve"> from £1.9 million to £673,348. </w:t>
      </w:r>
      <w:r w:rsidR="00E170C1" w:rsidRPr="00153F31">
        <w:rPr>
          <w:rFonts w:ascii="Arial" w:hAnsi="Arial" w:cs="Arial"/>
        </w:rPr>
        <w:t>T</w:t>
      </w:r>
      <w:r w:rsidRPr="00153F31">
        <w:rPr>
          <w:rFonts w:ascii="Arial" w:hAnsi="Arial" w:cs="Arial"/>
        </w:rPr>
        <w:t>he medicines contributing most to total costs were specialist agents</w:t>
      </w:r>
      <w:r w:rsidR="00E170C1" w:rsidRPr="00153F31">
        <w:rPr>
          <w:rFonts w:ascii="Arial" w:hAnsi="Arial" w:cs="Arial"/>
        </w:rPr>
        <w:t xml:space="preserve">, </w:t>
      </w:r>
      <w:r w:rsidRPr="00153F31">
        <w:rPr>
          <w:rFonts w:ascii="Arial" w:hAnsi="Arial" w:cs="Arial"/>
        </w:rPr>
        <w:t xml:space="preserve">including biologics, monoclonal antibodies, gene therapies, and drugs for rare conditions. Although these were prescribed </w:t>
      </w:r>
      <w:r w:rsidR="00E170C1" w:rsidRPr="00153F31">
        <w:rPr>
          <w:rFonts w:ascii="Arial" w:hAnsi="Arial" w:cs="Arial"/>
        </w:rPr>
        <w:t>much</w:t>
      </w:r>
      <w:r w:rsidRPr="00153F31">
        <w:rPr>
          <w:rFonts w:ascii="Arial" w:hAnsi="Arial" w:cs="Arial"/>
        </w:rPr>
        <w:t xml:space="preserve"> less often, they </w:t>
      </w:r>
      <w:r w:rsidR="00E170C1" w:rsidRPr="00153F31">
        <w:rPr>
          <w:rFonts w:ascii="Arial" w:hAnsi="Arial" w:cs="Arial"/>
        </w:rPr>
        <w:t>incurred</w:t>
      </w:r>
      <w:r w:rsidRPr="00153F31">
        <w:rPr>
          <w:rFonts w:ascii="Arial" w:hAnsi="Arial" w:cs="Arial"/>
        </w:rPr>
        <w:t xml:space="preserve"> a substantially larger share of total expenditure. Overall, indicative spending </w:t>
      </w:r>
      <w:r w:rsidR="00E170C1" w:rsidRPr="00153F31">
        <w:rPr>
          <w:rFonts w:ascii="Arial" w:hAnsi="Arial" w:cs="Arial"/>
        </w:rPr>
        <w:t>for</w:t>
      </w:r>
      <w:r w:rsidRPr="00153F31">
        <w:rPr>
          <w:rFonts w:ascii="Arial" w:hAnsi="Arial" w:cs="Arial"/>
        </w:rPr>
        <w:t xml:space="preserve"> the top ten highest-cost medicines declined from £21.0 million in 2021 to £6.8 million in 2026</w:t>
      </w:r>
      <w:r w:rsidR="00E170C1" w:rsidRPr="00153F31">
        <w:rPr>
          <w:rFonts w:ascii="Arial" w:hAnsi="Arial" w:cs="Arial"/>
        </w:rPr>
        <w:t xml:space="preserve">. </w:t>
      </w:r>
    </w:p>
    <w:p w14:paraId="67C600BD" w14:textId="77777777" w:rsidR="0011475B" w:rsidRPr="00153F31" w:rsidRDefault="0011475B" w:rsidP="00F66B3A">
      <w:pPr>
        <w:spacing w:line="276" w:lineRule="auto"/>
        <w:jc w:val="both"/>
        <w:rPr>
          <w:rFonts w:ascii="Arial" w:hAnsi="Arial" w:cs="Arial"/>
        </w:rPr>
      </w:pPr>
    </w:p>
    <w:p w14:paraId="78CBC25B" w14:textId="0DB31B6C" w:rsidR="0011475B" w:rsidRPr="00153F31" w:rsidRDefault="0011475B" w:rsidP="00F66B3A">
      <w:pPr>
        <w:spacing w:line="276" w:lineRule="auto"/>
        <w:jc w:val="both"/>
        <w:rPr>
          <w:rFonts w:ascii="Arial" w:hAnsi="Arial" w:cs="Arial"/>
        </w:rPr>
      </w:pPr>
      <w:r w:rsidRPr="00153F31">
        <w:rPr>
          <w:rFonts w:ascii="Arial" w:hAnsi="Arial" w:cs="Arial"/>
          <w:b/>
          <w:bCs/>
        </w:rPr>
        <w:t>Conclusion:</w:t>
      </w:r>
      <w:r w:rsidRPr="00153F31">
        <w:rPr>
          <w:rFonts w:ascii="Arial" w:hAnsi="Arial" w:cs="Arial"/>
        </w:rPr>
        <w:t xml:space="preserve"> Spending on medicines in NHS secondary care is </w:t>
      </w:r>
      <w:r w:rsidR="007B5C73" w:rsidRPr="00153F31">
        <w:rPr>
          <w:rFonts w:ascii="Arial" w:hAnsi="Arial" w:cs="Arial"/>
        </w:rPr>
        <w:t>seemingly</w:t>
      </w:r>
      <w:r w:rsidRPr="00153F31">
        <w:rPr>
          <w:rFonts w:ascii="Arial" w:hAnsi="Arial" w:cs="Arial"/>
        </w:rPr>
        <w:t xml:space="preserve"> determined by a small group of innovative specialist therapies, rather than by the most commonly prescribed drugs. Ongoing national monitoring of prescribing patterns </w:t>
      </w:r>
      <w:r w:rsidR="007B5C73" w:rsidRPr="00153F31">
        <w:rPr>
          <w:rFonts w:ascii="Arial" w:hAnsi="Arial" w:cs="Arial"/>
        </w:rPr>
        <w:t>may</w:t>
      </w:r>
      <w:r w:rsidRPr="00153F31">
        <w:rPr>
          <w:rFonts w:ascii="Arial" w:hAnsi="Arial" w:cs="Arial"/>
        </w:rPr>
        <w:t xml:space="preserve"> help </w:t>
      </w:r>
      <w:r w:rsidR="007B5C73" w:rsidRPr="00153F31">
        <w:rPr>
          <w:rFonts w:ascii="Arial" w:hAnsi="Arial" w:cs="Arial"/>
        </w:rPr>
        <w:t xml:space="preserve">to </w:t>
      </w:r>
      <w:r w:rsidRPr="00153F31">
        <w:rPr>
          <w:rFonts w:ascii="Arial" w:hAnsi="Arial" w:cs="Arial"/>
        </w:rPr>
        <w:t>guide medicines optimisation, procurement, and commissioning, supporting both effective resource use and equit</w:t>
      </w:r>
      <w:r w:rsidR="007B5C73" w:rsidRPr="00153F31">
        <w:rPr>
          <w:rFonts w:ascii="Arial" w:hAnsi="Arial" w:cs="Arial"/>
        </w:rPr>
        <w:t>y of</w:t>
      </w:r>
      <w:r w:rsidRPr="00153F31">
        <w:rPr>
          <w:rFonts w:ascii="Arial" w:hAnsi="Arial" w:cs="Arial"/>
        </w:rPr>
        <w:t xml:space="preserve"> access to </w:t>
      </w:r>
      <w:r w:rsidR="007B5C73" w:rsidRPr="00153F31">
        <w:rPr>
          <w:rFonts w:ascii="Arial" w:hAnsi="Arial" w:cs="Arial"/>
        </w:rPr>
        <w:t xml:space="preserve">effective </w:t>
      </w:r>
      <w:r w:rsidRPr="00153F31">
        <w:rPr>
          <w:rFonts w:ascii="Arial" w:hAnsi="Arial" w:cs="Arial"/>
        </w:rPr>
        <w:t>treatment.</w:t>
      </w:r>
      <w:r w:rsidR="008B737F" w:rsidRPr="00153F31">
        <w:rPr>
          <w:rFonts w:ascii="Arial" w:hAnsi="Arial" w:cs="Arial"/>
        </w:rPr>
        <w:t xml:space="preserve"> </w:t>
      </w:r>
    </w:p>
    <w:p w14:paraId="41BD762C" w14:textId="77777777" w:rsidR="00D83C07" w:rsidRPr="00153F31" w:rsidRDefault="00D83C07" w:rsidP="00F66B3A">
      <w:pPr>
        <w:spacing w:line="276" w:lineRule="auto"/>
        <w:jc w:val="both"/>
        <w:rPr>
          <w:rFonts w:ascii="Arial" w:hAnsi="Arial" w:cs="Arial"/>
        </w:rPr>
      </w:pPr>
      <w:bookmarkStart w:id="0" w:name="_GoBack"/>
      <w:bookmarkEnd w:id="0"/>
    </w:p>
    <w:p w14:paraId="1C6B3D78" w14:textId="6AFCEF50" w:rsidR="00D83C07" w:rsidRPr="00153F31" w:rsidRDefault="0022005E" w:rsidP="00F66B3A">
      <w:pPr>
        <w:spacing w:line="276" w:lineRule="auto"/>
        <w:jc w:val="both"/>
        <w:rPr>
          <w:rFonts w:ascii="Arial" w:hAnsi="Arial" w:cs="Arial"/>
        </w:rPr>
      </w:pPr>
      <w:r w:rsidRPr="00153F31">
        <w:rPr>
          <w:rFonts w:ascii="Arial" w:hAnsi="Arial" w:cs="Arial"/>
          <w:b/>
        </w:rPr>
        <w:t>Key</w:t>
      </w:r>
      <w:r w:rsidR="00D83C07" w:rsidRPr="00153F31">
        <w:rPr>
          <w:rFonts w:ascii="Arial" w:hAnsi="Arial" w:cs="Arial"/>
          <w:b/>
        </w:rPr>
        <w:t>words:</w:t>
      </w:r>
      <w:r w:rsidR="00D83C07" w:rsidRPr="00153F31">
        <w:rPr>
          <w:rFonts w:ascii="Arial" w:hAnsi="Arial" w:cs="Arial"/>
        </w:rPr>
        <w:t xml:space="preserve"> </w:t>
      </w:r>
      <w:r w:rsidRPr="00153F31">
        <w:rPr>
          <w:rFonts w:ascii="Arial" w:hAnsi="Arial" w:cs="Arial"/>
        </w:rPr>
        <w:t>m</w:t>
      </w:r>
      <w:r w:rsidR="00730503" w:rsidRPr="00153F31">
        <w:rPr>
          <w:rFonts w:ascii="Arial" w:hAnsi="Arial" w:cs="Arial"/>
        </w:rPr>
        <w:t>edicines expenditure; secondary care; prescribing trends; medicines utilisation; healthcare costs; NHS England</w:t>
      </w:r>
    </w:p>
    <w:p w14:paraId="42A9CDE1" w14:textId="77777777" w:rsidR="000B3DCB" w:rsidRPr="00F66B3A" w:rsidRDefault="000B3DCB" w:rsidP="00F66B3A">
      <w:pPr>
        <w:spacing w:line="276" w:lineRule="auto"/>
        <w:jc w:val="both"/>
        <w:rPr>
          <w:rFonts w:ascii="Baskerville" w:hAnsi="Baskerville"/>
        </w:rPr>
      </w:pPr>
    </w:p>
    <w:p w14:paraId="06841BA2" w14:textId="7B7E9978" w:rsidR="00925E5C" w:rsidRPr="00F66B3A" w:rsidRDefault="00925E5C" w:rsidP="00F66B3A">
      <w:pPr>
        <w:spacing w:line="276" w:lineRule="auto"/>
        <w:jc w:val="both"/>
        <w:rPr>
          <w:rFonts w:ascii="Baskerville" w:hAnsi="Baskerville"/>
        </w:rPr>
      </w:pPr>
      <w:bookmarkStart w:id="1" w:name="OLE_LINK7"/>
      <w:bookmarkStart w:id="2" w:name="OLE_LINK8"/>
    </w:p>
    <w:sdt>
      <w:sdtPr>
        <w:rPr>
          <w:rFonts w:ascii="Times New Roman" w:eastAsia="Times New Roman" w:hAnsi="Times New Roman" w:cs="Times New Roman"/>
          <w:b w:val="0"/>
          <w:bCs w:val="0"/>
          <w:color w:val="auto"/>
          <w:sz w:val="24"/>
          <w:szCs w:val="24"/>
          <w:lang w:val="en-GB" w:eastAsia="en-GB"/>
        </w:rPr>
        <w:id w:val="2024582360"/>
        <w:docPartObj>
          <w:docPartGallery w:val="Table of Contents"/>
          <w:docPartUnique/>
        </w:docPartObj>
      </w:sdtPr>
      <w:sdtEndPr>
        <w:rPr>
          <w:noProof/>
        </w:rPr>
      </w:sdtEndPr>
      <w:sdtContent>
        <w:p w14:paraId="13DBA32E" w14:textId="703A7533" w:rsidR="004D72A0" w:rsidRDefault="004D72A0">
          <w:pPr>
            <w:pStyle w:val="TOCHeading"/>
          </w:pPr>
          <w:r w:rsidRPr="00A02F3E">
            <w:rPr>
              <w:color w:val="auto"/>
              <w:u w:val="single"/>
            </w:rPr>
            <w:t>Table of Contents</w:t>
          </w:r>
        </w:p>
        <w:p w14:paraId="633BBA82" w14:textId="77777777" w:rsidR="00E65AA6" w:rsidRDefault="004D72A0">
          <w:pPr>
            <w:pStyle w:val="TOC1"/>
            <w:tabs>
              <w:tab w:val="right" w:leader="dot" w:pos="9010"/>
            </w:tabs>
            <w:rPr>
              <w:rFonts w:eastAsiaTheme="minorEastAsia" w:cstheme="minorBidi"/>
              <w:b w:val="0"/>
              <w:bCs w:val="0"/>
              <w:i w:val="0"/>
              <w:iCs w:val="0"/>
              <w:noProof/>
              <w:sz w:val="22"/>
              <w:szCs w:val="22"/>
            </w:rPr>
          </w:pPr>
          <w:r w:rsidRPr="00D959FF">
            <w:rPr>
              <w:b w:val="0"/>
              <w:bCs w:val="0"/>
              <w:i w:val="0"/>
              <w:iCs w:val="0"/>
            </w:rPr>
            <w:fldChar w:fldCharType="begin"/>
          </w:r>
          <w:r w:rsidRPr="00D959FF">
            <w:rPr>
              <w:i w:val="0"/>
              <w:iCs w:val="0"/>
            </w:rPr>
            <w:instrText xml:space="preserve"> TOC \o "1-3" \h \z \u </w:instrText>
          </w:r>
          <w:r w:rsidRPr="00D959FF">
            <w:rPr>
              <w:b w:val="0"/>
              <w:bCs w:val="0"/>
              <w:i w:val="0"/>
              <w:iCs w:val="0"/>
            </w:rPr>
            <w:fldChar w:fldCharType="separate"/>
          </w:r>
          <w:hyperlink w:anchor="_Toc240132657" w:history="1">
            <w:r w:rsidR="00E65AA6" w:rsidRPr="001E3FE7">
              <w:rPr>
                <w:rStyle w:val="Hyperlink"/>
                <w:rFonts w:ascii="Arial" w:hAnsi="Arial" w:cs="Arial"/>
                <w:noProof/>
              </w:rPr>
              <w:t>Introduction and Literature Review</w:t>
            </w:r>
            <w:r w:rsidR="00E65AA6">
              <w:rPr>
                <w:noProof/>
                <w:webHidden/>
              </w:rPr>
              <w:tab/>
            </w:r>
            <w:r w:rsidR="00E65AA6">
              <w:rPr>
                <w:noProof/>
                <w:webHidden/>
              </w:rPr>
              <w:fldChar w:fldCharType="begin"/>
            </w:r>
            <w:r w:rsidR="00E65AA6">
              <w:rPr>
                <w:noProof/>
                <w:webHidden/>
              </w:rPr>
              <w:instrText xml:space="preserve"> PAGEREF _Toc240132657 \h </w:instrText>
            </w:r>
            <w:r w:rsidR="00E65AA6">
              <w:rPr>
                <w:noProof/>
                <w:webHidden/>
              </w:rPr>
            </w:r>
            <w:r w:rsidR="00E65AA6">
              <w:rPr>
                <w:noProof/>
                <w:webHidden/>
              </w:rPr>
              <w:fldChar w:fldCharType="separate"/>
            </w:r>
            <w:r w:rsidR="002261D1">
              <w:rPr>
                <w:noProof/>
                <w:webHidden/>
              </w:rPr>
              <w:t>3</w:t>
            </w:r>
            <w:r w:rsidR="00E65AA6">
              <w:rPr>
                <w:noProof/>
                <w:webHidden/>
              </w:rPr>
              <w:fldChar w:fldCharType="end"/>
            </w:r>
          </w:hyperlink>
        </w:p>
        <w:p w14:paraId="056F075D" w14:textId="77777777" w:rsidR="00E65AA6" w:rsidRDefault="005456AD">
          <w:pPr>
            <w:pStyle w:val="TOC2"/>
            <w:tabs>
              <w:tab w:val="right" w:leader="dot" w:pos="9010"/>
            </w:tabs>
            <w:rPr>
              <w:rFonts w:eastAsiaTheme="minorEastAsia" w:cstheme="minorBidi"/>
              <w:b w:val="0"/>
              <w:bCs w:val="0"/>
              <w:noProof/>
            </w:rPr>
          </w:pPr>
          <w:hyperlink w:anchor="_Toc240132658" w:history="1">
            <w:r w:rsidR="00E65AA6" w:rsidRPr="001E3FE7">
              <w:rPr>
                <w:rStyle w:val="Hyperlink"/>
                <w:rFonts w:ascii="Arial" w:hAnsi="Arial" w:cs="Arial"/>
                <w:i/>
                <w:iCs/>
                <w:noProof/>
              </w:rPr>
              <w:t>Aims/Objectives</w:t>
            </w:r>
            <w:r w:rsidR="00E65AA6">
              <w:rPr>
                <w:noProof/>
                <w:webHidden/>
              </w:rPr>
              <w:tab/>
            </w:r>
            <w:r w:rsidR="00E65AA6">
              <w:rPr>
                <w:noProof/>
                <w:webHidden/>
              </w:rPr>
              <w:fldChar w:fldCharType="begin"/>
            </w:r>
            <w:r w:rsidR="00E65AA6">
              <w:rPr>
                <w:noProof/>
                <w:webHidden/>
              </w:rPr>
              <w:instrText xml:space="preserve"> PAGEREF _Toc240132658 \h </w:instrText>
            </w:r>
            <w:r w:rsidR="00E65AA6">
              <w:rPr>
                <w:noProof/>
                <w:webHidden/>
              </w:rPr>
            </w:r>
            <w:r w:rsidR="00E65AA6">
              <w:rPr>
                <w:noProof/>
                <w:webHidden/>
              </w:rPr>
              <w:fldChar w:fldCharType="separate"/>
            </w:r>
            <w:r w:rsidR="002261D1">
              <w:rPr>
                <w:noProof/>
                <w:webHidden/>
              </w:rPr>
              <w:t>5</w:t>
            </w:r>
            <w:r w:rsidR="00E65AA6">
              <w:rPr>
                <w:noProof/>
                <w:webHidden/>
              </w:rPr>
              <w:fldChar w:fldCharType="end"/>
            </w:r>
          </w:hyperlink>
        </w:p>
        <w:p w14:paraId="0F7A311D" w14:textId="77777777" w:rsidR="00E65AA6" w:rsidRDefault="005456AD">
          <w:pPr>
            <w:pStyle w:val="TOC1"/>
            <w:tabs>
              <w:tab w:val="right" w:leader="dot" w:pos="9010"/>
            </w:tabs>
            <w:rPr>
              <w:rFonts w:eastAsiaTheme="minorEastAsia" w:cstheme="minorBidi"/>
              <w:b w:val="0"/>
              <w:bCs w:val="0"/>
              <w:i w:val="0"/>
              <w:iCs w:val="0"/>
              <w:noProof/>
              <w:sz w:val="22"/>
              <w:szCs w:val="22"/>
            </w:rPr>
          </w:pPr>
          <w:hyperlink w:anchor="_Toc240132659" w:history="1">
            <w:r w:rsidR="00E65AA6" w:rsidRPr="001E3FE7">
              <w:rPr>
                <w:rStyle w:val="Hyperlink"/>
                <w:rFonts w:ascii="Arial" w:hAnsi="Arial" w:cs="Arial"/>
                <w:noProof/>
              </w:rPr>
              <w:t>Methods</w:t>
            </w:r>
            <w:r w:rsidR="00E65AA6">
              <w:rPr>
                <w:noProof/>
                <w:webHidden/>
              </w:rPr>
              <w:tab/>
            </w:r>
            <w:r w:rsidR="00E65AA6">
              <w:rPr>
                <w:noProof/>
                <w:webHidden/>
              </w:rPr>
              <w:fldChar w:fldCharType="begin"/>
            </w:r>
            <w:r w:rsidR="00E65AA6">
              <w:rPr>
                <w:noProof/>
                <w:webHidden/>
              </w:rPr>
              <w:instrText xml:space="preserve"> PAGEREF _Toc240132659 \h </w:instrText>
            </w:r>
            <w:r w:rsidR="00E65AA6">
              <w:rPr>
                <w:noProof/>
                <w:webHidden/>
              </w:rPr>
            </w:r>
            <w:r w:rsidR="00E65AA6">
              <w:rPr>
                <w:noProof/>
                <w:webHidden/>
              </w:rPr>
              <w:fldChar w:fldCharType="separate"/>
            </w:r>
            <w:r w:rsidR="002261D1">
              <w:rPr>
                <w:noProof/>
                <w:webHidden/>
              </w:rPr>
              <w:t>5</w:t>
            </w:r>
            <w:r w:rsidR="00E65AA6">
              <w:rPr>
                <w:noProof/>
                <w:webHidden/>
              </w:rPr>
              <w:fldChar w:fldCharType="end"/>
            </w:r>
          </w:hyperlink>
        </w:p>
        <w:p w14:paraId="5DBACD19" w14:textId="77777777" w:rsidR="00E65AA6" w:rsidRDefault="005456AD">
          <w:pPr>
            <w:pStyle w:val="TOC2"/>
            <w:tabs>
              <w:tab w:val="right" w:leader="dot" w:pos="9010"/>
            </w:tabs>
            <w:rPr>
              <w:rFonts w:eastAsiaTheme="minorEastAsia" w:cstheme="minorBidi"/>
              <w:b w:val="0"/>
              <w:bCs w:val="0"/>
              <w:noProof/>
            </w:rPr>
          </w:pPr>
          <w:hyperlink w:anchor="_Toc240132660" w:history="1">
            <w:r w:rsidR="00E65AA6" w:rsidRPr="001E3FE7">
              <w:rPr>
                <w:rStyle w:val="Hyperlink"/>
                <w:rFonts w:ascii="Arial" w:hAnsi="Arial" w:cs="Arial"/>
                <w:i/>
                <w:iCs/>
                <w:noProof/>
              </w:rPr>
              <w:t>Research Design</w:t>
            </w:r>
            <w:r w:rsidR="00E65AA6">
              <w:rPr>
                <w:noProof/>
                <w:webHidden/>
              </w:rPr>
              <w:tab/>
            </w:r>
            <w:r w:rsidR="00E65AA6">
              <w:rPr>
                <w:noProof/>
                <w:webHidden/>
              </w:rPr>
              <w:fldChar w:fldCharType="begin"/>
            </w:r>
            <w:r w:rsidR="00E65AA6">
              <w:rPr>
                <w:noProof/>
                <w:webHidden/>
              </w:rPr>
              <w:instrText xml:space="preserve"> PAGEREF _Toc240132660 \h </w:instrText>
            </w:r>
            <w:r w:rsidR="00E65AA6">
              <w:rPr>
                <w:noProof/>
                <w:webHidden/>
              </w:rPr>
            </w:r>
            <w:r w:rsidR="00E65AA6">
              <w:rPr>
                <w:noProof/>
                <w:webHidden/>
              </w:rPr>
              <w:fldChar w:fldCharType="separate"/>
            </w:r>
            <w:r w:rsidR="002261D1">
              <w:rPr>
                <w:noProof/>
                <w:webHidden/>
              </w:rPr>
              <w:t>5</w:t>
            </w:r>
            <w:r w:rsidR="00E65AA6">
              <w:rPr>
                <w:noProof/>
                <w:webHidden/>
              </w:rPr>
              <w:fldChar w:fldCharType="end"/>
            </w:r>
          </w:hyperlink>
        </w:p>
        <w:p w14:paraId="625B0E53" w14:textId="77777777" w:rsidR="00E65AA6" w:rsidRDefault="005456AD">
          <w:pPr>
            <w:pStyle w:val="TOC2"/>
            <w:tabs>
              <w:tab w:val="right" w:leader="dot" w:pos="9010"/>
            </w:tabs>
            <w:rPr>
              <w:rFonts w:eastAsiaTheme="minorEastAsia" w:cstheme="minorBidi"/>
              <w:b w:val="0"/>
              <w:bCs w:val="0"/>
              <w:noProof/>
            </w:rPr>
          </w:pPr>
          <w:hyperlink w:anchor="_Toc240132661" w:history="1">
            <w:r w:rsidR="00E65AA6" w:rsidRPr="001E3FE7">
              <w:rPr>
                <w:rStyle w:val="Hyperlink"/>
                <w:rFonts w:ascii="Arial" w:hAnsi="Arial" w:cs="Arial"/>
                <w:i/>
                <w:iCs/>
                <w:noProof/>
              </w:rPr>
              <w:t>Data Collection/Data Source</w:t>
            </w:r>
            <w:r w:rsidR="00E65AA6">
              <w:rPr>
                <w:noProof/>
                <w:webHidden/>
              </w:rPr>
              <w:tab/>
            </w:r>
            <w:r w:rsidR="00E65AA6">
              <w:rPr>
                <w:noProof/>
                <w:webHidden/>
              </w:rPr>
              <w:fldChar w:fldCharType="begin"/>
            </w:r>
            <w:r w:rsidR="00E65AA6">
              <w:rPr>
                <w:noProof/>
                <w:webHidden/>
              </w:rPr>
              <w:instrText xml:space="preserve"> PAGEREF _Toc240132661 \h </w:instrText>
            </w:r>
            <w:r w:rsidR="00E65AA6">
              <w:rPr>
                <w:noProof/>
                <w:webHidden/>
              </w:rPr>
            </w:r>
            <w:r w:rsidR="00E65AA6">
              <w:rPr>
                <w:noProof/>
                <w:webHidden/>
              </w:rPr>
              <w:fldChar w:fldCharType="separate"/>
            </w:r>
            <w:r w:rsidR="002261D1">
              <w:rPr>
                <w:noProof/>
                <w:webHidden/>
              </w:rPr>
              <w:t>6</w:t>
            </w:r>
            <w:r w:rsidR="00E65AA6">
              <w:rPr>
                <w:noProof/>
                <w:webHidden/>
              </w:rPr>
              <w:fldChar w:fldCharType="end"/>
            </w:r>
          </w:hyperlink>
        </w:p>
        <w:p w14:paraId="5A41629D" w14:textId="77777777" w:rsidR="00E65AA6" w:rsidRDefault="005456AD">
          <w:pPr>
            <w:pStyle w:val="TOC2"/>
            <w:tabs>
              <w:tab w:val="right" w:leader="dot" w:pos="9010"/>
            </w:tabs>
            <w:rPr>
              <w:rFonts w:eastAsiaTheme="minorEastAsia" w:cstheme="minorBidi"/>
              <w:b w:val="0"/>
              <w:bCs w:val="0"/>
              <w:noProof/>
            </w:rPr>
          </w:pPr>
          <w:hyperlink w:anchor="_Toc240132662" w:history="1">
            <w:r w:rsidR="00E65AA6" w:rsidRPr="001E3FE7">
              <w:rPr>
                <w:rStyle w:val="Hyperlink"/>
                <w:rFonts w:ascii="Arial" w:hAnsi="Arial" w:cs="Arial"/>
                <w:i/>
                <w:iCs/>
                <w:noProof/>
              </w:rPr>
              <w:t>Data Analysis</w:t>
            </w:r>
            <w:r w:rsidR="00E65AA6">
              <w:rPr>
                <w:noProof/>
                <w:webHidden/>
              </w:rPr>
              <w:tab/>
            </w:r>
            <w:r w:rsidR="00E65AA6">
              <w:rPr>
                <w:noProof/>
                <w:webHidden/>
              </w:rPr>
              <w:fldChar w:fldCharType="begin"/>
            </w:r>
            <w:r w:rsidR="00E65AA6">
              <w:rPr>
                <w:noProof/>
                <w:webHidden/>
              </w:rPr>
              <w:instrText xml:space="preserve"> PAGEREF _Toc240132662 \h </w:instrText>
            </w:r>
            <w:r w:rsidR="00E65AA6">
              <w:rPr>
                <w:noProof/>
                <w:webHidden/>
              </w:rPr>
            </w:r>
            <w:r w:rsidR="00E65AA6">
              <w:rPr>
                <w:noProof/>
                <w:webHidden/>
              </w:rPr>
              <w:fldChar w:fldCharType="separate"/>
            </w:r>
            <w:r w:rsidR="002261D1">
              <w:rPr>
                <w:noProof/>
                <w:webHidden/>
              </w:rPr>
              <w:t>8</w:t>
            </w:r>
            <w:r w:rsidR="00E65AA6">
              <w:rPr>
                <w:noProof/>
                <w:webHidden/>
              </w:rPr>
              <w:fldChar w:fldCharType="end"/>
            </w:r>
          </w:hyperlink>
        </w:p>
        <w:p w14:paraId="1971006C" w14:textId="77777777" w:rsidR="00E65AA6" w:rsidRDefault="005456AD">
          <w:pPr>
            <w:pStyle w:val="TOC2"/>
            <w:tabs>
              <w:tab w:val="right" w:leader="dot" w:pos="9010"/>
            </w:tabs>
            <w:rPr>
              <w:rFonts w:eastAsiaTheme="minorEastAsia" w:cstheme="minorBidi"/>
              <w:b w:val="0"/>
              <w:bCs w:val="0"/>
              <w:noProof/>
            </w:rPr>
          </w:pPr>
          <w:hyperlink w:anchor="_Toc240132663" w:history="1">
            <w:r w:rsidR="00E65AA6" w:rsidRPr="001E3FE7">
              <w:rPr>
                <w:rStyle w:val="Hyperlink"/>
                <w:rFonts w:ascii="Arial" w:hAnsi="Arial" w:cs="Arial"/>
                <w:i/>
                <w:iCs/>
                <w:noProof/>
              </w:rPr>
              <w:t>Rigour</w:t>
            </w:r>
            <w:r w:rsidR="00E65AA6">
              <w:rPr>
                <w:noProof/>
                <w:webHidden/>
              </w:rPr>
              <w:tab/>
            </w:r>
            <w:r w:rsidR="00E65AA6">
              <w:rPr>
                <w:noProof/>
                <w:webHidden/>
              </w:rPr>
              <w:fldChar w:fldCharType="begin"/>
            </w:r>
            <w:r w:rsidR="00E65AA6">
              <w:rPr>
                <w:noProof/>
                <w:webHidden/>
              </w:rPr>
              <w:instrText xml:space="preserve"> PAGEREF _Toc240132663 \h </w:instrText>
            </w:r>
            <w:r w:rsidR="00E65AA6">
              <w:rPr>
                <w:noProof/>
                <w:webHidden/>
              </w:rPr>
            </w:r>
            <w:r w:rsidR="00E65AA6">
              <w:rPr>
                <w:noProof/>
                <w:webHidden/>
              </w:rPr>
              <w:fldChar w:fldCharType="separate"/>
            </w:r>
            <w:r w:rsidR="002261D1">
              <w:rPr>
                <w:noProof/>
                <w:webHidden/>
              </w:rPr>
              <w:t>9</w:t>
            </w:r>
            <w:r w:rsidR="00E65AA6">
              <w:rPr>
                <w:noProof/>
                <w:webHidden/>
              </w:rPr>
              <w:fldChar w:fldCharType="end"/>
            </w:r>
          </w:hyperlink>
        </w:p>
        <w:p w14:paraId="1F29EB7B" w14:textId="77777777" w:rsidR="00E65AA6" w:rsidRDefault="005456AD">
          <w:pPr>
            <w:pStyle w:val="TOC2"/>
            <w:tabs>
              <w:tab w:val="right" w:leader="dot" w:pos="9010"/>
            </w:tabs>
            <w:rPr>
              <w:rFonts w:eastAsiaTheme="minorEastAsia" w:cstheme="minorBidi"/>
              <w:b w:val="0"/>
              <w:bCs w:val="0"/>
              <w:noProof/>
            </w:rPr>
          </w:pPr>
          <w:hyperlink w:anchor="_Toc240132664" w:history="1">
            <w:r w:rsidR="00E65AA6" w:rsidRPr="001E3FE7">
              <w:rPr>
                <w:rStyle w:val="Hyperlink"/>
                <w:rFonts w:ascii="Arial" w:hAnsi="Arial" w:cs="Arial"/>
                <w:i/>
                <w:iCs/>
                <w:noProof/>
              </w:rPr>
              <w:t>Ethical Considerations</w:t>
            </w:r>
            <w:r w:rsidR="00E65AA6">
              <w:rPr>
                <w:noProof/>
                <w:webHidden/>
              </w:rPr>
              <w:tab/>
            </w:r>
            <w:r w:rsidR="00E65AA6">
              <w:rPr>
                <w:noProof/>
                <w:webHidden/>
              </w:rPr>
              <w:fldChar w:fldCharType="begin"/>
            </w:r>
            <w:r w:rsidR="00E65AA6">
              <w:rPr>
                <w:noProof/>
                <w:webHidden/>
              </w:rPr>
              <w:instrText xml:space="preserve"> PAGEREF _Toc240132664 \h </w:instrText>
            </w:r>
            <w:r w:rsidR="00E65AA6">
              <w:rPr>
                <w:noProof/>
                <w:webHidden/>
              </w:rPr>
            </w:r>
            <w:r w:rsidR="00E65AA6">
              <w:rPr>
                <w:noProof/>
                <w:webHidden/>
              </w:rPr>
              <w:fldChar w:fldCharType="separate"/>
            </w:r>
            <w:r w:rsidR="002261D1">
              <w:rPr>
                <w:noProof/>
                <w:webHidden/>
              </w:rPr>
              <w:t>10</w:t>
            </w:r>
            <w:r w:rsidR="00E65AA6">
              <w:rPr>
                <w:noProof/>
                <w:webHidden/>
              </w:rPr>
              <w:fldChar w:fldCharType="end"/>
            </w:r>
          </w:hyperlink>
        </w:p>
        <w:p w14:paraId="263B82A9" w14:textId="77777777" w:rsidR="00E65AA6" w:rsidRDefault="005456AD">
          <w:pPr>
            <w:pStyle w:val="TOC1"/>
            <w:tabs>
              <w:tab w:val="right" w:leader="dot" w:pos="9010"/>
            </w:tabs>
            <w:rPr>
              <w:rFonts w:eastAsiaTheme="minorEastAsia" w:cstheme="minorBidi"/>
              <w:b w:val="0"/>
              <w:bCs w:val="0"/>
              <w:i w:val="0"/>
              <w:iCs w:val="0"/>
              <w:noProof/>
              <w:sz w:val="22"/>
              <w:szCs w:val="22"/>
            </w:rPr>
          </w:pPr>
          <w:hyperlink w:anchor="_Toc240132665" w:history="1">
            <w:r w:rsidR="00E65AA6" w:rsidRPr="001E3FE7">
              <w:rPr>
                <w:rStyle w:val="Hyperlink"/>
                <w:rFonts w:ascii="Arial" w:hAnsi="Arial" w:cs="Arial"/>
                <w:noProof/>
              </w:rPr>
              <w:t>Results</w:t>
            </w:r>
            <w:r w:rsidR="00E65AA6">
              <w:rPr>
                <w:noProof/>
                <w:webHidden/>
              </w:rPr>
              <w:tab/>
            </w:r>
            <w:r w:rsidR="00E65AA6">
              <w:rPr>
                <w:noProof/>
                <w:webHidden/>
              </w:rPr>
              <w:fldChar w:fldCharType="begin"/>
            </w:r>
            <w:r w:rsidR="00E65AA6">
              <w:rPr>
                <w:noProof/>
                <w:webHidden/>
              </w:rPr>
              <w:instrText xml:space="preserve"> PAGEREF _Toc240132665 \h </w:instrText>
            </w:r>
            <w:r w:rsidR="00E65AA6">
              <w:rPr>
                <w:noProof/>
                <w:webHidden/>
              </w:rPr>
            </w:r>
            <w:r w:rsidR="00E65AA6">
              <w:rPr>
                <w:noProof/>
                <w:webHidden/>
              </w:rPr>
              <w:fldChar w:fldCharType="separate"/>
            </w:r>
            <w:r w:rsidR="002261D1">
              <w:rPr>
                <w:noProof/>
                <w:webHidden/>
              </w:rPr>
              <w:t>10</w:t>
            </w:r>
            <w:r w:rsidR="00E65AA6">
              <w:rPr>
                <w:noProof/>
                <w:webHidden/>
              </w:rPr>
              <w:fldChar w:fldCharType="end"/>
            </w:r>
          </w:hyperlink>
        </w:p>
        <w:p w14:paraId="541050FB" w14:textId="77777777" w:rsidR="00E65AA6" w:rsidRDefault="005456AD">
          <w:pPr>
            <w:pStyle w:val="TOC2"/>
            <w:tabs>
              <w:tab w:val="right" w:leader="dot" w:pos="9010"/>
            </w:tabs>
            <w:rPr>
              <w:rFonts w:eastAsiaTheme="minorEastAsia" w:cstheme="minorBidi"/>
              <w:b w:val="0"/>
              <w:bCs w:val="0"/>
              <w:noProof/>
            </w:rPr>
          </w:pPr>
          <w:hyperlink w:anchor="_Toc240132666" w:history="1">
            <w:r w:rsidR="00E65AA6" w:rsidRPr="001E3FE7">
              <w:rPr>
                <w:rStyle w:val="Hyperlink"/>
                <w:rFonts w:ascii="Arial" w:hAnsi="Arial" w:cs="Arial"/>
                <w:i/>
                <w:iCs/>
                <w:noProof/>
              </w:rPr>
              <w:t>Top 10 Most Frequently Prescribed Medicines</w:t>
            </w:r>
            <w:r w:rsidR="00E65AA6">
              <w:rPr>
                <w:noProof/>
                <w:webHidden/>
              </w:rPr>
              <w:tab/>
            </w:r>
            <w:r w:rsidR="00E65AA6">
              <w:rPr>
                <w:noProof/>
                <w:webHidden/>
              </w:rPr>
              <w:fldChar w:fldCharType="begin"/>
            </w:r>
            <w:r w:rsidR="00E65AA6">
              <w:rPr>
                <w:noProof/>
                <w:webHidden/>
              </w:rPr>
              <w:instrText xml:space="preserve"> PAGEREF _Toc240132666 \h </w:instrText>
            </w:r>
            <w:r w:rsidR="00E65AA6">
              <w:rPr>
                <w:noProof/>
                <w:webHidden/>
              </w:rPr>
            </w:r>
            <w:r w:rsidR="00E65AA6">
              <w:rPr>
                <w:noProof/>
                <w:webHidden/>
              </w:rPr>
              <w:fldChar w:fldCharType="separate"/>
            </w:r>
            <w:r w:rsidR="002261D1">
              <w:rPr>
                <w:noProof/>
                <w:webHidden/>
              </w:rPr>
              <w:t>10</w:t>
            </w:r>
            <w:r w:rsidR="00E65AA6">
              <w:rPr>
                <w:noProof/>
                <w:webHidden/>
              </w:rPr>
              <w:fldChar w:fldCharType="end"/>
            </w:r>
          </w:hyperlink>
        </w:p>
        <w:p w14:paraId="10FF80E2" w14:textId="77777777" w:rsidR="00E65AA6" w:rsidRDefault="005456AD">
          <w:pPr>
            <w:pStyle w:val="TOC2"/>
            <w:tabs>
              <w:tab w:val="right" w:leader="dot" w:pos="9010"/>
            </w:tabs>
            <w:rPr>
              <w:rFonts w:eastAsiaTheme="minorEastAsia" w:cstheme="minorBidi"/>
              <w:b w:val="0"/>
              <w:bCs w:val="0"/>
              <w:noProof/>
            </w:rPr>
          </w:pPr>
          <w:hyperlink w:anchor="_Toc240132667" w:history="1">
            <w:r w:rsidR="00E65AA6" w:rsidRPr="001E3FE7">
              <w:rPr>
                <w:rStyle w:val="Hyperlink"/>
                <w:rFonts w:ascii="Arial" w:hAnsi="Arial" w:cs="Arial"/>
                <w:i/>
                <w:iCs/>
                <w:noProof/>
              </w:rPr>
              <w:t>Top 10 Most Costly Medicines</w:t>
            </w:r>
            <w:r w:rsidR="00E65AA6">
              <w:rPr>
                <w:noProof/>
                <w:webHidden/>
              </w:rPr>
              <w:tab/>
            </w:r>
            <w:r w:rsidR="00E65AA6">
              <w:rPr>
                <w:noProof/>
                <w:webHidden/>
              </w:rPr>
              <w:fldChar w:fldCharType="begin"/>
            </w:r>
            <w:r w:rsidR="00E65AA6">
              <w:rPr>
                <w:noProof/>
                <w:webHidden/>
              </w:rPr>
              <w:instrText xml:space="preserve"> PAGEREF _Toc240132667 \h </w:instrText>
            </w:r>
            <w:r w:rsidR="00E65AA6">
              <w:rPr>
                <w:noProof/>
                <w:webHidden/>
              </w:rPr>
            </w:r>
            <w:r w:rsidR="00E65AA6">
              <w:rPr>
                <w:noProof/>
                <w:webHidden/>
              </w:rPr>
              <w:fldChar w:fldCharType="separate"/>
            </w:r>
            <w:r w:rsidR="002261D1">
              <w:rPr>
                <w:noProof/>
                <w:webHidden/>
              </w:rPr>
              <w:t>13</w:t>
            </w:r>
            <w:r w:rsidR="00E65AA6">
              <w:rPr>
                <w:noProof/>
                <w:webHidden/>
              </w:rPr>
              <w:fldChar w:fldCharType="end"/>
            </w:r>
          </w:hyperlink>
        </w:p>
        <w:p w14:paraId="35000D75" w14:textId="77777777" w:rsidR="00E65AA6" w:rsidRDefault="005456AD">
          <w:pPr>
            <w:pStyle w:val="TOC1"/>
            <w:tabs>
              <w:tab w:val="right" w:leader="dot" w:pos="9010"/>
            </w:tabs>
            <w:rPr>
              <w:rFonts w:eastAsiaTheme="minorEastAsia" w:cstheme="minorBidi"/>
              <w:b w:val="0"/>
              <w:bCs w:val="0"/>
              <w:i w:val="0"/>
              <w:iCs w:val="0"/>
              <w:noProof/>
              <w:sz w:val="22"/>
              <w:szCs w:val="22"/>
            </w:rPr>
          </w:pPr>
          <w:hyperlink w:anchor="_Toc240132668" w:history="1">
            <w:r w:rsidR="00E65AA6" w:rsidRPr="001E3FE7">
              <w:rPr>
                <w:rStyle w:val="Hyperlink"/>
                <w:rFonts w:ascii="Arial" w:hAnsi="Arial" w:cs="Arial"/>
                <w:noProof/>
              </w:rPr>
              <w:t>Discussion</w:t>
            </w:r>
            <w:r w:rsidR="00E65AA6">
              <w:rPr>
                <w:noProof/>
                <w:webHidden/>
              </w:rPr>
              <w:tab/>
            </w:r>
            <w:r w:rsidR="00E65AA6">
              <w:rPr>
                <w:noProof/>
                <w:webHidden/>
              </w:rPr>
              <w:fldChar w:fldCharType="begin"/>
            </w:r>
            <w:r w:rsidR="00E65AA6">
              <w:rPr>
                <w:noProof/>
                <w:webHidden/>
              </w:rPr>
              <w:instrText xml:space="preserve"> PAGEREF _Toc240132668 \h </w:instrText>
            </w:r>
            <w:r w:rsidR="00E65AA6">
              <w:rPr>
                <w:noProof/>
                <w:webHidden/>
              </w:rPr>
            </w:r>
            <w:r w:rsidR="00E65AA6">
              <w:rPr>
                <w:noProof/>
                <w:webHidden/>
              </w:rPr>
              <w:fldChar w:fldCharType="separate"/>
            </w:r>
            <w:r w:rsidR="002261D1">
              <w:rPr>
                <w:noProof/>
                <w:webHidden/>
              </w:rPr>
              <w:t>18</w:t>
            </w:r>
            <w:r w:rsidR="00E65AA6">
              <w:rPr>
                <w:noProof/>
                <w:webHidden/>
              </w:rPr>
              <w:fldChar w:fldCharType="end"/>
            </w:r>
          </w:hyperlink>
        </w:p>
        <w:p w14:paraId="5E11138D" w14:textId="77777777" w:rsidR="00E65AA6" w:rsidRDefault="005456AD">
          <w:pPr>
            <w:pStyle w:val="TOC2"/>
            <w:tabs>
              <w:tab w:val="right" w:leader="dot" w:pos="9010"/>
            </w:tabs>
            <w:rPr>
              <w:rFonts w:eastAsiaTheme="minorEastAsia" w:cstheme="minorBidi"/>
              <w:b w:val="0"/>
              <w:bCs w:val="0"/>
              <w:noProof/>
            </w:rPr>
          </w:pPr>
          <w:hyperlink w:anchor="_Toc240132669" w:history="1">
            <w:r w:rsidR="00E65AA6" w:rsidRPr="001E3FE7">
              <w:rPr>
                <w:rStyle w:val="Hyperlink"/>
                <w:rFonts w:ascii="Arial" w:hAnsi="Arial" w:cs="Arial"/>
                <w:i/>
                <w:iCs/>
                <w:noProof/>
              </w:rPr>
              <w:t>Overview of Findings</w:t>
            </w:r>
            <w:r w:rsidR="00E65AA6">
              <w:rPr>
                <w:noProof/>
                <w:webHidden/>
              </w:rPr>
              <w:tab/>
            </w:r>
            <w:r w:rsidR="00E65AA6">
              <w:rPr>
                <w:noProof/>
                <w:webHidden/>
              </w:rPr>
              <w:fldChar w:fldCharType="begin"/>
            </w:r>
            <w:r w:rsidR="00E65AA6">
              <w:rPr>
                <w:noProof/>
                <w:webHidden/>
              </w:rPr>
              <w:instrText xml:space="preserve"> PAGEREF _Toc240132669 \h </w:instrText>
            </w:r>
            <w:r w:rsidR="00E65AA6">
              <w:rPr>
                <w:noProof/>
                <w:webHidden/>
              </w:rPr>
            </w:r>
            <w:r w:rsidR="00E65AA6">
              <w:rPr>
                <w:noProof/>
                <w:webHidden/>
              </w:rPr>
              <w:fldChar w:fldCharType="separate"/>
            </w:r>
            <w:r w:rsidR="002261D1">
              <w:rPr>
                <w:noProof/>
                <w:webHidden/>
              </w:rPr>
              <w:t>18</w:t>
            </w:r>
            <w:r w:rsidR="00E65AA6">
              <w:rPr>
                <w:noProof/>
                <w:webHidden/>
              </w:rPr>
              <w:fldChar w:fldCharType="end"/>
            </w:r>
          </w:hyperlink>
        </w:p>
        <w:p w14:paraId="5027DE17" w14:textId="77777777" w:rsidR="00E65AA6" w:rsidRDefault="005456AD">
          <w:pPr>
            <w:pStyle w:val="TOC2"/>
            <w:tabs>
              <w:tab w:val="right" w:leader="dot" w:pos="9010"/>
            </w:tabs>
            <w:rPr>
              <w:rFonts w:eastAsiaTheme="minorEastAsia" w:cstheme="minorBidi"/>
              <w:b w:val="0"/>
              <w:bCs w:val="0"/>
              <w:noProof/>
            </w:rPr>
          </w:pPr>
          <w:hyperlink w:anchor="_Toc240132670" w:history="1">
            <w:r w:rsidR="00E65AA6" w:rsidRPr="001E3FE7">
              <w:rPr>
                <w:rStyle w:val="Hyperlink"/>
                <w:rFonts w:ascii="Arial" w:hAnsi="Arial" w:cs="Arial"/>
                <w:i/>
                <w:iCs/>
                <w:noProof/>
              </w:rPr>
              <w:t>Evaluation of Findings</w:t>
            </w:r>
            <w:r w:rsidR="00E65AA6">
              <w:rPr>
                <w:noProof/>
                <w:webHidden/>
              </w:rPr>
              <w:tab/>
            </w:r>
            <w:r w:rsidR="00E65AA6">
              <w:rPr>
                <w:noProof/>
                <w:webHidden/>
              </w:rPr>
              <w:fldChar w:fldCharType="begin"/>
            </w:r>
            <w:r w:rsidR="00E65AA6">
              <w:rPr>
                <w:noProof/>
                <w:webHidden/>
              </w:rPr>
              <w:instrText xml:space="preserve"> PAGEREF _Toc240132670 \h </w:instrText>
            </w:r>
            <w:r w:rsidR="00E65AA6">
              <w:rPr>
                <w:noProof/>
                <w:webHidden/>
              </w:rPr>
            </w:r>
            <w:r w:rsidR="00E65AA6">
              <w:rPr>
                <w:noProof/>
                <w:webHidden/>
              </w:rPr>
              <w:fldChar w:fldCharType="separate"/>
            </w:r>
            <w:r w:rsidR="002261D1">
              <w:rPr>
                <w:noProof/>
                <w:webHidden/>
              </w:rPr>
              <w:t>20</w:t>
            </w:r>
            <w:r w:rsidR="00E65AA6">
              <w:rPr>
                <w:noProof/>
                <w:webHidden/>
              </w:rPr>
              <w:fldChar w:fldCharType="end"/>
            </w:r>
          </w:hyperlink>
        </w:p>
        <w:p w14:paraId="247FF857" w14:textId="77777777" w:rsidR="00E65AA6" w:rsidRDefault="005456AD">
          <w:pPr>
            <w:pStyle w:val="TOC2"/>
            <w:tabs>
              <w:tab w:val="right" w:leader="dot" w:pos="9010"/>
            </w:tabs>
            <w:rPr>
              <w:rFonts w:eastAsiaTheme="minorEastAsia" w:cstheme="minorBidi"/>
              <w:b w:val="0"/>
              <w:bCs w:val="0"/>
              <w:noProof/>
            </w:rPr>
          </w:pPr>
          <w:hyperlink w:anchor="_Toc240132671" w:history="1">
            <w:r w:rsidR="00E65AA6" w:rsidRPr="001E3FE7">
              <w:rPr>
                <w:rStyle w:val="Hyperlink"/>
                <w:rFonts w:ascii="Arial" w:hAnsi="Arial" w:cs="Arial"/>
                <w:i/>
                <w:iCs/>
                <w:noProof/>
              </w:rPr>
              <w:t>Implications, Recommendations and Conclusion</w:t>
            </w:r>
            <w:r w:rsidR="00E65AA6">
              <w:rPr>
                <w:noProof/>
                <w:webHidden/>
              </w:rPr>
              <w:tab/>
            </w:r>
            <w:r w:rsidR="00E65AA6">
              <w:rPr>
                <w:noProof/>
                <w:webHidden/>
              </w:rPr>
              <w:fldChar w:fldCharType="begin"/>
            </w:r>
            <w:r w:rsidR="00E65AA6">
              <w:rPr>
                <w:noProof/>
                <w:webHidden/>
              </w:rPr>
              <w:instrText xml:space="preserve"> PAGEREF _Toc240132671 \h </w:instrText>
            </w:r>
            <w:r w:rsidR="00E65AA6">
              <w:rPr>
                <w:noProof/>
                <w:webHidden/>
              </w:rPr>
            </w:r>
            <w:r w:rsidR="00E65AA6">
              <w:rPr>
                <w:noProof/>
                <w:webHidden/>
              </w:rPr>
              <w:fldChar w:fldCharType="separate"/>
            </w:r>
            <w:r w:rsidR="002261D1">
              <w:rPr>
                <w:noProof/>
                <w:webHidden/>
              </w:rPr>
              <w:t>24</w:t>
            </w:r>
            <w:r w:rsidR="00E65AA6">
              <w:rPr>
                <w:noProof/>
                <w:webHidden/>
              </w:rPr>
              <w:fldChar w:fldCharType="end"/>
            </w:r>
          </w:hyperlink>
        </w:p>
        <w:p w14:paraId="5C66EF3B" w14:textId="77777777" w:rsidR="00E65AA6" w:rsidRDefault="005456AD">
          <w:pPr>
            <w:pStyle w:val="TOC1"/>
            <w:tabs>
              <w:tab w:val="right" w:leader="dot" w:pos="9010"/>
            </w:tabs>
            <w:rPr>
              <w:rFonts w:eastAsiaTheme="minorEastAsia" w:cstheme="minorBidi"/>
              <w:b w:val="0"/>
              <w:bCs w:val="0"/>
              <w:i w:val="0"/>
              <w:iCs w:val="0"/>
              <w:noProof/>
              <w:sz w:val="22"/>
              <w:szCs w:val="22"/>
            </w:rPr>
          </w:pPr>
          <w:hyperlink w:anchor="_Toc240132672" w:history="1">
            <w:r w:rsidR="00E65AA6" w:rsidRPr="001E3FE7">
              <w:rPr>
                <w:rStyle w:val="Hyperlink"/>
                <w:rFonts w:ascii="Arial" w:hAnsi="Arial" w:cs="Arial"/>
                <w:noProof/>
              </w:rPr>
              <w:t>References</w:t>
            </w:r>
            <w:r w:rsidR="00E65AA6">
              <w:rPr>
                <w:noProof/>
                <w:webHidden/>
              </w:rPr>
              <w:tab/>
            </w:r>
            <w:r w:rsidR="00E65AA6">
              <w:rPr>
                <w:noProof/>
                <w:webHidden/>
              </w:rPr>
              <w:fldChar w:fldCharType="begin"/>
            </w:r>
            <w:r w:rsidR="00E65AA6">
              <w:rPr>
                <w:noProof/>
                <w:webHidden/>
              </w:rPr>
              <w:instrText xml:space="preserve"> PAGEREF _Toc240132672 \h </w:instrText>
            </w:r>
            <w:r w:rsidR="00E65AA6">
              <w:rPr>
                <w:noProof/>
                <w:webHidden/>
              </w:rPr>
            </w:r>
            <w:r w:rsidR="00E65AA6">
              <w:rPr>
                <w:noProof/>
                <w:webHidden/>
              </w:rPr>
              <w:fldChar w:fldCharType="separate"/>
            </w:r>
            <w:r w:rsidR="002261D1">
              <w:rPr>
                <w:noProof/>
                <w:webHidden/>
              </w:rPr>
              <w:t>26</w:t>
            </w:r>
            <w:r w:rsidR="00E65AA6">
              <w:rPr>
                <w:noProof/>
                <w:webHidden/>
              </w:rPr>
              <w:fldChar w:fldCharType="end"/>
            </w:r>
          </w:hyperlink>
        </w:p>
        <w:p w14:paraId="6C0FE776" w14:textId="4B7C078C" w:rsidR="004D72A0" w:rsidRDefault="004D72A0">
          <w:r w:rsidRPr="00D959FF">
            <w:rPr>
              <w:b/>
              <w:bCs/>
              <w:noProof/>
            </w:rPr>
            <w:fldChar w:fldCharType="end"/>
          </w:r>
        </w:p>
      </w:sdtContent>
    </w:sdt>
    <w:p w14:paraId="42D278D2" w14:textId="77777777" w:rsidR="000B3DCB" w:rsidRDefault="000B3DCB" w:rsidP="00F66B3A">
      <w:pPr>
        <w:spacing w:line="276" w:lineRule="auto"/>
        <w:jc w:val="both"/>
        <w:rPr>
          <w:rFonts w:ascii="Baskerville" w:hAnsi="Baskerville"/>
        </w:rPr>
      </w:pPr>
    </w:p>
    <w:p w14:paraId="79C5BE45" w14:textId="77777777" w:rsidR="00907E63" w:rsidRDefault="00907E63" w:rsidP="00F66B3A">
      <w:pPr>
        <w:spacing w:line="276" w:lineRule="auto"/>
        <w:jc w:val="both"/>
        <w:rPr>
          <w:rFonts w:ascii="Baskerville" w:hAnsi="Baskerville"/>
        </w:rPr>
      </w:pPr>
    </w:p>
    <w:p w14:paraId="32214BE3" w14:textId="77777777" w:rsidR="00907E63" w:rsidRDefault="00907E63" w:rsidP="00F66B3A">
      <w:pPr>
        <w:spacing w:line="276" w:lineRule="auto"/>
        <w:jc w:val="both"/>
        <w:rPr>
          <w:rFonts w:ascii="Baskerville" w:hAnsi="Baskerville"/>
        </w:rPr>
      </w:pPr>
    </w:p>
    <w:p w14:paraId="42690FD1" w14:textId="77777777" w:rsidR="00907E63" w:rsidRDefault="00907E63" w:rsidP="00F66B3A">
      <w:pPr>
        <w:spacing w:line="276" w:lineRule="auto"/>
        <w:jc w:val="both"/>
        <w:rPr>
          <w:rFonts w:ascii="Baskerville" w:hAnsi="Baskerville"/>
        </w:rPr>
      </w:pPr>
    </w:p>
    <w:p w14:paraId="5390A249" w14:textId="77777777" w:rsidR="00907E63" w:rsidRDefault="00907E63" w:rsidP="00F66B3A">
      <w:pPr>
        <w:spacing w:line="276" w:lineRule="auto"/>
        <w:jc w:val="both"/>
        <w:rPr>
          <w:rFonts w:ascii="Baskerville" w:hAnsi="Baskerville"/>
        </w:rPr>
      </w:pPr>
    </w:p>
    <w:p w14:paraId="6EAEB0CB" w14:textId="77777777" w:rsidR="00907E63" w:rsidRDefault="00907E63" w:rsidP="00F66B3A">
      <w:pPr>
        <w:spacing w:line="276" w:lineRule="auto"/>
        <w:jc w:val="both"/>
        <w:rPr>
          <w:rFonts w:ascii="Baskerville" w:hAnsi="Baskerville"/>
        </w:rPr>
      </w:pPr>
    </w:p>
    <w:p w14:paraId="3EC159A0" w14:textId="77777777" w:rsidR="00907E63" w:rsidRDefault="00907E63" w:rsidP="00F66B3A">
      <w:pPr>
        <w:spacing w:line="276" w:lineRule="auto"/>
        <w:jc w:val="both"/>
        <w:rPr>
          <w:rFonts w:ascii="Baskerville" w:hAnsi="Baskerville"/>
        </w:rPr>
      </w:pPr>
    </w:p>
    <w:p w14:paraId="1A982EF6" w14:textId="77777777" w:rsidR="00907E63" w:rsidRDefault="00907E63" w:rsidP="00F66B3A">
      <w:pPr>
        <w:spacing w:line="276" w:lineRule="auto"/>
        <w:jc w:val="both"/>
        <w:rPr>
          <w:rFonts w:ascii="Baskerville" w:hAnsi="Baskerville"/>
        </w:rPr>
      </w:pPr>
    </w:p>
    <w:p w14:paraId="5B4E530E" w14:textId="77777777" w:rsidR="00907E63" w:rsidRDefault="00907E63" w:rsidP="00F66B3A">
      <w:pPr>
        <w:spacing w:line="276" w:lineRule="auto"/>
        <w:jc w:val="both"/>
        <w:rPr>
          <w:rFonts w:ascii="Baskerville" w:hAnsi="Baskerville"/>
        </w:rPr>
      </w:pPr>
    </w:p>
    <w:p w14:paraId="66D5290F" w14:textId="77777777" w:rsidR="00907E63" w:rsidRDefault="00907E63" w:rsidP="00F66B3A">
      <w:pPr>
        <w:spacing w:line="276" w:lineRule="auto"/>
        <w:jc w:val="both"/>
        <w:rPr>
          <w:rFonts w:ascii="Baskerville" w:hAnsi="Baskerville"/>
        </w:rPr>
      </w:pPr>
    </w:p>
    <w:p w14:paraId="078BB735" w14:textId="77777777" w:rsidR="00E65AA6" w:rsidRDefault="00E65AA6" w:rsidP="00F66B3A">
      <w:pPr>
        <w:spacing w:line="276" w:lineRule="auto"/>
        <w:jc w:val="both"/>
        <w:rPr>
          <w:rFonts w:ascii="Baskerville" w:hAnsi="Baskerville"/>
        </w:rPr>
      </w:pPr>
    </w:p>
    <w:p w14:paraId="160023C7" w14:textId="77777777" w:rsidR="00E65AA6" w:rsidRDefault="00E65AA6" w:rsidP="00F66B3A">
      <w:pPr>
        <w:spacing w:line="276" w:lineRule="auto"/>
        <w:jc w:val="both"/>
        <w:rPr>
          <w:rFonts w:ascii="Baskerville" w:hAnsi="Baskerville"/>
        </w:rPr>
      </w:pPr>
    </w:p>
    <w:p w14:paraId="1A9510A6" w14:textId="77777777" w:rsidR="00907E63" w:rsidRDefault="00907E63" w:rsidP="00F66B3A">
      <w:pPr>
        <w:spacing w:line="276" w:lineRule="auto"/>
        <w:jc w:val="both"/>
        <w:rPr>
          <w:rFonts w:ascii="Baskerville" w:hAnsi="Baskerville"/>
        </w:rPr>
      </w:pPr>
    </w:p>
    <w:p w14:paraId="63AC6EDE" w14:textId="77777777" w:rsidR="00907E63" w:rsidRDefault="00907E63" w:rsidP="00F66B3A">
      <w:pPr>
        <w:spacing w:line="276" w:lineRule="auto"/>
        <w:jc w:val="both"/>
        <w:rPr>
          <w:rFonts w:ascii="Baskerville" w:hAnsi="Baskerville"/>
        </w:rPr>
      </w:pPr>
    </w:p>
    <w:p w14:paraId="7C75CC83" w14:textId="77777777" w:rsidR="00907E63" w:rsidRDefault="00907E63" w:rsidP="00F66B3A">
      <w:pPr>
        <w:spacing w:line="276" w:lineRule="auto"/>
        <w:jc w:val="both"/>
        <w:rPr>
          <w:rFonts w:ascii="Baskerville" w:hAnsi="Baskerville"/>
        </w:rPr>
      </w:pPr>
    </w:p>
    <w:p w14:paraId="4E33BF97" w14:textId="77777777" w:rsidR="00907E63" w:rsidRPr="00F66B3A" w:rsidRDefault="00907E63" w:rsidP="00F66B3A">
      <w:pPr>
        <w:spacing w:line="276" w:lineRule="auto"/>
        <w:jc w:val="both"/>
        <w:rPr>
          <w:rFonts w:ascii="Baskerville" w:hAnsi="Baskerville"/>
        </w:rPr>
      </w:pPr>
    </w:p>
    <w:p w14:paraId="4F0BB4A5" w14:textId="2168B8B5" w:rsidR="00164315" w:rsidRPr="00A02F3E" w:rsidRDefault="00164315" w:rsidP="00F66B3A">
      <w:pPr>
        <w:pStyle w:val="Heading1"/>
        <w:jc w:val="both"/>
        <w:rPr>
          <w:rFonts w:ascii="Arial" w:hAnsi="Arial" w:cs="Arial"/>
          <w:b/>
          <w:bCs/>
          <w:color w:val="auto"/>
          <w:sz w:val="24"/>
          <w:szCs w:val="24"/>
        </w:rPr>
      </w:pPr>
      <w:bookmarkStart w:id="3" w:name="_Toc240132657"/>
      <w:r w:rsidRPr="00A02F3E">
        <w:rPr>
          <w:rFonts w:ascii="Arial" w:hAnsi="Arial" w:cs="Arial"/>
          <w:b/>
          <w:bCs/>
          <w:color w:val="auto"/>
          <w:sz w:val="24"/>
          <w:szCs w:val="24"/>
        </w:rPr>
        <w:lastRenderedPageBreak/>
        <w:t>Introduction</w:t>
      </w:r>
      <w:r w:rsidR="008553D5">
        <w:rPr>
          <w:rFonts w:ascii="Arial" w:hAnsi="Arial" w:cs="Arial"/>
          <w:b/>
          <w:bCs/>
          <w:color w:val="auto"/>
          <w:sz w:val="24"/>
          <w:szCs w:val="24"/>
        </w:rPr>
        <w:t xml:space="preserve"> and </w:t>
      </w:r>
      <w:r w:rsidR="008553D5" w:rsidRPr="008553D5">
        <w:rPr>
          <w:rFonts w:ascii="Arial" w:hAnsi="Arial" w:cs="Arial"/>
          <w:b/>
          <w:bCs/>
          <w:color w:val="auto"/>
          <w:sz w:val="24"/>
          <w:szCs w:val="24"/>
        </w:rPr>
        <w:t>Literature Review</w:t>
      </w:r>
      <w:bookmarkEnd w:id="3"/>
    </w:p>
    <w:p w14:paraId="0E54337D" w14:textId="632E33D0" w:rsidR="008769DB" w:rsidRPr="00963935" w:rsidRDefault="00BD4098" w:rsidP="00963935">
      <w:pPr>
        <w:spacing w:before="100" w:beforeAutospacing="1" w:after="100" w:afterAutospacing="1" w:line="276" w:lineRule="auto"/>
        <w:jc w:val="both"/>
        <w:rPr>
          <w:rFonts w:ascii="Arial" w:hAnsi="Arial" w:cs="Arial"/>
          <w:color w:val="FF0000"/>
        </w:rPr>
      </w:pPr>
      <w:r w:rsidRPr="00A02F3E">
        <w:rPr>
          <w:rFonts w:ascii="Arial" w:hAnsi="Arial" w:cs="Arial"/>
        </w:rPr>
        <w:t>T</w:t>
      </w:r>
      <w:r w:rsidR="008769DB" w:rsidRPr="008769DB">
        <w:rPr>
          <w:rFonts w:ascii="Arial" w:hAnsi="Arial" w:cs="Arial"/>
        </w:rPr>
        <w:t>he rising cost of medicines represents a significant economic challenge for healthcare systems globally (</w:t>
      </w:r>
      <w:proofErr w:type="spellStart"/>
      <w:r w:rsidR="008769DB" w:rsidRPr="008769DB">
        <w:rPr>
          <w:rFonts w:ascii="Arial" w:hAnsi="Arial" w:cs="Arial"/>
        </w:rPr>
        <w:t>Mulcahy</w:t>
      </w:r>
      <w:proofErr w:type="spellEnd"/>
      <w:r w:rsidR="008769DB" w:rsidRPr="008769DB">
        <w:rPr>
          <w:rFonts w:ascii="Arial" w:hAnsi="Arial" w:cs="Arial"/>
        </w:rPr>
        <w:t xml:space="preserve"> et al., 2024). Although medicines have revolutionised the prevention and management of acute and chronic diseases, these advances have been accompanied by substantial increases in healthcare expenditure (</w:t>
      </w:r>
      <w:proofErr w:type="spellStart"/>
      <w:r w:rsidR="008769DB" w:rsidRPr="008769DB">
        <w:rPr>
          <w:rFonts w:ascii="Arial" w:hAnsi="Arial" w:cs="Arial"/>
        </w:rPr>
        <w:t>Oliinky</w:t>
      </w:r>
      <w:proofErr w:type="spellEnd"/>
      <w:r w:rsidR="008769DB" w:rsidRPr="008769DB">
        <w:rPr>
          <w:rFonts w:ascii="Arial" w:hAnsi="Arial" w:cs="Arial"/>
        </w:rPr>
        <w:t xml:space="preserve"> et al., 2024). Rising demand and costs are influenced by ageing populations, </w:t>
      </w:r>
      <w:proofErr w:type="spellStart"/>
      <w:r w:rsidR="008769DB" w:rsidRPr="008769DB">
        <w:rPr>
          <w:rFonts w:ascii="Arial" w:hAnsi="Arial" w:cs="Arial"/>
        </w:rPr>
        <w:t>multimorbidity</w:t>
      </w:r>
      <w:proofErr w:type="spellEnd"/>
      <w:r w:rsidR="008769DB" w:rsidRPr="008769DB">
        <w:rPr>
          <w:rFonts w:ascii="Arial" w:hAnsi="Arial" w:cs="Arial"/>
        </w:rPr>
        <w:t xml:space="preserve">, </w:t>
      </w:r>
      <w:proofErr w:type="spellStart"/>
      <w:r w:rsidR="008769DB" w:rsidRPr="008769DB">
        <w:rPr>
          <w:rFonts w:ascii="Arial" w:hAnsi="Arial" w:cs="Arial"/>
        </w:rPr>
        <w:t>polypharmacy</w:t>
      </w:r>
      <w:proofErr w:type="spellEnd"/>
      <w:r w:rsidR="008769DB" w:rsidRPr="008769DB">
        <w:rPr>
          <w:rFonts w:ascii="Arial" w:hAnsi="Arial" w:cs="Arial"/>
        </w:rPr>
        <w:t xml:space="preserve">, expanding therapeutic options and the emergence of high-cost biological and precision medicines (Janssen </w:t>
      </w:r>
      <w:proofErr w:type="spellStart"/>
      <w:r w:rsidR="008769DB" w:rsidRPr="008769DB">
        <w:rPr>
          <w:rFonts w:ascii="Arial" w:hAnsi="Arial" w:cs="Arial"/>
        </w:rPr>
        <w:t>Daalen</w:t>
      </w:r>
      <w:proofErr w:type="spellEnd"/>
      <w:r w:rsidR="008769DB" w:rsidRPr="008769DB">
        <w:rPr>
          <w:rFonts w:ascii="Arial" w:hAnsi="Arial" w:cs="Arial"/>
        </w:rPr>
        <w:t xml:space="preserve"> et al., 2021). The World Health Organisation (WHO) recognises equitable access to affordable medicines as an important component of universal health coverage and supports the ethical principles of justice and beneficence (</w:t>
      </w:r>
      <w:proofErr w:type="spellStart"/>
      <w:r w:rsidR="008769DB" w:rsidRPr="008769DB">
        <w:rPr>
          <w:rFonts w:ascii="Arial" w:hAnsi="Arial" w:cs="Arial"/>
        </w:rPr>
        <w:t>Varkey</w:t>
      </w:r>
      <w:proofErr w:type="spellEnd"/>
      <w:r w:rsidR="008769DB" w:rsidRPr="008769DB">
        <w:rPr>
          <w:rFonts w:ascii="Arial" w:hAnsi="Arial" w:cs="Arial"/>
        </w:rPr>
        <w:t>, 2021; WHO, 2026).</w:t>
      </w:r>
    </w:p>
    <w:p w14:paraId="4F480911" w14:textId="77777777" w:rsidR="008769DB" w:rsidRPr="008769DB" w:rsidRDefault="008769DB" w:rsidP="008769DB">
      <w:pPr>
        <w:spacing w:line="276" w:lineRule="auto"/>
        <w:jc w:val="both"/>
        <w:rPr>
          <w:rFonts w:ascii="Arial" w:hAnsi="Arial" w:cs="Arial"/>
        </w:rPr>
      </w:pPr>
      <w:r w:rsidRPr="008769DB">
        <w:rPr>
          <w:rFonts w:ascii="Arial" w:hAnsi="Arial" w:cs="Arial"/>
        </w:rPr>
        <w:t>This creates a challenge for governments and healthcare services in balancing timely access to clinically effective medicines with financial sustainability (</w:t>
      </w:r>
      <w:proofErr w:type="spellStart"/>
      <w:r w:rsidRPr="008769DB">
        <w:rPr>
          <w:rFonts w:ascii="Arial" w:hAnsi="Arial" w:cs="Arial"/>
        </w:rPr>
        <w:t>Ntais</w:t>
      </w:r>
      <w:proofErr w:type="spellEnd"/>
      <w:r w:rsidRPr="008769DB">
        <w:rPr>
          <w:rFonts w:ascii="Arial" w:hAnsi="Arial" w:cs="Arial"/>
        </w:rPr>
        <w:t xml:space="preserve"> et al., 2024). Increasing medicine expenditure is not solely attributable to prescribing practices, but reflects interactions between demographic changes, disease prevalence, market conditions, pricing regulations, supply chain pressures and technological innovation (Janssen </w:t>
      </w:r>
      <w:proofErr w:type="spellStart"/>
      <w:r w:rsidRPr="008769DB">
        <w:rPr>
          <w:rFonts w:ascii="Arial" w:hAnsi="Arial" w:cs="Arial"/>
        </w:rPr>
        <w:t>Daalen</w:t>
      </w:r>
      <w:proofErr w:type="spellEnd"/>
      <w:r w:rsidRPr="008769DB">
        <w:rPr>
          <w:rFonts w:ascii="Arial" w:hAnsi="Arial" w:cs="Arial"/>
        </w:rPr>
        <w:t xml:space="preserve"> et al., 2021). Medicines are among the largest areas of healthcare expenditure after staffing costs and can affect resources available for workforce development, diagnostics, infrastructure and other service improvements (Wozniak-</w:t>
      </w:r>
      <w:proofErr w:type="spellStart"/>
      <w:r w:rsidRPr="008769DB">
        <w:rPr>
          <w:rFonts w:ascii="Arial" w:hAnsi="Arial" w:cs="Arial"/>
        </w:rPr>
        <w:t>Holecka</w:t>
      </w:r>
      <w:proofErr w:type="spellEnd"/>
      <w:r w:rsidRPr="008769DB">
        <w:rPr>
          <w:rFonts w:ascii="Arial" w:hAnsi="Arial" w:cs="Arial"/>
        </w:rPr>
        <w:t xml:space="preserve"> et al., 2026). Consequently, pharmaceutical expenditure requires monitoring and evaluation to inform healthcare reform and improvement (Anderson, 2026). This reflects the wider shift towards value-based healthcare, where clinical effectiveness and economic efficiency are considered alongside one another when guiding commissioning decisions and improving population health (Khalil et al., 2025).</w:t>
      </w:r>
    </w:p>
    <w:p w14:paraId="1990B608" w14:textId="77777777" w:rsidR="008769DB" w:rsidRPr="008769DB" w:rsidRDefault="008769DB" w:rsidP="008769DB">
      <w:pPr>
        <w:spacing w:line="276" w:lineRule="auto"/>
        <w:jc w:val="both"/>
        <w:rPr>
          <w:rFonts w:ascii="Arial" w:hAnsi="Arial" w:cs="Arial"/>
        </w:rPr>
      </w:pPr>
    </w:p>
    <w:p w14:paraId="5FA4171D" w14:textId="77777777" w:rsidR="008769DB" w:rsidRPr="008769DB" w:rsidRDefault="008769DB" w:rsidP="008769DB">
      <w:pPr>
        <w:spacing w:line="276" w:lineRule="auto"/>
        <w:jc w:val="both"/>
        <w:rPr>
          <w:rFonts w:ascii="Arial" w:hAnsi="Arial" w:cs="Arial"/>
        </w:rPr>
      </w:pPr>
      <w:r w:rsidRPr="008769DB">
        <w:rPr>
          <w:rFonts w:ascii="Arial" w:hAnsi="Arial" w:cs="Arial"/>
        </w:rPr>
        <w:t>These issues are particularly relevant to publicly funded systems such as the United Kingdom National Health Service (NHS), where finite budgets must accommodate increasing demand (Jain et al., 2025). Medicines represent the second largest area of NHS expenditure, with NHS England spending over £19 billion on drugs annually (</w:t>
      </w:r>
      <w:proofErr w:type="spellStart"/>
      <w:r w:rsidRPr="008769DB">
        <w:rPr>
          <w:rFonts w:ascii="Arial" w:hAnsi="Arial" w:cs="Arial"/>
        </w:rPr>
        <w:t>Kahtan</w:t>
      </w:r>
      <w:proofErr w:type="spellEnd"/>
      <w:r w:rsidRPr="008769DB">
        <w:rPr>
          <w:rFonts w:ascii="Arial" w:hAnsi="Arial" w:cs="Arial"/>
        </w:rPr>
        <w:t>, 2025), while NHS Business Services Authority (NHSBSA) data reported total medicines expenditure of £21.4 billion in 2025 (NHSBSA, 2025). NHSBSA monitors medicines expenditure and provides open-access prescribing data across primary and secondary care (NHSBSA, 2026c), enabling analysis of expenditure and prescribing trends by medicine, therapeutic class and British National Formulary (BNF) category. However, secondary care differs substantially from community prescribing because hospitals frequently use higher-cost medicines, including intravenous antimicrobials, oncology treatments, immunotherapies and biologics. Hospital expenditure is therefore influenced not only by prescribing frequency but also by treatment complexity, patient acuity and advances in specialist practice (NHSBSA, 2026b).</w:t>
      </w:r>
    </w:p>
    <w:p w14:paraId="351794F1" w14:textId="77777777" w:rsidR="008769DB" w:rsidRPr="008769DB" w:rsidRDefault="008769DB" w:rsidP="008769DB">
      <w:pPr>
        <w:spacing w:line="276" w:lineRule="auto"/>
        <w:jc w:val="both"/>
        <w:rPr>
          <w:rFonts w:ascii="Arial" w:hAnsi="Arial" w:cs="Arial"/>
        </w:rPr>
      </w:pPr>
    </w:p>
    <w:p w14:paraId="64B9C07C" w14:textId="77777777" w:rsidR="008769DB" w:rsidRPr="008769DB" w:rsidRDefault="008769DB" w:rsidP="008769DB">
      <w:pPr>
        <w:spacing w:line="276" w:lineRule="auto"/>
        <w:jc w:val="both"/>
        <w:rPr>
          <w:rFonts w:ascii="Arial" w:hAnsi="Arial" w:cs="Arial"/>
        </w:rPr>
      </w:pPr>
      <w:r w:rsidRPr="008769DB">
        <w:rPr>
          <w:rFonts w:ascii="Arial" w:hAnsi="Arial" w:cs="Arial"/>
        </w:rPr>
        <w:t>Medicines most commonly prescribed across England are generally those used to manage prevalent long-term conditions, including cardiovascular, gastrointestinal, respiratory, endocrine and mental health conditions, as well as analgesia and antibiotics (</w:t>
      </w:r>
      <w:proofErr w:type="spellStart"/>
      <w:r w:rsidRPr="008769DB">
        <w:rPr>
          <w:rFonts w:ascii="Arial" w:hAnsi="Arial" w:cs="Arial"/>
        </w:rPr>
        <w:t>Alghamdi</w:t>
      </w:r>
      <w:proofErr w:type="spellEnd"/>
      <w:r w:rsidRPr="008769DB">
        <w:rPr>
          <w:rFonts w:ascii="Arial" w:hAnsi="Arial" w:cs="Arial"/>
        </w:rPr>
        <w:t xml:space="preserve"> et al., 2020; Curtis &amp; </w:t>
      </w:r>
      <w:proofErr w:type="spellStart"/>
      <w:r w:rsidRPr="008769DB">
        <w:rPr>
          <w:rFonts w:ascii="Arial" w:hAnsi="Arial" w:cs="Arial"/>
        </w:rPr>
        <w:t>Goldacre</w:t>
      </w:r>
      <w:proofErr w:type="spellEnd"/>
      <w:r w:rsidRPr="008769DB">
        <w:rPr>
          <w:rFonts w:ascii="Arial" w:hAnsi="Arial" w:cs="Arial"/>
        </w:rPr>
        <w:t xml:space="preserve">, 2018). Common examples include statins, proton pump inhibitors, angiotensin-converting enzyme inhibitors, beta-blockers, metformin, levothyroxine, selective serotonin reuptake inhibitors and bronchodilators (NHSBSA, 2026c). The increasing availability of open-access NHS data provides opportunities for longitudinal analysis using standardised methods, supporting transparency, reproducibility and evidence-informed decision-making while potentially reducing measurement and reporting biases (Bacon &amp; </w:t>
      </w:r>
      <w:proofErr w:type="spellStart"/>
      <w:r w:rsidRPr="008769DB">
        <w:rPr>
          <w:rFonts w:ascii="Arial" w:hAnsi="Arial" w:cs="Arial"/>
        </w:rPr>
        <w:t>Goldacre</w:t>
      </w:r>
      <w:proofErr w:type="spellEnd"/>
      <w:r w:rsidRPr="008769DB">
        <w:rPr>
          <w:rFonts w:ascii="Arial" w:hAnsi="Arial" w:cs="Arial"/>
        </w:rPr>
        <w:t>, 2020; NHS England, 2026). However, identifying temporal trends in secondary care medicine expenditure remains important because such analysis may help healthcare organisations anticipate future financial pressures and inform commissioning decisions.</w:t>
      </w:r>
    </w:p>
    <w:p w14:paraId="451A3435" w14:textId="77777777" w:rsidR="008769DB" w:rsidRPr="008769DB" w:rsidRDefault="008769DB" w:rsidP="008769DB">
      <w:pPr>
        <w:spacing w:line="276" w:lineRule="auto"/>
        <w:jc w:val="both"/>
        <w:rPr>
          <w:rFonts w:ascii="Arial" w:hAnsi="Arial" w:cs="Arial"/>
        </w:rPr>
      </w:pPr>
    </w:p>
    <w:p w14:paraId="1951A2F5" w14:textId="77777777" w:rsidR="008769DB" w:rsidRPr="008769DB" w:rsidRDefault="008769DB" w:rsidP="008769DB">
      <w:pPr>
        <w:spacing w:line="276" w:lineRule="auto"/>
        <w:jc w:val="both"/>
        <w:rPr>
          <w:rFonts w:ascii="Arial" w:hAnsi="Arial" w:cs="Arial"/>
        </w:rPr>
      </w:pPr>
      <w:r w:rsidRPr="008769DB">
        <w:rPr>
          <w:rFonts w:ascii="Arial" w:hAnsi="Arial" w:cs="Arial"/>
        </w:rPr>
        <w:t xml:space="preserve">Existing literature indicates that hospital medicines expenditure has increased substantially, but evidence identifying the specific medicines and </w:t>
      </w:r>
      <w:proofErr w:type="gramStart"/>
      <w:r w:rsidRPr="008769DB">
        <w:rPr>
          <w:rFonts w:ascii="Arial" w:hAnsi="Arial" w:cs="Arial"/>
        </w:rPr>
        <w:t>therapeutic classes responsible remains</w:t>
      </w:r>
      <w:proofErr w:type="gramEnd"/>
      <w:r w:rsidRPr="008769DB">
        <w:rPr>
          <w:rFonts w:ascii="Arial" w:hAnsi="Arial" w:cs="Arial"/>
        </w:rPr>
        <w:t xml:space="preserve"> limited. Earlier NHS reports highlighted the growing contribution of secondary care to overall prescribing expenditure, but primarily presented descriptive data at list prices, which may not represent net NHS costs following discounts or commercial agreements (NHS England, 2020). More recent NHSBSA evaluations reported prescribing costs of £21.6 billion during 2024/25, including £11.1 billion for medicines used in hospitals and £10.3 billion for community-dispensed medicines (NHSBSA, 2025). Although these statistics demonstrate the scale of secondary care expenditure, they provide limited longitudinal analysis of changes in medicine costs. Empirical research has also largely focused on primary care. Curtis and </w:t>
      </w:r>
      <w:proofErr w:type="spellStart"/>
      <w:r w:rsidRPr="008769DB">
        <w:rPr>
          <w:rFonts w:ascii="Arial" w:hAnsi="Arial" w:cs="Arial"/>
        </w:rPr>
        <w:t>Goldacre</w:t>
      </w:r>
      <w:proofErr w:type="spellEnd"/>
      <w:r w:rsidRPr="008769DB">
        <w:rPr>
          <w:rFonts w:ascii="Arial" w:hAnsi="Arial" w:cs="Arial"/>
        </w:rPr>
        <w:t xml:space="preserve"> (2018), for example, found that NHS primary care medicine costs in England increased from £4.4 billion in 1998 to £8.3 billion in 2016, but this does not capture the distinctive costs associated with hospital prescribing, where high-cost medicines are more prevalent.</w:t>
      </w:r>
    </w:p>
    <w:p w14:paraId="6BE55257" w14:textId="77777777" w:rsidR="008769DB" w:rsidRPr="008769DB" w:rsidRDefault="008769DB" w:rsidP="008769DB">
      <w:pPr>
        <w:spacing w:line="276" w:lineRule="auto"/>
        <w:jc w:val="both"/>
        <w:rPr>
          <w:rFonts w:ascii="Arial" w:hAnsi="Arial" w:cs="Arial"/>
        </w:rPr>
      </w:pPr>
    </w:p>
    <w:p w14:paraId="5794BC6E" w14:textId="77777777" w:rsidR="008769DB" w:rsidRPr="008769DB" w:rsidRDefault="008769DB" w:rsidP="008769DB">
      <w:pPr>
        <w:spacing w:line="276" w:lineRule="auto"/>
        <w:jc w:val="both"/>
        <w:rPr>
          <w:rFonts w:ascii="Arial" w:hAnsi="Arial" w:cs="Arial"/>
        </w:rPr>
      </w:pPr>
      <w:r w:rsidRPr="008769DB">
        <w:rPr>
          <w:rFonts w:ascii="Arial" w:hAnsi="Arial" w:cs="Arial"/>
        </w:rPr>
        <w:t xml:space="preserve">The Secondary Care Medicines Dataset provides an important opportunity to address this evidence gap. NHSBSA reports that the dataset processes medicines data from NHS acute, teaching, specialist, mental health and community trusts using pharmacy stock-control systems (NHSBSA, 2026d). However, because the dataset is based on stock-control records rather than patient-level prescribing, it lacks information on clinical indication, prescribing appropriateness, patient outcomes and complexity (NHSBSA, 2026d). Sanderson (2024) developed a web-based tool using the Secondary Care Medicines Dataset to analyse hospital medicines and prescribing costs across NHS trusts. While this represents an important empirical contribution to secondary care data analysis, its primary focus was data accessibility, infrastructure and analytical methods rather than detailed evaluation of the most frequently prescribed and highest-cost medicines (Sanderson, 2024). Similarly, </w:t>
      </w:r>
      <w:r w:rsidRPr="008769DB">
        <w:rPr>
          <w:rFonts w:ascii="Arial" w:hAnsi="Arial" w:cs="Arial"/>
        </w:rPr>
        <w:lastRenderedPageBreak/>
        <w:t>Rowan et al. (2021) demonstrated the significance of high-cost medicines, reporting that hospital-issued medicines accounted for 56% of total medicine spending in NHS England in 2019/20. However, the study did not examine trends in this spending or identify the medicines contributing most to hospital costs.</w:t>
      </w:r>
    </w:p>
    <w:p w14:paraId="000DA64D" w14:textId="77777777" w:rsidR="008769DB" w:rsidRPr="008769DB" w:rsidRDefault="008769DB" w:rsidP="008769DB">
      <w:pPr>
        <w:spacing w:line="276" w:lineRule="auto"/>
        <w:jc w:val="both"/>
        <w:rPr>
          <w:rFonts w:ascii="Arial" w:hAnsi="Arial" w:cs="Arial"/>
        </w:rPr>
      </w:pPr>
    </w:p>
    <w:p w14:paraId="60C15123" w14:textId="26B17F63" w:rsidR="008769DB" w:rsidRDefault="008769DB" w:rsidP="008769DB">
      <w:pPr>
        <w:spacing w:line="276" w:lineRule="auto"/>
        <w:jc w:val="both"/>
        <w:rPr>
          <w:rFonts w:ascii="Arial" w:hAnsi="Arial" w:cs="Arial"/>
        </w:rPr>
      </w:pPr>
      <w:r w:rsidRPr="008769DB">
        <w:rPr>
          <w:rFonts w:ascii="Arial" w:hAnsi="Arial" w:cs="Arial"/>
        </w:rPr>
        <w:t>Overall, three key evidence gaps remain. First, although NHS reports document rising hospital medicines expenditure, they provide limited analysis of the medicines and therapeutic classes driving these increases. Second, empirical research has traditionally concentrated on primary care rather than secondary care. Third, while newer secondary care datasets and analytical platforms have improved opportunities for investigation, published research has yet to comprehensively evaluate longitudinal trends in hospital medicine costs. These gaps support the need for research examining trends in the costs of commonly prescribed medicines within NHS secondary care.</w:t>
      </w:r>
    </w:p>
    <w:p w14:paraId="73529A28" w14:textId="77777777" w:rsidR="008769DB" w:rsidRPr="00A02F3E" w:rsidRDefault="008769DB" w:rsidP="00F66B3A">
      <w:pPr>
        <w:spacing w:line="276" w:lineRule="auto"/>
        <w:jc w:val="both"/>
        <w:rPr>
          <w:rFonts w:ascii="Arial" w:hAnsi="Arial" w:cs="Arial"/>
        </w:rPr>
      </w:pPr>
    </w:p>
    <w:p w14:paraId="77BA5D0E" w14:textId="7ABF60E3" w:rsidR="00164315" w:rsidRPr="00A02F3E" w:rsidRDefault="00164315" w:rsidP="00F66B3A">
      <w:pPr>
        <w:spacing w:line="276" w:lineRule="auto"/>
        <w:jc w:val="both"/>
        <w:rPr>
          <w:rFonts w:ascii="Arial" w:hAnsi="Arial" w:cs="Arial"/>
        </w:rPr>
      </w:pPr>
    </w:p>
    <w:p w14:paraId="2959F637" w14:textId="5F50FDB6" w:rsidR="00164315" w:rsidRPr="00A02F3E" w:rsidRDefault="00393FC6" w:rsidP="00F66B3A">
      <w:pPr>
        <w:pStyle w:val="Heading2"/>
        <w:jc w:val="both"/>
        <w:rPr>
          <w:rFonts w:ascii="Arial" w:hAnsi="Arial" w:cs="Arial"/>
          <w:i/>
          <w:iCs/>
          <w:color w:val="auto"/>
          <w:sz w:val="24"/>
          <w:szCs w:val="24"/>
        </w:rPr>
      </w:pPr>
      <w:bookmarkStart w:id="4" w:name="_Toc240132658"/>
      <w:r w:rsidRPr="00A02F3E">
        <w:rPr>
          <w:rFonts w:ascii="Arial" w:hAnsi="Arial" w:cs="Arial"/>
          <w:i/>
          <w:iCs/>
          <w:color w:val="auto"/>
          <w:sz w:val="24"/>
          <w:szCs w:val="24"/>
        </w:rPr>
        <w:t>Aims/Objectives</w:t>
      </w:r>
      <w:bookmarkEnd w:id="4"/>
    </w:p>
    <w:p w14:paraId="049053B2" w14:textId="080EC6EB" w:rsidR="00604D26" w:rsidRPr="00A02F3E" w:rsidRDefault="002330D2" w:rsidP="00F66B3A">
      <w:pPr>
        <w:spacing w:before="100" w:beforeAutospacing="1" w:after="100" w:afterAutospacing="1" w:line="276" w:lineRule="auto"/>
        <w:jc w:val="both"/>
        <w:rPr>
          <w:rFonts w:ascii="Arial" w:hAnsi="Arial" w:cs="Arial"/>
        </w:rPr>
      </w:pPr>
      <w:r w:rsidRPr="00A02F3E">
        <w:rPr>
          <w:rFonts w:ascii="Arial" w:hAnsi="Arial" w:cs="Arial"/>
        </w:rPr>
        <w:t>In response to the noted gap</w:t>
      </w:r>
      <w:r w:rsidR="00F316DF" w:rsidRPr="00A02F3E">
        <w:rPr>
          <w:rFonts w:ascii="Arial" w:hAnsi="Arial" w:cs="Arial"/>
        </w:rPr>
        <w:t>s</w:t>
      </w:r>
      <w:r w:rsidR="00604D26" w:rsidRPr="00A02F3E">
        <w:rPr>
          <w:rFonts w:ascii="Arial" w:hAnsi="Arial" w:cs="Arial"/>
        </w:rPr>
        <w:t xml:space="preserve">, the aim of this study is to analyse open-access NHS prescribing data to examine </w:t>
      </w:r>
      <w:r w:rsidRPr="00A02F3E">
        <w:rPr>
          <w:rFonts w:ascii="Arial" w:hAnsi="Arial" w:cs="Arial"/>
        </w:rPr>
        <w:t xml:space="preserve">the temporal </w:t>
      </w:r>
      <w:r w:rsidR="00604D26" w:rsidRPr="00A02F3E">
        <w:rPr>
          <w:rFonts w:ascii="Arial" w:hAnsi="Arial" w:cs="Arial"/>
        </w:rPr>
        <w:t xml:space="preserve">trends in the costs of the most </w:t>
      </w:r>
      <w:r w:rsidRPr="00A02F3E">
        <w:rPr>
          <w:rFonts w:ascii="Arial" w:hAnsi="Arial" w:cs="Arial"/>
        </w:rPr>
        <w:t xml:space="preserve">costly and </w:t>
      </w:r>
      <w:r w:rsidR="00604D26" w:rsidRPr="00A02F3E">
        <w:rPr>
          <w:rFonts w:ascii="Arial" w:hAnsi="Arial" w:cs="Arial"/>
        </w:rPr>
        <w:t xml:space="preserve">commonly prescribed medicines within secondary care in England. By investigating longitudinal </w:t>
      </w:r>
      <w:r w:rsidRPr="00A02F3E">
        <w:rPr>
          <w:rFonts w:ascii="Arial" w:hAnsi="Arial" w:cs="Arial"/>
        </w:rPr>
        <w:t>cost</w:t>
      </w:r>
      <w:r w:rsidR="00604D26" w:rsidRPr="00A02F3E">
        <w:rPr>
          <w:rFonts w:ascii="Arial" w:hAnsi="Arial" w:cs="Arial"/>
        </w:rPr>
        <w:t xml:space="preserve"> patterns across therapeutic groups and individual medicines, this research seeks to provide a </w:t>
      </w:r>
      <w:r w:rsidRPr="00A02F3E">
        <w:rPr>
          <w:rFonts w:ascii="Arial" w:hAnsi="Arial" w:cs="Arial"/>
        </w:rPr>
        <w:t>nuanced</w:t>
      </w:r>
      <w:r w:rsidR="00604D26" w:rsidRPr="00A02F3E">
        <w:rPr>
          <w:rFonts w:ascii="Arial" w:hAnsi="Arial" w:cs="Arial"/>
        </w:rPr>
        <w:t xml:space="preserve"> understanding of how </w:t>
      </w:r>
      <w:r w:rsidRPr="00A02F3E">
        <w:rPr>
          <w:rFonts w:ascii="Arial" w:hAnsi="Arial" w:cs="Arial"/>
        </w:rPr>
        <w:t>drug costs</w:t>
      </w:r>
      <w:r w:rsidR="00604D26" w:rsidRPr="00A02F3E">
        <w:rPr>
          <w:rFonts w:ascii="Arial" w:hAnsi="Arial" w:cs="Arial"/>
        </w:rPr>
        <w:t xml:space="preserve"> ha</w:t>
      </w:r>
      <w:r w:rsidRPr="00A02F3E">
        <w:rPr>
          <w:rFonts w:ascii="Arial" w:hAnsi="Arial" w:cs="Arial"/>
        </w:rPr>
        <w:t>ve</w:t>
      </w:r>
      <w:r w:rsidR="00604D26" w:rsidRPr="00A02F3E">
        <w:rPr>
          <w:rFonts w:ascii="Arial" w:hAnsi="Arial" w:cs="Arial"/>
        </w:rPr>
        <w:t xml:space="preserve"> evolved over time. </w:t>
      </w:r>
      <w:r w:rsidRPr="00A02F3E">
        <w:rPr>
          <w:rFonts w:ascii="Arial" w:hAnsi="Arial" w:cs="Arial"/>
        </w:rPr>
        <w:t>Further,</w:t>
      </w:r>
      <w:r w:rsidR="00604D26" w:rsidRPr="00A02F3E">
        <w:rPr>
          <w:rFonts w:ascii="Arial" w:hAnsi="Arial" w:cs="Arial"/>
        </w:rPr>
        <w:t xml:space="preserve"> the study </w:t>
      </w:r>
      <w:r w:rsidRPr="00A02F3E">
        <w:rPr>
          <w:rFonts w:ascii="Arial" w:hAnsi="Arial" w:cs="Arial"/>
        </w:rPr>
        <w:t>seeks</w:t>
      </w:r>
      <w:r w:rsidR="00604D26" w:rsidRPr="00A02F3E">
        <w:rPr>
          <w:rFonts w:ascii="Arial" w:hAnsi="Arial" w:cs="Arial"/>
        </w:rPr>
        <w:t xml:space="preserve"> to contribute</w:t>
      </w:r>
      <w:r w:rsidRPr="00A02F3E">
        <w:rPr>
          <w:rFonts w:ascii="Arial" w:hAnsi="Arial" w:cs="Arial"/>
        </w:rPr>
        <w:t xml:space="preserve"> valuable</w:t>
      </w:r>
      <w:r w:rsidR="00604D26" w:rsidRPr="00A02F3E">
        <w:rPr>
          <w:rFonts w:ascii="Arial" w:hAnsi="Arial" w:cs="Arial"/>
        </w:rPr>
        <w:t xml:space="preserve"> evidence</w:t>
      </w:r>
      <w:r w:rsidRPr="00A02F3E">
        <w:rPr>
          <w:rFonts w:ascii="Arial" w:hAnsi="Arial" w:cs="Arial"/>
        </w:rPr>
        <w:t xml:space="preserve"> to the current literature, which</w:t>
      </w:r>
      <w:r w:rsidR="00604D26" w:rsidRPr="00A02F3E">
        <w:rPr>
          <w:rFonts w:ascii="Arial" w:hAnsi="Arial" w:cs="Arial"/>
        </w:rPr>
        <w:t xml:space="preserve"> may inform </w:t>
      </w:r>
      <w:r w:rsidRPr="00A02F3E">
        <w:rPr>
          <w:rFonts w:ascii="Arial" w:hAnsi="Arial" w:cs="Arial"/>
        </w:rPr>
        <w:t xml:space="preserve">ongoing commissioning decisions and prescribing policies. </w:t>
      </w:r>
    </w:p>
    <w:p w14:paraId="7FA1FDBE" w14:textId="77777777" w:rsidR="00604D26" w:rsidRPr="00A02F3E" w:rsidRDefault="00604D26" w:rsidP="00F66B3A">
      <w:pPr>
        <w:spacing w:line="276" w:lineRule="auto"/>
        <w:jc w:val="both"/>
        <w:rPr>
          <w:rFonts w:ascii="Arial" w:hAnsi="Arial" w:cs="Arial"/>
        </w:rPr>
      </w:pPr>
    </w:p>
    <w:p w14:paraId="7FEFC538" w14:textId="77777777" w:rsidR="0046714C" w:rsidRPr="00A02F3E" w:rsidRDefault="0046714C" w:rsidP="00F66B3A">
      <w:pPr>
        <w:spacing w:line="276" w:lineRule="auto"/>
        <w:jc w:val="both"/>
        <w:rPr>
          <w:rFonts w:ascii="Arial" w:hAnsi="Arial" w:cs="Arial"/>
        </w:rPr>
      </w:pPr>
    </w:p>
    <w:p w14:paraId="2C32C637" w14:textId="4038B2D1" w:rsidR="00164315" w:rsidRPr="00A02F3E" w:rsidRDefault="00164315" w:rsidP="00F66B3A">
      <w:pPr>
        <w:pStyle w:val="Heading1"/>
        <w:jc w:val="both"/>
        <w:rPr>
          <w:rFonts w:ascii="Arial" w:hAnsi="Arial" w:cs="Arial"/>
          <w:b/>
          <w:bCs/>
          <w:color w:val="auto"/>
          <w:sz w:val="24"/>
          <w:szCs w:val="24"/>
        </w:rPr>
      </w:pPr>
      <w:bookmarkStart w:id="5" w:name="_Toc240132659"/>
      <w:r w:rsidRPr="00A02F3E">
        <w:rPr>
          <w:rFonts w:ascii="Arial" w:hAnsi="Arial" w:cs="Arial"/>
          <w:b/>
          <w:bCs/>
          <w:color w:val="auto"/>
          <w:sz w:val="24"/>
          <w:szCs w:val="24"/>
        </w:rPr>
        <w:t>Methods</w:t>
      </w:r>
      <w:bookmarkEnd w:id="5"/>
    </w:p>
    <w:p w14:paraId="5967580C" w14:textId="6CA9B3A0" w:rsidR="00A235DF" w:rsidRPr="00A02F3E" w:rsidRDefault="00A235DF" w:rsidP="00F66B3A">
      <w:pPr>
        <w:spacing w:line="276" w:lineRule="auto"/>
        <w:jc w:val="both"/>
        <w:rPr>
          <w:rFonts w:ascii="Arial" w:hAnsi="Arial" w:cs="Arial"/>
          <w:u w:val="single"/>
        </w:rPr>
      </w:pPr>
    </w:p>
    <w:p w14:paraId="455CF736" w14:textId="02AD4198" w:rsidR="00A235DF" w:rsidRPr="00A02F3E" w:rsidRDefault="00015681" w:rsidP="00F66B3A">
      <w:pPr>
        <w:pStyle w:val="Heading2"/>
        <w:jc w:val="both"/>
        <w:rPr>
          <w:rFonts w:ascii="Arial" w:hAnsi="Arial" w:cs="Arial"/>
          <w:i/>
          <w:iCs/>
          <w:color w:val="auto"/>
          <w:sz w:val="24"/>
          <w:szCs w:val="24"/>
        </w:rPr>
      </w:pPr>
      <w:bookmarkStart w:id="6" w:name="_Toc240132660"/>
      <w:r w:rsidRPr="00A02F3E">
        <w:rPr>
          <w:rFonts w:ascii="Arial" w:hAnsi="Arial" w:cs="Arial"/>
          <w:i/>
          <w:iCs/>
          <w:color w:val="auto"/>
          <w:sz w:val="24"/>
          <w:szCs w:val="24"/>
        </w:rPr>
        <w:t>Research Design</w:t>
      </w:r>
      <w:bookmarkEnd w:id="6"/>
    </w:p>
    <w:p w14:paraId="4BBA190B" w14:textId="3D5F9703" w:rsidR="00015681" w:rsidRPr="00A02F3E" w:rsidRDefault="00015681" w:rsidP="00F66B3A">
      <w:pPr>
        <w:spacing w:line="276" w:lineRule="auto"/>
        <w:jc w:val="both"/>
        <w:rPr>
          <w:rFonts w:ascii="Arial" w:hAnsi="Arial" w:cs="Arial"/>
          <w:u w:val="single"/>
        </w:rPr>
      </w:pPr>
    </w:p>
    <w:p w14:paraId="36095611" w14:textId="112E9952" w:rsidR="00F673E6" w:rsidRPr="00A02F3E" w:rsidRDefault="00F673E6" w:rsidP="00F66B3A">
      <w:pPr>
        <w:spacing w:line="276" w:lineRule="auto"/>
        <w:jc w:val="both"/>
        <w:rPr>
          <w:rFonts w:ascii="Arial" w:hAnsi="Arial" w:cs="Arial"/>
        </w:rPr>
      </w:pPr>
      <w:r w:rsidRPr="00A02F3E">
        <w:rPr>
          <w:rFonts w:ascii="Arial" w:hAnsi="Arial" w:cs="Arial"/>
        </w:rPr>
        <w:t xml:space="preserve">This research utilised a retrospective, longitudinal, </w:t>
      </w:r>
      <w:r w:rsidR="00790D2F" w:rsidRPr="00A02F3E">
        <w:rPr>
          <w:rFonts w:ascii="Arial" w:hAnsi="Arial" w:cs="Arial"/>
        </w:rPr>
        <w:t xml:space="preserve">and </w:t>
      </w:r>
      <w:r w:rsidRPr="00A02F3E">
        <w:rPr>
          <w:rFonts w:ascii="Arial" w:hAnsi="Arial" w:cs="Arial"/>
        </w:rPr>
        <w:t xml:space="preserve">observational </w:t>
      </w:r>
      <w:r w:rsidR="00790D2F" w:rsidRPr="00A02F3E">
        <w:rPr>
          <w:rFonts w:ascii="Arial" w:hAnsi="Arial" w:cs="Arial"/>
        </w:rPr>
        <w:t>design</w:t>
      </w:r>
      <w:r w:rsidRPr="00A02F3E">
        <w:rPr>
          <w:rFonts w:ascii="Arial" w:hAnsi="Arial" w:cs="Arial"/>
        </w:rPr>
        <w:t xml:space="preserve"> to examine how the costs of medicines prescribed in secondary care across England have changed over time. The analysis </w:t>
      </w:r>
      <w:r w:rsidR="00790D2F" w:rsidRPr="00A02F3E">
        <w:rPr>
          <w:rFonts w:ascii="Arial" w:hAnsi="Arial" w:cs="Arial"/>
        </w:rPr>
        <w:t>relied</w:t>
      </w:r>
      <w:r w:rsidRPr="00A02F3E">
        <w:rPr>
          <w:rFonts w:ascii="Arial" w:hAnsi="Arial" w:cs="Arial"/>
        </w:rPr>
        <w:t xml:space="preserve"> on the </w:t>
      </w:r>
      <w:r w:rsidR="00E0175C" w:rsidRPr="00E0175C">
        <w:rPr>
          <w:rFonts w:ascii="Arial" w:hAnsi="Arial" w:cs="Arial"/>
        </w:rPr>
        <w:t xml:space="preserve">Secondary Care Medicines Data (SCMD) published by NHS Business Services Authority, as further described in this chapter. Quantitative methodology and analysis were selected due to being suited for analysing numerical and objective data concerning expenditure patterns and trends (Ellis, 2022). In contrast, qualitative studies mostly focus on subjective experiences, and therefore, this was not feasible for analysing prescribing data on a national scale (Denny &amp; </w:t>
      </w:r>
      <w:proofErr w:type="spellStart"/>
      <w:r w:rsidR="00E0175C" w:rsidRPr="00E0175C">
        <w:rPr>
          <w:rFonts w:ascii="Arial" w:hAnsi="Arial" w:cs="Arial"/>
        </w:rPr>
        <w:t>Weckesser</w:t>
      </w:r>
      <w:proofErr w:type="spellEnd"/>
      <w:r w:rsidR="00E0175C" w:rsidRPr="00E0175C">
        <w:rPr>
          <w:rFonts w:ascii="Arial" w:hAnsi="Arial" w:cs="Arial"/>
        </w:rPr>
        <w:t>, 2022). The methodologica</w:t>
      </w:r>
      <w:r w:rsidR="00E0175C">
        <w:rPr>
          <w:rFonts w:ascii="Arial" w:hAnsi="Arial" w:cs="Arial"/>
        </w:rPr>
        <w:t xml:space="preserve">l approach was underpinned by </w:t>
      </w:r>
      <w:proofErr w:type="gramStart"/>
      <w:r w:rsidR="00E0175C">
        <w:rPr>
          <w:rFonts w:ascii="Arial" w:hAnsi="Arial" w:cs="Arial"/>
        </w:rPr>
        <w:t xml:space="preserve">a </w:t>
      </w:r>
      <w:r w:rsidR="00E0175C" w:rsidRPr="00E0175C">
        <w:rPr>
          <w:rFonts w:ascii="Arial" w:hAnsi="Arial" w:cs="Arial"/>
        </w:rPr>
        <w:t>critical</w:t>
      </w:r>
      <w:proofErr w:type="gramEnd"/>
      <w:r w:rsidR="00E0175C" w:rsidRPr="00E0175C">
        <w:rPr>
          <w:rFonts w:ascii="Arial" w:hAnsi="Arial" w:cs="Arial"/>
        </w:rPr>
        <w:t xml:space="preserve"> realist ontology, positing that prescribing practices and </w:t>
      </w:r>
      <w:r w:rsidR="00E0175C" w:rsidRPr="00E0175C">
        <w:rPr>
          <w:rFonts w:ascii="Arial" w:hAnsi="Arial" w:cs="Arial"/>
        </w:rPr>
        <w:lastRenderedPageBreak/>
        <w:t>pharmaceutical expenditure are objective realities and thus, occur external to observers. This was complemented by a post-positivist epistemology, which supports rigorous quantitative analysis while acknowledging that the SCMD provides only a partial and potentially imperfect account of the construct of interest (Ellis, 2022).</w:t>
      </w:r>
    </w:p>
    <w:p w14:paraId="54CD8D65" w14:textId="77777777" w:rsidR="00F673E6" w:rsidRPr="00A02F3E" w:rsidRDefault="00F673E6" w:rsidP="00F66B3A">
      <w:pPr>
        <w:spacing w:line="276" w:lineRule="auto"/>
        <w:jc w:val="both"/>
        <w:rPr>
          <w:rFonts w:ascii="Arial" w:hAnsi="Arial" w:cs="Arial"/>
        </w:rPr>
      </w:pPr>
    </w:p>
    <w:p w14:paraId="1B1C30E9" w14:textId="4E89FED5" w:rsidR="00A00F70" w:rsidRPr="00A02F3E" w:rsidRDefault="00F673E6" w:rsidP="00F66B3A">
      <w:pPr>
        <w:spacing w:line="276" w:lineRule="auto"/>
        <w:jc w:val="both"/>
        <w:rPr>
          <w:rFonts w:ascii="Arial" w:hAnsi="Arial" w:cs="Arial"/>
        </w:rPr>
      </w:pPr>
      <w:r w:rsidRPr="00A02F3E">
        <w:rPr>
          <w:rFonts w:ascii="Arial" w:hAnsi="Arial" w:cs="Arial"/>
        </w:rPr>
        <w:t xml:space="preserve">The retrospective </w:t>
      </w:r>
      <w:r w:rsidR="00FD2D1E" w:rsidRPr="00A02F3E">
        <w:rPr>
          <w:rFonts w:ascii="Arial" w:hAnsi="Arial" w:cs="Arial"/>
        </w:rPr>
        <w:t xml:space="preserve">temporality </w:t>
      </w:r>
      <w:r w:rsidR="00E0175C" w:rsidRPr="00E0175C">
        <w:rPr>
          <w:rFonts w:ascii="Arial" w:hAnsi="Arial" w:cs="Arial"/>
        </w:rPr>
        <w:t xml:space="preserve">was necessary as the data collection benefitted from the extraction of data from previously collected records, which is more convenient, quicker and cost-effective relative to collecting prospective data (De </w:t>
      </w:r>
      <w:proofErr w:type="spellStart"/>
      <w:r w:rsidR="00E0175C" w:rsidRPr="00E0175C">
        <w:rPr>
          <w:rFonts w:ascii="Arial" w:hAnsi="Arial" w:cs="Arial"/>
        </w:rPr>
        <w:t>Sanctis</w:t>
      </w:r>
      <w:proofErr w:type="spellEnd"/>
      <w:r w:rsidR="00E0175C" w:rsidRPr="00E0175C">
        <w:rPr>
          <w:rFonts w:ascii="Arial" w:hAnsi="Arial" w:cs="Arial"/>
        </w:rPr>
        <w:t xml:space="preserve"> et al., 2022). The SCMD comprises routinely generated data from hospital pharmacy activity, rendering it well suited for retrospective analysis (NHSBSA, 2026d). The supplementary longitudinal perspective was also deemed critical for generating impactful evidence, as single-year or cross-sectional analysis over a limited time period would fail to sufficiently capture historic and evolving expenditure patterns (</w:t>
      </w:r>
      <w:proofErr w:type="spellStart"/>
      <w:r w:rsidR="00E0175C" w:rsidRPr="00E0175C">
        <w:rPr>
          <w:rFonts w:ascii="Arial" w:hAnsi="Arial" w:cs="Arial"/>
        </w:rPr>
        <w:t>Stuifbergen</w:t>
      </w:r>
      <w:proofErr w:type="spellEnd"/>
      <w:r w:rsidR="00E0175C" w:rsidRPr="00E0175C">
        <w:rPr>
          <w:rFonts w:ascii="Arial" w:hAnsi="Arial" w:cs="Arial"/>
        </w:rPr>
        <w:t xml:space="preserve"> et al., 2024). Moreover, observational research was valuable for addressing the research aim, due to permitting analysis of large datasets and examining spending patterns in the absence of introducing experimental variables (</w:t>
      </w:r>
      <w:proofErr w:type="spellStart"/>
      <w:r w:rsidR="00E0175C" w:rsidRPr="00E0175C">
        <w:rPr>
          <w:rFonts w:ascii="Arial" w:hAnsi="Arial" w:cs="Arial"/>
        </w:rPr>
        <w:t>Sterrantino</w:t>
      </w:r>
      <w:proofErr w:type="spellEnd"/>
      <w:r w:rsidR="00E0175C" w:rsidRPr="00E0175C">
        <w:rPr>
          <w:rFonts w:ascii="Arial" w:hAnsi="Arial" w:cs="Arial"/>
        </w:rPr>
        <w:t>, 2024). The research also supported the principles of secondary data analysis, where pre-existing data was re-analysed to address new research avenues/questions (Wickham, 2019).</w:t>
      </w:r>
    </w:p>
    <w:p w14:paraId="799C5C4E" w14:textId="77777777" w:rsidR="00A00F70" w:rsidRPr="00A02F3E" w:rsidRDefault="00A00F70" w:rsidP="00F66B3A">
      <w:pPr>
        <w:spacing w:line="276" w:lineRule="auto"/>
        <w:jc w:val="both"/>
        <w:rPr>
          <w:rFonts w:ascii="Arial" w:hAnsi="Arial" w:cs="Arial"/>
        </w:rPr>
      </w:pPr>
    </w:p>
    <w:p w14:paraId="126CACCE" w14:textId="7E9F0C5E" w:rsidR="00F673E6" w:rsidRPr="00A02F3E" w:rsidRDefault="00F673E6" w:rsidP="00F66B3A">
      <w:pPr>
        <w:spacing w:line="276" w:lineRule="auto"/>
        <w:jc w:val="both"/>
        <w:rPr>
          <w:rFonts w:ascii="Arial" w:hAnsi="Arial" w:cs="Arial"/>
        </w:rPr>
      </w:pPr>
      <w:r w:rsidRPr="00A02F3E">
        <w:rPr>
          <w:rFonts w:ascii="Arial" w:hAnsi="Arial" w:cs="Arial"/>
        </w:rPr>
        <w:t xml:space="preserve">There are several strengths to </w:t>
      </w:r>
      <w:r w:rsidR="00A00F70" w:rsidRPr="00A02F3E">
        <w:rPr>
          <w:rFonts w:ascii="Arial" w:hAnsi="Arial" w:cs="Arial"/>
        </w:rPr>
        <w:t>the design selected</w:t>
      </w:r>
      <w:r w:rsidRPr="00A02F3E">
        <w:rPr>
          <w:rFonts w:ascii="Arial" w:hAnsi="Arial" w:cs="Arial"/>
        </w:rPr>
        <w:t xml:space="preserve">. </w:t>
      </w:r>
      <w:r w:rsidR="00A00F70" w:rsidRPr="00A02F3E">
        <w:rPr>
          <w:rFonts w:ascii="Arial" w:hAnsi="Arial" w:cs="Arial"/>
        </w:rPr>
        <w:t>First, n</w:t>
      </w:r>
      <w:r w:rsidRPr="00A02F3E">
        <w:rPr>
          <w:rFonts w:ascii="Arial" w:hAnsi="Arial" w:cs="Arial"/>
        </w:rPr>
        <w:t xml:space="preserve">ational datasets </w:t>
      </w:r>
      <w:r w:rsidR="00A00F70" w:rsidRPr="00A02F3E">
        <w:rPr>
          <w:rFonts w:ascii="Arial" w:hAnsi="Arial" w:cs="Arial"/>
        </w:rPr>
        <w:t>generally</w:t>
      </w:r>
      <w:r w:rsidRPr="00A02F3E">
        <w:rPr>
          <w:rFonts w:ascii="Arial" w:hAnsi="Arial" w:cs="Arial"/>
        </w:rPr>
        <w:t xml:space="preserve"> include </w:t>
      </w:r>
      <w:r w:rsidR="00A00F70" w:rsidRPr="00A02F3E">
        <w:rPr>
          <w:rFonts w:ascii="Arial" w:hAnsi="Arial" w:cs="Arial"/>
        </w:rPr>
        <w:t>a high number of</w:t>
      </w:r>
      <w:r w:rsidRPr="00A02F3E">
        <w:rPr>
          <w:rFonts w:ascii="Arial" w:hAnsi="Arial" w:cs="Arial"/>
        </w:rPr>
        <w:t xml:space="preserve"> observations</w:t>
      </w:r>
      <w:r w:rsidR="00A00F70" w:rsidRPr="00A02F3E">
        <w:rPr>
          <w:rFonts w:ascii="Arial" w:hAnsi="Arial" w:cs="Arial"/>
        </w:rPr>
        <w:t>, which would be difficult to attain</w:t>
      </w:r>
      <w:r w:rsidRPr="00A02F3E">
        <w:rPr>
          <w:rFonts w:ascii="Arial" w:hAnsi="Arial" w:cs="Arial"/>
        </w:rPr>
        <w:t xml:space="preserve"> </w:t>
      </w:r>
      <w:r w:rsidR="00A00F70" w:rsidRPr="00A02F3E">
        <w:rPr>
          <w:rFonts w:ascii="Arial" w:hAnsi="Arial" w:cs="Arial"/>
        </w:rPr>
        <w:t>through prospective</w:t>
      </w:r>
      <w:r w:rsidRPr="00A02F3E">
        <w:rPr>
          <w:rFonts w:ascii="Arial" w:hAnsi="Arial" w:cs="Arial"/>
        </w:rPr>
        <w:t xml:space="preserve"> data collection</w:t>
      </w:r>
      <w:r w:rsidR="00A00F70" w:rsidRPr="00A02F3E">
        <w:rPr>
          <w:rFonts w:ascii="Arial" w:hAnsi="Arial" w:cs="Arial"/>
        </w:rPr>
        <w:t>.</w:t>
      </w:r>
      <w:r w:rsidR="00E0175C" w:rsidRPr="00E0175C">
        <w:t xml:space="preserve"> </w:t>
      </w:r>
      <w:r w:rsidR="00E0175C" w:rsidRPr="00E0175C">
        <w:rPr>
          <w:rFonts w:ascii="Arial" w:hAnsi="Arial" w:cs="Arial"/>
        </w:rPr>
        <w:t>This offered improved statistical precision and greater statistical power/validity (Fowler et al., 2021). Second, the analysis of routinely gathered and standardised data can enhance the generalisability of findings when compared to studies limited to a single institution (</w:t>
      </w:r>
      <w:proofErr w:type="spellStart"/>
      <w:r w:rsidR="00E0175C" w:rsidRPr="00E0175C">
        <w:rPr>
          <w:rFonts w:ascii="Arial" w:hAnsi="Arial" w:cs="Arial"/>
        </w:rPr>
        <w:t>Kamper</w:t>
      </w:r>
      <w:proofErr w:type="spellEnd"/>
      <w:r w:rsidR="00E0175C" w:rsidRPr="00E0175C">
        <w:rPr>
          <w:rFonts w:ascii="Arial" w:hAnsi="Arial" w:cs="Arial"/>
        </w:rPr>
        <w:t xml:space="preserve">, 2020). Third, secondary analysis is an efficient way to generate to new evidence as it requires fewer resources and is less time consuming, than collecting and cleaning new data (Wickham, 2019). However, secondary data </w:t>
      </w:r>
      <w:proofErr w:type="gramStart"/>
      <w:r w:rsidR="00E0175C" w:rsidRPr="00E0175C">
        <w:rPr>
          <w:rFonts w:ascii="Arial" w:hAnsi="Arial" w:cs="Arial"/>
        </w:rPr>
        <w:t>analysis observe</w:t>
      </w:r>
      <w:proofErr w:type="gramEnd"/>
      <w:r w:rsidR="00E0175C" w:rsidRPr="00E0175C">
        <w:rPr>
          <w:rFonts w:ascii="Arial" w:hAnsi="Arial" w:cs="Arial"/>
        </w:rPr>
        <w:t xml:space="preserve"> some limitations, which are briefly noted here and are discussed with more specificity to this research in the discussion section. First, researchers have no control over the variables that were originally included in pre-existing datasets, including completeness of the data, which can lead to bias. Indeed, this analysis was limited to what was available in the SCMD and could not account for additional clinical information, such as patient characteristics, reasons for prescribing, or treatment outcomes. Second, the study was positioned to elicit expenditure trends, but it was not possible to assess the appropriateness of prescribing or differentiate complex nuances</w:t>
      </w:r>
      <w:r w:rsidR="00A00F70" w:rsidRPr="00A02F3E">
        <w:rPr>
          <w:rFonts w:ascii="Arial" w:hAnsi="Arial" w:cs="Arial"/>
        </w:rPr>
        <w:t xml:space="preserve">, such as </w:t>
      </w:r>
      <w:r w:rsidRPr="00A02F3E">
        <w:rPr>
          <w:rFonts w:ascii="Arial" w:hAnsi="Arial" w:cs="Arial"/>
        </w:rPr>
        <w:t xml:space="preserve">cost increases resulting from </w:t>
      </w:r>
      <w:r w:rsidR="00A00F70" w:rsidRPr="00A02F3E">
        <w:rPr>
          <w:rFonts w:ascii="Arial" w:hAnsi="Arial" w:cs="Arial"/>
        </w:rPr>
        <w:t>improved</w:t>
      </w:r>
      <w:r w:rsidRPr="00A02F3E">
        <w:rPr>
          <w:rFonts w:ascii="Arial" w:hAnsi="Arial" w:cs="Arial"/>
        </w:rPr>
        <w:t xml:space="preserve"> care versus inefficiencies.</w:t>
      </w:r>
    </w:p>
    <w:p w14:paraId="73938E5C" w14:textId="77777777" w:rsidR="00F673E6" w:rsidRPr="00A02F3E" w:rsidRDefault="00F673E6" w:rsidP="00F66B3A">
      <w:pPr>
        <w:spacing w:line="276" w:lineRule="auto"/>
        <w:jc w:val="both"/>
        <w:rPr>
          <w:rFonts w:ascii="Arial" w:hAnsi="Arial" w:cs="Arial"/>
        </w:rPr>
      </w:pPr>
    </w:p>
    <w:p w14:paraId="17311AAB" w14:textId="2562FF0F" w:rsidR="00015681" w:rsidRPr="00A02F3E" w:rsidRDefault="00015681" w:rsidP="00F66B3A">
      <w:pPr>
        <w:spacing w:line="276" w:lineRule="auto"/>
        <w:jc w:val="both"/>
        <w:rPr>
          <w:rFonts w:ascii="Arial" w:hAnsi="Arial" w:cs="Arial"/>
          <w:u w:val="single"/>
        </w:rPr>
      </w:pPr>
    </w:p>
    <w:p w14:paraId="61DFB64B" w14:textId="2F37742A" w:rsidR="00237960" w:rsidRPr="00A02F3E" w:rsidRDefault="00237960" w:rsidP="00F66B3A">
      <w:pPr>
        <w:pStyle w:val="Heading2"/>
        <w:jc w:val="both"/>
        <w:rPr>
          <w:rFonts w:ascii="Arial" w:hAnsi="Arial" w:cs="Arial"/>
          <w:i/>
          <w:iCs/>
          <w:color w:val="auto"/>
          <w:sz w:val="24"/>
          <w:szCs w:val="24"/>
        </w:rPr>
      </w:pPr>
      <w:bookmarkStart w:id="7" w:name="_Toc240132661"/>
      <w:r w:rsidRPr="00A02F3E">
        <w:rPr>
          <w:rFonts w:ascii="Arial" w:hAnsi="Arial" w:cs="Arial"/>
          <w:i/>
          <w:iCs/>
          <w:color w:val="auto"/>
          <w:sz w:val="24"/>
          <w:szCs w:val="24"/>
        </w:rPr>
        <w:t>Data Collection/Data Source</w:t>
      </w:r>
      <w:bookmarkEnd w:id="7"/>
    </w:p>
    <w:p w14:paraId="7D702C79" w14:textId="53670728" w:rsidR="00237960" w:rsidRPr="00A02F3E" w:rsidRDefault="00237960" w:rsidP="00F66B3A">
      <w:pPr>
        <w:spacing w:line="276" w:lineRule="auto"/>
        <w:jc w:val="both"/>
        <w:rPr>
          <w:rFonts w:ascii="Arial" w:hAnsi="Arial" w:cs="Arial"/>
          <w:u w:val="single"/>
        </w:rPr>
      </w:pPr>
    </w:p>
    <w:p w14:paraId="75D245F3" w14:textId="47A739EB" w:rsidR="00BC2292" w:rsidRPr="00A02F3E" w:rsidRDefault="00BC2292" w:rsidP="00F66B3A">
      <w:pPr>
        <w:spacing w:line="276" w:lineRule="auto"/>
        <w:jc w:val="both"/>
        <w:rPr>
          <w:rFonts w:ascii="Arial" w:hAnsi="Arial" w:cs="Arial"/>
        </w:rPr>
      </w:pPr>
      <w:r w:rsidRPr="00A02F3E">
        <w:rPr>
          <w:rFonts w:ascii="Arial" w:hAnsi="Arial" w:cs="Arial"/>
        </w:rPr>
        <w:lastRenderedPageBreak/>
        <w:t xml:space="preserve">This study used data from the SCMD, which is an open-access dataset provided by the </w:t>
      </w:r>
      <w:r w:rsidR="00E0175C" w:rsidRPr="00E0175C">
        <w:rPr>
          <w:rFonts w:ascii="Arial" w:hAnsi="Arial" w:cs="Arial"/>
        </w:rPr>
        <w:t>NHS Business Services Authority</w:t>
      </w:r>
      <w:r w:rsidR="00370EC3">
        <w:rPr>
          <w:rFonts w:ascii="Arial" w:hAnsi="Arial" w:cs="Arial"/>
        </w:rPr>
        <w:t xml:space="preserve"> (</w:t>
      </w:r>
      <w:r w:rsidR="00370EC3" w:rsidRPr="00177BFB">
        <w:rPr>
          <w:rFonts w:ascii="Arial" w:hAnsi="Arial" w:cs="Arial"/>
          <w:i/>
          <w:iCs/>
        </w:rPr>
        <w:t xml:space="preserve">Appendix </w:t>
      </w:r>
      <w:r w:rsidR="00370EC3">
        <w:rPr>
          <w:rFonts w:ascii="Arial" w:hAnsi="Arial" w:cs="Arial"/>
          <w:i/>
          <w:iCs/>
        </w:rPr>
        <w:t>1)</w:t>
      </w:r>
      <w:r w:rsidR="00E0175C" w:rsidRPr="00E0175C">
        <w:rPr>
          <w:rFonts w:ascii="Arial" w:hAnsi="Arial" w:cs="Arial"/>
        </w:rPr>
        <w:t>. The SCMD provides monthly records of medicines supplied to NHS hospitals throughout England and thus, was well suited to the research aim (NHSBSA, 2026d). In contrast to datasets focused on primary care, where prescriptions are tracked at the point of community pharmacy dispensing, the SCMD collects data about the medicines distributed directly by hospital pharmacies, making it a unique resource for examining medication use within secondary care (NHSBSA, 2026d). Source data for the SCMD originates from the pharmacy stock-control systems used in NHS trusts, which automatically capture medicines distributed from hospital pharmacy departments (NHSBSA, 2026d). Each medicine is coded according to the Dictionary of Medicines and Devices (</w:t>
      </w:r>
      <w:proofErr w:type="spellStart"/>
      <w:r w:rsidR="00E0175C" w:rsidRPr="00E0175C">
        <w:rPr>
          <w:rFonts w:ascii="Arial" w:hAnsi="Arial" w:cs="Arial"/>
        </w:rPr>
        <w:t>dm+d</w:t>
      </w:r>
      <w:proofErr w:type="spellEnd"/>
      <w:r w:rsidR="00E0175C" w:rsidRPr="00E0175C">
        <w:rPr>
          <w:rFonts w:ascii="Arial" w:hAnsi="Arial" w:cs="Arial"/>
        </w:rPr>
        <w:t>), which ensures uniformity of coding across organisations and time periods, reducing the possibility/risk of coding bias (NHSBSA, 2026a). One of the principal advantages of the SCMD is the extensive national scope. Instead of relying on a limited sample/study site, the dataset compiles information from NHS trusts across England, providing a representative overview of medicines supplied within secondary care. This extensive coverage not only increases the generalisability of results but it also limits the risk of selection bias that can arise when relying on single-centre or small-scale studies. In addition, as the source data forms a part of routine hospital operations, the dataset offers an accurate insight into prescribing practices and costs across a wide range of clinical environments (NHSBSA, 2026d). The study period was defined in accordance with the initiation of data collection by the NHSBSA within secondary care: April 2021 to April 2026. Records were collected at 12-monthly intervals, totalling six datasets for analysis.</w:t>
      </w:r>
      <w:r w:rsidR="00E0175C">
        <w:rPr>
          <w:rFonts w:ascii="Arial" w:hAnsi="Arial" w:cs="Arial"/>
        </w:rPr>
        <w:t xml:space="preserve"> </w:t>
      </w:r>
      <w:r w:rsidR="00F3357F" w:rsidRPr="00A02F3E">
        <w:rPr>
          <w:rFonts w:ascii="Arial" w:hAnsi="Arial" w:cs="Arial"/>
        </w:rPr>
        <w:t xml:space="preserve">The top 10 most frequently prescribed and top 10 most costly medicines were extracted from each of these datasets. </w:t>
      </w:r>
      <w:r w:rsidR="00FD0C32" w:rsidRPr="00A02F3E">
        <w:rPr>
          <w:rFonts w:ascii="Arial" w:hAnsi="Arial" w:cs="Arial"/>
        </w:rPr>
        <w:t xml:space="preserve">Medical products used for drug preparation, such as water and sodium chloride, as well as intravenous fluids </w:t>
      </w:r>
      <w:r w:rsidR="005C53E0" w:rsidRPr="00A02F3E">
        <w:rPr>
          <w:rFonts w:ascii="Arial" w:hAnsi="Arial" w:cs="Arial"/>
        </w:rPr>
        <w:t xml:space="preserve">and oxygen </w:t>
      </w:r>
      <w:r w:rsidR="00FD0C32" w:rsidRPr="00A02F3E">
        <w:rPr>
          <w:rFonts w:ascii="Arial" w:hAnsi="Arial" w:cs="Arial"/>
        </w:rPr>
        <w:t xml:space="preserve">were excluded. </w:t>
      </w:r>
    </w:p>
    <w:p w14:paraId="7A3C7F78" w14:textId="77777777" w:rsidR="00331AE7" w:rsidRPr="00A02F3E" w:rsidRDefault="00331AE7" w:rsidP="00F66B3A">
      <w:pPr>
        <w:spacing w:line="276" w:lineRule="auto"/>
        <w:jc w:val="both"/>
        <w:rPr>
          <w:rFonts w:ascii="Arial" w:hAnsi="Arial" w:cs="Arial"/>
        </w:rPr>
      </w:pPr>
    </w:p>
    <w:p w14:paraId="56DA8881" w14:textId="6702C397" w:rsidR="00BC2292" w:rsidRPr="00A02F3E" w:rsidRDefault="00BC2292" w:rsidP="00F66B3A">
      <w:pPr>
        <w:spacing w:line="276" w:lineRule="auto"/>
        <w:jc w:val="both"/>
        <w:rPr>
          <w:rFonts w:ascii="Arial" w:hAnsi="Arial" w:cs="Arial"/>
        </w:rPr>
      </w:pPr>
      <w:r w:rsidRPr="00A02F3E">
        <w:rPr>
          <w:rFonts w:ascii="Arial" w:hAnsi="Arial" w:cs="Arial"/>
        </w:rPr>
        <w:t xml:space="preserve">The SCMD includes multiple variables </w:t>
      </w:r>
      <w:r w:rsidR="00B504CE" w:rsidRPr="00A02F3E">
        <w:rPr>
          <w:rFonts w:ascii="Arial" w:hAnsi="Arial" w:cs="Arial"/>
        </w:rPr>
        <w:t>of value</w:t>
      </w:r>
      <w:r w:rsidRPr="00A02F3E">
        <w:rPr>
          <w:rFonts w:ascii="Arial" w:hAnsi="Arial" w:cs="Arial"/>
        </w:rPr>
        <w:t xml:space="preserve"> to expenditure analysis, such as </w:t>
      </w:r>
      <w:r w:rsidR="00B504CE" w:rsidRPr="00A02F3E">
        <w:rPr>
          <w:rFonts w:ascii="Arial" w:hAnsi="Arial" w:cs="Arial"/>
        </w:rPr>
        <w:t xml:space="preserve">the </w:t>
      </w:r>
      <w:r w:rsidRPr="00A02F3E">
        <w:rPr>
          <w:rFonts w:ascii="Arial" w:hAnsi="Arial" w:cs="Arial"/>
        </w:rPr>
        <w:t xml:space="preserve">reporting period, NHS organisation, dm+d code, medicine name, British National Formulary (BNF) category, quantity supplied, and indicative cost. For this </w:t>
      </w:r>
      <w:r w:rsidR="00B504CE" w:rsidRPr="00A02F3E">
        <w:rPr>
          <w:rFonts w:ascii="Arial" w:hAnsi="Arial" w:cs="Arial"/>
        </w:rPr>
        <w:t>research</w:t>
      </w:r>
      <w:r w:rsidRPr="00A02F3E">
        <w:rPr>
          <w:rFonts w:ascii="Arial" w:hAnsi="Arial" w:cs="Arial"/>
        </w:rPr>
        <w:t>, the key variables analysed were medicine name, reporting month</w:t>
      </w:r>
      <w:r w:rsidR="00B504CE" w:rsidRPr="00A02F3E">
        <w:rPr>
          <w:rFonts w:ascii="Arial" w:hAnsi="Arial" w:cs="Arial"/>
        </w:rPr>
        <w:t>/year</w:t>
      </w:r>
      <w:r w:rsidRPr="00A02F3E">
        <w:rPr>
          <w:rFonts w:ascii="Arial" w:hAnsi="Arial" w:cs="Arial"/>
        </w:rPr>
        <w:t xml:space="preserve">, and indicative cost. </w:t>
      </w:r>
      <w:r w:rsidR="00B504CE" w:rsidRPr="00A02F3E">
        <w:rPr>
          <w:rFonts w:ascii="Arial" w:hAnsi="Arial" w:cs="Arial"/>
        </w:rPr>
        <w:t xml:space="preserve">Notably, </w:t>
      </w:r>
      <w:r w:rsidRPr="00A02F3E">
        <w:rPr>
          <w:rFonts w:ascii="Arial" w:hAnsi="Arial" w:cs="Arial"/>
        </w:rPr>
        <w:t>indicative costs</w:t>
      </w:r>
      <w:r w:rsidR="00B504CE" w:rsidRPr="00A02F3E">
        <w:rPr>
          <w:rFonts w:ascii="Arial" w:hAnsi="Arial" w:cs="Arial"/>
        </w:rPr>
        <w:t xml:space="preserve"> presented in the data may not always reflect the </w:t>
      </w:r>
      <w:r w:rsidRPr="00A02F3E">
        <w:rPr>
          <w:rFonts w:ascii="Arial" w:hAnsi="Arial" w:cs="Arial"/>
        </w:rPr>
        <w:t>prices paid by NHS organisations</w:t>
      </w:r>
      <w:r w:rsidR="00B504CE" w:rsidRPr="00A02F3E">
        <w:rPr>
          <w:rFonts w:ascii="Arial" w:hAnsi="Arial" w:cs="Arial"/>
        </w:rPr>
        <w:t>, as the</w:t>
      </w:r>
      <w:r w:rsidRPr="00A02F3E">
        <w:rPr>
          <w:rFonts w:ascii="Arial" w:hAnsi="Arial" w:cs="Arial"/>
        </w:rPr>
        <w:t xml:space="preserve"> </w:t>
      </w:r>
      <w:r w:rsidR="00B504CE" w:rsidRPr="00A02F3E">
        <w:rPr>
          <w:rFonts w:ascii="Arial" w:hAnsi="Arial" w:cs="Arial"/>
        </w:rPr>
        <w:t>costs</w:t>
      </w:r>
      <w:r w:rsidRPr="00A02F3E">
        <w:rPr>
          <w:rFonts w:ascii="Arial" w:hAnsi="Arial" w:cs="Arial"/>
        </w:rPr>
        <w:t xml:space="preserve"> are based on nationally available price lists and do not </w:t>
      </w:r>
      <w:r w:rsidR="00B504CE" w:rsidRPr="00A02F3E">
        <w:rPr>
          <w:rFonts w:ascii="Arial" w:hAnsi="Arial" w:cs="Arial"/>
        </w:rPr>
        <w:t>account for</w:t>
      </w:r>
      <w:r w:rsidRPr="00A02F3E">
        <w:rPr>
          <w:rFonts w:ascii="Arial" w:hAnsi="Arial" w:cs="Arial"/>
        </w:rPr>
        <w:t xml:space="preserve"> discounts, procurement deals, or rebate schemes</w:t>
      </w:r>
      <w:r w:rsidR="00B504CE" w:rsidRPr="00A02F3E">
        <w:rPr>
          <w:rFonts w:ascii="Arial" w:hAnsi="Arial" w:cs="Arial"/>
        </w:rPr>
        <w:t xml:space="preserve">, which </w:t>
      </w:r>
      <w:r w:rsidRPr="00A02F3E">
        <w:rPr>
          <w:rFonts w:ascii="Arial" w:hAnsi="Arial" w:cs="Arial"/>
        </w:rPr>
        <w:t xml:space="preserve">can affect the final cost to NHS trusts. </w:t>
      </w:r>
      <w:r w:rsidR="000872D9" w:rsidRPr="00A02F3E">
        <w:rPr>
          <w:rFonts w:ascii="Arial" w:hAnsi="Arial" w:cs="Arial"/>
        </w:rPr>
        <w:t>Therefore</w:t>
      </w:r>
      <w:r w:rsidRPr="00A02F3E">
        <w:rPr>
          <w:rFonts w:ascii="Arial" w:hAnsi="Arial" w:cs="Arial"/>
        </w:rPr>
        <w:t xml:space="preserve">, while the SCMD is useful for analysing trends </w:t>
      </w:r>
      <w:r w:rsidR="000872D9" w:rsidRPr="00A02F3E">
        <w:rPr>
          <w:rFonts w:ascii="Arial" w:hAnsi="Arial" w:cs="Arial"/>
        </w:rPr>
        <w:t>in medicine</w:t>
      </w:r>
      <w:r w:rsidRPr="00A02F3E">
        <w:rPr>
          <w:rFonts w:ascii="Arial" w:hAnsi="Arial" w:cs="Arial"/>
        </w:rPr>
        <w:t xml:space="preserve"> expenditure over time, the reported figures may not </w:t>
      </w:r>
      <w:r w:rsidR="000872D9" w:rsidRPr="00A02F3E">
        <w:rPr>
          <w:rFonts w:ascii="Arial" w:hAnsi="Arial" w:cs="Arial"/>
        </w:rPr>
        <w:t xml:space="preserve">always </w:t>
      </w:r>
      <w:r w:rsidRPr="00A02F3E">
        <w:rPr>
          <w:rFonts w:ascii="Arial" w:hAnsi="Arial" w:cs="Arial"/>
        </w:rPr>
        <w:t>represent true costs</w:t>
      </w:r>
      <w:r w:rsidR="000872D9" w:rsidRPr="00A02F3E">
        <w:rPr>
          <w:rFonts w:ascii="Arial" w:hAnsi="Arial" w:cs="Arial"/>
        </w:rPr>
        <w:t>, particularly for</w:t>
      </w:r>
      <w:r w:rsidRPr="00A02F3E">
        <w:rPr>
          <w:rFonts w:ascii="Arial" w:hAnsi="Arial" w:cs="Arial"/>
        </w:rPr>
        <w:t xml:space="preserve"> high</w:t>
      </w:r>
      <w:r w:rsidR="000872D9" w:rsidRPr="00A02F3E">
        <w:rPr>
          <w:rFonts w:ascii="Arial" w:hAnsi="Arial" w:cs="Arial"/>
        </w:rPr>
        <w:t>er</w:t>
      </w:r>
      <w:r w:rsidRPr="00A02F3E">
        <w:rPr>
          <w:rFonts w:ascii="Arial" w:hAnsi="Arial" w:cs="Arial"/>
        </w:rPr>
        <w:t xml:space="preserve">-cost </w:t>
      </w:r>
      <w:r w:rsidR="000872D9" w:rsidRPr="00A02F3E">
        <w:rPr>
          <w:rFonts w:ascii="Arial" w:hAnsi="Arial" w:cs="Arial"/>
        </w:rPr>
        <w:t>medicines which can be</w:t>
      </w:r>
      <w:r w:rsidRPr="00A02F3E">
        <w:rPr>
          <w:rFonts w:ascii="Arial" w:hAnsi="Arial" w:cs="Arial"/>
        </w:rPr>
        <w:t xml:space="preserve"> subject to unique pricing agreements. </w:t>
      </w:r>
      <w:r w:rsidR="00E0175C" w:rsidRPr="00E0175C">
        <w:rPr>
          <w:rFonts w:ascii="Arial" w:hAnsi="Arial" w:cs="Arial"/>
        </w:rPr>
        <w:t xml:space="preserve">However, the NHSBSA recommend the use of indicative prices for studying expenditure trends (NHSBSA, 2026d). </w:t>
      </w:r>
      <w:r w:rsidRPr="00A02F3E">
        <w:rPr>
          <w:rFonts w:ascii="Arial" w:hAnsi="Arial" w:cs="Arial"/>
        </w:rPr>
        <w:t xml:space="preserve">A standardised protocol was used </w:t>
      </w:r>
      <w:r w:rsidR="00E638AA" w:rsidRPr="00A02F3E">
        <w:rPr>
          <w:rFonts w:ascii="Arial" w:hAnsi="Arial" w:cs="Arial"/>
        </w:rPr>
        <w:t>to support accurate and consistent</w:t>
      </w:r>
      <w:r w:rsidRPr="00A02F3E">
        <w:rPr>
          <w:rFonts w:ascii="Arial" w:hAnsi="Arial" w:cs="Arial"/>
        </w:rPr>
        <w:t xml:space="preserve"> data extraction</w:t>
      </w:r>
      <w:r w:rsidR="00E638AA" w:rsidRPr="00A02F3E">
        <w:rPr>
          <w:rFonts w:ascii="Arial" w:hAnsi="Arial" w:cs="Arial"/>
        </w:rPr>
        <w:t xml:space="preserve">, as a means to </w:t>
      </w:r>
      <w:r w:rsidRPr="00A02F3E">
        <w:rPr>
          <w:rFonts w:ascii="Arial" w:hAnsi="Arial" w:cs="Arial"/>
        </w:rPr>
        <w:t xml:space="preserve">minimise bias. </w:t>
      </w:r>
      <w:r w:rsidR="00E638AA" w:rsidRPr="00A02F3E">
        <w:rPr>
          <w:rFonts w:ascii="Arial" w:hAnsi="Arial" w:cs="Arial"/>
        </w:rPr>
        <w:t>The m</w:t>
      </w:r>
      <w:r w:rsidRPr="00A02F3E">
        <w:rPr>
          <w:rFonts w:ascii="Arial" w:hAnsi="Arial" w:cs="Arial"/>
        </w:rPr>
        <w:t>onthly SCMD files were obtained directly from the NHSBSA Open Data Portal in the original CSV format</w:t>
      </w:r>
      <w:r w:rsidR="00E638AA" w:rsidRPr="00A02F3E">
        <w:rPr>
          <w:rFonts w:ascii="Arial" w:hAnsi="Arial" w:cs="Arial"/>
        </w:rPr>
        <w:t>, with no further cleaning or manipulation incurred</w:t>
      </w:r>
      <w:r w:rsidRPr="00A02F3E">
        <w:rPr>
          <w:rFonts w:ascii="Arial" w:hAnsi="Arial" w:cs="Arial"/>
        </w:rPr>
        <w:t xml:space="preserve">. Before conducting </w:t>
      </w:r>
      <w:r w:rsidR="00E638AA" w:rsidRPr="00A02F3E">
        <w:rPr>
          <w:rFonts w:ascii="Arial" w:hAnsi="Arial" w:cs="Arial"/>
        </w:rPr>
        <w:t>the data analysis</w:t>
      </w:r>
      <w:r w:rsidRPr="00A02F3E">
        <w:rPr>
          <w:rFonts w:ascii="Arial" w:hAnsi="Arial" w:cs="Arial"/>
        </w:rPr>
        <w:t>, the data underwent preparation</w:t>
      </w:r>
      <w:r w:rsidR="00E638AA" w:rsidRPr="00A02F3E">
        <w:rPr>
          <w:rFonts w:ascii="Arial" w:hAnsi="Arial" w:cs="Arial"/>
        </w:rPr>
        <w:t xml:space="preserve"> steps</w:t>
      </w:r>
      <w:r w:rsidRPr="00A02F3E">
        <w:rPr>
          <w:rFonts w:ascii="Arial" w:hAnsi="Arial" w:cs="Arial"/>
        </w:rPr>
        <w:t xml:space="preserve">. </w:t>
      </w:r>
      <w:r w:rsidRPr="00A02F3E">
        <w:rPr>
          <w:rFonts w:ascii="Arial" w:hAnsi="Arial" w:cs="Arial"/>
        </w:rPr>
        <w:lastRenderedPageBreak/>
        <w:t>Duplicates were removed, and variables irrelevant to the research aims were excluded to</w:t>
      </w:r>
      <w:r w:rsidR="00E638AA" w:rsidRPr="00A02F3E">
        <w:rPr>
          <w:rFonts w:ascii="Arial" w:hAnsi="Arial" w:cs="Arial"/>
        </w:rPr>
        <w:t xml:space="preserve"> help</w:t>
      </w:r>
      <w:r w:rsidRPr="00A02F3E">
        <w:rPr>
          <w:rFonts w:ascii="Arial" w:hAnsi="Arial" w:cs="Arial"/>
        </w:rPr>
        <w:t xml:space="preserve"> </w:t>
      </w:r>
      <w:r w:rsidR="00E638AA" w:rsidRPr="00A02F3E">
        <w:rPr>
          <w:rFonts w:ascii="Arial" w:hAnsi="Arial" w:cs="Arial"/>
        </w:rPr>
        <w:t>improve the ease and efficiency of</w:t>
      </w:r>
      <w:r w:rsidRPr="00A02F3E">
        <w:rPr>
          <w:rFonts w:ascii="Arial" w:hAnsi="Arial" w:cs="Arial"/>
        </w:rPr>
        <w:t xml:space="preserve"> the analysis. Additional</w:t>
      </w:r>
      <w:r w:rsidR="00E638AA" w:rsidRPr="00A02F3E">
        <w:rPr>
          <w:rFonts w:ascii="Arial" w:hAnsi="Arial" w:cs="Arial"/>
        </w:rPr>
        <w:t>ly, some</w:t>
      </w:r>
      <w:r w:rsidRPr="00A02F3E">
        <w:rPr>
          <w:rFonts w:ascii="Arial" w:hAnsi="Arial" w:cs="Arial"/>
        </w:rPr>
        <w:t xml:space="preserve"> cleaning involved checking for missing entries, formatting issues, and </w:t>
      </w:r>
      <w:r w:rsidR="00E638AA" w:rsidRPr="00A02F3E">
        <w:rPr>
          <w:rFonts w:ascii="Arial" w:hAnsi="Arial" w:cs="Arial"/>
        </w:rPr>
        <w:t xml:space="preserve">checking </w:t>
      </w:r>
      <w:r w:rsidRPr="00A02F3E">
        <w:rPr>
          <w:rFonts w:ascii="Arial" w:hAnsi="Arial" w:cs="Arial"/>
        </w:rPr>
        <w:t xml:space="preserve">updates to dm+d codes between reporting periods. When coding changes </w:t>
      </w:r>
      <w:r w:rsidR="00E638AA" w:rsidRPr="00A02F3E">
        <w:rPr>
          <w:rFonts w:ascii="Arial" w:hAnsi="Arial" w:cs="Arial"/>
        </w:rPr>
        <w:t>were evidence</w:t>
      </w:r>
      <w:r w:rsidRPr="00A02F3E">
        <w:rPr>
          <w:rFonts w:ascii="Arial" w:hAnsi="Arial" w:cs="Arial"/>
        </w:rPr>
        <w:t xml:space="preserve">, NHSBSA documentation was referenced to maintain consistency across time points. No imputation was performed, as missing values in </w:t>
      </w:r>
      <w:r w:rsidR="009761CE" w:rsidRPr="00A02F3E">
        <w:rPr>
          <w:rFonts w:ascii="Arial" w:hAnsi="Arial" w:cs="Arial"/>
        </w:rPr>
        <w:t>the</w:t>
      </w:r>
      <w:r w:rsidRPr="00A02F3E">
        <w:rPr>
          <w:rFonts w:ascii="Arial" w:hAnsi="Arial" w:cs="Arial"/>
        </w:rPr>
        <w:t xml:space="preserve"> data may </w:t>
      </w:r>
      <w:r w:rsidR="009761CE" w:rsidRPr="00A02F3E">
        <w:rPr>
          <w:rFonts w:ascii="Arial" w:hAnsi="Arial" w:cs="Arial"/>
        </w:rPr>
        <w:t>have r</w:t>
      </w:r>
      <w:r w:rsidRPr="00A02F3E">
        <w:rPr>
          <w:rFonts w:ascii="Arial" w:hAnsi="Arial" w:cs="Arial"/>
        </w:rPr>
        <w:t>eflect</w:t>
      </w:r>
      <w:r w:rsidR="009761CE" w:rsidRPr="00A02F3E">
        <w:rPr>
          <w:rFonts w:ascii="Arial" w:hAnsi="Arial" w:cs="Arial"/>
        </w:rPr>
        <w:t>ed</w:t>
      </w:r>
      <w:r w:rsidRPr="00A02F3E">
        <w:rPr>
          <w:rFonts w:ascii="Arial" w:hAnsi="Arial" w:cs="Arial"/>
        </w:rPr>
        <w:t xml:space="preserve"> actual gaps in prescribing activity. </w:t>
      </w:r>
    </w:p>
    <w:p w14:paraId="328A6445" w14:textId="77777777" w:rsidR="00237960" w:rsidRPr="00A02F3E" w:rsidRDefault="00237960" w:rsidP="00F66B3A">
      <w:pPr>
        <w:spacing w:line="276" w:lineRule="auto"/>
        <w:jc w:val="both"/>
        <w:rPr>
          <w:rFonts w:ascii="Arial" w:hAnsi="Arial" w:cs="Arial"/>
          <w:u w:val="single"/>
        </w:rPr>
      </w:pPr>
    </w:p>
    <w:p w14:paraId="085382A9" w14:textId="06C8394E" w:rsidR="00267B6C" w:rsidRPr="00A02F3E" w:rsidRDefault="00267B6C" w:rsidP="00F66B3A">
      <w:pPr>
        <w:spacing w:line="276" w:lineRule="auto"/>
        <w:jc w:val="both"/>
        <w:rPr>
          <w:rFonts w:ascii="Arial" w:hAnsi="Arial" w:cs="Arial"/>
          <w:u w:val="single"/>
        </w:rPr>
      </w:pPr>
    </w:p>
    <w:p w14:paraId="4A4B29BF" w14:textId="31774A47" w:rsidR="00267B6C" w:rsidRPr="00A02F3E" w:rsidRDefault="00267B6C" w:rsidP="00F66B3A">
      <w:pPr>
        <w:pStyle w:val="Heading2"/>
        <w:jc w:val="both"/>
        <w:rPr>
          <w:rFonts w:ascii="Arial" w:hAnsi="Arial" w:cs="Arial"/>
          <w:i/>
          <w:iCs/>
          <w:color w:val="auto"/>
          <w:sz w:val="24"/>
          <w:szCs w:val="24"/>
        </w:rPr>
      </w:pPr>
      <w:bookmarkStart w:id="8" w:name="_Toc240132662"/>
      <w:r w:rsidRPr="00A02F3E">
        <w:rPr>
          <w:rFonts w:ascii="Arial" w:hAnsi="Arial" w:cs="Arial"/>
          <w:i/>
          <w:iCs/>
          <w:color w:val="auto"/>
          <w:sz w:val="24"/>
          <w:szCs w:val="24"/>
        </w:rPr>
        <w:t>Data Analysis</w:t>
      </w:r>
      <w:bookmarkEnd w:id="8"/>
    </w:p>
    <w:p w14:paraId="48695DC3" w14:textId="0D3ED5C3" w:rsidR="009761CE" w:rsidRPr="00A02F3E" w:rsidRDefault="009761CE" w:rsidP="00F66B3A">
      <w:pPr>
        <w:spacing w:line="276" w:lineRule="auto"/>
        <w:jc w:val="both"/>
        <w:rPr>
          <w:rFonts w:ascii="Arial" w:hAnsi="Arial" w:cs="Arial"/>
          <w:u w:val="single"/>
        </w:rPr>
      </w:pPr>
    </w:p>
    <w:p w14:paraId="3BD3505C" w14:textId="21031311" w:rsidR="0020731F" w:rsidRPr="00A02F3E" w:rsidRDefault="0020731F" w:rsidP="00F66B3A">
      <w:pPr>
        <w:spacing w:line="276" w:lineRule="auto"/>
        <w:jc w:val="both"/>
        <w:rPr>
          <w:rFonts w:ascii="Arial" w:hAnsi="Arial" w:cs="Arial"/>
        </w:rPr>
      </w:pPr>
      <w:r w:rsidRPr="00A02F3E">
        <w:rPr>
          <w:rFonts w:ascii="Arial" w:hAnsi="Arial" w:cs="Arial"/>
        </w:rPr>
        <w:t>After data were prepared, statistical analyses were conducted to elicit how the costs of medicines supplied in NHS hospitals changed over the study period</w:t>
      </w:r>
      <w:r w:rsidR="002B27B2">
        <w:rPr>
          <w:rFonts w:ascii="Arial" w:hAnsi="Arial" w:cs="Arial"/>
        </w:rPr>
        <w:t>.</w:t>
      </w:r>
      <w:r w:rsidR="00370EC3">
        <w:rPr>
          <w:rFonts w:ascii="Arial" w:hAnsi="Arial" w:cs="Arial"/>
        </w:rPr>
        <w:t xml:space="preserve"> </w:t>
      </w:r>
      <w:r w:rsidRPr="00A02F3E">
        <w:rPr>
          <w:rFonts w:ascii="Arial" w:hAnsi="Arial" w:cs="Arial"/>
        </w:rPr>
        <w:t xml:space="preserve">Descriptive statistics are commonly used in health services research to provide an overview of prescribing activity and utilisation, and to highlight shifts that could have implications for policy and </w:t>
      </w:r>
      <w:r w:rsidR="000E2D87" w:rsidRPr="000E2D87">
        <w:rPr>
          <w:rFonts w:ascii="Arial" w:hAnsi="Arial" w:cs="Arial"/>
        </w:rPr>
        <w:t xml:space="preserve">resource planning (Togo &amp; </w:t>
      </w:r>
      <w:proofErr w:type="spellStart"/>
      <w:r w:rsidR="000E2D87" w:rsidRPr="000E2D87">
        <w:rPr>
          <w:rFonts w:ascii="Arial" w:hAnsi="Arial" w:cs="Arial"/>
        </w:rPr>
        <w:t>Yonemoto</w:t>
      </w:r>
      <w:proofErr w:type="spellEnd"/>
      <w:r w:rsidR="000E2D87" w:rsidRPr="000E2D87">
        <w:rPr>
          <w:rFonts w:ascii="Arial" w:hAnsi="Arial" w:cs="Arial"/>
        </w:rPr>
        <w:t xml:space="preserve">, 2022). For data </w:t>
      </w:r>
      <w:r w:rsidR="000E2D87" w:rsidRPr="00591DF0">
        <w:rPr>
          <w:rFonts w:ascii="Arial" w:hAnsi="Arial" w:cs="Arial"/>
        </w:rPr>
        <w:t>management and descriptive analyses, the dataset was imported into Microsoft Excel (Microsoft Corp, USA). This platform was selected due to the suitability for managing large administrative datasets, supporting the source file format, and facilitated tasks, such as cleaning, sorting, aggregating, and generating summary statistics (</w:t>
      </w:r>
      <w:proofErr w:type="spellStart"/>
      <w:r w:rsidR="000E2D87" w:rsidRPr="00591DF0">
        <w:rPr>
          <w:rFonts w:ascii="Arial" w:hAnsi="Arial" w:cs="Arial"/>
        </w:rPr>
        <w:t>Divisi</w:t>
      </w:r>
      <w:proofErr w:type="spellEnd"/>
      <w:r w:rsidR="000E2D87" w:rsidRPr="00591DF0">
        <w:rPr>
          <w:rFonts w:ascii="Arial" w:hAnsi="Arial" w:cs="Arial"/>
        </w:rPr>
        <w:t xml:space="preserve"> et al., 2017). </w:t>
      </w:r>
      <w:r w:rsidR="00591DF0" w:rsidRPr="00591DF0">
        <w:rPr>
          <w:rFonts w:ascii="Arial" w:hAnsi="Arial" w:cs="Arial"/>
        </w:rPr>
        <w:t>The</w:t>
      </w:r>
      <w:r w:rsidR="000E2D87" w:rsidRPr="00591DF0">
        <w:rPr>
          <w:rFonts w:ascii="Arial" w:hAnsi="Arial" w:cs="Arial"/>
        </w:rPr>
        <w:t xml:space="preserve"> results were cross-checked and validated using SPSS.</w:t>
      </w:r>
    </w:p>
    <w:p w14:paraId="7C053A68" w14:textId="77777777" w:rsidR="0020731F" w:rsidRPr="00A02F3E" w:rsidRDefault="0020731F" w:rsidP="00F66B3A">
      <w:pPr>
        <w:spacing w:line="276" w:lineRule="auto"/>
        <w:jc w:val="both"/>
        <w:rPr>
          <w:rFonts w:ascii="Arial" w:hAnsi="Arial" w:cs="Arial"/>
        </w:rPr>
      </w:pPr>
    </w:p>
    <w:p w14:paraId="2DA7ABA3" w14:textId="74F803C3" w:rsidR="002428DB" w:rsidRPr="00A02F3E" w:rsidRDefault="009761CE" w:rsidP="00F66B3A">
      <w:pPr>
        <w:spacing w:line="276" w:lineRule="auto"/>
        <w:jc w:val="both"/>
        <w:rPr>
          <w:rFonts w:ascii="Arial" w:hAnsi="Arial" w:cs="Arial"/>
        </w:rPr>
      </w:pPr>
      <w:r w:rsidRPr="00A02F3E">
        <w:rPr>
          <w:rFonts w:ascii="Arial" w:hAnsi="Arial" w:cs="Arial"/>
        </w:rPr>
        <w:t xml:space="preserve">As the study’s primary focus was </w:t>
      </w:r>
      <w:r w:rsidR="0020731F" w:rsidRPr="00A02F3E">
        <w:rPr>
          <w:rFonts w:ascii="Arial" w:hAnsi="Arial" w:cs="Arial"/>
        </w:rPr>
        <w:t>related to</w:t>
      </w:r>
      <w:r w:rsidRPr="00A02F3E">
        <w:rPr>
          <w:rFonts w:ascii="Arial" w:hAnsi="Arial" w:cs="Arial"/>
        </w:rPr>
        <w:t xml:space="preserve"> nation</w:t>
      </w:r>
      <w:r w:rsidR="0020731F" w:rsidRPr="00A02F3E">
        <w:rPr>
          <w:rFonts w:ascii="Arial" w:hAnsi="Arial" w:cs="Arial"/>
        </w:rPr>
        <w:t>al</w:t>
      </w:r>
      <w:r w:rsidRPr="00A02F3E">
        <w:rPr>
          <w:rFonts w:ascii="Arial" w:hAnsi="Arial" w:cs="Arial"/>
        </w:rPr>
        <w:t xml:space="preserve"> prescribing patterns, </w:t>
      </w:r>
      <w:r w:rsidR="0020731F" w:rsidRPr="00A02F3E">
        <w:rPr>
          <w:rFonts w:ascii="Arial" w:hAnsi="Arial" w:cs="Arial"/>
        </w:rPr>
        <w:t xml:space="preserve">the </w:t>
      </w:r>
      <w:r w:rsidRPr="00A02F3E">
        <w:rPr>
          <w:rFonts w:ascii="Arial" w:hAnsi="Arial" w:cs="Arial"/>
        </w:rPr>
        <w:t xml:space="preserve">analyses were conducted using aggregated data </w:t>
      </w:r>
      <w:r w:rsidR="0020731F" w:rsidRPr="00A02F3E">
        <w:rPr>
          <w:rFonts w:ascii="Arial" w:hAnsi="Arial" w:cs="Arial"/>
        </w:rPr>
        <w:t>(</w:t>
      </w:r>
      <w:r w:rsidRPr="00A02F3E">
        <w:rPr>
          <w:rFonts w:ascii="Arial" w:hAnsi="Arial" w:cs="Arial"/>
        </w:rPr>
        <w:t>at the national level</w:t>
      </w:r>
      <w:r w:rsidR="0020731F" w:rsidRPr="00A02F3E">
        <w:rPr>
          <w:rFonts w:ascii="Arial" w:hAnsi="Arial" w:cs="Arial"/>
        </w:rPr>
        <w:t>)</w:t>
      </w:r>
      <w:r w:rsidRPr="00A02F3E">
        <w:rPr>
          <w:rFonts w:ascii="Arial" w:hAnsi="Arial" w:cs="Arial"/>
        </w:rPr>
        <w:t xml:space="preserve"> rather than </w:t>
      </w:r>
      <w:r w:rsidR="002428DB" w:rsidRPr="00A02F3E">
        <w:rPr>
          <w:rFonts w:ascii="Arial" w:hAnsi="Arial" w:cs="Arial"/>
        </w:rPr>
        <w:t>attempting</w:t>
      </w:r>
      <w:r w:rsidRPr="00A02F3E">
        <w:rPr>
          <w:rFonts w:ascii="Arial" w:hAnsi="Arial" w:cs="Arial"/>
        </w:rPr>
        <w:t xml:space="preserve"> comparisons between individual NHS trusts. This approach minimised the impact of local procurement differences and allowed for the identification of medicines </w:t>
      </w:r>
      <w:r w:rsidR="002428DB" w:rsidRPr="00A02F3E">
        <w:rPr>
          <w:rFonts w:ascii="Arial" w:hAnsi="Arial" w:cs="Arial"/>
        </w:rPr>
        <w:t>account for the greatest</w:t>
      </w:r>
      <w:r w:rsidRPr="00A02F3E">
        <w:rPr>
          <w:rFonts w:ascii="Arial" w:hAnsi="Arial" w:cs="Arial"/>
        </w:rPr>
        <w:t xml:space="preserve"> overall secondary care expenditure. </w:t>
      </w:r>
      <w:r w:rsidR="002428DB" w:rsidRPr="00A02F3E">
        <w:rPr>
          <w:rFonts w:ascii="Arial" w:hAnsi="Arial" w:cs="Arial"/>
        </w:rPr>
        <w:t xml:space="preserve">The main outcome assessed in this study was the indicative cost of medicines, as recorded in the SCMD. For each reporting interval, total spending on individual medicines was calculated, and these values were ranked to demonstrate which drugs accounted for the largest share of secondary care prescribing expenditure. Cumulative spending over the entire study period was also determined to pinpoint the medicines with the greatest overall financial impact. Descriptive analyses included calculations of total and average monthly expenditure, each medicine’s share of total prescribing costs, and rankings based on cumulative spend. Temporal trends were explored using line graphs and time-series charts, which displayed monthly and yearly spending for the most expensive medicines and therapeutic categories. Graphical representation of data can be useful as it can assist readers in recognising patterns and deviations, which may otherwise be overlooked when relying solely on </w:t>
      </w:r>
      <w:r w:rsidR="000E2D87" w:rsidRPr="000E2D87">
        <w:rPr>
          <w:rFonts w:ascii="Arial" w:hAnsi="Arial" w:cs="Arial"/>
        </w:rPr>
        <w:t>summary tables (Fowler et al., 2021).</w:t>
      </w:r>
    </w:p>
    <w:p w14:paraId="605F9E74" w14:textId="4F4EB6A9" w:rsidR="00916E48" w:rsidRPr="00A02F3E" w:rsidRDefault="00916E48" w:rsidP="00F66B3A">
      <w:pPr>
        <w:spacing w:line="276" w:lineRule="auto"/>
        <w:jc w:val="both"/>
        <w:rPr>
          <w:rFonts w:ascii="Arial" w:hAnsi="Arial" w:cs="Arial"/>
        </w:rPr>
      </w:pPr>
    </w:p>
    <w:p w14:paraId="1807325A" w14:textId="54B554E8" w:rsidR="00916E48" w:rsidRPr="00A02F3E" w:rsidRDefault="00916E48" w:rsidP="00745FE4">
      <w:pPr>
        <w:spacing w:line="276" w:lineRule="auto"/>
        <w:jc w:val="both"/>
        <w:rPr>
          <w:rFonts w:ascii="Arial" w:hAnsi="Arial" w:cs="Arial"/>
        </w:rPr>
      </w:pPr>
      <w:r w:rsidRPr="00A4652C">
        <w:rPr>
          <w:rFonts w:ascii="Arial" w:hAnsi="Arial" w:cs="Arial"/>
        </w:rPr>
        <w:t xml:space="preserve">Inferential analyses were conducted using SPSS to evaluate whether the observed descriptive trends were statistically meaningful or whether they simply reflected variability across annual measurements. The choice of statistical tests was guided by </w:t>
      </w:r>
      <w:r w:rsidRPr="00A4652C">
        <w:rPr>
          <w:rFonts w:ascii="Arial" w:hAnsi="Arial" w:cs="Arial"/>
        </w:rPr>
        <w:lastRenderedPageBreak/>
        <w:t xml:space="preserve">the data’s characteristics. Specifically, Spearman’s rank-order correlation was employed to </w:t>
      </w:r>
      <w:r w:rsidRPr="00010A21">
        <w:rPr>
          <w:rFonts w:ascii="Arial" w:hAnsi="Arial" w:cs="Arial"/>
        </w:rPr>
        <w:t xml:space="preserve">explore the relationship between calendar year and total dispensed units for the most commonly </w:t>
      </w:r>
      <w:r w:rsidR="000E2D87" w:rsidRPr="00010A21">
        <w:rPr>
          <w:rFonts w:ascii="Arial" w:hAnsi="Arial" w:cs="Arial"/>
        </w:rPr>
        <w:t>prescribed medications (Bland, 2015). Simple linear regression was used to assess whether calendar year served as a predictor of total indicative expenditure. The</w:t>
      </w:r>
      <w:r w:rsidR="000E2D87" w:rsidRPr="00A4652C">
        <w:rPr>
          <w:rFonts w:ascii="Arial" w:hAnsi="Arial" w:cs="Arial"/>
        </w:rPr>
        <w:t xml:space="preserve"> Mann-Whitney U test facilitated comparison of cost-per-unit distributions between the cohort of most frequently prescribed medicines and those with the highest associated costs. Finally, the Wilcoxon signed</w:t>
      </w:r>
      <w:r w:rsidR="00A4652C">
        <w:rPr>
          <w:rFonts w:ascii="Arial" w:hAnsi="Arial" w:cs="Arial"/>
        </w:rPr>
        <w:t>-</w:t>
      </w:r>
      <w:r w:rsidR="000E2D87" w:rsidRPr="00A4652C">
        <w:rPr>
          <w:rFonts w:ascii="Arial" w:hAnsi="Arial" w:cs="Arial"/>
        </w:rPr>
        <w:t>rank test was used to examine paired changes in drug unit cost between 2021 and 2026 for medicines with available data at both time points (Bland, 2015).</w:t>
      </w:r>
      <w:r w:rsidR="004D14B6" w:rsidRPr="00A4652C">
        <w:rPr>
          <w:rFonts w:ascii="Arial" w:hAnsi="Arial" w:cs="Arial"/>
        </w:rPr>
        <w:t xml:space="preserve"> </w:t>
      </w:r>
      <w:r w:rsidR="003359CE" w:rsidRPr="00A4652C">
        <w:rPr>
          <w:rFonts w:ascii="Arial" w:hAnsi="Arial" w:cs="Arial"/>
        </w:rPr>
        <w:t>Normality was assessed using the Shapiro</w:t>
      </w:r>
      <w:r w:rsidR="00A4652C">
        <w:rPr>
          <w:rFonts w:ascii="Arial" w:hAnsi="Arial" w:cs="Arial"/>
        </w:rPr>
        <w:t>-</w:t>
      </w:r>
      <w:proofErr w:type="spellStart"/>
      <w:r w:rsidR="003359CE" w:rsidRPr="00A4652C">
        <w:rPr>
          <w:rFonts w:ascii="Arial" w:hAnsi="Arial" w:cs="Arial"/>
        </w:rPr>
        <w:t>Wilk</w:t>
      </w:r>
      <w:proofErr w:type="spellEnd"/>
      <w:r w:rsidR="003359CE" w:rsidRPr="00A4652C">
        <w:rPr>
          <w:rFonts w:ascii="Arial" w:hAnsi="Arial" w:cs="Arial"/>
        </w:rPr>
        <w:t xml:space="preserve"> test, with the null hypothesis indicating normally distributed data and the alternative indicating a departure from normality. </w:t>
      </w:r>
      <w:r w:rsidR="000E2D87" w:rsidRPr="00A4652C">
        <w:rPr>
          <w:rFonts w:ascii="Arial" w:hAnsi="Arial" w:cs="Arial"/>
        </w:rPr>
        <w:t>For each statistical approach, both null (H0) and alternative (H1) hypotheses were defined. For the Spearman correlation and linear regression analyses, the null hypothesis posited that there was no association or predictive influence of calendar year on the specified outcome, while the alternative hypothesis accepts the presence of a temporal relationship. For the Mann</w:t>
      </w:r>
      <w:r w:rsidR="00A4652C">
        <w:rPr>
          <w:rFonts w:ascii="Arial" w:hAnsi="Arial" w:cs="Arial"/>
        </w:rPr>
        <w:t>-</w:t>
      </w:r>
      <w:r w:rsidR="000E2D87" w:rsidRPr="00A4652C">
        <w:rPr>
          <w:rFonts w:ascii="Arial" w:hAnsi="Arial" w:cs="Arial"/>
        </w:rPr>
        <w:t>Whitney U test, the null hypothesis proposed equivalence in cost-per-unit distributions across medicine groups, in contrast to the alternative hypothesis, which suggests that there is a difference. With respect to the Wilcoxon signed-rank test, the null hypothesis maintained that the median paired change in unit cost between 2021 and 2026 was</w:t>
      </w:r>
      <w:r w:rsidR="000E2D87" w:rsidRPr="00BD628D">
        <w:rPr>
          <w:rFonts w:ascii="Arial" w:hAnsi="Arial" w:cs="Arial"/>
        </w:rPr>
        <w:t xml:space="preserve"> zero, whereas the alternative hypothesis indicates a non-zero median change. Statistical significance</w:t>
      </w:r>
      <w:r w:rsidR="000E2D87" w:rsidRPr="000E2D87">
        <w:rPr>
          <w:rFonts w:ascii="Arial" w:hAnsi="Arial" w:cs="Arial"/>
        </w:rPr>
        <w:t xml:space="preserve"> was defined as an </w:t>
      </w:r>
      <w:r w:rsidR="000E2D87" w:rsidRPr="008B5743">
        <w:rPr>
          <w:rFonts w:ascii="Arial" w:hAnsi="Arial" w:cs="Arial"/>
        </w:rPr>
        <w:t xml:space="preserve">alpha of 0.05 for all two-tailed tests, and 95% confidence intervals were reported when available. Owing to the limited number of annual observations (n = 6) for time-trend analyses and pronounced </w:t>
      </w:r>
      <w:proofErr w:type="spellStart"/>
      <w:r w:rsidR="000E2D87" w:rsidRPr="008B5743">
        <w:rPr>
          <w:rFonts w:ascii="Arial" w:hAnsi="Arial" w:cs="Arial"/>
        </w:rPr>
        <w:t>skewness</w:t>
      </w:r>
      <w:proofErr w:type="spellEnd"/>
      <w:r w:rsidR="000E2D87" w:rsidRPr="008B5743">
        <w:rPr>
          <w:rFonts w:ascii="Arial" w:hAnsi="Arial" w:cs="Arial"/>
        </w:rPr>
        <w:t xml:space="preserve"> in medicine cost data, non-parametric methods were prioritised,</w:t>
      </w:r>
      <w:r w:rsidR="008B5743" w:rsidRPr="008B5743">
        <w:rPr>
          <w:rFonts w:ascii="Arial" w:hAnsi="Arial" w:cs="Arial"/>
        </w:rPr>
        <w:t xml:space="preserve"> where appropriate,</w:t>
      </w:r>
      <w:r w:rsidR="000E2D87" w:rsidRPr="008B5743">
        <w:rPr>
          <w:rFonts w:ascii="Arial" w:hAnsi="Arial" w:cs="Arial"/>
        </w:rPr>
        <w:t xml:space="preserve"> </w:t>
      </w:r>
      <w:r w:rsidR="008B5743" w:rsidRPr="008B5743">
        <w:rPr>
          <w:rFonts w:ascii="Arial" w:hAnsi="Arial" w:cs="Arial"/>
        </w:rPr>
        <w:t>while</w:t>
      </w:r>
      <w:r w:rsidR="000E2D87" w:rsidRPr="008B5743">
        <w:rPr>
          <w:rFonts w:ascii="Arial" w:hAnsi="Arial" w:cs="Arial"/>
        </w:rPr>
        <w:t xml:space="preserve"> all inferential results were interpreted as exploratory rather than conclusive (Bland, 2015).</w:t>
      </w:r>
    </w:p>
    <w:p w14:paraId="51B2DE9E" w14:textId="77777777" w:rsidR="002428DB" w:rsidRPr="00A02F3E" w:rsidRDefault="002428DB" w:rsidP="00F66B3A">
      <w:pPr>
        <w:spacing w:line="276" w:lineRule="auto"/>
        <w:jc w:val="both"/>
        <w:rPr>
          <w:rFonts w:ascii="Arial" w:hAnsi="Arial" w:cs="Arial"/>
        </w:rPr>
      </w:pPr>
    </w:p>
    <w:p w14:paraId="3E9B5E1A" w14:textId="77777777" w:rsidR="009761CE" w:rsidRPr="00A02F3E" w:rsidRDefault="009761CE" w:rsidP="00F66B3A">
      <w:pPr>
        <w:spacing w:line="276" w:lineRule="auto"/>
        <w:jc w:val="both"/>
        <w:rPr>
          <w:rFonts w:ascii="Arial" w:hAnsi="Arial" w:cs="Arial"/>
          <w:u w:val="single"/>
        </w:rPr>
      </w:pPr>
    </w:p>
    <w:p w14:paraId="7EBA79B2" w14:textId="7DE587E7" w:rsidR="00267B6C" w:rsidRPr="00A02F3E" w:rsidRDefault="000038CC" w:rsidP="00F66B3A">
      <w:pPr>
        <w:pStyle w:val="Heading2"/>
        <w:jc w:val="both"/>
        <w:rPr>
          <w:rFonts w:ascii="Arial" w:hAnsi="Arial" w:cs="Arial"/>
          <w:i/>
          <w:iCs/>
          <w:color w:val="auto"/>
          <w:sz w:val="24"/>
          <w:szCs w:val="24"/>
        </w:rPr>
      </w:pPr>
      <w:bookmarkStart w:id="9" w:name="_Toc240132663"/>
      <w:r w:rsidRPr="00A02F3E">
        <w:rPr>
          <w:rFonts w:ascii="Arial" w:hAnsi="Arial" w:cs="Arial"/>
          <w:i/>
          <w:iCs/>
          <w:color w:val="auto"/>
          <w:sz w:val="24"/>
          <w:szCs w:val="24"/>
        </w:rPr>
        <w:t>Rigour</w:t>
      </w:r>
      <w:bookmarkEnd w:id="9"/>
    </w:p>
    <w:p w14:paraId="37B03C8A" w14:textId="77777777" w:rsidR="00877E9A" w:rsidRDefault="00877E9A" w:rsidP="00F66B3A">
      <w:pPr>
        <w:spacing w:line="276" w:lineRule="auto"/>
        <w:jc w:val="both"/>
      </w:pPr>
    </w:p>
    <w:p w14:paraId="2E80F670" w14:textId="564BDED4" w:rsidR="000038CC" w:rsidRPr="00A02F3E" w:rsidRDefault="00877E9A" w:rsidP="00F66B3A">
      <w:pPr>
        <w:spacing w:line="276" w:lineRule="auto"/>
        <w:jc w:val="both"/>
        <w:rPr>
          <w:rFonts w:ascii="Arial" w:hAnsi="Arial" w:cs="Arial"/>
        </w:rPr>
      </w:pPr>
      <w:r w:rsidRPr="00877E9A">
        <w:rPr>
          <w:rFonts w:ascii="Arial" w:hAnsi="Arial" w:cs="Arial"/>
        </w:rPr>
        <w:t xml:space="preserve">Ensuring methodological rigour is critical for producing trustworthy and reliable results. Several measures were implemented to support rigour. First, a nationally standardised dataset using the consistent </w:t>
      </w:r>
      <w:proofErr w:type="spellStart"/>
      <w:r w:rsidRPr="00877E9A">
        <w:rPr>
          <w:rFonts w:ascii="Arial" w:hAnsi="Arial" w:cs="Arial"/>
        </w:rPr>
        <w:t>dm+d</w:t>
      </w:r>
      <w:proofErr w:type="spellEnd"/>
      <w:r w:rsidRPr="00877E9A">
        <w:rPr>
          <w:rFonts w:ascii="Arial" w:hAnsi="Arial" w:cs="Arial"/>
        </w:rPr>
        <w:t xml:space="preserve"> coding system was used, limiting measurement variability and reducing the risk of systematic errors (</w:t>
      </w:r>
      <w:proofErr w:type="spellStart"/>
      <w:r w:rsidRPr="00877E9A">
        <w:rPr>
          <w:rFonts w:ascii="Arial" w:hAnsi="Arial" w:cs="Arial"/>
        </w:rPr>
        <w:t>Tazare</w:t>
      </w:r>
      <w:proofErr w:type="spellEnd"/>
      <w:r w:rsidRPr="00877E9A">
        <w:rPr>
          <w:rFonts w:ascii="Arial" w:hAnsi="Arial" w:cs="Arial"/>
        </w:rPr>
        <w:t xml:space="preserve"> et al., 2024). Second, analytical methods were defined before data extraction to improve transparency and reduce selective reporting and post-hoc decision making. Third, data were cleaned prior to analysis by identifying duplicate entries, correcting formatting inconsistencies and resolving coding issues, with the cleaned data cross-checked against the original NHSBSA outputs. Open-access data also support reproducibility, which can strengthen public trust in research findings (Wang et al., 2025). Finally, STROBE guidelines were followed to support appropriate reporting of observational research (</w:t>
      </w:r>
      <w:proofErr w:type="spellStart"/>
      <w:r w:rsidRPr="00877E9A">
        <w:rPr>
          <w:rFonts w:ascii="Arial" w:hAnsi="Arial" w:cs="Arial"/>
        </w:rPr>
        <w:t>Cuschieri</w:t>
      </w:r>
      <w:proofErr w:type="spellEnd"/>
      <w:r w:rsidRPr="00877E9A">
        <w:rPr>
          <w:rFonts w:ascii="Arial" w:hAnsi="Arial" w:cs="Arial"/>
        </w:rPr>
        <w:t>, 2019).</w:t>
      </w:r>
    </w:p>
    <w:p w14:paraId="39D59ACE" w14:textId="3EC87123" w:rsidR="00164315" w:rsidRDefault="00164315" w:rsidP="00F66B3A">
      <w:pPr>
        <w:spacing w:line="276" w:lineRule="auto"/>
        <w:jc w:val="both"/>
        <w:rPr>
          <w:rFonts w:ascii="Arial" w:hAnsi="Arial" w:cs="Arial"/>
        </w:rPr>
      </w:pPr>
    </w:p>
    <w:p w14:paraId="1CCF7ACF" w14:textId="77777777" w:rsidR="00F125A6" w:rsidRPr="00A02F3E" w:rsidRDefault="00F125A6" w:rsidP="00F66B3A">
      <w:pPr>
        <w:spacing w:line="276" w:lineRule="auto"/>
        <w:jc w:val="both"/>
        <w:rPr>
          <w:rFonts w:ascii="Arial" w:hAnsi="Arial" w:cs="Arial"/>
        </w:rPr>
      </w:pPr>
    </w:p>
    <w:p w14:paraId="2AA914EC" w14:textId="55CAA907" w:rsidR="00E638AA" w:rsidRPr="00A02F3E" w:rsidRDefault="00E638AA" w:rsidP="00F66B3A">
      <w:pPr>
        <w:pStyle w:val="Heading2"/>
        <w:jc w:val="both"/>
        <w:rPr>
          <w:rFonts w:ascii="Arial" w:hAnsi="Arial" w:cs="Arial"/>
          <w:i/>
          <w:iCs/>
          <w:color w:val="auto"/>
          <w:sz w:val="24"/>
          <w:szCs w:val="24"/>
        </w:rPr>
      </w:pPr>
      <w:bookmarkStart w:id="10" w:name="_Toc240132664"/>
      <w:r w:rsidRPr="00A02F3E">
        <w:rPr>
          <w:rFonts w:ascii="Arial" w:hAnsi="Arial" w:cs="Arial"/>
          <w:i/>
          <w:iCs/>
          <w:color w:val="auto"/>
          <w:sz w:val="24"/>
          <w:szCs w:val="24"/>
        </w:rPr>
        <w:lastRenderedPageBreak/>
        <w:t>Ethic</w:t>
      </w:r>
      <w:r w:rsidR="00720102" w:rsidRPr="00A02F3E">
        <w:rPr>
          <w:rFonts w:ascii="Arial" w:hAnsi="Arial" w:cs="Arial"/>
          <w:i/>
          <w:iCs/>
          <w:color w:val="auto"/>
          <w:sz w:val="24"/>
          <w:szCs w:val="24"/>
        </w:rPr>
        <w:t>al Considerations</w:t>
      </w:r>
      <w:bookmarkEnd w:id="10"/>
    </w:p>
    <w:p w14:paraId="19E9EB9D" w14:textId="3E00A98C" w:rsidR="00E638AA" w:rsidRPr="00A02F3E" w:rsidRDefault="00E638AA" w:rsidP="00F66B3A">
      <w:pPr>
        <w:spacing w:line="276" w:lineRule="auto"/>
        <w:jc w:val="both"/>
        <w:rPr>
          <w:rFonts w:ascii="Arial" w:hAnsi="Arial" w:cs="Arial"/>
        </w:rPr>
      </w:pPr>
    </w:p>
    <w:p w14:paraId="77D1EB40" w14:textId="037D277F" w:rsidR="00164315" w:rsidRPr="00BD628D" w:rsidRDefault="000C61FD" w:rsidP="00F66B3A">
      <w:pPr>
        <w:spacing w:line="276" w:lineRule="auto"/>
        <w:jc w:val="both"/>
        <w:rPr>
          <w:color w:val="FF0000"/>
        </w:rPr>
      </w:pPr>
      <w:r w:rsidRPr="00A02F3E">
        <w:rPr>
          <w:rFonts w:ascii="Arial" w:hAnsi="Arial" w:cs="Arial"/>
        </w:rPr>
        <w:t>F</w:t>
      </w:r>
      <w:r w:rsidR="008110C6" w:rsidRPr="008110C6">
        <w:rPr>
          <w:rFonts w:ascii="Arial" w:hAnsi="Arial" w:cs="Arial"/>
        </w:rPr>
        <w:t>or this study, ethical approval by an NHS Research Ethics Committee was not required, as the research analysed publicly available and fully anonymised secondary data. No patient-identifiable information was accessed or used, and there was no direct involvement of participants. UK Health Research Authority guidance confirms that research using only anonymous, public datasets generally falls outside the remit of ethical committee review (NHS HRA, 2026). Data were handled in accordance with the UK General Data Protection Regulation and Data Protection Act 2018, with data stored securely on a password-protected</w:t>
      </w:r>
      <w:r w:rsidR="008D7AD3">
        <w:rPr>
          <w:rFonts w:ascii="Arial" w:hAnsi="Arial" w:cs="Arial"/>
        </w:rPr>
        <w:t xml:space="preserve"> </w:t>
      </w:r>
      <w:r w:rsidR="008110C6" w:rsidRPr="008110C6">
        <w:rPr>
          <w:rFonts w:ascii="Arial" w:hAnsi="Arial" w:cs="Arial"/>
        </w:rPr>
        <w:t>device (GDPR, 2025). The study was also guided by the UK Policy Framework for Health and Social Care Research, with emphasis on transparent methods, accurate reporting and responsible interpretation of results (NHS HRA, 2025). As the SCMD provides indicative rather than definitive costs, expenditure estimates were interpreted cautiously and limitations were reported to reduce the risk of misinterpretation.</w:t>
      </w:r>
    </w:p>
    <w:p w14:paraId="0652567E" w14:textId="77777777" w:rsidR="0046714C" w:rsidRDefault="0046714C" w:rsidP="00F66B3A">
      <w:pPr>
        <w:spacing w:line="276" w:lineRule="auto"/>
        <w:jc w:val="both"/>
        <w:rPr>
          <w:rFonts w:ascii="Arial" w:hAnsi="Arial" w:cs="Arial"/>
        </w:rPr>
      </w:pPr>
    </w:p>
    <w:p w14:paraId="285CD627" w14:textId="77777777" w:rsidR="00577BC7" w:rsidRPr="00A02F3E" w:rsidRDefault="00577BC7" w:rsidP="00F66B3A">
      <w:pPr>
        <w:spacing w:line="276" w:lineRule="auto"/>
        <w:jc w:val="both"/>
        <w:rPr>
          <w:rFonts w:ascii="Arial" w:hAnsi="Arial" w:cs="Arial"/>
        </w:rPr>
      </w:pPr>
    </w:p>
    <w:p w14:paraId="6282D685" w14:textId="30BAC159" w:rsidR="00DB015B" w:rsidRPr="00A02F3E" w:rsidRDefault="00164315" w:rsidP="00F66B3A">
      <w:pPr>
        <w:pStyle w:val="Heading1"/>
        <w:jc w:val="both"/>
        <w:rPr>
          <w:rFonts w:ascii="Arial" w:hAnsi="Arial" w:cs="Arial"/>
          <w:b/>
          <w:bCs/>
          <w:color w:val="auto"/>
          <w:sz w:val="24"/>
          <w:szCs w:val="24"/>
        </w:rPr>
      </w:pPr>
      <w:bookmarkStart w:id="11" w:name="_Toc240132665"/>
      <w:r w:rsidRPr="00A02F3E">
        <w:rPr>
          <w:rFonts w:ascii="Arial" w:hAnsi="Arial" w:cs="Arial"/>
          <w:b/>
          <w:bCs/>
          <w:color w:val="auto"/>
          <w:sz w:val="24"/>
          <w:szCs w:val="24"/>
        </w:rPr>
        <w:t>Results</w:t>
      </w:r>
      <w:bookmarkEnd w:id="11"/>
    </w:p>
    <w:p w14:paraId="07983845" w14:textId="75B366BC" w:rsidR="003F25B1" w:rsidRPr="00A02F3E" w:rsidRDefault="003F25B1" w:rsidP="00F66B3A">
      <w:pPr>
        <w:spacing w:line="276" w:lineRule="auto"/>
        <w:jc w:val="both"/>
        <w:rPr>
          <w:rFonts w:ascii="Arial" w:hAnsi="Arial" w:cs="Arial"/>
        </w:rPr>
      </w:pPr>
    </w:p>
    <w:p w14:paraId="7E7938EC" w14:textId="6C138068" w:rsidR="003F25B1" w:rsidRPr="00A02F3E" w:rsidRDefault="003E0201" w:rsidP="00F66B3A">
      <w:pPr>
        <w:pStyle w:val="Heading2"/>
        <w:jc w:val="both"/>
        <w:rPr>
          <w:rFonts w:ascii="Arial" w:hAnsi="Arial" w:cs="Arial"/>
          <w:i/>
          <w:iCs/>
          <w:color w:val="auto"/>
          <w:sz w:val="24"/>
          <w:szCs w:val="24"/>
        </w:rPr>
      </w:pPr>
      <w:bookmarkStart w:id="12" w:name="_Toc240132666"/>
      <w:bookmarkStart w:id="13" w:name="OLE_LINK3"/>
      <w:bookmarkStart w:id="14" w:name="OLE_LINK4"/>
      <w:bookmarkStart w:id="15" w:name="OLE_LINK5"/>
      <w:r w:rsidRPr="00A02F3E">
        <w:rPr>
          <w:rFonts w:ascii="Arial" w:hAnsi="Arial" w:cs="Arial"/>
          <w:i/>
          <w:iCs/>
          <w:color w:val="auto"/>
          <w:sz w:val="24"/>
          <w:szCs w:val="24"/>
        </w:rPr>
        <w:t>Top 10 Most</w:t>
      </w:r>
      <w:r w:rsidR="00AF08BE" w:rsidRPr="00A02F3E">
        <w:rPr>
          <w:rFonts w:ascii="Arial" w:hAnsi="Arial" w:cs="Arial"/>
          <w:i/>
          <w:iCs/>
          <w:color w:val="auto"/>
          <w:sz w:val="24"/>
          <w:szCs w:val="24"/>
        </w:rPr>
        <w:t xml:space="preserve"> Frequently</w:t>
      </w:r>
      <w:r w:rsidRPr="00A02F3E">
        <w:rPr>
          <w:rFonts w:ascii="Arial" w:hAnsi="Arial" w:cs="Arial"/>
          <w:i/>
          <w:iCs/>
          <w:color w:val="auto"/>
          <w:sz w:val="24"/>
          <w:szCs w:val="24"/>
        </w:rPr>
        <w:t xml:space="preserve"> Prescribed Medicines</w:t>
      </w:r>
      <w:bookmarkEnd w:id="12"/>
    </w:p>
    <w:p w14:paraId="663AA348" w14:textId="7296F298" w:rsidR="003E0201" w:rsidRPr="00A02F3E" w:rsidRDefault="003E0201" w:rsidP="00F66B3A">
      <w:pPr>
        <w:spacing w:line="276" w:lineRule="auto"/>
        <w:jc w:val="both"/>
        <w:rPr>
          <w:rFonts w:ascii="Arial" w:hAnsi="Arial" w:cs="Arial"/>
        </w:rPr>
      </w:pPr>
    </w:p>
    <w:p w14:paraId="099D7171" w14:textId="426681CB" w:rsidR="00B730DE" w:rsidRPr="00A02F3E" w:rsidRDefault="00AF08BE" w:rsidP="00F66B3A">
      <w:pPr>
        <w:spacing w:line="276" w:lineRule="auto"/>
        <w:jc w:val="both"/>
        <w:rPr>
          <w:rFonts w:ascii="Arial" w:hAnsi="Arial" w:cs="Arial"/>
        </w:rPr>
      </w:pPr>
      <w:r w:rsidRPr="00A02F3E">
        <w:rPr>
          <w:rFonts w:ascii="Arial" w:hAnsi="Arial" w:cs="Arial"/>
        </w:rPr>
        <w:t xml:space="preserve">A summary of the temporal variances in the most frequently prescribed medicines and the respective number of units are summarised in Table 1. During the most recent data point of April 2026, the top 10 most frequently prescribed medicines included paracetamol, heparin, generic Ensure, generic </w:t>
      </w:r>
      <w:proofErr w:type="spellStart"/>
      <w:r w:rsidRPr="00A02F3E">
        <w:rPr>
          <w:rFonts w:ascii="Arial" w:hAnsi="Arial" w:cs="Arial"/>
        </w:rPr>
        <w:t>Jevity</w:t>
      </w:r>
      <w:proofErr w:type="spellEnd"/>
      <w:r w:rsidRPr="00A02F3E">
        <w:rPr>
          <w:rFonts w:ascii="Arial" w:hAnsi="Arial" w:cs="Arial"/>
        </w:rPr>
        <w:t xml:space="preserve">, generic </w:t>
      </w:r>
      <w:proofErr w:type="spellStart"/>
      <w:r w:rsidRPr="00A02F3E">
        <w:rPr>
          <w:rFonts w:ascii="Arial" w:hAnsi="Arial" w:cs="Arial"/>
        </w:rPr>
        <w:t>Fresubin</w:t>
      </w:r>
      <w:proofErr w:type="spellEnd"/>
      <w:r w:rsidRPr="00A02F3E">
        <w:rPr>
          <w:rFonts w:ascii="Arial" w:hAnsi="Arial" w:cs="Arial"/>
        </w:rPr>
        <w:t xml:space="preserve">, generic </w:t>
      </w:r>
      <w:proofErr w:type="spellStart"/>
      <w:r w:rsidRPr="00A02F3E">
        <w:rPr>
          <w:rFonts w:ascii="Arial" w:hAnsi="Arial" w:cs="Arial"/>
        </w:rPr>
        <w:t>Fortisip</w:t>
      </w:r>
      <w:proofErr w:type="spellEnd"/>
      <w:r w:rsidRPr="00A02F3E">
        <w:rPr>
          <w:rFonts w:ascii="Arial" w:hAnsi="Arial" w:cs="Arial"/>
        </w:rPr>
        <w:t xml:space="preserve">, </w:t>
      </w:r>
      <w:proofErr w:type="spellStart"/>
      <w:r w:rsidRPr="00A02F3E">
        <w:rPr>
          <w:rFonts w:ascii="Arial" w:hAnsi="Arial" w:cs="Arial"/>
        </w:rPr>
        <w:t>chlorhexidine</w:t>
      </w:r>
      <w:proofErr w:type="spellEnd"/>
      <w:r w:rsidRPr="00A02F3E">
        <w:rPr>
          <w:rFonts w:ascii="Arial" w:hAnsi="Arial" w:cs="Arial"/>
        </w:rPr>
        <w:t xml:space="preserve"> mouthwash, metronidazole, lactulose and clozapine. The number of units prescribed for these medicines varied from 574,700 to 2.3 million. </w:t>
      </w:r>
      <w:r w:rsidR="00B730DE" w:rsidRPr="00A02F3E">
        <w:rPr>
          <w:rFonts w:ascii="Arial" w:hAnsi="Arial" w:cs="Arial"/>
        </w:rPr>
        <w:t xml:space="preserve">Notably, paracetamol, nutritional supplements, such as Ensure and </w:t>
      </w:r>
      <w:proofErr w:type="spellStart"/>
      <w:r w:rsidR="00B730DE" w:rsidRPr="00A02F3E">
        <w:rPr>
          <w:rFonts w:ascii="Arial" w:hAnsi="Arial" w:cs="Arial"/>
        </w:rPr>
        <w:t>Fortisip</w:t>
      </w:r>
      <w:proofErr w:type="spellEnd"/>
      <w:r w:rsidR="00B730DE" w:rsidRPr="00A02F3E">
        <w:rPr>
          <w:rFonts w:ascii="Arial" w:hAnsi="Arial" w:cs="Arial"/>
        </w:rPr>
        <w:t xml:space="preserve">, heparin and metronidazole, remained most consistently within the most frequently prescribed medicines in earlier years. During April 2025, the top 10 most frequently prescribed medicines were generic </w:t>
      </w:r>
      <w:proofErr w:type="spellStart"/>
      <w:r w:rsidR="00B730DE" w:rsidRPr="00A02F3E">
        <w:rPr>
          <w:rFonts w:ascii="Arial" w:hAnsi="Arial" w:cs="Arial"/>
        </w:rPr>
        <w:t>Diprobase</w:t>
      </w:r>
      <w:proofErr w:type="spellEnd"/>
      <w:r w:rsidR="00B730DE" w:rsidRPr="00A02F3E">
        <w:rPr>
          <w:rFonts w:ascii="Arial" w:hAnsi="Arial" w:cs="Arial"/>
        </w:rPr>
        <w:t xml:space="preserve"> cream, paraffin ointment, paracetamol, lactulose, generic Ensure, generic </w:t>
      </w:r>
      <w:proofErr w:type="spellStart"/>
      <w:r w:rsidR="00B730DE" w:rsidRPr="00A02F3E">
        <w:rPr>
          <w:rFonts w:ascii="Arial" w:hAnsi="Arial" w:cs="Arial"/>
        </w:rPr>
        <w:t>Fortisip</w:t>
      </w:r>
      <w:proofErr w:type="spellEnd"/>
      <w:r w:rsidR="00B730DE" w:rsidRPr="00A02F3E">
        <w:rPr>
          <w:rFonts w:ascii="Arial" w:hAnsi="Arial" w:cs="Arial"/>
        </w:rPr>
        <w:t xml:space="preserve">, heparin, generic </w:t>
      </w:r>
      <w:proofErr w:type="spellStart"/>
      <w:r w:rsidR="00B730DE" w:rsidRPr="00A02F3E">
        <w:rPr>
          <w:rFonts w:ascii="Arial" w:hAnsi="Arial" w:cs="Arial"/>
        </w:rPr>
        <w:t>Fresubin</w:t>
      </w:r>
      <w:proofErr w:type="spellEnd"/>
      <w:r w:rsidR="00B730DE" w:rsidRPr="00A02F3E">
        <w:rPr>
          <w:rFonts w:ascii="Arial" w:hAnsi="Arial" w:cs="Arial"/>
        </w:rPr>
        <w:t xml:space="preserve">, metronidazole and generic Jevity. The number of units prescribed for these medicines varied from 784,000 to 5.2 million. </w:t>
      </w:r>
    </w:p>
    <w:p w14:paraId="744ED074" w14:textId="77777777" w:rsidR="00B730DE" w:rsidRPr="00A02F3E" w:rsidRDefault="00B730DE" w:rsidP="00F66B3A">
      <w:pPr>
        <w:spacing w:line="276" w:lineRule="auto"/>
        <w:jc w:val="both"/>
        <w:rPr>
          <w:rFonts w:ascii="Arial" w:hAnsi="Arial" w:cs="Arial"/>
        </w:rPr>
      </w:pPr>
    </w:p>
    <w:p w14:paraId="38C83890" w14:textId="724AE342" w:rsidR="007E5FFF" w:rsidRPr="00A02F3E" w:rsidRDefault="00B730DE" w:rsidP="00F66B3A">
      <w:pPr>
        <w:spacing w:line="276" w:lineRule="auto"/>
        <w:jc w:val="both"/>
        <w:rPr>
          <w:rFonts w:ascii="Arial" w:hAnsi="Arial" w:cs="Arial"/>
        </w:rPr>
      </w:pPr>
      <w:r w:rsidRPr="00A02F3E">
        <w:rPr>
          <w:rFonts w:ascii="Arial" w:hAnsi="Arial" w:cs="Arial"/>
        </w:rPr>
        <w:t xml:space="preserve">During April 2024, the top 10 most frequently prescribed medicines were generic </w:t>
      </w:r>
      <w:proofErr w:type="spellStart"/>
      <w:r w:rsidRPr="00A02F3E">
        <w:rPr>
          <w:rFonts w:ascii="Arial" w:hAnsi="Arial" w:cs="Arial"/>
        </w:rPr>
        <w:t>Diprobase</w:t>
      </w:r>
      <w:proofErr w:type="spellEnd"/>
      <w:r w:rsidRPr="00A02F3E">
        <w:rPr>
          <w:rFonts w:ascii="Arial" w:hAnsi="Arial" w:cs="Arial"/>
        </w:rPr>
        <w:t xml:space="preserve"> cream, generic </w:t>
      </w:r>
      <w:proofErr w:type="spellStart"/>
      <w:r w:rsidRPr="00A02F3E">
        <w:rPr>
          <w:rFonts w:ascii="Arial" w:hAnsi="Arial" w:cs="Arial"/>
        </w:rPr>
        <w:t>Nutrison</w:t>
      </w:r>
      <w:proofErr w:type="spellEnd"/>
      <w:r w:rsidRPr="00A02F3E">
        <w:rPr>
          <w:rFonts w:ascii="Arial" w:hAnsi="Arial" w:cs="Arial"/>
        </w:rPr>
        <w:t xml:space="preserve">, paraffin ointment, </w:t>
      </w:r>
      <w:proofErr w:type="spellStart"/>
      <w:r w:rsidRPr="00A02F3E">
        <w:rPr>
          <w:rFonts w:ascii="Arial" w:hAnsi="Arial" w:cs="Arial"/>
        </w:rPr>
        <w:t>paracetamol</w:t>
      </w:r>
      <w:proofErr w:type="spellEnd"/>
      <w:r w:rsidRPr="00A02F3E">
        <w:rPr>
          <w:rFonts w:ascii="Arial" w:hAnsi="Arial" w:cs="Arial"/>
        </w:rPr>
        <w:t xml:space="preserve">, generic </w:t>
      </w:r>
      <w:proofErr w:type="spellStart"/>
      <w:r w:rsidRPr="00A02F3E">
        <w:rPr>
          <w:rFonts w:ascii="Arial" w:hAnsi="Arial" w:cs="Arial"/>
        </w:rPr>
        <w:t>Fortisip</w:t>
      </w:r>
      <w:proofErr w:type="spellEnd"/>
      <w:r w:rsidRPr="00A02F3E">
        <w:rPr>
          <w:rFonts w:ascii="Arial" w:hAnsi="Arial" w:cs="Arial"/>
        </w:rPr>
        <w:t>, generic Ensure, sodium feredetate, metronidazole, glyceryl trinitrate and generic Jevity. The number of units prescribed for these medicines varied from 709,000 to 6.2 million.</w:t>
      </w:r>
      <w:r w:rsidR="00AC1F4F" w:rsidRPr="00A02F3E">
        <w:rPr>
          <w:rFonts w:ascii="Arial" w:hAnsi="Arial" w:cs="Arial"/>
        </w:rPr>
        <w:t xml:space="preserve"> </w:t>
      </w:r>
      <w:r w:rsidR="00361133" w:rsidRPr="00A02F3E">
        <w:rPr>
          <w:rFonts w:ascii="Arial" w:hAnsi="Arial" w:cs="Arial"/>
        </w:rPr>
        <w:t>During April 2023, the top 10 most frequently prescribed medicines were</w:t>
      </w:r>
      <w:r w:rsidR="008B389B" w:rsidRPr="00A02F3E">
        <w:rPr>
          <w:rFonts w:ascii="Arial" w:hAnsi="Arial" w:cs="Arial"/>
        </w:rPr>
        <w:t xml:space="preserve"> generic </w:t>
      </w:r>
      <w:proofErr w:type="spellStart"/>
      <w:r w:rsidR="008B389B" w:rsidRPr="00A02F3E">
        <w:rPr>
          <w:rFonts w:ascii="Arial" w:hAnsi="Arial" w:cs="Arial"/>
        </w:rPr>
        <w:t>Epimax</w:t>
      </w:r>
      <w:proofErr w:type="spellEnd"/>
      <w:r w:rsidR="008B389B" w:rsidRPr="00A02F3E">
        <w:rPr>
          <w:rFonts w:ascii="Arial" w:hAnsi="Arial" w:cs="Arial"/>
        </w:rPr>
        <w:t xml:space="preserve"> cream, generic </w:t>
      </w:r>
      <w:proofErr w:type="spellStart"/>
      <w:r w:rsidR="008B389B" w:rsidRPr="00A02F3E">
        <w:rPr>
          <w:rFonts w:ascii="Arial" w:hAnsi="Arial" w:cs="Arial"/>
        </w:rPr>
        <w:t>Nutrison</w:t>
      </w:r>
      <w:proofErr w:type="spellEnd"/>
      <w:r w:rsidR="008B389B" w:rsidRPr="00A02F3E">
        <w:rPr>
          <w:rFonts w:ascii="Arial" w:hAnsi="Arial" w:cs="Arial"/>
        </w:rPr>
        <w:t xml:space="preserve">, alginate raft, </w:t>
      </w:r>
      <w:proofErr w:type="spellStart"/>
      <w:r w:rsidR="008B389B" w:rsidRPr="00A02F3E">
        <w:rPr>
          <w:rFonts w:ascii="Arial" w:hAnsi="Arial" w:cs="Arial"/>
        </w:rPr>
        <w:t>paracetamol</w:t>
      </w:r>
      <w:proofErr w:type="spellEnd"/>
      <w:r w:rsidR="008B389B" w:rsidRPr="00A02F3E">
        <w:rPr>
          <w:rFonts w:ascii="Arial" w:hAnsi="Arial" w:cs="Arial"/>
        </w:rPr>
        <w:t xml:space="preserve">, generic </w:t>
      </w:r>
      <w:proofErr w:type="spellStart"/>
      <w:r w:rsidR="008B389B" w:rsidRPr="00A02F3E">
        <w:rPr>
          <w:rFonts w:ascii="Arial" w:hAnsi="Arial" w:cs="Arial"/>
        </w:rPr>
        <w:t>Diprobase</w:t>
      </w:r>
      <w:proofErr w:type="spellEnd"/>
      <w:r w:rsidR="008B389B" w:rsidRPr="00A02F3E">
        <w:rPr>
          <w:rFonts w:ascii="Arial" w:hAnsi="Arial" w:cs="Arial"/>
        </w:rPr>
        <w:t xml:space="preserve"> cream, generic </w:t>
      </w:r>
      <w:proofErr w:type="spellStart"/>
      <w:r w:rsidR="008B389B" w:rsidRPr="00A02F3E">
        <w:rPr>
          <w:rFonts w:ascii="Arial" w:hAnsi="Arial" w:cs="Arial"/>
        </w:rPr>
        <w:t>Fortisip</w:t>
      </w:r>
      <w:proofErr w:type="spellEnd"/>
      <w:r w:rsidR="008B389B" w:rsidRPr="00A02F3E">
        <w:rPr>
          <w:rFonts w:ascii="Arial" w:hAnsi="Arial" w:cs="Arial"/>
        </w:rPr>
        <w:t xml:space="preserve">, generic Ensure, simple linctus, metronidazole and generic Jevity. </w:t>
      </w:r>
      <w:r w:rsidR="00824359" w:rsidRPr="00A02F3E">
        <w:rPr>
          <w:rFonts w:ascii="Arial" w:hAnsi="Arial" w:cs="Arial"/>
        </w:rPr>
        <w:t xml:space="preserve">The number of units prescribed for these medicines varied from </w:t>
      </w:r>
      <w:r w:rsidR="00824359" w:rsidRPr="00A02F3E">
        <w:rPr>
          <w:rFonts w:ascii="Arial" w:hAnsi="Arial" w:cs="Arial"/>
        </w:rPr>
        <w:lastRenderedPageBreak/>
        <w:t xml:space="preserve">904,000 to </w:t>
      </w:r>
      <w:r w:rsidR="0098153D" w:rsidRPr="00A02F3E">
        <w:rPr>
          <w:rFonts w:ascii="Arial" w:hAnsi="Arial" w:cs="Arial"/>
        </w:rPr>
        <w:t>12.6</w:t>
      </w:r>
      <w:r w:rsidR="00824359" w:rsidRPr="00A02F3E">
        <w:rPr>
          <w:rFonts w:ascii="Arial" w:hAnsi="Arial" w:cs="Arial"/>
        </w:rPr>
        <w:t xml:space="preserve"> million.</w:t>
      </w:r>
      <w:r w:rsidR="00AC1F4F" w:rsidRPr="00A02F3E">
        <w:rPr>
          <w:rFonts w:ascii="Arial" w:hAnsi="Arial" w:cs="Arial"/>
        </w:rPr>
        <w:t xml:space="preserve"> </w:t>
      </w:r>
      <w:r w:rsidR="0098153D" w:rsidRPr="00A02F3E">
        <w:rPr>
          <w:rFonts w:ascii="Arial" w:hAnsi="Arial" w:cs="Arial"/>
        </w:rPr>
        <w:t xml:space="preserve">During April 2022, the top 10 most frequently prescribed medicines were generic </w:t>
      </w:r>
      <w:proofErr w:type="spellStart"/>
      <w:r w:rsidR="0098153D" w:rsidRPr="00A02F3E">
        <w:rPr>
          <w:rFonts w:ascii="Arial" w:hAnsi="Arial" w:cs="Arial"/>
        </w:rPr>
        <w:t>Epimax</w:t>
      </w:r>
      <w:proofErr w:type="spellEnd"/>
      <w:r w:rsidR="0098153D" w:rsidRPr="00A02F3E">
        <w:rPr>
          <w:rFonts w:ascii="Arial" w:hAnsi="Arial" w:cs="Arial"/>
        </w:rPr>
        <w:t xml:space="preserve"> cream, generic </w:t>
      </w:r>
      <w:proofErr w:type="spellStart"/>
      <w:r w:rsidR="0098153D" w:rsidRPr="00A02F3E">
        <w:rPr>
          <w:rFonts w:ascii="Arial" w:hAnsi="Arial" w:cs="Arial"/>
        </w:rPr>
        <w:t>Nutrison</w:t>
      </w:r>
      <w:proofErr w:type="spellEnd"/>
      <w:r w:rsidR="0098153D" w:rsidRPr="00A02F3E">
        <w:rPr>
          <w:rFonts w:ascii="Arial" w:hAnsi="Arial" w:cs="Arial"/>
        </w:rPr>
        <w:t xml:space="preserve">, </w:t>
      </w:r>
      <w:proofErr w:type="spellStart"/>
      <w:r w:rsidR="0098153D" w:rsidRPr="00A02F3E">
        <w:rPr>
          <w:rFonts w:ascii="Arial" w:hAnsi="Arial" w:cs="Arial"/>
        </w:rPr>
        <w:t>paracetamol</w:t>
      </w:r>
      <w:proofErr w:type="spellEnd"/>
      <w:r w:rsidR="0098153D" w:rsidRPr="00A02F3E">
        <w:rPr>
          <w:rFonts w:ascii="Arial" w:hAnsi="Arial" w:cs="Arial"/>
        </w:rPr>
        <w:t xml:space="preserve">, generic </w:t>
      </w:r>
      <w:proofErr w:type="spellStart"/>
      <w:r w:rsidR="0098153D" w:rsidRPr="00A02F3E">
        <w:rPr>
          <w:rFonts w:ascii="Arial" w:hAnsi="Arial" w:cs="Arial"/>
        </w:rPr>
        <w:t>Cetraben</w:t>
      </w:r>
      <w:proofErr w:type="spellEnd"/>
      <w:r w:rsidR="0098153D" w:rsidRPr="00A02F3E">
        <w:rPr>
          <w:rFonts w:ascii="Arial" w:hAnsi="Arial" w:cs="Arial"/>
        </w:rPr>
        <w:t xml:space="preserve">, generic </w:t>
      </w:r>
      <w:proofErr w:type="spellStart"/>
      <w:r w:rsidR="0098153D" w:rsidRPr="00A02F3E">
        <w:rPr>
          <w:rFonts w:ascii="Arial" w:hAnsi="Arial" w:cs="Arial"/>
        </w:rPr>
        <w:t>Jevity</w:t>
      </w:r>
      <w:proofErr w:type="spellEnd"/>
      <w:r w:rsidR="0098153D" w:rsidRPr="00A02F3E">
        <w:rPr>
          <w:rFonts w:ascii="Arial" w:hAnsi="Arial" w:cs="Arial"/>
        </w:rPr>
        <w:t xml:space="preserve">, generic </w:t>
      </w:r>
      <w:proofErr w:type="spellStart"/>
      <w:r w:rsidR="0098153D" w:rsidRPr="00A02F3E">
        <w:rPr>
          <w:rFonts w:ascii="Arial" w:hAnsi="Arial" w:cs="Arial"/>
        </w:rPr>
        <w:t>Fortisip</w:t>
      </w:r>
      <w:proofErr w:type="spellEnd"/>
      <w:r w:rsidR="0098153D" w:rsidRPr="00A02F3E">
        <w:rPr>
          <w:rFonts w:ascii="Arial" w:hAnsi="Arial" w:cs="Arial"/>
        </w:rPr>
        <w:t xml:space="preserve">, alginate raft, simple linctus, </w:t>
      </w:r>
      <w:proofErr w:type="spellStart"/>
      <w:r w:rsidR="0098153D" w:rsidRPr="00A02F3E">
        <w:rPr>
          <w:rFonts w:ascii="Arial" w:hAnsi="Arial" w:cs="Arial"/>
        </w:rPr>
        <w:t>Enlive</w:t>
      </w:r>
      <w:proofErr w:type="spellEnd"/>
      <w:r w:rsidR="0098153D" w:rsidRPr="00A02F3E">
        <w:rPr>
          <w:rFonts w:ascii="Arial" w:hAnsi="Arial" w:cs="Arial"/>
        </w:rPr>
        <w:t xml:space="preserve"> liquid and generic Ensure. The number of units prescribed for these medicines varied from 1.4 million to 16.3 million.</w:t>
      </w:r>
      <w:r w:rsidR="007E5FFF" w:rsidRPr="00A02F3E">
        <w:rPr>
          <w:rFonts w:ascii="Arial" w:hAnsi="Arial" w:cs="Arial"/>
        </w:rPr>
        <w:t xml:space="preserve"> During April 2021, the top 10 most frequently prescribed medicines were generic </w:t>
      </w:r>
      <w:proofErr w:type="spellStart"/>
      <w:r w:rsidR="007E5FFF" w:rsidRPr="00A02F3E">
        <w:rPr>
          <w:rFonts w:ascii="Arial" w:hAnsi="Arial" w:cs="Arial"/>
        </w:rPr>
        <w:t>Epimax</w:t>
      </w:r>
      <w:proofErr w:type="spellEnd"/>
      <w:r w:rsidR="007E5FFF" w:rsidRPr="00A02F3E">
        <w:rPr>
          <w:rFonts w:ascii="Arial" w:hAnsi="Arial" w:cs="Arial"/>
        </w:rPr>
        <w:t xml:space="preserve"> cream, lactulose, melatonin, generic </w:t>
      </w:r>
      <w:proofErr w:type="spellStart"/>
      <w:r w:rsidR="007E5FFF" w:rsidRPr="00A02F3E">
        <w:rPr>
          <w:rFonts w:ascii="Arial" w:hAnsi="Arial" w:cs="Arial"/>
        </w:rPr>
        <w:t>Nutrison</w:t>
      </w:r>
      <w:proofErr w:type="spellEnd"/>
      <w:r w:rsidR="007E5FFF" w:rsidRPr="00A02F3E">
        <w:rPr>
          <w:rFonts w:ascii="Arial" w:hAnsi="Arial" w:cs="Arial"/>
        </w:rPr>
        <w:t xml:space="preserve">, generic </w:t>
      </w:r>
      <w:proofErr w:type="spellStart"/>
      <w:r w:rsidR="007E5FFF" w:rsidRPr="00A02F3E">
        <w:rPr>
          <w:rFonts w:ascii="Arial" w:hAnsi="Arial" w:cs="Arial"/>
        </w:rPr>
        <w:t>Diprobase</w:t>
      </w:r>
      <w:proofErr w:type="spellEnd"/>
      <w:r w:rsidR="007E5FFF" w:rsidRPr="00A02F3E">
        <w:rPr>
          <w:rFonts w:ascii="Arial" w:hAnsi="Arial" w:cs="Arial"/>
        </w:rPr>
        <w:t xml:space="preserve"> cream, </w:t>
      </w:r>
      <w:proofErr w:type="spellStart"/>
      <w:r w:rsidR="007E5FFF" w:rsidRPr="00A02F3E">
        <w:rPr>
          <w:rFonts w:ascii="Arial" w:hAnsi="Arial" w:cs="Arial"/>
        </w:rPr>
        <w:t>Nevirapine</w:t>
      </w:r>
      <w:proofErr w:type="spellEnd"/>
      <w:r w:rsidR="007E5FFF" w:rsidRPr="00A02F3E">
        <w:rPr>
          <w:rFonts w:ascii="Arial" w:hAnsi="Arial" w:cs="Arial"/>
        </w:rPr>
        <w:t xml:space="preserve">, </w:t>
      </w:r>
      <w:proofErr w:type="spellStart"/>
      <w:r w:rsidR="007E5FFF" w:rsidRPr="00A02F3E">
        <w:rPr>
          <w:rFonts w:ascii="Arial" w:hAnsi="Arial" w:cs="Arial"/>
        </w:rPr>
        <w:t>paracetamol</w:t>
      </w:r>
      <w:proofErr w:type="spellEnd"/>
      <w:r w:rsidR="007E5FFF" w:rsidRPr="00A02F3E">
        <w:rPr>
          <w:rFonts w:ascii="Arial" w:hAnsi="Arial" w:cs="Arial"/>
        </w:rPr>
        <w:t xml:space="preserve">, generic </w:t>
      </w:r>
      <w:proofErr w:type="spellStart"/>
      <w:r w:rsidR="007E5FFF" w:rsidRPr="00A02F3E">
        <w:rPr>
          <w:rFonts w:ascii="Arial" w:hAnsi="Arial" w:cs="Arial"/>
        </w:rPr>
        <w:t>Fresubin</w:t>
      </w:r>
      <w:proofErr w:type="spellEnd"/>
      <w:r w:rsidR="007E5FFF" w:rsidRPr="00A02F3E">
        <w:rPr>
          <w:rFonts w:ascii="Arial" w:hAnsi="Arial" w:cs="Arial"/>
        </w:rPr>
        <w:t xml:space="preserve">, alginate raft and generic </w:t>
      </w:r>
      <w:proofErr w:type="spellStart"/>
      <w:r w:rsidR="007E5FFF" w:rsidRPr="00A02F3E">
        <w:rPr>
          <w:rFonts w:ascii="Arial" w:hAnsi="Arial" w:cs="Arial"/>
        </w:rPr>
        <w:t>Fortisip</w:t>
      </w:r>
      <w:proofErr w:type="spellEnd"/>
      <w:r w:rsidR="007E5FFF" w:rsidRPr="00A02F3E">
        <w:rPr>
          <w:rFonts w:ascii="Arial" w:hAnsi="Arial" w:cs="Arial"/>
        </w:rPr>
        <w:t xml:space="preserve">. The number of units prescribed for these medicines varied from 1.0 million to 14.6 million. </w:t>
      </w:r>
    </w:p>
    <w:p w14:paraId="3ED627F8" w14:textId="77777777" w:rsidR="007E5FFF" w:rsidRPr="00A02F3E" w:rsidRDefault="007E5FFF" w:rsidP="00F66B3A">
      <w:pPr>
        <w:spacing w:line="276" w:lineRule="auto"/>
        <w:jc w:val="both"/>
        <w:rPr>
          <w:rFonts w:ascii="Arial" w:hAnsi="Arial" w:cs="Arial"/>
        </w:rPr>
      </w:pPr>
    </w:p>
    <w:p w14:paraId="0B401BF5" w14:textId="7A5879A1" w:rsidR="00834B80" w:rsidRPr="00F66B3A" w:rsidRDefault="00AC1F4F" w:rsidP="00F66B3A">
      <w:pPr>
        <w:spacing w:line="276" w:lineRule="auto"/>
        <w:jc w:val="both"/>
        <w:rPr>
          <w:rFonts w:ascii="Baskerville" w:hAnsi="Baskerville"/>
        </w:rPr>
      </w:pPr>
      <w:bookmarkStart w:id="16" w:name="OLE_LINK2"/>
      <w:r w:rsidRPr="00A02F3E">
        <w:rPr>
          <w:rFonts w:ascii="Arial" w:hAnsi="Arial" w:cs="Arial"/>
        </w:rPr>
        <w:t>The total number of units prescribed among the top 10 most frequently prescribed medicines observed a generally declining trend over time. The highest number of units amounted to 32.3 million during April 2021 and this declined markedly to 13.4 million as of April 2026</w:t>
      </w:r>
      <w:r w:rsidR="00A271A4" w:rsidRPr="00A02F3E">
        <w:rPr>
          <w:rFonts w:ascii="Arial" w:hAnsi="Arial" w:cs="Arial"/>
        </w:rPr>
        <w:t>, representing a 58.5% decrease</w:t>
      </w:r>
      <w:r w:rsidRPr="00A02F3E">
        <w:rPr>
          <w:rFonts w:ascii="Arial" w:hAnsi="Arial" w:cs="Arial"/>
        </w:rPr>
        <w:t xml:space="preserve">. </w:t>
      </w:r>
      <w:bookmarkStart w:id="17" w:name="OLE_LINK1"/>
      <w:r w:rsidR="00834B80" w:rsidRPr="00A02F3E">
        <w:rPr>
          <w:rFonts w:ascii="Arial" w:hAnsi="Arial" w:cs="Arial"/>
        </w:rPr>
        <w:t xml:space="preserve">The temporal trends in this data are shown in Figure 1. </w:t>
      </w:r>
      <w:bookmarkEnd w:id="17"/>
    </w:p>
    <w:bookmarkEnd w:id="16"/>
    <w:p w14:paraId="50069F52" w14:textId="291ADE63" w:rsidR="00B331BF" w:rsidRPr="00F66B3A" w:rsidRDefault="00B331BF" w:rsidP="00F66B3A">
      <w:pPr>
        <w:spacing w:line="276" w:lineRule="auto"/>
        <w:jc w:val="both"/>
        <w:rPr>
          <w:rFonts w:ascii="Baskerville" w:hAnsi="Baskerville"/>
        </w:rPr>
      </w:pPr>
    </w:p>
    <w:p w14:paraId="06D24E64" w14:textId="420A9AC7" w:rsidR="00B331BF" w:rsidRPr="00F66B3A" w:rsidRDefault="00DF2690" w:rsidP="00F66B3A">
      <w:pPr>
        <w:spacing w:line="276" w:lineRule="auto"/>
        <w:jc w:val="both"/>
        <w:rPr>
          <w:rFonts w:ascii="Baskerville" w:hAnsi="Baskerville"/>
        </w:rPr>
      </w:pPr>
      <w:r w:rsidRPr="00F66B3A">
        <w:rPr>
          <w:rFonts w:ascii="Baskerville" w:hAnsi="Baskerville"/>
          <w:noProof/>
        </w:rPr>
        <w:drawing>
          <wp:inline distT="0" distB="0" distL="0" distR="0" wp14:anchorId="2BE08F99" wp14:editId="3B60D628">
            <wp:extent cx="4768850" cy="3181350"/>
            <wp:effectExtent l="0" t="0" r="6350" b="6350"/>
            <wp:docPr id="1"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004BD7-C0BF-D741-80B8-730F92C268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625984" w14:textId="3B7812CD" w:rsidR="00DF2690" w:rsidRPr="00A02F3E" w:rsidRDefault="00DF2690" w:rsidP="00F66B3A">
      <w:pPr>
        <w:spacing w:line="276" w:lineRule="auto"/>
        <w:jc w:val="both"/>
        <w:rPr>
          <w:rFonts w:ascii="Arial" w:hAnsi="Arial" w:cs="Arial"/>
        </w:rPr>
      </w:pPr>
      <w:proofErr w:type="gramStart"/>
      <w:r w:rsidRPr="00A02F3E">
        <w:rPr>
          <w:rFonts w:ascii="Arial" w:hAnsi="Arial" w:cs="Arial"/>
        </w:rPr>
        <w:t>Figure 1.</w:t>
      </w:r>
      <w:proofErr w:type="gramEnd"/>
      <w:r w:rsidRPr="00A02F3E">
        <w:rPr>
          <w:rFonts w:ascii="Arial" w:hAnsi="Arial" w:cs="Arial"/>
        </w:rPr>
        <w:t xml:space="preserve"> Temporal trends in the total number of units prescribed of the top 10 most frequently prescribed medicines</w:t>
      </w:r>
    </w:p>
    <w:p w14:paraId="23576FB9" w14:textId="77777777" w:rsidR="00834B80" w:rsidRPr="00A02F3E" w:rsidRDefault="00834B80" w:rsidP="00F66B3A">
      <w:pPr>
        <w:spacing w:line="276" w:lineRule="auto"/>
        <w:jc w:val="both"/>
        <w:rPr>
          <w:rFonts w:ascii="Arial" w:hAnsi="Arial" w:cs="Arial"/>
        </w:rPr>
      </w:pPr>
    </w:p>
    <w:p w14:paraId="1AA79E03" w14:textId="77777777" w:rsidR="00834B80" w:rsidRPr="00A02F3E" w:rsidRDefault="00834B80" w:rsidP="00F66B3A">
      <w:pPr>
        <w:spacing w:line="276" w:lineRule="auto"/>
        <w:jc w:val="both"/>
        <w:rPr>
          <w:rFonts w:ascii="Arial" w:hAnsi="Arial" w:cs="Arial"/>
        </w:rPr>
      </w:pPr>
    </w:p>
    <w:p w14:paraId="1521782E" w14:textId="41C00AE9" w:rsidR="00AC1F4F" w:rsidRPr="00F66B3A" w:rsidRDefault="00834B80" w:rsidP="00F66B3A">
      <w:pPr>
        <w:spacing w:line="276" w:lineRule="auto"/>
        <w:jc w:val="both"/>
        <w:rPr>
          <w:rFonts w:ascii="Baskerville" w:hAnsi="Baskerville"/>
        </w:rPr>
      </w:pPr>
      <w:r w:rsidRPr="00A02F3E">
        <w:rPr>
          <w:rFonts w:ascii="Arial" w:hAnsi="Arial" w:cs="Arial"/>
        </w:rPr>
        <w:t>The total cost of the top 10 most frequently prescribed medicines also observed a progressively declining trend with time. The total cost amounted to 1.9 million during April 2021 and decreased over the years to 673,348 during April 2026</w:t>
      </w:r>
      <w:r w:rsidR="00A271A4" w:rsidRPr="00A02F3E">
        <w:rPr>
          <w:rFonts w:ascii="Arial" w:hAnsi="Arial" w:cs="Arial"/>
        </w:rPr>
        <w:t>, reflecting a 64.6% decrease</w:t>
      </w:r>
      <w:r w:rsidRPr="00A02F3E">
        <w:rPr>
          <w:rFonts w:ascii="Arial" w:hAnsi="Arial" w:cs="Arial"/>
        </w:rPr>
        <w:t xml:space="preserve">. </w:t>
      </w:r>
      <w:r w:rsidR="00CE0859" w:rsidRPr="00A02F3E">
        <w:rPr>
          <w:rFonts w:ascii="Arial" w:hAnsi="Arial" w:cs="Arial"/>
        </w:rPr>
        <w:t>The temporal trends in this data are shown in Figure 2.</w:t>
      </w:r>
    </w:p>
    <w:p w14:paraId="300C9EA2" w14:textId="6BB1CD5F" w:rsidR="00DF2690" w:rsidRPr="00F66B3A" w:rsidRDefault="00DF2690" w:rsidP="00F66B3A">
      <w:pPr>
        <w:spacing w:line="276" w:lineRule="auto"/>
        <w:jc w:val="both"/>
        <w:rPr>
          <w:rFonts w:ascii="Baskerville" w:hAnsi="Baskerville"/>
        </w:rPr>
      </w:pPr>
    </w:p>
    <w:p w14:paraId="1F20951F" w14:textId="40059769" w:rsidR="00DF2690" w:rsidRPr="00F66B3A" w:rsidRDefault="00DF2690" w:rsidP="00F66B3A">
      <w:pPr>
        <w:spacing w:line="276" w:lineRule="auto"/>
        <w:jc w:val="both"/>
        <w:rPr>
          <w:rFonts w:ascii="Baskerville" w:hAnsi="Baskerville"/>
        </w:rPr>
      </w:pPr>
    </w:p>
    <w:p w14:paraId="318E661F" w14:textId="4F293E36" w:rsidR="00DF2690" w:rsidRPr="00F66B3A" w:rsidRDefault="00DF2690" w:rsidP="00F66B3A">
      <w:pPr>
        <w:spacing w:line="276" w:lineRule="auto"/>
        <w:jc w:val="both"/>
        <w:rPr>
          <w:rFonts w:ascii="Baskerville" w:hAnsi="Baskerville"/>
        </w:rPr>
      </w:pPr>
      <w:r w:rsidRPr="00F66B3A">
        <w:rPr>
          <w:rFonts w:ascii="Baskerville" w:hAnsi="Baskerville"/>
          <w:noProof/>
        </w:rPr>
        <w:lastRenderedPageBreak/>
        <w:drawing>
          <wp:inline distT="0" distB="0" distL="0" distR="0" wp14:anchorId="6AD96C4E" wp14:editId="0D0495C6">
            <wp:extent cx="5022850" cy="3092450"/>
            <wp:effectExtent l="0" t="0" r="6350" b="6350"/>
            <wp:docPr id="9" name="Chart 9">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B0AAAB3-0B73-5943-8884-4230785BAF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7C4EC23" w14:textId="1B05EDBE" w:rsidR="00DF2690" w:rsidRPr="00A02F3E" w:rsidRDefault="00DF2690" w:rsidP="00F66B3A">
      <w:pPr>
        <w:spacing w:line="276" w:lineRule="auto"/>
        <w:jc w:val="both"/>
        <w:rPr>
          <w:rFonts w:ascii="Arial" w:hAnsi="Arial" w:cs="Arial"/>
        </w:rPr>
      </w:pPr>
      <w:proofErr w:type="gramStart"/>
      <w:r w:rsidRPr="00A02F3E">
        <w:rPr>
          <w:rFonts w:ascii="Arial" w:hAnsi="Arial" w:cs="Arial"/>
        </w:rPr>
        <w:t xml:space="preserve">Figure </w:t>
      </w:r>
      <w:r w:rsidR="007915B8" w:rsidRPr="00A02F3E">
        <w:rPr>
          <w:rFonts w:ascii="Arial" w:hAnsi="Arial" w:cs="Arial"/>
        </w:rPr>
        <w:t>2</w:t>
      </w:r>
      <w:r w:rsidRPr="00A02F3E">
        <w:rPr>
          <w:rFonts w:ascii="Arial" w:hAnsi="Arial" w:cs="Arial"/>
        </w:rPr>
        <w:t>.</w:t>
      </w:r>
      <w:proofErr w:type="gramEnd"/>
      <w:r w:rsidRPr="00A02F3E">
        <w:rPr>
          <w:rFonts w:ascii="Arial" w:hAnsi="Arial" w:cs="Arial"/>
        </w:rPr>
        <w:t xml:space="preserve"> Temporal trends in the total cost of the top 10 most frequently prescribed medicines</w:t>
      </w:r>
    </w:p>
    <w:p w14:paraId="7C448D1B" w14:textId="1E026160" w:rsidR="00DF2690" w:rsidRPr="00A02F3E" w:rsidRDefault="00DF2690" w:rsidP="00F66B3A">
      <w:pPr>
        <w:spacing w:line="276" w:lineRule="auto"/>
        <w:jc w:val="both"/>
        <w:rPr>
          <w:rFonts w:ascii="Arial" w:hAnsi="Arial" w:cs="Arial"/>
        </w:rPr>
      </w:pPr>
    </w:p>
    <w:p w14:paraId="71072750" w14:textId="77777777" w:rsidR="00122A7B" w:rsidRPr="00A02F3E" w:rsidRDefault="00122A7B" w:rsidP="00F66B3A">
      <w:pPr>
        <w:spacing w:line="276" w:lineRule="auto"/>
        <w:jc w:val="both"/>
        <w:rPr>
          <w:rFonts w:ascii="Arial" w:hAnsi="Arial" w:cs="Arial"/>
        </w:rPr>
      </w:pPr>
    </w:p>
    <w:p w14:paraId="5C5E6435" w14:textId="67D1A72C" w:rsidR="00122A7B" w:rsidRPr="00A02F3E" w:rsidRDefault="00122A7B" w:rsidP="00F66B3A">
      <w:pPr>
        <w:spacing w:line="276" w:lineRule="auto"/>
        <w:jc w:val="both"/>
        <w:rPr>
          <w:rFonts w:ascii="Arial" w:hAnsi="Arial" w:cs="Arial"/>
        </w:rPr>
      </w:pPr>
      <w:proofErr w:type="gramStart"/>
      <w:r w:rsidRPr="00A02F3E">
        <w:rPr>
          <w:rFonts w:ascii="Arial" w:hAnsi="Arial" w:cs="Arial"/>
        </w:rPr>
        <w:t>Table 1.</w:t>
      </w:r>
      <w:proofErr w:type="gramEnd"/>
      <w:r w:rsidRPr="00A02F3E">
        <w:rPr>
          <w:rFonts w:ascii="Arial" w:hAnsi="Arial" w:cs="Arial"/>
        </w:rPr>
        <w:t xml:space="preserve"> Overview of the most frequently prescribed medicines</w:t>
      </w:r>
    </w:p>
    <w:tbl>
      <w:tblPr>
        <w:tblStyle w:val="TableGrid"/>
        <w:tblW w:w="0" w:type="auto"/>
        <w:tblLook w:val="04A0" w:firstRow="1" w:lastRow="0" w:firstColumn="1" w:lastColumn="0" w:noHBand="0" w:noVBand="1"/>
      </w:tblPr>
      <w:tblGrid>
        <w:gridCol w:w="988"/>
        <w:gridCol w:w="1134"/>
        <w:gridCol w:w="1134"/>
        <w:gridCol w:w="1417"/>
        <w:gridCol w:w="1134"/>
        <w:gridCol w:w="3203"/>
      </w:tblGrid>
      <w:tr w:rsidR="00122A7B" w:rsidRPr="00A93ED3" w14:paraId="294CA6B7" w14:textId="77777777" w:rsidTr="008909D0">
        <w:tc>
          <w:tcPr>
            <w:tcW w:w="988" w:type="dxa"/>
          </w:tcPr>
          <w:p w14:paraId="2349BEC4" w14:textId="725C5427"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Time</w:t>
            </w:r>
          </w:p>
        </w:tc>
        <w:tc>
          <w:tcPr>
            <w:tcW w:w="1134" w:type="dxa"/>
          </w:tcPr>
          <w:p w14:paraId="5F283034" w14:textId="67BC6543"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Lowest Volume</w:t>
            </w:r>
            <w:r w:rsidR="004B2981" w:rsidRPr="008909D0">
              <w:rPr>
                <w:rFonts w:ascii="Baskerville" w:hAnsi="Baskerville"/>
                <w:sz w:val="20"/>
                <w:szCs w:val="20"/>
              </w:rPr>
              <w:t xml:space="preserve"> (million)</w:t>
            </w:r>
          </w:p>
        </w:tc>
        <w:tc>
          <w:tcPr>
            <w:tcW w:w="1134" w:type="dxa"/>
          </w:tcPr>
          <w:p w14:paraId="23CE3447" w14:textId="2754AA54"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Highest Volume</w:t>
            </w:r>
            <w:r w:rsidR="004B2981" w:rsidRPr="008909D0">
              <w:rPr>
                <w:rFonts w:ascii="Baskerville" w:hAnsi="Baskerville"/>
                <w:sz w:val="20"/>
                <w:szCs w:val="20"/>
              </w:rPr>
              <w:t xml:space="preserve"> (million)</w:t>
            </w:r>
          </w:p>
        </w:tc>
        <w:tc>
          <w:tcPr>
            <w:tcW w:w="1417" w:type="dxa"/>
          </w:tcPr>
          <w:p w14:paraId="38B84529" w14:textId="7EF8BC17"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Total of Top 10</w:t>
            </w:r>
            <w:r w:rsidR="004B2981" w:rsidRPr="008909D0">
              <w:rPr>
                <w:rFonts w:ascii="Baskerville" w:hAnsi="Baskerville"/>
                <w:sz w:val="20"/>
                <w:szCs w:val="20"/>
              </w:rPr>
              <w:t xml:space="preserve"> (million)</w:t>
            </w:r>
          </w:p>
        </w:tc>
        <w:tc>
          <w:tcPr>
            <w:tcW w:w="1134" w:type="dxa"/>
          </w:tcPr>
          <w:p w14:paraId="104206AC" w14:textId="5268D9E5"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Total Cost Top 10</w:t>
            </w:r>
            <w:r w:rsidR="004B2981" w:rsidRPr="008909D0">
              <w:rPr>
                <w:rFonts w:ascii="Baskerville" w:hAnsi="Baskerville"/>
                <w:sz w:val="20"/>
                <w:szCs w:val="20"/>
              </w:rPr>
              <w:t xml:space="preserve"> (million)</w:t>
            </w:r>
          </w:p>
        </w:tc>
        <w:tc>
          <w:tcPr>
            <w:tcW w:w="3203" w:type="dxa"/>
          </w:tcPr>
          <w:p w14:paraId="5006A09E" w14:textId="2FD04A3F"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Principal Medicines</w:t>
            </w:r>
          </w:p>
        </w:tc>
      </w:tr>
      <w:tr w:rsidR="00122A7B" w:rsidRPr="00A93ED3" w14:paraId="4829ACB0" w14:textId="77777777" w:rsidTr="008909D0">
        <w:tc>
          <w:tcPr>
            <w:tcW w:w="988" w:type="dxa"/>
          </w:tcPr>
          <w:p w14:paraId="7CA481BC" w14:textId="028433A6"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April 2021</w:t>
            </w:r>
          </w:p>
        </w:tc>
        <w:tc>
          <w:tcPr>
            <w:tcW w:w="1134" w:type="dxa"/>
          </w:tcPr>
          <w:p w14:paraId="4E11FF88" w14:textId="007E09B8"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1.0</w:t>
            </w:r>
          </w:p>
        </w:tc>
        <w:tc>
          <w:tcPr>
            <w:tcW w:w="1134" w:type="dxa"/>
          </w:tcPr>
          <w:p w14:paraId="2384F686" w14:textId="395DD8BA"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14.6</w:t>
            </w:r>
          </w:p>
        </w:tc>
        <w:tc>
          <w:tcPr>
            <w:tcW w:w="1417" w:type="dxa"/>
          </w:tcPr>
          <w:p w14:paraId="3EF23EA8" w14:textId="3163BCEF"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32.3</w:t>
            </w:r>
          </w:p>
        </w:tc>
        <w:tc>
          <w:tcPr>
            <w:tcW w:w="1134" w:type="dxa"/>
          </w:tcPr>
          <w:p w14:paraId="6E5A93E9" w14:textId="5C45E564"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1.9</w:t>
            </w:r>
          </w:p>
        </w:tc>
        <w:tc>
          <w:tcPr>
            <w:tcW w:w="3203" w:type="dxa"/>
          </w:tcPr>
          <w:p w14:paraId="23E94C87" w14:textId="4741FC0B" w:rsidR="00122A7B" w:rsidRPr="008909D0" w:rsidRDefault="004B2981" w:rsidP="008909D0">
            <w:pPr>
              <w:rPr>
                <w:sz w:val="20"/>
                <w:szCs w:val="20"/>
              </w:rPr>
            </w:pPr>
            <w:proofErr w:type="spellStart"/>
            <w:r w:rsidRPr="008909D0">
              <w:rPr>
                <w:sz w:val="20"/>
                <w:szCs w:val="20"/>
              </w:rPr>
              <w:t>Epimax</w:t>
            </w:r>
            <w:proofErr w:type="spellEnd"/>
            <w:r w:rsidRPr="008909D0">
              <w:rPr>
                <w:sz w:val="20"/>
                <w:szCs w:val="20"/>
              </w:rPr>
              <w:t xml:space="preserve"> cream, lactulose, melatonin, </w:t>
            </w:r>
            <w:proofErr w:type="spellStart"/>
            <w:r w:rsidRPr="008909D0">
              <w:rPr>
                <w:sz w:val="20"/>
                <w:szCs w:val="20"/>
              </w:rPr>
              <w:t>Nutrison</w:t>
            </w:r>
            <w:proofErr w:type="spellEnd"/>
            <w:r w:rsidRPr="008909D0">
              <w:rPr>
                <w:sz w:val="20"/>
                <w:szCs w:val="20"/>
              </w:rPr>
              <w:t xml:space="preserve">, </w:t>
            </w:r>
            <w:proofErr w:type="spellStart"/>
            <w:r w:rsidRPr="008909D0">
              <w:rPr>
                <w:sz w:val="20"/>
                <w:szCs w:val="20"/>
              </w:rPr>
              <w:t>Diprobase</w:t>
            </w:r>
            <w:proofErr w:type="spellEnd"/>
            <w:r w:rsidRPr="008909D0">
              <w:rPr>
                <w:sz w:val="20"/>
                <w:szCs w:val="20"/>
              </w:rPr>
              <w:t xml:space="preserve"> cream, </w:t>
            </w:r>
            <w:proofErr w:type="spellStart"/>
            <w:r w:rsidRPr="008909D0">
              <w:rPr>
                <w:sz w:val="20"/>
                <w:szCs w:val="20"/>
              </w:rPr>
              <w:t>nevirapine</w:t>
            </w:r>
            <w:proofErr w:type="spellEnd"/>
            <w:r w:rsidRPr="008909D0">
              <w:rPr>
                <w:sz w:val="20"/>
                <w:szCs w:val="20"/>
              </w:rPr>
              <w:t xml:space="preserve">, paracetamol, Fresubin, alginate raft and </w:t>
            </w:r>
            <w:proofErr w:type="spellStart"/>
            <w:r w:rsidRPr="008909D0">
              <w:rPr>
                <w:sz w:val="20"/>
                <w:szCs w:val="20"/>
              </w:rPr>
              <w:t>Fortisip</w:t>
            </w:r>
            <w:proofErr w:type="spellEnd"/>
          </w:p>
        </w:tc>
      </w:tr>
      <w:tr w:rsidR="00122A7B" w:rsidRPr="00A93ED3" w14:paraId="31D0AA8C" w14:textId="77777777" w:rsidTr="008909D0">
        <w:tc>
          <w:tcPr>
            <w:tcW w:w="988" w:type="dxa"/>
          </w:tcPr>
          <w:p w14:paraId="01D2A705" w14:textId="2A829648"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April 2022</w:t>
            </w:r>
          </w:p>
        </w:tc>
        <w:tc>
          <w:tcPr>
            <w:tcW w:w="1134" w:type="dxa"/>
          </w:tcPr>
          <w:p w14:paraId="095E1E72" w14:textId="30EDC41C"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1.4</w:t>
            </w:r>
          </w:p>
        </w:tc>
        <w:tc>
          <w:tcPr>
            <w:tcW w:w="1134" w:type="dxa"/>
          </w:tcPr>
          <w:p w14:paraId="7AC2B4A9" w14:textId="2413F6AF"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16.3</w:t>
            </w:r>
          </w:p>
        </w:tc>
        <w:tc>
          <w:tcPr>
            <w:tcW w:w="1417" w:type="dxa"/>
          </w:tcPr>
          <w:p w14:paraId="1A999F8A" w14:textId="1752B6A7"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34.5</w:t>
            </w:r>
          </w:p>
        </w:tc>
        <w:tc>
          <w:tcPr>
            <w:tcW w:w="1134" w:type="dxa"/>
          </w:tcPr>
          <w:p w14:paraId="128A27E9" w14:textId="78B8CBAD"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0.3</w:t>
            </w:r>
          </w:p>
        </w:tc>
        <w:tc>
          <w:tcPr>
            <w:tcW w:w="3203" w:type="dxa"/>
          </w:tcPr>
          <w:p w14:paraId="5929C0A7" w14:textId="12DA9DAA" w:rsidR="00122A7B" w:rsidRPr="008909D0" w:rsidRDefault="004B2981" w:rsidP="008909D0">
            <w:pPr>
              <w:rPr>
                <w:sz w:val="20"/>
                <w:szCs w:val="20"/>
              </w:rPr>
            </w:pPr>
            <w:proofErr w:type="spellStart"/>
            <w:r w:rsidRPr="008909D0">
              <w:rPr>
                <w:sz w:val="20"/>
                <w:szCs w:val="20"/>
              </w:rPr>
              <w:t>Epimax</w:t>
            </w:r>
            <w:proofErr w:type="spellEnd"/>
            <w:r w:rsidRPr="008909D0">
              <w:rPr>
                <w:sz w:val="20"/>
                <w:szCs w:val="20"/>
              </w:rPr>
              <w:t xml:space="preserve"> cream, </w:t>
            </w:r>
            <w:proofErr w:type="spellStart"/>
            <w:r w:rsidRPr="008909D0">
              <w:rPr>
                <w:sz w:val="20"/>
                <w:szCs w:val="20"/>
              </w:rPr>
              <w:t>Nutrison</w:t>
            </w:r>
            <w:proofErr w:type="spellEnd"/>
            <w:r w:rsidRPr="008909D0">
              <w:rPr>
                <w:sz w:val="20"/>
                <w:szCs w:val="20"/>
              </w:rPr>
              <w:t xml:space="preserve">, </w:t>
            </w:r>
            <w:proofErr w:type="spellStart"/>
            <w:r w:rsidRPr="008909D0">
              <w:rPr>
                <w:sz w:val="20"/>
                <w:szCs w:val="20"/>
              </w:rPr>
              <w:t>paracetamol</w:t>
            </w:r>
            <w:proofErr w:type="spellEnd"/>
            <w:r w:rsidRPr="008909D0">
              <w:rPr>
                <w:sz w:val="20"/>
                <w:szCs w:val="20"/>
              </w:rPr>
              <w:t xml:space="preserve">, </w:t>
            </w:r>
            <w:proofErr w:type="spellStart"/>
            <w:r w:rsidRPr="008909D0">
              <w:rPr>
                <w:sz w:val="20"/>
                <w:szCs w:val="20"/>
              </w:rPr>
              <w:t>Cetraben</w:t>
            </w:r>
            <w:proofErr w:type="spellEnd"/>
            <w:r w:rsidRPr="008909D0">
              <w:rPr>
                <w:sz w:val="20"/>
                <w:szCs w:val="20"/>
              </w:rPr>
              <w:t xml:space="preserve">, </w:t>
            </w:r>
            <w:proofErr w:type="spellStart"/>
            <w:r w:rsidRPr="008909D0">
              <w:rPr>
                <w:sz w:val="20"/>
                <w:szCs w:val="20"/>
              </w:rPr>
              <w:t>Jevity</w:t>
            </w:r>
            <w:proofErr w:type="spellEnd"/>
            <w:r w:rsidRPr="008909D0">
              <w:rPr>
                <w:sz w:val="20"/>
                <w:szCs w:val="20"/>
              </w:rPr>
              <w:t xml:space="preserve">, </w:t>
            </w:r>
            <w:proofErr w:type="spellStart"/>
            <w:r w:rsidRPr="008909D0">
              <w:rPr>
                <w:sz w:val="20"/>
                <w:szCs w:val="20"/>
              </w:rPr>
              <w:t>Fortisip</w:t>
            </w:r>
            <w:proofErr w:type="spellEnd"/>
            <w:r w:rsidRPr="008909D0">
              <w:rPr>
                <w:sz w:val="20"/>
                <w:szCs w:val="20"/>
              </w:rPr>
              <w:t xml:space="preserve">, alginate raft, simple linctus, </w:t>
            </w:r>
            <w:proofErr w:type="spellStart"/>
            <w:r w:rsidRPr="008909D0">
              <w:rPr>
                <w:sz w:val="20"/>
                <w:szCs w:val="20"/>
              </w:rPr>
              <w:t>Enlive</w:t>
            </w:r>
            <w:proofErr w:type="spellEnd"/>
            <w:r w:rsidRPr="008909D0">
              <w:rPr>
                <w:sz w:val="20"/>
                <w:szCs w:val="20"/>
              </w:rPr>
              <w:t xml:space="preserve"> and Ensure</w:t>
            </w:r>
          </w:p>
        </w:tc>
      </w:tr>
      <w:tr w:rsidR="00122A7B" w:rsidRPr="00A93ED3" w14:paraId="35629A2C" w14:textId="77777777" w:rsidTr="008909D0">
        <w:tc>
          <w:tcPr>
            <w:tcW w:w="988" w:type="dxa"/>
          </w:tcPr>
          <w:p w14:paraId="2D2B9B92" w14:textId="26723A22"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April 2023</w:t>
            </w:r>
          </w:p>
        </w:tc>
        <w:tc>
          <w:tcPr>
            <w:tcW w:w="1134" w:type="dxa"/>
          </w:tcPr>
          <w:p w14:paraId="7CFBFA4A" w14:textId="53C11274"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w:t>
            </w:r>
            <w:r w:rsidR="00122A7B" w:rsidRPr="008909D0">
              <w:rPr>
                <w:rFonts w:ascii="Baskerville" w:hAnsi="Baskerville"/>
                <w:sz w:val="20"/>
                <w:szCs w:val="20"/>
              </w:rPr>
              <w:t>9</w:t>
            </w:r>
          </w:p>
        </w:tc>
        <w:tc>
          <w:tcPr>
            <w:tcW w:w="1134" w:type="dxa"/>
          </w:tcPr>
          <w:p w14:paraId="69BDE94F" w14:textId="44828462"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12.6</w:t>
            </w:r>
          </w:p>
        </w:tc>
        <w:tc>
          <w:tcPr>
            <w:tcW w:w="1417" w:type="dxa"/>
          </w:tcPr>
          <w:p w14:paraId="35AC626D" w14:textId="186F2C10"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29.5</w:t>
            </w:r>
          </w:p>
        </w:tc>
        <w:tc>
          <w:tcPr>
            <w:tcW w:w="1134" w:type="dxa"/>
          </w:tcPr>
          <w:p w14:paraId="3148CA90" w14:textId="757F548B"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10.5</w:t>
            </w:r>
          </w:p>
        </w:tc>
        <w:tc>
          <w:tcPr>
            <w:tcW w:w="3203" w:type="dxa"/>
          </w:tcPr>
          <w:p w14:paraId="508FBD6B" w14:textId="4A00917F" w:rsidR="00122A7B" w:rsidRPr="008909D0" w:rsidRDefault="004B2981" w:rsidP="008909D0">
            <w:pPr>
              <w:rPr>
                <w:sz w:val="20"/>
                <w:szCs w:val="20"/>
              </w:rPr>
            </w:pPr>
            <w:proofErr w:type="spellStart"/>
            <w:r w:rsidRPr="008909D0">
              <w:rPr>
                <w:sz w:val="20"/>
                <w:szCs w:val="20"/>
              </w:rPr>
              <w:t>Epimax</w:t>
            </w:r>
            <w:proofErr w:type="spellEnd"/>
            <w:r w:rsidRPr="008909D0">
              <w:rPr>
                <w:sz w:val="20"/>
                <w:szCs w:val="20"/>
              </w:rPr>
              <w:t xml:space="preserve"> cream, </w:t>
            </w:r>
            <w:proofErr w:type="spellStart"/>
            <w:r w:rsidRPr="008909D0">
              <w:rPr>
                <w:sz w:val="20"/>
                <w:szCs w:val="20"/>
              </w:rPr>
              <w:t>Nutrison</w:t>
            </w:r>
            <w:proofErr w:type="spellEnd"/>
            <w:r w:rsidRPr="008909D0">
              <w:rPr>
                <w:sz w:val="20"/>
                <w:szCs w:val="20"/>
              </w:rPr>
              <w:t xml:space="preserve">, alginate raft, </w:t>
            </w:r>
            <w:proofErr w:type="spellStart"/>
            <w:r w:rsidRPr="008909D0">
              <w:rPr>
                <w:sz w:val="20"/>
                <w:szCs w:val="20"/>
              </w:rPr>
              <w:t>paracetamol</w:t>
            </w:r>
            <w:proofErr w:type="spellEnd"/>
            <w:r w:rsidRPr="008909D0">
              <w:rPr>
                <w:sz w:val="20"/>
                <w:szCs w:val="20"/>
              </w:rPr>
              <w:t xml:space="preserve">, </w:t>
            </w:r>
            <w:proofErr w:type="spellStart"/>
            <w:r w:rsidRPr="008909D0">
              <w:rPr>
                <w:sz w:val="20"/>
                <w:szCs w:val="20"/>
              </w:rPr>
              <w:t>Diprobase</w:t>
            </w:r>
            <w:proofErr w:type="spellEnd"/>
            <w:r w:rsidRPr="008909D0">
              <w:rPr>
                <w:sz w:val="20"/>
                <w:szCs w:val="20"/>
              </w:rPr>
              <w:t xml:space="preserve"> cream, </w:t>
            </w:r>
            <w:proofErr w:type="spellStart"/>
            <w:r w:rsidRPr="008909D0">
              <w:rPr>
                <w:sz w:val="20"/>
                <w:szCs w:val="20"/>
              </w:rPr>
              <w:t>Fortisip</w:t>
            </w:r>
            <w:proofErr w:type="spellEnd"/>
            <w:r w:rsidRPr="008909D0">
              <w:rPr>
                <w:sz w:val="20"/>
                <w:szCs w:val="20"/>
              </w:rPr>
              <w:t>, Ensure, simple linctus, metronidazole and Jevity</w:t>
            </w:r>
          </w:p>
        </w:tc>
      </w:tr>
      <w:tr w:rsidR="00122A7B" w:rsidRPr="00A93ED3" w14:paraId="3F407BB3" w14:textId="77777777" w:rsidTr="008909D0">
        <w:tc>
          <w:tcPr>
            <w:tcW w:w="988" w:type="dxa"/>
          </w:tcPr>
          <w:p w14:paraId="22C15DD5" w14:textId="60EA8CCE"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April 2024</w:t>
            </w:r>
          </w:p>
        </w:tc>
        <w:tc>
          <w:tcPr>
            <w:tcW w:w="1134" w:type="dxa"/>
          </w:tcPr>
          <w:p w14:paraId="6F3971AB" w14:textId="0C19C5AC"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w:t>
            </w:r>
            <w:r w:rsidR="00122A7B" w:rsidRPr="008909D0">
              <w:rPr>
                <w:rFonts w:ascii="Baskerville" w:hAnsi="Baskerville"/>
                <w:sz w:val="20"/>
                <w:szCs w:val="20"/>
              </w:rPr>
              <w:t>7</w:t>
            </w:r>
          </w:p>
        </w:tc>
        <w:tc>
          <w:tcPr>
            <w:tcW w:w="1134" w:type="dxa"/>
          </w:tcPr>
          <w:p w14:paraId="09CA9D4B" w14:textId="2AA1BDE6"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6.2</w:t>
            </w:r>
          </w:p>
        </w:tc>
        <w:tc>
          <w:tcPr>
            <w:tcW w:w="1417" w:type="dxa"/>
          </w:tcPr>
          <w:p w14:paraId="3D00F693" w14:textId="35EA925B"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23.4</w:t>
            </w:r>
          </w:p>
        </w:tc>
        <w:tc>
          <w:tcPr>
            <w:tcW w:w="1134" w:type="dxa"/>
          </w:tcPr>
          <w:p w14:paraId="6900454F" w14:textId="285E9C62"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0.9</w:t>
            </w:r>
          </w:p>
        </w:tc>
        <w:tc>
          <w:tcPr>
            <w:tcW w:w="3203" w:type="dxa"/>
          </w:tcPr>
          <w:p w14:paraId="4A6FD4B8" w14:textId="264121EE" w:rsidR="00122A7B" w:rsidRPr="008909D0" w:rsidRDefault="004B2981" w:rsidP="008909D0">
            <w:pPr>
              <w:rPr>
                <w:sz w:val="20"/>
                <w:szCs w:val="20"/>
              </w:rPr>
            </w:pPr>
            <w:proofErr w:type="spellStart"/>
            <w:r w:rsidRPr="008909D0">
              <w:rPr>
                <w:sz w:val="20"/>
                <w:szCs w:val="20"/>
              </w:rPr>
              <w:t>Diprobase</w:t>
            </w:r>
            <w:proofErr w:type="spellEnd"/>
            <w:r w:rsidRPr="008909D0">
              <w:rPr>
                <w:sz w:val="20"/>
                <w:szCs w:val="20"/>
              </w:rPr>
              <w:t xml:space="preserve"> cream, </w:t>
            </w:r>
            <w:proofErr w:type="spellStart"/>
            <w:r w:rsidRPr="008909D0">
              <w:rPr>
                <w:sz w:val="20"/>
                <w:szCs w:val="20"/>
              </w:rPr>
              <w:t>Nutrison</w:t>
            </w:r>
            <w:proofErr w:type="spellEnd"/>
            <w:r w:rsidRPr="008909D0">
              <w:rPr>
                <w:sz w:val="20"/>
                <w:szCs w:val="20"/>
              </w:rPr>
              <w:t xml:space="preserve">, paraffin ointment, </w:t>
            </w:r>
            <w:proofErr w:type="spellStart"/>
            <w:r w:rsidRPr="008909D0">
              <w:rPr>
                <w:sz w:val="20"/>
                <w:szCs w:val="20"/>
              </w:rPr>
              <w:t>paracetamol</w:t>
            </w:r>
            <w:proofErr w:type="spellEnd"/>
            <w:r w:rsidRPr="008909D0">
              <w:rPr>
                <w:sz w:val="20"/>
                <w:szCs w:val="20"/>
              </w:rPr>
              <w:t xml:space="preserve">, </w:t>
            </w:r>
            <w:proofErr w:type="spellStart"/>
            <w:r w:rsidRPr="008909D0">
              <w:rPr>
                <w:sz w:val="20"/>
                <w:szCs w:val="20"/>
              </w:rPr>
              <w:t>Fortisip</w:t>
            </w:r>
            <w:proofErr w:type="spellEnd"/>
            <w:r w:rsidRPr="008909D0">
              <w:rPr>
                <w:sz w:val="20"/>
                <w:szCs w:val="20"/>
              </w:rPr>
              <w:t xml:space="preserve">, Ensure, sodium </w:t>
            </w:r>
            <w:proofErr w:type="spellStart"/>
            <w:r w:rsidRPr="008909D0">
              <w:rPr>
                <w:sz w:val="20"/>
                <w:szCs w:val="20"/>
              </w:rPr>
              <w:t>feredetate</w:t>
            </w:r>
            <w:proofErr w:type="spellEnd"/>
            <w:r w:rsidRPr="008909D0">
              <w:rPr>
                <w:sz w:val="20"/>
                <w:szCs w:val="20"/>
              </w:rPr>
              <w:t xml:space="preserve">, metronidazole, </w:t>
            </w:r>
            <w:proofErr w:type="spellStart"/>
            <w:r w:rsidRPr="008909D0">
              <w:rPr>
                <w:sz w:val="20"/>
                <w:szCs w:val="20"/>
              </w:rPr>
              <w:t>glyceryl</w:t>
            </w:r>
            <w:proofErr w:type="spellEnd"/>
            <w:r w:rsidRPr="008909D0">
              <w:rPr>
                <w:sz w:val="20"/>
                <w:szCs w:val="20"/>
              </w:rPr>
              <w:t xml:space="preserve"> </w:t>
            </w:r>
            <w:proofErr w:type="spellStart"/>
            <w:r w:rsidRPr="008909D0">
              <w:rPr>
                <w:sz w:val="20"/>
                <w:szCs w:val="20"/>
              </w:rPr>
              <w:t>trinitrate</w:t>
            </w:r>
            <w:proofErr w:type="spellEnd"/>
            <w:r w:rsidRPr="008909D0">
              <w:rPr>
                <w:sz w:val="20"/>
                <w:szCs w:val="20"/>
              </w:rPr>
              <w:t xml:space="preserve"> and Jevity</w:t>
            </w:r>
          </w:p>
        </w:tc>
      </w:tr>
      <w:tr w:rsidR="00122A7B" w:rsidRPr="00A93ED3" w14:paraId="657FB875" w14:textId="77777777" w:rsidTr="008909D0">
        <w:tc>
          <w:tcPr>
            <w:tcW w:w="988" w:type="dxa"/>
          </w:tcPr>
          <w:p w14:paraId="27D6483D" w14:textId="2E9CEE59"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April 2025</w:t>
            </w:r>
          </w:p>
        </w:tc>
        <w:tc>
          <w:tcPr>
            <w:tcW w:w="1134" w:type="dxa"/>
          </w:tcPr>
          <w:p w14:paraId="629E0734" w14:textId="6C5B780F"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0.8</w:t>
            </w:r>
          </w:p>
        </w:tc>
        <w:tc>
          <w:tcPr>
            <w:tcW w:w="1134" w:type="dxa"/>
          </w:tcPr>
          <w:p w14:paraId="638734D3" w14:textId="6463172C"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5.2</w:t>
            </w:r>
          </w:p>
        </w:tc>
        <w:tc>
          <w:tcPr>
            <w:tcW w:w="1417" w:type="dxa"/>
          </w:tcPr>
          <w:p w14:paraId="550261CF" w14:textId="13899661"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22.6</w:t>
            </w:r>
          </w:p>
        </w:tc>
        <w:tc>
          <w:tcPr>
            <w:tcW w:w="1134" w:type="dxa"/>
          </w:tcPr>
          <w:p w14:paraId="576F3643" w14:textId="5B66B397"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0.3</w:t>
            </w:r>
          </w:p>
        </w:tc>
        <w:tc>
          <w:tcPr>
            <w:tcW w:w="3203" w:type="dxa"/>
          </w:tcPr>
          <w:p w14:paraId="6081900A" w14:textId="55D59359" w:rsidR="00122A7B" w:rsidRPr="008909D0" w:rsidRDefault="004B2981" w:rsidP="008909D0">
            <w:pPr>
              <w:rPr>
                <w:sz w:val="20"/>
                <w:szCs w:val="20"/>
              </w:rPr>
            </w:pPr>
            <w:proofErr w:type="spellStart"/>
            <w:r w:rsidRPr="008909D0">
              <w:rPr>
                <w:sz w:val="20"/>
                <w:szCs w:val="20"/>
              </w:rPr>
              <w:t>Diprobase</w:t>
            </w:r>
            <w:proofErr w:type="spellEnd"/>
            <w:r w:rsidRPr="008909D0">
              <w:rPr>
                <w:sz w:val="20"/>
                <w:szCs w:val="20"/>
              </w:rPr>
              <w:t xml:space="preserve"> cream, paraffin ointment, </w:t>
            </w:r>
            <w:proofErr w:type="spellStart"/>
            <w:r w:rsidRPr="008909D0">
              <w:rPr>
                <w:sz w:val="20"/>
                <w:szCs w:val="20"/>
              </w:rPr>
              <w:t>paracetamol</w:t>
            </w:r>
            <w:proofErr w:type="spellEnd"/>
            <w:r w:rsidRPr="008909D0">
              <w:rPr>
                <w:sz w:val="20"/>
                <w:szCs w:val="20"/>
              </w:rPr>
              <w:t xml:space="preserve">, lactulose, Ensure, </w:t>
            </w:r>
            <w:proofErr w:type="spellStart"/>
            <w:r w:rsidRPr="008909D0">
              <w:rPr>
                <w:sz w:val="20"/>
                <w:szCs w:val="20"/>
              </w:rPr>
              <w:t>Fortisip</w:t>
            </w:r>
            <w:proofErr w:type="spellEnd"/>
            <w:r w:rsidRPr="008909D0">
              <w:rPr>
                <w:sz w:val="20"/>
                <w:szCs w:val="20"/>
              </w:rPr>
              <w:t xml:space="preserve">, heparin, </w:t>
            </w:r>
            <w:proofErr w:type="spellStart"/>
            <w:r w:rsidRPr="008909D0">
              <w:rPr>
                <w:sz w:val="20"/>
                <w:szCs w:val="20"/>
              </w:rPr>
              <w:t>Fresubin</w:t>
            </w:r>
            <w:proofErr w:type="spellEnd"/>
            <w:r w:rsidRPr="008909D0">
              <w:rPr>
                <w:sz w:val="20"/>
                <w:szCs w:val="20"/>
              </w:rPr>
              <w:t xml:space="preserve">, metronidazole and </w:t>
            </w:r>
            <w:proofErr w:type="spellStart"/>
            <w:r w:rsidRPr="008909D0">
              <w:rPr>
                <w:sz w:val="20"/>
                <w:szCs w:val="20"/>
              </w:rPr>
              <w:t>Jevity</w:t>
            </w:r>
            <w:proofErr w:type="spellEnd"/>
          </w:p>
        </w:tc>
      </w:tr>
      <w:tr w:rsidR="00122A7B" w:rsidRPr="00A93ED3" w14:paraId="3E08F1F4" w14:textId="77777777" w:rsidTr="008909D0">
        <w:tc>
          <w:tcPr>
            <w:tcW w:w="988" w:type="dxa"/>
          </w:tcPr>
          <w:p w14:paraId="01C625A3" w14:textId="55848D04"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April 2026</w:t>
            </w:r>
          </w:p>
        </w:tc>
        <w:tc>
          <w:tcPr>
            <w:tcW w:w="1134" w:type="dxa"/>
          </w:tcPr>
          <w:p w14:paraId="299E8913" w14:textId="56E81481"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0.6</w:t>
            </w:r>
          </w:p>
        </w:tc>
        <w:tc>
          <w:tcPr>
            <w:tcW w:w="1134" w:type="dxa"/>
          </w:tcPr>
          <w:p w14:paraId="41FD73D9" w14:textId="487CF163" w:rsidR="00122A7B" w:rsidRPr="008909D0" w:rsidRDefault="00122A7B" w:rsidP="00F66B3A">
            <w:pPr>
              <w:spacing w:line="276" w:lineRule="auto"/>
              <w:jc w:val="both"/>
              <w:rPr>
                <w:rFonts w:ascii="Baskerville" w:hAnsi="Baskerville"/>
                <w:sz w:val="20"/>
                <w:szCs w:val="20"/>
              </w:rPr>
            </w:pPr>
            <w:r w:rsidRPr="008909D0">
              <w:rPr>
                <w:rFonts w:ascii="Baskerville" w:hAnsi="Baskerville"/>
                <w:sz w:val="20"/>
                <w:szCs w:val="20"/>
              </w:rPr>
              <w:t>2.3</w:t>
            </w:r>
          </w:p>
        </w:tc>
        <w:tc>
          <w:tcPr>
            <w:tcW w:w="1417" w:type="dxa"/>
          </w:tcPr>
          <w:p w14:paraId="3352236D" w14:textId="17E4CBDC"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13.4</w:t>
            </w:r>
          </w:p>
        </w:tc>
        <w:tc>
          <w:tcPr>
            <w:tcW w:w="1134" w:type="dxa"/>
          </w:tcPr>
          <w:p w14:paraId="7125CD09" w14:textId="4003F6BF" w:rsidR="00122A7B" w:rsidRPr="008909D0" w:rsidRDefault="004B2981" w:rsidP="00F66B3A">
            <w:pPr>
              <w:spacing w:line="276" w:lineRule="auto"/>
              <w:jc w:val="both"/>
              <w:rPr>
                <w:rFonts w:ascii="Baskerville" w:hAnsi="Baskerville"/>
                <w:sz w:val="20"/>
                <w:szCs w:val="20"/>
              </w:rPr>
            </w:pPr>
            <w:r w:rsidRPr="008909D0">
              <w:rPr>
                <w:rFonts w:ascii="Baskerville" w:hAnsi="Baskerville"/>
                <w:sz w:val="20"/>
                <w:szCs w:val="20"/>
              </w:rPr>
              <w:t>0.7</w:t>
            </w:r>
          </w:p>
        </w:tc>
        <w:tc>
          <w:tcPr>
            <w:tcW w:w="3203" w:type="dxa"/>
          </w:tcPr>
          <w:p w14:paraId="5237B433" w14:textId="4398DCA2" w:rsidR="00122A7B" w:rsidRPr="008909D0" w:rsidRDefault="004B2981" w:rsidP="008909D0">
            <w:pPr>
              <w:rPr>
                <w:sz w:val="20"/>
                <w:szCs w:val="20"/>
              </w:rPr>
            </w:pPr>
            <w:proofErr w:type="spellStart"/>
            <w:r w:rsidRPr="008909D0">
              <w:rPr>
                <w:sz w:val="20"/>
                <w:szCs w:val="20"/>
              </w:rPr>
              <w:t>Paracetamol</w:t>
            </w:r>
            <w:proofErr w:type="spellEnd"/>
            <w:r w:rsidRPr="008909D0">
              <w:rPr>
                <w:sz w:val="20"/>
                <w:szCs w:val="20"/>
              </w:rPr>
              <w:t xml:space="preserve">, heparin, Ensure, </w:t>
            </w:r>
            <w:proofErr w:type="spellStart"/>
            <w:r w:rsidRPr="008909D0">
              <w:rPr>
                <w:sz w:val="20"/>
                <w:szCs w:val="20"/>
              </w:rPr>
              <w:t>Jevity</w:t>
            </w:r>
            <w:proofErr w:type="spellEnd"/>
            <w:r w:rsidRPr="008909D0">
              <w:rPr>
                <w:sz w:val="20"/>
                <w:szCs w:val="20"/>
              </w:rPr>
              <w:t xml:space="preserve">, </w:t>
            </w:r>
            <w:proofErr w:type="spellStart"/>
            <w:r w:rsidRPr="008909D0">
              <w:rPr>
                <w:sz w:val="20"/>
                <w:szCs w:val="20"/>
              </w:rPr>
              <w:t>Fresubin</w:t>
            </w:r>
            <w:proofErr w:type="spellEnd"/>
            <w:r w:rsidRPr="008909D0">
              <w:rPr>
                <w:sz w:val="20"/>
                <w:szCs w:val="20"/>
              </w:rPr>
              <w:t xml:space="preserve">, </w:t>
            </w:r>
            <w:proofErr w:type="spellStart"/>
            <w:r w:rsidRPr="008909D0">
              <w:rPr>
                <w:sz w:val="20"/>
                <w:szCs w:val="20"/>
              </w:rPr>
              <w:t>Fortisip</w:t>
            </w:r>
            <w:proofErr w:type="spellEnd"/>
            <w:r w:rsidRPr="008909D0">
              <w:rPr>
                <w:sz w:val="20"/>
                <w:szCs w:val="20"/>
              </w:rPr>
              <w:t xml:space="preserve">, </w:t>
            </w:r>
            <w:proofErr w:type="spellStart"/>
            <w:r w:rsidRPr="008909D0">
              <w:rPr>
                <w:sz w:val="20"/>
                <w:szCs w:val="20"/>
              </w:rPr>
              <w:t>chlorhexidine</w:t>
            </w:r>
            <w:proofErr w:type="spellEnd"/>
            <w:r w:rsidRPr="008909D0">
              <w:rPr>
                <w:sz w:val="20"/>
                <w:szCs w:val="20"/>
              </w:rPr>
              <w:t xml:space="preserve"> mouthwash, metronidazole, lactulose and clozapine</w:t>
            </w:r>
          </w:p>
        </w:tc>
      </w:tr>
    </w:tbl>
    <w:p w14:paraId="74F14ADB" w14:textId="77777777" w:rsidR="00122A7B" w:rsidRPr="00F66B3A" w:rsidRDefault="00122A7B" w:rsidP="00F66B3A">
      <w:pPr>
        <w:spacing w:line="276" w:lineRule="auto"/>
        <w:jc w:val="both"/>
        <w:rPr>
          <w:rFonts w:ascii="Baskerville" w:hAnsi="Baskerville"/>
        </w:rPr>
      </w:pPr>
    </w:p>
    <w:p w14:paraId="283D32D3" w14:textId="3DDA0DB9" w:rsidR="005249A2" w:rsidRPr="00F66B3A" w:rsidRDefault="005249A2" w:rsidP="00F66B3A">
      <w:pPr>
        <w:spacing w:line="276" w:lineRule="auto"/>
        <w:jc w:val="both"/>
        <w:rPr>
          <w:rFonts w:ascii="Baskerville" w:hAnsi="Baskerville"/>
        </w:rPr>
      </w:pPr>
    </w:p>
    <w:p w14:paraId="714D4A52" w14:textId="3D291D02" w:rsidR="003E0201" w:rsidRPr="00F66B3A" w:rsidRDefault="003E0201" w:rsidP="00F66B3A">
      <w:pPr>
        <w:spacing w:line="276" w:lineRule="auto"/>
        <w:jc w:val="both"/>
        <w:rPr>
          <w:rFonts w:ascii="Baskerville" w:hAnsi="Baskerville"/>
        </w:rPr>
      </w:pPr>
    </w:p>
    <w:p w14:paraId="6D4A9AE2" w14:textId="4E439F24" w:rsidR="003E0201" w:rsidRPr="00A02F3E" w:rsidRDefault="003E0201" w:rsidP="00F66B3A">
      <w:pPr>
        <w:pStyle w:val="Heading2"/>
        <w:jc w:val="both"/>
        <w:rPr>
          <w:rFonts w:ascii="Arial" w:hAnsi="Arial" w:cs="Arial"/>
          <w:i/>
          <w:iCs/>
          <w:color w:val="auto"/>
          <w:sz w:val="24"/>
          <w:szCs w:val="24"/>
        </w:rPr>
      </w:pPr>
      <w:bookmarkStart w:id="18" w:name="_Toc240132667"/>
      <w:r w:rsidRPr="00A02F3E">
        <w:rPr>
          <w:rFonts w:ascii="Arial" w:hAnsi="Arial" w:cs="Arial"/>
          <w:i/>
          <w:iCs/>
          <w:color w:val="auto"/>
          <w:sz w:val="24"/>
          <w:szCs w:val="24"/>
        </w:rPr>
        <w:t>Top 10 Most Costly Medicines</w:t>
      </w:r>
      <w:bookmarkEnd w:id="18"/>
    </w:p>
    <w:p w14:paraId="133D0046" w14:textId="0FDF2713" w:rsidR="003E0201" w:rsidRPr="00A02F3E" w:rsidRDefault="003E0201" w:rsidP="00F66B3A">
      <w:pPr>
        <w:spacing w:line="276" w:lineRule="auto"/>
        <w:jc w:val="both"/>
        <w:rPr>
          <w:rFonts w:ascii="Arial" w:hAnsi="Arial" w:cs="Arial"/>
        </w:rPr>
      </w:pPr>
    </w:p>
    <w:p w14:paraId="7EEAD067" w14:textId="28AD0583" w:rsidR="0065355E" w:rsidRPr="00A02F3E" w:rsidRDefault="0065355E" w:rsidP="00F66B3A">
      <w:pPr>
        <w:spacing w:line="276" w:lineRule="auto"/>
        <w:jc w:val="both"/>
        <w:rPr>
          <w:rFonts w:ascii="Arial" w:hAnsi="Arial" w:cs="Arial"/>
        </w:rPr>
      </w:pPr>
      <w:r w:rsidRPr="00A02F3E">
        <w:rPr>
          <w:rFonts w:ascii="Arial" w:hAnsi="Arial" w:cs="Arial"/>
        </w:rPr>
        <w:t xml:space="preserve">A summary of the temporal variances in the most costly prescribed medicines and the respective number of units are summarised in Table 2. During the most recent data point of April 2026, the top 10 most costly medicines included </w:t>
      </w:r>
      <w:proofErr w:type="spellStart"/>
      <w:r w:rsidRPr="00A02F3E">
        <w:rPr>
          <w:rFonts w:ascii="Arial" w:hAnsi="Arial" w:cs="Arial"/>
        </w:rPr>
        <w:t>Tafamidis</w:t>
      </w:r>
      <w:proofErr w:type="spellEnd"/>
      <w:r w:rsidRPr="00A02F3E">
        <w:rPr>
          <w:rFonts w:ascii="Arial" w:hAnsi="Arial" w:cs="Arial"/>
        </w:rPr>
        <w:t xml:space="preserve">, generic </w:t>
      </w:r>
      <w:proofErr w:type="spellStart"/>
      <w:r w:rsidRPr="00A02F3E">
        <w:rPr>
          <w:rFonts w:ascii="Arial" w:hAnsi="Arial" w:cs="Arial"/>
        </w:rPr>
        <w:t>Octaplex</w:t>
      </w:r>
      <w:proofErr w:type="spellEnd"/>
      <w:r w:rsidRPr="00A02F3E">
        <w:rPr>
          <w:rFonts w:ascii="Arial" w:hAnsi="Arial" w:cs="Arial"/>
        </w:rPr>
        <w:t xml:space="preserve">, </w:t>
      </w:r>
      <w:proofErr w:type="spellStart"/>
      <w:r w:rsidRPr="00A02F3E">
        <w:rPr>
          <w:rFonts w:ascii="Arial" w:hAnsi="Arial" w:cs="Arial"/>
        </w:rPr>
        <w:t>Vutrisiran</w:t>
      </w:r>
      <w:proofErr w:type="spellEnd"/>
      <w:r w:rsidRPr="00A02F3E">
        <w:rPr>
          <w:rFonts w:ascii="Arial" w:hAnsi="Arial" w:cs="Arial"/>
        </w:rPr>
        <w:t xml:space="preserve">, </w:t>
      </w:r>
      <w:proofErr w:type="spellStart"/>
      <w:r w:rsidRPr="00A02F3E">
        <w:rPr>
          <w:rFonts w:ascii="Arial" w:hAnsi="Arial" w:cs="Arial"/>
        </w:rPr>
        <w:t>Emtricitabine</w:t>
      </w:r>
      <w:proofErr w:type="spellEnd"/>
      <w:r w:rsidRPr="00A02F3E">
        <w:rPr>
          <w:rFonts w:ascii="Arial" w:hAnsi="Arial" w:cs="Arial"/>
        </w:rPr>
        <w:t xml:space="preserve">, generic </w:t>
      </w:r>
      <w:proofErr w:type="spellStart"/>
      <w:r w:rsidRPr="00A02F3E">
        <w:rPr>
          <w:rFonts w:ascii="Arial" w:hAnsi="Arial" w:cs="Arial"/>
        </w:rPr>
        <w:t>Kaftrio</w:t>
      </w:r>
      <w:proofErr w:type="spellEnd"/>
      <w:r w:rsidRPr="00A02F3E">
        <w:rPr>
          <w:rFonts w:ascii="Arial" w:hAnsi="Arial" w:cs="Arial"/>
        </w:rPr>
        <w:t xml:space="preserve">, </w:t>
      </w:r>
      <w:proofErr w:type="spellStart"/>
      <w:r w:rsidRPr="00A02F3E">
        <w:rPr>
          <w:rFonts w:ascii="Arial" w:hAnsi="Arial" w:cs="Arial"/>
        </w:rPr>
        <w:t>Ivacaftor</w:t>
      </w:r>
      <w:proofErr w:type="spellEnd"/>
      <w:r w:rsidRPr="00A02F3E">
        <w:rPr>
          <w:rFonts w:ascii="Arial" w:hAnsi="Arial" w:cs="Arial"/>
        </w:rPr>
        <w:t xml:space="preserve">, </w:t>
      </w:r>
      <w:proofErr w:type="spellStart"/>
      <w:r w:rsidRPr="00A02F3E">
        <w:rPr>
          <w:rFonts w:ascii="Arial" w:hAnsi="Arial" w:cs="Arial"/>
        </w:rPr>
        <w:t>Pembrolizumab</w:t>
      </w:r>
      <w:proofErr w:type="spellEnd"/>
      <w:r w:rsidRPr="00A02F3E">
        <w:rPr>
          <w:rFonts w:ascii="Arial" w:hAnsi="Arial" w:cs="Arial"/>
        </w:rPr>
        <w:t xml:space="preserve">, genic </w:t>
      </w:r>
      <w:proofErr w:type="spellStart"/>
      <w:r w:rsidRPr="00A02F3E">
        <w:rPr>
          <w:rFonts w:ascii="Arial" w:hAnsi="Arial" w:cs="Arial"/>
        </w:rPr>
        <w:t>Alyftrek</w:t>
      </w:r>
      <w:proofErr w:type="spellEnd"/>
      <w:r w:rsidRPr="00A02F3E">
        <w:rPr>
          <w:rFonts w:ascii="Arial" w:hAnsi="Arial" w:cs="Arial"/>
        </w:rPr>
        <w:t xml:space="preserve">, </w:t>
      </w:r>
      <w:proofErr w:type="spellStart"/>
      <w:r w:rsidRPr="00A02F3E">
        <w:rPr>
          <w:rFonts w:ascii="Arial" w:hAnsi="Arial" w:cs="Arial"/>
        </w:rPr>
        <w:t>Exagamglogene</w:t>
      </w:r>
      <w:proofErr w:type="spellEnd"/>
      <w:r w:rsidRPr="00A02F3E">
        <w:rPr>
          <w:rFonts w:ascii="Arial" w:hAnsi="Arial" w:cs="Arial"/>
        </w:rPr>
        <w:t xml:space="preserve"> </w:t>
      </w:r>
      <w:proofErr w:type="spellStart"/>
      <w:r w:rsidRPr="00A02F3E">
        <w:rPr>
          <w:rFonts w:ascii="Arial" w:hAnsi="Arial" w:cs="Arial"/>
        </w:rPr>
        <w:t>autotemcel</w:t>
      </w:r>
      <w:proofErr w:type="spellEnd"/>
      <w:r w:rsidRPr="00A02F3E">
        <w:rPr>
          <w:rFonts w:ascii="Arial" w:hAnsi="Arial" w:cs="Arial"/>
        </w:rPr>
        <w:t xml:space="preserve"> and </w:t>
      </w:r>
      <w:proofErr w:type="spellStart"/>
      <w:r w:rsidRPr="00A02F3E">
        <w:rPr>
          <w:rFonts w:ascii="Arial" w:hAnsi="Arial" w:cs="Arial"/>
        </w:rPr>
        <w:t>Emicizumab</w:t>
      </w:r>
      <w:proofErr w:type="spellEnd"/>
      <w:r w:rsidRPr="00A02F3E">
        <w:rPr>
          <w:rFonts w:ascii="Arial" w:hAnsi="Arial" w:cs="Arial"/>
        </w:rPr>
        <w:t xml:space="preserve">. The cost of these medicines varied from 2.7 million to 21.5 million and the number of prescribed units varied markedly from 2 to 472,944. </w:t>
      </w:r>
      <w:r w:rsidR="00D81859" w:rsidRPr="00A02F3E">
        <w:rPr>
          <w:rFonts w:ascii="Arial" w:hAnsi="Arial" w:cs="Arial"/>
        </w:rPr>
        <w:t xml:space="preserve">During April 2025, the top 10 most costly medicines were chorionic </w:t>
      </w:r>
      <w:proofErr w:type="spellStart"/>
      <w:r w:rsidR="00D81859" w:rsidRPr="00A02F3E">
        <w:rPr>
          <w:rFonts w:ascii="Arial" w:hAnsi="Arial" w:cs="Arial"/>
        </w:rPr>
        <w:t>gonadotrophin</w:t>
      </w:r>
      <w:proofErr w:type="spellEnd"/>
      <w:r w:rsidR="00D81859" w:rsidRPr="00A02F3E">
        <w:rPr>
          <w:rFonts w:ascii="Arial" w:hAnsi="Arial" w:cs="Arial"/>
        </w:rPr>
        <w:t xml:space="preserve">, </w:t>
      </w:r>
      <w:proofErr w:type="spellStart"/>
      <w:r w:rsidR="00D81859" w:rsidRPr="00A02F3E">
        <w:rPr>
          <w:rFonts w:ascii="Arial" w:hAnsi="Arial" w:cs="Arial"/>
        </w:rPr>
        <w:t>Tafamidis</w:t>
      </w:r>
      <w:proofErr w:type="spellEnd"/>
      <w:r w:rsidR="00D81859" w:rsidRPr="00A02F3E">
        <w:rPr>
          <w:rFonts w:ascii="Arial" w:hAnsi="Arial" w:cs="Arial"/>
        </w:rPr>
        <w:t xml:space="preserve">, </w:t>
      </w:r>
      <w:proofErr w:type="spellStart"/>
      <w:r w:rsidR="00D81859" w:rsidRPr="00A02F3E">
        <w:rPr>
          <w:rFonts w:ascii="Arial" w:hAnsi="Arial" w:cs="Arial"/>
        </w:rPr>
        <w:t>Emtricitabine</w:t>
      </w:r>
      <w:proofErr w:type="spellEnd"/>
      <w:r w:rsidR="00D81859" w:rsidRPr="00A02F3E">
        <w:rPr>
          <w:rFonts w:ascii="Arial" w:hAnsi="Arial" w:cs="Arial"/>
        </w:rPr>
        <w:t xml:space="preserve">, </w:t>
      </w:r>
      <w:proofErr w:type="spellStart"/>
      <w:r w:rsidR="00D81859" w:rsidRPr="00A02F3E">
        <w:rPr>
          <w:rFonts w:ascii="Arial" w:hAnsi="Arial" w:cs="Arial"/>
        </w:rPr>
        <w:t>Vutrisiran</w:t>
      </w:r>
      <w:proofErr w:type="spellEnd"/>
      <w:r w:rsidR="00D81859" w:rsidRPr="00A02F3E">
        <w:rPr>
          <w:rFonts w:ascii="Arial" w:hAnsi="Arial" w:cs="Arial"/>
        </w:rPr>
        <w:t xml:space="preserve">, generic </w:t>
      </w:r>
      <w:proofErr w:type="spellStart"/>
      <w:r w:rsidR="00D81859" w:rsidRPr="00A02F3E">
        <w:rPr>
          <w:rFonts w:ascii="Arial" w:hAnsi="Arial" w:cs="Arial"/>
        </w:rPr>
        <w:t>Kaftrio</w:t>
      </w:r>
      <w:proofErr w:type="spellEnd"/>
      <w:r w:rsidR="00D81859" w:rsidRPr="00A02F3E">
        <w:rPr>
          <w:rFonts w:ascii="Arial" w:hAnsi="Arial" w:cs="Arial"/>
        </w:rPr>
        <w:t xml:space="preserve">, </w:t>
      </w:r>
      <w:proofErr w:type="spellStart"/>
      <w:r w:rsidR="00D81859" w:rsidRPr="00A02F3E">
        <w:rPr>
          <w:rFonts w:ascii="Arial" w:hAnsi="Arial" w:cs="Arial"/>
        </w:rPr>
        <w:t>Ivacaftor</w:t>
      </w:r>
      <w:proofErr w:type="spellEnd"/>
      <w:r w:rsidR="00D81859" w:rsidRPr="00A02F3E">
        <w:rPr>
          <w:rFonts w:ascii="Arial" w:hAnsi="Arial" w:cs="Arial"/>
        </w:rPr>
        <w:t xml:space="preserve">, </w:t>
      </w:r>
      <w:proofErr w:type="spellStart"/>
      <w:r w:rsidR="00D81859" w:rsidRPr="00A02F3E">
        <w:rPr>
          <w:rFonts w:ascii="Arial" w:hAnsi="Arial" w:cs="Arial"/>
        </w:rPr>
        <w:t>Pembrolizumab</w:t>
      </w:r>
      <w:proofErr w:type="spellEnd"/>
      <w:r w:rsidR="00D81859" w:rsidRPr="00A02F3E">
        <w:rPr>
          <w:rFonts w:ascii="Arial" w:hAnsi="Arial" w:cs="Arial"/>
        </w:rPr>
        <w:t xml:space="preserve">, </w:t>
      </w:r>
      <w:proofErr w:type="spellStart"/>
      <w:r w:rsidR="00D81859" w:rsidRPr="00A02F3E">
        <w:rPr>
          <w:rFonts w:ascii="Arial" w:hAnsi="Arial" w:cs="Arial"/>
        </w:rPr>
        <w:t>Ravulizumab</w:t>
      </w:r>
      <w:proofErr w:type="spellEnd"/>
      <w:r w:rsidR="00D81859" w:rsidRPr="00A02F3E">
        <w:rPr>
          <w:rFonts w:ascii="Arial" w:hAnsi="Arial" w:cs="Arial"/>
        </w:rPr>
        <w:t xml:space="preserve">, </w:t>
      </w:r>
      <w:proofErr w:type="spellStart"/>
      <w:r w:rsidR="00D81859" w:rsidRPr="00A02F3E">
        <w:rPr>
          <w:rFonts w:ascii="Arial" w:hAnsi="Arial" w:cs="Arial"/>
        </w:rPr>
        <w:t>Em</w:t>
      </w:r>
      <w:r w:rsidR="00B36998" w:rsidRPr="00A02F3E">
        <w:rPr>
          <w:rFonts w:ascii="Arial" w:hAnsi="Arial" w:cs="Arial"/>
        </w:rPr>
        <w:t>icizumab</w:t>
      </w:r>
      <w:proofErr w:type="spellEnd"/>
      <w:r w:rsidR="00B36998" w:rsidRPr="00A02F3E">
        <w:rPr>
          <w:rFonts w:ascii="Arial" w:hAnsi="Arial" w:cs="Arial"/>
        </w:rPr>
        <w:t xml:space="preserve">, and </w:t>
      </w:r>
      <w:proofErr w:type="spellStart"/>
      <w:r w:rsidR="00B36998" w:rsidRPr="00A02F3E">
        <w:rPr>
          <w:rFonts w:ascii="Arial" w:hAnsi="Arial" w:cs="Arial"/>
        </w:rPr>
        <w:t>Atidarsagene</w:t>
      </w:r>
      <w:proofErr w:type="spellEnd"/>
      <w:r w:rsidR="00B36998" w:rsidRPr="00A02F3E">
        <w:rPr>
          <w:rFonts w:ascii="Arial" w:hAnsi="Arial" w:cs="Arial"/>
        </w:rPr>
        <w:t xml:space="preserve"> </w:t>
      </w:r>
      <w:proofErr w:type="spellStart"/>
      <w:r w:rsidR="00B36998" w:rsidRPr="00A02F3E">
        <w:rPr>
          <w:rFonts w:ascii="Arial" w:hAnsi="Arial" w:cs="Arial"/>
        </w:rPr>
        <w:t>autotemcel</w:t>
      </w:r>
      <w:proofErr w:type="spellEnd"/>
      <w:r w:rsidR="00B36998" w:rsidRPr="00A02F3E">
        <w:rPr>
          <w:rFonts w:ascii="Arial" w:hAnsi="Arial" w:cs="Arial"/>
        </w:rPr>
        <w:t xml:space="preserve">. The cost of these medicines varied from 2.8 million to 23.2 million and the number of prescribed units varied markedly from 1 to 515,000. </w:t>
      </w:r>
      <w:r w:rsidR="00BC1C5B" w:rsidRPr="00A02F3E">
        <w:rPr>
          <w:rFonts w:ascii="Arial" w:hAnsi="Arial" w:cs="Arial"/>
        </w:rPr>
        <w:t xml:space="preserve">During April 2024, the top 10 most costly medicines were C1-esterase inhibitor, </w:t>
      </w:r>
      <w:proofErr w:type="spellStart"/>
      <w:r w:rsidR="00BC1C5B" w:rsidRPr="00A02F3E">
        <w:rPr>
          <w:rFonts w:ascii="Arial" w:hAnsi="Arial" w:cs="Arial"/>
        </w:rPr>
        <w:t>Emtricitabine</w:t>
      </w:r>
      <w:proofErr w:type="spellEnd"/>
      <w:r w:rsidR="00BC1C5B" w:rsidRPr="00A02F3E">
        <w:rPr>
          <w:rFonts w:ascii="Arial" w:hAnsi="Arial" w:cs="Arial"/>
        </w:rPr>
        <w:t xml:space="preserve">, </w:t>
      </w:r>
      <w:proofErr w:type="spellStart"/>
      <w:r w:rsidR="00BC1C5B" w:rsidRPr="00A02F3E">
        <w:rPr>
          <w:rFonts w:ascii="Arial" w:hAnsi="Arial" w:cs="Arial"/>
        </w:rPr>
        <w:t>Pembrolizumab</w:t>
      </w:r>
      <w:proofErr w:type="spellEnd"/>
      <w:r w:rsidR="00BC1C5B" w:rsidRPr="00A02F3E">
        <w:rPr>
          <w:rFonts w:ascii="Arial" w:hAnsi="Arial" w:cs="Arial"/>
        </w:rPr>
        <w:t xml:space="preserve">, generic </w:t>
      </w:r>
      <w:proofErr w:type="spellStart"/>
      <w:r w:rsidR="00BC1C5B" w:rsidRPr="00A02F3E">
        <w:rPr>
          <w:rFonts w:ascii="Arial" w:hAnsi="Arial" w:cs="Arial"/>
        </w:rPr>
        <w:t>Kaftrio</w:t>
      </w:r>
      <w:proofErr w:type="spellEnd"/>
      <w:r w:rsidR="00BC1C5B" w:rsidRPr="00A02F3E">
        <w:rPr>
          <w:rFonts w:ascii="Arial" w:hAnsi="Arial" w:cs="Arial"/>
        </w:rPr>
        <w:t xml:space="preserve">, </w:t>
      </w:r>
      <w:proofErr w:type="spellStart"/>
      <w:r w:rsidR="00BC1C5B" w:rsidRPr="00A02F3E">
        <w:rPr>
          <w:rFonts w:ascii="Arial" w:hAnsi="Arial" w:cs="Arial"/>
        </w:rPr>
        <w:t>Vutrisiran</w:t>
      </w:r>
      <w:proofErr w:type="spellEnd"/>
      <w:r w:rsidR="00BC1C5B" w:rsidRPr="00A02F3E">
        <w:rPr>
          <w:rFonts w:ascii="Arial" w:hAnsi="Arial" w:cs="Arial"/>
        </w:rPr>
        <w:t xml:space="preserve">, </w:t>
      </w:r>
      <w:proofErr w:type="spellStart"/>
      <w:r w:rsidR="00BC1C5B" w:rsidRPr="00A02F3E">
        <w:rPr>
          <w:rFonts w:ascii="Arial" w:hAnsi="Arial" w:cs="Arial"/>
        </w:rPr>
        <w:t>Ivacaftor</w:t>
      </w:r>
      <w:proofErr w:type="spellEnd"/>
      <w:r w:rsidR="00BC1C5B" w:rsidRPr="00A02F3E">
        <w:rPr>
          <w:rFonts w:ascii="Arial" w:hAnsi="Arial" w:cs="Arial"/>
        </w:rPr>
        <w:t xml:space="preserve">, </w:t>
      </w:r>
      <w:proofErr w:type="spellStart"/>
      <w:r w:rsidR="00BC1C5B" w:rsidRPr="00A02F3E">
        <w:rPr>
          <w:rFonts w:ascii="Arial" w:hAnsi="Arial" w:cs="Arial"/>
        </w:rPr>
        <w:t>Ravulizumab</w:t>
      </w:r>
      <w:proofErr w:type="spellEnd"/>
      <w:r w:rsidR="00BC1C5B" w:rsidRPr="00A02F3E">
        <w:rPr>
          <w:rFonts w:ascii="Arial" w:hAnsi="Arial" w:cs="Arial"/>
        </w:rPr>
        <w:t xml:space="preserve">, </w:t>
      </w:r>
      <w:proofErr w:type="spellStart"/>
      <w:r w:rsidR="00BC1C5B" w:rsidRPr="00A02F3E">
        <w:rPr>
          <w:rFonts w:ascii="Arial" w:hAnsi="Arial" w:cs="Arial"/>
        </w:rPr>
        <w:t>Bictegravir</w:t>
      </w:r>
      <w:proofErr w:type="spellEnd"/>
      <w:r w:rsidR="00BC1C5B" w:rsidRPr="00A02F3E">
        <w:rPr>
          <w:rFonts w:ascii="Arial" w:hAnsi="Arial" w:cs="Arial"/>
        </w:rPr>
        <w:t xml:space="preserve">, </w:t>
      </w:r>
      <w:proofErr w:type="spellStart"/>
      <w:r w:rsidR="00BC1C5B" w:rsidRPr="00A02F3E">
        <w:rPr>
          <w:rFonts w:ascii="Arial" w:hAnsi="Arial" w:cs="Arial"/>
        </w:rPr>
        <w:t>Emicizumab</w:t>
      </w:r>
      <w:proofErr w:type="spellEnd"/>
      <w:r w:rsidR="00BC1C5B" w:rsidRPr="00A02F3E">
        <w:rPr>
          <w:rFonts w:ascii="Arial" w:hAnsi="Arial" w:cs="Arial"/>
        </w:rPr>
        <w:t xml:space="preserve"> and </w:t>
      </w:r>
      <w:proofErr w:type="spellStart"/>
      <w:r w:rsidR="00BC1C5B" w:rsidRPr="00A02F3E">
        <w:rPr>
          <w:rFonts w:ascii="Arial" w:hAnsi="Arial" w:cs="Arial"/>
        </w:rPr>
        <w:t>Talquetamab</w:t>
      </w:r>
      <w:proofErr w:type="spellEnd"/>
      <w:r w:rsidR="00BC1C5B" w:rsidRPr="00A02F3E">
        <w:rPr>
          <w:rFonts w:ascii="Arial" w:hAnsi="Arial" w:cs="Arial"/>
        </w:rPr>
        <w:t xml:space="preserve">. The cost of these medicines varied from 2.3 million to 26.8 million and the number of prescribed units varied from 22.5 to 563,933. </w:t>
      </w:r>
    </w:p>
    <w:p w14:paraId="193FE1BE" w14:textId="42C3F902" w:rsidR="0071362E" w:rsidRPr="00A02F3E" w:rsidRDefault="0071362E" w:rsidP="00F66B3A">
      <w:pPr>
        <w:spacing w:line="276" w:lineRule="auto"/>
        <w:jc w:val="both"/>
        <w:rPr>
          <w:rFonts w:ascii="Arial" w:hAnsi="Arial" w:cs="Arial"/>
        </w:rPr>
      </w:pPr>
    </w:p>
    <w:p w14:paraId="7334AA66" w14:textId="643DB779" w:rsidR="0071362E" w:rsidRPr="00A02F3E" w:rsidRDefault="0071362E" w:rsidP="00F66B3A">
      <w:pPr>
        <w:spacing w:line="276" w:lineRule="auto"/>
        <w:jc w:val="both"/>
        <w:rPr>
          <w:rFonts w:ascii="Arial" w:hAnsi="Arial" w:cs="Arial"/>
        </w:rPr>
      </w:pPr>
      <w:r w:rsidRPr="00A02F3E">
        <w:rPr>
          <w:rFonts w:ascii="Arial" w:hAnsi="Arial" w:cs="Arial"/>
        </w:rPr>
        <w:t xml:space="preserve">During April 2023, the top 10 most costly medicines were Atezolizumab, Rituximab, </w:t>
      </w:r>
      <w:proofErr w:type="gramStart"/>
      <w:r w:rsidRPr="00A02F3E">
        <w:rPr>
          <w:rFonts w:ascii="Arial" w:hAnsi="Arial" w:cs="Arial"/>
        </w:rPr>
        <w:t>C1</w:t>
      </w:r>
      <w:proofErr w:type="gramEnd"/>
      <w:r w:rsidRPr="00A02F3E">
        <w:rPr>
          <w:rFonts w:ascii="Arial" w:hAnsi="Arial" w:cs="Arial"/>
        </w:rPr>
        <w:t xml:space="preserve">-esterase inhibitor, </w:t>
      </w:r>
      <w:proofErr w:type="spellStart"/>
      <w:r w:rsidRPr="00A02F3E">
        <w:rPr>
          <w:rFonts w:ascii="Arial" w:hAnsi="Arial" w:cs="Arial"/>
        </w:rPr>
        <w:t>Emtricitabine</w:t>
      </w:r>
      <w:proofErr w:type="spellEnd"/>
      <w:r w:rsidRPr="00A02F3E">
        <w:rPr>
          <w:rFonts w:ascii="Arial" w:hAnsi="Arial" w:cs="Arial"/>
        </w:rPr>
        <w:t xml:space="preserve">, Infliximab, </w:t>
      </w:r>
      <w:proofErr w:type="spellStart"/>
      <w:r w:rsidRPr="00A02F3E">
        <w:rPr>
          <w:rFonts w:ascii="Arial" w:hAnsi="Arial" w:cs="Arial"/>
        </w:rPr>
        <w:t>Pembrolizumab</w:t>
      </w:r>
      <w:proofErr w:type="spellEnd"/>
      <w:r w:rsidRPr="00A02F3E">
        <w:rPr>
          <w:rFonts w:ascii="Arial" w:hAnsi="Arial" w:cs="Arial"/>
        </w:rPr>
        <w:t xml:space="preserve">, generic </w:t>
      </w:r>
      <w:proofErr w:type="spellStart"/>
      <w:r w:rsidRPr="00A02F3E">
        <w:rPr>
          <w:rFonts w:ascii="Arial" w:hAnsi="Arial" w:cs="Arial"/>
        </w:rPr>
        <w:t>Kaftrio</w:t>
      </w:r>
      <w:proofErr w:type="spellEnd"/>
      <w:r w:rsidRPr="00A02F3E">
        <w:rPr>
          <w:rFonts w:ascii="Arial" w:hAnsi="Arial" w:cs="Arial"/>
        </w:rPr>
        <w:t xml:space="preserve">, </w:t>
      </w:r>
      <w:proofErr w:type="spellStart"/>
      <w:r w:rsidRPr="00A02F3E">
        <w:rPr>
          <w:rFonts w:ascii="Arial" w:hAnsi="Arial" w:cs="Arial"/>
        </w:rPr>
        <w:t>Ivacaftor</w:t>
      </w:r>
      <w:proofErr w:type="spellEnd"/>
      <w:r w:rsidRPr="00A02F3E">
        <w:rPr>
          <w:rFonts w:ascii="Arial" w:hAnsi="Arial" w:cs="Arial"/>
        </w:rPr>
        <w:t xml:space="preserve">, </w:t>
      </w:r>
      <w:proofErr w:type="spellStart"/>
      <w:r w:rsidRPr="00A02F3E">
        <w:rPr>
          <w:rFonts w:ascii="Arial" w:hAnsi="Arial" w:cs="Arial"/>
        </w:rPr>
        <w:t>Patisiran</w:t>
      </w:r>
      <w:proofErr w:type="spellEnd"/>
      <w:r w:rsidRPr="00A02F3E">
        <w:rPr>
          <w:rFonts w:ascii="Arial" w:hAnsi="Arial" w:cs="Arial"/>
        </w:rPr>
        <w:t xml:space="preserve"> and </w:t>
      </w:r>
      <w:proofErr w:type="spellStart"/>
      <w:r w:rsidRPr="00A02F3E">
        <w:rPr>
          <w:rFonts w:ascii="Arial" w:hAnsi="Arial" w:cs="Arial"/>
        </w:rPr>
        <w:t>Ravalizumab</w:t>
      </w:r>
      <w:proofErr w:type="spellEnd"/>
      <w:r w:rsidRPr="00A02F3E">
        <w:rPr>
          <w:rFonts w:ascii="Arial" w:hAnsi="Arial" w:cs="Arial"/>
        </w:rPr>
        <w:t xml:space="preserve">. The cost of these medicines varied from 3.3 million to 32.8 million and the number of prescribed units varied from 2,200 to 895,600. During April 2022, the top 10 most costly medicines were anti-D immunoglobulin, </w:t>
      </w:r>
      <w:proofErr w:type="spellStart"/>
      <w:r w:rsidRPr="00A02F3E">
        <w:rPr>
          <w:rFonts w:ascii="Arial" w:hAnsi="Arial" w:cs="Arial"/>
        </w:rPr>
        <w:t>Asfotase</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C1-esterase inhibitor, </w:t>
      </w:r>
      <w:proofErr w:type="spellStart"/>
      <w:r w:rsidRPr="00A02F3E">
        <w:rPr>
          <w:rFonts w:ascii="Arial" w:hAnsi="Arial" w:cs="Arial"/>
        </w:rPr>
        <w:t>Emtricitabine</w:t>
      </w:r>
      <w:proofErr w:type="spellEnd"/>
      <w:r w:rsidRPr="00A02F3E">
        <w:rPr>
          <w:rFonts w:ascii="Arial" w:hAnsi="Arial" w:cs="Arial"/>
        </w:rPr>
        <w:t xml:space="preserve">, generic </w:t>
      </w:r>
      <w:proofErr w:type="spellStart"/>
      <w:r w:rsidRPr="00A02F3E">
        <w:rPr>
          <w:rFonts w:ascii="Arial" w:hAnsi="Arial" w:cs="Arial"/>
        </w:rPr>
        <w:t>Kaftrio</w:t>
      </w:r>
      <w:proofErr w:type="spellEnd"/>
      <w:r w:rsidRPr="00A02F3E">
        <w:rPr>
          <w:rFonts w:ascii="Arial" w:hAnsi="Arial" w:cs="Arial"/>
        </w:rPr>
        <w:t xml:space="preserve">, </w:t>
      </w:r>
      <w:proofErr w:type="spellStart"/>
      <w:r w:rsidRPr="00A02F3E">
        <w:rPr>
          <w:rFonts w:ascii="Arial" w:hAnsi="Arial" w:cs="Arial"/>
        </w:rPr>
        <w:t>Ivacaftor</w:t>
      </w:r>
      <w:proofErr w:type="spellEnd"/>
      <w:r w:rsidRPr="00A02F3E">
        <w:rPr>
          <w:rFonts w:ascii="Arial" w:hAnsi="Arial" w:cs="Arial"/>
        </w:rPr>
        <w:t xml:space="preserve">, </w:t>
      </w:r>
      <w:proofErr w:type="spellStart"/>
      <w:r w:rsidRPr="00A02F3E">
        <w:rPr>
          <w:rFonts w:ascii="Arial" w:hAnsi="Arial" w:cs="Arial"/>
        </w:rPr>
        <w:t>Oxaliplatin</w:t>
      </w:r>
      <w:proofErr w:type="spellEnd"/>
      <w:r w:rsidRPr="00A02F3E">
        <w:rPr>
          <w:rFonts w:ascii="Arial" w:hAnsi="Arial" w:cs="Arial"/>
        </w:rPr>
        <w:t xml:space="preserve">, </w:t>
      </w:r>
      <w:proofErr w:type="spellStart"/>
      <w:r w:rsidRPr="00A02F3E">
        <w:rPr>
          <w:rFonts w:ascii="Arial" w:hAnsi="Arial" w:cs="Arial"/>
        </w:rPr>
        <w:t>Patisiran</w:t>
      </w:r>
      <w:proofErr w:type="spellEnd"/>
      <w:r w:rsidRPr="00A02F3E">
        <w:rPr>
          <w:rFonts w:ascii="Arial" w:hAnsi="Arial" w:cs="Arial"/>
        </w:rPr>
        <w:t xml:space="preserve">, </w:t>
      </w:r>
      <w:proofErr w:type="spellStart"/>
      <w:r w:rsidRPr="00A02F3E">
        <w:rPr>
          <w:rFonts w:ascii="Arial" w:hAnsi="Arial" w:cs="Arial"/>
        </w:rPr>
        <w:t>Aflibercept</w:t>
      </w:r>
      <w:proofErr w:type="spellEnd"/>
      <w:r w:rsidRPr="00A02F3E">
        <w:rPr>
          <w:rFonts w:ascii="Arial" w:hAnsi="Arial" w:cs="Arial"/>
        </w:rPr>
        <w:t xml:space="preserve">, and </w:t>
      </w:r>
      <w:proofErr w:type="spellStart"/>
      <w:r w:rsidRPr="00A02F3E">
        <w:rPr>
          <w:rFonts w:ascii="Arial" w:hAnsi="Arial" w:cs="Arial"/>
        </w:rPr>
        <w:t>Ravalizumab</w:t>
      </w:r>
      <w:proofErr w:type="spellEnd"/>
      <w:r w:rsidRPr="00A02F3E">
        <w:rPr>
          <w:rFonts w:ascii="Arial" w:hAnsi="Arial" w:cs="Arial"/>
        </w:rPr>
        <w:t xml:space="preserve">. The cost of these medicines varied from 2.5 million to 14.8 million and the number of prescribed units varied from 1,650 to 441,675. During April 2021, the top 10 most costly medicines were </w:t>
      </w:r>
      <w:proofErr w:type="spellStart"/>
      <w:r w:rsidRPr="00A02F3E">
        <w:rPr>
          <w:rFonts w:ascii="Arial" w:hAnsi="Arial" w:cs="Arial"/>
        </w:rPr>
        <w:t>Turoctocog</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w:t>
      </w:r>
      <w:proofErr w:type="spellStart"/>
      <w:r w:rsidRPr="00A02F3E">
        <w:rPr>
          <w:rFonts w:ascii="Arial" w:hAnsi="Arial" w:cs="Arial"/>
        </w:rPr>
        <w:t>pegol</w:t>
      </w:r>
      <w:proofErr w:type="spellEnd"/>
      <w:r w:rsidRPr="00A02F3E">
        <w:rPr>
          <w:rFonts w:ascii="Arial" w:hAnsi="Arial" w:cs="Arial"/>
        </w:rPr>
        <w:t xml:space="preserve">, </w:t>
      </w:r>
      <w:proofErr w:type="spellStart"/>
      <w:r w:rsidRPr="00A02F3E">
        <w:rPr>
          <w:rFonts w:ascii="Arial" w:hAnsi="Arial" w:cs="Arial"/>
        </w:rPr>
        <w:t>Simoctocog</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w:t>
      </w:r>
      <w:proofErr w:type="spellStart"/>
      <w:r w:rsidRPr="00A02F3E">
        <w:rPr>
          <w:rFonts w:ascii="Arial" w:hAnsi="Arial" w:cs="Arial"/>
        </w:rPr>
        <w:t>Octocog</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w:t>
      </w:r>
      <w:proofErr w:type="spellStart"/>
      <w:r w:rsidRPr="00A02F3E">
        <w:rPr>
          <w:rFonts w:ascii="Arial" w:hAnsi="Arial" w:cs="Arial"/>
        </w:rPr>
        <w:t>Moroctocog</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w:t>
      </w:r>
      <w:proofErr w:type="spellStart"/>
      <w:r w:rsidRPr="00A02F3E">
        <w:rPr>
          <w:rFonts w:ascii="Arial" w:hAnsi="Arial" w:cs="Arial"/>
        </w:rPr>
        <w:t>Nonacog</w:t>
      </w:r>
      <w:proofErr w:type="spellEnd"/>
      <w:r w:rsidRPr="00A02F3E">
        <w:rPr>
          <w:rFonts w:ascii="Arial" w:hAnsi="Arial" w:cs="Arial"/>
        </w:rPr>
        <w:t xml:space="preserve"> beta </w:t>
      </w:r>
      <w:proofErr w:type="spellStart"/>
      <w:r w:rsidRPr="00A02F3E">
        <w:rPr>
          <w:rFonts w:ascii="Arial" w:hAnsi="Arial" w:cs="Arial"/>
        </w:rPr>
        <w:t>pegol</w:t>
      </w:r>
      <w:proofErr w:type="spellEnd"/>
      <w:r w:rsidRPr="00A02F3E">
        <w:rPr>
          <w:rFonts w:ascii="Arial" w:hAnsi="Arial" w:cs="Arial"/>
        </w:rPr>
        <w:t xml:space="preserve">, </w:t>
      </w:r>
      <w:proofErr w:type="spellStart"/>
      <w:r w:rsidRPr="00A02F3E">
        <w:rPr>
          <w:rFonts w:ascii="Arial" w:hAnsi="Arial" w:cs="Arial"/>
        </w:rPr>
        <w:t>Pembrolizumab</w:t>
      </w:r>
      <w:proofErr w:type="spellEnd"/>
      <w:r w:rsidRPr="00A02F3E">
        <w:rPr>
          <w:rFonts w:ascii="Arial" w:hAnsi="Arial" w:cs="Arial"/>
        </w:rPr>
        <w:t xml:space="preserve">, </w:t>
      </w:r>
      <w:proofErr w:type="spellStart"/>
      <w:r w:rsidRPr="00A02F3E">
        <w:rPr>
          <w:rFonts w:ascii="Arial" w:hAnsi="Arial" w:cs="Arial"/>
        </w:rPr>
        <w:t>Nivolumab</w:t>
      </w:r>
      <w:proofErr w:type="spellEnd"/>
      <w:r w:rsidRPr="00A02F3E">
        <w:rPr>
          <w:rFonts w:ascii="Arial" w:hAnsi="Arial" w:cs="Arial"/>
        </w:rPr>
        <w:t xml:space="preserve">, anti-D immunoglobulin, </w:t>
      </w:r>
      <w:proofErr w:type="spellStart"/>
      <w:r w:rsidRPr="00A02F3E">
        <w:rPr>
          <w:rFonts w:ascii="Arial" w:hAnsi="Arial" w:cs="Arial"/>
        </w:rPr>
        <w:t>Asfotase</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and C1-esterase inhibitor. The cost of these medicines varied from </w:t>
      </w:r>
      <w:r w:rsidR="009C78D8" w:rsidRPr="00A02F3E">
        <w:rPr>
          <w:rFonts w:ascii="Arial" w:hAnsi="Arial" w:cs="Arial"/>
        </w:rPr>
        <w:t>7.7</w:t>
      </w:r>
      <w:r w:rsidRPr="00A02F3E">
        <w:rPr>
          <w:rFonts w:ascii="Arial" w:hAnsi="Arial" w:cs="Arial"/>
        </w:rPr>
        <w:t xml:space="preserve"> million to </w:t>
      </w:r>
      <w:r w:rsidR="009C78D8" w:rsidRPr="00A02F3E">
        <w:rPr>
          <w:rFonts w:ascii="Arial" w:hAnsi="Arial" w:cs="Arial"/>
        </w:rPr>
        <w:t>275.4</w:t>
      </w:r>
      <w:r w:rsidRPr="00A02F3E">
        <w:rPr>
          <w:rFonts w:ascii="Arial" w:hAnsi="Arial" w:cs="Arial"/>
        </w:rPr>
        <w:t xml:space="preserve"> million and the number of prescribed units varied from </w:t>
      </w:r>
      <w:r w:rsidR="009C78D8" w:rsidRPr="00A02F3E">
        <w:rPr>
          <w:rFonts w:ascii="Arial" w:hAnsi="Arial" w:cs="Arial"/>
        </w:rPr>
        <w:t xml:space="preserve">8,000 to 225,000. </w:t>
      </w:r>
    </w:p>
    <w:p w14:paraId="602062BA" w14:textId="5578568E" w:rsidR="007915B8" w:rsidRPr="00A02F3E" w:rsidRDefault="007915B8" w:rsidP="00F66B3A">
      <w:pPr>
        <w:spacing w:line="276" w:lineRule="auto"/>
        <w:jc w:val="both"/>
        <w:rPr>
          <w:rFonts w:ascii="Arial" w:hAnsi="Arial" w:cs="Arial"/>
        </w:rPr>
      </w:pPr>
    </w:p>
    <w:p w14:paraId="26C6EEBA" w14:textId="6E42A76F" w:rsidR="007915B8" w:rsidRPr="00A02F3E" w:rsidRDefault="007915B8" w:rsidP="00F66B3A">
      <w:pPr>
        <w:spacing w:line="276" w:lineRule="auto"/>
        <w:jc w:val="both"/>
        <w:rPr>
          <w:rFonts w:ascii="Arial" w:hAnsi="Arial" w:cs="Arial"/>
        </w:rPr>
      </w:pPr>
      <w:r w:rsidRPr="00A02F3E">
        <w:rPr>
          <w:rFonts w:ascii="Arial" w:hAnsi="Arial" w:cs="Arial"/>
        </w:rPr>
        <w:t>The total number of units prescribed among the top 10 most costly medicines observed a generally declining trend over time. The highest number of units amounted to 17.4 million during April 2024 and the lowest number of units was observed during April 2026 of 629,725</w:t>
      </w:r>
      <w:r w:rsidR="00A271A4" w:rsidRPr="00A02F3E">
        <w:rPr>
          <w:rFonts w:ascii="Arial" w:hAnsi="Arial" w:cs="Arial"/>
        </w:rPr>
        <w:t>, representing a 96.4% decrease</w:t>
      </w:r>
      <w:r w:rsidRPr="00A02F3E">
        <w:rPr>
          <w:rFonts w:ascii="Arial" w:hAnsi="Arial" w:cs="Arial"/>
        </w:rPr>
        <w:t xml:space="preserve">. The temporal trends in this data are shown in Figure 3. </w:t>
      </w:r>
    </w:p>
    <w:p w14:paraId="784A5034" w14:textId="55F3C151" w:rsidR="007915B8" w:rsidRPr="00F66B3A" w:rsidRDefault="007915B8" w:rsidP="00F66B3A">
      <w:pPr>
        <w:spacing w:line="276" w:lineRule="auto"/>
        <w:jc w:val="both"/>
        <w:rPr>
          <w:rFonts w:ascii="Baskerville" w:hAnsi="Baskerville"/>
        </w:rPr>
      </w:pPr>
    </w:p>
    <w:p w14:paraId="034C25F5" w14:textId="659E9176" w:rsidR="007915B8" w:rsidRPr="00F66B3A" w:rsidRDefault="007915B8" w:rsidP="00F66B3A">
      <w:pPr>
        <w:spacing w:line="276" w:lineRule="auto"/>
        <w:jc w:val="both"/>
        <w:rPr>
          <w:rFonts w:ascii="Baskerville" w:hAnsi="Baskerville"/>
        </w:rPr>
      </w:pPr>
      <w:r w:rsidRPr="00F66B3A">
        <w:rPr>
          <w:rFonts w:ascii="Baskerville" w:hAnsi="Baskerville"/>
          <w:noProof/>
        </w:rPr>
        <w:lastRenderedPageBreak/>
        <w:drawing>
          <wp:inline distT="0" distB="0" distL="0" distR="0" wp14:anchorId="0F3F3915" wp14:editId="3D573DED">
            <wp:extent cx="5019188" cy="2963457"/>
            <wp:effectExtent l="0" t="0" r="10160" b="8890"/>
            <wp:docPr id="10" name="Chart 10">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19777B5-1CB3-3B4E-8583-EF1989AB63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D442E7" w14:textId="25165346" w:rsidR="007915B8" w:rsidRPr="00A02F3E" w:rsidRDefault="007915B8" w:rsidP="00F66B3A">
      <w:pPr>
        <w:spacing w:line="276" w:lineRule="auto"/>
        <w:jc w:val="both"/>
        <w:rPr>
          <w:rFonts w:ascii="Arial" w:hAnsi="Arial" w:cs="Arial"/>
        </w:rPr>
      </w:pPr>
      <w:proofErr w:type="gramStart"/>
      <w:r w:rsidRPr="00A02F3E">
        <w:rPr>
          <w:rFonts w:ascii="Arial" w:hAnsi="Arial" w:cs="Arial"/>
        </w:rPr>
        <w:t>Figure 3.</w:t>
      </w:r>
      <w:proofErr w:type="gramEnd"/>
      <w:r w:rsidRPr="00A02F3E">
        <w:rPr>
          <w:rFonts w:ascii="Arial" w:hAnsi="Arial" w:cs="Arial"/>
        </w:rPr>
        <w:t xml:space="preserve"> Temporal trends in the total number of units prescribed of the top 10 most costly prescribed medicines</w:t>
      </w:r>
    </w:p>
    <w:p w14:paraId="6485786C" w14:textId="6F69B8D3" w:rsidR="007915B8" w:rsidRPr="00F66B3A" w:rsidRDefault="007915B8" w:rsidP="00F66B3A">
      <w:pPr>
        <w:spacing w:line="276" w:lineRule="auto"/>
        <w:jc w:val="both"/>
        <w:rPr>
          <w:rFonts w:ascii="Baskerville" w:hAnsi="Baskerville"/>
        </w:rPr>
      </w:pPr>
    </w:p>
    <w:p w14:paraId="45E45E94" w14:textId="650D2B34" w:rsidR="007915B8" w:rsidRPr="00F66B3A" w:rsidRDefault="007915B8" w:rsidP="00F66B3A">
      <w:pPr>
        <w:spacing w:line="276" w:lineRule="auto"/>
        <w:jc w:val="both"/>
        <w:rPr>
          <w:rFonts w:ascii="Baskerville" w:hAnsi="Baskerville"/>
        </w:rPr>
      </w:pPr>
    </w:p>
    <w:p w14:paraId="45D394BB" w14:textId="5DEBCD20" w:rsidR="009E5D2E" w:rsidRPr="00A02F3E" w:rsidRDefault="009E5D2E" w:rsidP="00F66B3A">
      <w:pPr>
        <w:spacing w:line="276" w:lineRule="auto"/>
        <w:jc w:val="both"/>
        <w:rPr>
          <w:rFonts w:ascii="Arial" w:hAnsi="Arial" w:cs="Arial"/>
        </w:rPr>
      </w:pPr>
      <w:r w:rsidRPr="00A02F3E">
        <w:rPr>
          <w:rFonts w:ascii="Arial" w:hAnsi="Arial" w:cs="Arial"/>
        </w:rPr>
        <w:t>The total cost of the top 10 most costly medicines also observed a generally declining trend with time. The total cost amounted to 21.0 million during April 2021 and decreased over the years to 6.8 million during April 2026. The temporal trends in this data are shown in Figure 4.</w:t>
      </w:r>
    </w:p>
    <w:p w14:paraId="3A2926B5" w14:textId="57BEBEAD" w:rsidR="009E5D2E" w:rsidRPr="00F66B3A" w:rsidRDefault="009E5D2E" w:rsidP="00F66B3A">
      <w:pPr>
        <w:spacing w:line="276" w:lineRule="auto"/>
        <w:jc w:val="both"/>
        <w:rPr>
          <w:rFonts w:ascii="Baskerville" w:hAnsi="Baskerville"/>
        </w:rPr>
      </w:pPr>
    </w:p>
    <w:p w14:paraId="4BA5D348" w14:textId="42704D86" w:rsidR="009E5D2E" w:rsidRPr="00F66B3A" w:rsidRDefault="009E5D2E" w:rsidP="00F66B3A">
      <w:pPr>
        <w:spacing w:line="276" w:lineRule="auto"/>
        <w:jc w:val="both"/>
        <w:rPr>
          <w:rFonts w:ascii="Baskerville" w:hAnsi="Baskerville"/>
        </w:rPr>
      </w:pPr>
      <w:r w:rsidRPr="00F66B3A">
        <w:rPr>
          <w:rFonts w:ascii="Baskerville" w:hAnsi="Baskerville"/>
          <w:noProof/>
        </w:rPr>
        <w:drawing>
          <wp:inline distT="0" distB="0" distL="0" distR="0" wp14:anchorId="695AE7D1" wp14:editId="56EF74CE">
            <wp:extent cx="5299515" cy="3203737"/>
            <wp:effectExtent l="0" t="0" r="9525" b="9525"/>
            <wp:docPr id="11" name="Chart 1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42C621-0ED7-214B-AB69-8CFC275621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CEE1EA" w14:textId="1042C709" w:rsidR="009E5D2E" w:rsidRPr="00A02F3E" w:rsidRDefault="009E5D2E" w:rsidP="00F66B3A">
      <w:pPr>
        <w:spacing w:line="276" w:lineRule="auto"/>
        <w:jc w:val="both"/>
        <w:rPr>
          <w:rFonts w:ascii="Arial" w:hAnsi="Arial" w:cs="Arial"/>
        </w:rPr>
      </w:pPr>
      <w:proofErr w:type="gramStart"/>
      <w:r w:rsidRPr="00A02F3E">
        <w:rPr>
          <w:rFonts w:ascii="Arial" w:hAnsi="Arial" w:cs="Arial"/>
        </w:rPr>
        <w:t>Figure 4.</w:t>
      </w:r>
      <w:proofErr w:type="gramEnd"/>
      <w:r w:rsidRPr="00A02F3E">
        <w:rPr>
          <w:rFonts w:ascii="Arial" w:hAnsi="Arial" w:cs="Arial"/>
        </w:rPr>
        <w:t xml:space="preserve"> Temporal trends in the total cost of the top 10 most costly medicines</w:t>
      </w:r>
    </w:p>
    <w:p w14:paraId="608F5110" w14:textId="7525B57D" w:rsidR="00FC2054" w:rsidRPr="00A02F3E" w:rsidRDefault="00FC2054" w:rsidP="00F66B3A">
      <w:pPr>
        <w:spacing w:line="276" w:lineRule="auto"/>
        <w:jc w:val="both"/>
        <w:rPr>
          <w:rFonts w:ascii="Arial" w:hAnsi="Arial" w:cs="Arial"/>
        </w:rPr>
      </w:pPr>
    </w:p>
    <w:p w14:paraId="08EE3619" w14:textId="50667A4C" w:rsidR="00FC2054" w:rsidRPr="00A02F3E" w:rsidRDefault="00FC2054" w:rsidP="00FC2054">
      <w:pPr>
        <w:spacing w:line="276" w:lineRule="auto"/>
        <w:jc w:val="both"/>
        <w:rPr>
          <w:rFonts w:ascii="Arial" w:hAnsi="Arial" w:cs="Arial"/>
        </w:rPr>
      </w:pPr>
      <w:proofErr w:type="gramStart"/>
      <w:r w:rsidRPr="00A02F3E">
        <w:rPr>
          <w:rFonts w:ascii="Arial" w:hAnsi="Arial" w:cs="Arial"/>
        </w:rPr>
        <w:t>Table 2.</w:t>
      </w:r>
      <w:proofErr w:type="gramEnd"/>
      <w:r w:rsidRPr="00A02F3E">
        <w:rPr>
          <w:rFonts w:ascii="Arial" w:hAnsi="Arial" w:cs="Arial"/>
        </w:rPr>
        <w:t xml:space="preserve"> Overview of the most costly prescribed medicines</w:t>
      </w:r>
    </w:p>
    <w:tbl>
      <w:tblPr>
        <w:tblStyle w:val="TableGrid"/>
        <w:tblW w:w="0" w:type="auto"/>
        <w:tblLook w:val="04A0" w:firstRow="1" w:lastRow="0" w:firstColumn="1" w:lastColumn="0" w:noHBand="0" w:noVBand="1"/>
      </w:tblPr>
      <w:tblGrid>
        <w:gridCol w:w="988"/>
        <w:gridCol w:w="1134"/>
        <w:gridCol w:w="1134"/>
        <w:gridCol w:w="1417"/>
        <w:gridCol w:w="1134"/>
        <w:gridCol w:w="1418"/>
      </w:tblGrid>
      <w:tr w:rsidR="00FC2054" w:rsidRPr="005D3253" w14:paraId="5EC40A51" w14:textId="77777777" w:rsidTr="008909D0">
        <w:tc>
          <w:tcPr>
            <w:tcW w:w="988" w:type="dxa"/>
          </w:tcPr>
          <w:p w14:paraId="359E0ACA"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Time</w:t>
            </w:r>
          </w:p>
        </w:tc>
        <w:tc>
          <w:tcPr>
            <w:tcW w:w="1134" w:type="dxa"/>
          </w:tcPr>
          <w:p w14:paraId="0B10B995" w14:textId="62F51562"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 xml:space="preserve">Lowest </w:t>
            </w:r>
            <w:r>
              <w:rPr>
                <w:rFonts w:ascii="Baskerville" w:hAnsi="Baskerville"/>
                <w:sz w:val="20"/>
                <w:szCs w:val="20"/>
              </w:rPr>
              <w:lastRenderedPageBreak/>
              <w:t>Medicine Cost</w:t>
            </w:r>
            <w:r w:rsidRPr="005D3253">
              <w:rPr>
                <w:rFonts w:ascii="Baskerville" w:hAnsi="Baskerville"/>
                <w:sz w:val="20"/>
                <w:szCs w:val="20"/>
              </w:rPr>
              <w:t xml:space="preserve"> (million)</w:t>
            </w:r>
          </w:p>
        </w:tc>
        <w:tc>
          <w:tcPr>
            <w:tcW w:w="1134" w:type="dxa"/>
          </w:tcPr>
          <w:p w14:paraId="1BAC4693" w14:textId="780E7C71"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lastRenderedPageBreak/>
              <w:t xml:space="preserve">Highest </w:t>
            </w:r>
            <w:r>
              <w:rPr>
                <w:rFonts w:ascii="Baskerville" w:hAnsi="Baskerville"/>
                <w:sz w:val="20"/>
                <w:szCs w:val="20"/>
              </w:rPr>
              <w:lastRenderedPageBreak/>
              <w:t>Medicine Cost</w:t>
            </w:r>
            <w:r w:rsidRPr="005D3253">
              <w:rPr>
                <w:rFonts w:ascii="Baskerville" w:hAnsi="Baskerville"/>
                <w:sz w:val="20"/>
                <w:szCs w:val="20"/>
              </w:rPr>
              <w:t xml:space="preserve"> (million)</w:t>
            </w:r>
          </w:p>
        </w:tc>
        <w:tc>
          <w:tcPr>
            <w:tcW w:w="1417" w:type="dxa"/>
          </w:tcPr>
          <w:p w14:paraId="3B1C26C8" w14:textId="7B4429B2"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lastRenderedPageBreak/>
              <w:t xml:space="preserve">Range of Units </w:t>
            </w:r>
            <w:r>
              <w:rPr>
                <w:rFonts w:ascii="Baskerville" w:hAnsi="Baskerville"/>
                <w:sz w:val="20"/>
                <w:szCs w:val="20"/>
              </w:rPr>
              <w:lastRenderedPageBreak/>
              <w:t>Prescribed (thousand)</w:t>
            </w:r>
          </w:p>
        </w:tc>
        <w:tc>
          <w:tcPr>
            <w:tcW w:w="1134" w:type="dxa"/>
          </w:tcPr>
          <w:p w14:paraId="42089508" w14:textId="7C596890"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lastRenderedPageBreak/>
              <w:t xml:space="preserve">Total </w:t>
            </w:r>
            <w:r>
              <w:rPr>
                <w:rFonts w:ascii="Baskerville" w:hAnsi="Baskerville"/>
                <w:sz w:val="20"/>
                <w:szCs w:val="20"/>
              </w:rPr>
              <w:t xml:space="preserve">Units </w:t>
            </w:r>
            <w:r>
              <w:rPr>
                <w:rFonts w:ascii="Baskerville" w:hAnsi="Baskerville"/>
                <w:sz w:val="20"/>
                <w:szCs w:val="20"/>
              </w:rPr>
              <w:lastRenderedPageBreak/>
              <w:t>of Top 10 (million)</w:t>
            </w:r>
          </w:p>
        </w:tc>
        <w:tc>
          <w:tcPr>
            <w:tcW w:w="1418" w:type="dxa"/>
          </w:tcPr>
          <w:p w14:paraId="5E4A2D98" w14:textId="49DC64D2"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lastRenderedPageBreak/>
              <w:t xml:space="preserve">Total Cost of </w:t>
            </w:r>
            <w:r>
              <w:rPr>
                <w:rFonts w:ascii="Baskerville" w:hAnsi="Baskerville"/>
                <w:sz w:val="20"/>
                <w:szCs w:val="20"/>
              </w:rPr>
              <w:lastRenderedPageBreak/>
              <w:t>Top 10 (million</w:t>
            </w:r>
          </w:p>
        </w:tc>
      </w:tr>
      <w:tr w:rsidR="00FC2054" w:rsidRPr="005D3253" w14:paraId="28F7E5F4" w14:textId="77777777" w:rsidTr="008909D0">
        <w:tc>
          <w:tcPr>
            <w:tcW w:w="988" w:type="dxa"/>
          </w:tcPr>
          <w:p w14:paraId="21CCA70F"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lastRenderedPageBreak/>
              <w:t>April 2021</w:t>
            </w:r>
          </w:p>
        </w:tc>
        <w:tc>
          <w:tcPr>
            <w:tcW w:w="1134" w:type="dxa"/>
          </w:tcPr>
          <w:p w14:paraId="4331B7ED" w14:textId="75DDEC42"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7.7</w:t>
            </w:r>
          </w:p>
        </w:tc>
        <w:tc>
          <w:tcPr>
            <w:tcW w:w="1134" w:type="dxa"/>
          </w:tcPr>
          <w:p w14:paraId="6569D1E4" w14:textId="1ECB20EB"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275.4</w:t>
            </w:r>
          </w:p>
        </w:tc>
        <w:tc>
          <w:tcPr>
            <w:tcW w:w="1417" w:type="dxa"/>
          </w:tcPr>
          <w:p w14:paraId="27A60D05" w14:textId="1B8F4F5F"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8-225</w:t>
            </w:r>
          </w:p>
        </w:tc>
        <w:tc>
          <w:tcPr>
            <w:tcW w:w="1134" w:type="dxa"/>
          </w:tcPr>
          <w:p w14:paraId="284E2F97" w14:textId="73AB8049"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0.8</w:t>
            </w:r>
          </w:p>
        </w:tc>
        <w:tc>
          <w:tcPr>
            <w:tcW w:w="1418" w:type="dxa"/>
          </w:tcPr>
          <w:p w14:paraId="5A84853A" w14:textId="11BF93EE" w:rsidR="00FC2054" w:rsidRPr="005D3253" w:rsidRDefault="000166E6" w:rsidP="00C64749">
            <w:pPr>
              <w:rPr>
                <w:sz w:val="20"/>
                <w:szCs w:val="20"/>
              </w:rPr>
            </w:pPr>
            <w:r>
              <w:rPr>
                <w:sz w:val="20"/>
                <w:szCs w:val="20"/>
              </w:rPr>
              <w:t>210.5</w:t>
            </w:r>
          </w:p>
        </w:tc>
      </w:tr>
      <w:tr w:rsidR="00FC2054" w:rsidRPr="005D3253" w14:paraId="42D6A237" w14:textId="77777777" w:rsidTr="008909D0">
        <w:tc>
          <w:tcPr>
            <w:tcW w:w="988" w:type="dxa"/>
          </w:tcPr>
          <w:p w14:paraId="493D79FD"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April 2022</w:t>
            </w:r>
          </w:p>
        </w:tc>
        <w:tc>
          <w:tcPr>
            <w:tcW w:w="1134" w:type="dxa"/>
          </w:tcPr>
          <w:p w14:paraId="567DA92A" w14:textId="304B6CBB"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2.5</w:t>
            </w:r>
          </w:p>
        </w:tc>
        <w:tc>
          <w:tcPr>
            <w:tcW w:w="1134" w:type="dxa"/>
          </w:tcPr>
          <w:p w14:paraId="2DCF8A53" w14:textId="5C35A8D7"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14.8</w:t>
            </w:r>
          </w:p>
        </w:tc>
        <w:tc>
          <w:tcPr>
            <w:tcW w:w="1417" w:type="dxa"/>
          </w:tcPr>
          <w:p w14:paraId="0DFA525F" w14:textId="160BEAEA"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2-441</w:t>
            </w:r>
          </w:p>
        </w:tc>
        <w:tc>
          <w:tcPr>
            <w:tcW w:w="1134" w:type="dxa"/>
          </w:tcPr>
          <w:p w14:paraId="5736AD2C" w14:textId="7D458564"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1.3</w:t>
            </w:r>
          </w:p>
        </w:tc>
        <w:tc>
          <w:tcPr>
            <w:tcW w:w="1418" w:type="dxa"/>
          </w:tcPr>
          <w:p w14:paraId="679E66B2" w14:textId="2444E033" w:rsidR="00FC2054" w:rsidRPr="005D3253" w:rsidRDefault="000166E6" w:rsidP="00C64749">
            <w:pPr>
              <w:rPr>
                <w:sz w:val="20"/>
                <w:szCs w:val="20"/>
              </w:rPr>
            </w:pPr>
            <w:r>
              <w:rPr>
                <w:sz w:val="20"/>
                <w:szCs w:val="20"/>
              </w:rPr>
              <w:t>60.3</w:t>
            </w:r>
          </w:p>
        </w:tc>
      </w:tr>
      <w:tr w:rsidR="00FC2054" w:rsidRPr="005D3253" w14:paraId="1F12C7EB" w14:textId="77777777" w:rsidTr="008909D0">
        <w:tc>
          <w:tcPr>
            <w:tcW w:w="988" w:type="dxa"/>
          </w:tcPr>
          <w:p w14:paraId="3F19F2DE"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April 2023</w:t>
            </w:r>
          </w:p>
        </w:tc>
        <w:tc>
          <w:tcPr>
            <w:tcW w:w="1134" w:type="dxa"/>
          </w:tcPr>
          <w:p w14:paraId="61871526" w14:textId="6374EDCD"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3.3</w:t>
            </w:r>
          </w:p>
        </w:tc>
        <w:tc>
          <w:tcPr>
            <w:tcW w:w="1134" w:type="dxa"/>
          </w:tcPr>
          <w:p w14:paraId="16433F3B" w14:textId="1F1E8485"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32.8</w:t>
            </w:r>
          </w:p>
        </w:tc>
        <w:tc>
          <w:tcPr>
            <w:tcW w:w="1417" w:type="dxa"/>
          </w:tcPr>
          <w:p w14:paraId="2CDD678B" w14:textId="0FBD1112"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2-895</w:t>
            </w:r>
          </w:p>
        </w:tc>
        <w:tc>
          <w:tcPr>
            <w:tcW w:w="1134" w:type="dxa"/>
          </w:tcPr>
          <w:p w14:paraId="44DA004F" w14:textId="29623B9A"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1.7</w:t>
            </w:r>
          </w:p>
        </w:tc>
        <w:tc>
          <w:tcPr>
            <w:tcW w:w="1418" w:type="dxa"/>
          </w:tcPr>
          <w:p w14:paraId="7A4AB51B" w14:textId="757893B0" w:rsidR="00FC2054" w:rsidRPr="005D3253" w:rsidRDefault="000166E6" w:rsidP="00C64749">
            <w:pPr>
              <w:rPr>
                <w:sz w:val="20"/>
                <w:szCs w:val="20"/>
              </w:rPr>
            </w:pPr>
            <w:r>
              <w:rPr>
                <w:sz w:val="20"/>
                <w:szCs w:val="20"/>
              </w:rPr>
              <w:t>95.6</w:t>
            </w:r>
          </w:p>
        </w:tc>
      </w:tr>
      <w:tr w:rsidR="00FC2054" w:rsidRPr="005D3253" w14:paraId="3B29BD09" w14:textId="77777777" w:rsidTr="008909D0">
        <w:tc>
          <w:tcPr>
            <w:tcW w:w="988" w:type="dxa"/>
          </w:tcPr>
          <w:p w14:paraId="2E8C46A2"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April 2024</w:t>
            </w:r>
          </w:p>
        </w:tc>
        <w:tc>
          <w:tcPr>
            <w:tcW w:w="1134" w:type="dxa"/>
          </w:tcPr>
          <w:p w14:paraId="567E7A89" w14:textId="30655675"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2.3</w:t>
            </w:r>
          </w:p>
        </w:tc>
        <w:tc>
          <w:tcPr>
            <w:tcW w:w="1134" w:type="dxa"/>
          </w:tcPr>
          <w:p w14:paraId="4D2FB0C3" w14:textId="7E9DD156"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26.8</w:t>
            </w:r>
          </w:p>
        </w:tc>
        <w:tc>
          <w:tcPr>
            <w:tcW w:w="1417" w:type="dxa"/>
          </w:tcPr>
          <w:p w14:paraId="399CFE42" w14:textId="1A337482"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23-564</w:t>
            </w:r>
          </w:p>
        </w:tc>
        <w:tc>
          <w:tcPr>
            <w:tcW w:w="1134" w:type="dxa"/>
          </w:tcPr>
          <w:p w14:paraId="56D30683" w14:textId="38953C0B"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7.4</w:t>
            </w:r>
          </w:p>
        </w:tc>
        <w:tc>
          <w:tcPr>
            <w:tcW w:w="1418" w:type="dxa"/>
          </w:tcPr>
          <w:p w14:paraId="78ADB5F0" w14:textId="277860F7" w:rsidR="00FC2054" w:rsidRPr="005D3253" w:rsidRDefault="00FC2054" w:rsidP="00C64749">
            <w:pPr>
              <w:rPr>
                <w:sz w:val="20"/>
                <w:szCs w:val="20"/>
              </w:rPr>
            </w:pPr>
            <w:r>
              <w:rPr>
                <w:sz w:val="20"/>
                <w:szCs w:val="20"/>
              </w:rPr>
              <w:t>61.0</w:t>
            </w:r>
          </w:p>
        </w:tc>
      </w:tr>
      <w:tr w:rsidR="00FC2054" w:rsidRPr="005D3253" w14:paraId="4FB37EA6" w14:textId="77777777" w:rsidTr="008909D0">
        <w:tc>
          <w:tcPr>
            <w:tcW w:w="988" w:type="dxa"/>
          </w:tcPr>
          <w:p w14:paraId="4B45DE0E"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April 2025</w:t>
            </w:r>
          </w:p>
        </w:tc>
        <w:tc>
          <w:tcPr>
            <w:tcW w:w="1134" w:type="dxa"/>
          </w:tcPr>
          <w:p w14:paraId="5264AC7B" w14:textId="7927C96D"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2.8</w:t>
            </w:r>
          </w:p>
        </w:tc>
        <w:tc>
          <w:tcPr>
            <w:tcW w:w="1134" w:type="dxa"/>
          </w:tcPr>
          <w:p w14:paraId="7B39CC03" w14:textId="63D3C94D"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23.2</w:t>
            </w:r>
          </w:p>
        </w:tc>
        <w:tc>
          <w:tcPr>
            <w:tcW w:w="1417" w:type="dxa"/>
          </w:tcPr>
          <w:p w14:paraId="73548D6B" w14:textId="4D7034EB"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1-515</w:t>
            </w:r>
          </w:p>
        </w:tc>
        <w:tc>
          <w:tcPr>
            <w:tcW w:w="1134" w:type="dxa"/>
          </w:tcPr>
          <w:p w14:paraId="0DC2254E" w14:textId="6FAA499E"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12.4</w:t>
            </w:r>
          </w:p>
        </w:tc>
        <w:tc>
          <w:tcPr>
            <w:tcW w:w="1418" w:type="dxa"/>
          </w:tcPr>
          <w:p w14:paraId="6C1DD64F" w14:textId="11205FDD" w:rsidR="00FC2054" w:rsidRPr="005D3253" w:rsidRDefault="00FC2054" w:rsidP="00C64749">
            <w:pPr>
              <w:rPr>
                <w:sz w:val="20"/>
                <w:szCs w:val="20"/>
              </w:rPr>
            </w:pPr>
            <w:r>
              <w:rPr>
                <w:sz w:val="20"/>
                <w:szCs w:val="20"/>
              </w:rPr>
              <w:t>71.7</w:t>
            </w:r>
          </w:p>
        </w:tc>
      </w:tr>
      <w:tr w:rsidR="00FC2054" w:rsidRPr="005D3253" w14:paraId="22189B0B" w14:textId="77777777" w:rsidTr="008909D0">
        <w:tc>
          <w:tcPr>
            <w:tcW w:w="988" w:type="dxa"/>
          </w:tcPr>
          <w:p w14:paraId="340E7A27" w14:textId="77777777" w:rsidR="00FC2054" w:rsidRPr="005D3253" w:rsidRDefault="00FC2054" w:rsidP="00C64749">
            <w:pPr>
              <w:spacing w:line="276" w:lineRule="auto"/>
              <w:jc w:val="both"/>
              <w:rPr>
                <w:rFonts w:ascii="Baskerville" w:hAnsi="Baskerville"/>
                <w:sz w:val="20"/>
                <w:szCs w:val="20"/>
              </w:rPr>
            </w:pPr>
            <w:r w:rsidRPr="005D3253">
              <w:rPr>
                <w:rFonts w:ascii="Baskerville" w:hAnsi="Baskerville"/>
                <w:sz w:val="20"/>
                <w:szCs w:val="20"/>
              </w:rPr>
              <w:t>April 2026</w:t>
            </w:r>
          </w:p>
        </w:tc>
        <w:tc>
          <w:tcPr>
            <w:tcW w:w="1134" w:type="dxa"/>
          </w:tcPr>
          <w:p w14:paraId="2A70E776" w14:textId="4D79CAE3"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2.7</w:t>
            </w:r>
          </w:p>
        </w:tc>
        <w:tc>
          <w:tcPr>
            <w:tcW w:w="1134" w:type="dxa"/>
          </w:tcPr>
          <w:p w14:paraId="486C63AC" w14:textId="7DBDE271"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21.5</w:t>
            </w:r>
          </w:p>
        </w:tc>
        <w:tc>
          <w:tcPr>
            <w:tcW w:w="1417" w:type="dxa"/>
          </w:tcPr>
          <w:p w14:paraId="0138941B" w14:textId="36E7B77F"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2-473</w:t>
            </w:r>
          </w:p>
        </w:tc>
        <w:tc>
          <w:tcPr>
            <w:tcW w:w="1134" w:type="dxa"/>
          </w:tcPr>
          <w:p w14:paraId="72968262" w14:textId="37BE1076" w:rsidR="00FC2054" w:rsidRPr="005D3253" w:rsidRDefault="00FC2054" w:rsidP="00C64749">
            <w:pPr>
              <w:spacing w:line="276" w:lineRule="auto"/>
              <w:jc w:val="both"/>
              <w:rPr>
                <w:rFonts w:ascii="Baskerville" w:hAnsi="Baskerville"/>
                <w:sz w:val="20"/>
                <w:szCs w:val="20"/>
              </w:rPr>
            </w:pPr>
            <w:r>
              <w:rPr>
                <w:rFonts w:ascii="Baskerville" w:hAnsi="Baskerville"/>
                <w:sz w:val="20"/>
                <w:szCs w:val="20"/>
              </w:rPr>
              <w:t>0.6</w:t>
            </w:r>
          </w:p>
        </w:tc>
        <w:tc>
          <w:tcPr>
            <w:tcW w:w="1418" w:type="dxa"/>
          </w:tcPr>
          <w:p w14:paraId="1314DABF" w14:textId="7DF35FA5" w:rsidR="00FC2054" w:rsidRPr="005D3253" w:rsidRDefault="00FC2054" w:rsidP="00C64749">
            <w:pPr>
              <w:rPr>
                <w:sz w:val="20"/>
                <w:szCs w:val="20"/>
              </w:rPr>
            </w:pPr>
            <w:r>
              <w:rPr>
                <w:sz w:val="20"/>
                <w:szCs w:val="20"/>
              </w:rPr>
              <w:t>68.4</w:t>
            </w:r>
          </w:p>
        </w:tc>
      </w:tr>
    </w:tbl>
    <w:p w14:paraId="42B08514" w14:textId="77777777" w:rsidR="00FC2054" w:rsidRPr="00F66B3A" w:rsidRDefault="00FC2054" w:rsidP="00F66B3A">
      <w:pPr>
        <w:spacing w:line="276" w:lineRule="auto"/>
        <w:jc w:val="both"/>
        <w:rPr>
          <w:rFonts w:ascii="Baskerville" w:hAnsi="Baskerville"/>
        </w:rPr>
      </w:pPr>
    </w:p>
    <w:p w14:paraId="049D6F63" w14:textId="77777777" w:rsidR="007915B8" w:rsidRPr="00F66B3A" w:rsidRDefault="007915B8" w:rsidP="00F66B3A">
      <w:pPr>
        <w:spacing w:line="276" w:lineRule="auto"/>
        <w:jc w:val="both"/>
        <w:rPr>
          <w:rFonts w:ascii="Baskerville" w:hAnsi="Baskerville"/>
        </w:rPr>
      </w:pPr>
    </w:p>
    <w:p w14:paraId="543DBC3E" w14:textId="0E202EF5" w:rsidR="00761334" w:rsidRPr="00A02F3E" w:rsidRDefault="00244FD1" w:rsidP="00F66B3A">
      <w:pPr>
        <w:spacing w:line="276" w:lineRule="auto"/>
        <w:jc w:val="both"/>
        <w:rPr>
          <w:rFonts w:ascii="Arial" w:hAnsi="Arial" w:cs="Arial"/>
          <w:i/>
          <w:iCs/>
        </w:rPr>
      </w:pPr>
      <w:r w:rsidRPr="00A02F3E">
        <w:rPr>
          <w:rFonts w:ascii="Arial" w:hAnsi="Arial" w:cs="Arial"/>
          <w:i/>
          <w:iCs/>
        </w:rPr>
        <w:t>Cost Variances</w:t>
      </w:r>
    </w:p>
    <w:p w14:paraId="03B62D26" w14:textId="7EEEAA7F" w:rsidR="00244FD1" w:rsidRPr="00A02F3E" w:rsidRDefault="00244FD1" w:rsidP="00F66B3A">
      <w:pPr>
        <w:spacing w:line="276" w:lineRule="auto"/>
        <w:jc w:val="both"/>
        <w:rPr>
          <w:rFonts w:ascii="Arial" w:hAnsi="Arial" w:cs="Arial"/>
        </w:rPr>
      </w:pPr>
    </w:p>
    <w:p w14:paraId="250FC3F9" w14:textId="00BDC381" w:rsidR="00244FD1" w:rsidRPr="00A02F3E" w:rsidRDefault="00244FD1" w:rsidP="00F66B3A">
      <w:pPr>
        <w:spacing w:line="276" w:lineRule="auto"/>
        <w:jc w:val="both"/>
        <w:rPr>
          <w:rFonts w:ascii="Arial" w:hAnsi="Arial" w:cs="Arial"/>
        </w:rPr>
      </w:pPr>
      <w:r w:rsidRPr="00A02F3E">
        <w:rPr>
          <w:rFonts w:ascii="Arial" w:hAnsi="Arial" w:cs="Arial"/>
        </w:rPr>
        <w:t xml:space="preserve">This final analysis considered the medicines included in the top 10 rankings for both the frequency of prescribed and highest cost categories. It therefore contains more than 10 medicines per group in view of the rankings changing over the 5-year time period. </w:t>
      </w:r>
    </w:p>
    <w:p w14:paraId="0B01E4BD" w14:textId="62B0D4F7" w:rsidR="001C1136" w:rsidRPr="00A02F3E" w:rsidRDefault="001C1136" w:rsidP="00F66B3A">
      <w:pPr>
        <w:spacing w:line="276" w:lineRule="auto"/>
        <w:jc w:val="both"/>
        <w:rPr>
          <w:rFonts w:ascii="Arial" w:hAnsi="Arial" w:cs="Arial"/>
        </w:rPr>
      </w:pPr>
    </w:p>
    <w:p w14:paraId="107CC229" w14:textId="15472F6D" w:rsidR="00D440BF" w:rsidRPr="00A02F3E" w:rsidRDefault="001C1136" w:rsidP="00F66B3A">
      <w:pPr>
        <w:spacing w:line="276" w:lineRule="auto"/>
        <w:jc w:val="both"/>
        <w:rPr>
          <w:rFonts w:ascii="Arial" w:hAnsi="Arial" w:cs="Arial"/>
        </w:rPr>
      </w:pPr>
      <w:r w:rsidRPr="00A02F3E">
        <w:rPr>
          <w:rFonts w:ascii="Arial" w:hAnsi="Arial" w:cs="Arial"/>
        </w:rPr>
        <w:t xml:space="preserve">In regard to the most frequently prescribed medicines, the first medicine, generic </w:t>
      </w:r>
      <w:proofErr w:type="spellStart"/>
      <w:r w:rsidRPr="00A02F3E">
        <w:rPr>
          <w:rFonts w:ascii="Arial" w:hAnsi="Arial" w:cs="Arial"/>
        </w:rPr>
        <w:t>Epimax</w:t>
      </w:r>
      <w:proofErr w:type="spellEnd"/>
      <w:r w:rsidRPr="00A02F3E">
        <w:rPr>
          <w:rFonts w:ascii="Arial" w:hAnsi="Arial" w:cs="Arial"/>
        </w:rPr>
        <w:t xml:space="preserve"> cream was estimated to incur a £0.01 per unit cost during 2021, which remained for the years 2022, 2023, 2024 and 2025. </w:t>
      </w:r>
      <w:r w:rsidR="00BD2F16" w:rsidRPr="00A02F3E">
        <w:rPr>
          <w:rFonts w:ascii="Arial" w:hAnsi="Arial" w:cs="Arial"/>
        </w:rPr>
        <w:t xml:space="preserve">This cost and trend was also observed for generic </w:t>
      </w:r>
      <w:proofErr w:type="spellStart"/>
      <w:r w:rsidR="00BD2F16" w:rsidRPr="00A02F3E">
        <w:rPr>
          <w:rFonts w:ascii="Arial" w:hAnsi="Arial" w:cs="Arial"/>
        </w:rPr>
        <w:t>Diprobase</w:t>
      </w:r>
      <w:proofErr w:type="spellEnd"/>
      <w:r w:rsidR="00BD2F16" w:rsidRPr="00A02F3E">
        <w:rPr>
          <w:rFonts w:ascii="Arial" w:hAnsi="Arial" w:cs="Arial"/>
        </w:rPr>
        <w:t xml:space="preserve"> cream, </w:t>
      </w:r>
      <w:proofErr w:type="spellStart"/>
      <w:r w:rsidR="00BD2F16" w:rsidRPr="00A02F3E">
        <w:rPr>
          <w:rFonts w:ascii="Arial" w:hAnsi="Arial" w:cs="Arial"/>
        </w:rPr>
        <w:t>paracetamol</w:t>
      </w:r>
      <w:proofErr w:type="spellEnd"/>
      <w:r w:rsidR="00BD2F16" w:rsidRPr="00A02F3E">
        <w:rPr>
          <w:rFonts w:ascii="Arial" w:hAnsi="Arial" w:cs="Arial"/>
        </w:rPr>
        <w:t xml:space="preserve">, and generic nutritional supplements. </w:t>
      </w:r>
      <w:r w:rsidR="00D440BF" w:rsidRPr="00A02F3E">
        <w:rPr>
          <w:rFonts w:ascii="Arial" w:hAnsi="Arial" w:cs="Arial"/>
        </w:rPr>
        <w:t xml:space="preserve">Medicines with cheaper per unit costs than £0.01 were not considered. </w:t>
      </w:r>
      <w:r w:rsidR="00BD2F16" w:rsidRPr="00A02F3E">
        <w:rPr>
          <w:rFonts w:ascii="Arial" w:hAnsi="Arial" w:cs="Arial"/>
        </w:rPr>
        <w:t xml:space="preserve">For melatonin, </w:t>
      </w:r>
      <w:proofErr w:type="gramStart"/>
      <w:r w:rsidR="00BD2F16" w:rsidRPr="00A02F3E">
        <w:rPr>
          <w:rFonts w:ascii="Arial" w:hAnsi="Arial" w:cs="Arial"/>
        </w:rPr>
        <w:t>the per</w:t>
      </w:r>
      <w:proofErr w:type="gramEnd"/>
      <w:r w:rsidR="00BD2F16" w:rsidRPr="00A02F3E">
        <w:rPr>
          <w:rFonts w:ascii="Arial" w:hAnsi="Arial" w:cs="Arial"/>
        </w:rPr>
        <w:t xml:space="preserve"> unit cost was £0.51 in 2021, </w:t>
      </w:r>
      <w:r w:rsidR="00276E00" w:rsidRPr="00A02F3E">
        <w:rPr>
          <w:rFonts w:ascii="Arial" w:hAnsi="Arial" w:cs="Arial"/>
        </w:rPr>
        <w:t>but this increased to £0.85 in 2022, £1.04 in 2023, and to £1.1 in 2024</w:t>
      </w:r>
      <w:r w:rsidR="00D440BF" w:rsidRPr="00A02F3E">
        <w:rPr>
          <w:rFonts w:ascii="Arial" w:hAnsi="Arial" w:cs="Arial"/>
        </w:rPr>
        <w:t xml:space="preserve">, </w:t>
      </w:r>
      <w:r w:rsidR="00276E00" w:rsidRPr="00A02F3E">
        <w:rPr>
          <w:rFonts w:ascii="Arial" w:hAnsi="Arial" w:cs="Arial"/>
        </w:rPr>
        <w:t>2025</w:t>
      </w:r>
      <w:r w:rsidR="00D440BF" w:rsidRPr="00A02F3E">
        <w:rPr>
          <w:rFonts w:ascii="Arial" w:hAnsi="Arial" w:cs="Arial"/>
        </w:rPr>
        <w:t xml:space="preserve"> and 2026</w:t>
      </w:r>
      <w:r w:rsidR="00276E00" w:rsidRPr="00A02F3E">
        <w:rPr>
          <w:rFonts w:ascii="Arial" w:hAnsi="Arial" w:cs="Arial"/>
        </w:rPr>
        <w:t xml:space="preserve">. </w:t>
      </w:r>
      <w:r w:rsidR="00D440BF" w:rsidRPr="00A02F3E">
        <w:rPr>
          <w:rFonts w:ascii="Arial" w:hAnsi="Arial" w:cs="Arial"/>
        </w:rPr>
        <w:t xml:space="preserve">For metronidazole, </w:t>
      </w:r>
      <w:proofErr w:type="gramStart"/>
      <w:r w:rsidR="00D440BF" w:rsidRPr="00A02F3E">
        <w:rPr>
          <w:rFonts w:ascii="Arial" w:hAnsi="Arial" w:cs="Arial"/>
        </w:rPr>
        <w:t>the per</w:t>
      </w:r>
      <w:proofErr w:type="gramEnd"/>
      <w:r w:rsidR="00D440BF" w:rsidRPr="00A02F3E">
        <w:rPr>
          <w:rFonts w:ascii="Arial" w:hAnsi="Arial" w:cs="Arial"/>
        </w:rPr>
        <w:t xml:space="preserve"> unit cost remained stable at £0.68 for all years analysed. For clozapine, </w:t>
      </w:r>
      <w:proofErr w:type="gramStart"/>
      <w:r w:rsidR="00D440BF" w:rsidRPr="00A02F3E">
        <w:rPr>
          <w:rFonts w:ascii="Arial" w:hAnsi="Arial" w:cs="Arial"/>
        </w:rPr>
        <w:t>the per</w:t>
      </w:r>
      <w:proofErr w:type="gramEnd"/>
      <w:r w:rsidR="00D440BF" w:rsidRPr="00A02F3E">
        <w:rPr>
          <w:rFonts w:ascii="Arial" w:hAnsi="Arial" w:cs="Arial"/>
        </w:rPr>
        <w:t xml:space="preserve"> unit cost was</w:t>
      </w:r>
      <w:r w:rsidR="005C01DA" w:rsidRPr="00A02F3E">
        <w:rPr>
          <w:rFonts w:ascii="Arial" w:hAnsi="Arial" w:cs="Arial"/>
        </w:rPr>
        <w:t xml:space="preserve"> </w:t>
      </w:r>
      <w:r w:rsidR="00315C71" w:rsidRPr="00A02F3E">
        <w:rPr>
          <w:rFonts w:ascii="Arial" w:hAnsi="Arial" w:cs="Arial"/>
        </w:rPr>
        <w:t xml:space="preserve">£0.78 in 2021, £0.75 in 2022, £0.77 in 2023, </w:t>
      </w:r>
      <w:r w:rsidR="005C01DA" w:rsidRPr="00A02F3E">
        <w:rPr>
          <w:rFonts w:ascii="Arial" w:hAnsi="Arial" w:cs="Arial"/>
        </w:rPr>
        <w:t xml:space="preserve">£0.78 in 2024, £0.64 in 2025, and </w:t>
      </w:r>
      <w:r w:rsidR="00D440BF" w:rsidRPr="00A02F3E">
        <w:rPr>
          <w:rFonts w:ascii="Arial" w:hAnsi="Arial" w:cs="Arial"/>
        </w:rPr>
        <w:t>£0.78 in 2026</w:t>
      </w:r>
      <w:r w:rsidR="005C01DA" w:rsidRPr="00A02F3E">
        <w:rPr>
          <w:rFonts w:ascii="Arial" w:hAnsi="Arial" w:cs="Arial"/>
        </w:rPr>
        <w:t>.</w:t>
      </w:r>
    </w:p>
    <w:p w14:paraId="426FDC77" w14:textId="77777777" w:rsidR="0033230D" w:rsidRPr="00A02F3E" w:rsidRDefault="0033230D" w:rsidP="00F66B3A">
      <w:pPr>
        <w:spacing w:line="276" w:lineRule="auto"/>
        <w:jc w:val="both"/>
        <w:rPr>
          <w:rFonts w:ascii="Arial" w:hAnsi="Arial" w:cs="Arial"/>
        </w:rPr>
      </w:pPr>
    </w:p>
    <w:p w14:paraId="17B2A76C" w14:textId="50317133" w:rsidR="009E1C41" w:rsidRPr="00A02F3E" w:rsidRDefault="0033230D" w:rsidP="00F66B3A">
      <w:pPr>
        <w:spacing w:line="276" w:lineRule="auto"/>
        <w:jc w:val="both"/>
        <w:rPr>
          <w:rFonts w:ascii="Arial" w:hAnsi="Arial" w:cs="Arial"/>
        </w:rPr>
      </w:pPr>
      <w:r w:rsidRPr="00A02F3E">
        <w:rPr>
          <w:rFonts w:ascii="Arial" w:hAnsi="Arial" w:cs="Arial"/>
        </w:rPr>
        <w:t xml:space="preserve">In regard to the most costly prescribed medicines, </w:t>
      </w:r>
      <w:r w:rsidR="00BD22E4" w:rsidRPr="00A02F3E">
        <w:rPr>
          <w:rFonts w:ascii="Arial" w:hAnsi="Arial" w:cs="Arial"/>
        </w:rPr>
        <w:t>selected</w:t>
      </w:r>
      <w:r w:rsidRPr="00A02F3E">
        <w:rPr>
          <w:rFonts w:ascii="Arial" w:hAnsi="Arial" w:cs="Arial"/>
        </w:rPr>
        <w:t xml:space="preserve"> trends in costs over the 5-year period </w:t>
      </w:r>
      <w:r w:rsidR="00BD22E4" w:rsidRPr="00A02F3E">
        <w:rPr>
          <w:rFonts w:ascii="Arial" w:hAnsi="Arial" w:cs="Arial"/>
        </w:rPr>
        <w:t>are described here</w:t>
      </w:r>
      <w:r w:rsidRPr="00A02F3E">
        <w:rPr>
          <w:rFonts w:ascii="Arial" w:hAnsi="Arial" w:cs="Arial"/>
        </w:rPr>
        <w:t xml:space="preserve">. </w:t>
      </w:r>
      <w:proofErr w:type="spellStart"/>
      <w:r w:rsidRPr="00A02F3E">
        <w:rPr>
          <w:rFonts w:ascii="Arial" w:hAnsi="Arial" w:cs="Arial"/>
        </w:rPr>
        <w:t>Turoctocog</w:t>
      </w:r>
      <w:proofErr w:type="spellEnd"/>
      <w:r w:rsidRPr="00A02F3E">
        <w:rPr>
          <w:rFonts w:ascii="Arial" w:hAnsi="Arial" w:cs="Arial"/>
        </w:rPr>
        <w:t xml:space="preserve"> </w:t>
      </w:r>
      <w:proofErr w:type="spellStart"/>
      <w:r w:rsidRPr="00A02F3E">
        <w:rPr>
          <w:rFonts w:ascii="Arial" w:hAnsi="Arial" w:cs="Arial"/>
        </w:rPr>
        <w:t>alfa</w:t>
      </w:r>
      <w:proofErr w:type="spellEnd"/>
      <w:r w:rsidRPr="00A02F3E">
        <w:rPr>
          <w:rFonts w:ascii="Arial" w:hAnsi="Arial" w:cs="Arial"/>
        </w:rPr>
        <w:t xml:space="preserve"> </w:t>
      </w:r>
      <w:proofErr w:type="spellStart"/>
      <w:r w:rsidRPr="00A02F3E">
        <w:rPr>
          <w:rFonts w:ascii="Arial" w:hAnsi="Arial" w:cs="Arial"/>
        </w:rPr>
        <w:t>pegol</w:t>
      </w:r>
      <w:proofErr w:type="spellEnd"/>
      <w:r w:rsidRPr="00A02F3E">
        <w:rPr>
          <w:rFonts w:ascii="Arial" w:hAnsi="Arial" w:cs="Arial"/>
        </w:rPr>
        <w:t xml:space="preserve"> increased from £255 per unit in 2021 to £2,550 in 2026</w:t>
      </w:r>
      <w:r w:rsidR="00A271A4" w:rsidRPr="00A02F3E">
        <w:rPr>
          <w:rFonts w:ascii="Arial" w:hAnsi="Arial" w:cs="Arial"/>
        </w:rPr>
        <w:t>, reflecting a marked 900% increase</w:t>
      </w:r>
      <w:r w:rsidRPr="00A02F3E">
        <w:rPr>
          <w:rFonts w:ascii="Arial" w:hAnsi="Arial" w:cs="Arial"/>
        </w:rPr>
        <w:t xml:space="preserve">. </w:t>
      </w:r>
      <w:proofErr w:type="spellStart"/>
      <w:r w:rsidRPr="00A02F3E">
        <w:rPr>
          <w:rFonts w:ascii="Arial" w:hAnsi="Arial" w:cs="Arial"/>
        </w:rPr>
        <w:t>Simoctocog</w:t>
      </w:r>
      <w:proofErr w:type="spellEnd"/>
      <w:r w:rsidRPr="00A02F3E">
        <w:rPr>
          <w:rFonts w:ascii="Arial" w:hAnsi="Arial" w:cs="Arial"/>
        </w:rPr>
        <w:t xml:space="preserve"> increased from £152 per unit in 2021 to £380 in 2026</w:t>
      </w:r>
      <w:r w:rsidR="00A271A4" w:rsidRPr="00A02F3E">
        <w:rPr>
          <w:rFonts w:ascii="Arial" w:hAnsi="Arial" w:cs="Arial"/>
        </w:rPr>
        <w:t xml:space="preserve"> (a 150% increase)</w:t>
      </w:r>
      <w:r w:rsidRPr="00A02F3E">
        <w:rPr>
          <w:rFonts w:ascii="Arial" w:hAnsi="Arial" w:cs="Arial"/>
        </w:rPr>
        <w:t xml:space="preserve">, and </w:t>
      </w:r>
      <w:proofErr w:type="spellStart"/>
      <w:r w:rsidRPr="00A02F3E">
        <w:rPr>
          <w:rFonts w:ascii="Arial" w:hAnsi="Arial" w:cs="Arial"/>
        </w:rPr>
        <w:t>Octocog</w:t>
      </w:r>
      <w:proofErr w:type="spellEnd"/>
      <w:r w:rsidRPr="00A02F3E">
        <w:rPr>
          <w:rFonts w:ascii="Arial" w:hAnsi="Arial" w:cs="Arial"/>
        </w:rPr>
        <w:t xml:space="preserve"> increased from £126 per unit in 2021 to £315 in 2026. However, </w:t>
      </w:r>
      <w:proofErr w:type="spellStart"/>
      <w:r w:rsidRPr="00A02F3E">
        <w:rPr>
          <w:rFonts w:ascii="Arial" w:hAnsi="Arial" w:cs="Arial"/>
        </w:rPr>
        <w:t>Moroctocog</w:t>
      </w:r>
      <w:proofErr w:type="spellEnd"/>
      <w:r w:rsidRPr="00A02F3E">
        <w:rPr>
          <w:rFonts w:ascii="Arial" w:hAnsi="Arial" w:cs="Arial"/>
        </w:rPr>
        <w:t xml:space="preserve"> decreased from £1,004 per unit in 2021 to £251 in 2026</w:t>
      </w:r>
      <w:r w:rsidR="00A271A4" w:rsidRPr="00A02F3E">
        <w:rPr>
          <w:rFonts w:ascii="Arial" w:hAnsi="Arial" w:cs="Arial"/>
        </w:rPr>
        <w:t>, a 75% decrease,</w:t>
      </w:r>
      <w:r w:rsidRPr="00A02F3E">
        <w:rPr>
          <w:rFonts w:ascii="Arial" w:hAnsi="Arial" w:cs="Arial"/>
        </w:rPr>
        <w:t xml:space="preserve"> and </w:t>
      </w:r>
      <w:proofErr w:type="spellStart"/>
      <w:r w:rsidRPr="00A02F3E">
        <w:rPr>
          <w:rFonts w:ascii="Arial" w:hAnsi="Arial" w:cs="Arial"/>
        </w:rPr>
        <w:t>Nonacog</w:t>
      </w:r>
      <w:proofErr w:type="spellEnd"/>
      <w:r w:rsidRPr="00A02F3E">
        <w:rPr>
          <w:rFonts w:ascii="Arial" w:hAnsi="Arial" w:cs="Arial"/>
        </w:rPr>
        <w:t xml:space="preserve"> decreased from £2443 per unit in 2021 to £607 in 2026</w:t>
      </w:r>
      <w:r w:rsidR="00A271A4" w:rsidRPr="00A02F3E">
        <w:rPr>
          <w:rFonts w:ascii="Arial" w:hAnsi="Arial" w:cs="Arial"/>
        </w:rPr>
        <w:t>, also a 75% decrease</w:t>
      </w:r>
      <w:r w:rsidRPr="00A02F3E">
        <w:rPr>
          <w:rFonts w:ascii="Arial" w:hAnsi="Arial" w:cs="Arial"/>
        </w:rPr>
        <w:t xml:space="preserve">. </w:t>
      </w:r>
      <w:r w:rsidR="00415769" w:rsidRPr="00A02F3E">
        <w:rPr>
          <w:rFonts w:ascii="Arial" w:hAnsi="Arial" w:cs="Arial"/>
        </w:rPr>
        <w:t>Pembrolizumab remained stable at £657 per unit in 2021 and 2026. However, Nivol</w:t>
      </w:r>
      <w:r w:rsidR="00D0545D" w:rsidRPr="00A02F3E">
        <w:rPr>
          <w:rFonts w:ascii="Arial" w:hAnsi="Arial" w:cs="Arial"/>
        </w:rPr>
        <w:t>u</w:t>
      </w:r>
      <w:r w:rsidR="009E1C41" w:rsidRPr="00A02F3E">
        <w:rPr>
          <w:rFonts w:ascii="Arial" w:hAnsi="Arial" w:cs="Arial"/>
        </w:rPr>
        <w:t>mab increased from £109 per unit in 2021 to £657 in 2026</w:t>
      </w:r>
      <w:r w:rsidR="0081001D" w:rsidRPr="00A02F3E">
        <w:rPr>
          <w:rFonts w:ascii="Arial" w:hAnsi="Arial" w:cs="Arial"/>
        </w:rPr>
        <w:t xml:space="preserve">, while </w:t>
      </w:r>
      <w:proofErr w:type="spellStart"/>
      <w:r w:rsidR="0081001D" w:rsidRPr="00A02F3E">
        <w:rPr>
          <w:rFonts w:ascii="Arial" w:hAnsi="Arial" w:cs="Arial"/>
        </w:rPr>
        <w:t>Ravalizumab</w:t>
      </w:r>
      <w:proofErr w:type="spellEnd"/>
      <w:r w:rsidR="0081001D" w:rsidRPr="00A02F3E">
        <w:rPr>
          <w:rFonts w:ascii="Arial" w:hAnsi="Arial" w:cs="Arial"/>
        </w:rPr>
        <w:t xml:space="preserve"> remained stable at £1,511 per unit. </w:t>
      </w:r>
      <w:r w:rsidR="009E1C41" w:rsidRPr="00A02F3E">
        <w:rPr>
          <w:rFonts w:ascii="Arial" w:hAnsi="Arial" w:cs="Arial"/>
        </w:rPr>
        <w:t xml:space="preserve">Emtricitabine remained stable at £12 in 2021 and 2026, as did generic </w:t>
      </w:r>
      <w:proofErr w:type="spellStart"/>
      <w:r w:rsidR="009E1C41" w:rsidRPr="00A02F3E">
        <w:rPr>
          <w:rFonts w:ascii="Arial" w:hAnsi="Arial" w:cs="Arial"/>
        </w:rPr>
        <w:t>Kaftrio</w:t>
      </w:r>
      <w:proofErr w:type="spellEnd"/>
      <w:r w:rsidR="009E1C41" w:rsidRPr="00A02F3E">
        <w:rPr>
          <w:rFonts w:ascii="Arial" w:hAnsi="Arial" w:cs="Arial"/>
        </w:rPr>
        <w:t xml:space="preserve"> (£149) and </w:t>
      </w:r>
      <w:proofErr w:type="spellStart"/>
      <w:r w:rsidR="009E1C41" w:rsidRPr="00A02F3E">
        <w:rPr>
          <w:rFonts w:ascii="Arial" w:hAnsi="Arial" w:cs="Arial"/>
        </w:rPr>
        <w:t>Ivacaftor</w:t>
      </w:r>
      <w:proofErr w:type="spellEnd"/>
      <w:r w:rsidR="009E1C41" w:rsidRPr="00A02F3E">
        <w:rPr>
          <w:rFonts w:ascii="Arial" w:hAnsi="Arial" w:cs="Arial"/>
        </w:rPr>
        <w:t xml:space="preserve"> (£250). Anti-D </w:t>
      </w:r>
      <w:r w:rsidR="009E1C41" w:rsidRPr="00A02F3E">
        <w:rPr>
          <w:rFonts w:ascii="Arial" w:hAnsi="Arial" w:cs="Arial"/>
        </w:rPr>
        <w:lastRenderedPageBreak/>
        <w:t xml:space="preserve">immunoglobulin decreased from £58 per unit in 2021 to £43 in 2026. C1-esterase inhibitor increased from £550 per unit in 2021 to £1,650 in 2026. </w:t>
      </w:r>
      <w:proofErr w:type="spellStart"/>
      <w:r w:rsidR="009E1C41" w:rsidRPr="00A02F3E">
        <w:rPr>
          <w:rFonts w:ascii="Arial" w:hAnsi="Arial" w:cs="Arial"/>
        </w:rPr>
        <w:t>Asfotase</w:t>
      </w:r>
      <w:proofErr w:type="spellEnd"/>
      <w:r w:rsidR="009E1C41" w:rsidRPr="00A02F3E">
        <w:rPr>
          <w:rFonts w:ascii="Arial" w:hAnsi="Arial" w:cs="Arial"/>
        </w:rPr>
        <w:t xml:space="preserve"> </w:t>
      </w:r>
      <w:proofErr w:type="spellStart"/>
      <w:r w:rsidR="009E1C41" w:rsidRPr="00A02F3E">
        <w:rPr>
          <w:rFonts w:ascii="Arial" w:hAnsi="Arial" w:cs="Arial"/>
        </w:rPr>
        <w:t>alfa</w:t>
      </w:r>
      <w:proofErr w:type="spellEnd"/>
      <w:r w:rsidR="009E1C41" w:rsidRPr="00A02F3E">
        <w:rPr>
          <w:rFonts w:ascii="Arial" w:hAnsi="Arial" w:cs="Arial"/>
        </w:rPr>
        <w:t xml:space="preserve"> decreased from £5,880 per unit in 2021 to £2,352 in 2026. </w:t>
      </w:r>
    </w:p>
    <w:p w14:paraId="13D09B7B" w14:textId="317DC8C6" w:rsidR="00A271A4" w:rsidRPr="00A02F3E" w:rsidRDefault="00A271A4" w:rsidP="00F66B3A">
      <w:pPr>
        <w:spacing w:line="276" w:lineRule="auto"/>
        <w:jc w:val="both"/>
        <w:rPr>
          <w:rFonts w:ascii="Arial" w:hAnsi="Arial" w:cs="Arial"/>
        </w:rPr>
      </w:pPr>
    </w:p>
    <w:p w14:paraId="418C33EA" w14:textId="1B24C635" w:rsidR="00A271A4" w:rsidRPr="00A02F3E" w:rsidRDefault="00A271A4" w:rsidP="00E64F41">
      <w:pPr>
        <w:spacing w:line="276" w:lineRule="auto"/>
        <w:jc w:val="both"/>
        <w:rPr>
          <w:rFonts w:ascii="Arial" w:hAnsi="Arial" w:cs="Arial"/>
        </w:rPr>
      </w:pPr>
      <w:proofErr w:type="gramStart"/>
      <w:r w:rsidRPr="00A02F3E">
        <w:rPr>
          <w:rFonts w:ascii="Arial" w:hAnsi="Arial" w:cs="Arial"/>
        </w:rPr>
        <w:t>Table 3.</w:t>
      </w:r>
      <w:proofErr w:type="gramEnd"/>
      <w:r w:rsidRPr="00A02F3E">
        <w:rPr>
          <w:rFonts w:ascii="Arial" w:hAnsi="Arial" w:cs="Arial"/>
        </w:rPr>
        <w:t xml:space="preserve"> Summary of percentage changes in selected outcomes</w:t>
      </w:r>
    </w:p>
    <w:tbl>
      <w:tblPr>
        <w:tblStyle w:val="TableGrid"/>
        <w:tblW w:w="0" w:type="auto"/>
        <w:tblLook w:val="04A0" w:firstRow="1" w:lastRow="0" w:firstColumn="1" w:lastColumn="0" w:noHBand="0" w:noVBand="1"/>
      </w:tblPr>
      <w:tblGrid>
        <w:gridCol w:w="1817"/>
        <w:gridCol w:w="1433"/>
        <w:gridCol w:w="1461"/>
        <w:gridCol w:w="1456"/>
        <w:gridCol w:w="1482"/>
      </w:tblGrid>
      <w:tr w:rsidR="00A271A4" w:rsidRPr="00E64F41" w14:paraId="52D056A5" w14:textId="77777777" w:rsidTr="00C64749">
        <w:tc>
          <w:tcPr>
            <w:tcW w:w="1817" w:type="dxa"/>
          </w:tcPr>
          <w:p w14:paraId="7F2B851F"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Outcome</w:t>
            </w:r>
          </w:p>
        </w:tc>
        <w:tc>
          <w:tcPr>
            <w:tcW w:w="1433" w:type="dxa"/>
          </w:tcPr>
          <w:p w14:paraId="439EF770"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Earlier value</w:t>
            </w:r>
          </w:p>
        </w:tc>
        <w:tc>
          <w:tcPr>
            <w:tcW w:w="1461" w:type="dxa"/>
          </w:tcPr>
          <w:p w14:paraId="44876339"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Later value</w:t>
            </w:r>
          </w:p>
        </w:tc>
        <w:tc>
          <w:tcPr>
            <w:tcW w:w="1456" w:type="dxa"/>
          </w:tcPr>
          <w:p w14:paraId="18F64BE4"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Absolute change</w:t>
            </w:r>
          </w:p>
        </w:tc>
        <w:tc>
          <w:tcPr>
            <w:tcW w:w="1482" w:type="dxa"/>
          </w:tcPr>
          <w:p w14:paraId="3BCA1690"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Percentage change</w:t>
            </w:r>
          </w:p>
        </w:tc>
      </w:tr>
      <w:tr w:rsidR="00A271A4" w:rsidRPr="00E64F41" w14:paraId="620CDBB9" w14:textId="77777777" w:rsidTr="00C64749">
        <w:tc>
          <w:tcPr>
            <w:tcW w:w="1817" w:type="dxa"/>
          </w:tcPr>
          <w:p w14:paraId="1D98EAF5"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Total units: most frequently prescribed medicines, 2021–2026</w:t>
            </w:r>
          </w:p>
        </w:tc>
        <w:tc>
          <w:tcPr>
            <w:tcW w:w="1433" w:type="dxa"/>
          </w:tcPr>
          <w:p w14:paraId="0E7A8BE1"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32.3 million</w:t>
            </w:r>
          </w:p>
        </w:tc>
        <w:tc>
          <w:tcPr>
            <w:tcW w:w="1461" w:type="dxa"/>
          </w:tcPr>
          <w:p w14:paraId="0E54E62C"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13.4 million</w:t>
            </w:r>
          </w:p>
        </w:tc>
        <w:tc>
          <w:tcPr>
            <w:tcW w:w="1456" w:type="dxa"/>
          </w:tcPr>
          <w:p w14:paraId="6A0ED8A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−18.9 million</w:t>
            </w:r>
          </w:p>
        </w:tc>
        <w:tc>
          <w:tcPr>
            <w:tcW w:w="1482" w:type="dxa"/>
          </w:tcPr>
          <w:p w14:paraId="5699B6F6"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−58.5%</w:t>
            </w:r>
          </w:p>
        </w:tc>
      </w:tr>
      <w:tr w:rsidR="00A271A4" w:rsidRPr="00E64F41" w14:paraId="00E537DD" w14:textId="77777777" w:rsidTr="00C64749">
        <w:tc>
          <w:tcPr>
            <w:tcW w:w="1817" w:type="dxa"/>
          </w:tcPr>
          <w:p w14:paraId="225638AD"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Total cost: most frequently prescribed medicines, 2021–2026</w:t>
            </w:r>
          </w:p>
        </w:tc>
        <w:tc>
          <w:tcPr>
            <w:tcW w:w="1433" w:type="dxa"/>
          </w:tcPr>
          <w:p w14:paraId="60C910F9"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£1.9 million</w:t>
            </w:r>
          </w:p>
        </w:tc>
        <w:tc>
          <w:tcPr>
            <w:tcW w:w="1461" w:type="dxa"/>
          </w:tcPr>
          <w:p w14:paraId="1C9D0F47"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£673,348</w:t>
            </w:r>
          </w:p>
        </w:tc>
        <w:tc>
          <w:tcPr>
            <w:tcW w:w="1456" w:type="dxa"/>
          </w:tcPr>
          <w:p w14:paraId="505FE31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−£1.23 million</w:t>
            </w:r>
          </w:p>
        </w:tc>
        <w:tc>
          <w:tcPr>
            <w:tcW w:w="1482" w:type="dxa"/>
          </w:tcPr>
          <w:p w14:paraId="0996FFEF"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−64.6%</w:t>
            </w:r>
          </w:p>
        </w:tc>
      </w:tr>
      <w:tr w:rsidR="00A271A4" w:rsidRPr="00E64F41" w14:paraId="75F59020" w14:textId="77777777" w:rsidTr="00C64749">
        <w:tc>
          <w:tcPr>
            <w:tcW w:w="1817" w:type="dxa"/>
          </w:tcPr>
          <w:p w14:paraId="749CCA10"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Total units: most costly medicines, 2024–2026</w:t>
            </w:r>
          </w:p>
        </w:tc>
        <w:tc>
          <w:tcPr>
            <w:tcW w:w="1433" w:type="dxa"/>
          </w:tcPr>
          <w:p w14:paraId="3E00AB2B"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17.4 million</w:t>
            </w:r>
          </w:p>
        </w:tc>
        <w:tc>
          <w:tcPr>
            <w:tcW w:w="1461" w:type="dxa"/>
          </w:tcPr>
          <w:p w14:paraId="3AB37074"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629,725</w:t>
            </w:r>
          </w:p>
        </w:tc>
        <w:tc>
          <w:tcPr>
            <w:tcW w:w="1456" w:type="dxa"/>
          </w:tcPr>
          <w:p w14:paraId="10EDF83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−16.77 million</w:t>
            </w:r>
          </w:p>
        </w:tc>
        <w:tc>
          <w:tcPr>
            <w:tcW w:w="1482" w:type="dxa"/>
          </w:tcPr>
          <w:p w14:paraId="145758C7"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−96.4%</w:t>
            </w:r>
          </w:p>
        </w:tc>
      </w:tr>
      <w:tr w:rsidR="00A271A4" w:rsidRPr="00E64F41" w14:paraId="4BD4FD91" w14:textId="77777777" w:rsidTr="00C64749">
        <w:tc>
          <w:tcPr>
            <w:tcW w:w="1817" w:type="dxa"/>
          </w:tcPr>
          <w:p w14:paraId="68A7008D" w14:textId="77777777" w:rsidR="00A271A4" w:rsidRPr="008909D0" w:rsidRDefault="00A271A4" w:rsidP="008909D0">
            <w:pPr>
              <w:spacing w:line="276" w:lineRule="auto"/>
              <w:rPr>
                <w:rFonts w:ascii="Baskerville" w:hAnsi="Baskerville"/>
                <w:sz w:val="20"/>
                <w:szCs w:val="20"/>
              </w:rPr>
            </w:pPr>
            <w:proofErr w:type="spellStart"/>
            <w:r w:rsidRPr="008909D0">
              <w:rPr>
                <w:rFonts w:ascii="Baskerville" w:hAnsi="Baskerville"/>
                <w:sz w:val="20"/>
                <w:szCs w:val="20"/>
              </w:rPr>
              <w:t>Turoctocog</w:t>
            </w:r>
            <w:proofErr w:type="spellEnd"/>
            <w:r w:rsidRPr="008909D0">
              <w:rPr>
                <w:rFonts w:ascii="Baskerville" w:hAnsi="Baskerville"/>
                <w:sz w:val="20"/>
                <w:szCs w:val="20"/>
              </w:rPr>
              <w:t xml:space="preserve"> </w:t>
            </w:r>
            <w:proofErr w:type="spellStart"/>
            <w:r w:rsidRPr="008909D0">
              <w:rPr>
                <w:rFonts w:ascii="Baskerville" w:hAnsi="Baskerville"/>
                <w:sz w:val="20"/>
                <w:szCs w:val="20"/>
              </w:rPr>
              <w:t>alfa</w:t>
            </w:r>
            <w:proofErr w:type="spellEnd"/>
            <w:r w:rsidRPr="008909D0">
              <w:rPr>
                <w:rFonts w:ascii="Baskerville" w:hAnsi="Baskerville"/>
                <w:sz w:val="20"/>
                <w:szCs w:val="20"/>
              </w:rPr>
              <w:t xml:space="preserve"> </w:t>
            </w:r>
            <w:proofErr w:type="spellStart"/>
            <w:r w:rsidRPr="008909D0">
              <w:rPr>
                <w:rFonts w:ascii="Baskerville" w:hAnsi="Baskerville"/>
                <w:sz w:val="20"/>
                <w:szCs w:val="20"/>
              </w:rPr>
              <w:t>pegol</w:t>
            </w:r>
            <w:proofErr w:type="spellEnd"/>
            <w:r w:rsidRPr="008909D0">
              <w:rPr>
                <w:rFonts w:ascii="Baskerville" w:hAnsi="Baskerville"/>
                <w:sz w:val="20"/>
                <w:szCs w:val="20"/>
              </w:rPr>
              <w:t xml:space="preserve"> cost per unit, 2021–2026</w:t>
            </w:r>
          </w:p>
        </w:tc>
        <w:tc>
          <w:tcPr>
            <w:tcW w:w="1433" w:type="dxa"/>
          </w:tcPr>
          <w:p w14:paraId="69CD14D6"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£255</w:t>
            </w:r>
          </w:p>
        </w:tc>
        <w:tc>
          <w:tcPr>
            <w:tcW w:w="1461" w:type="dxa"/>
          </w:tcPr>
          <w:p w14:paraId="7BA539FE"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£2,550</w:t>
            </w:r>
          </w:p>
        </w:tc>
        <w:tc>
          <w:tcPr>
            <w:tcW w:w="1456" w:type="dxa"/>
          </w:tcPr>
          <w:p w14:paraId="0CAEC6D4"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+£2,295</w:t>
            </w:r>
          </w:p>
        </w:tc>
        <w:tc>
          <w:tcPr>
            <w:tcW w:w="1482" w:type="dxa"/>
          </w:tcPr>
          <w:p w14:paraId="280E68BE"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+900.0%</w:t>
            </w:r>
          </w:p>
        </w:tc>
      </w:tr>
      <w:tr w:rsidR="00A271A4" w:rsidRPr="00E64F41" w14:paraId="4D95BB6F" w14:textId="77777777" w:rsidTr="00C64749">
        <w:tc>
          <w:tcPr>
            <w:tcW w:w="1817" w:type="dxa"/>
          </w:tcPr>
          <w:p w14:paraId="45107486" w14:textId="77777777" w:rsidR="00A271A4" w:rsidRPr="008909D0" w:rsidRDefault="00A271A4" w:rsidP="008909D0">
            <w:pPr>
              <w:spacing w:line="276" w:lineRule="auto"/>
              <w:rPr>
                <w:rFonts w:ascii="Baskerville" w:hAnsi="Baskerville"/>
                <w:sz w:val="20"/>
                <w:szCs w:val="20"/>
              </w:rPr>
            </w:pPr>
            <w:proofErr w:type="spellStart"/>
            <w:r w:rsidRPr="008909D0">
              <w:rPr>
                <w:rFonts w:ascii="Baskerville" w:hAnsi="Baskerville"/>
                <w:sz w:val="20"/>
                <w:szCs w:val="20"/>
              </w:rPr>
              <w:t>Simoctocog</w:t>
            </w:r>
            <w:proofErr w:type="spellEnd"/>
            <w:r w:rsidRPr="008909D0">
              <w:rPr>
                <w:rFonts w:ascii="Baskerville" w:hAnsi="Baskerville"/>
                <w:sz w:val="20"/>
                <w:szCs w:val="20"/>
              </w:rPr>
              <w:t xml:space="preserve"> </w:t>
            </w:r>
            <w:proofErr w:type="spellStart"/>
            <w:r w:rsidRPr="008909D0">
              <w:rPr>
                <w:rFonts w:ascii="Baskerville" w:hAnsi="Baskerville"/>
                <w:sz w:val="20"/>
                <w:szCs w:val="20"/>
              </w:rPr>
              <w:t>alfa</w:t>
            </w:r>
            <w:proofErr w:type="spellEnd"/>
            <w:r w:rsidRPr="008909D0">
              <w:rPr>
                <w:rFonts w:ascii="Baskerville" w:hAnsi="Baskerville"/>
                <w:sz w:val="20"/>
                <w:szCs w:val="20"/>
              </w:rPr>
              <w:t xml:space="preserve"> cost per unit, 2021–2026</w:t>
            </w:r>
          </w:p>
        </w:tc>
        <w:tc>
          <w:tcPr>
            <w:tcW w:w="1433" w:type="dxa"/>
          </w:tcPr>
          <w:p w14:paraId="23531225"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£152</w:t>
            </w:r>
          </w:p>
        </w:tc>
        <w:tc>
          <w:tcPr>
            <w:tcW w:w="1461" w:type="dxa"/>
          </w:tcPr>
          <w:p w14:paraId="44EBEAA3"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£380</w:t>
            </w:r>
          </w:p>
        </w:tc>
        <w:tc>
          <w:tcPr>
            <w:tcW w:w="1456" w:type="dxa"/>
          </w:tcPr>
          <w:p w14:paraId="299536D9"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+£228</w:t>
            </w:r>
          </w:p>
        </w:tc>
        <w:tc>
          <w:tcPr>
            <w:tcW w:w="1482" w:type="dxa"/>
          </w:tcPr>
          <w:p w14:paraId="5C65EF2F"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+150.0%</w:t>
            </w:r>
          </w:p>
        </w:tc>
      </w:tr>
      <w:tr w:rsidR="00A271A4" w:rsidRPr="00E64F41" w14:paraId="0247251A" w14:textId="77777777" w:rsidTr="00C64749">
        <w:tc>
          <w:tcPr>
            <w:tcW w:w="1817" w:type="dxa"/>
          </w:tcPr>
          <w:p w14:paraId="0444779B" w14:textId="77777777" w:rsidR="00A271A4" w:rsidRPr="008909D0" w:rsidRDefault="00A271A4" w:rsidP="008909D0">
            <w:pPr>
              <w:spacing w:line="276" w:lineRule="auto"/>
              <w:rPr>
                <w:rFonts w:ascii="Baskerville" w:hAnsi="Baskerville"/>
                <w:sz w:val="20"/>
                <w:szCs w:val="20"/>
              </w:rPr>
            </w:pPr>
            <w:proofErr w:type="spellStart"/>
            <w:r w:rsidRPr="008909D0">
              <w:rPr>
                <w:rFonts w:ascii="Baskerville" w:hAnsi="Baskerville"/>
                <w:sz w:val="20"/>
                <w:szCs w:val="20"/>
              </w:rPr>
              <w:t>Octocog</w:t>
            </w:r>
            <w:proofErr w:type="spellEnd"/>
            <w:r w:rsidRPr="008909D0">
              <w:rPr>
                <w:rFonts w:ascii="Baskerville" w:hAnsi="Baskerville"/>
                <w:sz w:val="20"/>
                <w:szCs w:val="20"/>
              </w:rPr>
              <w:t xml:space="preserve"> </w:t>
            </w:r>
            <w:proofErr w:type="spellStart"/>
            <w:r w:rsidRPr="008909D0">
              <w:rPr>
                <w:rFonts w:ascii="Baskerville" w:hAnsi="Baskerville"/>
                <w:sz w:val="20"/>
                <w:szCs w:val="20"/>
              </w:rPr>
              <w:t>alfa</w:t>
            </w:r>
            <w:proofErr w:type="spellEnd"/>
            <w:r w:rsidRPr="008909D0">
              <w:rPr>
                <w:rFonts w:ascii="Baskerville" w:hAnsi="Baskerville"/>
                <w:sz w:val="20"/>
                <w:szCs w:val="20"/>
              </w:rPr>
              <w:t xml:space="preserve"> cost per unit, 2021–2026</w:t>
            </w:r>
          </w:p>
        </w:tc>
        <w:tc>
          <w:tcPr>
            <w:tcW w:w="1433" w:type="dxa"/>
          </w:tcPr>
          <w:p w14:paraId="51AD2676"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£126</w:t>
            </w:r>
          </w:p>
        </w:tc>
        <w:tc>
          <w:tcPr>
            <w:tcW w:w="1461" w:type="dxa"/>
          </w:tcPr>
          <w:p w14:paraId="7AA95CB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£315</w:t>
            </w:r>
          </w:p>
        </w:tc>
        <w:tc>
          <w:tcPr>
            <w:tcW w:w="1456" w:type="dxa"/>
          </w:tcPr>
          <w:p w14:paraId="4E562514"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+£189</w:t>
            </w:r>
          </w:p>
        </w:tc>
        <w:tc>
          <w:tcPr>
            <w:tcW w:w="1482" w:type="dxa"/>
          </w:tcPr>
          <w:p w14:paraId="59D95964"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+150.0%</w:t>
            </w:r>
          </w:p>
        </w:tc>
      </w:tr>
      <w:tr w:rsidR="00A271A4" w:rsidRPr="00E64F41" w14:paraId="6F6FE162" w14:textId="77777777" w:rsidTr="00C64749">
        <w:tc>
          <w:tcPr>
            <w:tcW w:w="1817" w:type="dxa"/>
          </w:tcPr>
          <w:p w14:paraId="7E670CC4" w14:textId="77777777" w:rsidR="00A271A4" w:rsidRPr="008909D0" w:rsidRDefault="00A271A4" w:rsidP="008909D0">
            <w:pPr>
              <w:spacing w:line="276" w:lineRule="auto"/>
              <w:rPr>
                <w:rFonts w:ascii="Baskerville" w:hAnsi="Baskerville"/>
                <w:sz w:val="20"/>
                <w:szCs w:val="20"/>
              </w:rPr>
            </w:pPr>
            <w:proofErr w:type="spellStart"/>
            <w:r w:rsidRPr="008909D0">
              <w:rPr>
                <w:rFonts w:ascii="Baskerville" w:hAnsi="Baskerville"/>
                <w:sz w:val="20"/>
                <w:szCs w:val="20"/>
              </w:rPr>
              <w:t>Moroctocog</w:t>
            </w:r>
            <w:proofErr w:type="spellEnd"/>
            <w:r w:rsidRPr="008909D0">
              <w:rPr>
                <w:rFonts w:ascii="Baskerville" w:hAnsi="Baskerville"/>
                <w:sz w:val="20"/>
                <w:szCs w:val="20"/>
              </w:rPr>
              <w:t xml:space="preserve"> </w:t>
            </w:r>
            <w:proofErr w:type="spellStart"/>
            <w:r w:rsidRPr="008909D0">
              <w:rPr>
                <w:rFonts w:ascii="Baskerville" w:hAnsi="Baskerville"/>
                <w:sz w:val="20"/>
                <w:szCs w:val="20"/>
              </w:rPr>
              <w:t>alfa</w:t>
            </w:r>
            <w:proofErr w:type="spellEnd"/>
            <w:r w:rsidRPr="008909D0">
              <w:rPr>
                <w:rFonts w:ascii="Baskerville" w:hAnsi="Baskerville"/>
                <w:sz w:val="20"/>
                <w:szCs w:val="20"/>
              </w:rPr>
              <w:t xml:space="preserve"> cost per unit, 2021–2026</w:t>
            </w:r>
          </w:p>
        </w:tc>
        <w:tc>
          <w:tcPr>
            <w:tcW w:w="1433" w:type="dxa"/>
          </w:tcPr>
          <w:p w14:paraId="5261AF7E"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£1,004</w:t>
            </w:r>
          </w:p>
        </w:tc>
        <w:tc>
          <w:tcPr>
            <w:tcW w:w="1461" w:type="dxa"/>
          </w:tcPr>
          <w:p w14:paraId="08966219"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£251</w:t>
            </w:r>
          </w:p>
        </w:tc>
        <w:tc>
          <w:tcPr>
            <w:tcW w:w="1456" w:type="dxa"/>
          </w:tcPr>
          <w:p w14:paraId="0C3E0D16"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−£753</w:t>
            </w:r>
          </w:p>
        </w:tc>
        <w:tc>
          <w:tcPr>
            <w:tcW w:w="1482" w:type="dxa"/>
          </w:tcPr>
          <w:p w14:paraId="4388BAB7"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−75.0%</w:t>
            </w:r>
          </w:p>
        </w:tc>
      </w:tr>
      <w:tr w:rsidR="00A271A4" w:rsidRPr="00E64F41" w14:paraId="5B8B724F" w14:textId="77777777" w:rsidTr="00C64749">
        <w:tc>
          <w:tcPr>
            <w:tcW w:w="1817" w:type="dxa"/>
          </w:tcPr>
          <w:p w14:paraId="322663D0" w14:textId="77777777" w:rsidR="00A271A4" w:rsidRPr="008909D0" w:rsidRDefault="00A271A4" w:rsidP="008909D0">
            <w:pPr>
              <w:spacing w:line="276" w:lineRule="auto"/>
              <w:rPr>
                <w:rFonts w:ascii="Baskerville" w:hAnsi="Baskerville"/>
                <w:sz w:val="20"/>
                <w:szCs w:val="20"/>
              </w:rPr>
            </w:pPr>
            <w:proofErr w:type="spellStart"/>
            <w:r w:rsidRPr="008909D0">
              <w:rPr>
                <w:rFonts w:ascii="Baskerville" w:hAnsi="Baskerville"/>
                <w:sz w:val="20"/>
                <w:szCs w:val="20"/>
              </w:rPr>
              <w:t>Nonacog</w:t>
            </w:r>
            <w:proofErr w:type="spellEnd"/>
            <w:r w:rsidRPr="008909D0">
              <w:rPr>
                <w:rFonts w:ascii="Baskerville" w:hAnsi="Baskerville"/>
                <w:sz w:val="20"/>
                <w:szCs w:val="20"/>
              </w:rPr>
              <w:t xml:space="preserve"> beta </w:t>
            </w:r>
            <w:proofErr w:type="spellStart"/>
            <w:r w:rsidRPr="008909D0">
              <w:rPr>
                <w:rFonts w:ascii="Baskerville" w:hAnsi="Baskerville"/>
                <w:sz w:val="20"/>
                <w:szCs w:val="20"/>
              </w:rPr>
              <w:t>pegol</w:t>
            </w:r>
            <w:proofErr w:type="spellEnd"/>
            <w:r w:rsidRPr="008909D0">
              <w:rPr>
                <w:rFonts w:ascii="Baskerville" w:hAnsi="Baskerville"/>
                <w:sz w:val="20"/>
                <w:szCs w:val="20"/>
              </w:rPr>
              <w:t xml:space="preserve"> cost per unit, 2021–2026</w:t>
            </w:r>
          </w:p>
        </w:tc>
        <w:tc>
          <w:tcPr>
            <w:tcW w:w="1433" w:type="dxa"/>
          </w:tcPr>
          <w:p w14:paraId="05CFFC1B"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£2,443</w:t>
            </w:r>
          </w:p>
        </w:tc>
        <w:tc>
          <w:tcPr>
            <w:tcW w:w="1461" w:type="dxa"/>
          </w:tcPr>
          <w:p w14:paraId="17074D9C"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£607</w:t>
            </w:r>
          </w:p>
        </w:tc>
        <w:tc>
          <w:tcPr>
            <w:tcW w:w="1456" w:type="dxa"/>
          </w:tcPr>
          <w:p w14:paraId="0E391D30"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−£1,836</w:t>
            </w:r>
          </w:p>
        </w:tc>
        <w:tc>
          <w:tcPr>
            <w:tcW w:w="1482" w:type="dxa"/>
          </w:tcPr>
          <w:p w14:paraId="402160CD"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−75.2%</w:t>
            </w:r>
          </w:p>
        </w:tc>
      </w:tr>
      <w:tr w:rsidR="00A271A4" w:rsidRPr="00E64F41" w14:paraId="0CE23210" w14:textId="77777777" w:rsidTr="00C64749">
        <w:tc>
          <w:tcPr>
            <w:tcW w:w="1817" w:type="dxa"/>
          </w:tcPr>
          <w:p w14:paraId="0FAD38BD"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Nivolumab cost per unit, 2021–2026</w:t>
            </w:r>
          </w:p>
        </w:tc>
        <w:tc>
          <w:tcPr>
            <w:tcW w:w="1433" w:type="dxa"/>
          </w:tcPr>
          <w:p w14:paraId="03665DB1"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£109</w:t>
            </w:r>
          </w:p>
        </w:tc>
        <w:tc>
          <w:tcPr>
            <w:tcW w:w="1461" w:type="dxa"/>
          </w:tcPr>
          <w:p w14:paraId="0924F72B"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£657</w:t>
            </w:r>
          </w:p>
        </w:tc>
        <w:tc>
          <w:tcPr>
            <w:tcW w:w="1456" w:type="dxa"/>
          </w:tcPr>
          <w:p w14:paraId="6A2AD20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+£548</w:t>
            </w:r>
          </w:p>
        </w:tc>
        <w:tc>
          <w:tcPr>
            <w:tcW w:w="1482" w:type="dxa"/>
          </w:tcPr>
          <w:p w14:paraId="07C7891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+502.8%</w:t>
            </w:r>
          </w:p>
        </w:tc>
      </w:tr>
      <w:tr w:rsidR="00A271A4" w:rsidRPr="00E64F41" w14:paraId="6B8F0A27" w14:textId="77777777" w:rsidTr="00C64749">
        <w:tc>
          <w:tcPr>
            <w:tcW w:w="1817" w:type="dxa"/>
          </w:tcPr>
          <w:p w14:paraId="5CA73DF8"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Anti-D immunoglobulin cost per unit, 2021–2026</w:t>
            </w:r>
          </w:p>
        </w:tc>
        <w:tc>
          <w:tcPr>
            <w:tcW w:w="1433" w:type="dxa"/>
          </w:tcPr>
          <w:p w14:paraId="170128BD"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£58</w:t>
            </w:r>
          </w:p>
        </w:tc>
        <w:tc>
          <w:tcPr>
            <w:tcW w:w="1461" w:type="dxa"/>
          </w:tcPr>
          <w:p w14:paraId="2284A5BE"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£43</w:t>
            </w:r>
          </w:p>
        </w:tc>
        <w:tc>
          <w:tcPr>
            <w:tcW w:w="1456" w:type="dxa"/>
          </w:tcPr>
          <w:p w14:paraId="55D71DA6"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−£15</w:t>
            </w:r>
          </w:p>
        </w:tc>
        <w:tc>
          <w:tcPr>
            <w:tcW w:w="1482" w:type="dxa"/>
          </w:tcPr>
          <w:p w14:paraId="389948EA"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−25.9%</w:t>
            </w:r>
          </w:p>
        </w:tc>
      </w:tr>
      <w:tr w:rsidR="00A271A4" w:rsidRPr="00E64F41" w14:paraId="6AB6AC34" w14:textId="77777777" w:rsidTr="00C64749">
        <w:tc>
          <w:tcPr>
            <w:tcW w:w="1817" w:type="dxa"/>
          </w:tcPr>
          <w:p w14:paraId="69856F81"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C1-esterase inhibitor cost per unit, 2021–2026</w:t>
            </w:r>
          </w:p>
        </w:tc>
        <w:tc>
          <w:tcPr>
            <w:tcW w:w="1433" w:type="dxa"/>
          </w:tcPr>
          <w:p w14:paraId="3F139316"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£550</w:t>
            </w:r>
          </w:p>
        </w:tc>
        <w:tc>
          <w:tcPr>
            <w:tcW w:w="1461" w:type="dxa"/>
          </w:tcPr>
          <w:p w14:paraId="6CFE8A0E"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£1,650</w:t>
            </w:r>
          </w:p>
        </w:tc>
        <w:tc>
          <w:tcPr>
            <w:tcW w:w="1456" w:type="dxa"/>
          </w:tcPr>
          <w:p w14:paraId="7C033DD5"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+£1,100</w:t>
            </w:r>
          </w:p>
        </w:tc>
        <w:tc>
          <w:tcPr>
            <w:tcW w:w="1482" w:type="dxa"/>
          </w:tcPr>
          <w:p w14:paraId="2368133C"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+200.0%</w:t>
            </w:r>
          </w:p>
        </w:tc>
      </w:tr>
      <w:tr w:rsidR="00A271A4" w:rsidRPr="00E64F41" w14:paraId="2CE12A43" w14:textId="77777777" w:rsidTr="00C64749">
        <w:tc>
          <w:tcPr>
            <w:tcW w:w="1817" w:type="dxa"/>
          </w:tcPr>
          <w:p w14:paraId="7CF924B3" w14:textId="77777777" w:rsidR="00A271A4" w:rsidRPr="008909D0" w:rsidRDefault="00A271A4" w:rsidP="008909D0">
            <w:pPr>
              <w:spacing w:line="276" w:lineRule="auto"/>
              <w:rPr>
                <w:rFonts w:ascii="Baskerville" w:hAnsi="Baskerville"/>
                <w:sz w:val="20"/>
                <w:szCs w:val="20"/>
              </w:rPr>
            </w:pPr>
            <w:proofErr w:type="spellStart"/>
            <w:r w:rsidRPr="008909D0">
              <w:rPr>
                <w:rFonts w:ascii="Baskerville" w:hAnsi="Baskerville"/>
                <w:sz w:val="20"/>
                <w:szCs w:val="20"/>
              </w:rPr>
              <w:t>Asfotase</w:t>
            </w:r>
            <w:proofErr w:type="spellEnd"/>
            <w:r w:rsidRPr="008909D0">
              <w:rPr>
                <w:rFonts w:ascii="Baskerville" w:hAnsi="Baskerville"/>
                <w:sz w:val="20"/>
                <w:szCs w:val="20"/>
              </w:rPr>
              <w:t xml:space="preserve"> </w:t>
            </w:r>
            <w:proofErr w:type="spellStart"/>
            <w:r w:rsidRPr="008909D0">
              <w:rPr>
                <w:rFonts w:ascii="Baskerville" w:hAnsi="Baskerville"/>
                <w:sz w:val="20"/>
                <w:szCs w:val="20"/>
              </w:rPr>
              <w:t>alfa</w:t>
            </w:r>
            <w:proofErr w:type="spellEnd"/>
            <w:r w:rsidRPr="008909D0">
              <w:rPr>
                <w:rFonts w:ascii="Baskerville" w:hAnsi="Baskerville"/>
                <w:sz w:val="20"/>
                <w:szCs w:val="20"/>
              </w:rPr>
              <w:t xml:space="preserve"> cost per unit, 2021–2026</w:t>
            </w:r>
          </w:p>
        </w:tc>
        <w:tc>
          <w:tcPr>
            <w:tcW w:w="1433" w:type="dxa"/>
          </w:tcPr>
          <w:p w14:paraId="7D01D0BF"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£5,880</w:t>
            </w:r>
          </w:p>
        </w:tc>
        <w:tc>
          <w:tcPr>
            <w:tcW w:w="1461" w:type="dxa"/>
          </w:tcPr>
          <w:p w14:paraId="49B23AFA"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£2,352</w:t>
            </w:r>
          </w:p>
        </w:tc>
        <w:tc>
          <w:tcPr>
            <w:tcW w:w="1456" w:type="dxa"/>
          </w:tcPr>
          <w:p w14:paraId="558D71F2"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−£3,528</w:t>
            </w:r>
          </w:p>
        </w:tc>
        <w:tc>
          <w:tcPr>
            <w:tcW w:w="1482" w:type="dxa"/>
          </w:tcPr>
          <w:p w14:paraId="2E5924AF" w14:textId="77777777" w:rsidR="00A271A4" w:rsidRPr="008909D0" w:rsidRDefault="00A271A4" w:rsidP="008909D0">
            <w:pPr>
              <w:spacing w:line="276" w:lineRule="auto"/>
              <w:rPr>
                <w:rFonts w:ascii="Baskerville" w:hAnsi="Baskerville"/>
                <w:sz w:val="20"/>
                <w:szCs w:val="20"/>
              </w:rPr>
            </w:pPr>
            <w:r w:rsidRPr="008909D0">
              <w:rPr>
                <w:rFonts w:ascii="Baskerville" w:hAnsi="Baskerville"/>
                <w:sz w:val="20"/>
                <w:szCs w:val="20"/>
              </w:rPr>
              <w:t>−60.0%</w:t>
            </w:r>
          </w:p>
        </w:tc>
      </w:tr>
    </w:tbl>
    <w:p w14:paraId="6CD4AE3A" w14:textId="6B1C521D" w:rsidR="00A271A4" w:rsidRPr="00E64F41" w:rsidRDefault="00A271A4" w:rsidP="00E64F41">
      <w:pPr>
        <w:spacing w:line="276" w:lineRule="auto"/>
        <w:jc w:val="both"/>
        <w:rPr>
          <w:rFonts w:ascii="Baskerville" w:hAnsi="Baskerville"/>
        </w:rPr>
      </w:pPr>
    </w:p>
    <w:p w14:paraId="179EF651" w14:textId="77777777" w:rsidR="00142008" w:rsidRDefault="00142008" w:rsidP="00E64F41">
      <w:pPr>
        <w:spacing w:line="276" w:lineRule="auto"/>
        <w:jc w:val="both"/>
        <w:rPr>
          <w:rFonts w:ascii="Baskerville" w:hAnsi="Baskerville"/>
          <w:i/>
          <w:iCs/>
        </w:rPr>
      </w:pPr>
    </w:p>
    <w:p w14:paraId="25C181DD" w14:textId="2C92D26A" w:rsidR="0006003D" w:rsidRPr="00A02F3E" w:rsidRDefault="0006003D" w:rsidP="00E64F41">
      <w:pPr>
        <w:spacing w:line="276" w:lineRule="auto"/>
        <w:jc w:val="both"/>
        <w:rPr>
          <w:rFonts w:ascii="Arial" w:hAnsi="Arial" w:cs="Arial"/>
          <w:i/>
          <w:iCs/>
        </w:rPr>
      </w:pPr>
      <w:r w:rsidRPr="00A02F3E">
        <w:rPr>
          <w:rFonts w:ascii="Arial" w:hAnsi="Arial" w:cs="Arial"/>
          <w:i/>
          <w:iCs/>
        </w:rPr>
        <w:t>Inferential Testing</w:t>
      </w:r>
    </w:p>
    <w:p w14:paraId="1EF2AA57" w14:textId="6D97A5AA" w:rsidR="00142008" w:rsidRPr="00A02F3E" w:rsidRDefault="00142008" w:rsidP="00745FE4">
      <w:pPr>
        <w:spacing w:before="120" w:line="276" w:lineRule="auto"/>
        <w:jc w:val="both"/>
        <w:rPr>
          <w:rFonts w:ascii="Arial" w:hAnsi="Arial" w:cs="Arial"/>
        </w:rPr>
      </w:pPr>
      <w:r w:rsidRPr="00A02F3E">
        <w:rPr>
          <w:rFonts w:ascii="Arial" w:hAnsi="Arial" w:cs="Arial"/>
        </w:rPr>
        <w:lastRenderedPageBreak/>
        <w:t xml:space="preserve">Inferential analyses were </w:t>
      </w:r>
      <w:r w:rsidRPr="00EE2B04">
        <w:rPr>
          <w:rFonts w:ascii="Arial" w:hAnsi="Arial" w:cs="Arial"/>
        </w:rPr>
        <w:t>conducted</w:t>
      </w:r>
      <w:r w:rsidR="003F4A35">
        <w:rPr>
          <w:rFonts w:ascii="Arial" w:hAnsi="Arial" w:cs="Arial"/>
        </w:rPr>
        <w:t xml:space="preserve"> </w:t>
      </w:r>
      <w:r w:rsidRPr="00EE2B04">
        <w:rPr>
          <w:rFonts w:ascii="Arial" w:hAnsi="Arial" w:cs="Arial"/>
        </w:rPr>
        <w:t xml:space="preserve">to test </w:t>
      </w:r>
      <w:r w:rsidR="002C6D7D" w:rsidRPr="00EE2B04">
        <w:rPr>
          <w:rFonts w:ascii="Arial" w:hAnsi="Arial" w:cs="Arial"/>
        </w:rPr>
        <w:t>five</w:t>
      </w:r>
      <w:r w:rsidRPr="00EE2B04">
        <w:rPr>
          <w:rFonts w:ascii="Arial" w:hAnsi="Arial" w:cs="Arial"/>
        </w:rPr>
        <w:t xml:space="preserve"> hypotheses</w:t>
      </w:r>
      <w:r w:rsidR="002E758D">
        <w:rPr>
          <w:rFonts w:ascii="Arial" w:hAnsi="Arial" w:cs="Arial"/>
        </w:rPr>
        <w:t xml:space="preserve"> (</w:t>
      </w:r>
      <w:r w:rsidR="002E758D" w:rsidRPr="003F4A35">
        <w:rPr>
          <w:rFonts w:ascii="Arial" w:hAnsi="Arial" w:cs="Arial"/>
          <w:i/>
        </w:rPr>
        <w:t>Appendix 2</w:t>
      </w:r>
      <w:r w:rsidR="002E758D">
        <w:rPr>
          <w:rFonts w:ascii="Arial" w:hAnsi="Arial" w:cs="Arial"/>
        </w:rPr>
        <w:t>)</w:t>
      </w:r>
      <w:r w:rsidRPr="00EE2B04">
        <w:rPr>
          <w:rFonts w:ascii="Arial" w:hAnsi="Arial" w:cs="Arial"/>
        </w:rPr>
        <w:t>, while applying the usual alpha threshold of 0.05 to determine statistical significance. The corresponding statistical results and determinations for each null hypothesis are presented</w:t>
      </w:r>
      <w:r w:rsidRPr="009E3154">
        <w:rPr>
          <w:rFonts w:ascii="Arial" w:hAnsi="Arial" w:cs="Arial"/>
        </w:rPr>
        <w:t xml:space="preserve"> in Table 4. For Spearman’s rank-order correlation, the null hypothesis posited that there </w:t>
      </w:r>
      <w:r w:rsidR="006807D0">
        <w:rPr>
          <w:rFonts w:ascii="Arial" w:hAnsi="Arial" w:cs="Arial"/>
        </w:rPr>
        <w:t xml:space="preserve">was </w:t>
      </w:r>
      <w:r w:rsidRPr="009E3154">
        <w:rPr>
          <w:rFonts w:ascii="Arial" w:hAnsi="Arial" w:cs="Arial"/>
        </w:rPr>
        <w:t>no relationship between calendar year and total units dispensed for the most frequently prescribed medicines, whereas the</w:t>
      </w:r>
      <w:r w:rsidRPr="00A02F3E">
        <w:rPr>
          <w:rFonts w:ascii="Arial" w:hAnsi="Arial" w:cs="Arial"/>
        </w:rPr>
        <w:t xml:space="preserve"> alternative </w:t>
      </w:r>
      <w:r w:rsidRPr="002C6D7D">
        <w:rPr>
          <w:rFonts w:ascii="Arial" w:hAnsi="Arial" w:cs="Arial"/>
        </w:rPr>
        <w:t>hypothesis suggested that such an association existed. The results revealed a strong negative correlation (</w:t>
      </w:r>
      <w:proofErr w:type="spellStart"/>
      <w:r w:rsidRPr="002C6D7D">
        <w:rPr>
          <w:rFonts w:ascii="Arial" w:hAnsi="Arial" w:cs="Arial"/>
        </w:rPr>
        <w:t>R</w:t>
      </w:r>
      <w:r w:rsidR="002C6D7D" w:rsidRPr="002C6D7D">
        <w:rPr>
          <w:rFonts w:ascii="Arial" w:hAnsi="Arial" w:cs="Arial"/>
          <w:vertAlign w:val="subscript"/>
        </w:rPr>
        <w:t>s</w:t>
      </w:r>
      <w:proofErr w:type="spellEnd"/>
      <w:r w:rsidRPr="002C6D7D">
        <w:rPr>
          <w:rFonts w:ascii="Arial" w:hAnsi="Arial" w:cs="Arial"/>
        </w:rPr>
        <w:t xml:space="preserve"> = -0.94, p = 0.005), and thus, given that p&lt;0.05, the null hypothesis was rejected. This finding</w:t>
      </w:r>
      <w:r w:rsidRPr="00A02F3E">
        <w:rPr>
          <w:rFonts w:ascii="Arial" w:hAnsi="Arial" w:cs="Arial"/>
        </w:rPr>
        <w:t xml:space="preserve"> indicates a statistically significant association between later calendar years and reduced prescribing volumes, consistent with the observed decrease from 32.3 million units in 2021 to 13.4 million in 2026. </w:t>
      </w:r>
    </w:p>
    <w:p w14:paraId="6FC922F7" w14:textId="77777777" w:rsidR="00142008" w:rsidRPr="00A02F3E" w:rsidRDefault="00142008" w:rsidP="00745FE4">
      <w:pPr>
        <w:spacing w:line="276" w:lineRule="auto"/>
        <w:jc w:val="both"/>
        <w:rPr>
          <w:rFonts w:ascii="Arial" w:hAnsi="Arial" w:cs="Arial"/>
        </w:rPr>
      </w:pPr>
    </w:p>
    <w:p w14:paraId="5E7D9F00" w14:textId="6B95B574" w:rsidR="00142008" w:rsidRPr="009E3154" w:rsidRDefault="00142008" w:rsidP="00745FE4">
      <w:pPr>
        <w:spacing w:line="276" w:lineRule="auto"/>
        <w:jc w:val="both"/>
        <w:rPr>
          <w:rFonts w:ascii="Arial" w:hAnsi="Arial" w:cs="Arial"/>
        </w:rPr>
      </w:pPr>
      <w:r w:rsidRPr="009E3154">
        <w:rPr>
          <w:rFonts w:ascii="Arial" w:hAnsi="Arial" w:cs="Arial"/>
        </w:rPr>
        <w:t xml:space="preserve">For simple linear regression, the null hypothesis maintained that the regression test associated with calendar year was zero, </w:t>
      </w:r>
      <w:r w:rsidRPr="00010A21">
        <w:rPr>
          <w:rFonts w:ascii="Arial" w:hAnsi="Arial" w:cs="Arial"/>
        </w:rPr>
        <w:t xml:space="preserve">while </w:t>
      </w:r>
      <w:r w:rsidR="00010A21" w:rsidRPr="00010A21">
        <w:rPr>
          <w:rFonts w:ascii="Arial" w:hAnsi="Arial" w:cs="Arial"/>
        </w:rPr>
        <w:t>the alternative posited that calendar year significantly predicted total indicative expenditure.</w:t>
      </w:r>
      <w:r w:rsidR="00010A21">
        <w:rPr>
          <w:rFonts w:ascii="Arial" w:hAnsi="Arial" w:cs="Arial"/>
        </w:rPr>
        <w:t xml:space="preserve"> </w:t>
      </w:r>
      <w:r w:rsidRPr="009E3154">
        <w:rPr>
          <w:rFonts w:ascii="Arial" w:hAnsi="Arial" w:cs="Arial"/>
        </w:rPr>
        <w:t xml:space="preserve">The regression was statistically significant, </w:t>
      </w:r>
      <w:proofErr w:type="gramStart"/>
      <w:r w:rsidRPr="009E3154">
        <w:rPr>
          <w:rFonts w:ascii="Arial" w:hAnsi="Arial" w:cs="Arial"/>
        </w:rPr>
        <w:t>F(</w:t>
      </w:r>
      <w:proofErr w:type="gramEnd"/>
      <w:r w:rsidRPr="009E3154">
        <w:rPr>
          <w:rFonts w:ascii="Arial" w:hAnsi="Arial" w:cs="Arial"/>
        </w:rPr>
        <w:t>1, 4) = 24.57, p=0.008, accounting for 86% of the variance in expenditure (R² = 0.86). The estimated unstandardised coefficient was B = -£238,000 per annum (95% CI: -£371,000 to -£105,000). As the confidence interval excluded zero and p&lt;0.05, the null hypothesis was rejected. The results indicate an estimated mean annual reduction in expenditure of approximately £238,000, although causality, as with all inferential tests, should not be inferred from this temporal association.</w:t>
      </w:r>
    </w:p>
    <w:p w14:paraId="05611ECA" w14:textId="77777777" w:rsidR="00142008" w:rsidRPr="009E3154" w:rsidRDefault="00142008" w:rsidP="00745FE4">
      <w:pPr>
        <w:spacing w:line="276" w:lineRule="auto"/>
        <w:jc w:val="both"/>
        <w:rPr>
          <w:rFonts w:ascii="Arial" w:hAnsi="Arial" w:cs="Arial"/>
        </w:rPr>
      </w:pPr>
    </w:p>
    <w:p w14:paraId="2FECE172" w14:textId="36C3B747" w:rsidR="005737B9" w:rsidRDefault="008D3156" w:rsidP="00F66B3A">
      <w:pPr>
        <w:spacing w:line="276" w:lineRule="auto"/>
        <w:jc w:val="both"/>
        <w:rPr>
          <w:rFonts w:ascii="Arial" w:hAnsi="Arial" w:cs="Arial"/>
        </w:rPr>
      </w:pPr>
      <w:r w:rsidRPr="009E3154">
        <w:rPr>
          <w:rFonts w:ascii="Arial" w:hAnsi="Arial" w:cs="Arial"/>
        </w:rPr>
        <w:t xml:space="preserve">For the </w:t>
      </w:r>
      <w:r w:rsidR="00142008" w:rsidRPr="009E3154">
        <w:rPr>
          <w:rFonts w:ascii="Arial" w:hAnsi="Arial" w:cs="Arial"/>
        </w:rPr>
        <w:t>Mann</w:t>
      </w:r>
      <w:r w:rsidR="00D04450">
        <w:rPr>
          <w:rFonts w:ascii="Arial" w:hAnsi="Arial" w:cs="Arial"/>
        </w:rPr>
        <w:t>-</w:t>
      </w:r>
      <w:r w:rsidR="00142008" w:rsidRPr="006807D0">
        <w:rPr>
          <w:rFonts w:ascii="Arial" w:hAnsi="Arial" w:cs="Arial"/>
        </w:rPr>
        <w:t>Whitney U test</w:t>
      </w:r>
      <w:r w:rsidRPr="006807D0">
        <w:rPr>
          <w:rFonts w:ascii="Arial" w:hAnsi="Arial" w:cs="Arial"/>
        </w:rPr>
        <w:t xml:space="preserve">, </w:t>
      </w:r>
      <w:r w:rsidR="006807D0" w:rsidRPr="006807D0">
        <w:rPr>
          <w:rFonts w:ascii="Arial" w:hAnsi="Arial" w:cs="Arial"/>
        </w:rPr>
        <w:t>the null hypothesis implied no difference in the distributions of cost per unit</w:t>
      </w:r>
      <w:r w:rsidR="00142008" w:rsidRPr="006807D0">
        <w:rPr>
          <w:rFonts w:ascii="Arial" w:hAnsi="Arial" w:cs="Arial"/>
        </w:rPr>
        <w:t xml:space="preserve"> between</w:t>
      </w:r>
      <w:r w:rsidR="00142008" w:rsidRPr="009E3154">
        <w:rPr>
          <w:rFonts w:ascii="Arial" w:hAnsi="Arial" w:cs="Arial"/>
        </w:rPr>
        <w:t xml:space="preserve"> the most frequently prescribed and the most expensive medicine groups, while the alternative suggested </w:t>
      </w:r>
      <w:r w:rsidRPr="009E3154">
        <w:rPr>
          <w:rFonts w:ascii="Arial" w:hAnsi="Arial" w:cs="Arial"/>
        </w:rPr>
        <w:t xml:space="preserve">that there would be </w:t>
      </w:r>
      <w:r w:rsidR="00142008" w:rsidRPr="009E3154">
        <w:rPr>
          <w:rFonts w:ascii="Arial" w:hAnsi="Arial" w:cs="Arial"/>
        </w:rPr>
        <w:t xml:space="preserve">a difference. Substantial cost disparities were observed: the median cost per unit in the most expensive group (£657.00) was </w:t>
      </w:r>
      <w:r w:rsidRPr="009E3154">
        <w:rPr>
          <w:rFonts w:ascii="Arial" w:hAnsi="Arial" w:cs="Arial"/>
        </w:rPr>
        <w:t>significantly</w:t>
      </w:r>
      <w:r w:rsidR="00142008" w:rsidRPr="009E3154">
        <w:rPr>
          <w:rFonts w:ascii="Arial" w:hAnsi="Arial" w:cs="Arial"/>
        </w:rPr>
        <w:t xml:space="preserve"> higher than that for the most frequently prescribed group (£0.78), U = 18.00, z = -6.42, p&lt;0.001. Rejection of the null hypothesis provides evidence that medicines prescribed in lower volumes may incu</w:t>
      </w:r>
      <w:r w:rsidR="005737B9">
        <w:rPr>
          <w:rFonts w:ascii="Arial" w:hAnsi="Arial" w:cs="Arial"/>
        </w:rPr>
        <w:t xml:space="preserve">r disproportionately high costs. </w:t>
      </w:r>
    </w:p>
    <w:p w14:paraId="461D2738" w14:textId="77777777" w:rsidR="005737B9" w:rsidRDefault="005737B9" w:rsidP="00F66B3A">
      <w:pPr>
        <w:spacing w:line="276" w:lineRule="auto"/>
        <w:jc w:val="both"/>
        <w:rPr>
          <w:rFonts w:ascii="Arial" w:hAnsi="Arial" w:cs="Arial"/>
        </w:rPr>
      </w:pPr>
    </w:p>
    <w:p w14:paraId="4E02EA76" w14:textId="6477BB09" w:rsidR="00F125A6" w:rsidRPr="00A02F3E" w:rsidRDefault="005737B9" w:rsidP="00F66B3A">
      <w:pPr>
        <w:spacing w:line="276" w:lineRule="auto"/>
        <w:jc w:val="both"/>
        <w:rPr>
          <w:rFonts w:ascii="Arial" w:hAnsi="Arial" w:cs="Arial"/>
        </w:rPr>
      </w:pPr>
      <w:r w:rsidRPr="00EE2B04">
        <w:rPr>
          <w:rFonts w:ascii="Arial" w:hAnsi="Arial" w:cs="Arial"/>
        </w:rPr>
        <w:t>For the Shapiro-</w:t>
      </w:r>
      <w:proofErr w:type="spellStart"/>
      <w:r w:rsidRPr="00EE2B04">
        <w:rPr>
          <w:rFonts w:ascii="Arial" w:hAnsi="Arial" w:cs="Arial"/>
        </w:rPr>
        <w:t>Wilk</w:t>
      </w:r>
      <w:proofErr w:type="spellEnd"/>
      <w:r w:rsidRPr="00EE2B04">
        <w:rPr>
          <w:rFonts w:ascii="Arial" w:hAnsi="Arial" w:cs="Arial"/>
        </w:rPr>
        <w:t xml:space="preserve"> test, the null hypothesis implied that the annual total indicative expenditure data followed a normal distribution, while the alternative suggested that the data would differ significantly from a normal distribution. For the ten most frequently prescribed medicines, the Shapiro–</w:t>
      </w:r>
      <w:proofErr w:type="spellStart"/>
      <w:r w:rsidRPr="00EE2B04">
        <w:rPr>
          <w:rFonts w:ascii="Arial" w:hAnsi="Arial" w:cs="Arial"/>
        </w:rPr>
        <w:t>Wilk</w:t>
      </w:r>
      <w:proofErr w:type="spellEnd"/>
      <w:r w:rsidRPr="00EE2B04">
        <w:rPr>
          <w:rFonts w:ascii="Arial" w:hAnsi="Arial" w:cs="Arial"/>
        </w:rPr>
        <w:t xml:space="preserve"> test demonstrated a statistically significant departure from normality (W = 0.618, p&lt;0.001). Similarly, the ten highest-cost medicines also demonstrated a significant departure from normality (W = 0.670, p = 0.003). Rejection of the null hypothesis indicates that neither expenditure dataset followed a normal di</w:t>
      </w:r>
      <w:r w:rsidR="00486B01" w:rsidRPr="00EE2B04">
        <w:rPr>
          <w:rFonts w:ascii="Arial" w:hAnsi="Arial" w:cs="Arial"/>
        </w:rPr>
        <w:t xml:space="preserve">stribution. </w:t>
      </w:r>
      <w:r w:rsidR="008D3156" w:rsidRPr="00EE2B04">
        <w:rPr>
          <w:rFonts w:ascii="Arial" w:hAnsi="Arial" w:cs="Arial"/>
        </w:rPr>
        <w:t xml:space="preserve">Finally, for the </w:t>
      </w:r>
      <w:r w:rsidR="00142008" w:rsidRPr="00EE2B04">
        <w:rPr>
          <w:rFonts w:ascii="Arial" w:hAnsi="Arial" w:cs="Arial"/>
        </w:rPr>
        <w:t>Wilcoxon signed-rank test</w:t>
      </w:r>
      <w:r w:rsidR="008D3156" w:rsidRPr="00EE2B04">
        <w:rPr>
          <w:rFonts w:ascii="Arial" w:hAnsi="Arial" w:cs="Arial"/>
        </w:rPr>
        <w:t xml:space="preserve">, </w:t>
      </w:r>
      <w:r w:rsidR="00142008" w:rsidRPr="00EE2B04">
        <w:rPr>
          <w:rFonts w:ascii="Arial" w:hAnsi="Arial" w:cs="Arial"/>
        </w:rPr>
        <w:t xml:space="preserve">the null hypothesis specified </w:t>
      </w:r>
      <w:r w:rsidR="008D3156" w:rsidRPr="00EE2B04">
        <w:rPr>
          <w:rFonts w:ascii="Arial" w:hAnsi="Arial" w:cs="Arial"/>
        </w:rPr>
        <w:t xml:space="preserve">that there was </w:t>
      </w:r>
      <w:r w:rsidR="00142008" w:rsidRPr="00EE2B04">
        <w:rPr>
          <w:rFonts w:ascii="Arial" w:hAnsi="Arial" w:cs="Arial"/>
        </w:rPr>
        <w:t>no median paired change in unit cost between 2021 and 2026, while the alternative indicated</w:t>
      </w:r>
      <w:r w:rsidR="00142008" w:rsidRPr="00A02F3E">
        <w:rPr>
          <w:rFonts w:ascii="Arial" w:hAnsi="Arial" w:cs="Arial"/>
        </w:rPr>
        <w:t xml:space="preserve"> the presence of a change</w:t>
      </w:r>
      <w:r w:rsidR="008D3156" w:rsidRPr="00A02F3E">
        <w:rPr>
          <w:rFonts w:ascii="Arial" w:hAnsi="Arial" w:cs="Arial"/>
        </w:rPr>
        <w:t xml:space="preserve"> over this time period</w:t>
      </w:r>
      <w:r w:rsidR="00142008" w:rsidRPr="00A02F3E">
        <w:rPr>
          <w:rFonts w:ascii="Arial" w:hAnsi="Arial" w:cs="Arial"/>
        </w:rPr>
        <w:t xml:space="preserve">. The analysis did not reach statistical significance (Z = -0.84, p=0.40), </w:t>
      </w:r>
      <w:r w:rsidR="00142008" w:rsidRPr="00A02F3E">
        <w:rPr>
          <w:rFonts w:ascii="Arial" w:hAnsi="Arial" w:cs="Arial"/>
        </w:rPr>
        <w:lastRenderedPageBreak/>
        <w:t>and thus</w:t>
      </w:r>
      <w:r w:rsidR="008D3156" w:rsidRPr="00A02F3E">
        <w:rPr>
          <w:rFonts w:ascii="Arial" w:hAnsi="Arial" w:cs="Arial"/>
        </w:rPr>
        <w:t>,</w:t>
      </w:r>
      <w:r w:rsidR="00142008" w:rsidRPr="00A02F3E">
        <w:rPr>
          <w:rFonts w:ascii="Arial" w:hAnsi="Arial" w:cs="Arial"/>
        </w:rPr>
        <w:t xml:space="preserve"> the null hypothesis was </w:t>
      </w:r>
      <w:r w:rsidR="006807D0">
        <w:rPr>
          <w:rFonts w:ascii="Arial" w:hAnsi="Arial" w:cs="Arial"/>
        </w:rPr>
        <w:t>not rejected</w:t>
      </w:r>
      <w:r w:rsidR="00142008" w:rsidRPr="00A02F3E">
        <w:rPr>
          <w:rFonts w:ascii="Arial" w:hAnsi="Arial" w:cs="Arial"/>
        </w:rPr>
        <w:t xml:space="preserve">. Although certain medicines exhibited marked price increases or decreases, the paired sample as a whole did not </w:t>
      </w:r>
      <w:r w:rsidR="008D3156" w:rsidRPr="00A02F3E">
        <w:rPr>
          <w:rFonts w:ascii="Arial" w:hAnsi="Arial" w:cs="Arial"/>
        </w:rPr>
        <w:t>lead to</w:t>
      </w:r>
      <w:r w:rsidR="00142008" w:rsidRPr="00A02F3E">
        <w:rPr>
          <w:rFonts w:ascii="Arial" w:hAnsi="Arial" w:cs="Arial"/>
        </w:rPr>
        <w:t xml:space="preserve"> a systematic trend in either direction. This finding should not be construed as evidence of universal price stability, but rather reflects that </w:t>
      </w:r>
      <w:proofErr w:type="gramStart"/>
      <w:r w:rsidR="00142008" w:rsidRPr="00A02F3E">
        <w:rPr>
          <w:rFonts w:ascii="Arial" w:hAnsi="Arial" w:cs="Arial"/>
        </w:rPr>
        <w:t xml:space="preserve">upward and downward </w:t>
      </w:r>
      <w:r w:rsidR="008D3156" w:rsidRPr="00A02F3E">
        <w:rPr>
          <w:rFonts w:ascii="Arial" w:hAnsi="Arial" w:cs="Arial"/>
        </w:rPr>
        <w:t>trends</w:t>
      </w:r>
      <w:r w:rsidR="00142008" w:rsidRPr="00A02F3E">
        <w:rPr>
          <w:rFonts w:ascii="Arial" w:hAnsi="Arial" w:cs="Arial"/>
        </w:rPr>
        <w:t xml:space="preserve"> in cost</w:t>
      </w:r>
      <w:r w:rsidR="008D3156" w:rsidRPr="00A02F3E">
        <w:rPr>
          <w:rFonts w:ascii="Arial" w:hAnsi="Arial" w:cs="Arial"/>
        </w:rPr>
        <w:t>s</w:t>
      </w:r>
      <w:r w:rsidR="00142008" w:rsidRPr="00A02F3E">
        <w:rPr>
          <w:rFonts w:ascii="Arial" w:hAnsi="Arial" w:cs="Arial"/>
        </w:rPr>
        <w:t xml:space="preserve"> across different medicines effectively balance</w:t>
      </w:r>
      <w:r w:rsidR="008D3156" w:rsidRPr="00A02F3E">
        <w:rPr>
          <w:rFonts w:ascii="Arial" w:hAnsi="Arial" w:cs="Arial"/>
        </w:rPr>
        <w:t>s</w:t>
      </w:r>
      <w:proofErr w:type="gramEnd"/>
      <w:r w:rsidR="00142008" w:rsidRPr="00A02F3E">
        <w:rPr>
          <w:rFonts w:ascii="Arial" w:hAnsi="Arial" w:cs="Arial"/>
        </w:rPr>
        <w:t xml:space="preserve"> each other out.</w:t>
      </w:r>
    </w:p>
    <w:p w14:paraId="561F7432" w14:textId="347335A6" w:rsidR="00142008" w:rsidRPr="00A02F3E" w:rsidRDefault="00142008" w:rsidP="00142008">
      <w:pPr>
        <w:keepNext/>
        <w:spacing w:beforeAutospacing="1" w:afterAutospacing="1" w:line="276" w:lineRule="auto"/>
        <w:rPr>
          <w:rFonts w:ascii="Arial" w:hAnsi="Arial" w:cs="Arial"/>
          <w:bCs/>
        </w:rPr>
      </w:pPr>
      <w:proofErr w:type="gramStart"/>
      <w:r w:rsidRPr="00A02F3E">
        <w:rPr>
          <w:rFonts w:ascii="Arial" w:hAnsi="Arial" w:cs="Arial"/>
          <w:bCs/>
        </w:rPr>
        <w:t>Table 4.</w:t>
      </w:r>
      <w:proofErr w:type="gramEnd"/>
      <w:r w:rsidRPr="00A02F3E">
        <w:rPr>
          <w:rFonts w:ascii="Arial" w:hAnsi="Arial" w:cs="Arial"/>
          <w:bCs/>
        </w:rPr>
        <w:t xml:space="preserve"> Summary of inferential tests</w:t>
      </w:r>
    </w:p>
    <w:tbl>
      <w:tblPr>
        <w:tblStyle w:val="TableGrid"/>
        <w:tblW w:w="9020" w:type="dxa"/>
        <w:jc w:val="center"/>
        <w:tblLayout w:type="fixed"/>
        <w:tblLook w:val="04A0" w:firstRow="1" w:lastRow="0" w:firstColumn="1" w:lastColumn="0" w:noHBand="0" w:noVBand="1"/>
      </w:tblPr>
      <w:tblGrid>
        <w:gridCol w:w="1804"/>
        <w:gridCol w:w="1804"/>
        <w:gridCol w:w="1804"/>
        <w:gridCol w:w="1804"/>
        <w:gridCol w:w="1804"/>
      </w:tblGrid>
      <w:tr w:rsidR="00142008" w14:paraId="1D099D07" w14:textId="77777777" w:rsidTr="002B2F12">
        <w:trPr>
          <w:cantSplit/>
          <w:tblHeader/>
          <w:jc w:val="center"/>
        </w:trPr>
        <w:tc>
          <w:tcPr>
            <w:tcW w:w="1804" w:type="dxa"/>
            <w:vAlign w:val="center"/>
          </w:tcPr>
          <w:p w14:paraId="0FB9958F" w14:textId="77777777" w:rsidR="00142008" w:rsidRPr="00142008" w:rsidRDefault="00142008" w:rsidP="00745FE4">
            <w:pPr>
              <w:rPr>
                <w:bCs/>
              </w:rPr>
            </w:pPr>
            <w:r w:rsidRPr="00745FE4">
              <w:rPr>
                <w:rFonts w:ascii="Baskerville" w:hAnsi="Baskerville"/>
                <w:bCs/>
                <w:sz w:val="20"/>
              </w:rPr>
              <w:t>Test and null hypothesis</w:t>
            </w:r>
          </w:p>
        </w:tc>
        <w:tc>
          <w:tcPr>
            <w:tcW w:w="1804" w:type="dxa"/>
            <w:vAlign w:val="center"/>
          </w:tcPr>
          <w:p w14:paraId="5DAB37EF" w14:textId="77777777" w:rsidR="00142008" w:rsidRPr="00142008" w:rsidRDefault="00142008" w:rsidP="00745FE4">
            <w:pPr>
              <w:rPr>
                <w:bCs/>
              </w:rPr>
            </w:pPr>
            <w:r w:rsidRPr="00745FE4">
              <w:rPr>
                <w:rFonts w:ascii="Baskerville" w:hAnsi="Baskerville"/>
                <w:bCs/>
                <w:sz w:val="20"/>
              </w:rPr>
              <w:t>Effect/statistic</w:t>
            </w:r>
          </w:p>
        </w:tc>
        <w:tc>
          <w:tcPr>
            <w:tcW w:w="1804" w:type="dxa"/>
            <w:vAlign w:val="center"/>
          </w:tcPr>
          <w:p w14:paraId="0C8DB361" w14:textId="77777777" w:rsidR="00142008" w:rsidRPr="00142008" w:rsidRDefault="00142008" w:rsidP="00745FE4">
            <w:pPr>
              <w:rPr>
                <w:bCs/>
              </w:rPr>
            </w:pPr>
            <w:r w:rsidRPr="00745FE4">
              <w:rPr>
                <w:rFonts w:ascii="Baskerville" w:hAnsi="Baskerville"/>
                <w:bCs/>
                <w:sz w:val="20"/>
              </w:rPr>
              <w:t>p-value</w:t>
            </w:r>
          </w:p>
        </w:tc>
        <w:tc>
          <w:tcPr>
            <w:tcW w:w="1804" w:type="dxa"/>
            <w:vAlign w:val="center"/>
          </w:tcPr>
          <w:p w14:paraId="332744C4" w14:textId="77777777" w:rsidR="00142008" w:rsidRPr="00142008" w:rsidRDefault="00142008" w:rsidP="00745FE4">
            <w:pPr>
              <w:rPr>
                <w:bCs/>
              </w:rPr>
            </w:pPr>
            <w:r w:rsidRPr="00745FE4">
              <w:rPr>
                <w:rFonts w:ascii="Baskerville" w:hAnsi="Baskerville"/>
                <w:bCs/>
                <w:sz w:val="20"/>
              </w:rPr>
              <w:t>H0 decision</w:t>
            </w:r>
          </w:p>
        </w:tc>
        <w:tc>
          <w:tcPr>
            <w:tcW w:w="1804" w:type="dxa"/>
            <w:vAlign w:val="center"/>
          </w:tcPr>
          <w:p w14:paraId="0485D358" w14:textId="77777777" w:rsidR="00142008" w:rsidRPr="00142008" w:rsidRDefault="00142008" w:rsidP="00745FE4">
            <w:pPr>
              <w:rPr>
                <w:bCs/>
              </w:rPr>
            </w:pPr>
            <w:r w:rsidRPr="00745FE4">
              <w:rPr>
                <w:rFonts w:ascii="Baskerville" w:hAnsi="Baskerville"/>
                <w:bCs/>
                <w:sz w:val="20"/>
              </w:rPr>
              <w:t>Interpretation</w:t>
            </w:r>
          </w:p>
        </w:tc>
      </w:tr>
      <w:tr w:rsidR="00142008" w14:paraId="43925F26" w14:textId="77777777" w:rsidTr="002B2F12">
        <w:trPr>
          <w:cantSplit/>
          <w:jc w:val="center"/>
        </w:trPr>
        <w:tc>
          <w:tcPr>
            <w:tcW w:w="1804" w:type="dxa"/>
            <w:vAlign w:val="center"/>
          </w:tcPr>
          <w:p w14:paraId="14D9E904" w14:textId="37553936" w:rsidR="00142008" w:rsidRPr="00142008" w:rsidRDefault="00142008" w:rsidP="00142008">
            <w:pPr>
              <w:rPr>
                <w:bCs/>
              </w:rPr>
            </w:pPr>
            <w:r w:rsidRPr="009E3154">
              <w:rPr>
                <w:rFonts w:ascii="Baskerville" w:hAnsi="Baskerville"/>
                <w:b/>
                <w:bCs/>
                <w:sz w:val="19"/>
              </w:rPr>
              <w:t>Spearman correlation</w:t>
            </w:r>
            <w:r w:rsidRPr="00745FE4">
              <w:rPr>
                <w:rFonts w:ascii="Baskerville" w:hAnsi="Baskerville"/>
                <w:bCs/>
                <w:sz w:val="19"/>
              </w:rPr>
              <w:t>: no association between year and total units</w:t>
            </w:r>
          </w:p>
        </w:tc>
        <w:tc>
          <w:tcPr>
            <w:tcW w:w="1804" w:type="dxa"/>
            <w:vAlign w:val="center"/>
          </w:tcPr>
          <w:p w14:paraId="06CCFF45" w14:textId="77777777" w:rsidR="00142008" w:rsidRPr="00142008" w:rsidRDefault="00142008" w:rsidP="00142008">
            <w:pPr>
              <w:rPr>
                <w:bCs/>
              </w:rPr>
            </w:pPr>
            <w:proofErr w:type="spellStart"/>
            <w:r w:rsidRPr="00745FE4">
              <w:rPr>
                <w:rFonts w:ascii="Baskerville" w:hAnsi="Baskerville"/>
                <w:bCs/>
                <w:sz w:val="19"/>
              </w:rPr>
              <w:t>r_s</w:t>
            </w:r>
            <w:proofErr w:type="spellEnd"/>
            <w:r w:rsidRPr="00745FE4">
              <w:rPr>
                <w:rFonts w:ascii="Baskerville" w:hAnsi="Baskerville"/>
                <w:bCs/>
                <w:sz w:val="19"/>
              </w:rPr>
              <w:t xml:space="preserve"> = -0.94</w:t>
            </w:r>
          </w:p>
        </w:tc>
        <w:tc>
          <w:tcPr>
            <w:tcW w:w="1804" w:type="dxa"/>
            <w:vAlign w:val="center"/>
          </w:tcPr>
          <w:p w14:paraId="0169B21E" w14:textId="77777777" w:rsidR="00142008" w:rsidRPr="00142008" w:rsidRDefault="00142008" w:rsidP="00745FE4">
            <w:pPr>
              <w:rPr>
                <w:bCs/>
              </w:rPr>
            </w:pPr>
            <w:r w:rsidRPr="00745FE4">
              <w:rPr>
                <w:rFonts w:ascii="Baskerville" w:hAnsi="Baskerville"/>
                <w:bCs/>
                <w:sz w:val="19"/>
              </w:rPr>
              <w:t>0.005</w:t>
            </w:r>
          </w:p>
        </w:tc>
        <w:tc>
          <w:tcPr>
            <w:tcW w:w="1804" w:type="dxa"/>
            <w:vAlign w:val="center"/>
          </w:tcPr>
          <w:p w14:paraId="4EE2D747" w14:textId="77777777" w:rsidR="00142008" w:rsidRPr="00142008" w:rsidRDefault="00142008" w:rsidP="00745FE4">
            <w:pPr>
              <w:rPr>
                <w:bCs/>
              </w:rPr>
            </w:pPr>
            <w:r w:rsidRPr="00745FE4">
              <w:rPr>
                <w:rFonts w:ascii="Baskerville" w:hAnsi="Baskerville"/>
                <w:bCs/>
                <w:sz w:val="19"/>
              </w:rPr>
              <w:t>Reject</w:t>
            </w:r>
          </w:p>
        </w:tc>
        <w:tc>
          <w:tcPr>
            <w:tcW w:w="1804" w:type="dxa"/>
            <w:vAlign w:val="center"/>
          </w:tcPr>
          <w:p w14:paraId="6F69A957" w14:textId="77777777" w:rsidR="00142008" w:rsidRPr="00142008" w:rsidRDefault="00142008" w:rsidP="00142008">
            <w:pPr>
              <w:rPr>
                <w:bCs/>
              </w:rPr>
            </w:pPr>
            <w:r w:rsidRPr="00745FE4">
              <w:rPr>
                <w:rFonts w:ascii="Baskerville" w:hAnsi="Baskerville"/>
                <w:bCs/>
                <w:sz w:val="19"/>
              </w:rPr>
              <w:t>Later years were associated with lower prescribing volume.</w:t>
            </w:r>
          </w:p>
        </w:tc>
      </w:tr>
      <w:tr w:rsidR="00142008" w14:paraId="598EB011" w14:textId="77777777" w:rsidTr="002B2F12">
        <w:trPr>
          <w:cantSplit/>
          <w:jc w:val="center"/>
        </w:trPr>
        <w:tc>
          <w:tcPr>
            <w:tcW w:w="1804" w:type="dxa"/>
            <w:vAlign w:val="center"/>
          </w:tcPr>
          <w:p w14:paraId="6159080C" w14:textId="77777777" w:rsidR="00142008" w:rsidRPr="00142008" w:rsidRDefault="00142008" w:rsidP="00142008">
            <w:pPr>
              <w:rPr>
                <w:bCs/>
              </w:rPr>
            </w:pPr>
            <w:r w:rsidRPr="009E3154">
              <w:rPr>
                <w:rFonts w:ascii="Baskerville" w:hAnsi="Baskerville"/>
                <w:b/>
                <w:bCs/>
                <w:sz w:val="19"/>
              </w:rPr>
              <w:t>Linear regression</w:t>
            </w:r>
            <w:r w:rsidRPr="00745FE4">
              <w:rPr>
                <w:rFonts w:ascii="Baskerville" w:hAnsi="Baskerville"/>
                <w:bCs/>
                <w:sz w:val="19"/>
              </w:rPr>
              <w:t>: calendar-year slope equals zero.</w:t>
            </w:r>
          </w:p>
        </w:tc>
        <w:tc>
          <w:tcPr>
            <w:tcW w:w="1804" w:type="dxa"/>
            <w:vAlign w:val="center"/>
          </w:tcPr>
          <w:p w14:paraId="2F96ACFF" w14:textId="77777777" w:rsidR="00142008" w:rsidRPr="00142008" w:rsidRDefault="00142008" w:rsidP="00142008">
            <w:pPr>
              <w:rPr>
                <w:bCs/>
              </w:rPr>
            </w:pPr>
            <w:r w:rsidRPr="00745FE4">
              <w:rPr>
                <w:rFonts w:ascii="Baskerville" w:hAnsi="Baskerville"/>
                <w:bCs/>
                <w:sz w:val="19"/>
              </w:rPr>
              <w:t>R² = 0.86; F(1, 4) = 24.57; B = -£238,000/year; 95% CI -£371,000 to -£105,000</w:t>
            </w:r>
          </w:p>
        </w:tc>
        <w:tc>
          <w:tcPr>
            <w:tcW w:w="1804" w:type="dxa"/>
            <w:vAlign w:val="center"/>
          </w:tcPr>
          <w:p w14:paraId="4277770C" w14:textId="77777777" w:rsidR="00142008" w:rsidRPr="00142008" w:rsidRDefault="00142008" w:rsidP="00745FE4">
            <w:pPr>
              <w:rPr>
                <w:bCs/>
              </w:rPr>
            </w:pPr>
            <w:r w:rsidRPr="00745FE4">
              <w:rPr>
                <w:rFonts w:ascii="Baskerville" w:hAnsi="Baskerville"/>
                <w:bCs/>
                <w:sz w:val="19"/>
              </w:rPr>
              <w:t>0.008</w:t>
            </w:r>
          </w:p>
        </w:tc>
        <w:tc>
          <w:tcPr>
            <w:tcW w:w="1804" w:type="dxa"/>
            <w:vAlign w:val="center"/>
          </w:tcPr>
          <w:p w14:paraId="7C1EDAFA" w14:textId="77777777" w:rsidR="00142008" w:rsidRPr="00142008" w:rsidRDefault="00142008" w:rsidP="00745FE4">
            <w:pPr>
              <w:rPr>
                <w:bCs/>
              </w:rPr>
            </w:pPr>
            <w:r w:rsidRPr="00745FE4">
              <w:rPr>
                <w:rFonts w:ascii="Baskerville" w:hAnsi="Baskerville"/>
                <w:bCs/>
                <w:sz w:val="19"/>
              </w:rPr>
              <w:t>Reject</w:t>
            </w:r>
          </w:p>
        </w:tc>
        <w:tc>
          <w:tcPr>
            <w:tcW w:w="1804" w:type="dxa"/>
            <w:vAlign w:val="center"/>
          </w:tcPr>
          <w:p w14:paraId="46C39DEF" w14:textId="77777777" w:rsidR="00142008" w:rsidRPr="00142008" w:rsidRDefault="00142008" w:rsidP="00142008">
            <w:pPr>
              <w:rPr>
                <w:bCs/>
              </w:rPr>
            </w:pPr>
            <w:r w:rsidRPr="00745FE4">
              <w:rPr>
                <w:rFonts w:ascii="Baskerville" w:hAnsi="Baskerville"/>
                <w:bCs/>
                <w:sz w:val="19"/>
              </w:rPr>
              <w:t>Calendar year significantly predicted lower expenditure.</w:t>
            </w:r>
          </w:p>
        </w:tc>
      </w:tr>
      <w:tr w:rsidR="00142008" w14:paraId="182AB7F0" w14:textId="77777777" w:rsidTr="002B2F12">
        <w:trPr>
          <w:cantSplit/>
          <w:jc w:val="center"/>
        </w:trPr>
        <w:tc>
          <w:tcPr>
            <w:tcW w:w="1804" w:type="dxa"/>
            <w:vAlign w:val="center"/>
          </w:tcPr>
          <w:p w14:paraId="520558A3" w14:textId="5B80A029" w:rsidR="00142008" w:rsidRPr="00EE2B04" w:rsidRDefault="00142008" w:rsidP="00142008">
            <w:pPr>
              <w:rPr>
                <w:bCs/>
              </w:rPr>
            </w:pPr>
            <w:r w:rsidRPr="00EE2B04">
              <w:rPr>
                <w:rFonts w:ascii="Baskerville" w:hAnsi="Baskerville"/>
                <w:b/>
                <w:bCs/>
                <w:sz w:val="19"/>
              </w:rPr>
              <w:t>Mann-Whitney U</w:t>
            </w:r>
            <w:r w:rsidRPr="00EE2B04">
              <w:rPr>
                <w:rFonts w:ascii="Baskerville" w:hAnsi="Baskerville"/>
                <w:bCs/>
                <w:sz w:val="19"/>
              </w:rPr>
              <w:t>: cost-per-unit distributions are equal between groups</w:t>
            </w:r>
          </w:p>
        </w:tc>
        <w:tc>
          <w:tcPr>
            <w:tcW w:w="1804" w:type="dxa"/>
            <w:vAlign w:val="center"/>
          </w:tcPr>
          <w:p w14:paraId="3226449A" w14:textId="77777777" w:rsidR="00142008" w:rsidRPr="00EE2B04" w:rsidRDefault="00142008" w:rsidP="00142008">
            <w:pPr>
              <w:rPr>
                <w:bCs/>
              </w:rPr>
            </w:pPr>
            <w:r w:rsidRPr="00EE2B04">
              <w:rPr>
                <w:rFonts w:ascii="Baskerville" w:hAnsi="Baskerville"/>
                <w:bCs/>
                <w:sz w:val="19"/>
              </w:rPr>
              <w:t>U = 18.00; z = -6.42; medians £0.78 vs £657.00</w:t>
            </w:r>
          </w:p>
        </w:tc>
        <w:tc>
          <w:tcPr>
            <w:tcW w:w="1804" w:type="dxa"/>
            <w:vAlign w:val="center"/>
          </w:tcPr>
          <w:p w14:paraId="01228431" w14:textId="77777777" w:rsidR="00142008" w:rsidRPr="00EE2B04" w:rsidRDefault="00142008" w:rsidP="00745FE4">
            <w:pPr>
              <w:rPr>
                <w:bCs/>
              </w:rPr>
            </w:pPr>
            <w:r w:rsidRPr="00EE2B04">
              <w:rPr>
                <w:rFonts w:ascii="Baskerville" w:hAnsi="Baskerville"/>
                <w:bCs/>
                <w:sz w:val="19"/>
              </w:rPr>
              <w:t>&lt;0.001</w:t>
            </w:r>
          </w:p>
        </w:tc>
        <w:tc>
          <w:tcPr>
            <w:tcW w:w="1804" w:type="dxa"/>
            <w:vAlign w:val="center"/>
          </w:tcPr>
          <w:p w14:paraId="243600C7" w14:textId="77777777" w:rsidR="00142008" w:rsidRPr="00EE2B04" w:rsidRDefault="00142008" w:rsidP="00745FE4">
            <w:pPr>
              <w:rPr>
                <w:bCs/>
              </w:rPr>
            </w:pPr>
            <w:r w:rsidRPr="00EE2B04">
              <w:rPr>
                <w:rFonts w:ascii="Baskerville" w:hAnsi="Baskerville"/>
                <w:bCs/>
                <w:sz w:val="19"/>
              </w:rPr>
              <w:t>Reject</w:t>
            </w:r>
          </w:p>
        </w:tc>
        <w:tc>
          <w:tcPr>
            <w:tcW w:w="1804" w:type="dxa"/>
            <w:vAlign w:val="center"/>
          </w:tcPr>
          <w:p w14:paraId="46C895E1" w14:textId="3B2092EE" w:rsidR="00142008" w:rsidRPr="00EE2B04" w:rsidRDefault="00142008" w:rsidP="00142008">
            <w:pPr>
              <w:rPr>
                <w:bCs/>
              </w:rPr>
            </w:pPr>
            <w:r w:rsidRPr="00EE2B04">
              <w:rPr>
                <w:rFonts w:ascii="Baskerville" w:hAnsi="Baskerville"/>
                <w:bCs/>
                <w:sz w:val="19"/>
              </w:rPr>
              <w:t>The costliest medicines had markedly higher unit costs.</w:t>
            </w:r>
          </w:p>
        </w:tc>
      </w:tr>
      <w:tr w:rsidR="00455637" w14:paraId="093DA542" w14:textId="77777777" w:rsidTr="002B2F12">
        <w:trPr>
          <w:cantSplit/>
          <w:jc w:val="center"/>
        </w:trPr>
        <w:tc>
          <w:tcPr>
            <w:tcW w:w="1804" w:type="dxa"/>
            <w:vAlign w:val="center"/>
          </w:tcPr>
          <w:p w14:paraId="28E1C6D5" w14:textId="572CF16C" w:rsidR="00455637" w:rsidRPr="00EE2B04" w:rsidRDefault="00065D0E" w:rsidP="00142008">
            <w:pPr>
              <w:rPr>
                <w:rFonts w:ascii="Baskerville" w:hAnsi="Baskerville"/>
                <w:b/>
                <w:bCs/>
                <w:sz w:val="19"/>
              </w:rPr>
            </w:pPr>
            <w:r w:rsidRPr="00EE2B04">
              <w:rPr>
                <w:rFonts w:ascii="Baskerville" w:hAnsi="Baskerville"/>
                <w:b/>
                <w:bCs/>
                <w:sz w:val="19"/>
              </w:rPr>
              <w:t>Shapiro-</w:t>
            </w:r>
            <w:proofErr w:type="spellStart"/>
            <w:r w:rsidRPr="00EE2B04">
              <w:rPr>
                <w:rFonts w:ascii="Baskerville" w:hAnsi="Baskerville"/>
                <w:b/>
                <w:bCs/>
                <w:sz w:val="19"/>
              </w:rPr>
              <w:t>Wilk</w:t>
            </w:r>
            <w:proofErr w:type="spellEnd"/>
            <w:r w:rsidRPr="00EE2B04">
              <w:rPr>
                <w:rFonts w:ascii="Baskerville" w:hAnsi="Baskerville"/>
                <w:b/>
                <w:bCs/>
                <w:sz w:val="19"/>
              </w:rPr>
              <w:t xml:space="preserve">: </w:t>
            </w:r>
            <w:r w:rsidRPr="00EE2B04">
              <w:rPr>
                <w:rFonts w:ascii="Baskerville" w:hAnsi="Baskerville"/>
                <w:bCs/>
                <w:sz w:val="19"/>
              </w:rPr>
              <w:t>annual total expenditure data are normally distributed</w:t>
            </w:r>
          </w:p>
        </w:tc>
        <w:tc>
          <w:tcPr>
            <w:tcW w:w="1804" w:type="dxa"/>
            <w:vAlign w:val="center"/>
          </w:tcPr>
          <w:p w14:paraId="7895AC19" w14:textId="048E2D97" w:rsidR="00455637" w:rsidRPr="00EE2B04" w:rsidRDefault="00C7388D" w:rsidP="00142008">
            <w:pPr>
              <w:rPr>
                <w:rFonts w:ascii="Baskerville" w:hAnsi="Baskerville"/>
                <w:bCs/>
                <w:sz w:val="19"/>
              </w:rPr>
            </w:pPr>
            <w:r w:rsidRPr="00EE2B04">
              <w:rPr>
                <w:rFonts w:ascii="Baskerville" w:hAnsi="Baskerville"/>
                <w:bCs/>
                <w:sz w:val="19"/>
              </w:rPr>
              <w:t>W = 0.618 (frequent group); W = 0.670 (highest-cost group)</w:t>
            </w:r>
          </w:p>
        </w:tc>
        <w:tc>
          <w:tcPr>
            <w:tcW w:w="1804" w:type="dxa"/>
            <w:vAlign w:val="center"/>
          </w:tcPr>
          <w:p w14:paraId="20F8294E" w14:textId="4C7B33F8" w:rsidR="00455637" w:rsidRPr="00EE2B04" w:rsidRDefault="00C7388D" w:rsidP="00745FE4">
            <w:pPr>
              <w:rPr>
                <w:rFonts w:ascii="Baskerville" w:hAnsi="Baskerville"/>
                <w:bCs/>
                <w:sz w:val="19"/>
              </w:rPr>
            </w:pPr>
            <w:r w:rsidRPr="00EE2B04">
              <w:rPr>
                <w:rFonts w:ascii="Baskerville" w:hAnsi="Baskerville"/>
                <w:bCs/>
                <w:sz w:val="19"/>
              </w:rPr>
              <w:t>&lt;0.001; 0.003</w:t>
            </w:r>
          </w:p>
        </w:tc>
        <w:tc>
          <w:tcPr>
            <w:tcW w:w="1804" w:type="dxa"/>
            <w:vAlign w:val="center"/>
          </w:tcPr>
          <w:p w14:paraId="6B55504D" w14:textId="6798A7BF" w:rsidR="00455637" w:rsidRPr="00EE2B04" w:rsidRDefault="00C7388D" w:rsidP="00745FE4">
            <w:pPr>
              <w:rPr>
                <w:rFonts w:ascii="Baskerville" w:hAnsi="Baskerville"/>
                <w:bCs/>
                <w:sz w:val="19"/>
              </w:rPr>
            </w:pPr>
            <w:r w:rsidRPr="00EE2B04">
              <w:rPr>
                <w:rFonts w:ascii="Baskerville" w:hAnsi="Baskerville"/>
                <w:bCs/>
                <w:sz w:val="19"/>
              </w:rPr>
              <w:t>Reject</w:t>
            </w:r>
          </w:p>
        </w:tc>
        <w:tc>
          <w:tcPr>
            <w:tcW w:w="1804" w:type="dxa"/>
            <w:vAlign w:val="center"/>
          </w:tcPr>
          <w:p w14:paraId="42F6984D" w14:textId="75D9CD89" w:rsidR="00455637" w:rsidRPr="00EE2B04" w:rsidRDefault="00C7388D" w:rsidP="00142008">
            <w:pPr>
              <w:rPr>
                <w:rFonts w:ascii="Baskerville" w:hAnsi="Baskerville"/>
                <w:bCs/>
                <w:sz w:val="19"/>
              </w:rPr>
            </w:pPr>
            <w:r w:rsidRPr="00EE2B04">
              <w:rPr>
                <w:rFonts w:ascii="Baskerville" w:hAnsi="Baskerville"/>
                <w:bCs/>
                <w:sz w:val="19"/>
              </w:rPr>
              <w:t>Both expenditure datasets showed significant departures from normality.</w:t>
            </w:r>
          </w:p>
        </w:tc>
      </w:tr>
      <w:tr w:rsidR="00142008" w14:paraId="74798531" w14:textId="77777777" w:rsidTr="002B2F12">
        <w:trPr>
          <w:cantSplit/>
          <w:jc w:val="center"/>
        </w:trPr>
        <w:tc>
          <w:tcPr>
            <w:tcW w:w="1804" w:type="dxa"/>
            <w:vAlign w:val="center"/>
          </w:tcPr>
          <w:p w14:paraId="39DF303B" w14:textId="708D3309" w:rsidR="00142008" w:rsidRPr="00142008" w:rsidRDefault="00142008" w:rsidP="00142008">
            <w:pPr>
              <w:rPr>
                <w:bCs/>
              </w:rPr>
            </w:pPr>
            <w:r w:rsidRPr="009E3154">
              <w:rPr>
                <w:rFonts w:ascii="Baskerville" w:hAnsi="Baskerville"/>
                <w:b/>
                <w:bCs/>
                <w:sz w:val="19"/>
              </w:rPr>
              <w:t>Wilcoxon signed-rank</w:t>
            </w:r>
            <w:r w:rsidRPr="00745FE4">
              <w:rPr>
                <w:rFonts w:ascii="Baskerville" w:hAnsi="Baskerville"/>
                <w:bCs/>
                <w:sz w:val="19"/>
              </w:rPr>
              <w:t>: median paired change from 2021 to 2026 equals zero</w:t>
            </w:r>
          </w:p>
        </w:tc>
        <w:tc>
          <w:tcPr>
            <w:tcW w:w="1804" w:type="dxa"/>
            <w:vAlign w:val="center"/>
          </w:tcPr>
          <w:p w14:paraId="424A0A32" w14:textId="77777777" w:rsidR="00142008" w:rsidRPr="00142008" w:rsidRDefault="00142008" w:rsidP="00142008">
            <w:pPr>
              <w:rPr>
                <w:bCs/>
              </w:rPr>
            </w:pPr>
            <w:r w:rsidRPr="00745FE4">
              <w:rPr>
                <w:rFonts w:ascii="Baskerville" w:hAnsi="Baskerville"/>
                <w:bCs/>
                <w:sz w:val="19"/>
              </w:rPr>
              <w:t>Z = -0.84</w:t>
            </w:r>
          </w:p>
        </w:tc>
        <w:tc>
          <w:tcPr>
            <w:tcW w:w="1804" w:type="dxa"/>
            <w:vAlign w:val="center"/>
          </w:tcPr>
          <w:p w14:paraId="2D75F3EF" w14:textId="77777777" w:rsidR="00142008" w:rsidRPr="00142008" w:rsidRDefault="00142008" w:rsidP="00745FE4">
            <w:pPr>
              <w:rPr>
                <w:bCs/>
              </w:rPr>
            </w:pPr>
            <w:r w:rsidRPr="00745FE4">
              <w:rPr>
                <w:rFonts w:ascii="Baskerville" w:hAnsi="Baskerville"/>
                <w:bCs/>
                <w:sz w:val="19"/>
              </w:rPr>
              <w:t>0.40</w:t>
            </w:r>
          </w:p>
        </w:tc>
        <w:tc>
          <w:tcPr>
            <w:tcW w:w="1804" w:type="dxa"/>
            <w:vAlign w:val="center"/>
          </w:tcPr>
          <w:p w14:paraId="211BF483" w14:textId="3AA56AFA" w:rsidR="00142008" w:rsidRPr="00142008" w:rsidRDefault="00142008" w:rsidP="00745FE4">
            <w:pPr>
              <w:rPr>
                <w:bCs/>
              </w:rPr>
            </w:pPr>
            <w:r>
              <w:rPr>
                <w:rFonts w:ascii="Baskerville" w:hAnsi="Baskerville"/>
                <w:bCs/>
                <w:sz w:val="19"/>
              </w:rPr>
              <w:t>No</w:t>
            </w:r>
            <w:r w:rsidRPr="00745FE4">
              <w:rPr>
                <w:rFonts w:ascii="Baskerville" w:hAnsi="Baskerville"/>
                <w:bCs/>
                <w:sz w:val="19"/>
              </w:rPr>
              <w:t xml:space="preserve"> reject</w:t>
            </w:r>
            <w:r>
              <w:rPr>
                <w:rFonts w:ascii="Baskerville" w:hAnsi="Baskerville"/>
                <w:bCs/>
                <w:sz w:val="19"/>
              </w:rPr>
              <w:t>ion</w:t>
            </w:r>
          </w:p>
        </w:tc>
        <w:tc>
          <w:tcPr>
            <w:tcW w:w="1804" w:type="dxa"/>
            <w:vAlign w:val="center"/>
          </w:tcPr>
          <w:p w14:paraId="48801384" w14:textId="77777777" w:rsidR="00142008" w:rsidRPr="00142008" w:rsidRDefault="00142008" w:rsidP="00142008">
            <w:pPr>
              <w:rPr>
                <w:bCs/>
              </w:rPr>
            </w:pPr>
            <w:r w:rsidRPr="00745FE4">
              <w:rPr>
                <w:rFonts w:ascii="Baskerville" w:hAnsi="Baskerville"/>
                <w:bCs/>
                <w:sz w:val="19"/>
              </w:rPr>
              <w:t>No consistent overall paired change in unit price was identified.</w:t>
            </w:r>
          </w:p>
        </w:tc>
      </w:tr>
    </w:tbl>
    <w:p w14:paraId="12C2CC2C" w14:textId="77777777" w:rsidR="00142008" w:rsidRDefault="00142008" w:rsidP="00F66B3A">
      <w:pPr>
        <w:spacing w:line="276" w:lineRule="auto"/>
        <w:jc w:val="both"/>
        <w:rPr>
          <w:rFonts w:ascii="Baskerville" w:hAnsi="Baskerville"/>
        </w:rPr>
      </w:pPr>
    </w:p>
    <w:p w14:paraId="07F5CBB9" w14:textId="77777777" w:rsidR="0046714C" w:rsidRDefault="0046714C" w:rsidP="00F66B3A">
      <w:pPr>
        <w:spacing w:line="276" w:lineRule="auto"/>
        <w:jc w:val="both"/>
        <w:rPr>
          <w:rFonts w:ascii="Baskerville" w:hAnsi="Baskerville"/>
        </w:rPr>
      </w:pPr>
    </w:p>
    <w:bookmarkEnd w:id="13"/>
    <w:bookmarkEnd w:id="14"/>
    <w:bookmarkEnd w:id="15"/>
    <w:p w14:paraId="368BFF6D" w14:textId="77777777" w:rsidR="00761334" w:rsidRPr="00F66B3A" w:rsidRDefault="00761334" w:rsidP="00F66B3A">
      <w:pPr>
        <w:spacing w:line="276" w:lineRule="auto"/>
        <w:jc w:val="both"/>
        <w:rPr>
          <w:rFonts w:ascii="Baskerville" w:hAnsi="Baskerville"/>
        </w:rPr>
      </w:pPr>
    </w:p>
    <w:p w14:paraId="1A4D18E0" w14:textId="5F6B6845" w:rsidR="005249A2" w:rsidRPr="00177BFB" w:rsidRDefault="005249A2" w:rsidP="00F66B3A">
      <w:pPr>
        <w:pStyle w:val="Heading1"/>
        <w:jc w:val="both"/>
        <w:rPr>
          <w:rFonts w:ascii="Arial" w:hAnsi="Arial" w:cs="Arial"/>
          <w:b/>
          <w:bCs/>
          <w:color w:val="auto"/>
          <w:sz w:val="24"/>
          <w:szCs w:val="24"/>
        </w:rPr>
      </w:pPr>
      <w:bookmarkStart w:id="19" w:name="_Toc240132668"/>
      <w:r w:rsidRPr="00177BFB">
        <w:rPr>
          <w:rFonts w:ascii="Arial" w:hAnsi="Arial" w:cs="Arial"/>
          <w:b/>
          <w:bCs/>
          <w:color w:val="auto"/>
          <w:sz w:val="24"/>
          <w:szCs w:val="24"/>
        </w:rPr>
        <w:t>Discussion</w:t>
      </w:r>
      <w:bookmarkEnd w:id="19"/>
    </w:p>
    <w:p w14:paraId="21EF782D" w14:textId="5200D6B4" w:rsidR="005249A2" w:rsidRPr="00177BFB" w:rsidRDefault="005249A2" w:rsidP="00F66B3A">
      <w:pPr>
        <w:spacing w:line="276" w:lineRule="auto"/>
        <w:jc w:val="both"/>
        <w:rPr>
          <w:rFonts w:ascii="Arial" w:hAnsi="Arial" w:cs="Arial"/>
        </w:rPr>
      </w:pPr>
    </w:p>
    <w:p w14:paraId="05399FFF" w14:textId="47454DC6" w:rsidR="0068262A" w:rsidRPr="00177BFB" w:rsidRDefault="0068262A" w:rsidP="00F66B3A">
      <w:pPr>
        <w:pStyle w:val="Heading2"/>
        <w:jc w:val="both"/>
        <w:rPr>
          <w:rFonts w:ascii="Arial" w:hAnsi="Arial" w:cs="Arial"/>
          <w:i/>
          <w:iCs/>
          <w:color w:val="auto"/>
          <w:sz w:val="24"/>
          <w:szCs w:val="24"/>
        </w:rPr>
      </w:pPr>
      <w:bookmarkStart w:id="20" w:name="_Toc240132669"/>
      <w:r w:rsidRPr="00177BFB">
        <w:rPr>
          <w:rFonts w:ascii="Arial" w:hAnsi="Arial" w:cs="Arial"/>
          <w:i/>
          <w:iCs/>
          <w:color w:val="auto"/>
          <w:sz w:val="24"/>
          <w:szCs w:val="24"/>
        </w:rPr>
        <w:t>Overview of Findings</w:t>
      </w:r>
      <w:bookmarkEnd w:id="20"/>
    </w:p>
    <w:p w14:paraId="48C58523" w14:textId="5DC83EAE" w:rsidR="0068262A" w:rsidRPr="00177BFB" w:rsidRDefault="0068262A" w:rsidP="00F66B3A">
      <w:pPr>
        <w:spacing w:line="276" w:lineRule="auto"/>
        <w:jc w:val="both"/>
        <w:rPr>
          <w:rFonts w:ascii="Arial" w:hAnsi="Arial" w:cs="Arial"/>
        </w:rPr>
      </w:pPr>
    </w:p>
    <w:p w14:paraId="4EAF4134" w14:textId="6354E6FF" w:rsidR="0068262A" w:rsidRPr="00177BFB" w:rsidRDefault="0068262A" w:rsidP="00F66B3A">
      <w:pPr>
        <w:spacing w:line="276" w:lineRule="auto"/>
        <w:jc w:val="both"/>
        <w:rPr>
          <w:rFonts w:ascii="Arial" w:hAnsi="Arial" w:cs="Arial"/>
        </w:rPr>
      </w:pPr>
      <w:r w:rsidRPr="00177BFB">
        <w:rPr>
          <w:rFonts w:ascii="Arial" w:hAnsi="Arial" w:cs="Arial"/>
        </w:rPr>
        <w:t xml:space="preserve">This research explored </w:t>
      </w:r>
      <w:r w:rsidR="0009384A" w:rsidRPr="00177BFB">
        <w:rPr>
          <w:rFonts w:ascii="Arial" w:hAnsi="Arial" w:cs="Arial"/>
        </w:rPr>
        <w:t>the temporal variances in</w:t>
      </w:r>
      <w:r w:rsidRPr="00177BFB">
        <w:rPr>
          <w:rFonts w:ascii="Arial" w:hAnsi="Arial" w:cs="Arial"/>
        </w:rPr>
        <w:t xml:space="preserve"> medicines supplied </w:t>
      </w:r>
      <w:r w:rsidR="0009384A" w:rsidRPr="00177BFB">
        <w:rPr>
          <w:rFonts w:ascii="Arial" w:hAnsi="Arial" w:cs="Arial"/>
        </w:rPr>
        <w:t>in</w:t>
      </w:r>
      <w:r w:rsidRPr="00177BFB">
        <w:rPr>
          <w:rFonts w:ascii="Arial" w:hAnsi="Arial" w:cs="Arial"/>
        </w:rPr>
        <w:t xml:space="preserve"> NHS secondary care, </w:t>
      </w:r>
      <w:r w:rsidR="0009384A" w:rsidRPr="00177BFB">
        <w:rPr>
          <w:rFonts w:ascii="Arial" w:hAnsi="Arial" w:cs="Arial"/>
        </w:rPr>
        <w:t>by extraction and analysing data from</w:t>
      </w:r>
      <w:r w:rsidRPr="00177BFB">
        <w:rPr>
          <w:rFonts w:ascii="Arial" w:hAnsi="Arial" w:cs="Arial"/>
        </w:rPr>
        <w:t xml:space="preserve"> the SCMD</w:t>
      </w:r>
      <w:r w:rsidR="0009384A" w:rsidRPr="00177BFB">
        <w:rPr>
          <w:rFonts w:ascii="Arial" w:hAnsi="Arial" w:cs="Arial"/>
        </w:rPr>
        <w:t>. There was focus</w:t>
      </w:r>
      <w:r w:rsidRPr="00177BFB">
        <w:rPr>
          <w:rFonts w:ascii="Arial" w:hAnsi="Arial" w:cs="Arial"/>
        </w:rPr>
        <w:t xml:space="preserve"> on the most commonly prescribed items, </w:t>
      </w:r>
      <w:r w:rsidR="0009384A" w:rsidRPr="00177BFB">
        <w:rPr>
          <w:rFonts w:ascii="Arial" w:hAnsi="Arial" w:cs="Arial"/>
        </w:rPr>
        <w:t xml:space="preserve">as well as </w:t>
      </w:r>
      <w:r w:rsidRPr="00177BFB">
        <w:rPr>
          <w:rFonts w:ascii="Arial" w:hAnsi="Arial" w:cs="Arial"/>
        </w:rPr>
        <w:t>those accounting for the highest</w:t>
      </w:r>
      <w:r w:rsidR="0009384A" w:rsidRPr="00177BFB">
        <w:rPr>
          <w:rFonts w:ascii="Arial" w:hAnsi="Arial" w:cs="Arial"/>
        </w:rPr>
        <w:t xml:space="preserve"> overall</w:t>
      </w:r>
      <w:r w:rsidRPr="00177BFB">
        <w:rPr>
          <w:rFonts w:ascii="Arial" w:hAnsi="Arial" w:cs="Arial"/>
        </w:rPr>
        <w:t xml:space="preserve"> spending, and </w:t>
      </w:r>
      <w:r w:rsidR="0009384A" w:rsidRPr="00177BFB">
        <w:rPr>
          <w:rFonts w:ascii="Arial" w:hAnsi="Arial" w:cs="Arial"/>
        </w:rPr>
        <w:t>variances</w:t>
      </w:r>
      <w:r w:rsidRPr="00177BFB">
        <w:rPr>
          <w:rFonts w:ascii="Arial" w:hAnsi="Arial" w:cs="Arial"/>
        </w:rPr>
        <w:t xml:space="preserve"> in costs from April 2021 to April 2026. Three </w:t>
      </w:r>
      <w:r w:rsidR="0009384A" w:rsidRPr="00177BFB">
        <w:rPr>
          <w:rFonts w:ascii="Arial" w:hAnsi="Arial" w:cs="Arial"/>
        </w:rPr>
        <w:t>key</w:t>
      </w:r>
      <w:r w:rsidRPr="00177BFB">
        <w:rPr>
          <w:rFonts w:ascii="Arial" w:hAnsi="Arial" w:cs="Arial"/>
        </w:rPr>
        <w:t xml:space="preserve"> observations were identified. The first was that medicines dispensed in the largest volumes were </w:t>
      </w:r>
      <w:r w:rsidR="0009384A" w:rsidRPr="00177BFB">
        <w:rPr>
          <w:rFonts w:ascii="Arial" w:hAnsi="Arial" w:cs="Arial"/>
        </w:rPr>
        <w:t>largely composed of</w:t>
      </w:r>
      <w:r w:rsidRPr="00177BFB">
        <w:rPr>
          <w:rFonts w:ascii="Arial" w:hAnsi="Arial" w:cs="Arial"/>
        </w:rPr>
        <w:t xml:space="preserve"> long-established generic</w:t>
      </w:r>
      <w:r w:rsidR="0009384A" w:rsidRPr="00177BFB">
        <w:rPr>
          <w:rFonts w:ascii="Arial" w:hAnsi="Arial" w:cs="Arial"/>
        </w:rPr>
        <w:t xml:space="preserve"> medicines </w:t>
      </w:r>
      <w:r w:rsidRPr="00177BFB">
        <w:rPr>
          <w:rFonts w:ascii="Arial" w:hAnsi="Arial" w:cs="Arial"/>
        </w:rPr>
        <w:t>and nutritional supplements, such as paracetamol, heparin, lactulose, metronidazole, and oral nutrition products</w:t>
      </w:r>
      <w:r w:rsidR="0009384A" w:rsidRPr="00177BFB">
        <w:rPr>
          <w:rFonts w:ascii="Arial" w:hAnsi="Arial" w:cs="Arial"/>
        </w:rPr>
        <w:t>, as with</w:t>
      </w:r>
      <w:r w:rsidRPr="00177BFB">
        <w:rPr>
          <w:rFonts w:ascii="Arial" w:hAnsi="Arial" w:cs="Arial"/>
        </w:rPr>
        <w:t xml:space="preserve"> Ensure, </w:t>
      </w:r>
      <w:proofErr w:type="spellStart"/>
      <w:r w:rsidRPr="00177BFB">
        <w:rPr>
          <w:rFonts w:ascii="Arial" w:hAnsi="Arial" w:cs="Arial"/>
        </w:rPr>
        <w:t>Fortisip</w:t>
      </w:r>
      <w:proofErr w:type="spellEnd"/>
      <w:r w:rsidRPr="00177BFB">
        <w:rPr>
          <w:rFonts w:ascii="Arial" w:hAnsi="Arial" w:cs="Arial"/>
        </w:rPr>
        <w:t xml:space="preserve">, </w:t>
      </w:r>
      <w:proofErr w:type="spellStart"/>
      <w:r w:rsidRPr="00177BFB">
        <w:rPr>
          <w:rFonts w:ascii="Arial" w:hAnsi="Arial" w:cs="Arial"/>
        </w:rPr>
        <w:t>Fresubin</w:t>
      </w:r>
      <w:proofErr w:type="spellEnd"/>
      <w:r w:rsidRPr="00177BFB">
        <w:rPr>
          <w:rFonts w:ascii="Arial" w:hAnsi="Arial" w:cs="Arial"/>
        </w:rPr>
        <w:t xml:space="preserve">, and </w:t>
      </w:r>
      <w:proofErr w:type="spellStart"/>
      <w:r w:rsidRPr="00177BFB">
        <w:rPr>
          <w:rFonts w:ascii="Arial" w:hAnsi="Arial" w:cs="Arial"/>
        </w:rPr>
        <w:t>Jevity</w:t>
      </w:r>
      <w:proofErr w:type="spellEnd"/>
      <w:r w:rsidRPr="00177BFB">
        <w:rPr>
          <w:rFonts w:ascii="Arial" w:hAnsi="Arial" w:cs="Arial"/>
        </w:rPr>
        <w:t xml:space="preserve">. The second key </w:t>
      </w:r>
      <w:r w:rsidR="0009384A" w:rsidRPr="00177BFB">
        <w:rPr>
          <w:rFonts w:ascii="Arial" w:hAnsi="Arial" w:cs="Arial"/>
        </w:rPr>
        <w:t>finding</w:t>
      </w:r>
      <w:r w:rsidRPr="00177BFB">
        <w:rPr>
          <w:rFonts w:ascii="Arial" w:hAnsi="Arial" w:cs="Arial"/>
        </w:rPr>
        <w:t xml:space="preserve"> was that the highest-cost medicines were </w:t>
      </w:r>
      <w:r w:rsidR="0009384A" w:rsidRPr="00177BFB">
        <w:rPr>
          <w:rFonts w:ascii="Arial" w:hAnsi="Arial" w:cs="Arial"/>
        </w:rPr>
        <w:t>mostly</w:t>
      </w:r>
      <w:r w:rsidRPr="00177BFB">
        <w:rPr>
          <w:rFonts w:ascii="Arial" w:hAnsi="Arial" w:cs="Arial"/>
        </w:rPr>
        <w:t xml:space="preserve"> specialist </w:t>
      </w:r>
      <w:r w:rsidR="0009384A" w:rsidRPr="00177BFB">
        <w:rPr>
          <w:rFonts w:ascii="Arial" w:hAnsi="Arial" w:cs="Arial"/>
        </w:rPr>
        <w:t xml:space="preserve">drugs </w:t>
      </w:r>
      <w:r w:rsidRPr="00177BFB">
        <w:rPr>
          <w:rFonts w:ascii="Arial" w:hAnsi="Arial" w:cs="Arial"/>
        </w:rPr>
        <w:t xml:space="preserve">including biologics, </w:t>
      </w:r>
      <w:r w:rsidR="0009384A" w:rsidRPr="00177BFB">
        <w:rPr>
          <w:rFonts w:ascii="Arial" w:hAnsi="Arial" w:cs="Arial"/>
        </w:rPr>
        <w:t>chemotherapy</w:t>
      </w:r>
      <w:r w:rsidRPr="00177BFB">
        <w:rPr>
          <w:rFonts w:ascii="Arial" w:hAnsi="Arial" w:cs="Arial"/>
        </w:rPr>
        <w:t>, gene-based treatments, and medicines for rare conditions</w:t>
      </w:r>
      <w:r w:rsidR="0009384A" w:rsidRPr="00177BFB">
        <w:rPr>
          <w:rFonts w:ascii="Arial" w:hAnsi="Arial" w:cs="Arial"/>
        </w:rPr>
        <w:t xml:space="preserve">. Such high costs were </w:t>
      </w:r>
      <w:r w:rsidRPr="00177BFB">
        <w:rPr>
          <w:rFonts w:ascii="Arial" w:hAnsi="Arial" w:cs="Arial"/>
        </w:rPr>
        <w:t xml:space="preserve">even </w:t>
      </w:r>
      <w:r w:rsidR="0009384A" w:rsidRPr="00177BFB">
        <w:rPr>
          <w:rFonts w:ascii="Arial" w:hAnsi="Arial" w:cs="Arial"/>
        </w:rPr>
        <w:t>despite</w:t>
      </w:r>
      <w:r w:rsidRPr="00177BFB">
        <w:rPr>
          <w:rFonts w:ascii="Arial" w:hAnsi="Arial" w:cs="Arial"/>
        </w:rPr>
        <w:t xml:space="preserve"> these </w:t>
      </w:r>
      <w:r w:rsidR="0009384A" w:rsidRPr="00177BFB">
        <w:rPr>
          <w:rFonts w:ascii="Arial" w:hAnsi="Arial" w:cs="Arial"/>
        </w:rPr>
        <w:t>medicines being</w:t>
      </w:r>
      <w:r w:rsidRPr="00177BFB">
        <w:rPr>
          <w:rFonts w:ascii="Arial" w:hAnsi="Arial" w:cs="Arial"/>
        </w:rPr>
        <w:t xml:space="preserve"> prescribed </w:t>
      </w:r>
      <w:r w:rsidR="0009384A" w:rsidRPr="00177BFB">
        <w:rPr>
          <w:rFonts w:ascii="Arial" w:hAnsi="Arial" w:cs="Arial"/>
        </w:rPr>
        <w:lastRenderedPageBreak/>
        <w:t xml:space="preserve">much </w:t>
      </w:r>
      <w:r w:rsidRPr="00177BFB">
        <w:rPr>
          <w:rFonts w:ascii="Arial" w:hAnsi="Arial" w:cs="Arial"/>
        </w:rPr>
        <w:t>less often</w:t>
      </w:r>
      <w:r w:rsidR="0009384A" w:rsidRPr="00177BFB">
        <w:rPr>
          <w:rFonts w:ascii="Arial" w:hAnsi="Arial" w:cs="Arial"/>
        </w:rPr>
        <w:t xml:space="preserve"> than the most commonly prescribed medicines</w:t>
      </w:r>
      <w:r w:rsidRPr="00177BFB">
        <w:rPr>
          <w:rFonts w:ascii="Arial" w:hAnsi="Arial" w:cs="Arial"/>
        </w:rPr>
        <w:t xml:space="preserve">. </w:t>
      </w:r>
      <w:r w:rsidR="0009384A" w:rsidRPr="00177BFB">
        <w:rPr>
          <w:rFonts w:ascii="Arial" w:hAnsi="Arial" w:cs="Arial"/>
        </w:rPr>
        <w:t>Third</w:t>
      </w:r>
      <w:r w:rsidRPr="00177BFB">
        <w:rPr>
          <w:rFonts w:ascii="Arial" w:hAnsi="Arial" w:cs="Arial"/>
        </w:rPr>
        <w:t xml:space="preserve">, both the total number of prescriptions and the overall indicative spending </w:t>
      </w:r>
      <w:r w:rsidR="0009384A" w:rsidRPr="00177BFB">
        <w:rPr>
          <w:rFonts w:ascii="Arial" w:hAnsi="Arial" w:cs="Arial"/>
        </w:rPr>
        <w:t>across</w:t>
      </w:r>
      <w:r w:rsidRPr="00177BFB">
        <w:rPr>
          <w:rFonts w:ascii="Arial" w:hAnsi="Arial" w:cs="Arial"/>
        </w:rPr>
        <w:t xml:space="preserve"> the </w:t>
      </w:r>
      <w:r w:rsidR="0009384A" w:rsidRPr="00177BFB">
        <w:rPr>
          <w:rFonts w:ascii="Arial" w:hAnsi="Arial" w:cs="Arial"/>
        </w:rPr>
        <w:t>top 10</w:t>
      </w:r>
      <w:r w:rsidRPr="00177BFB">
        <w:rPr>
          <w:rFonts w:ascii="Arial" w:hAnsi="Arial" w:cs="Arial"/>
        </w:rPr>
        <w:t xml:space="preserve"> medicines in each group tended to decrease over the period studied, </w:t>
      </w:r>
      <w:r w:rsidR="0009384A" w:rsidRPr="00177BFB">
        <w:rPr>
          <w:rFonts w:ascii="Arial" w:hAnsi="Arial" w:cs="Arial"/>
        </w:rPr>
        <w:t>although</w:t>
      </w:r>
      <w:r w:rsidRPr="00177BFB">
        <w:rPr>
          <w:rFonts w:ascii="Arial" w:hAnsi="Arial" w:cs="Arial"/>
        </w:rPr>
        <w:t xml:space="preserve"> patterns varied for individual medicines.</w:t>
      </w:r>
      <w:r w:rsidR="0048350F" w:rsidRPr="00177BFB">
        <w:rPr>
          <w:rFonts w:ascii="Arial" w:hAnsi="Arial" w:cs="Arial"/>
        </w:rPr>
        <w:t xml:space="preserve"> </w:t>
      </w:r>
      <w:r w:rsidR="00455637" w:rsidRPr="00455637">
        <w:rPr>
          <w:rFonts w:ascii="Arial" w:hAnsi="Arial" w:cs="Arial"/>
        </w:rPr>
        <w:t xml:space="preserve">Overall, the results of this study highlight the marked difference between the volume of medicines prescribed and the associated spending, which has significant implications for policy as noted in a later section of this discussion. Indeed, earlier studies support this work, showing that the most frequently prescribed medicines do not always consume the greatest burden on healthcare budgets (Curtis &amp; </w:t>
      </w:r>
      <w:proofErr w:type="spellStart"/>
      <w:r w:rsidR="00455637" w:rsidRPr="00455637">
        <w:rPr>
          <w:rFonts w:ascii="Arial" w:hAnsi="Arial" w:cs="Arial"/>
        </w:rPr>
        <w:t>Goldacre</w:t>
      </w:r>
      <w:proofErr w:type="spellEnd"/>
      <w:r w:rsidR="00455637" w:rsidRPr="00455637">
        <w:rPr>
          <w:rFonts w:ascii="Arial" w:hAnsi="Arial" w:cs="Arial"/>
        </w:rPr>
        <w:t xml:space="preserve">, 2018). The current findings support this pattern within secondary care for the first time, showing that widely used medicines across hospital departments are often inexpensive, but a select group of specialist medicines account for a disproportionate amount of drug costs. As a result, relying solely on prescription counts to assess the sustainability of medicines optimisation is likely to be misleading.  </w:t>
      </w:r>
    </w:p>
    <w:p w14:paraId="20C31621" w14:textId="77777777" w:rsidR="0068262A" w:rsidRPr="00177BFB" w:rsidRDefault="0068262A" w:rsidP="00F66B3A">
      <w:pPr>
        <w:spacing w:line="276" w:lineRule="auto"/>
        <w:jc w:val="both"/>
        <w:rPr>
          <w:rFonts w:ascii="Arial" w:hAnsi="Arial" w:cs="Arial"/>
        </w:rPr>
      </w:pPr>
    </w:p>
    <w:p w14:paraId="2A136611" w14:textId="02279ED1" w:rsidR="0068262A" w:rsidRPr="00177BFB" w:rsidRDefault="0068262A" w:rsidP="00F66B3A">
      <w:pPr>
        <w:spacing w:line="276" w:lineRule="auto"/>
        <w:jc w:val="both"/>
        <w:rPr>
          <w:rFonts w:ascii="Arial" w:hAnsi="Arial" w:cs="Arial"/>
        </w:rPr>
      </w:pPr>
      <w:r w:rsidRPr="00177BFB">
        <w:rPr>
          <w:rFonts w:ascii="Arial" w:hAnsi="Arial" w:cs="Arial"/>
        </w:rPr>
        <w:t xml:space="preserve">The data </w:t>
      </w:r>
      <w:r w:rsidR="0053447D" w:rsidRPr="00177BFB">
        <w:rPr>
          <w:rFonts w:ascii="Arial" w:hAnsi="Arial" w:cs="Arial"/>
        </w:rPr>
        <w:t xml:space="preserve">in this study </w:t>
      </w:r>
      <w:r w:rsidRPr="00177BFB">
        <w:rPr>
          <w:rFonts w:ascii="Arial" w:hAnsi="Arial" w:cs="Arial"/>
        </w:rPr>
        <w:t xml:space="preserve">also </w:t>
      </w:r>
      <w:r w:rsidR="0053447D" w:rsidRPr="00177BFB">
        <w:rPr>
          <w:rFonts w:ascii="Arial" w:hAnsi="Arial" w:cs="Arial"/>
        </w:rPr>
        <w:t>showed how</w:t>
      </w:r>
      <w:r w:rsidRPr="00177BFB">
        <w:rPr>
          <w:rFonts w:ascii="Arial" w:hAnsi="Arial" w:cs="Arial"/>
        </w:rPr>
        <w:t xml:space="preserve"> hospital prescribing patterns have </w:t>
      </w:r>
      <w:r w:rsidR="0053447D" w:rsidRPr="00177BFB">
        <w:rPr>
          <w:rFonts w:ascii="Arial" w:hAnsi="Arial" w:cs="Arial"/>
        </w:rPr>
        <w:t>changed</w:t>
      </w:r>
      <w:r w:rsidRPr="00177BFB">
        <w:rPr>
          <w:rFonts w:ascii="Arial" w:hAnsi="Arial" w:cs="Arial"/>
        </w:rPr>
        <w:t xml:space="preserve"> over time. While the list of most commonly used medicines stayed relatively constant, the </w:t>
      </w:r>
      <w:r w:rsidR="0053447D" w:rsidRPr="00177BFB">
        <w:rPr>
          <w:rFonts w:ascii="Arial" w:hAnsi="Arial" w:cs="Arial"/>
        </w:rPr>
        <w:t>cumulative costs of the</w:t>
      </w:r>
      <w:r w:rsidRPr="00177BFB">
        <w:rPr>
          <w:rFonts w:ascii="Arial" w:hAnsi="Arial" w:cs="Arial"/>
        </w:rPr>
        <w:t xml:space="preserve"> highest-cost drugs </w:t>
      </w:r>
      <w:r w:rsidR="0053447D" w:rsidRPr="00177BFB">
        <w:rPr>
          <w:rFonts w:ascii="Arial" w:hAnsi="Arial" w:cs="Arial"/>
        </w:rPr>
        <w:t xml:space="preserve">was found to </w:t>
      </w:r>
      <w:r w:rsidRPr="00177BFB">
        <w:rPr>
          <w:rFonts w:ascii="Arial" w:hAnsi="Arial" w:cs="Arial"/>
        </w:rPr>
        <w:t xml:space="preserve">change markedly </w:t>
      </w:r>
      <w:r w:rsidR="0053447D" w:rsidRPr="00177BFB">
        <w:rPr>
          <w:rFonts w:ascii="Arial" w:hAnsi="Arial" w:cs="Arial"/>
        </w:rPr>
        <w:t>over the 5</w:t>
      </w:r>
      <w:r w:rsidR="00576139">
        <w:rPr>
          <w:rFonts w:ascii="Arial" w:hAnsi="Arial" w:cs="Arial"/>
        </w:rPr>
        <w:t>-</w:t>
      </w:r>
      <w:r w:rsidR="0053447D" w:rsidRPr="00177BFB">
        <w:rPr>
          <w:rFonts w:ascii="Arial" w:hAnsi="Arial" w:cs="Arial"/>
        </w:rPr>
        <w:t>year study period</w:t>
      </w:r>
      <w:r w:rsidRPr="00177BFB">
        <w:rPr>
          <w:rFonts w:ascii="Arial" w:hAnsi="Arial" w:cs="Arial"/>
        </w:rPr>
        <w:t>. Earl</w:t>
      </w:r>
      <w:r w:rsidR="0053447D" w:rsidRPr="00177BFB">
        <w:rPr>
          <w:rFonts w:ascii="Arial" w:hAnsi="Arial" w:cs="Arial"/>
        </w:rPr>
        <w:t>y</w:t>
      </w:r>
      <w:r w:rsidRPr="00177BFB">
        <w:rPr>
          <w:rFonts w:ascii="Arial" w:hAnsi="Arial" w:cs="Arial"/>
        </w:rPr>
        <w:t xml:space="preserve"> in the study period, this group was dominated by recombinant coagulation factors and immunoglobulin products. </w:t>
      </w:r>
      <w:r w:rsidR="0053447D" w:rsidRPr="00177BFB">
        <w:rPr>
          <w:rFonts w:ascii="Arial" w:hAnsi="Arial" w:cs="Arial"/>
        </w:rPr>
        <w:t>However, i</w:t>
      </w:r>
      <w:r w:rsidRPr="00177BFB">
        <w:rPr>
          <w:rFonts w:ascii="Arial" w:hAnsi="Arial" w:cs="Arial"/>
        </w:rPr>
        <w:t xml:space="preserve">n later years, newer treatments including gene therapies, </w:t>
      </w:r>
      <w:r w:rsidR="00455637" w:rsidRPr="00455637">
        <w:rPr>
          <w:rFonts w:ascii="Arial" w:hAnsi="Arial" w:cs="Arial"/>
        </w:rPr>
        <w:t xml:space="preserve">RNA interacting agents, and drugs for rare conditions, such as cystic fibrosis and amyloidosis became more prominent. These changes reflect wider trends in drug development, with a growing share of NHS spending having been directed towards advanced therapies for smaller patient populations; those with rarer diseases (European Parliamentary Research Service, 2023; </w:t>
      </w:r>
      <w:proofErr w:type="spellStart"/>
      <w:r w:rsidR="00455637" w:rsidRPr="00455637">
        <w:rPr>
          <w:rFonts w:ascii="Arial" w:hAnsi="Arial" w:cs="Arial"/>
        </w:rPr>
        <w:t>Hollak</w:t>
      </w:r>
      <w:proofErr w:type="spellEnd"/>
      <w:r w:rsidR="00455637" w:rsidRPr="00455637">
        <w:rPr>
          <w:rFonts w:ascii="Arial" w:hAnsi="Arial" w:cs="Arial"/>
        </w:rPr>
        <w:t xml:space="preserve"> et al., 2026). Thus, while total spending on the top ten medicines seemingly decreased, the scope of prescribing emerged with more focus on precision and innovative treatments for burdensome conditions and underserved groups. However, it is imperative to interpret the findings with some caution, and indeed, the limitations of this work are summarised in this chapter.</w:t>
      </w:r>
    </w:p>
    <w:p w14:paraId="72E2E79C" w14:textId="05DC32A1" w:rsidR="0048350F" w:rsidRPr="00177BFB" w:rsidRDefault="0048350F" w:rsidP="00F66B3A">
      <w:pPr>
        <w:spacing w:line="276" w:lineRule="auto"/>
        <w:jc w:val="both"/>
        <w:rPr>
          <w:rFonts w:ascii="Arial" w:hAnsi="Arial" w:cs="Arial"/>
        </w:rPr>
      </w:pPr>
    </w:p>
    <w:p w14:paraId="69B2B8D5" w14:textId="2A28C605" w:rsidR="002B2F12" w:rsidRPr="00177BFB" w:rsidRDefault="002B2F12" w:rsidP="00745FE4">
      <w:pPr>
        <w:spacing w:line="276" w:lineRule="auto"/>
        <w:jc w:val="both"/>
        <w:rPr>
          <w:rFonts w:ascii="Arial" w:hAnsi="Arial" w:cs="Arial"/>
        </w:rPr>
      </w:pPr>
      <w:r w:rsidRPr="005B3A8E">
        <w:rPr>
          <w:rFonts w:ascii="Arial" w:hAnsi="Arial" w:cs="Arial"/>
        </w:rPr>
        <w:t xml:space="preserve">The inferential analyses provided additional weight to the descriptive patterns, while also introducing some </w:t>
      </w:r>
      <w:r w:rsidRPr="0029711A">
        <w:rPr>
          <w:rFonts w:ascii="Arial" w:hAnsi="Arial" w:cs="Arial"/>
        </w:rPr>
        <w:t>importa</w:t>
      </w:r>
      <w:r w:rsidR="0029711A">
        <w:rPr>
          <w:rFonts w:ascii="Arial" w:hAnsi="Arial" w:cs="Arial"/>
        </w:rPr>
        <w:t xml:space="preserve">nt caveats. </w:t>
      </w:r>
      <w:r w:rsidR="0029711A" w:rsidRPr="0029711A">
        <w:rPr>
          <w:rFonts w:ascii="Arial" w:hAnsi="Arial" w:cs="Arial"/>
        </w:rPr>
        <w:t>The Shapiro-</w:t>
      </w:r>
      <w:proofErr w:type="spellStart"/>
      <w:r w:rsidR="0029711A" w:rsidRPr="0029711A">
        <w:rPr>
          <w:rFonts w:ascii="Arial" w:hAnsi="Arial" w:cs="Arial"/>
        </w:rPr>
        <w:t>Wilk</w:t>
      </w:r>
      <w:proofErr w:type="spellEnd"/>
      <w:r w:rsidR="0029711A" w:rsidRPr="0029711A">
        <w:rPr>
          <w:rFonts w:ascii="Arial" w:hAnsi="Arial" w:cs="Arial"/>
        </w:rPr>
        <w:t xml:space="preserve"> results indicated non-normal distributions, supporting the use of non-parametric testing. </w:t>
      </w:r>
      <w:r w:rsidRPr="0029711A">
        <w:rPr>
          <w:rFonts w:ascii="Arial" w:hAnsi="Arial" w:cs="Arial"/>
        </w:rPr>
        <w:t>Statistically significant results from the Spearman correlation and regression analyses provided</w:t>
      </w:r>
      <w:r w:rsidRPr="005B3A8E">
        <w:rPr>
          <w:rFonts w:ascii="Arial" w:hAnsi="Arial" w:cs="Arial"/>
        </w:rPr>
        <w:t xml:space="preserve"> support for the observed declines in prescribing volumes and expenditure within the context of the annual datasets. However, these conclusions are constrained by the reliance on only six yearly data points and the use of aggregated national figures, and thus, statistical significance is not sufficient to infer causation. The Mann-Whitney test reinforced the marked structural divide between low-cost, high-volume medicines and those characterised by low volume but high cost. In contrast, the non-significant outcome of the Wilcoxon test indicated considerable heterogeneity in unit-price changes, rather than a uniform pattern of increase in costs. Overall, these </w:t>
      </w:r>
      <w:r w:rsidRPr="005B3A8E">
        <w:rPr>
          <w:rFonts w:ascii="Arial" w:hAnsi="Arial" w:cs="Arial"/>
        </w:rPr>
        <w:lastRenderedPageBreak/>
        <w:t xml:space="preserve">outcomes imply that shifts in the </w:t>
      </w:r>
      <w:r w:rsidR="00CE7919" w:rsidRPr="005B3A8E">
        <w:rPr>
          <w:rFonts w:ascii="Arial" w:hAnsi="Arial" w:cs="Arial"/>
        </w:rPr>
        <w:t>costs</w:t>
      </w:r>
      <w:r w:rsidRPr="005B3A8E">
        <w:rPr>
          <w:rFonts w:ascii="Arial" w:hAnsi="Arial" w:cs="Arial"/>
        </w:rPr>
        <w:t xml:space="preserve"> of the most expensive medicines may play a more pivotal role than a generali</w:t>
      </w:r>
      <w:r w:rsidR="00CE7919" w:rsidRPr="005B3A8E">
        <w:rPr>
          <w:rFonts w:ascii="Arial" w:hAnsi="Arial" w:cs="Arial"/>
        </w:rPr>
        <w:t>s</w:t>
      </w:r>
      <w:r w:rsidRPr="005B3A8E">
        <w:rPr>
          <w:rFonts w:ascii="Arial" w:hAnsi="Arial" w:cs="Arial"/>
        </w:rPr>
        <w:t>ed trend of rising prices.</w:t>
      </w:r>
    </w:p>
    <w:p w14:paraId="0082FD93" w14:textId="77777777" w:rsidR="0046714C" w:rsidRPr="00177BFB" w:rsidRDefault="0046714C" w:rsidP="00F66B3A">
      <w:pPr>
        <w:spacing w:line="276" w:lineRule="auto"/>
        <w:jc w:val="both"/>
        <w:rPr>
          <w:rFonts w:ascii="Arial" w:hAnsi="Arial" w:cs="Arial"/>
        </w:rPr>
      </w:pPr>
    </w:p>
    <w:p w14:paraId="6B8EEDC7" w14:textId="53F3ECE4" w:rsidR="0048350F" w:rsidRPr="00177BFB" w:rsidRDefault="0048350F" w:rsidP="00F66B3A">
      <w:pPr>
        <w:spacing w:line="276" w:lineRule="auto"/>
        <w:jc w:val="both"/>
        <w:rPr>
          <w:rFonts w:ascii="Arial" w:hAnsi="Arial" w:cs="Arial"/>
        </w:rPr>
      </w:pPr>
    </w:p>
    <w:p w14:paraId="4FD3D6FF" w14:textId="37DC3668" w:rsidR="00E94DB1" w:rsidRPr="00177BFB" w:rsidRDefault="00E94DB1" w:rsidP="00F66B3A">
      <w:pPr>
        <w:pStyle w:val="Heading2"/>
        <w:jc w:val="both"/>
        <w:rPr>
          <w:rFonts w:ascii="Arial" w:hAnsi="Arial" w:cs="Arial"/>
          <w:i/>
          <w:iCs/>
          <w:color w:val="auto"/>
          <w:sz w:val="24"/>
          <w:szCs w:val="24"/>
        </w:rPr>
      </w:pPr>
      <w:bookmarkStart w:id="21" w:name="_Toc240132670"/>
      <w:r w:rsidRPr="00177BFB">
        <w:rPr>
          <w:rFonts w:ascii="Arial" w:hAnsi="Arial" w:cs="Arial"/>
          <w:i/>
          <w:iCs/>
          <w:color w:val="auto"/>
          <w:sz w:val="24"/>
          <w:szCs w:val="24"/>
        </w:rPr>
        <w:t>Evaluation of Findings</w:t>
      </w:r>
      <w:bookmarkEnd w:id="21"/>
    </w:p>
    <w:p w14:paraId="39D1917C" w14:textId="77777777" w:rsidR="00E94DB1" w:rsidRPr="00177BFB" w:rsidRDefault="00E94DB1" w:rsidP="00F66B3A">
      <w:pPr>
        <w:spacing w:line="276" w:lineRule="auto"/>
        <w:jc w:val="both"/>
        <w:rPr>
          <w:rFonts w:ascii="Arial" w:hAnsi="Arial" w:cs="Arial"/>
        </w:rPr>
      </w:pPr>
    </w:p>
    <w:p w14:paraId="4CF175B6" w14:textId="348FF792" w:rsidR="003C5BD1" w:rsidRPr="00177BFB" w:rsidRDefault="003C5BD1" w:rsidP="00F66B3A">
      <w:pPr>
        <w:spacing w:line="276" w:lineRule="auto"/>
        <w:jc w:val="both"/>
        <w:rPr>
          <w:rFonts w:ascii="Arial" w:hAnsi="Arial" w:cs="Arial"/>
        </w:rPr>
      </w:pPr>
      <w:r w:rsidRPr="00177BFB">
        <w:rPr>
          <w:rFonts w:ascii="Arial" w:hAnsi="Arial" w:cs="Arial"/>
        </w:rPr>
        <w:t xml:space="preserve">One of the most pertinent findings of this study was the relative consistency of the types of medicines commonly supplied within secondary care. Drugs, such as paracetamol, oral nutritional supplements, antibiotics, and lactulose, were regularly noted within the top ten prescribed items, even though the actual ranking positions changed over time. This </w:t>
      </w:r>
      <w:r w:rsidR="00445228" w:rsidRPr="00177BFB">
        <w:rPr>
          <w:rFonts w:ascii="Arial" w:hAnsi="Arial" w:cs="Arial"/>
        </w:rPr>
        <w:t>is in some</w:t>
      </w:r>
      <w:r w:rsidRPr="00177BFB">
        <w:rPr>
          <w:rFonts w:ascii="Arial" w:hAnsi="Arial" w:cs="Arial"/>
        </w:rPr>
        <w:t xml:space="preserve"> contrast to the greater turnover </w:t>
      </w:r>
      <w:r w:rsidR="00445228" w:rsidRPr="00177BFB">
        <w:rPr>
          <w:rFonts w:ascii="Arial" w:hAnsi="Arial" w:cs="Arial"/>
        </w:rPr>
        <w:t xml:space="preserve">of </w:t>
      </w:r>
      <w:r w:rsidRPr="00177BFB">
        <w:rPr>
          <w:rFonts w:ascii="Arial" w:hAnsi="Arial" w:cs="Arial"/>
        </w:rPr>
        <w:t>highest-cost medicines</w:t>
      </w:r>
      <w:r w:rsidR="00445228" w:rsidRPr="00177BFB">
        <w:rPr>
          <w:rFonts w:ascii="Arial" w:hAnsi="Arial" w:cs="Arial"/>
        </w:rPr>
        <w:t xml:space="preserve">, suggesting </w:t>
      </w:r>
      <w:r w:rsidRPr="00177BFB">
        <w:rPr>
          <w:rFonts w:ascii="Arial" w:hAnsi="Arial" w:cs="Arial"/>
        </w:rPr>
        <w:t xml:space="preserve">that </w:t>
      </w:r>
      <w:r w:rsidR="00445228" w:rsidRPr="00177BFB">
        <w:rPr>
          <w:rFonts w:ascii="Arial" w:hAnsi="Arial" w:cs="Arial"/>
        </w:rPr>
        <w:t xml:space="preserve">much of the demand on </w:t>
      </w:r>
      <w:r w:rsidRPr="00177BFB">
        <w:rPr>
          <w:rFonts w:ascii="Arial" w:hAnsi="Arial" w:cs="Arial"/>
        </w:rPr>
        <w:t xml:space="preserve">pharmacy departments </w:t>
      </w:r>
      <w:r w:rsidR="00445228" w:rsidRPr="00177BFB">
        <w:rPr>
          <w:rFonts w:ascii="Arial" w:hAnsi="Arial" w:cs="Arial"/>
        </w:rPr>
        <w:t xml:space="preserve">in secondary care </w:t>
      </w:r>
      <w:r w:rsidRPr="00177BFB">
        <w:rPr>
          <w:rFonts w:ascii="Arial" w:hAnsi="Arial" w:cs="Arial"/>
        </w:rPr>
        <w:t xml:space="preserve">remains </w:t>
      </w:r>
      <w:r w:rsidR="00445228" w:rsidRPr="00177BFB">
        <w:rPr>
          <w:rFonts w:ascii="Arial" w:hAnsi="Arial" w:cs="Arial"/>
        </w:rPr>
        <w:t xml:space="preserve">centred </w:t>
      </w:r>
      <w:proofErr w:type="gramStart"/>
      <w:r w:rsidR="00445228" w:rsidRPr="00177BFB">
        <w:rPr>
          <w:rFonts w:ascii="Arial" w:hAnsi="Arial" w:cs="Arial"/>
        </w:rPr>
        <w:t>around</w:t>
      </w:r>
      <w:proofErr w:type="gramEnd"/>
      <w:r w:rsidRPr="00177BFB">
        <w:rPr>
          <w:rFonts w:ascii="Arial" w:hAnsi="Arial" w:cs="Arial"/>
        </w:rPr>
        <w:t xml:space="preserve"> treatments for common clinical problems, rather than specialist </w:t>
      </w:r>
      <w:r w:rsidR="001C5F4D" w:rsidRPr="00177BFB">
        <w:rPr>
          <w:rFonts w:ascii="Arial" w:hAnsi="Arial" w:cs="Arial"/>
        </w:rPr>
        <w:t>medicines</w:t>
      </w:r>
      <w:r w:rsidR="00B10066" w:rsidRPr="00177BFB">
        <w:rPr>
          <w:rFonts w:ascii="Arial" w:hAnsi="Arial" w:cs="Arial"/>
        </w:rPr>
        <w:t xml:space="preserve"> for less common or rare conditions. </w:t>
      </w:r>
      <w:r w:rsidRPr="00177BFB">
        <w:rPr>
          <w:rFonts w:ascii="Arial" w:hAnsi="Arial" w:cs="Arial"/>
        </w:rPr>
        <w:t xml:space="preserve">Paracetamol </w:t>
      </w:r>
      <w:r w:rsidR="004E4B4E" w:rsidRPr="00177BFB">
        <w:rPr>
          <w:rFonts w:ascii="Arial" w:hAnsi="Arial" w:cs="Arial"/>
        </w:rPr>
        <w:t>was</w:t>
      </w:r>
      <w:r w:rsidRPr="00177BFB">
        <w:rPr>
          <w:rFonts w:ascii="Arial" w:hAnsi="Arial" w:cs="Arial"/>
        </w:rPr>
        <w:t xml:space="preserve"> ranked </w:t>
      </w:r>
      <w:r w:rsidR="004E4B4E" w:rsidRPr="00177BFB">
        <w:rPr>
          <w:rFonts w:ascii="Arial" w:hAnsi="Arial" w:cs="Arial"/>
        </w:rPr>
        <w:t>as one of</w:t>
      </w:r>
      <w:r w:rsidRPr="00177BFB">
        <w:rPr>
          <w:rFonts w:ascii="Arial" w:hAnsi="Arial" w:cs="Arial"/>
        </w:rPr>
        <w:t xml:space="preserve"> the most dispensed medicines, reflecting its widespread use as a first-line option for </w:t>
      </w:r>
      <w:r w:rsidR="004E4B4E" w:rsidRPr="00177BFB">
        <w:rPr>
          <w:rFonts w:ascii="Arial" w:hAnsi="Arial" w:cs="Arial"/>
        </w:rPr>
        <w:t>analgesia and the management of fever</w:t>
      </w:r>
      <w:r w:rsidRPr="00177BFB">
        <w:rPr>
          <w:rFonts w:ascii="Arial" w:hAnsi="Arial" w:cs="Arial"/>
        </w:rPr>
        <w:t xml:space="preserve"> </w:t>
      </w:r>
      <w:r w:rsidR="004E4B4E" w:rsidRPr="00177BFB">
        <w:rPr>
          <w:rFonts w:ascii="Arial" w:hAnsi="Arial" w:cs="Arial"/>
        </w:rPr>
        <w:t>among hospitalised patients</w:t>
      </w:r>
      <w:r w:rsidRPr="00177BFB">
        <w:rPr>
          <w:rFonts w:ascii="Arial" w:hAnsi="Arial" w:cs="Arial"/>
        </w:rPr>
        <w:t xml:space="preserve">. </w:t>
      </w:r>
      <w:r w:rsidR="004E4B4E" w:rsidRPr="00177BFB">
        <w:rPr>
          <w:rFonts w:ascii="Arial" w:hAnsi="Arial" w:cs="Arial"/>
        </w:rPr>
        <w:t>This supports c</w:t>
      </w:r>
      <w:r w:rsidRPr="00177BFB">
        <w:rPr>
          <w:rFonts w:ascii="Arial" w:hAnsi="Arial" w:cs="Arial"/>
        </w:rPr>
        <w:t xml:space="preserve">linical guidelines at both </w:t>
      </w:r>
      <w:r w:rsidR="004E4B4E" w:rsidRPr="00177BFB">
        <w:rPr>
          <w:rFonts w:ascii="Arial" w:hAnsi="Arial" w:cs="Arial"/>
        </w:rPr>
        <w:t xml:space="preserve">the </w:t>
      </w:r>
      <w:r w:rsidRPr="00177BFB">
        <w:rPr>
          <w:rFonts w:ascii="Arial" w:hAnsi="Arial" w:cs="Arial"/>
        </w:rPr>
        <w:t>national and international level</w:t>
      </w:r>
      <w:r w:rsidR="004E4B4E" w:rsidRPr="00177BFB">
        <w:rPr>
          <w:rFonts w:ascii="Arial" w:hAnsi="Arial" w:cs="Arial"/>
        </w:rPr>
        <w:t>s where</w:t>
      </w:r>
      <w:r w:rsidRPr="00177BFB">
        <w:rPr>
          <w:rFonts w:ascii="Arial" w:hAnsi="Arial" w:cs="Arial"/>
        </w:rPr>
        <w:t xml:space="preserve"> paracetamol</w:t>
      </w:r>
      <w:r w:rsidR="004E4B4E" w:rsidRPr="00177BFB">
        <w:rPr>
          <w:rFonts w:ascii="Arial" w:hAnsi="Arial" w:cs="Arial"/>
        </w:rPr>
        <w:t xml:space="preserve"> is recommended</w:t>
      </w:r>
      <w:r w:rsidRPr="00177BFB">
        <w:rPr>
          <w:rFonts w:ascii="Arial" w:hAnsi="Arial" w:cs="Arial"/>
        </w:rPr>
        <w:t xml:space="preserve"> for a </w:t>
      </w:r>
      <w:r w:rsidR="004E4B4E" w:rsidRPr="00177BFB">
        <w:rPr>
          <w:rFonts w:ascii="Arial" w:hAnsi="Arial" w:cs="Arial"/>
        </w:rPr>
        <w:t xml:space="preserve">wide </w:t>
      </w:r>
      <w:r w:rsidRPr="00177BFB">
        <w:rPr>
          <w:rFonts w:ascii="Arial" w:hAnsi="Arial" w:cs="Arial"/>
        </w:rPr>
        <w:t>range of indications</w:t>
      </w:r>
      <w:r w:rsidR="004E4B4E" w:rsidRPr="00177BFB">
        <w:rPr>
          <w:rFonts w:ascii="Arial" w:hAnsi="Arial" w:cs="Arial"/>
        </w:rPr>
        <w:t xml:space="preserve">, </w:t>
      </w:r>
      <w:r w:rsidRPr="00177BFB">
        <w:rPr>
          <w:rFonts w:ascii="Arial" w:hAnsi="Arial" w:cs="Arial"/>
        </w:rPr>
        <w:t xml:space="preserve">including acute </w:t>
      </w:r>
      <w:r w:rsidR="004E4B4E" w:rsidRPr="00177BFB">
        <w:rPr>
          <w:rFonts w:ascii="Arial" w:hAnsi="Arial" w:cs="Arial"/>
        </w:rPr>
        <w:t>pain,</w:t>
      </w:r>
      <w:r w:rsidRPr="00177BFB">
        <w:rPr>
          <w:rFonts w:ascii="Arial" w:hAnsi="Arial" w:cs="Arial"/>
        </w:rPr>
        <w:t xml:space="preserve"> postoperative pain</w:t>
      </w:r>
      <w:r w:rsidR="004E4B4E" w:rsidRPr="00177BFB">
        <w:rPr>
          <w:rFonts w:ascii="Arial" w:hAnsi="Arial" w:cs="Arial"/>
        </w:rPr>
        <w:t xml:space="preserve">, and augmenting the efficacy of opioid analgesics, </w:t>
      </w:r>
      <w:r w:rsidR="00796C3B" w:rsidRPr="00796C3B">
        <w:rPr>
          <w:rFonts w:ascii="Arial" w:hAnsi="Arial" w:cs="Arial"/>
        </w:rPr>
        <w:t xml:space="preserve">which is generally due to the established safety and cost-effectiveness of </w:t>
      </w:r>
      <w:proofErr w:type="spellStart"/>
      <w:r w:rsidR="00796C3B" w:rsidRPr="00796C3B">
        <w:rPr>
          <w:rFonts w:ascii="Arial" w:hAnsi="Arial" w:cs="Arial"/>
        </w:rPr>
        <w:t>paracetamol</w:t>
      </w:r>
      <w:proofErr w:type="spellEnd"/>
      <w:r w:rsidR="00796C3B" w:rsidRPr="00796C3B">
        <w:rPr>
          <w:rFonts w:ascii="Arial" w:hAnsi="Arial" w:cs="Arial"/>
        </w:rPr>
        <w:t xml:space="preserve"> (IASP, 2022; NICE, 2025). </w:t>
      </w:r>
      <w:proofErr w:type="spellStart"/>
      <w:r w:rsidR="00796C3B" w:rsidRPr="00796C3B">
        <w:rPr>
          <w:rFonts w:ascii="Arial" w:hAnsi="Arial" w:cs="Arial"/>
        </w:rPr>
        <w:t>Paracetamol</w:t>
      </w:r>
      <w:proofErr w:type="spellEnd"/>
      <w:r w:rsidR="00796C3B" w:rsidRPr="00796C3B">
        <w:rPr>
          <w:rFonts w:ascii="Arial" w:hAnsi="Arial" w:cs="Arial"/>
        </w:rPr>
        <w:t xml:space="preserve"> also forms one of the initial steps of the WHO’s analgesic ladder, further supporting its widespread use in current and ongoing practice (Crush et al., 2022). Previous research also indicates that </w:t>
      </w:r>
      <w:proofErr w:type="spellStart"/>
      <w:r w:rsidR="00796C3B" w:rsidRPr="00796C3B">
        <w:rPr>
          <w:rFonts w:ascii="Arial" w:hAnsi="Arial" w:cs="Arial"/>
        </w:rPr>
        <w:t>paracetamol</w:t>
      </w:r>
      <w:proofErr w:type="spellEnd"/>
      <w:r w:rsidR="00796C3B" w:rsidRPr="00796C3B">
        <w:rPr>
          <w:rFonts w:ascii="Arial" w:hAnsi="Arial" w:cs="Arial"/>
        </w:rPr>
        <w:t xml:space="preserve"> remains in widespread use in both primary and secondary care (Curtis &amp; </w:t>
      </w:r>
      <w:proofErr w:type="spellStart"/>
      <w:r w:rsidR="00796C3B" w:rsidRPr="00796C3B">
        <w:rPr>
          <w:rFonts w:ascii="Arial" w:hAnsi="Arial" w:cs="Arial"/>
        </w:rPr>
        <w:t>Goldacre</w:t>
      </w:r>
      <w:proofErr w:type="spellEnd"/>
      <w:r w:rsidR="00796C3B" w:rsidRPr="00796C3B">
        <w:rPr>
          <w:rFonts w:ascii="Arial" w:hAnsi="Arial" w:cs="Arial"/>
        </w:rPr>
        <w:t xml:space="preserve">, 2018). However, this hospital-focused analysis revealed that, despite frequent prescribing of </w:t>
      </w:r>
      <w:proofErr w:type="spellStart"/>
      <w:r w:rsidR="00796C3B" w:rsidRPr="00796C3B">
        <w:rPr>
          <w:rFonts w:ascii="Arial" w:hAnsi="Arial" w:cs="Arial"/>
        </w:rPr>
        <w:t>paracetamol</w:t>
      </w:r>
      <w:proofErr w:type="spellEnd"/>
      <w:r w:rsidR="00796C3B" w:rsidRPr="00796C3B">
        <w:rPr>
          <w:rFonts w:ascii="Arial" w:hAnsi="Arial" w:cs="Arial"/>
        </w:rPr>
        <w:t xml:space="preserve">, the contribution to overall medicines expenditure remains minimal, given that the unit price has stayed consistently low throughout the study period. The British National Formulary (BNF) reports costs of oral formulations of </w:t>
      </w:r>
      <w:proofErr w:type="spellStart"/>
      <w:r w:rsidR="00796C3B" w:rsidRPr="00796C3B">
        <w:rPr>
          <w:rFonts w:ascii="Arial" w:hAnsi="Arial" w:cs="Arial"/>
        </w:rPr>
        <w:t>paracetamol</w:t>
      </w:r>
      <w:proofErr w:type="spellEnd"/>
      <w:r w:rsidR="00796C3B" w:rsidRPr="00796C3B">
        <w:rPr>
          <w:rFonts w:ascii="Arial" w:hAnsi="Arial" w:cs="Arial"/>
        </w:rPr>
        <w:t xml:space="preserve"> to be £4.45 per 500ml and thus, being a lost-cost medicine (BNF, 2026).</w:t>
      </w:r>
    </w:p>
    <w:p w14:paraId="14BDC453" w14:textId="77777777" w:rsidR="00AF1BDF" w:rsidRPr="00177BFB" w:rsidRDefault="00AF1BDF" w:rsidP="00F66B3A">
      <w:pPr>
        <w:spacing w:line="276" w:lineRule="auto"/>
        <w:jc w:val="both"/>
        <w:rPr>
          <w:rFonts w:ascii="Arial" w:hAnsi="Arial" w:cs="Arial"/>
        </w:rPr>
      </w:pPr>
    </w:p>
    <w:p w14:paraId="653AC9D6" w14:textId="24172E6D" w:rsidR="003C5BD1" w:rsidRPr="00177BFB" w:rsidRDefault="00577BC7" w:rsidP="00F66B3A">
      <w:pPr>
        <w:spacing w:line="276" w:lineRule="auto"/>
        <w:jc w:val="both"/>
        <w:rPr>
          <w:rFonts w:ascii="Arial" w:hAnsi="Arial" w:cs="Arial"/>
        </w:rPr>
      </w:pPr>
      <w:r>
        <w:rPr>
          <w:rFonts w:ascii="Arial" w:hAnsi="Arial" w:cs="Arial"/>
        </w:rPr>
        <w:t xml:space="preserve">Oral </w:t>
      </w:r>
      <w:r w:rsidR="003C5BD1" w:rsidRPr="00177BFB">
        <w:rPr>
          <w:rFonts w:ascii="Arial" w:hAnsi="Arial" w:cs="Arial"/>
        </w:rPr>
        <w:t>nutritional supplements</w:t>
      </w:r>
      <w:r w:rsidR="0026606A" w:rsidRPr="00177BFB">
        <w:rPr>
          <w:rFonts w:ascii="Arial" w:hAnsi="Arial" w:cs="Arial"/>
        </w:rPr>
        <w:t xml:space="preserve">, </w:t>
      </w:r>
      <w:r w:rsidR="003C5BD1" w:rsidRPr="00177BFB">
        <w:rPr>
          <w:rFonts w:ascii="Arial" w:hAnsi="Arial" w:cs="Arial"/>
        </w:rPr>
        <w:t xml:space="preserve">such as Ensure, </w:t>
      </w:r>
      <w:proofErr w:type="spellStart"/>
      <w:r w:rsidR="003C5BD1" w:rsidRPr="00177BFB">
        <w:rPr>
          <w:rFonts w:ascii="Arial" w:hAnsi="Arial" w:cs="Arial"/>
        </w:rPr>
        <w:t>Fortisip</w:t>
      </w:r>
      <w:proofErr w:type="spellEnd"/>
      <w:r w:rsidR="003C5BD1" w:rsidRPr="00177BFB">
        <w:rPr>
          <w:rFonts w:ascii="Arial" w:hAnsi="Arial" w:cs="Arial"/>
        </w:rPr>
        <w:t xml:space="preserve">, </w:t>
      </w:r>
      <w:proofErr w:type="spellStart"/>
      <w:r w:rsidR="003C5BD1" w:rsidRPr="00177BFB">
        <w:rPr>
          <w:rFonts w:ascii="Arial" w:hAnsi="Arial" w:cs="Arial"/>
        </w:rPr>
        <w:t>Fresubin</w:t>
      </w:r>
      <w:proofErr w:type="spellEnd"/>
      <w:r w:rsidR="003C5BD1" w:rsidRPr="00177BFB">
        <w:rPr>
          <w:rFonts w:ascii="Arial" w:hAnsi="Arial" w:cs="Arial"/>
        </w:rPr>
        <w:t xml:space="preserve">, </w:t>
      </w:r>
      <w:proofErr w:type="spellStart"/>
      <w:r w:rsidR="003C5BD1" w:rsidRPr="00177BFB">
        <w:rPr>
          <w:rFonts w:ascii="Arial" w:hAnsi="Arial" w:cs="Arial"/>
        </w:rPr>
        <w:t>Jevity</w:t>
      </w:r>
      <w:proofErr w:type="spellEnd"/>
      <w:r w:rsidR="003C5BD1" w:rsidRPr="00177BFB">
        <w:rPr>
          <w:rFonts w:ascii="Arial" w:hAnsi="Arial" w:cs="Arial"/>
        </w:rPr>
        <w:t xml:space="preserve">, and </w:t>
      </w:r>
      <w:proofErr w:type="spellStart"/>
      <w:r w:rsidR="003C5BD1" w:rsidRPr="00177BFB">
        <w:rPr>
          <w:rFonts w:ascii="Arial" w:hAnsi="Arial" w:cs="Arial"/>
        </w:rPr>
        <w:t>Nutrison</w:t>
      </w:r>
      <w:proofErr w:type="spellEnd"/>
      <w:r w:rsidR="0026606A" w:rsidRPr="00177BFB">
        <w:rPr>
          <w:rFonts w:ascii="Arial" w:hAnsi="Arial" w:cs="Arial"/>
        </w:rPr>
        <w:t xml:space="preserve">, were </w:t>
      </w:r>
      <w:r w:rsidR="003C5BD1" w:rsidRPr="00177BFB">
        <w:rPr>
          <w:rFonts w:ascii="Arial" w:hAnsi="Arial" w:cs="Arial"/>
        </w:rPr>
        <w:t xml:space="preserve">also </w:t>
      </w:r>
      <w:r w:rsidR="0026606A" w:rsidRPr="00177BFB">
        <w:rPr>
          <w:rFonts w:ascii="Arial" w:hAnsi="Arial" w:cs="Arial"/>
        </w:rPr>
        <w:t>identified</w:t>
      </w:r>
      <w:r w:rsidR="003C5BD1" w:rsidRPr="00177BFB">
        <w:rPr>
          <w:rFonts w:ascii="Arial" w:hAnsi="Arial" w:cs="Arial"/>
        </w:rPr>
        <w:t xml:space="preserve"> </w:t>
      </w:r>
      <w:r w:rsidR="0026606A" w:rsidRPr="00177BFB">
        <w:rPr>
          <w:rFonts w:ascii="Arial" w:hAnsi="Arial" w:cs="Arial"/>
        </w:rPr>
        <w:t>as being</w:t>
      </w:r>
      <w:r w:rsidR="003C5BD1" w:rsidRPr="00177BFB">
        <w:rPr>
          <w:rFonts w:ascii="Arial" w:hAnsi="Arial" w:cs="Arial"/>
        </w:rPr>
        <w:t xml:space="preserve"> the most frequently supplied medicines</w:t>
      </w:r>
      <w:r w:rsidR="0026606A" w:rsidRPr="00177BFB">
        <w:rPr>
          <w:rFonts w:ascii="Arial" w:hAnsi="Arial" w:cs="Arial"/>
        </w:rPr>
        <w:t xml:space="preserve"> in secondary care</w:t>
      </w:r>
      <w:r w:rsidR="003C5BD1" w:rsidRPr="00177BFB">
        <w:rPr>
          <w:rFonts w:ascii="Arial" w:hAnsi="Arial" w:cs="Arial"/>
        </w:rPr>
        <w:t xml:space="preserve">. The widespread use </w:t>
      </w:r>
      <w:r w:rsidR="0026606A" w:rsidRPr="00177BFB">
        <w:rPr>
          <w:rFonts w:ascii="Arial" w:hAnsi="Arial" w:cs="Arial"/>
        </w:rPr>
        <w:t xml:space="preserve">of these supplements, often comprising high protein and being calorie dense, </w:t>
      </w:r>
      <w:r w:rsidR="003C5BD1" w:rsidRPr="00177BFB">
        <w:rPr>
          <w:rFonts w:ascii="Arial" w:hAnsi="Arial" w:cs="Arial"/>
        </w:rPr>
        <w:t xml:space="preserve">is </w:t>
      </w:r>
      <w:r w:rsidR="0026606A" w:rsidRPr="00177BFB">
        <w:rPr>
          <w:rFonts w:ascii="Arial" w:hAnsi="Arial" w:cs="Arial"/>
        </w:rPr>
        <w:t>supportive</w:t>
      </w:r>
      <w:r w:rsidR="003C5BD1" w:rsidRPr="00177BFB">
        <w:rPr>
          <w:rFonts w:ascii="Arial" w:hAnsi="Arial" w:cs="Arial"/>
        </w:rPr>
        <w:t xml:space="preserve"> of the high prevalence of malnutrition among hospital inpatients, </w:t>
      </w:r>
      <w:r w:rsidR="0026606A" w:rsidRPr="00177BFB">
        <w:rPr>
          <w:rFonts w:ascii="Arial" w:hAnsi="Arial" w:cs="Arial"/>
        </w:rPr>
        <w:t>a particular problem in</w:t>
      </w:r>
      <w:r w:rsidR="003C5BD1" w:rsidRPr="00177BFB">
        <w:rPr>
          <w:rFonts w:ascii="Arial" w:hAnsi="Arial" w:cs="Arial"/>
        </w:rPr>
        <w:t xml:space="preserve"> older adults and those with chronic illnesses or </w:t>
      </w:r>
      <w:r w:rsidR="00796C3B" w:rsidRPr="00796C3B">
        <w:rPr>
          <w:rFonts w:ascii="Arial" w:hAnsi="Arial" w:cs="Arial"/>
        </w:rPr>
        <w:t>cancer (</w:t>
      </w:r>
      <w:proofErr w:type="spellStart"/>
      <w:r w:rsidR="00796C3B" w:rsidRPr="00796C3B">
        <w:rPr>
          <w:rFonts w:ascii="Arial" w:hAnsi="Arial" w:cs="Arial"/>
        </w:rPr>
        <w:t>Cawood</w:t>
      </w:r>
      <w:proofErr w:type="spellEnd"/>
      <w:r w:rsidR="00796C3B" w:rsidRPr="00796C3B">
        <w:rPr>
          <w:rFonts w:ascii="Arial" w:hAnsi="Arial" w:cs="Arial"/>
        </w:rPr>
        <w:t xml:space="preserve"> et al., 2018). </w:t>
      </w:r>
      <w:r w:rsidR="00DE2132">
        <w:rPr>
          <w:rFonts w:ascii="Arial" w:hAnsi="Arial" w:cs="Arial"/>
        </w:rPr>
        <w:t>Interestingly, r</w:t>
      </w:r>
      <w:r w:rsidR="00796C3B" w:rsidRPr="00796C3B">
        <w:rPr>
          <w:rFonts w:ascii="Arial" w:hAnsi="Arial" w:cs="Arial"/>
        </w:rPr>
        <w:t>esearch has previously estimated that more than 50% of hospitalised older adults have or are at risk of malnutrition and thus, eligible for nutritional supplementation (</w:t>
      </w:r>
      <w:proofErr w:type="spellStart"/>
      <w:r w:rsidR="00796C3B" w:rsidRPr="00796C3B">
        <w:rPr>
          <w:rFonts w:ascii="Arial" w:hAnsi="Arial" w:cs="Arial"/>
        </w:rPr>
        <w:t>Kiesswetter</w:t>
      </w:r>
      <w:proofErr w:type="spellEnd"/>
      <w:r w:rsidR="00796C3B" w:rsidRPr="00796C3B">
        <w:rPr>
          <w:rFonts w:ascii="Arial" w:hAnsi="Arial" w:cs="Arial"/>
        </w:rPr>
        <w:t xml:space="preserve"> et al., 2022). This helps to explain the commonality of prescribing of such supplements in this study, and is further owed to the associations between malnutrition and excess morbidity and mortality in the noted group (Camargo et al., 2025). Further, there has been growing emphasis upon optimising nutritional support within hospitals and for those at risk of malnutrition over the past few decades, and this has, potentially led </w:t>
      </w:r>
      <w:r w:rsidR="00796C3B" w:rsidRPr="00796C3B">
        <w:rPr>
          <w:rFonts w:ascii="Arial" w:hAnsi="Arial" w:cs="Arial"/>
        </w:rPr>
        <w:lastRenderedPageBreak/>
        <w:t>to the over-prescribing of nutritional supplements (</w:t>
      </w:r>
      <w:proofErr w:type="spellStart"/>
      <w:r w:rsidR="00796C3B" w:rsidRPr="00796C3B">
        <w:rPr>
          <w:rFonts w:ascii="Arial" w:hAnsi="Arial" w:cs="Arial"/>
        </w:rPr>
        <w:t>Elia</w:t>
      </w:r>
      <w:proofErr w:type="spellEnd"/>
      <w:r w:rsidR="00796C3B" w:rsidRPr="00796C3B">
        <w:rPr>
          <w:rFonts w:ascii="Arial" w:hAnsi="Arial" w:cs="Arial"/>
        </w:rPr>
        <w:t xml:space="preserve"> et al., 2010). Despite the high utilisation of nutritional supplements, this study showed that the indicative costs had little fluctuation between 2021 and 2026, contrary to business models where high demand tends to lower costs (Sepulveda, 2020). The stability in the cost of nutritional supplements, among other medicines in this study, suggests that greater demand has not driven significant price changes, as would be expected, which is potentially due to established markets and high competitiveness in procurement. In contrast, prices for specialist medicines were much more variable and this is likely due to factors, such as patent protection, limited competition, and confidential discounts (</w:t>
      </w:r>
      <w:proofErr w:type="spellStart"/>
      <w:r w:rsidR="00796C3B" w:rsidRPr="00796C3B">
        <w:rPr>
          <w:rFonts w:ascii="Arial" w:hAnsi="Arial" w:cs="Arial"/>
        </w:rPr>
        <w:t>Wouters</w:t>
      </w:r>
      <w:proofErr w:type="spellEnd"/>
      <w:r w:rsidR="00796C3B" w:rsidRPr="00796C3B">
        <w:rPr>
          <w:rFonts w:ascii="Arial" w:hAnsi="Arial" w:cs="Arial"/>
        </w:rPr>
        <w:t xml:space="preserve"> et al., 2020).</w:t>
      </w:r>
    </w:p>
    <w:p w14:paraId="73F21D3A" w14:textId="77777777" w:rsidR="003C5BD1" w:rsidRPr="00177BFB" w:rsidRDefault="003C5BD1" w:rsidP="00F66B3A">
      <w:pPr>
        <w:spacing w:line="276" w:lineRule="auto"/>
        <w:jc w:val="both"/>
        <w:rPr>
          <w:rFonts w:ascii="Arial" w:hAnsi="Arial" w:cs="Arial"/>
        </w:rPr>
      </w:pPr>
    </w:p>
    <w:p w14:paraId="0BBE803D" w14:textId="4FF2B9D5" w:rsidR="008301E1" w:rsidRPr="00177BFB" w:rsidRDefault="003C5BD1" w:rsidP="00F66B3A">
      <w:pPr>
        <w:spacing w:line="276" w:lineRule="auto"/>
        <w:jc w:val="both"/>
        <w:rPr>
          <w:rFonts w:ascii="Arial" w:hAnsi="Arial" w:cs="Arial"/>
        </w:rPr>
      </w:pPr>
      <w:r w:rsidRPr="00177BFB">
        <w:rPr>
          <w:rFonts w:ascii="Arial" w:hAnsi="Arial" w:cs="Arial"/>
        </w:rPr>
        <w:t>Metronidazole</w:t>
      </w:r>
      <w:r w:rsidR="00821253" w:rsidRPr="00177BFB">
        <w:rPr>
          <w:rFonts w:ascii="Arial" w:hAnsi="Arial" w:cs="Arial"/>
        </w:rPr>
        <w:t xml:space="preserve"> was found to be the most</w:t>
      </w:r>
      <w:r w:rsidRPr="00177BFB">
        <w:rPr>
          <w:rFonts w:ascii="Arial" w:hAnsi="Arial" w:cs="Arial"/>
        </w:rPr>
        <w:t xml:space="preserve"> frequent</w:t>
      </w:r>
      <w:r w:rsidR="00821253" w:rsidRPr="00177BFB">
        <w:rPr>
          <w:rFonts w:ascii="Arial" w:hAnsi="Arial" w:cs="Arial"/>
        </w:rPr>
        <w:t>ly prescribed antibiotic</w:t>
      </w:r>
      <w:r w:rsidRPr="00177BFB">
        <w:rPr>
          <w:rFonts w:ascii="Arial" w:hAnsi="Arial" w:cs="Arial"/>
        </w:rPr>
        <w:t xml:space="preserve"> </w:t>
      </w:r>
      <w:r w:rsidR="00821253" w:rsidRPr="00177BFB">
        <w:rPr>
          <w:rFonts w:ascii="Arial" w:hAnsi="Arial" w:cs="Arial"/>
        </w:rPr>
        <w:t>in this study</w:t>
      </w:r>
      <w:r w:rsidRPr="00177BFB">
        <w:rPr>
          <w:rFonts w:ascii="Arial" w:hAnsi="Arial" w:cs="Arial"/>
        </w:rPr>
        <w:t>. As a broad</w:t>
      </w:r>
      <w:r w:rsidR="008E745C">
        <w:rPr>
          <w:rFonts w:ascii="Arial" w:hAnsi="Arial" w:cs="Arial"/>
        </w:rPr>
        <w:t>-</w:t>
      </w:r>
      <w:r w:rsidRPr="00177BFB">
        <w:rPr>
          <w:rFonts w:ascii="Arial" w:hAnsi="Arial" w:cs="Arial"/>
        </w:rPr>
        <w:t>spectrum antibiotic</w:t>
      </w:r>
      <w:r w:rsidR="00821253" w:rsidRPr="00177BFB">
        <w:rPr>
          <w:rFonts w:ascii="Arial" w:hAnsi="Arial" w:cs="Arial"/>
        </w:rPr>
        <w:t xml:space="preserve">, with known </w:t>
      </w:r>
      <w:r w:rsidR="00755A61" w:rsidRPr="00755A61">
        <w:rPr>
          <w:rFonts w:ascii="Arial" w:hAnsi="Arial" w:cs="Arial"/>
        </w:rPr>
        <w:t>efficacy against anaerobic pathogens, metronidazole remains central to several hospital treatment protocols, including surgical prophylaxis and managing intra-abdominal infections (Mo et al., 2023). The extent of prescribing of metronidazole falls in support of earlier studies showing widespread use in secondary care, even despite antimicrobial stewardship efforts to mitigate over</w:t>
      </w:r>
      <w:r w:rsidR="008E745C">
        <w:rPr>
          <w:rFonts w:ascii="Arial" w:hAnsi="Arial" w:cs="Arial"/>
        </w:rPr>
        <w:t>-</w:t>
      </w:r>
      <w:r w:rsidR="00755A61" w:rsidRPr="00755A61">
        <w:rPr>
          <w:rFonts w:ascii="Arial" w:hAnsi="Arial" w:cs="Arial"/>
        </w:rPr>
        <w:t>zealous use and to prevent antimicrobial resistance (Rodger et al., 2022; Smith, 2018). Notably, the unit cost for metronidazole also remained stable over the five-year study period, which conflicts with wider concerns about rising drug costs and thereby, highlighting that there is some resilience to altering the pricing of established generic antibiotics (Nandi et al., 2025). Heparin was also a frequently prescribed drug among the most commonly prescribed medicines in the latter years of the observation period. This is consistent with the established role of heparin in preventing venous thromboembolism in hospitalised patients, as recommended by national guidelines and often administered routinely for those at-risk and/or with transient periods of immobility (NICE, 2019). The high frequency of heparin use can be considered a reflection of high adherence to evidence-based practice in preventing deep vein thrombosis and pulmonary embolism, as opposed to being an indicator of excessive or over-zealous prescribing (Flint et al., 2025). This example shows that it is important to understand and contextualise prescribing volume, as high prescribing rates may reflect high quality care rather than inefficiency and a mere waste of resources.</w:t>
      </w:r>
    </w:p>
    <w:p w14:paraId="0EF6A409" w14:textId="77777777" w:rsidR="008301E1" w:rsidRPr="00177BFB" w:rsidRDefault="008301E1" w:rsidP="00F66B3A">
      <w:pPr>
        <w:spacing w:line="276" w:lineRule="auto"/>
        <w:jc w:val="both"/>
        <w:rPr>
          <w:rFonts w:ascii="Arial" w:hAnsi="Arial" w:cs="Arial"/>
        </w:rPr>
      </w:pPr>
    </w:p>
    <w:p w14:paraId="568B89A9" w14:textId="24778916" w:rsidR="003C5BD1" w:rsidRPr="00177BFB" w:rsidRDefault="00835083" w:rsidP="00F66B3A">
      <w:pPr>
        <w:spacing w:line="276" w:lineRule="auto"/>
        <w:jc w:val="both"/>
        <w:rPr>
          <w:rFonts w:ascii="Arial" w:hAnsi="Arial" w:cs="Arial"/>
        </w:rPr>
      </w:pPr>
      <w:r w:rsidRPr="00177BFB">
        <w:rPr>
          <w:rFonts w:ascii="Arial" w:hAnsi="Arial" w:cs="Arial"/>
        </w:rPr>
        <w:t xml:space="preserve">When considering the trends in the overall prescribing volume, this study showed that there was a </w:t>
      </w:r>
      <w:r w:rsidR="003C5BD1" w:rsidRPr="00177BFB">
        <w:rPr>
          <w:rFonts w:ascii="Arial" w:hAnsi="Arial" w:cs="Arial"/>
        </w:rPr>
        <w:t xml:space="preserve">marked decrease in total prescribing for the </w:t>
      </w:r>
      <w:r w:rsidRPr="00177BFB">
        <w:rPr>
          <w:rFonts w:ascii="Arial" w:hAnsi="Arial" w:cs="Arial"/>
        </w:rPr>
        <w:t>10</w:t>
      </w:r>
      <w:r w:rsidR="003C5BD1" w:rsidRPr="00177BFB">
        <w:rPr>
          <w:rFonts w:ascii="Arial" w:hAnsi="Arial" w:cs="Arial"/>
        </w:rPr>
        <w:t xml:space="preserve"> most frequently supplied medicines, </w:t>
      </w:r>
      <w:r w:rsidRPr="00177BFB">
        <w:rPr>
          <w:rFonts w:ascii="Arial" w:hAnsi="Arial" w:cs="Arial"/>
        </w:rPr>
        <w:t>decreasing from</w:t>
      </w:r>
      <w:r w:rsidR="003C5BD1" w:rsidRPr="00177BFB">
        <w:rPr>
          <w:rFonts w:ascii="Arial" w:hAnsi="Arial" w:cs="Arial"/>
        </w:rPr>
        <w:t xml:space="preserve"> </w:t>
      </w:r>
      <w:r w:rsidRPr="00177BFB">
        <w:rPr>
          <w:rFonts w:ascii="Arial" w:hAnsi="Arial" w:cs="Arial"/>
        </w:rPr>
        <w:t>around</w:t>
      </w:r>
      <w:r w:rsidR="003C5BD1" w:rsidRPr="00177BFB">
        <w:rPr>
          <w:rFonts w:ascii="Arial" w:hAnsi="Arial" w:cs="Arial"/>
        </w:rPr>
        <w:t xml:space="preserve"> 32 million units in April 2021 to 13 million units in April 2026. </w:t>
      </w:r>
      <w:r w:rsidRPr="00177BFB">
        <w:rPr>
          <w:rFonts w:ascii="Arial" w:hAnsi="Arial" w:cs="Arial"/>
        </w:rPr>
        <w:t>Although t</w:t>
      </w:r>
      <w:r w:rsidR="003C5BD1" w:rsidRPr="00177BFB">
        <w:rPr>
          <w:rFonts w:ascii="Arial" w:hAnsi="Arial" w:cs="Arial"/>
        </w:rPr>
        <w:t xml:space="preserve">his </w:t>
      </w:r>
      <w:r w:rsidRPr="00177BFB">
        <w:rPr>
          <w:rFonts w:ascii="Arial" w:hAnsi="Arial" w:cs="Arial"/>
        </w:rPr>
        <w:t>data may</w:t>
      </w:r>
      <w:r w:rsidR="003C5BD1" w:rsidRPr="00177BFB">
        <w:rPr>
          <w:rFonts w:ascii="Arial" w:hAnsi="Arial" w:cs="Arial"/>
        </w:rPr>
        <w:t xml:space="preserve"> signal reduced medicine use within hospitals, </w:t>
      </w:r>
      <w:r w:rsidRPr="00177BFB">
        <w:rPr>
          <w:rFonts w:ascii="Arial" w:hAnsi="Arial" w:cs="Arial"/>
        </w:rPr>
        <w:t>the reasons require caution and</w:t>
      </w:r>
      <w:r w:rsidR="003C5BD1" w:rsidRPr="00177BFB">
        <w:rPr>
          <w:rFonts w:ascii="Arial" w:hAnsi="Arial" w:cs="Arial"/>
        </w:rPr>
        <w:t xml:space="preserve"> </w:t>
      </w:r>
      <w:r w:rsidRPr="00177BFB">
        <w:rPr>
          <w:rFonts w:ascii="Arial" w:hAnsi="Arial" w:cs="Arial"/>
        </w:rPr>
        <w:t>understanding of complex nuances of care operations and surveillance data</w:t>
      </w:r>
      <w:r w:rsidR="003C5BD1" w:rsidRPr="00177BFB">
        <w:rPr>
          <w:rFonts w:ascii="Arial" w:hAnsi="Arial" w:cs="Arial"/>
        </w:rPr>
        <w:t>.</w:t>
      </w:r>
      <w:r w:rsidRPr="00177BFB">
        <w:rPr>
          <w:rFonts w:ascii="Arial" w:hAnsi="Arial" w:cs="Arial"/>
        </w:rPr>
        <w:t xml:space="preserve"> </w:t>
      </w:r>
      <w:r w:rsidR="00755A61" w:rsidRPr="00755A61">
        <w:rPr>
          <w:rFonts w:ascii="Arial" w:hAnsi="Arial" w:cs="Arial"/>
        </w:rPr>
        <w:t xml:space="preserve">It may, however, suggest that inappropriate and over-zealous prescribing of many drugs has decreased over time, in line with increasing </w:t>
      </w:r>
      <w:proofErr w:type="spellStart"/>
      <w:r w:rsidR="00755A61" w:rsidRPr="00755A61">
        <w:rPr>
          <w:rFonts w:ascii="Arial" w:hAnsi="Arial" w:cs="Arial"/>
        </w:rPr>
        <w:t>advocation</w:t>
      </w:r>
      <w:proofErr w:type="spellEnd"/>
      <w:r w:rsidR="00755A61" w:rsidRPr="00755A61">
        <w:rPr>
          <w:rFonts w:ascii="Arial" w:hAnsi="Arial" w:cs="Arial"/>
        </w:rPr>
        <w:t xml:space="preserve"> for evidence-based practice and upholding the best standards of practice based on professional regulations and guidelines (McDowell et al., 2018). However, several factors complicate the interpretation of this decline in inappropriate </w:t>
      </w:r>
      <w:r w:rsidR="00755A61" w:rsidRPr="00755A61">
        <w:rPr>
          <w:rFonts w:ascii="Arial" w:hAnsi="Arial" w:cs="Arial"/>
        </w:rPr>
        <w:lastRenderedPageBreak/>
        <w:t xml:space="preserve">prescribing. First, the analysis was based on annual data snapshots from April, rather than continuous tracking, which means observed </w:t>
      </w:r>
      <w:proofErr w:type="gramStart"/>
      <w:r w:rsidR="00755A61" w:rsidRPr="00755A61">
        <w:rPr>
          <w:rFonts w:ascii="Arial" w:hAnsi="Arial" w:cs="Arial"/>
        </w:rPr>
        <w:t>changes</w:t>
      </w:r>
      <w:proofErr w:type="gramEnd"/>
      <w:r w:rsidR="00755A61" w:rsidRPr="00755A61">
        <w:rPr>
          <w:rFonts w:ascii="Arial" w:hAnsi="Arial" w:cs="Arial"/>
        </w:rPr>
        <w:t xml:space="preserve"> may reflect short-term fluctuations in medicine costs rather than consistent nationwide trends. Second, turnover in regard to the top ten medicines may have impacted the total volume, given that newly ranked medicines may be prescribed at different rates than compared to those that are being replaced. Third, adjustments in pharmacy inventory systems, changes to product coding, such as updates to the Dictionary of Medicines and Devices, or variances in reporting methods may have affected the recorded figures in the original dataset.</w:t>
      </w:r>
    </w:p>
    <w:p w14:paraId="1E543407" w14:textId="77777777" w:rsidR="003C5BD1" w:rsidRPr="00177BFB" w:rsidRDefault="003C5BD1" w:rsidP="00F66B3A">
      <w:pPr>
        <w:spacing w:line="276" w:lineRule="auto"/>
        <w:jc w:val="both"/>
        <w:rPr>
          <w:rFonts w:ascii="Arial" w:hAnsi="Arial" w:cs="Arial"/>
        </w:rPr>
      </w:pPr>
    </w:p>
    <w:p w14:paraId="559CE832" w14:textId="1DF7914A" w:rsidR="003C5BD1" w:rsidRPr="00177BFB" w:rsidRDefault="003C5BD1" w:rsidP="00F66B3A">
      <w:pPr>
        <w:spacing w:line="276" w:lineRule="auto"/>
        <w:jc w:val="both"/>
        <w:rPr>
          <w:rFonts w:ascii="Arial" w:hAnsi="Arial" w:cs="Arial"/>
        </w:rPr>
      </w:pPr>
      <w:r w:rsidRPr="00177BFB">
        <w:rPr>
          <w:rFonts w:ascii="Arial" w:hAnsi="Arial" w:cs="Arial"/>
        </w:rPr>
        <w:t xml:space="preserve">There is a relative </w:t>
      </w:r>
      <w:r w:rsidR="00A40C4A" w:rsidRPr="00177BFB">
        <w:rPr>
          <w:rFonts w:ascii="Arial" w:hAnsi="Arial" w:cs="Arial"/>
        </w:rPr>
        <w:t>paucity</w:t>
      </w:r>
      <w:r w:rsidRPr="00177BFB">
        <w:rPr>
          <w:rFonts w:ascii="Arial" w:hAnsi="Arial" w:cs="Arial"/>
        </w:rPr>
        <w:t xml:space="preserve"> of research </w:t>
      </w:r>
      <w:r w:rsidR="00A40C4A" w:rsidRPr="00177BFB">
        <w:rPr>
          <w:rFonts w:ascii="Arial" w:hAnsi="Arial" w:cs="Arial"/>
        </w:rPr>
        <w:t>evaluating</w:t>
      </w:r>
      <w:r w:rsidRPr="00177BFB">
        <w:rPr>
          <w:rFonts w:ascii="Arial" w:hAnsi="Arial" w:cs="Arial"/>
        </w:rPr>
        <w:t xml:space="preserve"> prescribing volumes within secondary care</w:t>
      </w:r>
      <w:r w:rsidR="00A40C4A" w:rsidRPr="00177BFB">
        <w:rPr>
          <w:rFonts w:ascii="Arial" w:hAnsi="Arial" w:cs="Arial"/>
        </w:rPr>
        <w:t xml:space="preserve"> on a national scale</w:t>
      </w:r>
      <w:r w:rsidRPr="00177BFB">
        <w:rPr>
          <w:rFonts w:ascii="Arial" w:hAnsi="Arial" w:cs="Arial"/>
        </w:rPr>
        <w:t xml:space="preserve">, </w:t>
      </w:r>
      <w:r w:rsidR="00A40C4A" w:rsidRPr="00177BFB">
        <w:rPr>
          <w:rFonts w:ascii="Arial" w:hAnsi="Arial" w:cs="Arial"/>
        </w:rPr>
        <w:t>with</w:t>
      </w:r>
      <w:r w:rsidRPr="00177BFB">
        <w:rPr>
          <w:rFonts w:ascii="Arial" w:hAnsi="Arial" w:cs="Arial"/>
        </w:rPr>
        <w:t xml:space="preserve"> most prior studies hav</w:t>
      </w:r>
      <w:r w:rsidR="00A40C4A" w:rsidRPr="00177BFB">
        <w:rPr>
          <w:rFonts w:ascii="Arial" w:hAnsi="Arial" w:cs="Arial"/>
        </w:rPr>
        <w:t>ing</w:t>
      </w:r>
      <w:r w:rsidRPr="00177BFB">
        <w:rPr>
          <w:rFonts w:ascii="Arial" w:hAnsi="Arial" w:cs="Arial"/>
        </w:rPr>
        <w:t xml:space="preserve"> concentrated on community prescribing data. </w:t>
      </w:r>
      <w:r w:rsidR="00755A61" w:rsidRPr="00755A61">
        <w:rPr>
          <w:rFonts w:ascii="Arial" w:hAnsi="Arial" w:cs="Arial"/>
        </w:rPr>
        <w:t xml:space="preserve">Indeed, Curtis and </w:t>
      </w:r>
      <w:proofErr w:type="spellStart"/>
      <w:r w:rsidR="00755A61" w:rsidRPr="00755A61">
        <w:rPr>
          <w:rFonts w:ascii="Arial" w:hAnsi="Arial" w:cs="Arial"/>
        </w:rPr>
        <w:t>Goldacre</w:t>
      </w:r>
      <w:proofErr w:type="spellEnd"/>
      <w:r w:rsidR="00755A61" w:rsidRPr="00755A61">
        <w:rPr>
          <w:rFonts w:ascii="Arial" w:hAnsi="Arial" w:cs="Arial"/>
        </w:rPr>
        <w:t xml:space="preserve"> (2018) highlighted the value of national prescribing datasets for tracking long-term trends in primary care but the authors noted the absence of equivalent analyses for hospitals. In a more recent study, Sanderson (2024) demonstrated the potential of the SCDS, as used in this study, in supporting high quality and reliable research for prescribing in secondary care, although the analysis was centred on tool utility rather than scrutiny of the accuracy and reliability of the data. However, this research addresses this gap, showing that while prescribing in hospitals is increasingly clustered around a smaller set of high-volume medicines, there is growing availability and use of specialist medicines, leading to significant cost implications for even relatively low volumes prescribed. Overall, the results suggest that current demand upon hospital pharmacies is stable for some medicinal groups and dynamic for others, although generally consistent despite advances in the treatment of less common and highly burdensome diseases. Commonly used generics, nutritional products, and supportive treatments remain consumptive of prescribing activity during inpatient care. This reflects ongoing challenges, in managing the demand of patients presenting with acute illness, multiple comorbidities, and the ageing population. However, as the noted medicines are generally inexpensive, they account for only a modest share of total drug spending. In contrast, and as discussed in subsequent sections, the largest share of expenditure is being increasingly driven by a select group of specialist medicines prescribed for a limited number of patients.</w:t>
      </w:r>
    </w:p>
    <w:p w14:paraId="58EEF83C" w14:textId="3836D685" w:rsidR="005C10D2" w:rsidRPr="00177BFB" w:rsidRDefault="005C10D2" w:rsidP="00F66B3A">
      <w:pPr>
        <w:spacing w:line="276" w:lineRule="auto"/>
        <w:jc w:val="both"/>
        <w:rPr>
          <w:rFonts w:ascii="Arial" w:hAnsi="Arial" w:cs="Arial"/>
        </w:rPr>
      </w:pPr>
    </w:p>
    <w:p w14:paraId="35F36B36" w14:textId="3711A0FE" w:rsidR="007215CB" w:rsidRPr="00177BFB" w:rsidRDefault="005368CF" w:rsidP="00F66B3A">
      <w:pPr>
        <w:spacing w:line="276" w:lineRule="auto"/>
        <w:jc w:val="both"/>
        <w:rPr>
          <w:rFonts w:ascii="Arial" w:hAnsi="Arial" w:cs="Arial"/>
        </w:rPr>
      </w:pPr>
      <w:r w:rsidRPr="00177BFB">
        <w:rPr>
          <w:rFonts w:ascii="Arial" w:hAnsi="Arial" w:cs="Arial"/>
        </w:rPr>
        <w:t>Another key finding from this study was the distinction between the medicines account</w:t>
      </w:r>
      <w:r w:rsidR="002C7F0B" w:rsidRPr="00177BFB">
        <w:rPr>
          <w:rFonts w:ascii="Arial" w:hAnsi="Arial" w:cs="Arial"/>
        </w:rPr>
        <w:t>ing</w:t>
      </w:r>
      <w:r w:rsidRPr="00177BFB">
        <w:rPr>
          <w:rFonts w:ascii="Arial" w:hAnsi="Arial" w:cs="Arial"/>
        </w:rPr>
        <w:t xml:space="preserve"> for overall expenditure and those most frequently prescribed. While the majority of high-volume prescriptions were for low-cost generic medicines commonly used across various clinical areas, the greatest share of spending was concentrated among a select group of specialist treatments, such as biologics, monoclonal antibodies, gene-based treatments, RNA interacting agents, and novel drugs for rare conditions. Although these treatments were used relatively sparingly, the associated costs were substantial, resulting in a disproportionate impact on total spending and thus, having clear implications for health system funding and related policies. This pattern of spending aligns with </w:t>
      </w:r>
      <w:r w:rsidR="00755A61" w:rsidRPr="00755A61">
        <w:rPr>
          <w:rFonts w:ascii="Arial" w:hAnsi="Arial" w:cs="Arial"/>
        </w:rPr>
        <w:t xml:space="preserve">previous reports where healthcare budgets have </w:t>
      </w:r>
      <w:r w:rsidR="00755A61" w:rsidRPr="00755A61">
        <w:rPr>
          <w:rFonts w:ascii="Arial" w:hAnsi="Arial" w:cs="Arial"/>
        </w:rPr>
        <w:lastRenderedPageBreak/>
        <w:t>increasingly accommodated higher-cost medicines (</w:t>
      </w:r>
      <w:proofErr w:type="spellStart"/>
      <w:r w:rsidR="00755A61" w:rsidRPr="00755A61">
        <w:rPr>
          <w:rFonts w:ascii="Arial" w:hAnsi="Arial" w:cs="Arial"/>
        </w:rPr>
        <w:t>Penninx</w:t>
      </w:r>
      <w:proofErr w:type="spellEnd"/>
      <w:r w:rsidR="00755A61" w:rsidRPr="00755A61">
        <w:rPr>
          <w:rFonts w:ascii="Arial" w:hAnsi="Arial" w:cs="Arial"/>
        </w:rPr>
        <w:t xml:space="preserve"> et al., 2026; </w:t>
      </w:r>
      <w:proofErr w:type="spellStart"/>
      <w:r w:rsidR="00755A61" w:rsidRPr="00755A61">
        <w:rPr>
          <w:rFonts w:ascii="Arial" w:hAnsi="Arial" w:cs="Arial"/>
        </w:rPr>
        <w:t>Wouters</w:t>
      </w:r>
      <w:proofErr w:type="spellEnd"/>
      <w:r w:rsidR="00755A61" w:rsidRPr="00755A61">
        <w:rPr>
          <w:rFonts w:ascii="Arial" w:hAnsi="Arial" w:cs="Arial"/>
        </w:rPr>
        <w:t xml:space="preserve"> et al., 2020). Early in the study around 2021, spending was dominated by recombinant coagulation factors, such as </w:t>
      </w:r>
      <w:proofErr w:type="spellStart"/>
      <w:r w:rsidR="00755A61" w:rsidRPr="00755A61">
        <w:rPr>
          <w:rFonts w:ascii="Arial" w:hAnsi="Arial" w:cs="Arial"/>
        </w:rPr>
        <w:t>turoctocog</w:t>
      </w:r>
      <w:proofErr w:type="spellEnd"/>
      <w:r w:rsidR="00755A61" w:rsidRPr="00755A61">
        <w:rPr>
          <w:rFonts w:ascii="Arial" w:hAnsi="Arial" w:cs="Arial"/>
        </w:rPr>
        <w:t xml:space="preserve"> </w:t>
      </w:r>
      <w:proofErr w:type="spellStart"/>
      <w:r w:rsidR="00755A61" w:rsidRPr="00755A61">
        <w:rPr>
          <w:rFonts w:ascii="Arial" w:hAnsi="Arial" w:cs="Arial"/>
        </w:rPr>
        <w:t>alfa</w:t>
      </w:r>
      <w:proofErr w:type="spellEnd"/>
      <w:r w:rsidR="00755A61" w:rsidRPr="00755A61">
        <w:rPr>
          <w:rFonts w:ascii="Arial" w:hAnsi="Arial" w:cs="Arial"/>
        </w:rPr>
        <w:t xml:space="preserve"> </w:t>
      </w:r>
      <w:proofErr w:type="spellStart"/>
      <w:r w:rsidR="00755A61" w:rsidRPr="00755A61">
        <w:rPr>
          <w:rFonts w:ascii="Arial" w:hAnsi="Arial" w:cs="Arial"/>
        </w:rPr>
        <w:t>pegol</w:t>
      </w:r>
      <w:proofErr w:type="spellEnd"/>
      <w:r w:rsidR="00755A61" w:rsidRPr="00755A61">
        <w:rPr>
          <w:rFonts w:ascii="Arial" w:hAnsi="Arial" w:cs="Arial"/>
        </w:rPr>
        <w:t xml:space="preserve">, </w:t>
      </w:r>
      <w:proofErr w:type="spellStart"/>
      <w:r w:rsidR="00755A61" w:rsidRPr="00755A61">
        <w:rPr>
          <w:rFonts w:ascii="Arial" w:hAnsi="Arial" w:cs="Arial"/>
        </w:rPr>
        <w:t>simoctocog</w:t>
      </w:r>
      <w:proofErr w:type="spellEnd"/>
      <w:r w:rsidR="00755A61" w:rsidRPr="00755A61">
        <w:rPr>
          <w:rFonts w:ascii="Arial" w:hAnsi="Arial" w:cs="Arial"/>
        </w:rPr>
        <w:t xml:space="preserve"> </w:t>
      </w:r>
      <w:proofErr w:type="spellStart"/>
      <w:r w:rsidR="00755A61" w:rsidRPr="00755A61">
        <w:rPr>
          <w:rFonts w:ascii="Arial" w:hAnsi="Arial" w:cs="Arial"/>
        </w:rPr>
        <w:t>alfa</w:t>
      </w:r>
      <w:proofErr w:type="spellEnd"/>
      <w:r w:rsidR="00755A61" w:rsidRPr="00755A61">
        <w:rPr>
          <w:rFonts w:ascii="Arial" w:hAnsi="Arial" w:cs="Arial"/>
        </w:rPr>
        <w:t xml:space="preserve">, and </w:t>
      </w:r>
      <w:proofErr w:type="spellStart"/>
      <w:r w:rsidR="00755A61" w:rsidRPr="00755A61">
        <w:rPr>
          <w:rFonts w:ascii="Arial" w:hAnsi="Arial" w:cs="Arial"/>
        </w:rPr>
        <w:t>moroctocog</w:t>
      </w:r>
      <w:proofErr w:type="spellEnd"/>
      <w:r w:rsidR="00755A61" w:rsidRPr="00755A61">
        <w:rPr>
          <w:rFonts w:ascii="Arial" w:hAnsi="Arial" w:cs="Arial"/>
        </w:rPr>
        <w:t xml:space="preserve">, as well as anti-D immunoglobulin and C1-esterase inhibitor. In contrast, the latter part of the study period towards 2026 observed the transition to differing therapies, including </w:t>
      </w:r>
      <w:proofErr w:type="spellStart"/>
      <w:r w:rsidR="00755A61" w:rsidRPr="00755A61">
        <w:rPr>
          <w:rFonts w:ascii="Arial" w:hAnsi="Arial" w:cs="Arial"/>
        </w:rPr>
        <w:t>tafamidis</w:t>
      </w:r>
      <w:proofErr w:type="spellEnd"/>
      <w:r w:rsidR="00755A61" w:rsidRPr="00755A61">
        <w:rPr>
          <w:rFonts w:ascii="Arial" w:hAnsi="Arial" w:cs="Arial"/>
        </w:rPr>
        <w:t xml:space="preserve">, </w:t>
      </w:r>
      <w:proofErr w:type="spellStart"/>
      <w:r w:rsidR="00755A61" w:rsidRPr="00755A61">
        <w:rPr>
          <w:rFonts w:ascii="Arial" w:hAnsi="Arial" w:cs="Arial"/>
        </w:rPr>
        <w:t>vutrisiran</w:t>
      </w:r>
      <w:proofErr w:type="spellEnd"/>
      <w:r w:rsidR="00755A61" w:rsidRPr="00755A61">
        <w:rPr>
          <w:rFonts w:ascii="Arial" w:hAnsi="Arial" w:cs="Arial"/>
        </w:rPr>
        <w:t xml:space="preserve">, </w:t>
      </w:r>
      <w:proofErr w:type="spellStart"/>
      <w:r w:rsidR="00755A61" w:rsidRPr="00755A61">
        <w:rPr>
          <w:rFonts w:ascii="Arial" w:hAnsi="Arial" w:cs="Arial"/>
        </w:rPr>
        <w:t>exagamglogene</w:t>
      </w:r>
      <w:proofErr w:type="spellEnd"/>
      <w:r w:rsidR="00755A61" w:rsidRPr="00755A61">
        <w:rPr>
          <w:rFonts w:ascii="Arial" w:hAnsi="Arial" w:cs="Arial"/>
        </w:rPr>
        <w:t xml:space="preserve"> </w:t>
      </w:r>
      <w:proofErr w:type="spellStart"/>
      <w:r w:rsidR="00755A61" w:rsidRPr="00755A61">
        <w:rPr>
          <w:rFonts w:ascii="Arial" w:hAnsi="Arial" w:cs="Arial"/>
        </w:rPr>
        <w:t>autotemcel</w:t>
      </w:r>
      <w:proofErr w:type="spellEnd"/>
      <w:r w:rsidR="00755A61" w:rsidRPr="00755A61">
        <w:rPr>
          <w:rFonts w:ascii="Arial" w:hAnsi="Arial" w:cs="Arial"/>
        </w:rPr>
        <w:t xml:space="preserve">, and </w:t>
      </w:r>
      <w:proofErr w:type="spellStart"/>
      <w:r w:rsidR="00755A61" w:rsidRPr="00755A61">
        <w:rPr>
          <w:rFonts w:ascii="Arial" w:hAnsi="Arial" w:cs="Arial"/>
        </w:rPr>
        <w:t>pembrolizumab</w:t>
      </w:r>
      <w:proofErr w:type="spellEnd"/>
      <w:r w:rsidR="00755A61" w:rsidRPr="00755A61">
        <w:rPr>
          <w:rFonts w:ascii="Arial" w:hAnsi="Arial" w:cs="Arial"/>
        </w:rPr>
        <w:t xml:space="preserve">, which were the most expensive medicines at the analysed </w:t>
      </w:r>
      <w:proofErr w:type="gramStart"/>
      <w:r w:rsidR="00755A61" w:rsidRPr="00755A61">
        <w:rPr>
          <w:rFonts w:ascii="Arial" w:hAnsi="Arial" w:cs="Arial"/>
        </w:rPr>
        <w:t>point.</w:t>
      </w:r>
      <w:proofErr w:type="gramEnd"/>
      <w:r w:rsidR="00755A61" w:rsidRPr="00755A61">
        <w:rPr>
          <w:rFonts w:ascii="Arial" w:hAnsi="Arial" w:cs="Arial"/>
        </w:rPr>
        <w:t xml:space="preserve"> This alteration in cost trends may not only reflect advances in pharmaceutical innovation but also the growing adoption of high-cost treatments aligned with cost-benefit analyses and adjustments to related thresholds, as governed by the National Institute for Health and Care Excellence (NICE) in the UK (Department of Health, 2026). Such changes have been recognised as major advances in various fields of practice and thus, contributing to improved outcomes despite some treatments incurring high costs.</w:t>
      </w:r>
    </w:p>
    <w:p w14:paraId="73E31294" w14:textId="77777777" w:rsidR="007215CB" w:rsidRPr="00177BFB" w:rsidRDefault="007215CB" w:rsidP="00F66B3A">
      <w:pPr>
        <w:spacing w:line="276" w:lineRule="auto"/>
        <w:jc w:val="both"/>
        <w:rPr>
          <w:rFonts w:ascii="Arial" w:hAnsi="Arial" w:cs="Arial"/>
        </w:rPr>
      </w:pPr>
    </w:p>
    <w:p w14:paraId="3CB501E9" w14:textId="42FCF930" w:rsidR="005368CF" w:rsidRPr="00177BFB" w:rsidRDefault="005368CF" w:rsidP="00F66B3A">
      <w:pPr>
        <w:spacing w:line="276" w:lineRule="auto"/>
        <w:jc w:val="both"/>
        <w:rPr>
          <w:rFonts w:ascii="Arial" w:hAnsi="Arial" w:cs="Arial"/>
        </w:rPr>
      </w:pPr>
      <w:r w:rsidRPr="00177BFB">
        <w:rPr>
          <w:rFonts w:ascii="Arial" w:hAnsi="Arial" w:cs="Arial"/>
        </w:rPr>
        <w:t xml:space="preserve">For example, tafamidis has significantly improved outcomes </w:t>
      </w:r>
      <w:r w:rsidR="00444515" w:rsidRPr="00177BFB">
        <w:rPr>
          <w:rFonts w:ascii="Arial" w:hAnsi="Arial" w:cs="Arial"/>
        </w:rPr>
        <w:t>for persons with</w:t>
      </w:r>
      <w:r w:rsidRPr="00177BFB">
        <w:rPr>
          <w:rFonts w:ascii="Arial" w:hAnsi="Arial" w:cs="Arial"/>
        </w:rPr>
        <w:t xml:space="preserve"> transthyretin amyloid cardiomyopathy</w:t>
      </w:r>
      <w:r w:rsidR="00444515" w:rsidRPr="00177BFB">
        <w:rPr>
          <w:rFonts w:ascii="Arial" w:hAnsi="Arial" w:cs="Arial"/>
        </w:rPr>
        <w:t xml:space="preserve">, which is </w:t>
      </w:r>
      <w:r w:rsidRPr="00177BFB">
        <w:rPr>
          <w:rFonts w:ascii="Arial" w:hAnsi="Arial" w:cs="Arial"/>
        </w:rPr>
        <w:t xml:space="preserve">a disease </w:t>
      </w:r>
      <w:r w:rsidR="00444515" w:rsidRPr="00177BFB">
        <w:rPr>
          <w:rFonts w:ascii="Arial" w:hAnsi="Arial" w:cs="Arial"/>
        </w:rPr>
        <w:t>that is otherwise known to have a markedly</w:t>
      </w:r>
      <w:r w:rsidRPr="00177BFB">
        <w:rPr>
          <w:rFonts w:ascii="Arial" w:hAnsi="Arial" w:cs="Arial"/>
        </w:rPr>
        <w:t xml:space="preserve"> poor </w:t>
      </w:r>
      <w:r w:rsidR="00755A61" w:rsidRPr="00755A61">
        <w:rPr>
          <w:rFonts w:ascii="Arial" w:hAnsi="Arial" w:cs="Arial"/>
        </w:rPr>
        <w:t xml:space="preserve">prognosis (Fontana et al., 2026). Further, cystic fibrosis </w:t>
      </w:r>
      <w:proofErr w:type="spellStart"/>
      <w:r w:rsidR="00755A61" w:rsidRPr="00755A61">
        <w:rPr>
          <w:rFonts w:ascii="Arial" w:hAnsi="Arial" w:cs="Arial"/>
        </w:rPr>
        <w:t>transmembrane</w:t>
      </w:r>
      <w:proofErr w:type="spellEnd"/>
      <w:r w:rsidR="00755A61" w:rsidRPr="00755A61">
        <w:rPr>
          <w:rFonts w:ascii="Arial" w:hAnsi="Arial" w:cs="Arial"/>
        </w:rPr>
        <w:t xml:space="preserve"> regulator (CFTR) modulators, including </w:t>
      </w:r>
      <w:proofErr w:type="spellStart"/>
      <w:r w:rsidR="00755A61" w:rsidRPr="00755A61">
        <w:rPr>
          <w:rFonts w:ascii="Arial" w:hAnsi="Arial" w:cs="Arial"/>
        </w:rPr>
        <w:t>Kaftrio</w:t>
      </w:r>
      <w:proofErr w:type="spellEnd"/>
      <w:r w:rsidR="00755A61" w:rsidRPr="00755A61">
        <w:rPr>
          <w:rFonts w:ascii="Arial" w:hAnsi="Arial" w:cs="Arial"/>
        </w:rPr>
        <w:t xml:space="preserve"> and </w:t>
      </w:r>
      <w:proofErr w:type="spellStart"/>
      <w:r w:rsidR="00755A61" w:rsidRPr="00755A61">
        <w:rPr>
          <w:rFonts w:ascii="Arial" w:hAnsi="Arial" w:cs="Arial"/>
        </w:rPr>
        <w:t>ivacaftor</w:t>
      </w:r>
      <w:proofErr w:type="spellEnd"/>
      <w:r w:rsidR="00755A61" w:rsidRPr="00755A61">
        <w:rPr>
          <w:rFonts w:ascii="Arial" w:hAnsi="Arial" w:cs="Arial"/>
        </w:rPr>
        <w:t>, have transformed cystic fibrosis management by targeting the underlying genetic cause, which is much more favourable than drugs focusing on symptom management (</w:t>
      </w:r>
      <w:proofErr w:type="spellStart"/>
      <w:r w:rsidR="00755A61" w:rsidRPr="00755A61">
        <w:rPr>
          <w:rFonts w:ascii="Arial" w:hAnsi="Arial" w:cs="Arial"/>
        </w:rPr>
        <w:t>Jaques</w:t>
      </w:r>
      <w:proofErr w:type="spellEnd"/>
      <w:r w:rsidR="00755A61" w:rsidRPr="00755A61">
        <w:rPr>
          <w:rFonts w:ascii="Arial" w:hAnsi="Arial" w:cs="Arial"/>
        </w:rPr>
        <w:t xml:space="preserve"> et al., 2020). Similarly, gene therapies, such as </w:t>
      </w:r>
      <w:proofErr w:type="spellStart"/>
      <w:r w:rsidR="00755A61" w:rsidRPr="00755A61">
        <w:rPr>
          <w:rFonts w:ascii="Arial" w:hAnsi="Arial" w:cs="Arial"/>
        </w:rPr>
        <w:t>exagamglogene</w:t>
      </w:r>
      <w:proofErr w:type="spellEnd"/>
      <w:r w:rsidR="00755A61" w:rsidRPr="00755A61">
        <w:rPr>
          <w:rFonts w:ascii="Arial" w:hAnsi="Arial" w:cs="Arial"/>
        </w:rPr>
        <w:t xml:space="preserve"> </w:t>
      </w:r>
      <w:proofErr w:type="spellStart"/>
      <w:r w:rsidR="00755A61" w:rsidRPr="00755A61">
        <w:rPr>
          <w:rFonts w:ascii="Arial" w:hAnsi="Arial" w:cs="Arial"/>
        </w:rPr>
        <w:t>autotemcel</w:t>
      </w:r>
      <w:proofErr w:type="spellEnd"/>
      <w:r w:rsidR="00755A61" w:rsidRPr="00755A61">
        <w:rPr>
          <w:rFonts w:ascii="Arial" w:hAnsi="Arial" w:cs="Arial"/>
        </w:rPr>
        <w:t xml:space="preserve">, offer the possibility of lasting modification for genetic aberrations linked to inherited blood disorders, even after a single treatment (Bhatia et al., 2026). Thus, the long-term cost savings on chronic disease for such disorders may outweigh the initial high therapy costs, given sparing of hospitalisations, fewer complications, and better long-term survival. The accommodation of higher cost medicines, however, may place increasing pressure on the NHS to become completely privatised, with medicine costs becoming a key part of insurance claims, as with other global health systems. The UK has resisted such reform, although it is not clear for how long the system can be sustained under extreme pressure and finite funding/resources (Guy &amp; </w:t>
      </w:r>
      <w:proofErr w:type="spellStart"/>
      <w:r w:rsidR="00755A61" w:rsidRPr="00755A61">
        <w:rPr>
          <w:rFonts w:ascii="Arial" w:hAnsi="Arial" w:cs="Arial"/>
        </w:rPr>
        <w:t>Odudu</w:t>
      </w:r>
      <w:proofErr w:type="spellEnd"/>
      <w:r w:rsidR="00755A61" w:rsidRPr="00755A61">
        <w:rPr>
          <w:rFonts w:ascii="Arial" w:hAnsi="Arial" w:cs="Arial"/>
        </w:rPr>
        <w:t>, 2023). The increasing separation between acquisition costs and therapeutic value is a persistent theme in health economics. While traditional analyses have often viewed increased spending as an indicator of declining affordability, current health technology assessments emphasise the importance of evaluating value delivered, such as improvements in quality-adjusted life years (QALYs), long-term outcomes, as well as downstream cost and efficiency savings, outcomes that are not that straightforward to measure (Drummond et al., 2015). These were outcomes that this study was unable to assess, although the implications can support future research in assessing these key metrics.</w:t>
      </w:r>
    </w:p>
    <w:p w14:paraId="607C6717" w14:textId="59B0D692" w:rsidR="00FF21AD" w:rsidRPr="00177BFB" w:rsidRDefault="00FF21AD" w:rsidP="00F66B3A">
      <w:pPr>
        <w:spacing w:line="276" w:lineRule="auto"/>
        <w:jc w:val="both"/>
        <w:rPr>
          <w:rFonts w:ascii="Arial" w:hAnsi="Arial" w:cs="Arial"/>
        </w:rPr>
      </w:pPr>
    </w:p>
    <w:p w14:paraId="70248F6E" w14:textId="77777777" w:rsidR="00DD3276" w:rsidRPr="00177BFB" w:rsidRDefault="00DD3276" w:rsidP="00F66B3A">
      <w:pPr>
        <w:spacing w:line="276" w:lineRule="auto"/>
        <w:jc w:val="both"/>
        <w:rPr>
          <w:rFonts w:ascii="Arial" w:hAnsi="Arial" w:cs="Arial"/>
        </w:rPr>
      </w:pPr>
    </w:p>
    <w:p w14:paraId="328BD5FD" w14:textId="1E14BB54" w:rsidR="00C17B90" w:rsidRPr="00177BFB" w:rsidRDefault="005368CF" w:rsidP="00F66B3A">
      <w:pPr>
        <w:spacing w:line="276" w:lineRule="auto"/>
        <w:jc w:val="both"/>
        <w:rPr>
          <w:rFonts w:ascii="Arial" w:hAnsi="Arial" w:cs="Arial"/>
        </w:rPr>
      </w:pPr>
      <w:r w:rsidRPr="00177BFB">
        <w:rPr>
          <w:rFonts w:ascii="Arial" w:hAnsi="Arial" w:cs="Arial"/>
        </w:rPr>
        <w:t xml:space="preserve">In contrast to </w:t>
      </w:r>
      <w:r w:rsidR="00DD3276" w:rsidRPr="00177BFB">
        <w:rPr>
          <w:rFonts w:ascii="Arial" w:hAnsi="Arial" w:cs="Arial"/>
        </w:rPr>
        <w:t>many frequently prescribed</w:t>
      </w:r>
      <w:r w:rsidRPr="00177BFB">
        <w:rPr>
          <w:rFonts w:ascii="Arial" w:hAnsi="Arial" w:cs="Arial"/>
        </w:rPr>
        <w:t xml:space="preserve"> drugs, specialist medicines are often developed for rare diseases or niche indications, </w:t>
      </w:r>
      <w:r w:rsidR="00DD3276" w:rsidRPr="00177BFB">
        <w:rPr>
          <w:rFonts w:ascii="Arial" w:hAnsi="Arial" w:cs="Arial"/>
        </w:rPr>
        <w:t>which can restrict</w:t>
      </w:r>
      <w:r w:rsidRPr="00177BFB">
        <w:rPr>
          <w:rFonts w:ascii="Arial" w:hAnsi="Arial" w:cs="Arial"/>
        </w:rPr>
        <w:t xml:space="preserve"> the potential for large-scale production and </w:t>
      </w:r>
      <w:r w:rsidR="00DD3276" w:rsidRPr="00177BFB">
        <w:rPr>
          <w:rFonts w:ascii="Arial" w:hAnsi="Arial" w:cs="Arial"/>
        </w:rPr>
        <w:t xml:space="preserve">in turn, </w:t>
      </w:r>
      <w:r w:rsidRPr="00177BFB">
        <w:rPr>
          <w:rFonts w:ascii="Arial" w:hAnsi="Arial" w:cs="Arial"/>
        </w:rPr>
        <w:t xml:space="preserve">cost reduction. </w:t>
      </w:r>
      <w:r w:rsidR="00755A61" w:rsidRPr="00755A61">
        <w:rPr>
          <w:rFonts w:ascii="Arial" w:hAnsi="Arial" w:cs="Arial"/>
        </w:rPr>
        <w:t xml:space="preserve">The manufacturing processes are </w:t>
      </w:r>
      <w:r w:rsidR="00755A61" w:rsidRPr="00755A61">
        <w:rPr>
          <w:rFonts w:ascii="Arial" w:hAnsi="Arial" w:cs="Arial"/>
        </w:rPr>
        <w:lastRenderedPageBreak/>
        <w:t>often complex and the development timelines are prolonged, which contributes to the high acquisition prices and limits the potential for cost lowering in the future (</w:t>
      </w:r>
      <w:proofErr w:type="spellStart"/>
      <w:r w:rsidR="00755A61" w:rsidRPr="00755A61">
        <w:rPr>
          <w:rFonts w:ascii="Arial" w:hAnsi="Arial" w:cs="Arial"/>
        </w:rPr>
        <w:t>Wouters</w:t>
      </w:r>
      <w:proofErr w:type="spellEnd"/>
      <w:r w:rsidR="00755A61" w:rsidRPr="00755A61">
        <w:rPr>
          <w:rFonts w:ascii="Arial" w:hAnsi="Arial" w:cs="Arial"/>
        </w:rPr>
        <w:t xml:space="preserve"> et al., 2020). Thus, while the clinical benefits may be substantial, as previously noted for diseases, such as cystic fibrosis and amyloidosis, the therapies incur affordability concerns, particularly for publicly funded healthcare systems as with the NHS. The paralleled high </w:t>
      </w:r>
      <w:proofErr w:type="gramStart"/>
      <w:r w:rsidR="00755A61" w:rsidRPr="00755A61">
        <w:rPr>
          <w:rFonts w:ascii="Arial" w:hAnsi="Arial" w:cs="Arial"/>
        </w:rPr>
        <w:t xml:space="preserve">costs of </w:t>
      </w:r>
      <w:proofErr w:type="spellStart"/>
      <w:r w:rsidR="00755A61" w:rsidRPr="00755A61">
        <w:rPr>
          <w:rFonts w:ascii="Arial" w:hAnsi="Arial" w:cs="Arial"/>
        </w:rPr>
        <w:t>pembrolizumab</w:t>
      </w:r>
      <w:proofErr w:type="spellEnd"/>
      <w:r w:rsidR="00755A61" w:rsidRPr="00755A61">
        <w:rPr>
          <w:rFonts w:ascii="Arial" w:hAnsi="Arial" w:cs="Arial"/>
        </w:rPr>
        <w:t>, among other monoclonal antibody treatments, as revealed in this study reinforces</w:t>
      </w:r>
      <w:proofErr w:type="gramEnd"/>
      <w:r w:rsidR="00755A61" w:rsidRPr="00755A61">
        <w:rPr>
          <w:rFonts w:ascii="Arial" w:hAnsi="Arial" w:cs="Arial"/>
        </w:rPr>
        <w:t xml:space="preserve"> these considerations further. As an immune checkpoint inhibitor and approved for multiple cancer types by NICE, </w:t>
      </w:r>
      <w:proofErr w:type="spellStart"/>
      <w:r w:rsidR="00755A61" w:rsidRPr="00755A61">
        <w:rPr>
          <w:rFonts w:ascii="Arial" w:hAnsi="Arial" w:cs="Arial"/>
        </w:rPr>
        <w:t>pembrolizumab</w:t>
      </w:r>
      <w:proofErr w:type="spellEnd"/>
      <w:r w:rsidR="00755A61" w:rsidRPr="00755A61">
        <w:rPr>
          <w:rFonts w:ascii="Arial" w:hAnsi="Arial" w:cs="Arial"/>
        </w:rPr>
        <w:t xml:space="preserve"> has undergone increasing use both in the UK and internationally (Mansour et al., 2025; NICE, 2026). This can again be attributed to the improvements in quality of life and survival that monoclonal antibody therapy has achieved (</w:t>
      </w:r>
      <w:proofErr w:type="spellStart"/>
      <w:r w:rsidR="00755A61" w:rsidRPr="00755A61">
        <w:rPr>
          <w:rFonts w:ascii="Arial" w:hAnsi="Arial" w:cs="Arial"/>
        </w:rPr>
        <w:t>Justiz-Vaillant</w:t>
      </w:r>
      <w:proofErr w:type="spellEnd"/>
      <w:r w:rsidR="00755A61" w:rsidRPr="00755A61">
        <w:rPr>
          <w:rFonts w:ascii="Arial" w:hAnsi="Arial" w:cs="Arial"/>
        </w:rPr>
        <w:t xml:space="preserve"> et al., 2025).</w:t>
      </w:r>
    </w:p>
    <w:p w14:paraId="58CC1722" w14:textId="77777777" w:rsidR="00C17B90" w:rsidRPr="00177BFB" w:rsidRDefault="00C17B90" w:rsidP="00F66B3A">
      <w:pPr>
        <w:spacing w:line="276" w:lineRule="auto"/>
        <w:jc w:val="both"/>
        <w:rPr>
          <w:rFonts w:ascii="Arial" w:hAnsi="Arial" w:cs="Arial"/>
        </w:rPr>
      </w:pPr>
    </w:p>
    <w:p w14:paraId="45C5C75C" w14:textId="7ED6168F" w:rsidR="005368CF" w:rsidRPr="00177BFB" w:rsidRDefault="005368CF" w:rsidP="00F66B3A">
      <w:pPr>
        <w:spacing w:line="276" w:lineRule="auto"/>
        <w:jc w:val="both"/>
        <w:rPr>
          <w:rFonts w:ascii="Arial" w:hAnsi="Arial" w:cs="Arial"/>
        </w:rPr>
      </w:pPr>
      <w:r w:rsidRPr="00177BFB">
        <w:rPr>
          <w:rFonts w:ascii="Arial" w:hAnsi="Arial" w:cs="Arial"/>
        </w:rPr>
        <w:t>Notably, some therapies</w:t>
      </w:r>
      <w:r w:rsidR="00FB596C" w:rsidRPr="00177BFB">
        <w:rPr>
          <w:rFonts w:ascii="Arial" w:hAnsi="Arial" w:cs="Arial"/>
        </w:rPr>
        <w:t xml:space="preserve">, </w:t>
      </w:r>
      <w:r w:rsidRPr="00177BFB">
        <w:rPr>
          <w:rFonts w:ascii="Arial" w:hAnsi="Arial" w:cs="Arial"/>
        </w:rPr>
        <w:t xml:space="preserve">such as </w:t>
      </w:r>
      <w:proofErr w:type="spellStart"/>
      <w:r w:rsidRPr="00177BFB">
        <w:rPr>
          <w:rFonts w:ascii="Arial" w:hAnsi="Arial" w:cs="Arial"/>
        </w:rPr>
        <w:t>pembrolizumab</w:t>
      </w:r>
      <w:proofErr w:type="spellEnd"/>
      <w:r w:rsidRPr="00177BFB">
        <w:rPr>
          <w:rFonts w:ascii="Arial" w:hAnsi="Arial" w:cs="Arial"/>
        </w:rPr>
        <w:t xml:space="preserve">, </w:t>
      </w:r>
      <w:proofErr w:type="spellStart"/>
      <w:r w:rsidRPr="00177BFB">
        <w:rPr>
          <w:rFonts w:ascii="Arial" w:hAnsi="Arial" w:cs="Arial"/>
        </w:rPr>
        <w:t>Kaftrio</w:t>
      </w:r>
      <w:proofErr w:type="spellEnd"/>
      <w:r w:rsidRPr="00177BFB">
        <w:rPr>
          <w:rFonts w:ascii="Arial" w:hAnsi="Arial" w:cs="Arial"/>
        </w:rPr>
        <w:t xml:space="preserve">, </w:t>
      </w:r>
      <w:proofErr w:type="spellStart"/>
      <w:r w:rsidRPr="00177BFB">
        <w:rPr>
          <w:rFonts w:ascii="Arial" w:hAnsi="Arial" w:cs="Arial"/>
        </w:rPr>
        <w:t>ivacaftor</w:t>
      </w:r>
      <w:proofErr w:type="spellEnd"/>
      <w:r w:rsidRPr="00177BFB">
        <w:rPr>
          <w:rFonts w:ascii="Arial" w:hAnsi="Arial" w:cs="Arial"/>
        </w:rPr>
        <w:t xml:space="preserve">, and </w:t>
      </w:r>
      <w:proofErr w:type="spellStart"/>
      <w:r w:rsidRPr="00177BFB">
        <w:rPr>
          <w:rFonts w:ascii="Arial" w:hAnsi="Arial" w:cs="Arial"/>
        </w:rPr>
        <w:t>emtricitabine</w:t>
      </w:r>
      <w:proofErr w:type="spellEnd"/>
      <w:r w:rsidR="00FB596C" w:rsidRPr="00177BFB">
        <w:rPr>
          <w:rFonts w:ascii="Arial" w:hAnsi="Arial" w:cs="Arial"/>
        </w:rPr>
        <w:t xml:space="preserve">, </w:t>
      </w:r>
      <w:r w:rsidRPr="00177BFB">
        <w:rPr>
          <w:rFonts w:ascii="Arial" w:hAnsi="Arial" w:cs="Arial"/>
        </w:rPr>
        <w:t xml:space="preserve">maintained relatively constant </w:t>
      </w:r>
      <w:r w:rsidR="00FB596C" w:rsidRPr="00177BFB">
        <w:rPr>
          <w:rFonts w:ascii="Arial" w:hAnsi="Arial" w:cs="Arial"/>
        </w:rPr>
        <w:t>unit</w:t>
      </w:r>
      <w:r w:rsidRPr="00177BFB">
        <w:rPr>
          <w:rFonts w:ascii="Arial" w:hAnsi="Arial" w:cs="Arial"/>
        </w:rPr>
        <w:t xml:space="preserve"> prices</w:t>
      </w:r>
      <w:r w:rsidR="00FB596C" w:rsidRPr="00177BFB">
        <w:rPr>
          <w:rFonts w:ascii="Arial" w:hAnsi="Arial" w:cs="Arial"/>
        </w:rPr>
        <w:t xml:space="preserve"> over time</w:t>
      </w:r>
      <w:r w:rsidRPr="00177BFB">
        <w:rPr>
          <w:rFonts w:ascii="Arial" w:hAnsi="Arial" w:cs="Arial"/>
        </w:rPr>
        <w:t xml:space="preserve">. This stability </w:t>
      </w:r>
      <w:r w:rsidR="00FB596C" w:rsidRPr="00177BFB">
        <w:rPr>
          <w:rFonts w:ascii="Arial" w:hAnsi="Arial" w:cs="Arial"/>
        </w:rPr>
        <w:t>may</w:t>
      </w:r>
      <w:r w:rsidRPr="00177BFB">
        <w:rPr>
          <w:rFonts w:ascii="Arial" w:hAnsi="Arial" w:cs="Arial"/>
        </w:rPr>
        <w:t xml:space="preserve"> reflect the influence of pricing agreements and confidential contracts that </w:t>
      </w:r>
      <w:r w:rsidR="00FB596C" w:rsidRPr="00177BFB">
        <w:rPr>
          <w:rFonts w:ascii="Arial" w:hAnsi="Arial" w:cs="Arial"/>
        </w:rPr>
        <w:t>can help to</w:t>
      </w:r>
      <w:r w:rsidRPr="00177BFB">
        <w:rPr>
          <w:rFonts w:ascii="Arial" w:hAnsi="Arial" w:cs="Arial"/>
        </w:rPr>
        <w:t xml:space="preserve"> </w:t>
      </w:r>
      <w:r w:rsidR="00FB596C" w:rsidRPr="00177BFB">
        <w:rPr>
          <w:rFonts w:ascii="Arial" w:hAnsi="Arial" w:cs="Arial"/>
        </w:rPr>
        <w:t>limit</w:t>
      </w:r>
      <w:r w:rsidRPr="00177BFB">
        <w:rPr>
          <w:rFonts w:ascii="Arial" w:hAnsi="Arial" w:cs="Arial"/>
        </w:rPr>
        <w:t xml:space="preserve"> cost fluctuations, even </w:t>
      </w:r>
      <w:r w:rsidR="00FB596C" w:rsidRPr="00177BFB">
        <w:rPr>
          <w:rFonts w:ascii="Arial" w:hAnsi="Arial" w:cs="Arial"/>
        </w:rPr>
        <w:t>despite changes in drug demand</w:t>
      </w:r>
      <w:r w:rsidRPr="00177BFB">
        <w:rPr>
          <w:rFonts w:ascii="Arial" w:hAnsi="Arial" w:cs="Arial"/>
        </w:rPr>
        <w:t>. Conversely, decreases in unit costs were observed for medicines</w:t>
      </w:r>
      <w:r w:rsidR="00FB596C" w:rsidRPr="00177BFB">
        <w:rPr>
          <w:rFonts w:ascii="Arial" w:hAnsi="Arial" w:cs="Arial"/>
        </w:rPr>
        <w:t>, such as</w:t>
      </w:r>
      <w:r w:rsidRPr="00177BFB">
        <w:rPr>
          <w:rFonts w:ascii="Arial" w:hAnsi="Arial" w:cs="Arial"/>
        </w:rPr>
        <w:t xml:space="preserve"> </w:t>
      </w:r>
      <w:proofErr w:type="spellStart"/>
      <w:r w:rsidRPr="00177BFB">
        <w:rPr>
          <w:rFonts w:ascii="Arial" w:hAnsi="Arial" w:cs="Arial"/>
        </w:rPr>
        <w:t>asfotase</w:t>
      </w:r>
      <w:proofErr w:type="spellEnd"/>
      <w:r w:rsidRPr="00177BFB">
        <w:rPr>
          <w:rFonts w:ascii="Arial" w:hAnsi="Arial" w:cs="Arial"/>
        </w:rPr>
        <w:t xml:space="preserve"> </w:t>
      </w:r>
      <w:proofErr w:type="spellStart"/>
      <w:r w:rsidRPr="00177BFB">
        <w:rPr>
          <w:rFonts w:ascii="Arial" w:hAnsi="Arial" w:cs="Arial"/>
        </w:rPr>
        <w:t>alfa</w:t>
      </w:r>
      <w:proofErr w:type="spellEnd"/>
      <w:r w:rsidRPr="00177BFB">
        <w:rPr>
          <w:rFonts w:ascii="Arial" w:hAnsi="Arial" w:cs="Arial"/>
        </w:rPr>
        <w:t xml:space="preserve">, anti-D immunoglobulin, and </w:t>
      </w:r>
      <w:proofErr w:type="spellStart"/>
      <w:r w:rsidRPr="00177BFB">
        <w:rPr>
          <w:rFonts w:ascii="Arial" w:hAnsi="Arial" w:cs="Arial"/>
        </w:rPr>
        <w:t>moroctocog</w:t>
      </w:r>
      <w:proofErr w:type="spellEnd"/>
      <w:r w:rsidRPr="00177BFB">
        <w:rPr>
          <w:rFonts w:ascii="Arial" w:hAnsi="Arial" w:cs="Arial"/>
        </w:rPr>
        <w:t xml:space="preserve">, </w:t>
      </w:r>
      <w:r w:rsidR="00FB596C" w:rsidRPr="00177BFB">
        <w:rPr>
          <w:rFonts w:ascii="Arial" w:hAnsi="Arial" w:cs="Arial"/>
        </w:rPr>
        <w:t xml:space="preserve">which may have been </w:t>
      </w:r>
      <w:r w:rsidRPr="00177BFB">
        <w:rPr>
          <w:rFonts w:ascii="Arial" w:hAnsi="Arial" w:cs="Arial"/>
        </w:rPr>
        <w:t>driven by increas</w:t>
      </w:r>
      <w:r w:rsidR="00FB596C" w:rsidRPr="00177BFB">
        <w:rPr>
          <w:rFonts w:ascii="Arial" w:hAnsi="Arial" w:cs="Arial"/>
        </w:rPr>
        <w:t>ing</w:t>
      </w:r>
      <w:r w:rsidRPr="00177BFB">
        <w:rPr>
          <w:rFonts w:ascii="Arial" w:hAnsi="Arial" w:cs="Arial"/>
        </w:rPr>
        <w:t xml:space="preserve"> competition, efficiencies</w:t>
      </w:r>
      <w:r w:rsidR="00FB596C" w:rsidRPr="00177BFB">
        <w:rPr>
          <w:rFonts w:ascii="Arial" w:hAnsi="Arial" w:cs="Arial"/>
        </w:rPr>
        <w:t xml:space="preserve"> in procurement</w:t>
      </w:r>
      <w:r w:rsidRPr="00177BFB">
        <w:rPr>
          <w:rFonts w:ascii="Arial" w:hAnsi="Arial" w:cs="Arial"/>
        </w:rPr>
        <w:t xml:space="preserve">, renegotiated prices, </w:t>
      </w:r>
      <w:r w:rsidR="00FB596C" w:rsidRPr="00177BFB">
        <w:rPr>
          <w:rFonts w:ascii="Arial" w:hAnsi="Arial" w:cs="Arial"/>
        </w:rPr>
        <w:t xml:space="preserve">and/or emergence </w:t>
      </w:r>
      <w:r w:rsidRPr="00177BFB">
        <w:rPr>
          <w:rFonts w:ascii="Arial" w:hAnsi="Arial" w:cs="Arial"/>
        </w:rPr>
        <w:t>biosimilar</w:t>
      </w:r>
      <w:r w:rsidR="00FB596C" w:rsidRPr="00177BFB">
        <w:rPr>
          <w:rFonts w:ascii="Arial" w:hAnsi="Arial" w:cs="Arial"/>
        </w:rPr>
        <w:t xml:space="preserve"> competitor medicines</w:t>
      </w:r>
      <w:r w:rsidRPr="00177BFB">
        <w:rPr>
          <w:rFonts w:ascii="Arial" w:hAnsi="Arial" w:cs="Arial"/>
        </w:rPr>
        <w:t>.</w:t>
      </w:r>
      <w:r w:rsidR="0047620B" w:rsidRPr="00177BFB">
        <w:rPr>
          <w:rFonts w:ascii="Arial" w:hAnsi="Arial" w:cs="Arial"/>
        </w:rPr>
        <w:t xml:space="preserve"> </w:t>
      </w:r>
      <w:r w:rsidRPr="00177BFB">
        <w:rPr>
          <w:rFonts w:ascii="Arial" w:hAnsi="Arial" w:cs="Arial"/>
        </w:rPr>
        <w:t>In contrast, some medicines</w:t>
      </w:r>
      <w:r w:rsidR="0047620B" w:rsidRPr="00177BFB">
        <w:rPr>
          <w:rFonts w:ascii="Arial" w:hAnsi="Arial" w:cs="Arial"/>
        </w:rPr>
        <w:t xml:space="preserve">, </w:t>
      </w:r>
      <w:r w:rsidRPr="00177BFB">
        <w:rPr>
          <w:rFonts w:ascii="Arial" w:hAnsi="Arial" w:cs="Arial"/>
        </w:rPr>
        <w:t xml:space="preserve">such as </w:t>
      </w:r>
      <w:r w:rsidR="0047620B" w:rsidRPr="00177BFB">
        <w:rPr>
          <w:rFonts w:ascii="Arial" w:hAnsi="Arial" w:cs="Arial"/>
        </w:rPr>
        <w:t xml:space="preserve">concentrated </w:t>
      </w:r>
      <w:r w:rsidRPr="00177BFB">
        <w:rPr>
          <w:rFonts w:ascii="Arial" w:hAnsi="Arial" w:cs="Arial"/>
        </w:rPr>
        <w:t>coagulation factors and C1-esterase inhibitor</w:t>
      </w:r>
      <w:r w:rsidR="0047620B" w:rsidRPr="00177BFB">
        <w:rPr>
          <w:rFonts w:ascii="Arial" w:hAnsi="Arial" w:cs="Arial"/>
        </w:rPr>
        <w:t>, observed</w:t>
      </w:r>
      <w:r w:rsidRPr="00177BFB">
        <w:rPr>
          <w:rFonts w:ascii="Arial" w:hAnsi="Arial" w:cs="Arial"/>
        </w:rPr>
        <w:t xml:space="preserve"> significant increases in unit price. These variations highlight the complex nature of medicine pricing within secondary care, where expenditure is shaped by </w:t>
      </w:r>
      <w:r w:rsidR="0047620B" w:rsidRPr="00177BFB">
        <w:rPr>
          <w:rFonts w:ascii="Arial" w:hAnsi="Arial" w:cs="Arial"/>
        </w:rPr>
        <w:t>multiple</w:t>
      </w:r>
      <w:r w:rsidRPr="00177BFB">
        <w:rPr>
          <w:rFonts w:ascii="Arial" w:hAnsi="Arial" w:cs="Arial"/>
        </w:rPr>
        <w:t xml:space="preserve"> factors</w:t>
      </w:r>
      <w:r w:rsidR="0047620B" w:rsidRPr="00177BFB">
        <w:rPr>
          <w:rFonts w:ascii="Arial" w:hAnsi="Arial" w:cs="Arial"/>
        </w:rPr>
        <w:t>, as opposed to simple inflation</w:t>
      </w:r>
      <w:r w:rsidRPr="00177BFB">
        <w:rPr>
          <w:rFonts w:ascii="Arial" w:hAnsi="Arial" w:cs="Arial"/>
        </w:rPr>
        <w:t xml:space="preserve">. In summary, this </w:t>
      </w:r>
      <w:r w:rsidR="0047620B" w:rsidRPr="00177BFB">
        <w:rPr>
          <w:rFonts w:ascii="Arial" w:hAnsi="Arial" w:cs="Arial"/>
        </w:rPr>
        <w:t>study</w:t>
      </w:r>
      <w:r w:rsidRPr="00177BFB">
        <w:rPr>
          <w:rFonts w:ascii="Arial" w:hAnsi="Arial" w:cs="Arial"/>
        </w:rPr>
        <w:t xml:space="preserve"> </w:t>
      </w:r>
      <w:r w:rsidR="0047620B" w:rsidRPr="00177BFB">
        <w:rPr>
          <w:rFonts w:ascii="Arial" w:hAnsi="Arial" w:cs="Arial"/>
        </w:rPr>
        <w:t xml:space="preserve">showed </w:t>
      </w:r>
      <w:r w:rsidRPr="00177BFB">
        <w:rPr>
          <w:rFonts w:ascii="Arial" w:hAnsi="Arial" w:cs="Arial"/>
        </w:rPr>
        <w:t xml:space="preserve">that spending </w:t>
      </w:r>
      <w:r w:rsidR="0047620B" w:rsidRPr="00177BFB">
        <w:rPr>
          <w:rFonts w:ascii="Arial" w:hAnsi="Arial" w:cs="Arial"/>
        </w:rPr>
        <w:t xml:space="preserve">in </w:t>
      </w:r>
      <w:r w:rsidRPr="00177BFB">
        <w:rPr>
          <w:rFonts w:ascii="Arial" w:hAnsi="Arial" w:cs="Arial"/>
        </w:rPr>
        <w:t>secondary care</w:t>
      </w:r>
      <w:r w:rsidR="0047620B" w:rsidRPr="00177BFB">
        <w:rPr>
          <w:rFonts w:ascii="Arial" w:hAnsi="Arial" w:cs="Arial"/>
        </w:rPr>
        <w:t xml:space="preserve"> in the UK NHS</w:t>
      </w:r>
      <w:r w:rsidRPr="00177BFB">
        <w:rPr>
          <w:rFonts w:ascii="Arial" w:hAnsi="Arial" w:cs="Arial"/>
        </w:rPr>
        <w:t xml:space="preserve"> is becoming increasingly </w:t>
      </w:r>
      <w:r w:rsidR="0047620B" w:rsidRPr="00177BFB">
        <w:rPr>
          <w:rFonts w:ascii="Arial" w:hAnsi="Arial" w:cs="Arial"/>
        </w:rPr>
        <w:t>driven by</w:t>
      </w:r>
      <w:r w:rsidRPr="00177BFB">
        <w:rPr>
          <w:rFonts w:ascii="Arial" w:hAnsi="Arial" w:cs="Arial"/>
        </w:rPr>
        <w:t xml:space="preserve"> low-volume</w:t>
      </w:r>
      <w:r w:rsidR="0047620B" w:rsidRPr="00177BFB">
        <w:rPr>
          <w:rFonts w:ascii="Arial" w:hAnsi="Arial" w:cs="Arial"/>
        </w:rPr>
        <w:t xml:space="preserve"> and</w:t>
      </w:r>
      <w:r w:rsidRPr="00177BFB">
        <w:rPr>
          <w:rFonts w:ascii="Arial" w:hAnsi="Arial" w:cs="Arial"/>
        </w:rPr>
        <w:t xml:space="preserve"> high-cost specialist medicines</w:t>
      </w:r>
      <w:r w:rsidR="0047620B" w:rsidRPr="00177BFB">
        <w:rPr>
          <w:rFonts w:ascii="Arial" w:hAnsi="Arial" w:cs="Arial"/>
        </w:rPr>
        <w:t xml:space="preserve"> and being supported by robust research evidence regarding meaningful improvements in clinical outcomes. Thus</w:t>
      </w:r>
      <w:r w:rsidRPr="00177BFB">
        <w:rPr>
          <w:rFonts w:ascii="Arial" w:hAnsi="Arial" w:cs="Arial"/>
        </w:rPr>
        <w:t xml:space="preserve">, </w:t>
      </w:r>
      <w:r w:rsidR="00120680" w:rsidRPr="00177BFB">
        <w:rPr>
          <w:rFonts w:ascii="Arial" w:hAnsi="Arial" w:cs="Arial"/>
        </w:rPr>
        <w:t xml:space="preserve">it is imperative that </w:t>
      </w:r>
      <w:r w:rsidRPr="00177BFB">
        <w:rPr>
          <w:rFonts w:ascii="Arial" w:hAnsi="Arial" w:cs="Arial"/>
        </w:rPr>
        <w:t xml:space="preserve">future expenditure </w:t>
      </w:r>
      <w:r w:rsidR="0047620B" w:rsidRPr="00177BFB">
        <w:rPr>
          <w:rFonts w:ascii="Arial" w:hAnsi="Arial" w:cs="Arial"/>
        </w:rPr>
        <w:t>monitoring consider</w:t>
      </w:r>
      <w:r w:rsidR="00120680" w:rsidRPr="00177BFB">
        <w:rPr>
          <w:rFonts w:ascii="Arial" w:hAnsi="Arial" w:cs="Arial"/>
        </w:rPr>
        <w:t xml:space="preserve">s </w:t>
      </w:r>
      <w:r w:rsidRPr="00177BFB">
        <w:rPr>
          <w:rFonts w:ascii="Arial" w:hAnsi="Arial" w:cs="Arial"/>
        </w:rPr>
        <w:t xml:space="preserve">both the costs and the therapeutic benefits of new </w:t>
      </w:r>
      <w:r w:rsidR="0047620B" w:rsidRPr="00177BFB">
        <w:rPr>
          <w:rFonts w:ascii="Arial" w:hAnsi="Arial" w:cs="Arial"/>
        </w:rPr>
        <w:t xml:space="preserve">and </w:t>
      </w:r>
      <w:r w:rsidR="004C2317" w:rsidRPr="00177BFB">
        <w:rPr>
          <w:rFonts w:ascii="Arial" w:hAnsi="Arial" w:cs="Arial"/>
        </w:rPr>
        <w:t>p</w:t>
      </w:r>
      <w:r w:rsidR="0047620B" w:rsidRPr="00177BFB">
        <w:rPr>
          <w:rFonts w:ascii="Arial" w:hAnsi="Arial" w:cs="Arial"/>
        </w:rPr>
        <w:t xml:space="preserve">re-existing </w:t>
      </w:r>
      <w:r w:rsidRPr="00177BFB">
        <w:rPr>
          <w:rFonts w:ascii="Arial" w:hAnsi="Arial" w:cs="Arial"/>
        </w:rPr>
        <w:t>medicines.</w:t>
      </w:r>
    </w:p>
    <w:p w14:paraId="762C72D1" w14:textId="223DBA55" w:rsidR="006A450B" w:rsidRPr="00177BFB" w:rsidRDefault="006A450B" w:rsidP="00F66B3A">
      <w:pPr>
        <w:spacing w:line="276" w:lineRule="auto"/>
        <w:jc w:val="both"/>
        <w:rPr>
          <w:rFonts w:ascii="Arial" w:hAnsi="Arial" w:cs="Arial"/>
        </w:rPr>
      </w:pPr>
    </w:p>
    <w:p w14:paraId="352212D7" w14:textId="0D4AF614" w:rsidR="006A450B" w:rsidRPr="00177BFB" w:rsidRDefault="006A450B" w:rsidP="00F66B3A">
      <w:pPr>
        <w:spacing w:line="276" w:lineRule="auto"/>
        <w:jc w:val="both"/>
        <w:rPr>
          <w:rFonts w:ascii="Arial" w:hAnsi="Arial" w:cs="Arial"/>
        </w:rPr>
      </w:pPr>
    </w:p>
    <w:p w14:paraId="0FCF1A43" w14:textId="57B71CA3" w:rsidR="006A450B" w:rsidRPr="00177BFB" w:rsidRDefault="006A450B" w:rsidP="00F66B3A">
      <w:pPr>
        <w:pStyle w:val="Heading2"/>
        <w:jc w:val="both"/>
        <w:rPr>
          <w:rFonts w:ascii="Arial" w:hAnsi="Arial" w:cs="Arial"/>
          <w:i/>
          <w:iCs/>
          <w:color w:val="auto"/>
          <w:sz w:val="24"/>
          <w:szCs w:val="24"/>
        </w:rPr>
      </w:pPr>
      <w:bookmarkStart w:id="22" w:name="_Toc240132671"/>
      <w:r w:rsidRPr="00177BFB">
        <w:rPr>
          <w:rFonts w:ascii="Arial" w:hAnsi="Arial" w:cs="Arial"/>
          <w:i/>
          <w:iCs/>
          <w:color w:val="auto"/>
          <w:sz w:val="24"/>
          <w:szCs w:val="24"/>
        </w:rPr>
        <w:t>Implications, Recommendations and Conclusion</w:t>
      </w:r>
      <w:bookmarkEnd w:id="22"/>
    </w:p>
    <w:p w14:paraId="26D271DB" w14:textId="7266B3D3" w:rsidR="006A450B" w:rsidRPr="00177BFB" w:rsidRDefault="006A450B" w:rsidP="00F66B3A">
      <w:pPr>
        <w:spacing w:line="276" w:lineRule="auto"/>
        <w:jc w:val="both"/>
        <w:rPr>
          <w:rFonts w:ascii="Arial" w:hAnsi="Arial" w:cs="Arial"/>
        </w:rPr>
      </w:pPr>
    </w:p>
    <w:p w14:paraId="7622CEB2" w14:textId="77777777" w:rsidR="0036717F" w:rsidRPr="00177BFB" w:rsidRDefault="00143421" w:rsidP="00F66B3A">
      <w:pPr>
        <w:spacing w:line="276" w:lineRule="auto"/>
        <w:jc w:val="both"/>
        <w:rPr>
          <w:rFonts w:ascii="Arial" w:hAnsi="Arial" w:cs="Arial"/>
        </w:rPr>
      </w:pPr>
      <w:r w:rsidRPr="00177BFB">
        <w:rPr>
          <w:rFonts w:ascii="Arial" w:hAnsi="Arial" w:cs="Arial"/>
        </w:rPr>
        <w:t xml:space="preserve">This study </w:t>
      </w:r>
      <w:r w:rsidR="009E3F0B" w:rsidRPr="00177BFB">
        <w:rPr>
          <w:rFonts w:ascii="Arial" w:hAnsi="Arial" w:cs="Arial"/>
        </w:rPr>
        <w:t>has</w:t>
      </w:r>
      <w:r w:rsidRPr="00177BFB">
        <w:rPr>
          <w:rFonts w:ascii="Arial" w:hAnsi="Arial" w:cs="Arial"/>
        </w:rPr>
        <w:t xml:space="preserve"> several notable advantages. Most </w:t>
      </w:r>
      <w:r w:rsidR="009E3F0B" w:rsidRPr="00177BFB">
        <w:rPr>
          <w:rFonts w:ascii="Arial" w:hAnsi="Arial" w:cs="Arial"/>
        </w:rPr>
        <w:t>importantly</w:t>
      </w:r>
      <w:r w:rsidRPr="00177BFB">
        <w:rPr>
          <w:rFonts w:ascii="Arial" w:hAnsi="Arial" w:cs="Arial"/>
        </w:rPr>
        <w:t xml:space="preserve">, it </w:t>
      </w:r>
      <w:r w:rsidR="009E3F0B" w:rsidRPr="00177BFB">
        <w:rPr>
          <w:rFonts w:ascii="Arial" w:hAnsi="Arial" w:cs="Arial"/>
        </w:rPr>
        <w:t xml:space="preserve">used data from the </w:t>
      </w:r>
      <w:r w:rsidRPr="00177BFB">
        <w:rPr>
          <w:rFonts w:ascii="Arial" w:hAnsi="Arial" w:cs="Arial"/>
        </w:rPr>
        <w:t xml:space="preserve">SCMD, </w:t>
      </w:r>
      <w:r w:rsidR="009E3F0B" w:rsidRPr="00177BFB">
        <w:rPr>
          <w:rFonts w:ascii="Arial" w:hAnsi="Arial" w:cs="Arial"/>
        </w:rPr>
        <w:t xml:space="preserve">which </w:t>
      </w:r>
      <w:proofErr w:type="gramStart"/>
      <w:r w:rsidR="009E3F0B" w:rsidRPr="00177BFB">
        <w:rPr>
          <w:rFonts w:ascii="Arial" w:hAnsi="Arial" w:cs="Arial"/>
        </w:rPr>
        <w:t>is</w:t>
      </w:r>
      <w:proofErr w:type="gramEnd"/>
      <w:r w:rsidR="009E3F0B" w:rsidRPr="00177BFB">
        <w:rPr>
          <w:rFonts w:ascii="Arial" w:hAnsi="Arial" w:cs="Arial"/>
        </w:rPr>
        <w:t xml:space="preserve"> </w:t>
      </w:r>
      <w:r w:rsidRPr="00177BFB">
        <w:rPr>
          <w:rFonts w:ascii="Arial" w:hAnsi="Arial" w:cs="Arial"/>
        </w:rPr>
        <w:t xml:space="preserve">a rare resource </w:t>
      </w:r>
      <w:r w:rsidR="009E3F0B" w:rsidRPr="00177BFB">
        <w:rPr>
          <w:rFonts w:ascii="Arial" w:hAnsi="Arial" w:cs="Arial"/>
        </w:rPr>
        <w:t xml:space="preserve">and one </w:t>
      </w:r>
      <w:r w:rsidRPr="00177BFB">
        <w:rPr>
          <w:rFonts w:ascii="Arial" w:hAnsi="Arial" w:cs="Arial"/>
        </w:rPr>
        <w:t>providing national-level insight into medicines supplied by hospital pharmacies</w:t>
      </w:r>
      <w:r w:rsidR="009E3F0B" w:rsidRPr="00177BFB">
        <w:rPr>
          <w:rFonts w:ascii="Arial" w:hAnsi="Arial" w:cs="Arial"/>
        </w:rPr>
        <w:t xml:space="preserve"> in the UK NHS</w:t>
      </w:r>
      <w:r w:rsidRPr="00177BFB">
        <w:rPr>
          <w:rFonts w:ascii="Arial" w:hAnsi="Arial" w:cs="Arial"/>
        </w:rPr>
        <w:t xml:space="preserve">. </w:t>
      </w:r>
      <w:r w:rsidR="009E3F0B" w:rsidRPr="00177BFB">
        <w:rPr>
          <w:rFonts w:ascii="Arial" w:hAnsi="Arial" w:cs="Arial"/>
        </w:rPr>
        <w:t>As</w:t>
      </w:r>
      <w:r w:rsidRPr="00177BFB">
        <w:rPr>
          <w:rFonts w:ascii="Arial" w:hAnsi="Arial" w:cs="Arial"/>
        </w:rPr>
        <w:t xml:space="preserve"> </w:t>
      </w:r>
      <w:r w:rsidR="009E3F0B" w:rsidRPr="00177BFB">
        <w:rPr>
          <w:rFonts w:ascii="Arial" w:hAnsi="Arial" w:cs="Arial"/>
        </w:rPr>
        <w:t>much of the pre-</w:t>
      </w:r>
      <w:r w:rsidRPr="00177BFB">
        <w:rPr>
          <w:rFonts w:ascii="Arial" w:hAnsi="Arial" w:cs="Arial"/>
        </w:rPr>
        <w:t xml:space="preserve">existing research has </w:t>
      </w:r>
      <w:r w:rsidR="009E3F0B" w:rsidRPr="00177BFB">
        <w:rPr>
          <w:rFonts w:ascii="Arial" w:hAnsi="Arial" w:cs="Arial"/>
        </w:rPr>
        <w:t>focused</w:t>
      </w:r>
      <w:r w:rsidRPr="00177BFB">
        <w:rPr>
          <w:rFonts w:ascii="Arial" w:hAnsi="Arial" w:cs="Arial"/>
        </w:rPr>
        <w:t xml:space="preserve"> on primary care, this analysis </w:t>
      </w:r>
      <w:r w:rsidR="009E3F0B" w:rsidRPr="00177BFB">
        <w:rPr>
          <w:rFonts w:ascii="Arial" w:hAnsi="Arial" w:cs="Arial"/>
        </w:rPr>
        <w:t>in secondary care has revealed</w:t>
      </w:r>
      <w:r w:rsidRPr="00177BFB">
        <w:rPr>
          <w:rFonts w:ascii="Arial" w:hAnsi="Arial" w:cs="Arial"/>
        </w:rPr>
        <w:t xml:space="preserve"> where spending on medicines is increasingly concentrated</w:t>
      </w:r>
      <w:r w:rsidR="009E3F0B" w:rsidRPr="00177BFB">
        <w:rPr>
          <w:rFonts w:ascii="Arial" w:hAnsi="Arial" w:cs="Arial"/>
        </w:rPr>
        <w:t xml:space="preserve"> and evolving</w:t>
      </w:r>
      <w:r w:rsidRPr="00177BFB">
        <w:rPr>
          <w:rFonts w:ascii="Arial" w:hAnsi="Arial" w:cs="Arial"/>
        </w:rPr>
        <w:t>. The broad, national scope of the dataset</w:t>
      </w:r>
      <w:r w:rsidR="009E3F0B" w:rsidRPr="00177BFB">
        <w:rPr>
          <w:rFonts w:ascii="Arial" w:hAnsi="Arial" w:cs="Arial"/>
        </w:rPr>
        <w:t xml:space="preserve"> used in this work</w:t>
      </w:r>
      <w:r w:rsidRPr="00177BFB">
        <w:rPr>
          <w:rFonts w:ascii="Arial" w:hAnsi="Arial" w:cs="Arial"/>
        </w:rPr>
        <w:t xml:space="preserve"> supports wide</w:t>
      </w:r>
      <w:r w:rsidR="009E3F0B" w:rsidRPr="00177BFB">
        <w:rPr>
          <w:rFonts w:ascii="Arial" w:hAnsi="Arial" w:cs="Arial"/>
        </w:rPr>
        <w:t xml:space="preserve"> generalisability </w:t>
      </w:r>
      <w:r w:rsidRPr="00177BFB">
        <w:rPr>
          <w:rFonts w:ascii="Arial" w:hAnsi="Arial" w:cs="Arial"/>
        </w:rPr>
        <w:t xml:space="preserve">of the results, </w:t>
      </w:r>
      <w:r w:rsidR="009E3F0B" w:rsidRPr="00177BFB">
        <w:rPr>
          <w:rFonts w:ascii="Arial" w:hAnsi="Arial" w:cs="Arial"/>
        </w:rPr>
        <w:t>mitigating the risk of</w:t>
      </w:r>
      <w:r w:rsidRPr="00177BFB">
        <w:rPr>
          <w:rFonts w:ascii="Arial" w:hAnsi="Arial" w:cs="Arial"/>
        </w:rPr>
        <w:t xml:space="preserve"> selection bias that can arise from single-</w:t>
      </w:r>
      <w:r w:rsidR="009E3F0B" w:rsidRPr="00177BFB">
        <w:rPr>
          <w:rFonts w:ascii="Arial" w:hAnsi="Arial" w:cs="Arial"/>
        </w:rPr>
        <w:t>centre</w:t>
      </w:r>
      <w:r w:rsidRPr="00177BFB">
        <w:rPr>
          <w:rFonts w:ascii="Arial" w:hAnsi="Arial" w:cs="Arial"/>
        </w:rPr>
        <w:t xml:space="preserve"> studies</w:t>
      </w:r>
      <w:r w:rsidR="009E3F0B" w:rsidRPr="00177BFB">
        <w:rPr>
          <w:rFonts w:ascii="Arial" w:hAnsi="Arial" w:cs="Arial"/>
        </w:rPr>
        <w:t xml:space="preserve">, while providing a broad insight into </w:t>
      </w:r>
      <w:r w:rsidRPr="00177BFB">
        <w:rPr>
          <w:rFonts w:ascii="Arial" w:hAnsi="Arial" w:cs="Arial"/>
        </w:rPr>
        <w:t xml:space="preserve">prescribing practices across NHS </w:t>
      </w:r>
      <w:r w:rsidR="009E3F0B" w:rsidRPr="00177BFB">
        <w:rPr>
          <w:rFonts w:ascii="Arial" w:hAnsi="Arial" w:cs="Arial"/>
        </w:rPr>
        <w:t>hospitals</w:t>
      </w:r>
      <w:r w:rsidRPr="00177BFB">
        <w:rPr>
          <w:rFonts w:ascii="Arial" w:hAnsi="Arial" w:cs="Arial"/>
        </w:rPr>
        <w:t xml:space="preserve">. </w:t>
      </w:r>
      <w:r w:rsidR="009E3F0B" w:rsidRPr="00177BFB">
        <w:rPr>
          <w:rFonts w:ascii="Arial" w:hAnsi="Arial" w:cs="Arial"/>
        </w:rPr>
        <w:t>Further</w:t>
      </w:r>
      <w:r w:rsidRPr="00177BFB">
        <w:rPr>
          <w:rFonts w:ascii="Arial" w:hAnsi="Arial" w:cs="Arial"/>
        </w:rPr>
        <w:t>, the reliance on routinely collected</w:t>
      </w:r>
      <w:r w:rsidR="009E3F0B" w:rsidRPr="00177BFB">
        <w:rPr>
          <w:rFonts w:ascii="Arial" w:hAnsi="Arial" w:cs="Arial"/>
        </w:rPr>
        <w:t xml:space="preserve"> and</w:t>
      </w:r>
      <w:r w:rsidRPr="00177BFB">
        <w:rPr>
          <w:rFonts w:ascii="Arial" w:hAnsi="Arial" w:cs="Arial"/>
        </w:rPr>
        <w:t xml:space="preserve"> open-access data enhances transparency and reproducibility, </w:t>
      </w:r>
      <w:r w:rsidR="009E3F0B" w:rsidRPr="00177BFB">
        <w:rPr>
          <w:rFonts w:ascii="Arial" w:hAnsi="Arial" w:cs="Arial"/>
        </w:rPr>
        <w:t>allowing</w:t>
      </w:r>
      <w:r w:rsidRPr="00177BFB">
        <w:rPr>
          <w:rFonts w:ascii="Arial" w:hAnsi="Arial" w:cs="Arial"/>
        </w:rPr>
        <w:t xml:space="preserve"> other researchers to repeat </w:t>
      </w:r>
      <w:r w:rsidRPr="00177BFB">
        <w:rPr>
          <w:rFonts w:ascii="Arial" w:hAnsi="Arial" w:cs="Arial"/>
        </w:rPr>
        <w:lastRenderedPageBreak/>
        <w:t>or build upon th</w:t>
      </w:r>
      <w:r w:rsidR="009E3F0B" w:rsidRPr="00177BFB">
        <w:rPr>
          <w:rFonts w:ascii="Arial" w:hAnsi="Arial" w:cs="Arial"/>
        </w:rPr>
        <w:t>e findings</w:t>
      </w:r>
      <w:r w:rsidRPr="00177BFB">
        <w:rPr>
          <w:rFonts w:ascii="Arial" w:hAnsi="Arial" w:cs="Arial"/>
        </w:rPr>
        <w:t>.</w:t>
      </w:r>
      <w:r w:rsidR="00293C7D" w:rsidRPr="00177BFB">
        <w:rPr>
          <w:rFonts w:ascii="Arial" w:hAnsi="Arial" w:cs="Arial"/>
        </w:rPr>
        <w:t xml:space="preserve"> </w:t>
      </w:r>
      <w:r w:rsidRPr="00177BFB">
        <w:rPr>
          <w:rFonts w:ascii="Arial" w:hAnsi="Arial" w:cs="Arial"/>
        </w:rPr>
        <w:t xml:space="preserve">Despite these strengths, there are </w:t>
      </w:r>
      <w:r w:rsidR="00041B35" w:rsidRPr="00177BFB">
        <w:rPr>
          <w:rFonts w:ascii="Arial" w:hAnsi="Arial" w:cs="Arial"/>
        </w:rPr>
        <w:t>some</w:t>
      </w:r>
      <w:r w:rsidRPr="00177BFB">
        <w:rPr>
          <w:rFonts w:ascii="Arial" w:hAnsi="Arial" w:cs="Arial"/>
        </w:rPr>
        <w:t xml:space="preserve"> limitations </w:t>
      </w:r>
      <w:r w:rsidR="00041B35" w:rsidRPr="00177BFB">
        <w:rPr>
          <w:rFonts w:ascii="Arial" w:hAnsi="Arial" w:cs="Arial"/>
        </w:rPr>
        <w:t>that require consideration</w:t>
      </w:r>
      <w:r w:rsidRPr="00177BFB">
        <w:rPr>
          <w:rFonts w:ascii="Arial" w:hAnsi="Arial" w:cs="Arial"/>
        </w:rPr>
        <w:t xml:space="preserve">. </w:t>
      </w:r>
      <w:r w:rsidR="009D1AD1" w:rsidRPr="00177BFB">
        <w:rPr>
          <w:rFonts w:ascii="Arial" w:hAnsi="Arial" w:cs="Arial"/>
        </w:rPr>
        <w:t>First, t</w:t>
      </w:r>
      <w:r w:rsidRPr="00177BFB">
        <w:rPr>
          <w:rFonts w:ascii="Arial" w:hAnsi="Arial" w:cs="Arial"/>
        </w:rPr>
        <w:t xml:space="preserve">he SCMD </w:t>
      </w:r>
      <w:r w:rsidR="009D1AD1" w:rsidRPr="00177BFB">
        <w:rPr>
          <w:rFonts w:ascii="Arial" w:hAnsi="Arial" w:cs="Arial"/>
        </w:rPr>
        <w:t>reports</w:t>
      </w:r>
      <w:r w:rsidRPr="00177BFB">
        <w:rPr>
          <w:rFonts w:ascii="Arial" w:hAnsi="Arial" w:cs="Arial"/>
        </w:rPr>
        <w:t xml:space="preserve"> indicative prices, </w:t>
      </w:r>
      <w:r w:rsidR="009D1AD1" w:rsidRPr="00177BFB">
        <w:rPr>
          <w:rFonts w:ascii="Arial" w:hAnsi="Arial" w:cs="Arial"/>
        </w:rPr>
        <w:t xml:space="preserve">as opposed to the </w:t>
      </w:r>
      <w:r w:rsidRPr="00177BFB">
        <w:rPr>
          <w:rFonts w:ascii="Arial" w:hAnsi="Arial" w:cs="Arial"/>
        </w:rPr>
        <w:t xml:space="preserve">actual </w:t>
      </w:r>
      <w:r w:rsidR="009D1AD1" w:rsidRPr="00177BFB">
        <w:rPr>
          <w:rFonts w:ascii="Arial" w:hAnsi="Arial" w:cs="Arial"/>
        </w:rPr>
        <w:t>costs</w:t>
      </w:r>
      <w:r w:rsidRPr="00177BFB">
        <w:rPr>
          <w:rFonts w:ascii="Arial" w:hAnsi="Arial" w:cs="Arial"/>
        </w:rPr>
        <w:t xml:space="preserve"> paid by NHS organisations. </w:t>
      </w:r>
      <w:r w:rsidR="009D1AD1" w:rsidRPr="00177BFB">
        <w:rPr>
          <w:rFonts w:ascii="Arial" w:hAnsi="Arial" w:cs="Arial"/>
        </w:rPr>
        <w:t>Therefore</w:t>
      </w:r>
      <w:r w:rsidRPr="00177BFB">
        <w:rPr>
          <w:rFonts w:ascii="Arial" w:hAnsi="Arial" w:cs="Arial"/>
        </w:rPr>
        <w:t xml:space="preserve">, the reported figures do not </w:t>
      </w:r>
      <w:r w:rsidR="009D1AD1" w:rsidRPr="00177BFB">
        <w:rPr>
          <w:rFonts w:ascii="Arial" w:hAnsi="Arial" w:cs="Arial"/>
        </w:rPr>
        <w:t>account for</w:t>
      </w:r>
      <w:r w:rsidRPr="00177BFB">
        <w:rPr>
          <w:rFonts w:ascii="Arial" w:hAnsi="Arial" w:cs="Arial"/>
        </w:rPr>
        <w:t xml:space="preserve"> discounts, patient access schemes, procurement deals, or manufacturer rebates, all of which can </w:t>
      </w:r>
      <w:r w:rsidR="009D1AD1" w:rsidRPr="00177BFB">
        <w:rPr>
          <w:rFonts w:ascii="Arial" w:hAnsi="Arial" w:cs="Arial"/>
        </w:rPr>
        <w:t>impact</w:t>
      </w:r>
      <w:r w:rsidRPr="00177BFB">
        <w:rPr>
          <w:rFonts w:ascii="Arial" w:hAnsi="Arial" w:cs="Arial"/>
        </w:rPr>
        <w:t xml:space="preserve"> true</w:t>
      </w:r>
      <w:r w:rsidR="009D1AD1" w:rsidRPr="00177BFB">
        <w:rPr>
          <w:rFonts w:ascii="Arial" w:hAnsi="Arial" w:cs="Arial"/>
        </w:rPr>
        <w:t xml:space="preserve"> and overall</w:t>
      </w:r>
      <w:r w:rsidRPr="00177BFB">
        <w:rPr>
          <w:rFonts w:ascii="Arial" w:hAnsi="Arial" w:cs="Arial"/>
        </w:rPr>
        <w:t xml:space="preserve"> spending. </w:t>
      </w:r>
    </w:p>
    <w:p w14:paraId="7F0B2D1A" w14:textId="6ACE3F52" w:rsidR="0036717F" w:rsidRPr="00177BFB" w:rsidRDefault="0036717F" w:rsidP="00F66B3A">
      <w:pPr>
        <w:spacing w:line="276" w:lineRule="auto"/>
        <w:jc w:val="both"/>
        <w:rPr>
          <w:rFonts w:ascii="Arial" w:hAnsi="Arial" w:cs="Arial"/>
        </w:rPr>
      </w:pPr>
    </w:p>
    <w:p w14:paraId="056016D1" w14:textId="77777777" w:rsidR="0036717F" w:rsidRPr="00177BFB" w:rsidRDefault="0036717F" w:rsidP="00F66B3A">
      <w:pPr>
        <w:spacing w:line="276" w:lineRule="auto"/>
        <w:jc w:val="both"/>
        <w:rPr>
          <w:rFonts w:ascii="Arial" w:hAnsi="Arial" w:cs="Arial"/>
        </w:rPr>
      </w:pPr>
    </w:p>
    <w:p w14:paraId="5E36947F" w14:textId="718DF1E7" w:rsidR="00143421" w:rsidRPr="00177BFB" w:rsidRDefault="00143421" w:rsidP="00F66B3A">
      <w:pPr>
        <w:spacing w:line="276" w:lineRule="auto"/>
        <w:jc w:val="both"/>
        <w:rPr>
          <w:rFonts w:ascii="Arial" w:hAnsi="Arial" w:cs="Arial"/>
        </w:rPr>
      </w:pPr>
      <w:r w:rsidRPr="00177BFB">
        <w:rPr>
          <w:rFonts w:ascii="Arial" w:hAnsi="Arial" w:cs="Arial"/>
        </w:rPr>
        <w:t xml:space="preserve">Another limitation is that the analysis was based on data from April </w:t>
      </w:r>
      <w:r w:rsidR="00EC2B52" w:rsidRPr="00177BFB">
        <w:rPr>
          <w:rFonts w:ascii="Arial" w:hAnsi="Arial" w:cs="Arial"/>
        </w:rPr>
        <w:t xml:space="preserve">of </w:t>
      </w:r>
      <w:r w:rsidRPr="00177BFB">
        <w:rPr>
          <w:rFonts w:ascii="Arial" w:hAnsi="Arial" w:cs="Arial"/>
        </w:rPr>
        <w:t xml:space="preserve">each year, rather than continuous monthly figures. </w:t>
      </w:r>
      <w:r w:rsidR="00EC2B52" w:rsidRPr="00177BFB">
        <w:rPr>
          <w:rFonts w:ascii="Arial" w:hAnsi="Arial" w:cs="Arial"/>
        </w:rPr>
        <w:t>Although</w:t>
      </w:r>
      <w:r w:rsidRPr="00177BFB">
        <w:rPr>
          <w:rFonts w:ascii="Arial" w:hAnsi="Arial" w:cs="Arial"/>
        </w:rPr>
        <w:t xml:space="preserve"> this </w:t>
      </w:r>
      <w:r w:rsidR="00EC2B52" w:rsidRPr="00177BFB">
        <w:rPr>
          <w:rFonts w:ascii="Arial" w:hAnsi="Arial" w:cs="Arial"/>
        </w:rPr>
        <w:t>permitted</w:t>
      </w:r>
      <w:r w:rsidRPr="00177BFB">
        <w:rPr>
          <w:rFonts w:ascii="Arial" w:hAnsi="Arial" w:cs="Arial"/>
        </w:rPr>
        <w:t xml:space="preserve"> annual comparisons and helped </w:t>
      </w:r>
      <w:r w:rsidR="00EC2B52" w:rsidRPr="00177BFB">
        <w:rPr>
          <w:rFonts w:ascii="Arial" w:hAnsi="Arial" w:cs="Arial"/>
        </w:rPr>
        <w:t xml:space="preserve">to avoid </w:t>
      </w:r>
      <w:r w:rsidRPr="00177BFB">
        <w:rPr>
          <w:rFonts w:ascii="Arial" w:hAnsi="Arial" w:cs="Arial"/>
        </w:rPr>
        <w:t xml:space="preserve">seasonal variation, the results should be viewed as </w:t>
      </w:r>
      <w:r w:rsidR="00EC2B52" w:rsidRPr="00177BFB">
        <w:rPr>
          <w:rFonts w:ascii="Arial" w:hAnsi="Arial" w:cs="Arial"/>
        </w:rPr>
        <w:t>‘</w:t>
      </w:r>
      <w:r w:rsidRPr="00177BFB">
        <w:rPr>
          <w:rFonts w:ascii="Arial" w:hAnsi="Arial" w:cs="Arial"/>
        </w:rPr>
        <w:t>snapshots</w:t>
      </w:r>
      <w:r w:rsidR="00EC2B52" w:rsidRPr="00177BFB">
        <w:rPr>
          <w:rFonts w:ascii="Arial" w:hAnsi="Arial" w:cs="Arial"/>
        </w:rPr>
        <w:t>’</w:t>
      </w:r>
      <w:r w:rsidRPr="00177BFB">
        <w:rPr>
          <w:rFonts w:ascii="Arial" w:hAnsi="Arial" w:cs="Arial"/>
        </w:rPr>
        <w:t xml:space="preserve"> rather than comprehensive accounts of yearly </w:t>
      </w:r>
      <w:r w:rsidR="00EC2B52" w:rsidRPr="00177BFB">
        <w:rPr>
          <w:rFonts w:ascii="Arial" w:hAnsi="Arial" w:cs="Arial"/>
        </w:rPr>
        <w:t xml:space="preserve">spending </w:t>
      </w:r>
      <w:r w:rsidRPr="00177BFB">
        <w:rPr>
          <w:rFonts w:ascii="Arial" w:hAnsi="Arial" w:cs="Arial"/>
        </w:rPr>
        <w:t>activity. A furthe</w:t>
      </w:r>
      <w:r w:rsidR="00EC2B52" w:rsidRPr="00177BFB">
        <w:rPr>
          <w:rFonts w:ascii="Arial" w:hAnsi="Arial" w:cs="Arial"/>
        </w:rPr>
        <w:t xml:space="preserve">r limitation </w:t>
      </w:r>
      <w:r w:rsidRPr="00177BFB">
        <w:rPr>
          <w:rFonts w:ascii="Arial" w:hAnsi="Arial" w:cs="Arial"/>
        </w:rPr>
        <w:t xml:space="preserve">is the lack of patient-level clinical data within the SCMD. Although the dataset captures medicines issued by hospital pharmacies, it does not include demographic details, diagnostic categories, </w:t>
      </w:r>
      <w:proofErr w:type="gramStart"/>
      <w:r w:rsidRPr="00177BFB">
        <w:rPr>
          <w:rFonts w:ascii="Arial" w:hAnsi="Arial" w:cs="Arial"/>
        </w:rPr>
        <w:t>indications</w:t>
      </w:r>
      <w:proofErr w:type="gramEnd"/>
      <w:r w:rsidRPr="00177BFB">
        <w:rPr>
          <w:rFonts w:ascii="Arial" w:hAnsi="Arial" w:cs="Arial"/>
        </w:rPr>
        <w:t xml:space="preserve"> for treatment, disease severity, or patient outcomes. This absence limits the ability to determine whether changes in expenditure </w:t>
      </w:r>
      <w:r w:rsidR="00EC2B52" w:rsidRPr="00177BFB">
        <w:rPr>
          <w:rFonts w:ascii="Arial" w:hAnsi="Arial" w:cs="Arial"/>
        </w:rPr>
        <w:t>were</w:t>
      </w:r>
      <w:r w:rsidRPr="00177BFB">
        <w:rPr>
          <w:rFonts w:ascii="Arial" w:hAnsi="Arial" w:cs="Arial"/>
        </w:rPr>
        <w:t xml:space="preserve"> driven by shifts in disease prevalence, </w:t>
      </w:r>
      <w:r w:rsidR="00EC2B52" w:rsidRPr="00177BFB">
        <w:rPr>
          <w:rFonts w:ascii="Arial" w:hAnsi="Arial" w:cs="Arial"/>
        </w:rPr>
        <w:t>improved</w:t>
      </w:r>
      <w:r w:rsidRPr="00177BFB">
        <w:rPr>
          <w:rFonts w:ascii="Arial" w:hAnsi="Arial" w:cs="Arial"/>
        </w:rPr>
        <w:t xml:space="preserve"> access</w:t>
      </w:r>
      <w:r w:rsidR="00EC2B52" w:rsidRPr="00177BFB">
        <w:rPr>
          <w:rFonts w:ascii="Arial" w:hAnsi="Arial" w:cs="Arial"/>
        </w:rPr>
        <w:t xml:space="preserve"> to treatment</w:t>
      </w:r>
      <w:r w:rsidRPr="00177BFB">
        <w:rPr>
          <w:rFonts w:ascii="Arial" w:hAnsi="Arial" w:cs="Arial"/>
        </w:rPr>
        <w:t xml:space="preserve">, </w:t>
      </w:r>
      <w:r w:rsidR="00EC2B52" w:rsidRPr="00177BFB">
        <w:rPr>
          <w:rFonts w:ascii="Arial" w:hAnsi="Arial" w:cs="Arial"/>
        </w:rPr>
        <w:t>increases in</w:t>
      </w:r>
      <w:r w:rsidRPr="00177BFB">
        <w:rPr>
          <w:rFonts w:ascii="Arial" w:hAnsi="Arial" w:cs="Arial"/>
        </w:rPr>
        <w:t xml:space="preserve"> survival, or other clinical factors. </w:t>
      </w:r>
      <w:r w:rsidR="0060202A" w:rsidRPr="00177BFB">
        <w:rPr>
          <w:rFonts w:ascii="Arial" w:hAnsi="Arial" w:cs="Arial"/>
        </w:rPr>
        <w:t xml:space="preserve">On reflection of this study, some avenues for future research have been identified. </w:t>
      </w:r>
      <w:r w:rsidRPr="00177BFB">
        <w:rPr>
          <w:rFonts w:ascii="Arial" w:hAnsi="Arial" w:cs="Arial"/>
        </w:rPr>
        <w:t xml:space="preserve">Linking SCMD data </w:t>
      </w:r>
      <w:r w:rsidR="0060202A" w:rsidRPr="00177BFB">
        <w:rPr>
          <w:rFonts w:ascii="Arial" w:hAnsi="Arial" w:cs="Arial"/>
        </w:rPr>
        <w:t>to</w:t>
      </w:r>
      <w:r w:rsidRPr="00177BFB">
        <w:rPr>
          <w:rFonts w:ascii="Arial" w:hAnsi="Arial" w:cs="Arial"/>
        </w:rPr>
        <w:t xml:space="preserve"> patient-level clinical datasets</w:t>
      </w:r>
      <w:r w:rsidR="0060202A" w:rsidRPr="00177BFB">
        <w:rPr>
          <w:rFonts w:ascii="Arial" w:hAnsi="Arial" w:cs="Arial"/>
        </w:rPr>
        <w:t xml:space="preserve"> </w:t>
      </w:r>
      <w:r w:rsidRPr="00177BFB">
        <w:rPr>
          <w:rFonts w:ascii="Arial" w:hAnsi="Arial" w:cs="Arial"/>
        </w:rPr>
        <w:t>would allow for a more detailed assessment of prescribing practices, outcomes, and cost-effectiveness. Further work should also consider analysing full monthly or annual data to assess whether the patterns identified here</w:t>
      </w:r>
      <w:r w:rsidR="0060202A" w:rsidRPr="00177BFB">
        <w:rPr>
          <w:rFonts w:ascii="Arial" w:hAnsi="Arial" w:cs="Arial"/>
        </w:rPr>
        <w:t>in can be validated or improved upon</w:t>
      </w:r>
      <w:r w:rsidRPr="00177BFB">
        <w:rPr>
          <w:rFonts w:ascii="Arial" w:hAnsi="Arial" w:cs="Arial"/>
        </w:rPr>
        <w:t xml:space="preserve">. As more advanced therapies become available </w:t>
      </w:r>
      <w:r w:rsidR="0060202A" w:rsidRPr="00177BFB">
        <w:rPr>
          <w:rFonts w:ascii="Arial" w:hAnsi="Arial" w:cs="Arial"/>
        </w:rPr>
        <w:t xml:space="preserve">on the </w:t>
      </w:r>
      <w:r w:rsidRPr="00177BFB">
        <w:rPr>
          <w:rFonts w:ascii="Arial" w:hAnsi="Arial" w:cs="Arial"/>
        </w:rPr>
        <w:t xml:space="preserve">NHS, ongoing monitoring of secondary care spending </w:t>
      </w:r>
      <w:r w:rsidR="0060202A" w:rsidRPr="00177BFB">
        <w:rPr>
          <w:rFonts w:ascii="Arial" w:hAnsi="Arial" w:cs="Arial"/>
        </w:rPr>
        <w:t xml:space="preserve">activity </w:t>
      </w:r>
      <w:r w:rsidRPr="00177BFB">
        <w:rPr>
          <w:rFonts w:ascii="Arial" w:hAnsi="Arial" w:cs="Arial"/>
        </w:rPr>
        <w:t xml:space="preserve">will be </w:t>
      </w:r>
      <w:r w:rsidR="0060202A" w:rsidRPr="00177BFB">
        <w:rPr>
          <w:rFonts w:ascii="Arial" w:hAnsi="Arial" w:cs="Arial"/>
        </w:rPr>
        <w:t>critical</w:t>
      </w:r>
      <w:r w:rsidRPr="00177BFB">
        <w:rPr>
          <w:rFonts w:ascii="Arial" w:hAnsi="Arial" w:cs="Arial"/>
        </w:rPr>
        <w:t xml:space="preserve"> for supporting effective procurement and resource planning.</w:t>
      </w:r>
    </w:p>
    <w:p w14:paraId="6D862D37" w14:textId="77777777" w:rsidR="0060202A" w:rsidRPr="00177BFB" w:rsidRDefault="0060202A" w:rsidP="00F66B3A">
      <w:pPr>
        <w:spacing w:line="276" w:lineRule="auto"/>
        <w:jc w:val="both"/>
        <w:rPr>
          <w:rFonts w:ascii="Arial" w:hAnsi="Arial" w:cs="Arial"/>
        </w:rPr>
      </w:pPr>
    </w:p>
    <w:p w14:paraId="6EEBC585" w14:textId="29740976" w:rsidR="00143421" w:rsidRPr="00177BFB" w:rsidRDefault="0060202A" w:rsidP="00F66B3A">
      <w:pPr>
        <w:spacing w:line="276" w:lineRule="auto"/>
        <w:jc w:val="both"/>
        <w:rPr>
          <w:rFonts w:ascii="Arial" w:hAnsi="Arial" w:cs="Arial"/>
        </w:rPr>
      </w:pPr>
      <w:r w:rsidRPr="00177BFB">
        <w:rPr>
          <w:rFonts w:ascii="Arial" w:hAnsi="Arial" w:cs="Arial"/>
        </w:rPr>
        <w:t>Overall</w:t>
      </w:r>
      <w:r w:rsidR="00143421" w:rsidRPr="00177BFB">
        <w:rPr>
          <w:rFonts w:ascii="Arial" w:hAnsi="Arial" w:cs="Arial"/>
        </w:rPr>
        <w:t>, this study show</w:t>
      </w:r>
      <w:r w:rsidRPr="00177BFB">
        <w:rPr>
          <w:rFonts w:ascii="Arial" w:hAnsi="Arial" w:cs="Arial"/>
        </w:rPr>
        <w:t>ed</w:t>
      </w:r>
      <w:r w:rsidR="00143421" w:rsidRPr="00177BFB">
        <w:rPr>
          <w:rFonts w:ascii="Arial" w:hAnsi="Arial" w:cs="Arial"/>
        </w:rPr>
        <w:t xml:space="preserve"> that spending in NHS secondary care is </w:t>
      </w:r>
      <w:r w:rsidRPr="00177BFB">
        <w:rPr>
          <w:rFonts w:ascii="Arial" w:hAnsi="Arial" w:cs="Arial"/>
        </w:rPr>
        <w:t>being increasingly affected by</w:t>
      </w:r>
      <w:r w:rsidR="00143421" w:rsidRPr="00177BFB">
        <w:rPr>
          <w:rFonts w:ascii="Arial" w:hAnsi="Arial" w:cs="Arial"/>
        </w:rPr>
        <w:t xml:space="preserve"> </w:t>
      </w:r>
      <w:r w:rsidRPr="00177BFB">
        <w:rPr>
          <w:rFonts w:ascii="Arial" w:hAnsi="Arial" w:cs="Arial"/>
        </w:rPr>
        <w:t xml:space="preserve">a </w:t>
      </w:r>
      <w:r w:rsidR="00143421" w:rsidRPr="00177BFB">
        <w:rPr>
          <w:rFonts w:ascii="Arial" w:hAnsi="Arial" w:cs="Arial"/>
        </w:rPr>
        <w:t xml:space="preserve">limited group of innovative, high-cost medicines, rather than by the traditional model of high-volume, low-cost </w:t>
      </w:r>
      <w:r w:rsidRPr="00177BFB">
        <w:rPr>
          <w:rFonts w:ascii="Arial" w:hAnsi="Arial" w:cs="Arial"/>
        </w:rPr>
        <w:t>agents</w:t>
      </w:r>
      <w:r w:rsidR="00143421" w:rsidRPr="00177BFB">
        <w:rPr>
          <w:rFonts w:ascii="Arial" w:hAnsi="Arial" w:cs="Arial"/>
        </w:rPr>
        <w:t xml:space="preserve">. As financial pressures on the NHS </w:t>
      </w:r>
      <w:r w:rsidR="00B92D4C" w:rsidRPr="00177BFB">
        <w:rPr>
          <w:rFonts w:ascii="Arial" w:hAnsi="Arial" w:cs="Arial"/>
        </w:rPr>
        <w:t xml:space="preserve">continue to </w:t>
      </w:r>
      <w:r w:rsidR="00143421" w:rsidRPr="00177BFB">
        <w:rPr>
          <w:rFonts w:ascii="Arial" w:hAnsi="Arial" w:cs="Arial"/>
        </w:rPr>
        <w:t xml:space="preserve">grow, it will be </w:t>
      </w:r>
      <w:r w:rsidR="00B92D4C" w:rsidRPr="00177BFB">
        <w:rPr>
          <w:rFonts w:ascii="Arial" w:hAnsi="Arial" w:cs="Arial"/>
        </w:rPr>
        <w:t>imperative</w:t>
      </w:r>
      <w:r w:rsidR="00143421" w:rsidRPr="00177BFB">
        <w:rPr>
          <w:rFonts w:ascii="Arial" w:hAnsi="Arial" w:cs="Arial"/>
        </w:rPr>
        <w:t xml:space="preserve"> to track the changing expenditure patterns </w:t>
      </w:r>
      <w:r w:rsidR="00B92D4C" w:rsidRPr="00177BFB">
        <w:rPr>
          <w:rFonts w:ascii="Arial" w:hAnsi="Arial" w:cs="Arial"/>
        </w:rPr>
        <w:t xml:space="preserve">as </w:t>
      </w:r>
      <w:r w:rsidR="00143421" w:rsidRPr="00177BFB">
        <w:rPr>
          <w:rFonts w:ascii="Arial" w:hAnsi="Arial" w:cs="Arial"/>
        </w:rPr>
        <w:t xml:space="preserve">to inform evidence-based decision making, </w:t>
      </w:r>
      <w:r w:rsidR="00B92D4C" w:rsidRPr="00177BFB">
        <w:rPr>
          <w:rFonts w:ascii="Arial" w:hAnsi="Arial" w:cs="Arial"/>
        </w:rPr>
        <w:t xml:space="preserve">and to support </w:t>
      </w:r>
      <w:r w:rsidR="00143421" w:rsidRPr="00177BFB">
        <w:rPr>
          <w:rFonts w:ascii="Arial" w:hAnsi="Arial" w:cs="Arial"/>
        </w:rPr>
        <w:t xml:space="preserve">sustainable procurement, and </w:t>
      </w:r>
      <w:r w:rsidR="00B92D4C" w:rsidRPr="00177BFB">
        <w:rPr>
          <w:rFonts w:ascii="Arial" w:hAnsi="Arial" w:cs="Arial"/>
        </w:rPr>
        <w:t xml:space="preserve">equity of </w:t>
      </w:r>
      <w:r w:rsidR="00143421" w:rsidRPr="00177BFB">
        <w:rPr>
          <w:rFonts w:ascii="Arial" w:hAnsi="Arial" w:cs="Arial"/>
        </w:rPr>
        <w:t>access to effective treatments.</w:t>
      </w:r>
    </w:p>
    <w:bookmarkEnd w:id="1"/>
    <w:bookmarkEnd w:id="2"/>
    <w:p w14:paraId="690D9A9D" w14:textId="77777777" w:rsidR="006A450B" w:rsidRPr="00177BFB" w:rsidRDefault="006A450B" w:rsidP="00F66B3A">
      <w:pPr>
        <w:spacing w:line="276" w:lineRule="auto"/>
        <w:jc w:val="both"/>
        <w:rPr>
          <w:rFonts w:ascii="Arial" w:hAnsi="Arial" w:cs="Arial"/>
        </w:rPr>
      </w:pPr>
    </w:p>
    <w:p w14:paraId="50DD8032" w14:textId="77777777" w:rsidR="005368CF" w:rsidRPr="00177BFB" w:rsidRDefault="005368CF" w:rsidP="00893C40">
      <w:pPr>
        <w:spacing w:line="276" w:lineRule="auto"/>
        <w:jc w:val="both"/>
        <w:rPr>
          <w:rFonts w:ascii="Arial" w:hAnsi="Arial" w:cs="Arial"/>
        </w:rPr>
      </w:pPr>
    </w:p>
    <w:p w14:paraId="685C4905" w14:textId="77777777" w:rsidR="00893C40" w:rsidRDefault="00893C40" w:rsidP="00893C40">
      <w:pPr>
        <w:pStyle w:val="EndNoteBibliographyTitle"/>
        <w:jc w:val="both"/>
        <w:rPr>
          <w:rFonts w:ascii="Arial" w:eastAsiaTheme="majorEastAsia" w:hAnsi="Arial" w:cs="Arial"/>
        </w:rPr>
      </w:pPr>
    </w:p>
    <w:p w14:paraId="579373D5" w14:textId="77777777" w:rsidR="00210CC0" w:rsidRDefault="00210CC0" w:rsidP="00893C40">
      <w:pPr>
        <w:pStyle w:val="EndNoteBibliographyTitle"/>
        <w:jc w:val="both"/>
        <w:rPr>
          <w:rFonts w:ascii="Arial" w:eastAsiaTheme="majorEastAsia" w:hAnsi="Arial" w:cs="Arial"/>
        </w:rPr>
      </w:pPr>
    </w:p>
    <w:p w14:paraId="4ECF9C2D" w14:textId="77777777" w:rsidR="00210CC0" w:rsidRDefault="00210CC0" w:rsidP="00893C40">
      <w:pPr>
        <w:pStyle w:val="EndNoteBibliographyTitle"/>
        <w:jc w:val="both"/>
        <w:rPr>
          <w:rFonts w:ascii="Arial" w:eastAsiaTheme="majorEastAsia" w:hAnsi="Arial" w:cs="Arial"/>
        </w:rPr>
      </w:pPr>
    </w:p>
    <w:p w14:paraId="204FB56B" w14:textId="77777777" w:rsidR="0025627A" w:rsidRDefault="0025627A" w:rsidP="00893C40">
      <w:pPr>
        <w:pStyle w:val="EndNoteBibliographyTitle"/>
        <w:jc w:val="both"/>
        <w:rPr>
          <w:rFonts w:ascii="Arial" w:eastAsiaTheme="majorEastAsia" w:hAnsi="Arial" w:cs="Arial"/>
        </w:rPr>
      </w:pPr>
    </w:p>
    <w:p w14:paraId="2CEF9673" w14:textId="77777777" w:rsidR="0025627A" w:rsidRDefault="0025627A" w:rsidP="00893C40">
      <w:pPr>
        <w:pStyle w:val="EndNoteBibliographyTitle"/>
        <w:jc w:val="both"/>
        <w:rPr>
          <w:rFonts w:ascii="Arial" w:eastAsiaTheme="majorEastAsia" w:hAnsi="Arial" w:cs="Arial"/>
        </w:rPr>
      </w:pPr>
    </w:p>
    <w:p w14:paraId="67AD178D" w14:textId="77777777" w:rsidR="00210CC0" w:rsidRDefault="00210CC0" w:rsidP="00893C40">
      <w:pPr>
        <w:pStyle w:val="EndNoteBibliographyTitle"/>
        <w:jc w:val="both"/>
        <w:rPr>
          <w:rFonts w:ascii="Arial" w:eastAsiaTheme="majorEastAsia" w:hAnsi="Arial" w:cs="Arial"/>
        </w:rPr>
      </w:pPr>
    </w:p>
    <w:p w14:paraId="766D73E1" w14:textId="77777777" w:rsidR="00210CC0" w:rsidRDefault="00210CC0" w:rsidP="00893C40">
      <w:pPr>
        <w:pStyle w:val="EndNoteBibliographyTitle"/>
        <w:jc w:val="both"/>
        <w:rPr>
          <w:rFonts w:ascii="Arial" w:eastAsiaTheme="majorEastAsia" w:hAnsi="Arial" w:cs="Arial"/>
        </w:rPr>
      </w:pPr>
    </w:p>
    <w:p w14:paraId="60038203" w14:textId="77777777" w:rsidR="00210CC0" w:rsidRDefault="00210CC0" w:rsidP="00893C40">
      <w:pPr>
        <w:pStyle w:val="EndNoteBibliographyTitle"/>
        <w:jc w:val="both"/>
        <w:rPr>
          <w:rFonts w:ascii="Arial" w:eastAsiaTheme="majorEastAsia" w:hAnsi="Arial" w:cs="Arial"/>
        </w:rPr>
      </w:pPr>
    </w:p>
    <w:p w14:paraId="019F8FED" w14:textId="77777777" w:rsidR="00210CC0" w:rsidRDefault="00210CC0" w:rsidP="00893C40">
      <w:pPr>
        <w:pStyle w:val="EndNoteBibliographyTitle"/>
        <w:jc w:val="both"/>
        <w:rPr>
          <w:rFonts w:ascii="Arial" w:eastAsiaTheme="majorEastAsia" w:hAnsi="Arial" w:cs="Arial"/>
        </w:rPr>
      </w:pPr>
    </w:p>
    <w:p w14:paraId="7DF5DB63" w14:textId="77777777" w:rsidR="00893C40" w:rsidRPr="00177BFB" w:rsidRDefault="00893C40" w:rsidP="00893C40">
      <w:pPr>
        <w:pStyle w:val="EndNoteBibliographyTitle"/>
        <w:jc w:val="both"/>
        <w:rPr>
          <w:rFonts w:ascii="Arial" w:eastAsiaTheme="majorEastAsia" w:hAnsi="Arial" w:cs="Arial"/>
        </w:rPr>
      </w:pPr>
    </w:p>
    <w:p w14:paraId="47A8B2C3" w14:textId="376A240D" w:rsidR="00142008" w:rsidRPr="00177BFB" w:rsidRDefault="00DB015B" w:rsidP="00745FE4">
      <w:pPr>
        <w:pStyle w:val="Heading1"/>
        <w:rPr>
          <w:rFonts w:ascii="Arial" w:hAnsi="Arial" w:cs="Arial"/>
          <w:b/>
          <w:bCs/>
          <w:noProof/>
          <w:color w:val="auto"/>
          <w:sz w:val="24"/>
          <w:szCs w:val="24"/>
        </w:rPr>
      </w:pPr>
      <w:r w:rsidRPr="00177BFB">
        <w:rPr>
          <w:rFonts w:ascii="Arial" w:hAnsi="Arial" w:cs="Arial"/>
          <w:color w:val="auto"/>
          <w:sz w:val="24"/>
          <w:szCs w:val="24"/>
        </w:rPr>
        <w:lastRenderedPageBreak/>
        <w:fldChar w:fldCharType="begin"/>
      </w:r>
      <w:r w:rsidRPr="00177BFB">
        <w:rPr>
          <w:rFonts w:ascii="Arial" w:hAnsi="Arial" w:cs="Arial"/>
          <w:color w:val="auto"/>
          <w:sz w:val="24"/>
          <w:szCs w:val="24"/>
        </w:rPr>
        <w:instrText xml:space="preserve"> ADDIN EN.REFLIST </w:instrText>
      </w:r>
      <w:r w:rsidRPr="00177BFB">
        <w:rPr>
          <w:rFonts w:ascii="Arial" w:hAnsi="Arial" w:cs="Arial"/>
          <w:color w:val="auto"/>
          <w:sz w:val="24"/>
          <w:szCs w:val="24"/>
        </w:rPr>
        <w:fldChar w:fldCharType="separate"/>
      </w:r>
      <w:bookmarkStart w:id="23" w:name="_Toc240132672"/>
      <w:r w:rsidR="00142008" w:rsidRPr="00177BFB">
        <w:rPr>
          <w:rFonts w:ascii="Arial" w:hAnsi="Arial" w:cs="Arial"/>
          <w:b/>
          <w:bCs/>
          <w:noProof/>
          <w:color w:val="auto"/>
          <w:sz w:val="24"/>
          <w:szCs w:val="24"/>
        </w:rPr>
        <w:t>References</w:t>
      </w:r>
      <w:bookmarkEnd w:id="23"/>
    </w:p>
    <w:p w14:paraId="5474F6D5" w14:textId="77777777" w:rsidR="00142008" w:rsidRPr="00177BFB" w:rsidRDefault="00142008" w:rsidP="00745FE4">
      <w:pPr>
        <w:pStyle w:val="EndNoteBibliographyTitle"/>
        <w:jc w:val="both"/>
        <w:rPr>
          <w:rFonts w:ascii="Arial" w:hAnsi="Arial" w:cs="Arial"/>
          <w:noProof/>
          <w:u w:val="single"/>
        </w:rPr>
      </w:pPr>
    </w:p>
    <w:p w14:paraId="365F34EC" w14:textId="4B3215A4" w:rsidR="00AB2AE4" w:rsidRPr="00AB2AE4" w:rsidRDefault="00DB015B" w:rsidP="00AB2AE4">
      <w:pPr>
        <w:spacing w:line="276" w:lineRule="auto"/>
        <w:jc w:val="both"/>
        <w:rPr>
          <w:rFonts w:ascii="Arial" w:hAnsi="Arial" w:cs="Arial"/>
        </w:rPr>
      </w:pPr>
      <w:r w:rsidRPr="00177BFB">
        <w:rPr>
          <w:rFonts w:ascii="Arial" w:hAnsi="Arial" w:cs="Arial"/>
        </w:rPr>
        <w:fldChar w:fldCharType="end"/>
      </w:r>
      <w:r w:rsidR="00AB2AE4" w:rsidRPr="00AB2AE4">
        <w:t xml:space="preserve"> </w:t>
      </w:r>
      <w:proofErr w:type="spellStart"/>
      <w:proofErr w:type="gramStart"/>
      <w:r w:rsidR="00AB2AE4" w:rsidRPr="00AB2AE4">
        <w:rPr>
          <w:rFonts w:ascii="Arial" w:hAnsi="Arial" w:cs="Arial"/>
        </w:rPr>
        <w:t>Alghamdi</w:t>
      </w:r>
      <w:proofErr w:type="spellEnd"/>
      <w:r w:rsidR="00AB2AE4" w:rsidRPr="00AB2AE4">
        <w:rPr>
          <w:rFonts w:ascii="Arial" w:hAnsi="Arial" w:cs="Arial"/>
        </w:rPr>
        <w:t xml:space="preserve">, S. S. A., </w:t>
      </w:r>
      <w:proofErr w:type="spellStart"/>
      <w:r w:rsidR="00AB2AE4" w:rsidRPr="00AB2AE4">
        <w:rPr>
          <w:rFonts w:ascii="Arial" w:hAnsi="Arial" w:cs="Arial"/>
        </w:rPr>
        <w:t>Hodson</w:t>
      </w:r>
      <w:proofErr w:type="spellEnd"/>
      <w:r w:rsidR="00AB2AE4" w:rsidRPr="00AB2AE4">
        <w:rPr>
          <w:rFonts w:ascii="Arial" w:hAnsi="Arial" w:cs="Arial"/>
        </w:rPr>
        <w:t xml:space="preserve">, K., </w:t>
      </w:r>
      <w:proofErr w:type="spellStart"/>
      <w:r w:rsidR="00AB2AE4" w:rsidRPr="00AB2AE4">
        <w:rPr>
          <w:rFonts w:ascii="Arial" w:hAnsi="Arial" w:cs="Arial"/>
        </w:rPr>
        <w:t>Deslandes</w:t>
      </w:r>
      <w:proofErr w:type="spellEnd"/>
      <w:r w:rsidR="00AB2AE4" w:rsidRPr="00AB2AE4">
        <w:rPr>
          <w:rFonts w:ascii="Arial" w:hAnsi="Arial" w:cs="Arial"/>
        </w:rPr>
        <w:t xml:space="preserve">, P., Gillespie, D., Haines, K., Hulme, E., Courtenay, M., &amp; </w:t>
      </w:r>
      <w:proofErr w:type="spellStart"/>
      <w:r w:rsidR="00AB2AE4" w:rsidRPr="00AB2AE4">
        <w:rPr>
          <w:rFonts w:ascii="Arial" w:hAnsi="Arial" w:cs="Arial"/>
        </w:rPr>
        <w:t>Deslandes</w:t>
      </w:r>
      <w:proofErr w:type="spellEnd"/>
      <w:r w:rsidR="00AB2AE4" w:rsidRPr="00AB2AE4">
        <w:rPr>
          <w:rFonts w:ascii="Arial" w:hAnsi="Arial" w:cs="Arial"/>
        </w:rPr>
        <w:t>, R. (2020).</w:t>
      </w:r>
      <w:proofErr w:type="gramEnd"/>
      <w:r w:rsidR="00AB2AE4" w:rsidRPr="00AB2AE4">
        <w:rPr>
          <w:rFonts w:ascii="Arial" w:hAnsi="Arial" w:cs="Arial"/>
        </w:rPr>
        <w:t xml:space="preserve"> </w:t>
      </w:r>
      <w:proofErr w:type="gramStart"/>
      <w:r w:rsidR="00AB2AE4" w:rsidRPr="00AB2AE4">
        <w:rPr>
          <w:rFonts w:ascii="Arial" w:hAnsi="Arial" w:cs="Arial"/>
        </w:rPr>
        <w:t>Prescribing trends over time by non-medical independent prescribers in primary care settings across Wales (2011–2018): a secondary database analysis.</w:t>
      </w:r>
      <w:proofErr w:type="gramEnd"/>
      <w:r w:rsidR="00AB2AE4" w:rsidRPr="00AB2AE4">
        <w:rPr>
          <w:rFonts w:ascii="Arial" w:hAnsi="Arial" w:cs="Arial"/>
        </w:rPr>
        <w:t xml:space="preserve"> </w:t>
      </w:r>
      <w:r w:rsidR="00AB2AE4" w:rsidRPr="007814E2">
        <w:rPr>
          <w:rFonts w:ascii="Arial" w:hAnsi="Arial" w:cs="Arial"/>
          <w:i/>
        </w:rPr>
        <w:t>BMJ Open, 10</w:t>
      </w:r>
      <w:r w:rsidR="00AB2AE4" w:rsidRPr="00AB2AE4">
        <w:rPr>
          <w:rFonts w:ascii="Arial" w:hAnsi="Arial" w:cs="Arial"/>
        </w:rPr>
        <w:t xml:space="preserve">(10), 1-9. https://doi.org/10.1136/bmjopen-2019-036379 </w:t>
      </w:r>
    </w:p>
    <w:p w14:paraId="7D7E016C" w14:textId="77777777" w:rsidR="00AB2AE4" w:rsidRPr="00AB2AE4" w:rsidRDefault="00AB2AE4" w:rsidP="00AB2AE4">
      <w:pPr>
        <w:spacing w:line="276" w:lineRule="auto"/>
        <w:jc w:val="both"/>
        <w:rPr>
          <w:rFonts w:ascii="Arial" w:hAnsi="Arial" w:cs="Arial"/>
        </w:rPr>
      </w:pPr>
    </w:p>
    <w:p w14:paraId="66097535"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Anderson, H. (2026). </w:t>
      </w:r>
      <w:proofErr w:type="gramStart"/>
      <w:r w:rsidRPr="007814E2">
        <w:rPr>
          <w:rFonts w:ascii="Arial" w:hAnsi="Arial" w:cs="Arial"/>
          <w:i/>
        </w:rPr>
        <w:t>Solving the £20bn productivity puzzle</w:t>
      </w:r>
      <w:r w:rsidRPr="00AB2AE4">
        <w:rPr>
          <w:rFonts w:ascii="Arial" w:hAnsi="Arial" w:cs="Arial"/>
        </w:rPr>
        <w:t>.</w:t>
      </w:r>
      <w:proofErr w:type="gramEnd"/>
      <w:r w:rsidRPr="00AB2AE4">
        <w:rPr>
          <w:rFonts w:ascii="Arial" w:hAnsi="Arial" w:cs="Arial"/>
        </w:rPr>
        <w:t xml:space="preserve"> Retrieved 10/06/2026 from https://www.hsj.co.uk/hsj-health-check-podcast/hsj-podcast-solving-the-20bn-productivity-puzzle/8123769.article</w:t>
      </w:r>
    </w:p>
    <w:p w14:paraId="13E25E87" w14:textId="77777777" w:rsidR="00AB2AE4" w:rsidRPr="00AB2AE4" w:rsidRDefault="00AB2AE4" w:rsidP="00AB2AE4">
      <w:pPr>
        <w:spacing w:line="276" w:lineRule="auto"/>
        <w:jc w:val="both"/>
        <w:rPr>
          <w:rFonts w:ascii="Arial" w:hAnsi="Arial" w:cs="Arial"/>
        </w:rPr>
      </w:pPr>
    </w:p>
    <w:p w14:paraId="6E512693"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Bacon, S., &amp; </w:t>
      </w:r>
      <w:proofErr w:type="spellStart"/>
      <w:r w:rsidRPr="00AB2AE4">
        <w:rPr>
          <w:rFonts w:ascii="Arial" w:hAnsi="Arial" w:cs="Arial"/>
        </w:rPr>
        <w:t>Goldacre</w:t>
      </w:r>
      <w:proofErr w:type="spellEnd"/>
      <w:r w:rsidRPr="00AB2AE4">
        <w:rPr>
          <w:rFonts w:ascii="Arial" w:hAnsi="Arial" w:cs="Arial"/>
        </w:rPr>
        <w:t>, B. (2020).</w:t>
      </w:r>
      <w:proofErr w:type="gramEnd"/>
      <w:r w:rsidRPr="00AB2AE4">
        <w:rPr>
          <w:rFonts w:ascii="Arial" w:hAnsi="Arial" w:cs="Arial"/>
        </w:rPr>
        <w:t xml:space="preserve"> Barriers to Working </w:t>
      </w:r>
      <w:proofErr w:type="gramStart"/>
      <w:r w:rsidRPr="00AB2AE4">
        <w:rPr>
          <w:rFonts w:ascii="Arial" w:hAnsi="Arial" w:cs="Arial"/>
        </w:rPr>
        <w:t>With</w:t>
      </w:r>
      <w:proofErr w:type="gramEnd"/>
      <w:r w:rsidRPr="00AB2AE4">
        <w:rPr>
          <w:rFonts w:ascii="Arial" w:hAnsi="Arial" w:cs="Arial"/>
        </w:rPr>
        <w:t xml:space="preserve"> National Health Service England's Open Data. </w:t>
      </w:r>
      <w:r w:rsidRPr="007814E2">
        <w:rPr>
          <w:rFonts w:ascii="Arial" w:hAnsi="Arial" w:cs="Arial"/>
          <w:i/>
        </w:rPr>
        <w:t>J Med Internet Res, 22</w:t>
      </w:r>
      <w:r w:rsidRPr="00AB2AE4">
        <w:rPr>
          <w:rFonts w:ascii="Arial" w:hAnsi="Arial" w:cs="Arial"/>
        </w:rPr>
        <w:t xml:space="preserve">(1), 1-8. https://doi.org/10.2196/15603 </w:t>
      </w:r>
    </w:p>
    <w:p w14:paraId="3A41C4D2" w14:textId="77777777" w:rsidR="00AB2AE4" w:rsidRPr="00AB2AE4" w:rsidRDefault="00AB2AE4" w:rsidP="00AB2AE4">
      <w:pPr>
        <w:spacing w:line="276" w:lineRule="auto"/>
        <w:jc w:val="both"/>
        <w:rPr>
          <w:rFonts w:ascii="Arial" w:hAnsi="Arial" w:cs="Arial"/>
        </w:rPr>
      </w:pPr>
    </w:p>
    <w:p w14:paraId="08288A07"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Bhatia, M., </w:t>
      </w:r>
      <w:proofErr w:type="spellStart"/>
      <w:r w:rsidRPr="00AB2AE4">
        <w:rPr>
          <w:rFonts w:ascii="Arial" w:hAnsi="Arial" w:cs="Arial"/>
        </w:rPr>
        <w:t>Frangoul</w:t>
      </w:r>
      <w:proofErr w:type="spellEnd"/>
      <w:r w:rsidRPr="00AB2AE4">
        <w:rPr>
          <w:rFonts w:ascii="Arial" w:hAnsi="Arial" w:cs="Arial"/>
        </w:rPr>
        <w:t xml:space="preserve">, H., </w:t>
      </w:r>
      <w:proofErr w:type="spellStart"/>
      <w:r w:rsidRPr="00AB2AE4">
        <w:rPr>
          <w:rFonts w:ascii="Arial" w:hAnsi="Arial" w:cs="Arial"/>
        </w:rPr>
        <w:t>Locatelli</w:t>
      </w:r>
      <w:proofErr w:type="spellEnd"/>
      <w:r w:rsidRPr="00AB2AE4">
        <w:rPr>
          <w:rFonts w:ascii="Arial" w:hAnsi="Arial" w:cs="Arial"/>
        </w:rPr>
        <w:t xml:space="preserve">, F., Lang, P., Sharma, A., </w:t>
      </w:r>
      <w:proofErr w:type="spellStart"/>
      <w:r w:rsidRPr="00AB2AE4">
        <w:rPr>
          <w:rFonts w:ascii="Arial" w:hAnsi="Arial" w:cs="Arial"/>
        </w:rPr>
        <w:t>Meisel</w:t>
      </w:r>
      <w:proofErr w:type="spellEnd"/>
      <w:r w:rsidRPr="00AB2AE4">
        <w:rPr>
          <w:rFonts w:ascii="Arial" w:hAnsi="Arial" w:cs="Arial"/>
        </w:rPr>
        <w:t xml:space="preserve">, R., </w:t>
      </w:r>
      <w:proofErr w:type="spellStart"/>
      <w:r w:rsidRPr="00AB2AE4">
        <w:rPr>
          <w:rFonts w:ascii="Arial" w:hAnsi="Arial" w:cs="Arial"/>
        </w:rPr>
        <w:t>Corbacioglu</w:t>
      </w:r>
      <w:proofErr w:type="spellEnd"/>
      <w:r w:rsidRPr="00AB2AE4">
        <w:rPr>
          <w:rFonts w:ascii="Arial" w:hAnsi="Arial" w:cs="Arial"/>
        </w:rPr>
        <w:t xml:space="preserve">, S., de la </w:t>
      </w:r>
      <w:proofErr w:type="spellStart"/>
      <w:r w:rsidRPr="00AB2AE4">
        <w:rPr>
          <w:rFonts w:ascii="Arial" w:hAnsi="Arial" w:cs="Arial"/>
        </w:rPr>
        <w:t>Fuente</w:t>
      </w:r>
      <w:proofErr w:type="spellEnd"/>
      <w:r w:rsidRPr="00AB2AE4">
        <w:rPr>
          <w:rFonts w:ascii="Arial" w:hAnsi="Arial" w:cs="Arial"/>
        </w:rPr>
        <w:t xml:space="preserve">, J., </w:t>
      </w:r>
      <w:proofErr w:type="spellStart"/>
      <w:r w:rsidRPr="00AB2AE4">
        <w:rPr>
          <w:rFonts w:ascii="Arial" w:hAnsi="Arial" w:cs="Arial"/>
        </w:rPr>
        <w:t>Mapara</w:t>
      </w:r>
      <w:proofErr w:type="spellEnd"/>
      <w:r w:rsidRPr="00AB2AE4">
        <w:rPr>
          <w:rFonts w:ascii="Arial" w:hAnsi="Arial" w:cs="Arial"/>
        </w:rPr>
        <w:t xml:space="preserve">, M. Y., Molinari, L., </w:t>
      </w:r>
      <w:proofErr w:type="spellStart"/>
      <w:r w:rsidRPr="00AB2AE4">
        <w:rPr>
          <w:rFonts w:ascii="Arial" w:hAnsi="Arial" w:cs="Arial"/>
        </w:rPr>
        <w:t>Liem</w:t>
      </w:r>
      <w:proofErr w:type="spellEnd"/>
      <w:r w:rsidRPr="00AB2AE4">
        <w:rPr>
          <w:rFonts w:ascii="Arial" w:hAnsi="Arial" w:cs="Arial"/>
        </w:rPr>
        <w:t xml:space="preserve">, R., </w:t>
      </w:r>
      <w:proofErr w:type="spellStart"/>
      <w:r w:rsidRPr="00AB2AE4">
        <w:rPr>
          <w:rFonts w:ascii="Arial" w:hAnsi="Arial" w:cs="Arial"/>
        </w:rPr>
        <w:t>Dedeken</w:t>
      </w:r>
      <w:proofErr w:type="spellEnd"/>
      <w:r w:rsidRPr="00AB2AE4">
        <w:rPr>
          <w:rFonts w:ascii="Arial" w:hAnsi="Arial" w:cs="Arial"/>
        </w:rPr>
        <w:t xml:space="preserve">, L., Li, A., Shah, A. J., </w:t>
      </w:r>
      <w:proofErr w:type="spellStart"/>
      <w:r w:rsidRPr="00AB2AE4">
        <w:rPr>
          <w:rFonts w:ascii="Arial" w:hAnsi="Arial" w:cs="Arial"/>
        </w:rPr>
        <w:t>Algeri</w:t>
      </w:r>
      <w:proofErr w:type="spellEnd"/>
      <w:r w:rsidRPr="00AB2AE4">
        <w:rPr>
          <w:rFonts w:ascii="Arial" w:hAnsi="Arial" w:cs="Arial"/>
        </w:rPr>
        <w:t xml:space="preserve">, M., Carpenter, B., Kwiatkowski, J. L., </w:t>
      </w:r>
      <w:proofErr w:type="spellStart"/>
      <w:r w:rsidRPr="00AB2AE4">
        <w:rPr>
          <w:rFonts w:ascii="Arial" w:hAnsi="Arial" w:cs="Arial"/>
        </w:rPr>
        <w:t>Rupprecht</w:t>
      </w:r>
      <w:proofErr w:type="spellEnd"/>
      <w:r w:rsidRPr="00AB2AE4">
        <w:rPr>
          <w:rFonts w:ascii="Arial" w:hAnsi="Arial" w:cs="Arial"/>
        </w:rPr>
        <w:t xml:space="preserve">, J., </w:t>
      </w:r>
      <w:proofErr w:type="spellStart"/>
      <w:r w:rsidRPr="00AB2AE4">
        <w:rPr>
          <w:rFonts w:ascii="Arial" w:hAnsi="Arial" w:cs="Arial"/>
        </w:rPr>
        <w:t>Merkeley</w:t>
      </w:r>
      <w:proofErr w:type="spellEnd"/>
      <w:r w:rsidRPr="00AB2AE4">
        <w:rPr>
          <w:rFonts w:ascii="Arial" w:hAnsi="Arial" w:cs="Arial"/>
        </w:rPr>
        <w:t xml:space="preserve">, H., </w:t>
      </w:r>
      <w:proofErr w:type="spellStart"/>
      <w:r w:rsidRPr="00AB2AE4">
        <w:rPr>
          <w:rFonts w:ascii="Arial" w:hAnsi="Arial" w:cs="Arial"/>
        </w:rPr>
        <w:t>Kuo</w:t>
      </w:r>
      <w:proofErr w:type="spellEnd"/>
      <w:r w:rsidRPr="00AB2AE4">
        <w:rPr>
          <w:rFonts w:ascii="Arial" w:hAnsi="Arial" w:cs="Arial"/>
        </w:rPr>
        <w:t xml:space="preserve">, K. H. M., </w:t>
      </w:r>
      <w:proofErr w:type="spellStart"/>
      <w:r w:rsidRPr="00AB2AE4">
        <w:rPr>
          <w:rFonts w:ascii="Arial" w:hAnsi="Arial" w:cs="Arial"/>
        </w:rPr>
        <w:t>Boerner</w:t>
      </w:r>
      <w:proofErr w:type="spellEnd"/>
      <w:r w:rsidRPr="00AB2AE4">
        <w:rPr>
          <w:rFonts w:ascii="Arial" w:hAnsi="Arial" w:cs="Arial"/>
        </w:rPr>
        <w:t xml:space="preserve">, K., Liu, T., </w:t>
      </w:r>
      <w:proofErr w:type="spellStart"/>
      <w:r w:rsidRPr="00AB2AE4">
        <w:rPr>
          <w:rFonts w:ascii="Arial" w:hAnsi="Arial" w:cs="Arial"/>
        </w:rPr>
        <w:t>Zairis</w:t>
      </w:r>
      <w:proofErr w:type="spellEnd"/>
      <w:r w:rsidRPr="00AB2AE4">
        <w:rPr>
          <w:rFonts w:ascii="Arial" w:hAnsi="Arial" w:cs="Arial"/>
        </w:rPr>
        <w:t xml:space="preserve">, S., Hobbs, W., &amp; </w:t>
      </w:r>
      <w:proofErr w:type="spellStart"/>
      <w:r w:rsidRPr="00AB2AE4">
        <w:rPr>
          <w:rFonts w:ascii="Arial" w:hAnsi="Arial" w:cs="Arial"/>
        </w:rPr>
        <w:t>Grupp</w:t>
      </w:r>
      <w:proofErr w:type="spellEnd"/>
      <w:r w:rsidRPr="00AB2AE4">
        <w:rPr>
          <w:rFonts w:ascii="Arial" w:hAnsi="Arial" w:cs="Arial"/>
        </w:rPr>
        <w:t xml:space="preserve">, S. A. (2026). </w:t>
      </w:r>
      <w:proofErr w:type="gramStart"/>
      <w:r w:rsidRPr="00AB2AE4">
        <w:rPr>
          <w:rFonts w:ascii="Arial" w:hAnsi="Arial" w:cs="Arial"/>
        </w:rPr>
        <w:t xml:space="preserve">Durable Clinical Benefits with </w:t>
      </w:r>
      <w:proofErr w:type="spellStart"/>
      <w:r w:rsidRPr="00AB2AE4">
        <w:rPr>
          <w:rFonts w:ascii="Arial" w:hAnsi="Arial" w:cs="Arial"/>
        </w:rPr>
        <w:t>Exagamglogene</w:t>
      </w:r>
      <w:proofErr w:type="spellEnd"/>
      <w:r w:rsidRPr="00AB2AE4">
        <w:rPr>
          <w:rFonts w:ascii="Arial" w:hAnsi="Arial" w:cs="Arial"/>
        </w:rPr>
        <w:t xml:space="preserve"> </w:t>
      </w:r>
      <w:proofErr w:type="spellStart"/>
      <w:r w:rsidRPr="00AB2AE4">
        <w:rPr>
          <w:rFonts w:ascii="Arial" w:hAnsi="Arial" w:cs="Arial"/>
        </w:rPr>
        <w:t>Autotemcel</w:t>
      </w:r>
      <w:proofErr w:type="spellEnd"/>
      <w:r w:rsidRPr="00AB2AE4">
        <w:rPr>
          <w:rFonts w:ascii="Arial" w:hAnsi="Arial" w:cs="Arial"/>
        </w:rPr>
        <w:t xml:space="preserve"> for over 5 Years of Follow-up in Transfusion-Dependent Thalassemia and Sickle Cell Disease with Recurrent </w:t>
      </w:r>
      <w:proofErr w:type="spellStart"/>
      <w:r w:rsidRPr="00AB2AE4">
        <w:rPr>
          <w:rFonts w:ascii="Arial" w:hAnsi="Arial" w:cs="Arial"/>
        </w:rPr>
        <w:t>Vaso</w:t>
      </w:r>
      <w:proofErr w:type="spellEnd"/>
      <w:r w:rsidRPr="00AB2AE4">
        <w:rPr>
          <w:rFonts w:ascii="Arial" w:hAnsi="Arial" w:cs="Arial"/>
        </w:rPr>
        <w:t>-Occlusive Crises.</w:t>
      </w:r>
      <w:proofErr w:type="gramEnd"/>
      <w:r w:rsidRPr="00AB2AE4">
        <w:rPr>
          <w:rFonts w:ascii="Arial" w:hAnsi="Arial" w:cs="Arial"/>
        </w:rPr>
        <w:t xml:space="preserve"> Transplantation and Cellular Therapy, Official Publication of the </w:t>
      </w:r>
      <w:r w:rsidRPr="007814E2">
        <w:rPr>
          <w:rFonts w:ascii="Arial" w:hAnsi="Arial" w:cs="Arial"/>
          <w:i/>
        </w:rPr>
        <w:t>American Society for Transplantation and Cellular Therapy, 32</w:t>
      </w:r>
      <w:r w:rsidRPr="00AB2AE4">
        <w:rPr>
          <w:rFonts w:ascii="Arial" w:hAnsi="Arial" w:cs="Arial"/>
        </w:rPr>
        <w:t xml:space="preserve">(2), 2-13. https://doi.org/10.1016/j.jtct.2025.12.016 </w:t>
      </w:r>
    </w:p>
    <w:p w14:paraId="1643EAF0" w14:textId="77777777" w:rsidR="00AB2AE4" w:rsidRPr="00AB2AE4" w:rsidRDefault="00AB2AE4" w:rsidP="00AB2AE4">
      <w:pPr>
        <w:spacing w:line="276" w:lineRule="auto"/>
        <w:jc w:val="both"/>
        <w:rPr>
          <w:rFonts w:ascii="Arial" w:hAnsi="Arial" w:cs="Arial"/>
        </w:rPr>
      </w:pPr>
    </w:p>
    <w:p w14:paraId="4698BC19"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Bland, M. (2015).</w:t>
      </w:r>
      <w:proofErr w:type="gramEnd"/>
      <w:r w:rsidRPr="00AB2AE4">
        <w:rPr>
          <w:rFonts w:ascii="Arial" w:hAnsi="Arial" w:cs="Arial"/>
        </w:rPr>
        <w:t xml:space="preserve"> </w:t>
      </w:r>
      <w:r w:rsidRPr="007814E2">
        <w:rPr>
          <w:rFonts w:ascii="Arial" w:hAnsi="Arial" w:cs="Arial"/>
          <w:i/>
        </w:rPr>
        <w:t>An Introduction to Medical Statistics</w:t>
      </w:r>
      <w:r w:rsidRPr="00AB2AE4">
        <w:rPr>
          <w:rFonts w:ascii="Arial" w:hAnsi="Arial" w:cs="Arial"/>
        </w:rPr>
        <w:t xml:space="preserve"> (4th </w:t>
      </w:r>
      <w:proofErr w:type="gramStart"/>
      <w:r w:rsidRPr="00AB2AE4">
        <w:rPr>
          <w:rFonts w:ascii="Arial" w:hAnsi="Arial" w:cs="Arial"/>
        </w:rPr>
        <w:t>ed</w:t>
      </w:r>
      <w:proofErr w:type="gramEnd"/>
      <w:r w:rsidRPr="00AB2AE4">
        <w:rPr>
          <w:rFonts w:ascii="Arial" w:hAnsi="Arial" w:cs="Arial"/>
        </w:rPr>
        <w:t xml:space="preserve">.). </w:t>
      </w:r>
      <w:proofErr w:type="gramStart"/>
      <w:r w:rsidRPr="00AB2AE4">
        <w:rPr>
          <w:rFonts w:ascii="Arial" w:hAnsi="Arial" w:cs="Arial"/>
        </w:rPr>
        <w:t>Oxford University Press.</w:t>
      </w:r>
      <w:proofErr w:type="gramEnd"/>
      <w:r w:rsidRPr="00AB2AE4">
        <w:rPr>
          <w:rFonts w:ascii="Arial" w:hAnsi="Arial" w:cs="Arial"/>
        </w:rPr>
        <w:t xml:space="preserve"> </w:t>
      </w:r>
    </w:p>
    <w:p w14:paraId="6C74ECC9" w14:textId="77777777" w:rsidR="00AB2AE4" w:rsidRPr="00AB2AE4" w:rsidRDefault="00AB2AE4" w:rsidP="00AB2AE4">
      <w:pPr>
        <w:spacing w:line="276" w:lineRule="auto"/>
        <w:jc w:val="both"/>
        <w:rPr>
          <w:rFonts w:ascii="Arial" w:hAnsi="Arial" w:cs="Arial"/>
        </w:rPr>
      </w:pPr>
    </w:p>
    <w:p w14:paraId="5CACD5D3"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BNF.</w:t>
      </w:r>
      <w:proofErr w:type="gramEnd"/>
      <w:r w:rsidRPr="00AB2AE4">
        <w:rPr>
          <w:rFonts w:ascii="Arial" w:hAnsi="Arial" w:cs="Arial"/>
        </w:rPr>
        <w:t xml:space="preserve"> (2026). </w:t>
      </w:r>
      <w:proofErr w:type="spellStart"/>
      <w:r w:rsidRPr="007814E2">
        <w:rPr>
          <w:rFonts w:ascii="Arial" w:hAnsi="Arial" w:cs="Arial"/>
          <w:i/>
        </w:rPr>
        <w:t>Paracetamol</w:t>
      </w:r>
      <w:proofErr w:type="spellEnd"/>
      <w:r w:rsidRPr="007814E2">
        <w:rPr>
          <w:rFonts w:ascii="Arial" w:hAnsi="Arial" w:cs="Arial"/>
          <w:i/>
        </w:rPr>
        <w:t>: Medicinal forms</w:t>
      </w:r>
      <w:r w:rsidRPr="00AB2AE4">
        <w:rPr>
          <w:rFonts w:ascii="Arial" w:hAnsi="Arial" w:cs="Arial"/>
        </w:rPr>
        <w:t>. Retrieved 10/06/2026 from https://bnf.nice.org.uk/drugs/paracetamol/medicinal-forms/</w:t>
      </w:r>
    </w:p>
    <w:p w14:paraId="6D93F4C3" w14:textId="77777777" w:rsidR="00AB2AE4" w:rsidRPr="00AB2AE4" w:rsidRDefault="00AB2AE4" w:rsidP="00AB2AE4">
      <w:pPr>
        <w:spacing w:line="276" w:lineRule="auto"/>
        <w:jc w:val="both"/>
        <w:rPr>
          <w:rFonts w:ascii="Arial" w:hAnsi="Arial" w:cs="Arial"/>
        </w:rPr>
      </w:pPr>
    </w:p>
    <w:p w14:paraId="6021D95E"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Camargo, J. T., </w:t>
      </w:r>
      <w:proofErr w:type="spellStart"/>
      <w:r w:rsidRPr="00AB2AE4">
        <w:rPr>
          <w:rFonts w:ascii="Arial" w:hAnsi="Arial" w:cs="Arial"/>
        </w:rPr>
        <w:t>Machuca</w:t>
      </w:r>
      <w:proofErr w:type="spellEnd"/>
      <w:r w:rsidRPr="00AB2AE4">
        <w:rPr>
          <w:rFonts w:ascii="Arial" w:hAnsi="Arial" w:cs="Arial"/>
        </w:rPr>
        <w:t xml:space="preserve">, J. O., </w:t>
      </w:r>
      <w:proofErr w:type="spellStart"/>
      <w:r w:rsidRPr="00AB2AE4">
        <w:rPr>
          <w:rFonts w:ascii="Arial" w:hAnsi="Arial" w:cs="Arial"/>
        </w:rPr>
        <w:t>Hinerman</w:t>
      </w:r>
      <w:proofErr w:type="spellEnd"/>
      <w:r w:rsidRPr="00AB2AE4">
        <w:rPr>
          <w:rFonts w:ascii="Arial" w:hAnsi="Arial" w:cs="Arial"/>
        </w:rPr>
        <w:t xml:space="preserve">, A. S., Rodriquez, E. J., Alvarez, C. S., </w:t>
      </w:r>
      <w:proofErr w:type="spellStart"/>
      <w:r w:rsidRPr="00AB2AE4">
        <w:rPr>
          <w:rFonts w:ascii="Arial" w:hAnsi="Arial" w:cs="Arial"/>
        </w:rPr>
        <w:t>Mensah</w:t>
      </w:r>
      <w:proofErr w:type="spellEnd"/>
      <w:r w:rsidRPr="00AB2AE4">
        <w:rPr>
          <w:rFonts w:ascii="Arial" w:hAnsi="Arial" w:cs="Arial"/>
        </w:rPr>
        <w:t xml:space="preserve">, G. A., George, S. M., </w:t>
      </w:r>
      <w:proofErr w:type="spellStart"/>
      <w:r w:rsidRPr="00AB2AE4">
        <w:rPr>
          <w:rFonts w:ascii="Arial" w:hAnsi="Arial" w:cs="Arial"/>
        </w:rPr>
        <w:t>Bandiera</w:t>
      </w:r>
      <w:proofErr w:type="spellEnd"/>
      <w:r w:rsidRPr="00AB2AE4">
        <w:rPr>
          <w:rFonts w:ascii="Arial" w:hAnsi="Arial" w:cs="Arial"/>
        </w:rPr>
        <w:t xml:space="preserve">, F., Li, Z., </w:t>
      </w:r>
      <w:proofErr w:type="spellStart"/>
      <w:r w:rsidRPr="00AB2AE4">
        <w:rPr>
          <w:rFonts w:ascii="Arial" w:hAnsi="Arial" w:cs="Arial"/>
        </w:rPr>
        <w:t>Sylte</w:t>
      </w:r>
      <w:proofErr w:type="spellEnd"/>
      <w:r w:rsidRPr="00AB2AE4">
        <w:rPr>
          <w:rFonts w:ascii="Arial" w:hAnsi="Arial" w:cs="Arial"/>
        </w:rPr>
        <w:t xml:space="preserve">, D. O., Kelly, Y. O., McHugh, T. A., Baumann, M. M., </w:t>
      </w:r>
      <w:proofErr w:type="spellStart"/>
      <w:r w:rsidRPr="00AB2AE4">
        <w:rPr>
          <w:rFonts w:ascii="Arial" w:hAnsi="Arial" w:cs="Arial"/>
        </w:rPr>
        <w:t>Celone</w:t>
      </w:r>
      <w:proofErr w:type="spellEnd"/>
      <w:r w:rsidRPr="00AB2AE4">
        <w:rPr>
          <w:rFonts w:ascii="Arial" w:hAnsi="Arial" w:cs="Arial"/>
        </w:rPr>
        <w:t xml:space="preserve">, M., Haile, D., La </w:t>
      </w:r>
      <w:proofErr w:type="spellStart"/>
      <w:r w:rsidRPr="00AB2AE4">
        <w:rPr>
          <w:rFonts w:ascii="Arial" w:hAnsi="Arial" w:cs="Arial"/>
        </w:rPr>
        <w:t>Motte</w:t>
      </w:r>
      <w:proofErr w:type="spellEnd"/>
      <w:r w:rsidRPr="00AB2AE4">
        <w:rPr>
          <w:rFonts w:ascii="Arial" w:hAnsi="Arial" w:cs="Arial"/>
        </w:rPr>
        <w:t xml:space="preserve">-Kerr, W., Murray, C. J. L., Dwyer-Lindgren, L., </w:t>
      </w:r>
      <w:proofErr w:type="spellStart"/>
      <w:r w:rsidRPr="00AB2AE4">
        <w:rPr>
          <w:rFonts w:ascii="Arial" w:hAnsi="Arial" w:cs="Arial"/>
        </w:rPr>
        <w:t>Mokdad</w:t>
      </w:r>
      <w:proofErr w:type="spellEnd"/>
      <w:r w:rsidRPr="00AB2AE4">
        <w:rPr>
          <w:rFonts w:ascii="Arial" w:hAnsi="Arial" w:cs="Arial"/>
        </w:rPr>
        <w:t xml:space="preserve">, A. H., &amp; Pérez-Stable, E. J. (2025). Malnutrition Mortality </w:t>
      </w:r>
      <w:proofErr w:type="gramStart"/>
      <w:r w:rsidRPr="00AB2AE4">
        <w:rPr>
          <w:rFonts w:ascii="Arial" w:hAnsi="Arial" w:cs="Arial"/>
        </w:rPr>
        <w:t>Among</w:t>
      </w:r>
      <w:proofErr w:type="gramEnd"/>
      <w:r w:rsidRPr="00AB2AE4">
        <w:rPr>
          <w:rFonts w:ascii="Arial" w:hAnsi="Arial" w:cs="Arial"/>
        </w:rPr>
        <w:t xml:space="preserve"> Older Adults by County and Race and/or Ethnicity in the United States, 2000-2019. </w:t>
      </w:r>
      <w:r w:rsidRPr="007814E2">
        <w:rPr>
          <w:rFonts w:ascii="Arial" w:hAnsi="Arial" w:cs="Arial"/>
          <w:i/>
        </w:rPr>
        <w:t xml:space="preserve">J Am </w:t>
      </w:r>
      <w:proofErr w:type="spellStart"/>
      <w:r w:rsidRPr="007814E2">
        <w:rPr>
          <w:rFonts w:ascii="Arial" w:hAnsi="Arial" w:cs="Arial"/>
          <w:i/>
        </w:rPr>
        <w:t>Geriatr</w:t>
      </w:r>
      <w:proofErr w:type="spellEnd"/>
      <w:r w:rsidRPr="007814E2">
        <w:rPr>
          <w:rFonts w:ascii="Arial" w:hAnsi="Arial" w:cs="Arial"/>
          <w:i/>
        </w:rPr>
        <w:t xml:space="preserve"> </w:t>
      </w:r>
      <w:proofErr w:type="spellStart"/>
      <w:r w:rsidRPr="007814E2">
        <w:rPr>
          <w:rFonts w:ascii="Arial" w:hAnsi="Arial" w:cs="Arial"/>
          <w:i/>
        </w:rPr>
        <w:t>Soc</w:t>
      </w:r>
      <w:proofErr w:type="spellEnd"/>
      <w:r w:rsidRPr="007814E2">
        <w:rPr>
          <w:rFonts w:ascii="Arial" w:hAnsi="Arial" w:cs="Arial"/>
          <w:i/>
        </w:rPr>
        <w:t>, 73</w:t>
      </w:r>
      <w:r w:rsidRPr="00AB2AE4">
        <w:rPr>
          <w:rFonts w:ascii="Arial" w:hAnsi="Arial" w:cs="Arial"/>
        </w:rPr>
        <w:t xml:space="preserve">(9), 2868-2877. https://doi.org/10.1111/jgs.70042 </w:t>
      </w:r>
    </w:p>
    <w:p w14:paraId="0D9CE702" w14:textId="77777777" w:rsidR="00AB2AE4" w:rsidRPr="00AB2AE4" w:rsidRDefault="00AB2AE4" w:rsidP="00AB2AE4">
      <w:pPr>
        <w:spacing w:line="276" w:lineRule="auto"/>
        <w:jc w:val="both"/>
        <w:rPr>
          <w:rFonts w:ascii="Arial" w:hAnsi="Arial" w:cs="Arial"/>
        </w:rPr>
      </w:pPr>
    </w:p>
    <w:p w14:paraId="5756F4DE"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Cawood</w:t>
      </w:r>
      <w:proofErr w:type="spellEnd"/>
      <w:r w:rsidRPr="00AB2AE4">
        <w:rPr>
          <w:rFonts w:ascii="Arial" w:hAnsi="Arial" w:cs="Arial"/>
        </w:rPr>
        <w:t>, A. L., Walters, E. R., Smith, T. R., &amp; Stratton, R. J. (2018).</w:t>
      </w:r>
      <w:proofErr w:type="gramEnd"/>
      <w:r w:rsidRPr="00AB2AE4">
        <w:rPr>
          <w:rFonts w:ascii="Arial" w:hAnsi="Arial" w:cs="Arial"/>
        </w:rPr>
        <w:t xml:space="preserve"> Oral nutritional supplements used in hospital and after discharge reduces complications: A systematic review and meta-analysis. </w:t>
      </w:r>
      <w:r w:rsidRPr="007814E2">
        <w:rPr>
          <w:rFonts w:ascii="Arial" w:hAnsi="Arial" w:cs="Arial"/>
          <w:i/>
        </w:rPr>
        <w:t>Clinical Nutrition, 37</w:t>
      </w:r>
      <w:r w:rsidRPr="00AB2AE4">
        <w:rPr>
          <w:rFonts w:ascii="Arial" w:hAnsi="Arial" w:cs="Arial"/>
        </w:rPr>
        <w:t xml:space="preserve">(1), 305-315. https://doi.org/10.1016/j.clnu.2018.06.2066 </w:t>
      </w:r>
    </w:p>
    <w:p w14:paraId="3DFCCAE1" w14:textId="77777777" w:rsidR="00AB2AE4" w:rsidRPr="00AB2AE4" w:rsidRDefault="00AB2AE4" w:rsidP="00AB2AE4">
      <w:pPr>
        <w:spacing w:line="276" w:lineRule="auto"/>
        <w:jc w:val="both"/>
        <w:rPr>
          <w:rFonts w:ascii="Arial" w:hAnsi="Arial" w:cs="Arial"/>
        </w:rPr>
      </w:pPr>
    </w:p>
    <w:p w14:paraId="25FFF899"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lastRenderedPageBreak/>
        <w:t>Crush,</w:t>
      </w:r>
      <w:proofErr w:type="gramEnd"/>
      <w:r w:rsidRPr="00AB2AE4">
        <w:rPr>
          <w:rFonts w:ascii="Arial" w:hAnsi="Arial" w:cs="Arial"/>
        </w:rPr>
        <w:t xml:space="preserve"> J., Levy, N., </w:t>
      </w:r>
      <w:proofErr w:type="spellStart"/>
      <w:r w:rsidRPr="00AB2AE4">
        <w:rPr>
          <w:rFonts w:ascii="Arial" w:hAnsi="Arial" w:cs="Arial"/>
        </w:rPr>
        <w:t>Knaggs</w:t>
      </w:r>
      <w:proofErr w:type="spellEnd"/>
      <w:r w:rsidRPr="00AB2AE4">
        <w:rPr>
          <w:rFonts w:ascii="Arial" w:hAnsi="Arial" w:cs="Arial"/>
        </w:rPr>
        <w:t xml:space="preserve">, R. D., &amp; Lobo, D. N. (2022). Misappropriation of the 1986 WHO analgesic ladder: the pitfalls of labelling opioids as weak or strong. </w:t>
      </w:r>
      <w:r w:rsidRPr="006A25EC">
        <w:rPr>
          <w:rFonts w:ascii="Arial" w:hAnsi="Arial" w:cs="Arial"/>
          <w:i/>
        </w:rPr>
        <w:t>British Journal of Anaesthesia, 129</w:t>
      </w:r>
      <w:r w:rsidRPr="00AB2AE4">
        <w:rPr>
          <w:rFonts w:ascii="Arial" w:hAnsi="Arial" w:cs="Arial"/>
        </w:rPr>
        <w:t xml:space="preserve">(2), 137-142. https://doi.org/10.1016/j.bja.2022.03.004 </w:t>
      </w:r>
    </w:p>
    <w:p w14:paraId="67F0DDC5" w14:textId="77777777" w:rsidR="00AB2AE4" w:rsidRPr="00AB2AE4" w:rsidRDefault="00AB2AE4" w:rsidP="00AB2AE4">
      <w:pPr>
        <w:spacing w:line="276" w:lineRule="auto"/>
        <w:jc w:val="both"/>
        <w:rPr>
          <w:rFonts w:ascii="Arial" w:hAnsi="Arial" w:cs="Arial"/>
        </w:rPr>
      </w:pPr>
    </w:p>
    <w:p w14:paraId="1E78C6C1"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Curtis, H. J., &amp; </w:t>
      </w:r>
      <w:proofErr w:type="spellStart"/>
      <w:r w:rsidRPr="00AB2AE4">
        <w:rPr>
          <w:rFonts w:ascii="Arial" w:hAnsi="Arial" w:cs="Arial"/>
        </w:rPr>
        <w:t>Goldacre</w:t>
      </w:r>
      <w:proofErr w:type="spellEnd"/>
      <w:r w:rsidRPr="00AB2AE4">
        <w:rPr>
          <w:rFonts w:ascii="Arial" w:hAnsi="Arial" w:cs="Arial"/>
        </w:rPr>
        <w:t>, B. (2018).</w:t>
      </w:r>
      <w:proofErr w:type="gramEnd"/>
      <w:r w:rsidRPr="00AB2AE4">
        <w:rPr>
          <w:rFonts w:ascii="Arial" w:hAnsi="Arial" w:cs="Arial"/>
        </w:rPr>
        <w:t xml:space="preserve"> </w:t>
      </w:r>
      <w:proofErr w:type="spellStart"/>
      <w:r w:rsidRPr="00AB2AE4">
        <w:rPr>
          <w:rFonts w:ascii="Arial" w:hAnsi="Arial" w:cs="Arial"/>
        </w:rPr>
        <w:t>OpenPrescribing</w:t>
      </w:r>
      <w:proofErr w:type="spellEnd"/>
      <w:r w:rsidRPr="00AB2AE4">
        <w:rPr>
          <w:rFonts w:ascii="Arial" w:hAnsi="Arial" w:cs="Arial"/>
        </w:rPr>
        <w:t xml:space="preserve">: normalised data and software tool to research trends in English NHS primary care prescribing 1998–2016. </w:t>
      </w:r>
      <w:r w:rsidRPr="006A25EC">
        <w:rPr>
          <w:rFonts w:ascii="Arial" w:hAnsi="Arial" w:cs="Arial"/>
          <w:i/>
        </w:rPr>
        <w:t>BMJ Open, 8</w:t>
      </w:r>
      <w:r w:rsidRPr="00AB2AE4">
        <w:rPr>
          <w:rFonts w:ascii="Arial" w:hAnsi="Arial" w:cs="Arial"/>
        </w:rPr>
        <w:t xml:space="preserve">(2), 1-9. https://doi.org/10.1136/bmjopen-2017-019921 </w:t>
      </w:r>
    </w:p>
    <w:p w14:paraId="1A6D9B14" w14:textId="77777777" w:rsidR="00AB2AE4" w:rsidRPr="00AB2AE4" w:rsidRDefault="00AB2AE4" w:rsidP="00AB2AE4">
      <w:pPr>
        <w:spacing w:line="276" w:lineRule="auto"/>
        <w:jc w:val="both"/>
        <w:rPr>
          <w:rFonts w:ascii="Arial" w:hAnsi="Arial" w:cs="Arial"/>
        </w:rPr>
      </w:pPr>
    </w:p>
    <w:p w14:paraId="79E3143F"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Cuschieri</w:t>
      </w:r>
      <w:proofErr w:type="spellEnd"/>
      <w:r w:rsidRPr="00AB2AE4">
        <w:rPr>
          <w:rFonts w:ascii="Arial" w:hAnsi="Arial" w:cs="Arial"/>
        </w:rPr>
        <w:t>, S. (2019).</w:t>
      </w:r>
      <w:proofErr w:type="gramEnd"/>
      <w:r w:rsidRPr="00AB2AE4">
        <w:rPr>
          <w:rFonts w:ascii="Arial" w:hAnsi="Arial" w:cs="Arial"/>
        </w:rPr>
        <w:t xml:space="preserve"> </w:t>
      </w:r>
      <w:proofErr w:type="gramStart"/>
      <w:r w:rsidRPr="00AB2AE4">
        <w:rPr>
          <w:rFonts w:ascii="Arial" w:hAnsi="Arial" w:cs="Arial"/>
        </w:rPr>
        <w:t>The STROBE guidelines.</w:t>
      </w:r>
      <w:proofErr w:type="gramEnd"/>
      <w:r w:rsidRPr="00AB2AE4">
        <w:rPr>
          <w:rFonts w:ascii="Arial" w:hAnsi="Arial" w:cs="Arial"/>
        </w:rPr>
        <w:t xml:space="preserve"> </w:t>
      </w:r>
      <w:r w:rsidRPr="006A25EC">
        <w:rPr>
          <w:rFonts w:ascii="Arial" w:hAnsi="Arial" w:cs="Arial"/>
          <w:i/>
        </w:rPr>
        <w:t xml:space="preserve">Saudi J </w:t>
      </w:r>
      <w:proofErr w:type="spellStart"/>
      <w:r w:rsidRPr="006A25EC">
        <w:rPr>
          <w:rFonts w:ascii="Arial" w:hAnsi="Arial" w:cs="Arial"/>
          <w:i/>
        </w:rPr>
        <w:t>Anaesth</w:t>
      </w:r>
      <w:proofErr w:type="spellEnd"/>
      <w:r w:rsidRPr="006A25EC">
        <w:rPr>
          <w:rFonts w:ascii="Arial" w:hAnsi="Arial" w:cs="Arial"/>
          <w:i/>
        </w:rPr>
        <w:t>, 13</w:t>
      </w:r>
      <w:r w:rsidRPr="00AB2AE4">
        <w:rPr>
          <w:rFonts w:ascii="Arial" w:hAnsi="Arial" w:cs="Arial"/>
        </w:rPr>
        <w:t xml:space="preserve">(1), 31-34. https://doi.org/10.4103/sja.SJA_543_18 </w:t>
      </w:r>
    </w:p>
    <w:p w14:paraId="178CA7C1" w14:textId="77777777" w:rsidR="00AB2AE4" w:rsidRPr="00AB2AE4" w:rsidRDefault="00AB2AE4" w:rsidP="00AB2AE4">
      <w:pPr>
        <w:spacing w:line="276" w:lineRule="auto"/>
        <w:jc w:val="both"/>
        <w:rPr>
          <w:rFonts w:ascii="Arial" w:hAnsi="Arial" w:cs="Arial"/>
        </w:rPr>
      </w:pPr>
    </w:p>
    <w:p w14:paraId="0A0C5C20"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De </w:t>
      </w:r>
      <w:proofErr w:type="spellStart"/>
      <w:r w:rsidRPr="00AB2AE4">
        <w:rPr>
          <w:rFonts w:ascii="Arial" w:hAnsi="Arial" w:cs="Arial"/>
        </w:rPr>
        <w:t>Sanctis</w:t>
      </w:r>
      <w:proofErr w:type="spellEnd"/>
      <w:r w:rsidRPr="00AB2AE4">
        <w:rPr>
          <w:rFonts w:ascii="Arial" w:hAnsi="Arial" w:cs="Arial"/>
        </w:rPr>
        <w:t xml:space="preserve">, V., </w:t>
      </w:r>
      <w:proofErr w:type="spellStart"/>
      <w:r w:rsidRPr="00AB2AE4">
        <w:rPr>
          <w:rFonts w:ascii="Arial" w:hAnsi="Arial" w:cs="Arial"/>
        </w:rPr>
        <w:t>Soliman</w:t>
      </w:r>
      <w:proofErr w:type="spellEnd"/>
      <w:r w:rsidRPr="00AB2AE4">
        <w:rPr>
          <w:rFonts w:ascii="Arial" w:hAnsi="Arial" w:cs="Arial"/>
        </w:rPr>
        <w:t xml:space="preserve">, A. T., </w:t>
      </w:r>
      <w:proofErr w:type="spellStart"/>
      <w:r w:rsidRPr="00AB2AE4">
        <w:rPr>
          <w:rFonts w:ascii="Arial" w:hAnsi="Arial" w:cs="Arial"/>
        </w:rPr>
        <w:t>Daar</w:t>
      </w:r>
      <w:proofErr w:type="spellEnd"/>
      <w:r w:rsidRPr="00AB2AE4">
        <w:rPr>
          <w:rFonts w:ascii="Arial" w:hAnsi="Arial" w:cs="Arial"/>
        </w:rPr>
        <w:t xml:space="preserve">, S., </w:t>
      </w:r>
      <w:proofErr w:type="spellStart"/>
      <w:r w:rsidRPr="00AB2AE4">
        <w:rPr>
          <w:rFonts w:ascii="Arial" w:hAnsi="Arial" w:cs="Arial"/>
        </w:rPr>
        <w:t>Tzoulis</w:t>
      </w:r>
      <w:proofErr w:type="spellEnd"/>
      <w:r w:rsidRPr="00AB2AE4">
        <w:rPr>
          <w:rFonts w:ascii="Arial" w:hAnsi="Arial" w:cs="Arial"/>
        </w:rPr>
        <w:t xml:space="preserve">, P., </w:t>
      </w:r>
      <w:proofErr w:type="spellStart"/>
      <w:r w:rsidRPr="00AB2AE4">
        <w:rPr>
          <w:rFonts w:ascii="Arial" w:hAnsi="Arial" w:cs="Arial"/>
        </w:rPr>
        <w:t>Fiscina</w:t>
      </w:r>
      <w:proofErr w:type="spellEnd"/>
      <w:r w:rsidRPr="00AB2AE4">
        <w:rPr>
          <w:rFonts w:ascii="Arial" w:hAnsi="Arial" w:cs="Arial"/>
        </w:rPr>
        <w:t xml:space="preserve">, B., </w:t>
      </w:r>
      <w:proofErr w:type="spellStart"/>
      <w:r w:rsidRPr="00AB2AE4">
        <w:rPr>
          <w:rFonts w:ascii="Arial" w:hAnsi="Arial" w:cs="Arial"/>
        </w:rPr>
        <w:t>Kattamis</w:t>
      </w:r>
      <w:proofErr w:type="spellEnd"/>
      <w:r w:rsidRPr="00AB2AE4">
        <w:rPr>
          <w:rFonts w:ascii="Arial" w:hAnsi="Arial" w:cs="Arial"/>
        </w:rPr>
        <w:t xml:space="preserve">, C., International Network </w:t>
      </w:r>
      <w:proofErr w:type="gramStart"/>
      <w:r w:rsidRPr="00AB2AE4">
        <w:rPr>
          <w:rFonts w:ascii="Arial" w:hAnsi="Arial" w:cs="Arial"/>
        </w:rPr>
        <w:t>Of</w:t>
      </w:r>
      <w:proofErr w:type="gramEnd"/>
      <w:r w:rsidRPr="00AB2AE4">
        <w:rPr>
          <w:rFonts w:ascii="Arial" w:hAnsi="Arial" w:cs="Arial"/>
        </w:rPr>
        <w:t xml:space="preserve"> Clinicians For </w:t>
      </w:r>
      <w:proofErr w:type="spellStart"/>
      <w:r w:rsidRPr="00AB2AE4">
        <w:rPr>
          <w:rFonts w:ascii="Arial" w:hAnsi="Arial" w:cs="Arial"/>
        </w:rPr>
        <w:t>Endocrinopathies</w:t>
      </w:r>
      <w:proofErr w:type="spellEnd"/>
      <w:r w:rsidRPr="00AB2AE4">
        <w:rPr>
          <w:rFonts w:ascii="Arial" w:hAnsi="Arial" w:cs="Arial"/>
        </w:rPr>
        <w:t xml:space="preserve"> In, T., &amp; Adolescence Medicine </w:t>
      </w:r>
      <w:proofErr w:type="spellStart"/>
      <w:r w:rsidRPr="00AB2AE4">
        <w:rPr>
          <w:rFonts w:ascii="Arial" w:hAnsi="Arial" w:cs="Arial"/>
        </w:rPr>
        <w:t>Icet</w:t>
      </w:r>
      <w:proofErr w:type="spellEnd"/>
      <w:r w:rsidRPr="00AB2AE4">
        <w:rPr>
          <w:rFonts w:ascii="Arial" w:hAnsi="Arial" w:cs="Arial"/>
        </w:rPr>
        <w:t xml:space="preserve">, A. (2022). Retrospective observational studies: Lights and shadows for medical writers. </w:t>
      </w:r>
      <w:proofErr w:type="spellStart"/>
      <w:r w:rsidRPr="006A25EC">
        <w:rPr>
          <w:rFonts w:ascii="Arial" w:hAnsi="Arial" w:cs="Arial"/>
          <w:i/>
        </w:rPr>
        <w:t>Acta</w:t>
      </w:r>
      <w:proofErr w:type="spellEnd"/>
      <w:r w:rsidRPr="006A25EC">
        <w:rPr>
          <w:rFonts w:ascii="Arial" w:hAnsi="Arial" w:cs="Arial"/>
          <w:i/>
        </w:rPr>
        <w:t xml:space="preserve"> Biomed, 93</w:t>
      </w:r>
      <w:r w:rsidRPr="00AB2AE4">
        <w:rPr>
          <w:rFonts w:ascii="Arial" w:hAnsi="Arial" w:cs="Arial"/>
        </w:rPr>
        <w:t xml:space="preserve">(5), 1-7. https://doi.org/10.23750/abm.v93i5.13179 </w:t>
      </w:r>
    </w:p>
    <w:p w14:paraId="1736F645" w14:textId="77777777" w:rsidR="00AB2AE4" w:rsidRPr="00AB2AE4" w:rsidRDefault="00AB2AE4" w:rsidP="00AB2AE4">
      <w:pPr>
        <w:spacing w:line="276" w:lineRule="auto"/>
        <w:jc w:val="both"/>
        <w:rPr>
          <w:rFonts w:ascii="Arial" w:hAnsi="Arial" w:cs="Arial"/>
        </w:rPr>
      </w:pPr>
    </w:p>
    <w:p w14:paraId="329262D9"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Denny, E., &amp; </w:t>
      </w:r>
      <w:proofErr w:type="spellStart"/>
      <w:r w:rsidRPr="00AB2AE4">
        <w:rPr>
          <w:rFonts w:ascii="Arial" w:hAnsi="Arial" w:cs="Arial"/>
        </w:rPr>
        <w:t>Weckesser</w:t>
      </w:r>
      <w:proofErr w:type="spellEnd"/>
      <w:r w:rsidRPr="00AB2AE4">
        <w:rPr>
          <w:rFonts w:ascii="Arial" w:hAnsi="Arial" w:cs="Arial"/>
        </w:rPr>
        <w:t>, A. (2022).</w:t>
      </w:r>
      <w:proofErr w:type="gramEnd"/>
      <w:r w:rsidRPr="00AB2AE4">
        <w:rPr>
          <w:rFonts w:ascii="Arial" w:hAnsi="Arial" w:cs="Arial"/>
        </w:rPr>
        <w:t xml:space="preserve"> Quality not quantity: The value of qualitative research. </w:t>
      </w:r>
      <w:r w:rsidRPr="006A25EC">
        <w:rPr>
          <w:rFonts w:ascii="Arial" w:hAnsi="Arial" w:cs="Arial"/>
          <w:i/>
        </w:rPr>
        <w:t>BJOG, 129</w:t>
      </w:r>
      <w:r w:rsidRPr="00AB2AE4">
        <w:rPr>
          <w:rFonts w:ascii="Arial" w:hAnsi="Arial" w:cs="Arial"/>
        </w:rPr>
        <w:t xml:space="preserve">(10), 1799-1800. https://doi.org/10.1111/1471-0528.17149 </w:t>
      </w:r>
    </w:p>
    <w:p w14:paraId="34E6F7FF" w14:textId="77777777" w:rsidR="00AB2AE4" w:rsidRPr="00AB2AE4" w:rsidRDefault="00AB2AE4" w:rsidP="00AB2AE4">
      <w:pPr>
        <w:spacing w:line="276" w:lineRule="auto"/>
        <w:jc w:val="both"/>
        <w:rPr>
          <w:rFonts w:ascii="Arial" w:hAnsi="Arial" w:cs="Arial"/>
        </w:rPr>
      </w:pPr>
    </w:p>
    <w:p w14:paraId="1BC4D153"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Department of Health.</w:t>
      </w:r>
      <w:proofErr w:type="gramEnd"/>
      <w:r w:rsidRPr="00AB2AE4">
        <w:rPr>
          <w:rFonts w:ascii="Arial" w:hAnsi="Arial" w:cs="Arial"/>
        </w:rPr>
        <w:t xml:space="preserve"> (2026). </w:t>
      </w:r>
      <w:r w:rsidRPr="006A25EC">
        <w:rPr>
          <w:rFonts w:ascii="Arial" w:hAnsi="Arial" w:cs="Arial"/>
          <w:i/>
        </w:rPr>
        <w:t>Changes to NICE regulations: cost-effectiveness threshold - government response</w:t>
      </w:r>
      <w:r w:rsidRPr="00AB2AE4">
        <w:rPr>
          <w:rFonts w:ascii="Arial" w:hAnsi="Arial" w:cs="Arial"/>
        </w:rPr>
        <w:t>. Retrieved 10/06/2026 from https://www.gov.uk/government/consultations/changes-to-nice-regulations-cost-effectiveness-threshold/outcome/changes-to-nice-regulations-cost-effectiveness-threshold-government-response</w:t>
      </w:r>
    </w:p>
    <w:p w14:paraId="689F0EE7" w14:textId="77777777" w:rsidR="00AB2AE4" w:rsidRPr="00AB2AE4" w:rsidRDefault="00AB2AE4" w:rsidP="00AB2AE4">
      <w:pPr>
        <w:spacing w:line="276" w:lineRule="auto"/>
        <w:jc w:val="both"/>
        <w:rPr>
          <w:rFonts w:ascii="Arial" w:hAnsi="Arial" w:cs="Arial"/>
        </w:rPr>
      </w:pPr>
    </w:p>
    <w:p w14:paraId="390BA523"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Divisi</w:t>
      </w:r>
      <w:proofErr w:type="spellEnd"/>
      <w:r w:rsidRPr="00AB2AE4">
        <w:rPr>
          <w:rFonts w:ascii="Arial" w:hAnsi="Arial" w:cs="Arial"/>
        </w:rPr>
        <w:t xml:space="preserve">, D., Di Leonardo, G., </w:t>
      </w:r>
      <w:proofErr w:type="spellStart"/>
      <w:r w:rsidRPr="00AB2AE4">
        <w:rPr>
          <w:rFonts w:ascii="Arial" w:hAnsi="Arial" w:cs="Arial"/>
        </w:rPr>
        <w:t>Zaccagna</w:t>
      </w:r>
      <w:proofErr w:type="spellEnd"/>
      <w:r w:rsidRPr="00AB2AE4">
        <w:rPr>
          <w:rFonts w:ascii="Arial" w:hAnsi="Arial" w:cs="Arial"/>
        </w:rPr>
        <w:t xml:space="preserve">, G., &amp; </w:t>
      </w:r>
      <w:proofErr w:type="spellStart"/>
      <w:r w:rsidRPr="00AB2AE4">
        <w:rPr>
          <w:rFonts w:ascii="Arial" w:hAnsi="Arial" w:cs="Arial"/>
        </w:rPr>
        <w:t>Crisci</w:t>
      </w:r>
      <w:proofErr w:type="spellEnd"/>
      <w:r w:rsidRPr="00AB2AE4">
        <w:rPr>
          <w:rFonts w:ascii="Arial" w:hAnsi="Arial" w:cs="Arial"/>
        </w:rPr>
        <w:t>, R. (2017).</w:t>
      </w:r>
      <w:proofErr w:type="gramEnd"/>
      <w:r w:rsidRPr="00AB2AE4">
        <w:rPr>
          <w:rFonts w:ascii="Arial" w:hAnsi="Arial" w:cs="Arial"/>
        </w:rPr>
        <w:t xml:space="preserve"> Basic statistics with Microsoft Excel: a review. </w:t>
      </w:r>
      <w:r w:rsidRPr="00EC5362">
        <w:rPr>
          <w:rFonts w:ascii="Arial" w:hAnsi="Arial" w:cs="Arial"/>
          <w:i/>
        </w:rPr>
        <w:t xml:space="preserve">J </w:t>
      </w:r>
      <w:proofErr w:type="spellStart"/>
      <w:r w:rsidRPr="00EC5362">
        <w:rPr>
          <w:rFonts w:ascii="Arial" w:hAnsi="Arial" w:cs="Arial"/>
          <w:i/>
        </w:rPr>
        <w:t>Thorac</w:t>
      </w:r>
      <w:proofErr w:type="spellEnd"/>
      <w:r w:rsidRPr="00EC5362">
        <w:rPr>
          <w:rFonts w:ascii="Arial" w:hAnsi="Arial" w:cs="Arial"/>
          <w:i/>
        </w:rPr>
        <w:t xml:space="preserve"> Dis, 9</w:t>
      </w:r>
      <w:r w:rsidRPr="00AB2AE4">
        <w:rPr>
          <w:rFonts w:ascii="Arial" w:hAnsi="Arial" w:cs="Arial"/>
        </w:rPr>
        <w:t xml:space="preserve">(6), 1734-1740. https://doi.org/10.21037/jtd.2017.05.81 </w:t>
      </w:r>
    </w:p>
    <w:p w14:paraId="0ECAF4CD" w14:textId="77777777" w:rsidR="00AB2AE4" w:rsidRPr="00AB2AE4" w:rsidRDefault="00AB2AE4" w:rsidP="00AB2AE4">
      <w:pPr>
        <w:spacing w:line="276" w:lineRule="auto"/>
        <w:jc w:val="both"/>
        <w:rPr>
          <w:rFonts w:ascii="Arial" w:hAnsi="Arial" w:cs="Arial"/>
        </w:rPr>
      </w:pPr>
    </w:p>
    <w:p w14:paraId="1B1E2215"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Drummond, M. F., </w:t>
      </w:r>
      <w:proofErr w:type="spellStart"/>
      <w:r w:rsidRPr="00AB2AE4">
        <w:rPr>
          <w:rFonts w:ascii="Arial" w:hAnsi="Arial" w:cs="Arial"/>
        </w:rPr>
        <w:t>Schulpher</w:t>
      </w:r>
      <w:proofErr w:type="spellEnd"/>
      <w:r w:rsidRPr="00AB2AE4">
        <w:rPr>
          <w:rFonts w:ascii="Arial" w:hAnsi="Arial" w:cs="Arial"/>
        </w:rPr>
        <w:t xml:space="preserve">, M. J., Claxton, K., </w:t>
      </w:r>
      <w:proofErr w:type="spellStart"/>
      <w:r w:rsidRPr="00AB2AE4">
        <w:rPr>
          <w:rFonts w:ascii="Arial" w:hAnsi="Arial" w:cs="Arial"/>
        </w:rPr>
        <w:t>Stoddart</w:t>
      </w:r>
      <w:proofErr w:type="spellEnd"/>
      <w:r w:rsidRPr="00AB2AE4">
        <w:rPr>
          <w:rFonts w:ascii="Arial" w:hAnsi="Arial" w:cs="Arial"/>
        </w:rPr>
        <w:t>, G. L., &amp; Torrance, G. W. (2015).</w:t>
      </w:r>
      <w:proofErr w:type="gramEnd"/>
      <w:r w:rsidRPr="00AB2AE4">
        <w:rPr>
          <w:rFonts w:ascii="Arial" w:hAnsi="Arial" w:cs="Arial"/>
        </w:rPr>
        <w:t xml:space="preserve"> </w:t>
      </w:r>
      <w:proofErr w:type="gramStart"/>
      <w:r w:rsidRPr="00EC5362">
        <w:rPr>
          <w:rFonts w:ascii="Arial" w:hAnsi="Arial" w:cs="Arial"/>
          <w:i/>
        </w:rPr>
        <w:t>Methods for the Economic Evaluation of Health Care Programmes</w:t>
      </w:r>
      <w:r w:rsidRPr="00AB2AE4">
        <w:rPr>
          <w:rFonts w:ascii="Arial" w:hAnsi="Arial" w:cs="Arial"/>
        </w:rPr>
        <w:t>.</w:t>
      </w:r>
      <w:proofErr w:type="gramEnd"/>
      <w:r w:rsidRPr="00AB2AE4">
        <w:rPr>
          <w:rFonts w:ascii="Arial" w:hAnsi="Arial" w:cs="Arial"/>
        </w:rPr>
        <w:t xml:space="preserve"> Retrieved 10/06/2026 from https://econpapers.repec.org/bookchap/oxpobooks/9780199665884.htm</w:t>
      </w:r>
    </w:p>
    <w:p w14:paraId="6E0E4FA6" w14:textId="77777777" w:rsidR="00AB2AE4" w:rsidRPr="00AB2AE4" w:rsidRDefault="00AB2AE4" w:rsidP="00AB2AE4">
      <w:pPr>
        <w:spacing w:line="276" w:lineRule="auto"/>
        <w:jc w:val="both"/>
        <w:rPr>
          <w:rFonts w:ascii="Arial" w:hAnsi="Arial" w:cs="Arial"/>
        </w:rPr>
      </w:pPr>
    </w:p>
    <w:p w14:paraId="36129335"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Elia</w:t>
      </w:r>
      <w:proofErr w:type="spellEnd"/>
      <w:r w:rsidRPr="00AB2AE4">
        <w:rPr>
          <w:rFonts w:ascii="Arial" w:hAnsi="Arial" w:cs="Arial"/>
        </w:rPr>
        <w:t>, M., Russell, C. A., &amp; Stratton, R. J. (2010).</w:t>
      </w:r>
      <w:proofErr w:type="gramEnd"/>
      <w:r w:rsidRPr="00AB2AE4">
        <w:rPr>
          <w:rFonts w:ascii="Arial" w:hAnsi="Arial" w:cs="Arial"/>
        </w:rPr>
        <w:t xml:space="preserve"> Malnutrition in the UK: policies to address the problem. Proceedings of the </w:t>
      </w:r>
      <w:r w:rsidRPr="00EC5362">
        <w:rPr>
          <w:rFonts w:ascii="Arial" w:hAnsi="Arial" w:cs="Arial"/>
          <w:i/>
        </w:rPr>
        <w:t>Nutrition Society, 69</w:t>
      </w:r>
      <w:r w:rsidRPr="00AB2AE4">
        <w:rPr>
          <w:rFonts w:ascii="Arial" w:hAnsi="Arial" w:cs="Arial"/>
        </w:rPr>
        <w:t xml:space="preserve">(4), 470-476. https://doi.org/10.1017/S0029665110001746 </w:t>
      </w:r>
    </w:p>
    <w:p w14:paraId="01A6347F" w14:textId="77777777" w:rsidR="00AB2AE4" w:rsidRPr="00AB2AE4" w:rsidRDefault="00AB2AE4" w:rsidP="00AB2AE4">
      <w:pPr>
        <w:spacing w:line="276" w:lineRule="auto"/>
        <w:jc w:val="both"/>
        <w:rPr>
          <w:rFonts w:ascii="Arial" w:hAnsi="Arial" w:cs="Arial"/>
        </w:rPr>
      </w:pPr>
    </w:p>
    <w:p w14:paraId="60389040"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Ellis, P. (2022). </w:t>
      </w:r>
      <w:r w:rsidRPr="00EC5362">
        <w:rPr>
          <w:rFonts w:ascii="Arial" w:hAnsi="Arial" w:cs="Arial"/>
          <w:i/>
        </w:rPr>
        <w:t>Understanding Research for Nursing Students</w:t>
      </w:r>
      <w:r w:rsidRPr="00AB2AE4">
        <w:rPr>
          <w:rFonts w:ascii="Arial" w:hAnsi="Arial" w:cs="Arial"/>
        </w:rPr>
        <w:t xml:space="preserve"> (5th </w:t>
      </w:r>
      <w:proofErr w:type="gramStart"/>
      <w:r w:rsidRPr="00AB2AE4">
        <w:rPr>
          <w:rFonts w:ascii="Arial" w:hAnsi="Arial" w:cs="Arial"/>
        </w:rPr>
        <w:t>ed</w:t>
      </w:r>
      <w:proofErr w:type="gramEnd"/>
      <w:r w:rsidRPr="00AB2AE4">
        <w:rPr>
          <w:rFonts w:ascii="Arial" w:hAnsi="Arial" w:cs="Arial"/>
        </w:rPr>
        <w:t xml:space="preserve">.). </w:t>
      </w:r>
      <w:proofErr w:type="gramStart"/>
      <w:r w:rsidRPr="00AB2AE4">
        <w:rPr>
          <w:rFonts w:ascii="Arial" w:hAnsi="Arial" w:cs="Arial"/>
        </w:rPr>
        <w:t>Learning Matters.</w:t>
      </w:r>
      <w:proofErr w:type="gramEnd"/>
      <w:r w:rsidRPr="00AB2AE4">
        <w:rPr>
          <w:rFonts w:ascii="Arial" w:hAnsi="Arial" w:cs="Arial"/>
        </w:rPr>
        <w:t xml:space="preserve"> </w:t>
      </w:r>
    </w:p>
    <w:p w14:paraId="7502D638" w14:textId="77777777" w:rsidR="00AB2AE4" w:rsidRPr="00AB2AE4" w:rsidRDefault="00AB2AE4" w:rsidP="00AB2AE4">
      <w:pPr>
        <w:spacing w:line="276" w:lineRule="auto"/>
        <w:jc w:val="both"/>
        <w:rPr>
          <w:rFonts w:ascii="Arial" w:hAnsi="Arial" w:cs="Arial"/>
        </w:rPr>
      </w:pPr>
    </w:p>
    <w:p w14:paraId="08E10806"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European Parliamentary Research Service.</w:t>
      </w:r>
      <w:proofErr w:type="gramEnd"/>
      <w:r w:rsidRPr="00AB2AE4">
        <w:rPr>
          <w:rFonts w:ascii="Arial" w:hAnsi="Arial" w:cs="Arial"/>
        </w:rPr>
        <w:t xml:space="preserve"> </w:t>
      </w:r>
      <w:proofErr w:type="gramStart"/>
      <w:r w:rsidRPr="00AB2AE4">
        <w:rPr>
          <w:rFonts w:ascii="Arial" w:hAnsi="Arial" w:cs="Arial"/>
        </w:rPr>
        <w:t xml:space="preserve">(2023). </w:t>
      </w:r>
      <w:r w:rsidRPr="009B6CAF">
        <w:rPr>
          <w:rFonts w:ascii="Arial" w:hAnsi="Arial" w:cs="Arial"/>
          <w:i/>
        </w:rPr>
        <w:t>Improving access to medicines and promoting pharmaceutical innovation</w:t>
      </w:r>
      <w:r w:rsidRPr="00AB2AE4">
        <w:rPr>
          <w:rFonts w:ascii="Arial" w:hAnsi="Arial" w:cs="Arial"/>
        </w:rPr>
        <w:t>.</w:t>
      </w:r>
      <w:proofErr w:type="gramEnd"/>
      <w:r w:rsidRPr="00AB2AE4">
        <w:rPr>
          <w:rFonts w:ascii="Arial" w:hAnsi="Arial" w:cs="Arial"/>
        </w:rPr>
        <w:t xml:space="preserve"> Retrieved 10/06/2026 from </w:t>
      </w:r>
      <w:r w:rsidRPr="00AB2AE4">
        <w:rPr>
          <w:rFonts w:ascii="Arial" w:hAnsi="Arial" w:cs="Arial"/>
        </w:rPr>
        <w:lastRenderedPageBreak/>
        <w:t>https://www.europarl.europa.eu/RegData/etudes/STUD/2023/753166/EPRS_</w:t>
      </w:r>
      <w:proofErr w:type="gramStart"/>
      <w:r w:rsidRPr="00AB2AE4">
        <w:rPr>
          <w:rFonts w:ascii="Arial" w:hAnsi="Arial" w:cs="Arial"/>
        </w:rPr>
        <w:t>STU(</w:t>
      </w:r>
      <w:proofErr w:type="gramEnd"/>
      <w:r w:rsidRPr="00AB2AE4">
        <w:rPr>
          <w:rFonts w:ascii="Arial" w:hAnsi="Arial" w:cs="Arial"/>
        </w:rPr>
        <w:t>2023)753166_EN.pdf</w:t>
      </w:r>
    </w:p>
    <w:p w14:paraId="3BFD9463" w14:textId="77777777" w:rsidR="00AB2AE4" w:rsidRPr="00AB2AE4" w:rsidRDefault="00AB2AE4" w:rsidP="00AB2AE4">
      <w:pPr>
        <w:spacing w:line="276" w:lineRule="auto"/>
        <w:jc w:val="both"/>
        <w:rPr>
          <w:rFonts w:ascii="Arial" w:hAnsi="Arial" w:cs="Arial"/>
        </w:rPr>
      </w:pPr>
    </w:p>
    <w:p w14:paraId="0A327B60"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Flint, S. H., Woodruff, A. E., Maloney, M. K., &amp; </w:t>
      </w:r>
      <w:proofErr w:type="spellStart"/>
      <w:r w:rsidRPr="00AB2AE4">
        <w:rPr>
          <w:rFonts w:ascii="Arial" w:hAnsi="Arial" w:cs="Arial"/>
        </w:rPr>
        <w:t>Chilbert</w:t>
      </w:r>
      <w:proofErr w:type="spellEnd"/>
      <w:r w:rsidRPr="00AB2AE4">
        <w:rPr>
          <w:rFonts w:ascii="Arial" w:hAnsi="Arial" w:cs="Arial"/>
        </w:rPr>
        <w:t>, M. R. (2025).</w:t>
      </w:r>
      <w:proofErr w:type="gramEnd"/>
      <w:r w:rsidRPr="00AB2AE4">
        <w:rPr>
          <w:rFonts w:ascii="Arial" w:hAnsi="Arial" w:cs="Arial"/>
        </w:rPr>
        <w:t xml:space="preserve"> </w:t>
      </w:r>
      <w:proofErr w:type="gramStart"/>
      <w:r w:rsidRPr="00AB2AE4">
        <w:rPr>
          <w:rFonts w:ascii="Arial" w:hAnsi="Arial" w:cs="Arial"/>
        </w:rPr>
        <w:t>Systematic review of venous thromboembolism (VTE) occurrence in hospitalized patients receiving prophylactic unfractionated heparin twice vs. three times daily.</w:t>
      </w:r>
      <w:proofErr w:type="gramEnd"/>
      <w:r w:rsidRPr="00AB2AE4">
        <w:rPr>
          <w:rFonts w:ascii="Arial" w:hAnsi="Arial" w:cs="Arial"/>
        </w:rPr>
        <w:t xml:space="preserve"> </w:t>
      </w:r>
      <w:r w:rsidRPr="009B6CAF">
        <w:rPr>
          <w:rFonts w:ascii="Arial" w:hAnsi="Arial" w:cs="Arial"/>
          <w:i/>
        </w:rPr>
        <w:t>Journal of Thrombosis and Thrombolysis, 58</w:t>
      </w:r>
      <w:r w:rsidRPr="00AB2AE4">
        <w:rPr>
          <w:rFonts w:ascii="Arial" w:hAnsi="Arial" w:cs="Arial"/>
        </w:rPr>
        <w:t xml:space="preserve">(7), 851-865. https://doi.org/10.1007/s11239-025-03137-8 </w:t>
      </w:r>
    </w:p>
    <w:p w14:paraId="4DB3CA72" w14:textId="77777777" w:rsidR="00AB2AE4" w:rsidRPr="00AB2AE4" w:rsidRDefault="00AB2AE4" w:rsidP="00AB2AE4">
      <w:pPr>
        <w:spacing w:line="276" w:lineRule="auto"/>
        <w:jc w:val="both"/>
        <w:rPr>
          <w:rFonts w:ascii="Arial" w:hAnsi="Arial" w:cs="Arial"/>
        </w:rPr>
      </w:pPr>
    </w:p>
    <w:p w14:paraId="056A5694"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Fontana, M., </w:t>
      </w:r>
      <w:proofErr w:type="spellStart"/>
      <w:r w:rsidRPr="00AB2AE4">
        <w:rPr>
          <w:rFonts w:ascii="Arial" w:hAnsi="Arial" w:cs="Arial"/>
        </w:rPr>
        <w:t>Aimo</w:t>
      </w:r>
      <w:proofErr w:type="spellEnd"/>
      <w:r w:rsidRPr="00AB2AE4">
        <w:rPr>
          <w:rFonts w:ascii="Arial" w:hAnsi="Arial" w:cs="Arial"/>
        </w:rPr>
        <w:t xml:space="preserve">, A., </w:t>
      </w:r>
      <w:proofErr w:type="spellStart"/>
      <w:r w:rsidRPr="00AB2AE4">
        <w:rPr>
          <w:rFonts w:ascii="Arial" w:hAnsi="Arial" w:cs="Arial"/>
        </w:rPr>
        <w:t>Emdin</w:t>
      </w:r>
      <w:proofErr w:type="spellEnd"/>
      <w:r w:rsidRPr="00AB2AE4">
        <w:rPr>
          <w:rFonts w:ascii="Arial" w:hAnsi="Arial" w:cs="Arial"/>
        </w:rPr>
        <w:t xml:space="preserve">, M., </w:t>
      </w:r>
      <w:proofErr w:type="spellStart"/>
      <w:r w:rsidRPr="00AB2AE4">
        <w:rPr>
          <w:rFonts w:ascii="Arial" w:hAnsi="Arial" w:cs="Arial"/>
        </w:rPr>
        <w:t>Porcari</w:t>
      </w:r>
      <w:proofErr w:type="spellEnd"/>
      <w:r w:rsidRPr="00AB2AE4">
        <w:rPr>
          <w:rFonts w:ascii="Arial" w:hAnsi="Arial" w:cs="Arial"/>
        </w:rPr>
        <w:t xml:space="preserve">, A., Solomon, S. D., Hawkins, P. N., &amp; </w:t>
      </w:r>
      <w:proofErr w:type="spellStart"/>
      <w:r w:rsidRPr="00AB2AE4">
        <w:rPr>
          <w:rFonts w:ascii="Arial" w:hAnsi="Arial" w:cs="Arial"/>
        </w:rPr>
        <w:t>Gillmore</w:t>
      </w:r>
      <w:proofErr w:type="spellEnd"/>
      <w:r w:rsidRPr="00AB2AE4">
        <w:rPr>
          <w:rFonts w:ascii="Arial" w:hAnsi="Arial" w:cs="Arial"/>
        </w:rPr>
        <w:t>, J. D. (2026).</w:t>
      </w:r>
      <w:proofErr w:type="gramEnd"/>
      <w:r w:rsidRPr="00AB2AE4">
        <w:rPr>
          <w:rFonts w:ascii="Arial" w:hAnsi="Arial" w:cs="Arial"/>
        </w:rPr>
        <w:t xml:space="preserve"> </w:t>
      </w:r>
      <w:proofErr w:type="spellStart"/>
      <w:r w:rsidRPr="00AB2AE4">
        <w:rPr>
          <w:rFonts w:ascii="Arial" w:hAnsi="Arial" w:cs="Arial"/>
        </w:rPr>
        <w:t>Transthyretin</w:t>
      </w:r>
      <w:proofErr w:type="spellEnd"/>
      <w:r w:rsidRPr="00AB2AE4">
        <w:rPr>
          <w:rFonts w:ascii="Arial" w:hAnsi="Arial" w:cs="Arial"/>
        </w:rPr>
        <w:t xml:space="preserve"> amyloid cardiomyopathy: from cause to novel treatments. </w:t>
      </w:r>
      <w:proofErr w:type="spellStart"/>
      <w:r w:rsidRPr="009B6CAF">
        <w:rPr>
          <w:rFonts w:ascii="Arial" w:hAnsi="Arial" w:cs="Arial"/>
          <w:i/>
        </w:rPr>
        <w:t>Eur</w:t>
      </w:r>
      <w:proofErr w:type="spellEnd"/>
      <w:r w:rsidRPr="009B6CAF">
        <w:rPr>
          <w:rFonts w:ascii="Arial" w:hAnsi="Arial" w:cs="Arial"/>
          <w:i/>
        </w:rPr>
        <w:t xml:space="preserve"> Heart J, 47</w:t>
      </w:r>
      <w:r w:rsidRPr="00AB2AE4">
        <w:rPr>
          <w:rFonts w:ascii="Arial" w:hAnsi="Arial" w:cs="Arial"/>
        </w:rPr>
        <w:t xml:space="preserve">(1), 54-63. https://doi.org/10.1093/eurheartj/ehaf667 </w:t>
      </w:r>
    </w:p>
    <w:p w14:paraId="5B88131A" w14:textId="77777777" w:rsidR="00AB2AE4" w:rsidRPr="00AB2AE4" w:rsidRDefault="00AB2AE4" w:rsidP="00AB2AE4">
      <w:pPr>
        <w:spacing w:line="276" w:lineRule="auto"/>
        <w:jc w:val="both"/>
        <w:rPr>
          <w:rFonts w:ascii="Arial" w:hAnsi="Arial" w:cs="Arial"/>
        </w:rPr>
      </w:pPr>
    </w:p>
    <w:p w14:paraId="0E51B426"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Fowler, J., Jarvis, P., &amp; </w:t>
      </w:r>
      <w:proofErr w:type="spellStart"/>
      <w:r w:rsidRPr="00AB2AE4">
        <w:rPr>
          <w:rFonts w:ascii="Arial" w:hAnsi="Arial" w:cs="Arial"/>
        </w:rPr>
        <w:t>Chevannes</w:t>
      </w:r>
      <w:proofErr w:type="spellEnd"/>
      <w:r w:rsidRPr="00AB2AE4">
        <w:rPr>
          <w:rFonts w:ascii="Arial" w:hAnsi="Arial" w:cs="Arial"/>
        </w:rPr>
        <w:t>, M. (2021).</w:t>
      </w:r>
      <w:proofErr w:type="gramEnd"/>
      <w:r w:rsidRPr="00AB2AE4">
        <w:rPr>
          <w:rFonts w:ascii="Arial" w:hAnsi="Arial" w:cs="Arial"/>
        </w:rPr>
        <w:t xml:space="preserve"> </w:t>
      </w:r>
      <w:r w:rsidRPr="009B6CAF">
        <w:rPr>
          <w:rFonts w:ascii="Arial" w:hAnsi="Arial" w:cs="Arial"/>
          <w:i/>
        </w:rPr>
        <w:t>Practical Statistics for Nursing and Health Care</w:t>
      </w:r>
      <w:r w:rsidRPr="00AB2AE4">
        <w:rPr>
          <w:rFonts w:ascii="Arial" w:hAnsi="Arial" w:cs="Arial"/>
        </w:rPr>
        <w:t xml:space="preserve"> (2nd </w:t>
      </w:r>
      <w:proofErr w:type="gramStart"/>
      <w:r w:rsidRPr="00AB2AE4">
        <w:rPr>
          <w:rFonts w:ascii="Arial" w:hAnsi="Arial" w:cs="Arial"/>
        </w:rPr>
        <w:t>ed</w:t>
      </w:r>
      <w:proofErr w:type="gramEnd"/>
      <w:r w:rsidRPr="00AB2AE4">
        <w:rPr>
          <w:rFonts w:ascii="Arial" w:hAnsi="Arial" w:cs="Arial"/>
        </w:rPr>
        <w:t xml:space="preserve">.). </w:t>
      </w:r>
      <w:proofErr w:type="gramStart"/>
      <w:r w:rsidRPr="00AB2AE4">
        <w:rPr>
          <w:rFonts w:ascii="Arial" w:hAnsi="Arial" w:cs="Arial"/>
        </w:rPr>
        <w:t>Wiley Blackwell.</w:t>
      </w:r>
      <w:proofErr w:type="gramEnd"/>
      <w:r w:rsidRPr="00AB2AE4">
        <w:rPr>
          <w:rFonts w:ascii="Arial" w:hAnsi="Arial" w:cs="Arial"/>
        </w:rPr>
        <w:t xml:space="preserve"> </w:t>
      </w:r>
    </w:p>
    <w:p w14:paraId="6F78D843" w14:textId="77777777" w:rsidR="00AB2AE4" w:rsidRPr="00AB2AE4" w:rsidRDefault="00AB2AE4" w:rsidP="00AB2AE4">
      <w:pPr>
        <w:spacing w:line="276" w:lineRule="auto"/>
        <w:jc w:val="both"/>
        <w:rPr>
          <w:rFonts w:ascii="Arial" w:hAnsi="Arial" w:cs="Arial"/>
        </w:rPr>
      </w:pPr>
    </w:p>
    <w:p w14:paraId="0A0D86F7"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GDPR.</w:t>
      </w:r>
      <w:proofErr w:type="gramEnd"/>
      <w:r w:rsidRPr="00AB2AE4">
        <w:rPr>
          <w:rFonts w:ascii="Arial" w:hAnsi="Arial" w:cs="Arial"/>
        </w:rPr>
        <w:t xml:space="preserve"> </w:t>
      </w:r>
      <w:proofErr w:type="gramStart"/>
      <w:r w:rsidRPr="00AB2AE4">
        <w:rPr>
          <w:rFonts w:ascii="Arial" w:hAnsi="Arial" w:cs="Arial"/>
        </w:rPr>
        <w:t xml:space="preserve">(2025). </w:t>
      </w:r>
      <w:r w:rsidRPr="009B6CAF">
        <w:rPr>
          <w:rFonts w:ascii="Arial" w:hAnsi="Arial" w:cs="Arial"/>
          <w:i/>
        </w:rPr>
        <w:t>General Data Protection Regulation</w:t>
      </w:r>
      <w:r w:rsidRPr="00AB2AE4">
        <w:rPr>
          <w:rFonts w:ascii="Arial" w:hAnsi="Arial" w:cs="Arial"/>
        </w:rPr>
        <w:t>.</w:t>
      </w:r>
      <w:proofErr w:type="gramEnd"/>
      <w:r w:rsidRPr="00AB2AE4">
        <w:rPr>
          <w:rFonts w:ascii="Arial" w:hAnsi="Arial" w:cs="Arial"/>
        </w:rPr>
        <w:t xml:space="preserve"> Retrieved 10/03/2026 from https://gdpr-info.eu/</w:t>
      </w:r>
    </w:p>
    <w:p w14:paraId="43FF788A" w14:textId="77777777" w:rsidR="00AB2AE4" w:rsidRPr="00AB2AE4" w:rsidRDefault="00AB2AE4" w:rsidP="00AB2AE4">
      <w:pPr>
        <w:spacing w:line="276" w:lineRule="auto"/>
        <w:jc w:val="both"/>
        <w:rPr>
          <w:rFonts w:ascii="Arial" w:hAnsi="Arial" w:cs="Arial"/>
        </w:rPr>
      </w:pPr>
    </w:p>
    <w:p w14:paraId="3AC0128F"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Guy, M., &amp; </w:t>
      </w:r>
      <w:proofErr w:type="spellStart"/>
      <w:r w:rsidRPr="00AB2AE4">
        <w:rPr>
          <w:rFonts w:ascii="Arial" w:hAnsi="Arial" w:cs="Arial"/>
        </w:rPr>
        <w:t>Odudu</w:t>
      </w:r>
      <w:proofErr w:type="spellEnd"/>
      <w:r w:rsidRPr="00AB2AE4">
        <w:rPr>
          <w:rFonts w:ascii="Arial" w:hAnsi="Arial" w:cs="Arial"/>
        </w:rPr>
        <w:t>, O. (2023).</w:t>
      </w:r>
      <w:proofErr w:type="gramEnd"/>
      <w:r w:rsidRPr="00AB2AE4">
        <w:rPr>
          <w:rFonts w:ascii="Arial" w:hAnsi="Arial" w:cs="Arial"/>
        </w:rPr>
        <w:t xml:space="preserve"> Understanding ‘NHS privatisation’: from competition to integration and beyond in the English NHS. </w:t>
      </w:r>
      <w:r w:rsidRPr="009B6CAF">
        <w:rPr>
          <w:rFonts w:ascii="Arial" w:hAnsi="Arial" w:cs="Arial"/>
          <w:i/>
        </w:rPr>
        <w:t>NILQ, 74</w:t>
      </w:r>
      <w:r w:rsidRPr="00AB2AE4">
        <w:rPr>
          <w:rFonts w:ascii="Arial" w:hAnsi="Arial" w:cs="Arial"/>
        </w:rPr>
        <w:t xml:space="preserve">(4), 1-8. https://nilq.qub.ac.uk/index.php/nilq/article/view/1068 </w:t>
      </w:r>
    </w:p>
    <w:p w14:paraId="7594DC46" w14:textId="77777777" w:rsidR="00AB2AE4" w:rsidRPr="00AB2AE4" w:rsidRDefault="00AB2AE4" w:rsidP="00AB2AE4">
      <w:pPr>
        <w:spacing w:line="276" w:lineRule="auto"/>
        <w:jc w:val="both"/>
        <w:rPr>
          <w:rFonts w:ascii="Arial" w:hAnsi="Arial" w:cs="Arial"/>
        </w:rPr>
      </w:pPr>
    </w:p>
    <w:p w14:paraId="6AD371F2"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Hollak</w:t>
      </w:r>
      <w:proofErr w:type="spellEnd"/>
      <w:r w:rsidRPr="00AB2AE4">
        <w:rPr>
          <w:rFonts w:ascii="Arial" w:hAnsi="Arial" w:cs="Arial"/>
        </w:rPr>
        <w:t xml:space="preserve">, C. E. M., Rosenberg, N., Post, C., </w:t>
      </w:r>
      <w:proofErr w:type="spellStart"/>
      <w:r w:rsidRPr="00AB2AE4">
        <w:rPr>
          <w:rFonts w:ascii="Arial" w:hAnsi="Arial" w:cs="Arial"/>
        </w:rPr>
        <w:t>Stolwijk</w:t>
      </w:r>
      <w:proofErr w:type="spellEnd"/>
      <w:r w:rsidRPr="00AB2AE4">
        <w:rPr>
          <w:rFonts w:ascii="Arial" w:hAnsi="Arial" w:cs="Arial"/>
        </w:rPr>
        <w:t xml:space="preserve">, N., </w:t>
      </w:r>
      <w:proofErr w:type="spellStart"/>
      <w:r w:rsidRPr="00AB2AE4">
        <w:rPr>
          <w:rFonts w:ascii="Arial" w:hAnsi="Arial" w:cs="Arial"/>
        </w:rPr>
        <w:t>Manders</w:t>
      </w:r>
      <w:proofErr w:type="spellEnd"/>
      <w:r w:rsidRPr="00AB2AE4">
        <w:rPr>
          <w:rFonts w:ascii="Arial" w:hAnsi="Arial" w:cs="Arial"/>
        </w:rPr>
        <w:t xml:space="preserve">, E., </w:t>
      </w:r>
      <w:proofErr w:type="spellStart"/>
      <w:r w:rsidRPr="00AB2AE4">
        <w:rPr>
          <w:rFonts w:ascii="Arial" w:hAnsi="Arial" w:cs="Arial"/>
        </w:rPr>
        <w:t>Schoenmakers</w:t>
      </w:r>
      <w:proofErr w:type="spellEnd"/>
      <w:r w:rsidRPr="00AB2AE4">
        <w:rPr>
          <w:rFonts w:ascii="Arial" w:hAnsi="Arial" w:cs="Arial"/>
        </w:rPr>
        <w:t xml:space="preserve">, D., </w:t>
      </w:r>
      <w:proofErr w:type="spellStart"/>
      <w:r w:rsidRPr="00AB2AE4">
        <w:rPr>
          <w:rFonts w:ascii="Arial" w:hAnsi="Arial" w:cs="Arial"/>
        </w:rPr>
        <w:t>Penninx</w:t>
      </w:r>
      <w:proofErr w:type="spellEnd"/>
      <w:r w:rsidRPr="00AB2AE4">
        <w:rPr>
          <w:rFonts w:ascii="Arial" w:hAnsi="Arial" w:cs="Arial"/>
        </w:rPr>
        <w:t xml:space="preserve">, B., </w:t>
      </w:r>
      <w:proofErr w:type="spellStart"/>
      <w:r w:rsidRPr="00AB2AE4">
        <w:rPr>
          <w:rFonts w:ascii="Arial" w:hAnsi="Arial" w:cs="Arial"/>
        </w:rPr>
        <w:t>Reijnhout</w:t>
      </w:r>
      <w:proofErr w:type="spellEnd"/>
      <w:r w:rsidRPr="00AB2AE4">
        <w:rPr>
          <w:rFonts w:ascii="Arial" w:hAnsi="Arial" w:cs="Arial"/>
        </w:rPr>
        <w:t xml:space="preserve">, N., </w:t>
      </w:r>
      <w:proofErr w:type="spellStart"/>
      <w:r w:rsidRPr="00AB2AE4">
        <w:rPr>
          <w:rFonts w:ascii="Arial" w:hAnsi="Arial" w:cs="Arial"/>
        </w:rPr>
        <w:t>Verdeyen</w:t>
      </w:r>
      <w:proofErr w:type="spellEnd"/>
      <w:r w:rsidRPr="00AB2AE4">
        <w:rPr>
          <w:rFonts w:ascii="Arial" w:hAnsi="Arial" w:cs="Arial"/>
        </w:rPr>
        <w:t xml:space="preserve">, K., </w:t>
      </w:r>
      <w:proofErr w:type="spellStart"/>
      <w:r w:rsidRPr="00AB2AE4">
        <w:rPr>
          <w:rFonts w:ascii="Arial" w:hAnsi="Arial" w:cs="Arial"/>
        </w:rPr>
        <w:t>Jonker</w:t>
      </w:r>
      <w:proofErr w:type="spellEnd"/>
      <w:r w:rsidRPr="00AB2AE4">
        <w:rPr>
          <w:rFonts w:ascii="Arial" w:hAnsi="Arial" w:cs="Arial"/>
        </w:rPr>
        <w:t xml:space="preserve">, R., Bosch, A. M., </w:t>
      </w:r>
      <w:proofErr w:type="spellStart"/>
      <w:r w:rsidRPr="00AB2AE4">
        <w:rPr>
          <w:rFonts w:ascii="Arial" w:hAnsi="Arial" w:cs="Arial"/>
        </w:rPr>
        <w:t>Langeveld</w:t>
      </w:r>
      <w:proofErr w:type="spellEnd"/>
      <w:r w:rsidRPr="00AB2AE4">
        <w:rPr>
          <w:rFonts w:ascii="Arial" w:hAnsi="Arial" w:cs="Arial"/>
        </w:rPr>
        <w:t xml:space="preserve">, M., van der </w:t>
      </w:r>
      <w:proofErr w:type="spellStart"/>
      <w:r w:rsidRPr="00AB2AE4">
        <w:rPr>
          <w:rFonts w:ascii="Arial" w:hAnsi="Arial" w:cs="Arial"/>
        </w:rPr>
        <w:t>Wel</w:t>
      </w:r>
      <w:proofErr w:type="spellEnd"/>
      <w:r w:rsidRPr="00AB2AE4">
        <w:rPr>
          <w:rFonts w:ascii="Arial" w:hAnsi="Arial" w:cs="Arial"/>
        </w:rPr>
        <w:t xml:space="preserve">, V., de </w:t>
      </w:r>
      <w:proofErr w:type="spellStart"/>
      <w:r w:rsidRPr="00AB2AE4">
        <w:rPr>
          <w:rFonts w:ascii="Arial" w:hAnsi="Arial" w:cs="Arial"/>
        </w:rPr>
        <w:t>Visser</w:t>
      </w:r>
      <w:proofErr w:type="spellEnd"/>
      <w:r w:rsidRPr="00AB2AE4">
        <w:rPr>
          <w:rFonts w:ascii="Arial" w:hAnsi="Arial" w:cs="Arial"/>
        </w:rPr>
        <w:t xml:space="preserve">, S., &amp; van den Berg, S. (2026). Medicine Development and Access for Rare Diseases: Can We Do Better? </w:t>
      </w:r>
      <w:r w:rsidRPr="009B6CAF">
        <w:rPr>
          <w:rFonts w:ascii="Arial" w:hAnsi="Arial" w:cs="Arial"/>
          <w:i/>
        </w:rPr>
        <w:t xml:space="preserve">J Inherit </w:t>
      </w:r>
      <w:proofErr w:type="spellStart"/>
      <w:r w:rsidRPr="009B6CAF">
        <w:rPr>
          <w:rFonts w:ascii="Arial" w:hAnsi="Arial" w:cs="Arial"/>
          <w:i/>
        </w:rPr>
        <w:t>Metab</w:t>
      </w:r>
      <w:proofErr w:type="spellEnd"/>
      <w:r w:rsidRPr="009B6CAF">
        <w:rPr>
          <w:rFonts w:ascii="Arial" w:hAnsi="Arial" w:cs="Arial"/>
          <w:i/>
        </w:rPr>
        <w:t xml:space="preserve"> Dis, 49</w:t>
      </w:r>
      <w:r w:rsidRPr="00AB2AE4">
        <w:rPr>
          <w:rFonts w:ascii="Arial" w:hAnsi="Arial" w:cs="Arial"/>
        </w:rPr>
        <w:t xml:space="preserve">(2), 1-7. https://doi.org/10.1002/jimd.70146 </w:t>
      </w:r>
    </w:p>
    <w:p w14:paraId="4CC74F2B" w14:textId="77777777" w:rsidR="00AB2AE4" w:rsidRPr="00AB2AE4" w:rsidRDefault="00AB2AE4" w:rsidP="00AB2AE4">
      <w:pPr>
        <w:spacing w:line="276" w:lineRule="auto"/>
        <w:jc w:val="both"/>
        <w:rPr>
          <w:rFonts w:ascii="Arial" w:hAnsi="Arial" w:cs="Arial"/>
        </w:rPr>
      </w:pPr>
    </w:p>
    <w:p w14:paraId="15350103"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IASP.</w:t>
      </w:r>
      <w:proofErr w:type="gramEnd"/>
      <w:r w:rsidRPr="00AB2AE4">
        <w:rPr>
          <w:rFonts w:ascii="Arial" w:hAnsi="Arial" w:cs="Arial"/>
        </w:rPr>
        <w:t xml:space="preserve"> </w:t>
      </w:r>
      <w:proofErr w:type="gramStart"/>
      <w:r w:rsidRPr="00AB2AE4">
        <w:rPr>
          <w:rFonts w:ascii="Arial" w:hAnsi="Arial" w:cs="Arial"/>
        </w:rPr>
        <w:t xml:space="preserve">(2022). </w:t>
      </w:r>
      <w:r w:rsidRPr="009B6CAF">
        <w:rPr>
          <w:rFonts w:ascii="Arial" w:hAnsi="Arial" w:cs="Arial"/>
          <w:i/>
        </w:rPr>
        <w:t>Clinical Practice Guidelines</w:t>
      </w:r>
      <w:r w:rsidRPr="00AB2AE4">
        <w:rPr>
          <w:rFonts w:ascii="Arial" w:hAnsi="Arial" w:cs="Arial"/>
        </w:rPr>
        <w:t>.</w:t>
      </w:r>
      <w:proofErr w:type="gramEnd"/>
      <w:r w:rsidRPr="00AB2AE4">
        <w:rPr>
          <w:rFonts w:ascii="Arial" w:hAnsi="Arial" w:cs="Arial"/>
        </w:rPr>
        <w:t xml:space="preserve"> Retrieved 10/06/2026 from https://www.iasp-pain.org/resources/fact-sheets/clinical-practice-guidelines/</w:t>
      </w:r>
    </w:p>
    <w:p w14:paraId="2D748225" w14:textId="77777777" w:rsidR="00AB2AE4" w:rsidRPr="00AB2AE4" w:rsidRDefault="00AB2AE4" w:rsidP="00AB2AE4">
      <w:pPr>
        <w:spacing w:line="276" w:lineRule="auto"/>
        <w:jc w:val="both"/>
        <w:rPr>
          <w:rFonts w:ascii="Arial" w:hAnsi="Arial" w:cs="Arial"/>
        </w:rPr>
      </w:pPr>
    </w:p>
    <w:p w14:paraId="69B185CD"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Jain, P., Jain, B., Hammond, A., </w:t>
      </w:r>
      <w:proofErr w:type="spellStart"/>
      <w:r w:rsidRPr="00AB2AE4">
        <w:rPr>
          <w:rFonts w:ascii="Arial" w:hAnsi="Arial" w:cs="Arial"/>
        </w:rPr>
        <w:t>Sabet</w:t>
      </w:r>
      <w:proofErr w:type="spellEnd"/>
      <w:r w:rsidRPr="00AB2AE4">
        <w:rPr>
          <w:rFonts w:ascii="Arial" w:hAnsi="Arial" w:cs="Arial"/>
        </w:rPr>
        <w:t xml:space="preserve">, C. J., Rahim, F. O., Patel, T. A., Jain, U., </w:t>
      </w:r>
      <w:proofErr w:type="spellStart"/>
      <w:r w:rsidRPr="00AB2AE4">
        <w:rPr>
          <w:rFonts w:ascii="Arial" w:hAnsi="Arial" w:cs="Arial"/>
        </w:rPr>
        <w:t>Batra</w:t>
      </w:r>
      <w:proofErr w:type="spellEnd"/>
      <w:r w:rsidRPr="00AB2AE4">
        <w:rPr>
          <w:rFonts w:ascii="Arial" w:hAnsi="Arial" w:cs="Arial"/>
        </w:rPr>
        <w:t xml:space="preserve">, M., &amp; Lewis, S. (2025). </w:t>
      </w:r>
      <w:r w:rsidRPr="009B6CAF">
        <w:rPr>
          <w:rFonts w:ascii="Arial" w:hAnsi="Arial" w:cs="Arial"/>
          <w:i/>
        </w:rPr>
        <w:t>Value-Based Care: Lessons for the United Kingdom’s National Health Service. Value in Health, 28</w:t>
      </w:r>
      <w:r w:rsidRPr="00AB2AE4">
        <w:rPr>
          <w:rFonts w:ascii="Arial" w:hAnsi="Arial" w:cs="Arial"/>
        </w:rPr>
        <w:t xml:space="preserve">(9), 1309-1316. https://doi.org/10.1016/j.jval.2025.06.003 </w:t>
      </w:r>
    </w:p>
    <w:p w14:paraId="5A670ACC" w14:textId="77777777" w:rsidR="00AB2AE4" w:rsidRPr="00AB2AE4" w:rsidRDefault="00AB2AE4" w:rsidP="00AB2AE4">
      <w:pPr>
        <w:spacing w:line="276" w:lineRule="auto"/>
        <w:jc w:val="both"/>
        <w:rPr>
          <w:rFonts w:ascii="Arial" w:hAnsi="Arial" w:cs="Arial"/>
        </w:rPr>
      </w:pPr>
    </w:p>
    <w:p w14:paraId="3E162194"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Janssen </w:t>
      </w:r>
      <w:proofErr w:type="spellStart"/>
      <w:r w:rsidRPr="00AB2AE4">
        <w:rPr>
          <w:rFonts w:ascii="Arial" w:hAnsi="Arial" w:cs="Arial"/>
        </w:rPr>
        <w:t>Daalen</w:t>
      </w:r>
      <w:proofErr w:type="spellEnd"/>
      <w:r w:rsidRPr="00AB2AE4">
        <w:rPr>
          <w:rFonts w:ascii="Arial" w:hAnsi="Arial" w:cs="Arial"/>
        </w:rPr>
        <w:t xml:space="preserve">, J. M., den </w:t>
      </w:r>
      <w:proofErr w:type="spellStart"/>
      <w:r w:rsidRPr="00AB2AE4">
        <w:rPr>
          <w:rFonts w:ascii="Arial" w:hAnsi="Arial" w:cs="Arial"/>
        </w:rPr>
        <w:t>Ambtman</w:t>
      </w:r>
      <w:proofErr w:type="spellEnd"/>
      <w:r w:rsidRPr="00AB2AE4">
        <w:rPr>
          <w:rFonts w:ascii="Arial" w:hAnsi="Arial" w:cs="Arial"/>
        </w:rPr>
        <w:t xml:space="preserve">, A., Van </w:t>
      </w:r>
      <w:proofErr w:type="spellStart"/>
      <w:r w:rsidRPr="00AB2AE4">
        <w:rPr>
          <w:rFonts w:ascii="Arial" w:hAnsi="Arial" w:cs="Arial"/>
        </w:rPr>
        <w:t>Houdenhoven</w:t>
      </w:r>
      <w:proofErr w:type="spellEnd"/>
      <w:r w:rsidRPr="00AB2AE4">
        <w:rPr>
          <w:rFonts w:ascii="Arial" w:hAnsi="Arial" w:cs="Arial"/>
        </w:rPr>
        <w:t xml:space="preserve">, M., &amp; van den </w:t>
      </w:r>
      <w:proofErr w:type="spellStart"/>
      <w:r w:rsidRPr="00AB2AE4">
        <w:rPr>
          <w:rFonts w:ascii="Arial" w:hAnsi="Arial" w:cs="Arial"/>
        </w:rPr>
        <w:t>Bemt</w:t>
      </w:r>
      <w:proofErr w:type="spellEnd"/>
      <w:r w:rsidRPr="00AB2AE4">
        <w:rPr>
          <w:rFonts w:ascii="Arial" w:hAnsi="Arial" w:cs="Arial"/>
        </w:rPr>
        <w:t xml:space="preserve">, B. J. F. (2021). Determinants of drug prices: a systematic review of comparison studies. </w:t>
      </w:r>
      <w:r w:rsidRPr="00DB1FC4">
        <w:rPr>
          <w:rFonts w:ascii="Arial" w:hAnsi="Arial" w:cs="Arial"/>
          <w:i/>
        </w:rPr>
        <w:t>BMJ Open, 11</w:t>
      </w:r>
      <w:r w:rsidRPr="00AB2AE4">
        <w:rPr>
          <w:rFonts w:ascii="Arial" w:hAnsi="Arial" w:cs="Arial"/>
        </w:rPr>
        <w:t xml:space="preserve">(7), 1-7. https://doi.org/10.1136/bmjopen-2020-046917 </w:t>
      </w:r>
    </w:p>
    <w:p w14:paraId="72131310" w14:textId="77777777" w:rsidR="00AB2AE4" w:rsidRPr="00AB2AE4" w:rsidRDefault="00AB2AE4" w:rsidP="00AB2AE4">
      <w:pPr>
        <w:spacing w:line="276" w:lineRule="auto"/>
        <w:jc w:val="both"/>
        <w:rPr>
          <w:rFonts w:ascii="Arial" w:hAnsi="Arial" w:cs="Arial"/>
        </w:rPr>
      </w:pPr>
    </w:p>
    <w:p w14:paraId="60CF4705"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Jaques</w:t>
      </w:r>
      <w:proofErr w:type="spellEnd"/>
      <w:r w:rsidRPr="00AB2AE4">
        <w:rPr>
          <w:rFonts w:ascii="Arial" w:hAnsi="Arial" w:cs="Arial"/>
        </w:rPr>
        <w:t xml:space="preserve">, R., </w:t>
      </w:r>
      <w:proofErr w:type="spellStart"/>
      <w:r w:rsidRPr="00AB2AE4">
        <w:rPr>
          <w:rFonts w:ascii="Arial" w:hAnsi="Arial" w:cs="Arial"/>
        </w:rPr>
        <w:t>Shakeel</w:t>
      </w:r>
      <w:proofErr w:type="spellEnd"/>
      <w:r w:rsidRPr="00AB2AE4">
        <w:rPr>
          <w:rFonts w:ascii="Arial" w:hAnsi="Arial" w:cs="Arial"/>
        </w:rPr>
        <w:t>, A., &amp; Hoyle, C. (2020).</w:t>
      </w:r>
      <w:proofErr w:type="gramEnd"/>
      <w:r w:rsidRPr="00AB2AE4">
        <w:rPr>
          <w:rFonts w:ascii="Arial" w:hAnsi="Arial" w:cs="Arial"/>
        </w:rPr>
        <w:t xml:space="preserve"> </w:t>
      </w:r>
      <w:proofErr w:type="gramStart"/>
      <w:r w:rsidRPr="00AB2AE4">
        <w:rPr>
          <w:rFonts w:ascii="Arial" w:hAnsi="Arial" w:cs="Arial"/>
        </w:rPr>
        <w:t>Novel therapeutic approaches for the management of cystic fibrosis.</w:t>
      </w:r>
      <w:proofErr w:type="gramEnd"/>
      <w:r w:rsidRPr="00AB2AE4">
        <w:rPr>
          <w:rFonts w:ascii="Arial" w:hAnsi="Arial" w:cs="Arial"/>
        </w:rPr>
        <w:t xml:space="preserve"> </w:t>
      </w:r>
      <w:proofErr w:type="spellStart"/>
      <w:r w:rsidRPr="00DB1FC4">
        <w:rPr>
          <w:rFonts w:ascii="Arial" w:hAnsi="Arial" w:cs="Arial"/>
          <w:i/>
        </w:rPr>
        <w:t>Multidiscip</w:t>
      </w:r>
      <w:proofErr w:type="spellEnd"/>
      <w:r w:rsidRPr="00DB1FC4">
        <w:rPr>
          <w:rFonts w:ascii="Arial" w:hAnsi="Arial" w:cs="Arial"/>
          <w:i/>
        </w:rPr>
        <w:t xml:space="preserve"> </w:t>
      </w:r>
      <w:proofErr w:type="spellStart"/>
      <w:r w:rsidRPr="00DB1FC4">
        <w:rPr>
          <w:rFonts w:ascii="Arial" w:hAnsi="Arial" w:cs="Arial"/>
          <w:i/>
        </w:rPr>
        <w:t>Respir</w:t>
      </w:r>
      <w:proofErr w:type="spellEnd"/>
      <w:r w:rsidRPr="00DB1FC4">
        <w:rPr>
          <w:rFonts w:ascii="Arial" w:hAnsi="Arial" w:cs="Arial"/>
          <w:i/>
        </w:rPr>
        <w:t xml:space="preserve"> Med, 15</w:t>
      </w:r>
      <w:r w:rsidRPr="00AB2AE4">
        <w:rPr>
          <w:rFonts w:ascii="Arial" w:hAnsi="Arial" w:cs="Arial"/>
        </w:rPr>
        <w:t xml:space="preserve">(1), 690-698. https://doi.org/10.4081/mrm.2020.690 </w:t>
      </w:r>
    </w:p>
    <w:p w14:paraId="0AE46E8D" w14:textId="77777777" w:rsidR="00AB2AE4" w:rsidRPr="00AB2AE4" w:rsidRDefault="00AB2AE4" w:rsidP="00AB2AE4">
      <w:pPr>
        <w:spacing w:line="276" w:lineRule="auto"/>
        <w:jc w:val="both"/>
        <w:rPr>
          <w:rFonts w:ascii="Arial" w:hAnsi="Arial" w:cs="Arial"/>
        </w:rPr>
      </w:pPr>
    </w:p>
    <w:p w14:paraId="7871C1A1"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Justiz-Vaillant</w:t>
      </w:r>
      <w:proofErr w:type="spellEnd"/>
      <w:r w:rsidRPr="00AB2AE4">
        <w:rPr>
          <w:rFonts w:ascii="Arial" w:hAnsi="Arial" w:cs="Arial"/>
        </w:rPr>
        <w:t xml:space="preserve">, A., </w:t>
      </w:r>
      <w:proofErr w:type="spellStart"/>
      <w:r w:rsidRPr="00AB2AE4">
        <w:rPr>
          <w:rFonts w:ascii="Arial" w:hAnsi="Arial" w:cs="Arial"/>
        </w:rPr>
        <w:t>Pandit</w:t>
      </w:r>
      <w:proofErr w:type="spellEnd"/>
      <w:r w:rsidRPr="00AB2AE4">
        <w:rPr>
          <w:rFonts w:ascii="Arial" w:hAnsi="Arial" w:cs="Arial"/>
        </w:rPr>
        <w:t xml:space="preserve">, B. R., </w:t>
      </w:r>
      <w:proofErr w:type="spellStart"/>
      <w:r w:rsidRPr="00AB2AE4">
        <w:rPr>
          <w:rFonts w:ascii="Arial" w:hAnsi="Arial" w:cs="Arial"/>
        </w:rPr>
        <w:t>Unakal</w:t>
      </w:r>
      <w:proofErr w:type="spellEnd"/>
      <w:r w:rsidRPr="00AB2AE4">
        <w:rPr>
          <w:rFonts w:ascii="Arial" w:hAnsi="Arial" w:cs="Arial"/>
        </w:rPr>
        <w:t xml:space="preserve">, C., </w:t>
      </w:r>
      <w:proofErr w:type="spellStart"/>
      <w:r w:rsidRPr="00AB2AE4">
        <w:rPr>
          <w:rFonts w:ascii="Arial" w:hAnsi="Arial" w:cs="Arial"/>
        </w:rPr>
        <w:t>Vuma</w:t>
      </w:r>
      <w:proofErr w:type="spellEnd"/>
      <w:r w:rsidRPr="00AB2AE4">
        <w:rPr>
          <w:rFonts w:ascii="Arial" w:hAnsi="Arial" w:cs="Arial"/>
        </w:rPr>
        <w:t xml:space="preserve">, S., &amp; </w:t>
      </w:r>
      <w:proofErr w:type="spellStart"/>
      <w:r w:rsidRPr="00AB2AE4">
        <w:rPr>
          <w:rFonts w:ascii="Arial" w:hAnsi="Arial" w:cs="Arial"/>
        </w:rPr>
        <w:t>Akpaka</w:t>
      </w:r>
      <w:proofErr w:type="spellEnd"/>
      <w:r w:rsidRPr="00AB2AE4">
        <w:rPr>
          <w:rFonts w:ascii="Arial" w:hAnsi="Arial" w:cs="Arial"/>
        </w:rPr>
        <w:t>, P. E. (2025).</w:t>
      </w:r>
      <w:proofErr w:type="gramEnd"/>
      <w:r w:rsidRPr="00AB2AE4">
        <w:rPr>
          <w:rFonts w:ascii="Arial" w:hAnsi="Arial" w:cs="Arial"/>
        </w:rPr>
        <w:t xml:space="preserve"> A Comprehensive Review </w:t>
      </w:r>
      <w:proofErr w:type="gramStart"/>
      <w:r w:rsidRPr="00AB2AE4">
        <w:rPr>
          <w:rFonts w:ascii="Arial" w:hAnsi="Arial" w:cs="Arial"/>
        </w:rPr>
        <w:t>About</w:t>
      </w:r>
      <w:proofErr w:type="gramEnd"/>
      <w:r w:rsidRPr="00AB2AE4">
        <w:rPr>
          <w:rFonts w:ascii="Arial" w:hAnsi="Arial" w:cs="Arial"/>
        </w:rPr>
        <w:t xml:space="preserve"> the Use of Monoclonal Antibodies in Cancer Therapy. </w:t>
      </w:r>
      <w:r w:rsidRPr="00DB1FC4">
        <w:rPr>
          <w:rFonts w:ascii="Arial" w:hAnsi="Arial" w:cs="Arial"/>
          <w:i/>
        </w:rPr>
        <w:t>Antibodies (Basel), 14</w:t>
      </w:r>
      <w:r w:rsidRPr="00AB2AE4">
        <w:rPr>
          <w:rFonts w:ascii="Arial" w:hAnsi="Arial" w:cs="Arial"/>
        </w:rPr>
        <w:t xml:space="preserve">(2), 1-8. https://doi.org/10.3390/antib14020035 </w:t>
      </w:r>
    </w:p>
    <w:p w14:paraId="3F1E3659" w14:textId="77777777" w:rsidR="00AB2AE4" w:rsidRPr="00AB2AE4" w:rsidRDefault="00AB2AE4" w:rsidP="00AB2AE4">
      <w:pPr>
        <w:spacing w:line="276" w:lineRule="auto"/>
        <w:jc w:val="both"/>
        <w:rPr>
          <w:rFonts w:ascii="Arial" w:hAnsi="Arial" w:cs="Arial"/>
        </w:rPr>
      </w:pPr>
    </w:p>
    <w:p w14:paraId="0517CDBA"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Kahtan</w:t>
      </w:r>
      <w:proofErr w:type="spellEnd"/>
      <w:r w:rsidRPr="00AB2AE4">
        <w:rPr>
          <w:rFonts w:ascii="Arial" w:hAnsi="Arial" w:cs="Arial"/>
        </w:rPr>
        <w:t xml:space="preserve">, P. (2025). </w:t>
      </w:r>
      <w:proofErr w:type="gramStart"/>
      <w:r w:rsidRPr="00DB1FC4">
        <w:rPr>
          <w:rFonts w:ascii="Arial" w:hAnsi="Arial" w:cs="Arial"/>
          <w:i/>
        </w:rPr>
        <w:t>Understanding NHS medicines spending in England</w:t>
      </w:r>
      <w:r w:rsidRPr="00AB2AE4">
        <w:rPr>
          <w:rFonts w:ascii="Arial" w:hAnsi="Arial" w:cs="Arial"/>
        </w:rPr>
        <w:t>.</w:t>
      </w:r>
      <w:proofErr w:type="gramEnd"/>
      <w:r w:rsidRPr="00AB2AE4">
        <w:rPr>
          <w:rFonts w:ascii="Arial" w:hAnsi="Arial" w:cs="Arial"/>
        </w:rPr>
        <w:t xml:space="preserve"> Retrieved 10/06/2026 from https://www.abpi.org.uk/media/blogs/2025/march/understanding-nhs-medicines-spending-in-england/</w:t>
      </w:r>
    </w:p>
    <w:p w14:paraId="7D3C006E" w14:textId="77777777" w:rsidR="00AB2AE4" w:rsidRPr="00AB2AE4" w:rsidRDefault="00AB2AE4" w:rsidP="00AB2AE4">
      <w:pPr>
        <w:spacing w:line="276" w:lineRule="auto"/>
        <w:jc w:val="both"/>
        <w:rPr>
          <w:rFonts w:ascii="Arial" w:hAnsi="Arial" w:cs="Arial"/>
        </w:rPr>
      </w:pPr>
    </w:p>
    <w:p w14:paraId="01E96E15"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Kamper</w:t>
      </w:r>
      <w:proofErr w:type="spellEnd"/>
      <w:r w:rsidRPr="00AB2AE4">
        <w:rPr>
          <w:rFonts w:ascii="Arial" w:hAnsi="Arial" w:cs="Arial"/>
        </w:rPr>
        <w:t xml:space="preserve">, S. J. (2020). Generalizability: Linking Evidence to Practice. </w:t>
      </w:r>
      <w:r w:rsidRPr="00DB1FC4">
        <w:rPr>
          <w:rFonts w:ascii="Arial" w:hAnsi="Arial" w:cs="Arial"/>
          <w:i/>
        </w:rPr>
        <w:t xml:space="preserve">J </w:t>
      </w:r>
      <w:proofErr w:type="spellStart"/>
      <w:r w:rsidRPr="00DB1FC4">
        <w:rPr>
          <w:rFonts w:ascii="Arial" w:hAnsi="Arial" w:cs="Arial"/>
          <w:i/>
        </w:rPr>
        <w:t>Orthop</w:t>
      </w:r>
      <w:proofErr w:type="spellEnd"/>
      <w:r w:rsidRPr="00DB1FC4">
        <w:rPr>
          <w:rFonts w:ascii="Arial" w:hAnsi="Arial" w:cs="Arial"/>
          <w:i/>
        </w:rPr>
        <w:t xml:space="preserve"> Sports </w:t>
      </w:r>
      <w:proofErr w:type="spellStart"/>
      <w:r w:rsidRPr="00DB1FC4">
        <w:rPr>
          <w:rFonts w:ascii="Arial" w:hAnsi="Arial" w:cs="Arial"/>
          <w:i/>
        </w:rPr>
        <w:t>Phys</w:t>
      </w:r>
      <w:proofErr w:type="spellEnd"/>
      <w:r w:rsidRPr="00DB1FC4">
        <w:rPr>
          <w:rFonts w:ascii="Arial" w:hAnsi="Arial" w:cs="Arial"/>
          <w:i/>
        </w:rPr>
        <w:t xml:space="preserve"> </w:t>
      </w:r>
      <w:proofErr w:type="spellStart"/>
      <w:r w:rsidRPr="00DB1FC4">
        <w:rPr>
          <w:rFonts w:ascii="Arial" w:hAnsi="Arial" w:cs="Arial"/>
          <w:i/>
        </w:rPr>
        <w:t>Ther</w:t>
      </w:r>
      <w:proofErr w:type="spellEnd"/>
      <w:r w:rsidRPr="00DB1FC4">
        <w:rPr>
          <w:rFonts w:ascii="Arial" w:hAnsi="Arial" w:cs="Arial"/>
          <w:i/>
        </w:rPr>
        <w:t>, 50</w:t>
      </w:r>
      <w:r w:rsidRPr="00AB2AE4">
        <w:rPr>
          <w:rFonts w:ascii="Arial" w:hAnsi="Arial" w:cs="Arial"/>
        </w:rPr>
        <w:t xml:space="preserve">(1), 45-46. https://doi.org/10.2519/jospt.2020.0701 </w:t>
      </w:r>
    </w:p>
    <w:p w14:paraId="7330C151" w14:textId="77777777" w:rsidR="00AB2AE4" w:rsidRPr="00AB2AE4" w:rsidRDefault="00AB2AE4" w:rsidP="00AB2AE4">
      <w:pPr>
        <w:spacing w:line="276" w:lineRule="auto"/>
        <w:jc w:val="both"/>
        <w:rPr>
          <w:rFonts w:ascii="Arial" w:hAnsi="Arial" w:cs="Arial"/>
        </w:rPr>
      </w:pPr>
    </w:p>
    <w:p w14:paraId="30752848"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Khalil, H., </w:t>
      </w:r>
      <w:proofErr w:type="spellStart"/>
      <w:r w:rsidRPr="00AB2AE4">
        <w:rPr>
          <w:rFonts w:ascii="Arial" w:hAnsi="Arial" w:cs="Arial"/>
        </w:rPr>
        <w:t>Ameen</w:t>
      </w:r>
      <w:proofErr w:type="spellEnd"/>
      <w:r w:rsidRPr="00AB2AE4">
        <w:rPr>
          <w:rFonts w:ascii="Arial" w:hAnsi="Arial" w:cs="Arial"/>
        </w:rPr>
        <w:t>, M., Davies, C., &amp; Liu, C. (2025).</w:t>
      </w:r>
      <w:proofErr w:type="gramEnd"/>
      <w:r w:rsidRPr="00AB2AE4">
        <w:rPr>
          <w:rFonts w:ascii="Arial" w:hAnsi="Arial" w:cs="Arial"/>
        </w:rPr>
        <w:t xml:space="preserve"> Implementing value-based healthcare: a scoping review of key elements, outcomes, and challenges for sustainable healthcare systems. </w:t>
      </w:r>
      <w:r w:rsidRPr="009C50E3">
        <w:rPr>
          <w:rFonts w:ascii="Arial" w:hAnsi="Arial" w:cs="Arial"/>
          <w:i/>
        </w:rPr>
        <w:t>Front Public Health, 13</w:t>
      </w:r>
      <w:r w:rsidRPr="00AB2AE4">
        <w:rPr>
          <w:rFonts w:ascii="Arial" w:hAnsi="Arial" w:cs="Arial"/>
        </w:rPr>
        <w:t xml:space="preserve">(1), 1-8. https://doi.org/10.3389/fpubh.2025.1514098 </w:t>
      </w:r>
    </w:p>
    <w:p w14:paraId="1997131F" w14:textId="77777777" w:rsidR="00AB2AE4" w:rsidRPr="00AB2AE4" w:rsidRDefault="00AB2AE4" w:rsidP="00AB2AE4">
      <w:pPr>
        <w:spacing w:line="276" w:lineRule="auto"/>
        <w:jc w:val="both"/>
        <w:rPr>
          <w:rFonts w:ascii="Arial" w:hAnsi="Arial" w:cs="Arial"/>
        </w:rPr>
      </w:pPr>
    </w:p>
    <w:p w14:paraId="53C5523E"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Kiesswetter</w:t>
      </w:r>
      <w:proofErr w:type="spellEnd"/>
      <w:r w:rsidRPr="00AB2AE4">
        <w:rPr>
          <w:rFonts w:ascii="Arial" w:hAnsi="Arial" w:cs="Arial"/>
        </w:rPr>
        <w:t xml:space="preserve">, E., </w:t>
      </w:r>
      <w:proofErr w:type="spellStart"/>
      <w:r w:rsidRPr="00AB2AE4">
        <w:rPr>
          <w:rFonts w:ascii="Arial" w:hAnsi="Arial" w:cs="Arial"/>
        </w:rPr>
        <w:t>Stadelmaier</w:t>
      </w:r>
      <w:proofErr w:type="spellEnd"/>
      <w:r w:rsidRPr="00AB2AE4">
        <w:rPr>
          <w:rFonts w:ascii="Arial" w:hAnsi="Arial" w:cs="Arial"/>
        </w:rPr>
        <w:t xml:space="preserve">, J., </w:t>
      </w:r>
      <w:proofErr w:type="spellStart"/>
      <w:r w:rsidRPr="00AB2AE4">
        <w:rPr>
          <w:rFonts w:ascii="Arial" w:hAnsi="Arial" w:cs="Arial"/>
        </w:rPr>
        <w:t>Grummich</w:t>
      </w:r>
      <w:proofErr w:type="spellEnd"/>
      <w:r w:rsidRPr="00AB2AE4">
        <w:rPr>
          <w:rFonts w:ascii="Arial" w:hAnsi="Arial" w:cs="Arial"/>
        </w:rPr>
        <w:t xml:space="preserve">, K., </w:t>
      </w:r>
      <w:proofErr w:type="spellStart"/>
      <w:r w:rsidRPr="00AB2AE4">
        <w:rPr>
          <w:rFonts w:ascii="Arial" w:hAnsi="Arial" w:cs="Arial"/>
        </w:rPr>
        <w:t>Schwarzer</w:t>
      </w:r>
      <w:proofErr w:type="spellEnd"/>
      <w:r w:rsidRPr="00AB2AE4">
        <w:rPr>
          <w:rFonts w:ascii="Arial" w:hAnsi="Arial" w:cs="Arial"/>
        </w:rPr>
        <w:t xml:space="preserve">, G., </w:t>
      </w:r>
      <w:proofErr w:type="spellStart"/>
      <w:r w:rsidRPr="00AB2AE4">
        <w:rPr>
          <w:rFonts w:ascii="Arial" w:hAnsi="Arial" w:cs="Arial"/>
        </w:rPr>
        <w:t>Bongaerts</w:t>
      </w:r>
      <w:proofErr w:type="spellEnd"/>
      <w:r w:rsidRPr="00AB2AE4">
        <w:rPr>
          <w:rFonts w:ascii="Arial" w:hAnsi="Arial" w:cs="Arial"/>
        </w:rPr>
        <w:t xml:space="preserve">, B., </w:t>
      </w:r>
      <w:proofErr w:type="spellStart"/>
      <w:r w:rsidRPr="00AB2AE4">
        <w:rPr>
          <w:rFonts w:ascii="Arial" w:hAnsi="Arial" w:cs="Arial"/>
        </w:rPr>
        <w:t>Meerpohl</w:t>
      </w:r>
      <w:proofErr w:type="spellEnd"/>
      <w:r w:rsidRPr="00AB2AE4">
        <w:rPr>
          <w:rFonts w:ascii="Arial" w:hAnsi="Arial" w:cs="Arial"/>
        </w:rPr>
        <w:t xml:space="preserve">, J. J., Norman, K., </w:t>
      </w:r>
      <w:proofErr w:type="spellStart"/>
      <w:r w:rsidRPr="00AB2AE4">
        <w:rPr>
          <w:rFonts w:ascii="Arial" w:hAnsi="Arial" w:cs="Arial"/>
        </w:rPr>
        <w:t>Schuetz</w:t>
      </w:r>
      <w:proofErr w:type="spellEnd"/>
      <w:r w:rsidRPr="00AB2AE4">
        <w:rPr>
          <w:rFonts w:ascii="Arial" w:hAnsi="Arial" w:cs="Arial"/>
        </w:rPr>
        <w:t xml:space="preserve">, P., </w:t>
      </w:r>
      <w:proofErr w:type="spellStart"/>
      <w:r w:rsidRPr="00AB2AE4">
        <w:rPr>
          <w:rFonts w:ascii="Arial" w:hAnsi="Arial" w:cs="Arial"/>
        </w:rPr>
        <w:t>Torbahn</w:t>
      </w:r>
      <w:proofErr w:type="spellEnd"/>
      <w:r w:rsidRPr="00AB2AE4">
        <w:rPr>
          <w:rFonts w:ascii="Arial" w:hAnsi="Arial" w:cs="Arial"/>
        </w:rPr>
        <w:t xml:space="preserve">, G., </w:t>
      </w:r>
      <w:proofErr w:type="spellStart"/>
      <w:r w:rsidRPr="00AB2AE4">
        <w:rPr>
          <w:rFonts w:ascii="Arial" w:hAnsi="Arial" w:cs="Arial"/>
        </w:rPr>
        <w:t>Visser</w:t>
      </w:r>
      <w:proofErr w:type="spellEnd"/>
      <w:r w:rsidRPr="00AB2AE4">
        <w:rPr>
          <w:rFonts w:ascii="Arial" w:hAnsi="Arial" w:cs="Arial"/>
        </w:rPr>
        <w:t>, M., &amp; et al. (2022). Oral nutrition interventions in hospitalised older people at nutritional risk: a network meta</w:t>
      </w:r>
      <w:r w:rsidRPr="00AB2AE4">
        <w:rPr>
          <w:rFonts w:ascii="Cambria Math" w:hAnsi="Cambria Math" w:cs="Cambria Math"/>
        </w:rPr>
        <w:t>‐</w:t>
      </w:r>
      <w:r w:rsidRPr="00AB2AE4">
        <w:rPr>
          <w:rFonts w:ascii="Arial" w:hAnsi="Arial" w:cs="Arial"/>
        </w:rPr>
        <w:t xml:space="preserve">analysis of individual participant data. </w:t>
      </w:r>
      <w:r w:rsidRPr="00544FFE">
        <w:rPr>
          <w:rFonts w:ascii="Arial" w:hAnsi="Arial" w:cs="Arial"/>
          <w:i/>
        </w:rPr>
        <w:t>Cochrane Database of Systematic Reviews, 1</w:t>
      </w:r>
      <w:r w:rsidRPr="00AB2AE4">
        <w:rPr>
          <w:rFonts w:ascii="Arial" w:hAnsi="Arial" w:cs="Arial"/>
        </w:rPr>
        <w:t xml:space="preserve">(10), 1-8. https://doi.org/10.1002/14651858.CD015468 </w:t>
      </w:r>
    </w:p>
    <w:p w14:paraId="53F10763" w14:textId="77777777" w:rsidR="00AB2AE4" w:rsidRPr="00AB2AE4" w:rsidRDefault="00AB2AE4" w:rsidP="00AB2AE4">
      <w:pPr>
        <w:spacing w:line="276" w:lineRule="auto"/>
        <w:jc w:val="both"/>
        <w:rPr>
          <w:rFonts w:ascii="Arial" w:hAnsi="Arial" w:cs="Arial"/>
        </w:rPr>
      </w:pPr>
    </w:p>
    <w:p w14:paraId="60B54C43"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Mansour, R., </w:t>
      </w:r>
      <w:proofErr w:type="spellStart"/>
      <w:r w:rsidRPr="00AB2AE4">
        <w:rPr>
          <w:rFonts w:ascii="Arial" w:hAnsi="Arial" w:cs="Arial"/>
        </w:rPr>
        <w:t>Shreba</w:t>
      </w:r>
      <w:proofErr w:type="spellEnd"/>
      <w:r w:rsidRPr="00AB2AE4">
        <w:rPr>
          <w:rFonts w:ascii="Arial" w:hAnsi="Arial" w:cs="Arial"/>
        </w:rPr>
        <w:t xml:space="preserve">, A., </w:t>
      </w:r>
      <w:proofErr w:type="spellStart"/>
      <w:r w:rsidRPr="00AB2AE4">
        <w:rPr>
          <w:rFonts w:ascii="Arial" w:hAnsi="Arial" w:cs="Arial"/>
        </w:rPr>
        <w:t>Khaddour</w:t>
      </w:r>
      <w:proofErr w:type="spellEnd"/>
      <w:r w:rsidRPr="00AB2AE4">
        <w:rPr>
          <w:rFonts w:ascii="Arial" w:hAnsi="Arial" w:cs="Arial"/>
        </w:rPr>
        <w:t xml:space="preserve">, K., </w:t>
      </w:r>
      <w:proofErr w:type="spellStart"/>
      <w:r w:rsidRPr="00AB2AE4">
        <w:rPr>
          <w:rFonts w:ascii="Arial" w:hAnsi="Arial" w:cs="Arial"/>
        </w:rPr>
        <w:t>Georgeos</w:t>
      </w:r>
      <w:proofErr w:type="spellEnd"/>
      <w:r w:rsidRPr="00AB2AE4">
        <w:rPr>
          <w:rFonts w:ascii="Arial" w:hAnsi="Arial" w:cs="Arial"/>
        </w:rPr>
        <w:t xml:space="preserve">, M., &amp; </w:t>
      </w:r>
      <w:proofErr w:type="spellStart"/>
      <w:r w:rsidRPr="00AB2AE4">
        <w:rPr>
          <w:rFonts w:ascii="Arial" w:hAnsi="Arial" w:cs="Arial"/>
        </w:rPr>
        <w:t>Alshehabi</w:t>
      </w:r>
      <w:proofErr w:type="spellEnd"/>
      <w:r w:rsidRPr="00AB2AE4">
        <w:rPr>
          <w:rFonts w:ascii="Arial" w:hAnsi="Arial" w:cs="Arial"/>
        </w:rPr>
        <w:t>, Z. (2025).</w:t>
      </w:r>
      <w:proofErr w:type="gramEnd"/>
      <w:r w:rsidRPr="00AB2AE4">
        <w:rPr>
          <w:rFonts w:ascii="Arial" w:hAnsi="Arial" w:cs="Arial"/>
        </w:rPr>
        <w:t xml:space="preserve"> Therapeutic Indications of </w:t>
      </w:r>
      <w:proofErr w:type="spellStart"/>
      <w:r w:rsidRPr="00AB2AE4">
        <w:rPr>
          <w:rFonts w:ascii="Arial" w:hAnsi="Arial" w:cs="Arial"/>
        </w:rPr>
        <w:t>Pembrolizumab</w:t>
      </w:r>
      <w:proofErr w:type="spellEnd"/>
      <w:r w:rsidRPr="00AB2AE4">
        <w:rPr>
          <w:rFonts w:ascii="Arial" w:hAnsi="Arial" w:cs="Arial"/>
        </w:rPr>
        <w:t xml:space="preserve"> in Eight Common Cancers: Current Evidence and Future Directions. </w:t>
      </w:r>
      <w:r w:rsidRPr="007E5442">
        <w:rPr>
          <w:rFonts w:ascii="Arial" w:hAnsi="Arial" w:cs="Arial"/>
          <w:i/>
        </w:rPr>
        <w:t>Cancer Rep (Hoboken), 8</w:t>
      </w:r>
      <w:r w:rsidRPr="00AB2AE4">
        <w:rPr>
          <w:rFonts w:ascii="Arial" w:hAnsi="Arial" w:cs="Arial"/>
        </w:rPr>
        <w:t xml:space="preserve">(7), 1-7. https://doi.org/10.1002/cnr2.70234 </w:t>
      </w:r>
    </w:p>
    <w:p w14:paraId="263B8460" w14:textId="77777777" w:rsidR="00AB2AE4" w:rsidRPr="00AB2AE4" w:rsidRDefault="00AB2AE4" w:rsidP="00AB2AE4">
      <w:pPr>
        <w:spacing w:line="276" w:lineRule="auto"/>
        <w:jc w:val="both"/>
        <w:rPr>
          <w:rFonts w:ascii="Arial" w:hAnsi="Arial" w:cs="Arial"/>
        </w:rPr>
      </w:pPr>
    </w:p>
    <w:p w14:paraId="54522F24"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McDowell, R., Bennett, K., Moriarty, F., Clarke, S., Barry, M., &amp; Fahey, T. (2018).</w:t>
      </w:r>
      <w:proofErr w:type="gramEnd"/>
      <w:r w:rsidRPr="00AB2AE4">
        <w:rPr>
          <w:rFonts w:ascii="Arial" w:hAnsi="Arial" w:cs="Arial"/>
        </w:rPr>
        <w:t xml:space="preserve"> An evaluation of prescribing trends and patterns of claims within the Preferred Drugs Initiative in Ireland (2011-2016): an interrupted time-series study. </w:t>
      </w:r>
      <w:r w:rsidRPr="0091265F">
        <w:rPr>
          <w:rFonts w:ascii="Arial" w:hAnsi="Arial" w:cs="Arial"/>
          <w:i/>
        </w:rPr>
        <w:t>BMJ Open, 8</w:t>
      </w:r>
      <w:r w:rsidRPr="00AB2AE4">
        <w:rPr>
          <w:rFonts w:ascii="Arial" w:hAnsi="Arial" w:cs="Arial"/>
        </w:rPr>
        <w:t xml:space="preserve">(4), 1-8. https://doi.org/10.1136/bmjopen-2017-019315 </w:t>
      </w:r>
    </w:p>
    <w:p w14:paraId="6FE750DE" w14:textId="77777777" w:rsidR="00AB2AE4" w:rsidRPr="00AB2AE4" w:rsidRDefault="00AB2AE4" w:rsidP="00AB2AE4">
      <w:pPr>
        <w:spacing w:line="276" w:lineRule="auto"/>
        <w:jc w:val="both"/>
        <w:rPr>
          <w:rFonts w:ascii="Arial" w:hAnsi="Arial" w:cs="Arial"/>
        </w:rPr>
      </w:pPr>
    </w:p>
    <w:p w14:paraId="181637DB"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Mo, S., </w:t>
      </w:r>
      <w:proofErr w:type="spellStart"/>
      <w:r w:rsidRPr="00AB2AE4">
        <w:rPr>
          <w:rFonts w:ascii="Arial" w:hAnsi="Arial" w:cs="Arial"/>
        </w:rPr>
        <w:t>Thursky</w:t>
      </w:r>
      <w:proofErr w:type="spellEnd"/>
      <w:r w:rsidRPr="00AB2AE4">
        <w:rPr>
          <w:rFonts w:ascii="Arial" w:hAnsi="Arial" w:cs="Arial"/>
        </w:rPr>
        <w:t xml:space="preserve">, K., </w:t>
      </w:r>
      <w:proofErr w:type="spellStart"/>
      <w:r w:rsidRPr="00AB2AE4">
        <w:rPr>
          <w:rFonts w:ascii="Arial" w:hAnsi="Arial" w:cs="Arial"/>
        </w:rPr>
        <w:t>Chronas</w:t>
      </w:r>
      <w:proofErr w:type="spellEnd"/>
      <w:r w:rsidRPr="00AB2AE4">
        <w:rPr>
          <w:rFonts w:ascii="Arial" w:hAnsi="Arial" w:cs="Arial"/>
        </w:rPr>
        <w:t xml:space="preserve">, A., Hall, L., James, R., &amp; </w:t>
      </w:r>
      <w:proofErr w:type="spellStart"/>
      <w:r w:rsidRPr="00AB2AE4">
        <w:rPr>
          <w:rFonts w:ascii="Arial" w:hAnsi="Arial" w:cs="Arial"/>
        </w:rPr>
        <w:t>Ierano</w:t>
      </w:r>
      <w:proofErr w:type="spellEnd"/>
      <w:r w:rsidRPr="00AB2AE4">
        <w:rPr>
          <w:rFonts w:ascii="Arial" w:hAnsi="Arial" w:cs="Arial"/>
        </w:rPr>
        <w:t>, C. (2023).</w:t>
      </w:r>
      <w:proofErr w:type="gramEnd"/>
      <w:r w:rsidRPr="00AB2AE4">
        <w:rPr>
          <w:rFonts w:ascii="Arial" w:hAnsi="Arial" w:cs="Arial"/>
        </w:rPr>
        <w:t xml:space="preserve"> Metronidazole prescribing practices in Australian hospitals: Measuring guideline compliance and appropriateness to support antimicrobial stewardship. </w:t>
      </w:r>
      <w:r w:rsidRPr="0091265F">
        <w:rPr>
          <w:rFonts w:ascii="Arial" w:hAnsi="Arial" w:cs="Arial"/>
          <w:i/>
        </w:rPr>
        <w:t>Journal of Infection and Public Health, 16</w:t>
      </w:r>
      <w:r w:rsidRPr="00AB2AE4">
        <w:rPr>
          <w:rFonts w:ascii="Arial" w:hAnsi="Arial" w:cs="Arial"/>
        </w:rPr>
        <w:t xml:space="preserve">(1), 90-96. https://doi.org/10.1016/j.jiph.2023.10.039 </w:t>
      </w:r>
    </w:p>
    <w:p w14:paraId="276992EB" w14:textId="77777777" w:rsidR="00AB2AE4" w:rsidRPr="00AB2AE4" w:rsidRDefault="00AB2AE4" w:rsidP="00AB2AE4">
      <w:pPr>
        <w:spacing w:line="276" w:lineRule="auto"/>
        <w:jc w:val="both"/>
        <w:rPr>
          <w:rFonts w:ascii="Arial" w:hAnsi="Arial" w:cs="Arial"/>
        </w:rPr>
      </w:pPr>
    </w:p>
    <w:p w14:paraId="18360A5B"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Mulcahy</w:t>
      </w:r>
      <w:proofErr w:type="spellEnd"/>
      <w:r w:rsidRPr="00AB2AE4">
        <w:rPr>
          <w:rFonts w:ascii="Arial" w:hAnsi="Arial" w:cs="Arial"/>
        </w:rPr>
        <w:t xml:space="preserve">, A. W., </w:t>
      </w:r>
      <w:proofErr w:type="spellStart"/>
      <w:r w:rsidRPr="00AB2AE4">
        <w:rPr>
          <w:rFonts w:ascii="Arial" w:hAnsi="Arial" w:cs="Arial"/>
        </w:rPr>
        <w:t>Schwam</w:t>
      </w:r>
      <w:proofErr w:type="spellEnd"/>
      <w:r w:rsidRPr="00AB2AE4">
        <w:rPr>
          <w:rFonts w:ascii="Arial" w:hAnsi="Arial" w:cs="Arial"/>
        </w:rPr>
        <w:t>, D., &amp; Lovejoy, S. L. (2024).</w:t>
      </w:r>
      <w:proofErr w:type="gramEnd"/>
      <w:r w:rsidRPr="00AB2AE4">
        <w:rPr>
          <w:rFonts w:ascii="Arial" w:hAnsi="Arial" w:cs="Arial"/>
        </w:rPr>
        <w:t xml:space="preserve"> International Prescription Drug Price Comparisons: Estimates Using 2022 Data. </w:t>
      </w:r>
      <w:r w:rsidRPr="0091265F">
        <w:rPr>
          <w:rFonts w:ascii="Arial" w:hAnsi="Arial" w:cs="Arial"/>
          <w:i/>
        </w:rPr>
        <w:t>Rand Health Q, 11</w:t>
      </w:r>
      <w:r w:rsidRPr="00AB2AE4">
        <w:rPr>
          <w:rFonts w:ascii="Arial" w:hAnsi="Arial" w:cs="Arial"/>
        </w:rPr>
        <w:t xml:space="preserve">(3), 5-15. https://pmc.ncbi.nlm.nih.gov/articles/PMC11147645/ </w:t>
      </w:r>
    </w:p>
    <w:p w14:paraId="6C37F563" w14:textId="77777777" w:rsidR="00AB2AE4" w:rsidRPr="00AB2AE4" w:rsidRDefault="00AB2AE4" w:rsidP="00AB2AE4">
      <w:pPr>
        <w:spacing w:line="276" w:lineRule="auto"/>
        <w:jc w:val="both"/>
        <w:rPr>
          <w:rFonts w:ascii="Arial" w:hAnsi="Arial" w:cs="Arial"/>
        </w:rPr>
      </w:pPr>
    </w:p>
    <w:p w14:paraId="39CDB6E0"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Nandi, A., Van </w:t>
      </w:r>
      <w:proofErr w:type="spellStart"/>
      <w:r w:rsidRPr="00AB2AE4">
        <w:rPr>
          <w:rFonts w:ascii="Arial" w:hAnsi="Arial" w:cs="Arial"/>
        </w:rPr>
        <w:t>Boeckel</w:t>
      </w:r>
      <w:proofErr w:type="spellEnd"/>
      <w:r w:rsidRPr="00AB2AE4">
        <w:rPr>
          <w:rFonts w:ascii="Arial" w:hAnsi="Arial" w:cs="Arial"/>
        </w:rPr>
        <w:t xml:space="preserve">, T. P., Klein, E. Y., </w:t>
      </w:r>
      <w:proofErr w:type="spellStart"/>
      <w:r w:rsidRPr="00AB2AE4">
        <w:rPr>
          <w:rFonts w:ascii="Arial" w:hAnsi="Arial" w:cs="Arial"/>
        </w:rPr>
        <w:t>Denoel</w:t>
      </w:r>
      <w:proofErr w:type="spellEnd"/>
      <w:r w:rsidRPr="00AB2AE4">
        <w:rPr>
          <w:rFonts w:ascii="Arial" w:hAnsi="Arial" w:cs="Arial"/>
        </w:rPr>
        <w:t xml:space="preserve">, P., </w:t>
      </w:r>
      <w:proofErr w:type="spellStart"/>
      <w:r w:rsidRPr="00AB2AE4">
        <w:rPr>
          <w:rFonts w:ascii="Arial" w:hAnsi="Arial" w:cs="Arial"/>
        </w:rPr>
        <w:t>Cipriano</w:t>
      </w:r>
      <w:proofErr w:type="spellEnd"/>
      <w:r w:rsidRPr="00AB2AE4">
        <w:rPr>
          <w:rFonts w:ascii="Arial" w:hAnsi="Arial" w:cs="Arial"/>
        </w:rPr>
        <w:t xml:space="preserve">, M., </w:t>
      </w:r>
      <w:proofErr w:type="spellStart"/>
      <w:r w:rsidRPr="00AB2AE4">
        <w:rPr>
          <w:rFonts w:ascii="Arial" w:hAnsi="Arial" w:cs="Arial"/>
        </w:rPr>
        <w:t>Batheja</w:t>
      </w:r>
      <w:proofErr w:type="spellEnd"/>
      <w:r w:rsidRPr="00AB2AE4">
        <w:rPr>
          <w:rFonts w:ascii="Arial" w:hAnsi="Arial" w:cs="Arial"/>
        </w:rPr>
        <w:t>, D., &amp; Bloom, D. E. (2025).</w:t>
      </w:r>
      <w:proofErr w:type="gramEnd"/>
      <w:r w:rsidRPr="00AB2AE4">
        <w:rPr>
          <w:rFonts w:ascii="Arial" w:hAnsi="Arial" w:cs="Arial"/>
        </w:rPr>
        <w:t xml:space="preserve"> Global Trends in Antibiotic Expenditure: Analysis of </w:t>
      </w:r>
      <w:r w:rsidRPr="00AB2AE4">
        <w:rPr>
          <w:rFonts w:ascii="Arial" w:hAnsi="Arial" w:cs="Arial"/>
        </w:rPr>
        <w:lastRenderedPageBreak/>
        <w:t xml:space="preserve">Pharmaceutical Sales Data, 2013 to 2023. </w:t>
      </w:r>
      <w:r w:rsidRPr="0091265F">
        <w:rPr>
          <w:rFonts w:ascii="Arial" w:hAnsi="Arial" w:cs="Arial"/>
          <w:i/>
        </w:rPr>
        <w:t>J Infect Dis, 232</w:t>
      </w:r>
      <w:r w:rsidRPr="00AB2AE4">
        <w:rPr>
          <w:rFonts w:ascii="Arial" w:hAnsi="Arial" w:cs="Arial"/>
        </w:rPr>
        <w:t xml:space="preserve">(5), 1158-1167. https://doi.org/10.1093/infdis/jiaf346 </w:t>
      </w:r>
    </w:p>
    <w:p w14:paraId="23ED7609" w14:textId="77777777" w:rsidR="00AB2AE4" w:rsidRPr="00AB2AE4" w:rsidRDefault="00AB2AE4" w:rsidP="00AB2AE4">
      <w:pPr>
        <w:spacing w:line="276" w:lineRule="auto"/>
        <w:jc w:val="both"/>
        <w:rPr>
          <w:rFonts w:ascii="Arial" w:hAnsi="Arial" w:cs="Arial"/>
        </w:rPr>
      </w:pPr>
    </w:p>
    <w:p w14:paraId="67D5F5C2" w14:textId="48B58F47" w:rsidR="00AB2AE4" w:rsidRPr="00AB2AE4" w:rsidRDefault="00AB2AE4" w:rsidP="00AB2AE4">
      <w:pPr>
        <w:spacing w:line="276" w:lineRule="auto"/>
        <w:jc w:val="both"/>
        <w:rPr>
          <w:rFonts w:ascii="Arial" w:hAnsi="Arial" w:cs="Arial"/>
        </w:rPr>
      </w:pPr>
      <w:r w:rsidRPr="00AB2AE4">
        <w:rPr>
          <w:rFonts w:ascii="Arial" w:hAnsi="Arial" w:cs="Arial"/>
        </w:rPr>
        <w:t xml:space="preserve">NHS England. (2020). </w:t>
      </w:r>
      <w:r w:rsidRPr="0091265F">
        <w:rPr>
          <w:rFonts w:ascii="Arial" w:hAnsi="Arial" w:cs="Arial"/>
          <w:i/>
        </w:rPr>
        <w:t>Prescribing Costs in Hospitals and the Community 2019-2020.</w:t>
      </w:r>
      <w:r w:rsidRPr="00AB2AE4">
        <w:rPr>
          <w:rFonts w:ascii="Arial" w:hAnsi="Arial" w:cs="Arial"/>
        </w:rPr>
        <w:t xml:space="preserve"> Retrieved 10/0</w:t>
      </w:r>
      <w:r w:rsidR="00954CE4">
        <w:rPr>
          <w:rFonts w:ascii="Arial" w:hAnsi="Arial" w:cs="Arial"/>
        </w:rPr>
        <w:t>7</w:t>
      </w:r>
      <w:r w:rsidRPr="00AB2AE4">
        <w:rPr>
          <w:rFonts w:ascii="Arial" w:hAnsi="Arial" w:cs="Arial"/>
        </w:rPr>
        <w:t>/2026 from https://digital.nhs.uk/data-and-information/publications/statistical/prescribing-costs-in-hospitals-and-the-community/2019-2020</w:t>
      </w:r>
    </w:p>
    <w:p w14:paraId="1642000D" w14:textId="77777777" w:rsidR="00AB2AE4" w:rsidRPr="00AB2AE4" w:rsidRDefault="00AB2AE4" w:rsidP="00AB2AE4">
      <w:pPr>
        <w:spacing w:line="276" w:lineRule="auto"/>
        <w:jc w:val="both"/>
        <w:rPr>
          <w:rFonts w:ascii="Arial" w:hAnsi="Arial" w:cs="Arial"/>
        </w:rPr>
      </w:pPr>
    </w:p>
    <w:p w14:paraId="7D08ADC3"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NHS England. (2026). </w:t>
      </w:r>
      <w:r w:rsidRPr="0091265F">
        <w:rPr>
          <w:rFonts w:ascii="Arial" w:hAnsi="Arial" w:cs="Arial"/>
          <w:i/>
        </w:rPr>
        <w:t>Statistical publications, open data and data products.</w:t>
      </w:r>
      <w:r w:rsidRPr="00AB2AE4">
        <w:rPr>
          <w:rFonts w:ascii="Arial" w:hAnsi="Arial" w:cs="Arial"/>
        </w:rPr>
        <w:t xml:space="preserve"> Retrieved 10/06/2026 from https://digital.nhs.uk/data-and-information/statistical-publications-open-data-and-data-products</w:t>
      </w:r>
    </w:p>
    <w:p w14:paraId="50FF1723" w14:textId="77777777" w:rsidR="00AB2AE4" w:rsidRPr="00AB2AE4" w:rsidRDefault="00AB2AE4" w:rsidP="00AB2AE4">
      <w:pPr>
        <w:spacing w:line="276" w:lineRule="auto"/>
        <w:jc w:val="both"/>
        <w:rPr>
          <w:rFonts w:ascii="Arial" w:hAnsi="Arial" w:cs="Arial"/>
        </w:rPr>
      </w:pPr>
    </w:p>
    <w:p w14:paraId="652778F2" w14:textId="1E86428B" w:rsidR="00AB2AE4" w:rsidRPr="00AB2AE4" w:rsidRDefault="00AB2AE4" w:rsidP="00AB2AE4">
      <w:pPr>
        <w:spacing w:line="276" w:lineRule="auto"/>
        <w:jc w:val="both"/>
        <w:rPr>
          <w:rFonts w:ascii="Arial" w:hAnsi="Arial" w:cs="Arial"/>
        </w:rPr>
      </w:pPr>
      <w:r w:rsidRPr="00AB2AE4">
        <w:rPr>
          <w:rFonts w:ascii="Arial" w:hAnsi="Arial" w:cs="Arial"/>
        </w:rPr>
        <w:t xml:space="preserve">NHS HRA. </w:t>
      </w:r>
      <w:proofErr w:type="gramStart"/>
      <w:r w:rsidRPr="00AB2AE4">
        <w:rPr>
          <w:rFonts w:ascii="Arial" w:hAnsi="Arial" w:cs="Arial"/>
        </w:rPr>
        <w:t xml:space="preserve">(2025). </w:t>
      </w:r>
      <w:r w:rsidRPr="00954CE4">
        <w:rPr>
          <w:rFonts w:ascii="Arial" w:hAnsi="Arial" w:cs="Arial"/>
          <w:i/>
        </w:rPr>
        <w:t>UK Policy Framework for Health and Social Care Research.</w:t>
      </w:r>
      <w:proofErr w:type="gramEnd"/>
      <w:r w:rsidRPr="00AB2AE4">
        <w:rPr>
          <w:rFonts w:ascii="Arial" w:hAnsi="Arial" w:cs="Arial"/>
        </w:rPr>
        <w:t xml:space="preserve"> Retrieved 1</w:t>
      </w:r>
      <w:r w:rsidR="00954CE4">
        <w:rPr>
          <w:rFonts w:ascii="Arial" w:hAnsi="Arial" w:cs="Arial"/>
        </w:rPr>
        <w:t>7</w:t>
      </w:r>
      <w:r w:rsidRPr="00AB2AE4">
        <w:rPr>
          <w:rFonts w:ascii="Arial" w:hAnsi="Arial" w:cs="Arial"/>
        </w:rPr>
        <w:t>/06/2026 from https://www.hra.nhs.uk/planning-and-improving-research/policies-standards-legislation/uk-policy-framework-health-social-care-research/</w:t>
      </w:r>
    </w:p>
    <w:p w14:paraId="3657D6F2" w14:textId="77777777" w:rsidR="00AB2AE4" w:rsidRPr="00AB2AE4" w:rsidRDefault="00AB2AE4" w:rsidP="00AB2AE4">
      <w:pPr>
        <w:spacing w:line="276" w:lineRule="auto"/>
        <w:jc w:val="both"/>
        <w:rPr>
          <w:rFonts w:ascii="Arial" w:hAnsi="Arial" w:cs="Arial"/>
        </w:rPr>
      </w:pPr>
    </w:p>
    <w:p w14:paraId="62DDE57E" w14:textId="42C0387D" w:rsidR="00AB2AE4" w:rsidRPr="00AB2AE4" w:rsidRDefault="00AB2AE4" w:rsidP="00AB2AE4">
      <w:pPr>
        <w:spacing w:line="276" w:lineRule="auto"/>
        <w:jc w:val="both"/>
        <w:rPr>
          <w:rFonts w:ascii="Arial" w:hAnsi="Arial" w:cs="Arial"/>
        </w:rPr>
      </w:pPr>
      <w:r w:rsidRPr="00AB2AE4">
        <w:rPr>
          <w:rFonts w:ascii="Arial" w:hAnsi="Arial" w:cs="Arial"/>
        </w:rPr>
        <w:t xml:space="preserve">NHS HRA. </w:t>
      </w:r>
      <w:proofErr w:type="gramStart"/>
      <w:r w:rsidRPr="00AB2AE4">
        <w:rPr>
          <w:rFonts w:ascii="Arial" w:hAnsi="Arial" w:cs="Arial"/>
        </w:rPr>
        <w:t xml:space="preserve">(2026). </w:t>
      </w:r>
      <w:r w:rsidRPr="00954CE4">
        <w:rPr>
          <w:rFonts w:ascii="Arial" w:hAnsi="Arial" w:cs="Arial"/>
          <w:i/>
        </w:rPr>
        <w:t>Research Ethics Committee review</w:t>
      </w:r>
      <w:r w:rsidRPr="00AB2AE4">
        <w:rPr>
          <w:rFonts w:ascii="Arial" w:hAnsi="Arial" w:cs="Arial"/>
        </w:rPr>
        <w:t>.</w:t>
      </w:r>
      <w:proofErr w:type="gramEnd"/>
      <w:r w:rsidRPr="00AB2AE4">
        <w:rPr>
          <w:rFonts w:ascii="Arial" w:hAnsi="Arial" w:cs="Arial"/>
        </w:rPr>
        <w:t xml:space="preserve"> Retrieved 1</w:t>
      </w:r>
      <w:r w:rsidR="00954CE4">
        <w:rPr>
          <w:rFonts w:ascii="Arial" w:hAnsi="Arial" w:cs="Arial"/>
        </w:rPr>
        <w:t>4</w:t>
      </w:r>
      <w:r w:rsidRPr="00AB2AE4">
        <w:rPr>
          <w:rFonts w:ascii="Arial" w:hAnsi="Arial" w:cs="Arial"/>
        </w:rPr>
        <w:t>/06/2026 from https://www.hra.nhs.uk/approvals-amendments/what-approvals-do-i-need/research-ethics-committee-review/</w:t>
      </w:r>
    </w:p>
    <w:p w14:paraId="75B9FBF8" w14:textId="77777777" w:rsidR="00AB2AE4" w:rsidRPr="00AB2AE4" w:rsidRDefault="00AB2AE4" w:rsidP="00AB2AE4">
      <w:pPr>
        <w:spacing w:line="276" w:lineRule="auto"/>
        <w:jc w:val="both"/>
        <w:rPr>
          <w:rFonts w:ascii="Arial" w:hAnsi="Arial" w:cs="Arial"/>
        </w:rPr>
      </w:pPr>
    </w:p>
    <w:p w14:paraId="7B045A31" w14:textId="32ED9B62" w:rsidR="00AB2AE4" w:rsidRPr="00AB2AE4" w:rsidRDefault="00AB2AE4" w:rsidP="00AB2AE4">
      <w:pPr>
        <w:spacing w:line="276" w:lineRule="auto"/>
        <w:jc w:val="both"/>
        <w:rPr>
          <w:rFonts w:ascii="Arial" w:hAnsi="Arial" w:cs="Arial"/>
        </w:rPr>
      </w:pPr>
      <w:proofErr w:type="gramStart"/>
      <w:r w:rsidRPr="00AB2AE4">
        <w:rPr>
          <w:rFonts w:ascii="Arial" w:hAnsi="Arial" w:cs="Arial"/>
        </w:rPr>
        <w:t>NHSBSA.</w:t>
      </w:r>
      <w:proofErr w:type="gramEnd"/>
      <w:r w:rsidRPr="00AB2AE4">
        <w:rPr>
          <w:rFonts w:ascii="Arial" w:hAnsi="Arial" w:cs="Arial"/>
        </w:rPr>
        <w:t xml:space="preserve"> (2025). </w:t>
      </w:r>
      <w:r w:rsidRPr="00954CE4">
        <w:rPr>
          <w:rFonts w:ascii="Arial" w:hAnsi="Arial" w:cs="Arial"/>
          <w:i/>
        </w:rPr>
        <w:t>NHS prescribing costs reach £21.6 billion in 2024/25.</w:t>
      </w:r>
      <w:r w:rsidRPr="00AB2AE4">
        <w:rPr>
          <w:rFonts w:ascii="Arial" w:hAnsi="Arial" w:cs="Arial"/>
        </w:rPr>
        <w:t xml:space="preserve"> Retrieved 1</w:t>
      </w:r>
      <w:r w:rsidR="00954CE4">
        <w:rPr>
          <w:rFonts w:ascii="Arial" w:hAnsi="Arial" w:cs="Arial"/>
        </w:rPr>
        <w:t>8</w:t>
      </w:r>
      <w:r w:rsidRPr="00AB2AE4">
        <w:rPr>
          <w:rFonts w:ascii="Arial" w:hAnsi="Arial" w:cs="Arial"/>
        </w:rPr>
        <w:t>/0</w:t>
      </w:r>
      <w:r w:rsidR="00954CE4">
        <w:rPr>
          <w:rFonts w:ascii="Arial" w:hAnsi="Arial" w:cs="Arial"/>
        </w:rPr>
        <w:t>7</w:t>
      </w:r>
      <w:r w:rsidRPr="00AB2AE4">
        <w:rPr>
          <w:rFonts w:ascii="Arial" w:hAnsi="Arial" w:cs="Arial"/>
        </w:rPr>
        <w:t>/2026 from https://media.nhsbsa.nhs.uk/press-releases/a698a820-86c7-4ff9-aeb0-3f51452ddb2a/nhs-prescribing-costs-reach-21-6-billion-in-2024-25</w:t>
      </w:r>
    </w:p>
    <w:p w14:paraId="710508CD" w14:textId="77777777" w:rsidR="00AB2AE4" w:rsidRPr="00AB2AE4" w:rsidRDefault="00AB2AE4" w:rsidP="00AB2AE4">
      <w:pPr>
        <w:spacing w:line="276" w:lineRule="auto"/>
        <w:jc w:val="both"/>
        <w:rPr>
          <w:rFonts w:ascii="Arial" w:hAnsi="Arial" w:cs="Arial"/>
        </w:rPr>
      </w:pPr>
    </w:p>
    <w:p w14:paraId="692F9C2D" w14:textId="13112B2A" w:rsidR="00AB2AE4" w:rsidRPr="00AB2AE4" w:rsidRDefault="00AB2AE4" w:rsidP="00AB2AE4">
      <w:pPr>
        <w:spacing w:line="276" w:lineRule="auto"/>
        <w:jc w:val="both"/>
        <w:rPr>
          <w:rFonts w:ascii="Arial" w:hAnsi="Arial" w:cs="Arial"/>
        </w:rPr>
      </w:pPr>
      <w:proofErr w:type="gramStart"/>
      <w:r w:rsidRPr="00AB2AE4">
        <w:rPr>
          <w:rFonts w:ascii="Arial" w:hAnsi="Arial" w:cs="Arial"/>
        </w:rPr>
        <w:t>NHSBSA.</w:t>
      </w:r>
      <w:proofErr w:type="gramEnd"/>
      <w:r w:rsidRPr="00AB2AE4">
        <w:rPr>
          <w:rFonts w:ascii="Arial" w:hAnsi="Arial" w:cs="Arial"/>
        </w:rPr>
        <w:t xml:space="preserve"> </w:t>
      </w:r>
      <w:proofErr w:type="gramStart"/>
      <w:r w:rsidRPr="00AB2AE4">
        <w:rPr>
          <w:rFonts w:ascii="Arial" w:hAnsi="Arial" w:cs="Arial"/>
        </w:rPr>
        <w:t xml:space="preserve">(2026a). </w:t>
      </w:r>
      <w:r w:rsidRPr="00954CE4">
        <w:rPr>
          <w:rFonts w:ascii="Arial" w:hAnsi="Arial" w:cs="Arial"/>
          <w:i/>
        </w:rPr>
        <w:t>NHS dictionary of medicines and devices (</w:t>
      </w:r>
      <w:proofErr w:type="spellStart"/>
      <w:r w:rsidRPr="00954CE4">
        <w:rPr>
          <w:rFonts w:ascii="Arial" w:hAnsi="Arial" w:cs="Arial"/>
          <w:i/>
        </w:rPr>
        <w:t>dm+d</w:t>
      </w:r>
      <w:proofErr w:type="spellEnd"/>
      <w:r w:rsidRPr="00954CE4">
        <w:rPr>
          <w:rFonts w:ascii="Arial" w:hAnsi="Arial" w:cs="Arial"/>
          <w:i/>
        </w:rPr>
        <w:t>).</w:t>
      </w:r>
      <w:proofErr w:type="gramEnd"/>
      <w:r w:rsidRPr="00AB2AE4">
        <w:rPr>
          <w:rFonts w:ascii="Arial" w:hAnsi="Arial" w:cs="Arial"/>
        </w:rPr>
        <w:t xml:space="preserve"> Retrieved 1</w:t>
      </w:r>
      <w:r w:rsidR="00954CE4">
        <w:rPr>
          <w:rFonts w:ascii="Arial" w:hAnsi="Arial" w:cs="Arial"/>
        </w:rPr>
        <w:t>7</w:t>
      </w:r>
      <w:r w:rsidRPr="00AB2AE4">
        <w:rPr>
          <w:rFonts w:ascii="Arial" w:hAnsi="Arial" w:cs="Arial"/>
        </w:rPr>
        <w:t>/06/2026 from https://www.nhsbsa.nhs.uk/pharmacies-gp-practices-and-appliance-contractors/nhs-dictionary-medicines-and-devices-dmd</w:t>
      </w:r>
    </w:p>
    <w:p w14:paraId="6287665A" w14:textId="77777777" w:rsidR="00AB2AE4" w:rsidRPr="00AB2AE4" w:rsidRDefault="00AB2AE4" w:rsidP="00AB2AE4">
      <w:pPr>
        <w:spacing w:line="276" w:lineRule="auto"/>
        <w:jc w:val="both"/>
        <w:rPr>
          <w:rFonts w:ascii="Arial" w:hAnsi="Arial" w:cs="Arial"/>
        </w:rPr>
      </w:pPr>
    </w:p>
    <w:p w14:paraId="7F6E7C22" w14:textId="3980600B" w:rsidR="00AB2AE4" w:rsidRPr="00AB2AE4" w:rsidRDefault="00AB2AE4" w:rsidP="00AB2AE4">
      <w:pPr>
        <w:spacing w:line="276" w:lineRule="auto"/>
        <w:jc w:val="both"/>
        <w:rPr>
          <w:rFonts w:ascii="Arial" w:hAnsi="Arial" w:cs="Arial"/>
        </w:rPr>
      </w:pPr>
      <w:proofErr w:type="gramStart"/>
      <w:r w:rsidRPr="00AB2AE4">
        <w:rPr>
          <w:rFonts w:ascii="Arial" w:hAnsi="Arial" w:cs="Arial"/>
        </w:rPr>
        <w:t>NHSBSA.</w:t>
      </w:r>
      <w:proofErr w:type="gramEnd"/>
      <w:r w:rsidRPr="00AB2AE4">
        <w:rPr>
          <w:rFonts w:ascii="Arial" w:hAnsi="Arial" w:cs="Arial"/>
        </w:rPr>
        <w:t xml:space="preserve"> (2026b). </w:t>
      </w:r>
      <w:r w:rsidRPr="00954CE4">
        <w:rPr>
          <w:rFonts w:ascii="Arial" w:hAnsi="Arial" w:cs="Arial"/>
          <w:i/>
        </w:rPr>
        <w:t>Prescribing Costs in Hospitals and the Community - E</w:t>
      </w:r>
      <w:r w:rsidR="00954CE4" w:rsidRPr="00954CE4">
        <w:rPr>
          <w:rFonts w:ascii="Arial" w:hAnsi="Arial" w:cs="Arial"/>
          <w:i/>
        </w:rPr>
        <w:t>ngland 2020 to 2025</w:t>
      </w:r>
      <w:r w:rsidR="00954CE4">
        <w:rPr>
          <w:rFonts w:ascii="Arial" w:hAnsi="Arial" w:cs="Arial"/>
        </w:rPr>
        <w:t xml:space="preserve">. Retrieved </w:t>
      </w:r>
      <w:r w:rsidRPr="00AB2AE4">
        <w:rPr>
          <w:rFonts w:ascii="Arial" w:hAnsi="Arial" w:cs="Arial"/>
        </w:rPr>
        <w:t>0</w:t>
      </w:r>
      <w:r w:rsidR="00954CE4">
        <w:rPr>
          <w:rFonts w:ascii="Arial" w:hAnsi="Arial" w:cs="Arial"/>
        </w:rPr>
        <w:t>6</w:t>
      </w:r>
      <w:r w:rsidRPr="00AB2AE4">
        <w:rPr>
          <w:rFonts w:ascii="Arial" w:hAnsi="Arial" w:cs="Arial"/>
        </w:rPr>
        <w:t>/06/2026 from https://www.nhsbsa.nhs.uk/statistical-collections/prescribing-costs-hospitals-and-community-england/prescribing-costs-hospitals-and-community-england-2020-2025</w:t>
      </w:r>
    </w:p>
    <w:p w14:paraId="4C9D24B4" w14:textId="77777777" w:rsidR="00AB2AE4" w:rsidRPr="00AB2AE4" w:rsidRDefault="00AB2AE4" w:rsidP="00AB2AE4">
      <w:pPr>
        <w:spacing w:line="276" w:lineRule="auto"/>
        <w:jc w:val="both"/>
        <w:rPr>
          <w:rFonts w:ascii="Arial" w:hAnsi="Arial" w:cs="Arial"/>
        </w:rPr>
      </w:pPr>
    </w:p>
    <w:p w14:paraId="4395ED13" w14:textId="239D1EEA" w:rsidR="00AB2AE4" w:rsidRPr="00AB2AE4" w:rsidRDefault="00AB2AE4" w:rsidP="00AB2AE4">
      <w:pPr>
        <w:spacing w:line="276" w:lineRule="auto"/>
        <w:jc w:val="both"/>
        <w:rPr>
          <w:rFonts w:ascii="Arial" w:hAnsi="Arial" w:cs="Arial"/>
        </w:rPr>
      </w:pPr>
      <w:proofErr w:type="gramStart"/>
      <w:r w:rsidRPr="00AB2AE4">
        <w:rPr>
          <w:rFonts w:ascii="Arial" w:hAnsi="Arial" w:cs="Arial"/>
        </w:rPr>
        <w:t>NHSBSA.</w:t>
      </w:r>
      <w:proofErr w:type="gramEnd"/>
      <w:r w:rsidRPr="00AB2AE4">
        <w:rPr>
          <w:rFonts w:ascii="Arial" w:hAnsi="Arial" w:cs="Arial"/>
        </w:rPr>
        <w:t xml:space="preserve"> </w:t>
      </w:r>
      <w:proofErr w:type="gramStart"/>
      <w:r w:rsidRPr="00AB2AE4">
        <w:rPr>
          <w:rFonts w:ascii="Arial" w:hAnsi="Arial" w:cs="Arial"/>
        </w:rPr>
        <w:t xml:space="preserve">(2026c). </w:t>
      </w:r>
      <w:r w:rsidRPr="00954CE4">
        <w:rPr>
          <w:rFonts w:ascii="Arial" w:hAnsi="Arial" w:cs="Arial"/>
          <w:i/>
        </w:rPr>
        <w:t>Prescription data</w:t>
      </w:r>
      <w:r w:rsidRPr="00AB2AE4">
        <w:rPr>
          <w:rFonts w:ascii="Arial" w:hAnsi="Arial" w:cs="Arial"/>
        </w:rPr>
        <w:t>.</w:t>
      </w:r>
      <w:proofErr w:type="gramEnd"/>
      <w:r w:rsidRPr="00AB2AE4">
        <w:rPr>
          <w:rFonts w:ascii="Arial" w:hAnsi="Arial" w:cs="Arial"/>
        </w:rPr>
        <w:t xml:space="preserve"> Retrieved 1</w:t>
      </w:r>
      <w:r w:rsidR="00954CE4">
        <w:rPr>
          <w:rFonts w:ascii="Arial" w:hAnsi="Arial" w:cs="Arial"/>
        </w:rPr>
        <w:t>6</w:t>
      </w:r>
      <w:r w:rsidRPr="00AB2AE4">
        <w:rPr>
          <w:rFonts w:ascii="Arial" w:hAnsi="Arial" w:cs="Arial"/>
        </w:rPr>
        <w:t>/06/2026 from https://www.nhsbsa.nhs.uk/prescription-data</w:t>
      </w:r>
    </w:p>
    <w:p w14:paraId="69B4CA04" w14:textId="77777777" w:rsidR="00AB2AE4" w:rsidRPr="00AB2AE4" w:rsidRDefault="00AB2AE4" w:rsidP="00AB2AE4">
      <w:pPr>
        <w:spacing w:line="276" w:lineRule="auto"/>
        <w:jc w:val="both"/>
        <w:rPr>
          <w:rFonts w:ascii="Arial" w:hAnsi="Arial" w:cs="Arial"/>
        </w:rPr>
      </w:pPr>
    </w:p>
    <w:p w14:paraId="57B6ECAB" w14:textId="6E6F768A" w:rsidR="00AB2AE4" w:rsidRPr="00AB2AE4" w:rsidRDefault="00AB2AE4" w:rsidP="00AB2AE4">
      <w:pPr>
        <w:spacing w:line="276" w:lineRule="auto"/>
        <w:jc w:val="both"/>
        <w:rPr>
          <w:rFonts w:ascii="Arial" w:hAnsi="Arial" w:cs="Arial"/>
        </w:rPr>
      </w:pPr>
      <w:proofErr w:type="gramStart"/>
      <w:r w:rsidRPr="00AB2AE4">
        <w:rPr>
          <w:rFonts w:ascii="Arial" w:hAnsi="Arial" w:cs="Arial"/>
        </w:rPr>
        <w:t>NHSBSA.</w:t>
      </w:r>
      <w:proofErr w:type="gramEnd"/>
      <w:r w:rsidRPr="00AB2AE4">
        <w:rPr>
          <w:rFonts w:ascii="Arial" w:hAnsi="Arial" w:cs="Arial"/>
        </w:rPr>
        <w:t xml:space="preserve"> </w:t>
      </w:r>
      <w:proofErr w:type="gramStart"/>
      <w:r w:rsidRPr="00AB2AE4">
        <w:rPr>
          <w:rFonts w:ascii="Arial" w:hAnsi="Arial" w:cs="Arial"/>
        </w:rPr>
        <w:t xml:space="preserve">(2026d). </w:t>
      </w:r>
      <w:r w:rsidRPr="00954CE4">
        <w:rPr>
          <w:rFonts w:ascii="Arial" w:hAnsi="Arial" w:cs="Arial"/>
          <w:i/>
        </w:rPr>
        <w:t>Provisional Secondary Care Medicines Data (SCMD) with indicative price.</w:t>
      </w:r>
      <w:proofErr w:type="gramEnd"/>
      <w:r w:rsidRPr="00AB2AE4">
        <w:rPr>
          <w:rFonts w:ascii="Arial" w:hAnsi="Arial" w:cs="Arial"/>
        </w:rPr>
        <w:t xml:space="preserve"> Retrieved 1</w:t>
      </w:r>
      <w:r w:rsidR="00954CE4">
        <w:rPr>
          <w:rFonts w:ascii="Arial" w:hAnsi="Arial" w:cs="Arial"/>
        </w:rPr>
        <w:t>5</w:t>
      </w:r>
      <w:r w:rsidRPr="00AB2AE4">
        <w:rPr>
          <w:rFonts w:ascii="Arial" w:hAnsi="Arial" w:cs="Arial"/>
        </w:rPr>
        <w:t>/06/2026 from https://opendata.nhsbsa.net/dataset/secondary-care-medicines-data-indicative-price</w:t>
      </w:r>
    </w:p>
    <w:p w14:paraId="1FA24792" w14:textId="77777777" w:rsidR="00AB2AE4" w:rsidRPr="00AB2AE4" w:rsidRDefault="00AB2AE4" w:rsidP="00AB2AE4">
      <w:pPr>
        <w:spacing w:line="276" w:lineRule="auto"/>
        <w:jc w:val="both"/>
        <w:rPr>
          <w:rFonts w:ascii="Arial" w:hAnsi="Arial" w:cs="Arial"/>
        </w:rPr>
      </w:pPr>
    </w:p>
    <w:p w14:paraId="2FA071A6" w14:textId="7BD1FEC4" w:rsidR="00AB2AE4" w:rsidRPr="00AB2AE4" w:rsidRDefault="00AB2AE4" w:rsidP="00AB2AE4">
      <w:pPr>
        <w:spacing w:line="276" w:lineRule="auto"/>
        <w:jc w:val="both"/>
        <w:rPr>
          <w:rFonts w:ascii="Arial" w:hAnsi="Arial" w:cs="Arial"/>
        </w:rPr>
      </w:pPr>
      <w:r w:rsidRPr="00AB2AE4">
        <w:rPr>
          <w:rFonts w:ascii="Arial" w:hAnsi="Arial" w:cs="Arial"/>
        </w:rPr>
        <w:t xml:space="preserve">NICE. (2019). </w:t>
      </w:r>
      <w:proofErr w:type="gramStart"/>
      <w:r w:rsidRPr="00954CE4">
        <w:rPr>
          <w:rFonts w:ascii="Arial" w:hAnsi="Arial" w:cs="Arial"/>
          <w:i/>
        </w:rPr>
        <w:t>Venous</w:t>
      </w:r>
      <w:proofErr w:type="gramEnd"/>
      <w:r w:rsidRPr="00954CE4">
        <w:rPr>
          <w:rFonts w:ascii="Arial" w:hAnsi="Arial" w:cs="Arial"/>
          <w:i/>
        </w:rPr>
        <w:t xml:space="preserve"> thromboembolism in over 16s: reducing the risk of hospital-acquired deep vein thrombosis or pulmonary embolism.</w:t>
      </w:r>
      <w:r w:rsidRPr="00AB2AE4">
        <w:rPr>
          <w:rFonts w:ascii="Arial" w:hAnsi="Arial" w:cs="Arial"/>
        </w:rPr>
        <w:t xml:space="preserve"> Retrieved 1</w:t>
      </w:r>
      <w:r w:rsidR="00954CE4">
        <w:rPr>
          <w:rFonts w:ascii="Arial" w:hAnsi="Arial" w:cs="Arial"/>
        </w:rPr>
        <w:t>6</w:t>
      </w:r>
      <w:r w:rsidRPr="00AB2AE4">
        <w:rPr>
          <w:rFonts w:ascii="Arial" w:hAnsi="Arial" w:cs="Arial"/>
        </w:rPr>
        <w:t>/06/2026 from https://www.nice.org.uk/guidance/ng89</w:t>
      </w:r>
    </w:p>
    <w:p w14:paraId="3934BD54" w14:textId="77777777" w:rsidR="00AB2AE4" w:rsidRPr="00AB2AE4" w:rsidRDefault="00AB2AE4" w:rsidP="00AB2AE4">
      <w:pPr>
        <w:spacing w:line="276" w:lineRule="auto"/>
        <w:jc w:val="both"/>
        <w:rPr>
          <w:rFonts w:ascii="Arial" w:hAnsi="Arial" w:cs="Arial"/>
        </w:rPr>
      </w:pPr>
    </w:p>
    <w:p w14:paraId="3750190E" w14:textId="7E72FA7C" w:rsidR="00AB2AE4" w:rsidRPr="00AB2AE4" w:rsidRDefault="00AB2AE4" w:rsidP="00AB2AE4">
      <w:pPr>
        <w:spacing w:line="276" w:lineRule="auto"/>
        <w:jc w:val="both"/>
        <w:rPr>
          <w:rFonts w:ascii="Arial" w:hAnsi="Arial" w:cs="Arial"/>
        </w:rPr>
      </w:pPr>
      <w:r w:rsidRPr="00AB2AE4">
        <w:rPr>
          <w:rFonts w:ascii="Arial" w:hAnsi="Arial" w:cs="Arial"/>
        </w:rPr>
        <w:t xml:space="preserve">NICE. </w:t>
      </w:r>
      <w:proofErr w:type="gramStart"/>
      <w:r w:rsidRPr="00AB2AE4">
        <w:rPr>
          <w:rFonts w:ascii="Arial" w:hAnsi="Arial" w:cs="Arial"/>
        </w:rPr>
        <w:t xml:space="preserve">(2025). </w:t>
      </w:r>
      <w:r w:rsidRPr="00954CE4">
        <w:rPr>
          <w:rFonts w:ascii="Arial" w:hAnsi="Arial" w:cs="Arial"/>
          <w:i/>
        </w:rPr>
        <w:t>Analgesia - mild-to-</w:t>
      </w:r>
      <w:r w:rsidR="00954CE4" w:rsidRPr="00954CE4">
        <w:rPr>
          <w:rFonts w:ascii="Arial" w:hAnsi="Arial" w:cs="Arial"/>
          <w:i/>
        </w:rPr>
        <w:t>moderate pain.</w:t>
      </w:r>
      <w:proofErr w:type="gramEnd"/>
      <w:r w:rsidR="00954CE4">
        <w:rPr>
          <w:rFonts w:ascii="Arial" w:hAnsi="Arial" w:cs="Arial"/>
        </w:rPr>
        <w:t xml:space="preserve"> Retrieved </w:t>
      </w:r>
      <w:r w:rsidRPr="00AB2AE4">
        <w:rPr>
          <w:rFonts w:ascii="Arial" w:hAnsi="Arial" w:cs="Arial"/>
        </w:rPr>
        <w:t>0</w:t>
      </w:r>
      <w:r w:rsidR="00954CE4">
        <w:rPr>
          <w:rFonts w:ascii="Arial" w:hAnsi="Arial" w:cs="Arial"/>
        </w:rPr>
        <w:t>5</w:t>
      </w:r>
      <w:r w:rsidRPr="00AB2AE4">
        <w:rPr>
          <w:rFonts w:ascii="Arial" w:hAnsi="Arial" w:cs="Arial"/>
        </w:rPr>
        <w:t>/06/2026 from https://cks.nice.org.uk/topics/analgesia-mild-to-moderate-pain/</w:t>
      </w:r>
    </w:p>
    <w:p w14:paraId="16DE0A40" w14:textId="77777777" w:rsidR="00AB2AE4" w:rsidRPr="00AB2AE4" w:rsidRDefault="00AB2AE4" w:rsidP="00AB2AE4">
      <w:pPr>
        <w:spacing w:line="276" w:lineRule="auto"/>
        <w:jc w:val="both"/>
        <w:rPr>
          <w:rFonts w:ascii="Arial" w:hAnsi="Arial" w:cs="Arial"/>
        </w:rPr>
      </w:pPr>
    </w:p>
    <w:p w14:paraId="5F3BFCC2" w14:textId="54B428F2" w:rsidR="00AB2AE4" w:rsidRPr="00AB2AE4" w:rsidRDefault="00AB2AE4" w:rsidP="00AB2AE4">
      <w:pPr>
        <w:spacing w:line="276" w:lineRule="auto"/>
        <w:jc w:val="both"/>
        <w:rPr>
          <w:rFonts w:ascii="Arial" w:hAnsi="Arial" w:cs="Arial"/>
        </w:rPr>
      </w:pPr>
      <w:r w:rsidRPr="00AB2AE4">
        <w:rPr>
          <w:rFonts w:ascii="Arial" w:hAnsi="Arial" w:cs="Arial"/>
        </w:rPr>
        <w:t xml:space="preserve">NICE. </w:t>
      </w:r>
      <w:proofErr w:type="gramStart"/>
      <w:r w:rsidRPr="00AB2AE4">
        <w:rPr>
          <w:rFonts w:ascii="Arial" w:hAnsi="Arial" w:cs="Arial"/>
        </w:rPr>
        <w:t xml:space="preserve">(2026). </w:t>
      </w:r>
      <w:proofErr w:type="spellStart"/>
      <w:r w:rsidRPr="00954CE4">
        <w:rPr>
          <w:rFonts w:ascii="Arial" w:hAnsi="Arial" w:cs="Arial"/>
          <w:i/>
        </w:rPr>
        <w:t>Pembrolizumab</w:t>
      </w:r>
      <w:proofErr w:type="spellEnd"/>
      <w:r w:rsidRPr="00954CE4">
        <w:rPr>
          <w:rFonts w:ascii="Arial" w:hAnsi="Arial" w:cs="Arial"/>
          <w:i/>
        </w:rPr>
        <w:t xml:space="preserve"> for </w:t>
      </w:r>
      <w:proofErr w:type="spellStart"/>
      <w:r w:rsidRPr="00954CE4">
        <w:rPr>
          <w:rFonts w:ascii="Arial" w:hAnsi="Arial" w:cs="Arial"/>
          <w:i/>
        </w:rPr>
        <w:t>neoadjuvant</w:t>
      </w:r>
      <w:proofErr w:type="spellEnd"/>
      <w:r w:rsidRPr="00954CE4">
        <w:rPr>
          <w:rFonts w:ascii="Arial" w:hAnsi="Arial" w:cs="Arial"/>
          <w:i/>
        </w:rPr>
        <w:t xml:space="preserve"> and adjuvant treatment of </w:t>
      </w:r>
      <w:proofErr w:type="spellStart"/>
      <w:r w:rsidRPr="00954CE4">
        <w:rPr>
          <w:rFonts w:ascii="Arial" w:hAnsi="Arial" w:cs="Arial"/>
          <w:i/>
        </w:rPr>
        <w:t>resectable</w:t>
      </w:r>
      <w:proofErr w:type="spellEnd"/>
      <w:r w:rsidRPr="00954CE4">
        <w:rPr>
          <w:rFonts w:ascii="Arial" w:hAnsi="Arial" w:cs="Arial"/>
          <w:i/>
        </w:rPr>
        <w:t xml:space="preserve"> locally advanced head and neck squamous cell carcinoma.</w:t>
      </w:r>
      <w:proofErr w:type="gramEnd"/>
      <w:r w:rsidRPr="00AB2AE4">
        <w:rPr>
          <w:rFonts w:ascii="Arial" w:hAnsi="Arial" w:cs="Arial"/>
        </w:rPr>
        <w:t xml:space="preserve"> Retrieved 1</w:t>
      </w:r>
      <w:r w:rsidR="00954CE4">
        <w:rPr>
          <w:rFonts w:ascii="Arial" w:hAnsi="Arial" w:cs="Arial"/>
        </w:rPr>
        <w:t>5</w:t>
      </w:r>
      <w:r w:rsidRPr="00AB2AE4">
        <w:rPr>
          <w:rFonts w:ascii="Arial" w:hAnsi="Arial" w:cs="Arial"/>
        </w:rPr>
        <w:t>/06/2026 from https://www.nice.org.uk/guidance/ta1145</w:t>
      </w:r>
    </w:p>
    <w:p w14:paraId="1B5C9192" w14:textId="77777777" w:rsidR="00AB2AE4" w:rsidRPr="00AB2AE4" w:rsidRDefault="00AB2AE4" w:rsidP="00AB2AE4">
      <w:pPr>
        <w:spacing w:line="276" w:lineRule="auto"/>
        <w:jc w:val="both"/>
        <w:rPr>
          <w:rFonts w:ascii="Arial" w:hAnsi="Arial" w:cs="Arial"/>
        </w:rPr>
      </w:pPr>
    </w:p>
    <w:p w14:paraId="49494184"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Ntais</w:t>
      </w:r>
      <w:proofErr w:type="spellEnd"/>
      <w:r w:rsidRPr="00AB2AE4">
        <w:rPr>
          <w:rFonts w:ascii="Arial" w:hAnsi="Arial" w:cs="Arial"/>
        </w:rPr>
        <w:t xml:space="preserve">, C., </w:t>
      </w:r>
      <w:proofErr w:type="spellStart"/>
      <w:r w:rsidRPr="00AB2AE4">
        <w:rPr>
          <w:rFonts w:ascii="Arial" w:hAnsi="Arial" w:cs="Arial"/>
        </w:rPr>
        <w:t>Talias</w:t>
      </w:r>
      <w:proofErr w:type="spellEnd"/>
      <w:r w:rsidRPr="00AB2AE4">
        <w:rPr>
          <w:rFonts w:ascii="Arial" w:hAnsi="Arial" w:cs="Arial"/>
        </w:rPr>
        <w:t xml:space="preserve">, M. A., </w:t>
      </w:r>
      <w:proofErr w:type="spellStart"/>
      <w:r w:rsidRPr="00AB2AE4">
        <w:rPr>
          <w:rFonts w:ascii="Arial" w:hAnsi="Arial" w:cs="Arial"/>
        </w:rPr>
        <w:t>Fanourgiakis</w:t>
      </w:r>
      <w:proofErr w:type="spellEnd"/>
      <w:r w:rsidRPr="00AB2AE4">
        <w:rPr>
          <w:rFonts w:ascii="Arial" w:hAnsi="Arial" w:cs="Arial"/>
        </w:rPr>
        <w:t xml:space="preserve">, J., &amp; </w:t>
      </w:r>
      <w:proofErr w:type="spellStart"/>
      <w:r w:rsidRPr="00AB2AE4">
        <w:rPr>
          <w:rFonts w:ascii="Arial" w:hAnsi="Arial" w:cs="Arial"/>
        </w:rPr>
        <w:t>Kontodimopoulos</w:t>
      </w:r>
      <w:proofErr w:type="spellEnd"/>
      <w:r w:rsidRPr="00AB2AE4">
        <w:rPr>
          <w:rFonts w:ascii="Arial" w:hAnsi="Arial" w:cs="Arial"/>
        </w:rPr>
        <w:t>, N. (2024).</w:t>
      </w:r>
      <w:proofErr w:type="gramEnd"/>
      <w:r w:rsidRPr="00AB2AE4">
        <w:rPr>
          <w:rFonts w:ascii="Arial" w:hAnsi="Arial" w:cs="Arial"/>
        </w:rPr>
        <w:t xml:space="preserve"> </w:t>
      </w:r>
      <w:proofErr w:type="gramStart"/>
      <w:r w:rsidRPr="00AB2AE4">
        <w:rPr>
          <w:rFonts w:ascii="Arial" w:hAnsi="Arial" w:cs="Arial"/>
        </w:rPr>
        <w:t>Managing Pharmaceutical Costs in Health Systems: A Review of Affordability, Accessibility and Sustainability Strategies.</w:t>
      </w:r>
      <w:proofErr w:type="gramEnd"/>
      <w:r w:rsidRPr="00AB2AE4">
        <w:rPr>
          <w:rFonts w:ascii="Arial" w:hAnsi="Arial" w:cs="Arial"/>
        </w:rPr>
        <w:t xml:space="preserve"> </w:t>
      </w:r>
      <w:r w:rsidRPr="00954CE4">
        <w:rPr>
          <w:rFonts w:ascii="Arial" w:hAnsi="Arial" w:cs="Arial"/>
          <w:i/>
        </w:rPr>
        <w:t>J Mark Access Health Policy, 12</w:t>
      </w:r>
      <w:r w:rsidRPr="00AB2AE4">
        <w:rPr>
          <w:rFonts w:ascii="Arial" w:hAnsi="Arial" w:cs="Arial"/>
        </w:rPr>
        <w:t xml:space="preserve">(4), 403-414. https://doi.org/10.3390/jmahp12040031 </w:t>
      </w:r>
    </w:p>
    <w:p w14:paraId="1A6336A1" w14:textId="77777777" w:rsidR="00AB2AE4" w:rsidRPr="00AB2AE4" w:rsidRDefault="00AB2AE4" w:rsidP="00AB2AE4">
      <w:pPr>
        <w:spacing w:line="276" w:lineRule="auto"/>
        <w:jc w:val="both"/>
        <w:rPr>
          <w:rFonts w:ascii="Arial" w:hAnsi="Arial" w:cs="Arial"/>
        </w:rPr>
      </w:pPr>
    </w:p>
    <w:p w14:paraId="6B337183"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Oliinky</w:t>
      </w:r>
      <w:proofErr w:type="spellEnd"/>
      <w:r w:rsidRPr="00AB2AE4">
        <w:rPr>
          <w:rFonts w:ascii="Arial" w:hAnsi="Arial" w:cs="Arial"/>
        </w:rPr>
        <w:t xml:space="preserve">, P., </w:t>
      </w:r>
      <w:proofErr w:type="spellStart"/>
      <w:r w:rsidRPr="00AB2AE4">
        <w:rPr>
          <w:rFonts w:ascii="Arial" w:hAnsi="Arial" w:cs="Arial"/>
        </w:rPr>
        <w:t>Hromovky</w:t>
      </w:r>
      <w:proofErr w:type="spellEnd"/>
      <w:r w:rsidRPr="00AB2AE4">
        <w:rPr>
          <w:rFonts w:ascii="Arial" w:hAnsi="Arial" w:cs="Arial"/>
        </w:rPr>
        <w:t xml:space="preserve">, B., &amp; </w:t>
      </w:r>
      <w:proofErr w:type="spellStart"/>
      <w:r w:rsidRPr="00AB2AE4">
        <w:rPr>
          <w:rFonts w:ascii="Arial" w:hAnsi="Arial" w:cs="Arial"/>
        </w:rPr>
        <w:t>Gutor</w:t>
      </w:r>
      <w:proofErr w:type="spellEnd"/>
      <w:r w:rsidRPr="00AB2AE4">
        <w:rPr>
          <w:rFonts w:ascii="Arial" w:hAnsi="Arial" w:cs="Arial"/>
        </w:rPr>
        <w:t>, T. (2024).</w:t>
      </w:r>
      <w:proofErr w:type="gramEnd"/>
      <w:r w:rsidRPr="00AB2AE4">
        <w:rPr>
          <w:rFonts w:ascii="Arial" w:hAnsi="Arial" w:cs="Arial"/>
        </w:rPr>
        <w:t xml:space="preserve"> Possible Solution </w:t>
      </w:r>
      <w:proofErr w:type="gramStart"/>
      <w:r w:rsidRPr="00AB2AE4">
        <w:rPr>
          <w:rFonts w:ascii="Arial" w:hAnsi="Arial" w:cs="Arial"/>
        </w:rPr>
        <w:t>For</w:t>
      </w:r>
      <w:proofErr w:type="gramEnd"/>
      <w:r w:rsidRPr="00AB2AE4">
        <w:rPr>
          <w:rFonts w:ascii="Arial" w:hAnsi="Arial" w:cs="Arial"/>
        </w:rPr>
        <w:t xml:space="preserve"> The Global Problem Of The High Cost Of Medicines. </w:t>
      </w:r>
      <w:proofErr w:type="spellStart"/>
      <w:r w:rsidRPr="00954CE4">
        <w:rPr>
          <w:rFonts w:ascii="Arial" w:hAnsi="Arial" w:cs="Arial"/>
          <w:i/>
        </w:rPr>
        <w:t>Proc</w:t>
      </w:r>
      <w:proofErr w:type="spellEnd"/>
      <w:r w:rsidRPr="00954CE4">
        <w:rPr>
          <w:rFonts w:ascii="Arial" w:hAnsi="Arial" w:cs="Arial"/>
          <w:i/>
        </w:rPr>
        <w:t xml:space="preserve"> </w:t>
      </w:r>
      <w:proofErr w:type="spellStart"/>
      <w:r w:rsidRPr="00954CE4">
        <w:rPr>
          <w:rFonts w:ascii="Arial" w:hAnsi="Arial" w:cs="Arial"/>
          <w:i/>
        </w:rPr>
        <w:t>Shev</w:t>
      </w:r>
      <w:proofErr w:type="spellEnd"/>
      <w:r w:rsidRPr="00954CE4">
        <w:rPr>
          <w:rFonts w:ascii="Arial" w:hAnsi="Arial" w:cs="Arial"/>
          <w:i/>
        </w:rPr>
        <w:t xml:space="preserve"> </w:t>
      </w:r>
      <w:proofErr w:type="spellStart"/>
      <w:r w:rsidRPr="00954CE4">
        <w:rPr>
          <w:rFonts w:ascii="Arial" w:hAnsi="Arial" w:cs="Arial"/>
          <w:i/>
        </w:rPr>
        <w:t>Sci</w:t>
      </w:r>
      <w:proofErr w:type="spellEnd"/>
      <w:r w:rsidRPr="00954CE4">
        <w:rPr>
          <w:rFonts w:ascii="Arial" w:hAnsi="Arial" w:cs="Arial"/>
          <w:i/>
        </w:rPr>
        <w:t xml:space="preserve"> </w:t>
      </w:r>
      <w:proofErr w:type="spellStart"/>
      <w:r w:rsidRPr="00954CE4">
        <w:rPr>
          <w:rFonts w:ascii="Arial" w:hAnsi="Arial" w:cs="Arial"/>
          <w:i/>
        </w:rPr>
        <w:t>Soc</w:t>
      </w:r>
      <w:proofErr w:type="spellEnd"/>
      <w:r w:rsidRPr="00954CE4">
        <w:rPr>
          <w:rFonts w:ascii="Arial" w:hAnsi="Arial" w:cs="Arial"/>
          <w:i/>
        </w:rPr>
        <w:t xml:space="preserve"> Med </w:t>
      </w:r>
      <w:proofErr w:type="spellStart"/>
      <w:r w:rsidRPr="00954CE4">
        <w:rPr>
          <w:rFonts w:ascii="Arial" w:hAnsi="Arial" w:cs="Arial"/>
          <w:i/>
        </w:rPr>
        <w:t>Sci</w:t>
      </w:r>
      <w:proofErr w:type="spellEnd"/>
      <w:r w:rsidRPr="00954CE4">
        <w:rPr>
          <w:rFonts w:ascii="Arial" w:hAnsi="Arial" w:cs="Arial"/>
          <w:i/>
        </w:rPr>
        <w:t>, 73</w:t>
      </w:r>
      <w:r w:rsidRPr="00AB2AE4">
        <w:rPr>
          <w:rFonts w:ascii="Arial" w:hAnsi="Arial" w:cs="Arial"/>
        </w:rPr>
        <w:t xml:space="preserve">(1), 1-8. https://mspsss.org.ua/index.php/journal/article/view/971 </w:t>
      </w:r>
    </w:p>
    <w:p w14:paraId="2F96A32E" w14:textId="77777777" w:rsidR="00AB2AE4" w:rsidRPr="00AB2AE4" w:rsidRDefault="00AB2AE4" w:rsidP="00AB2AE4">
      <w:pPr>
        <w:spacing w:line="276" w:lineRule="auto"/>
        <w:jc w:val="both"/>
        <w:rPr>
          <w:rFonts w:ascii="Arial" w:hAnsi="Arial" w:cs="Arial"/>
        </w:rPr>
      </w:pPr>
    </w:p>
    <w:p w14:paraId="40FEE777"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Penninx</w:t>
      </w:r>
      <w:proofErr w:type="spellEnd"/>
      <w:r w:rsidRPr="00AB2AE4">
        <w:rPr>
          <w:rFonts w:ascii="Arial" w:hAnsi="Arial" w:cs="Arial"/>
        </w:rPr>
        <w:t xml:space="preserve">, B. M. F., </w:t>
      </w:r>
      <w:proofErr w:type="spellStart"/>
      <w:r w:rsidRPr="00AB2AE4">
        <w:rPr>
          <w:rFonts w:ascii="Arial" w:hAnsi="Arial" w:cs="Arial"/>
        </w:rPr>
        <w:t>Tas</w:t>
      </w:r>
      <w:proofErr w:type="spellEnd"/>
      <w:r w:rsidRPr="00AB2AE4">
        <w:rPr>
          <w:rFonts w:ascii="Arial" w:hAnsi="Arial" w:cs="Arial"/>
        </w:rPr>
        <w:t xml:space="preserve">, S. W., </w:t>
      </w:r>
      <w:proofErr w:type="spellStart"/>
      <w:r w:rsidRPr="00AB2AE4">
        <w:rPr>
          <w:rFonts w:ascii="Arial" w:hAnsi="Arial" w:cs="Arial"/>
        </w:rPr>
        <w:t>Timmers</w:t>
      </w:r>
      <w:proofErr w:type="spellEnd"/>
      <w:r w:rsidRPr="00AB2AE4">
        <w:rPr>
          <w:rFonts w:ascii="Arial" w:hAnsi="Arial" w:cs="Arial"/>
        </w:rPr>
        <w:t xml:space="preserve">, L., van de </w:t>
      </w:r>
      <w:proofErr w:type="spellStart"/>
      <w:r w:rsidRPr="00AB2AE4">
        <w:rPr>
          <w:rFonts w:ascii="Arial" w:hAnsi="Arial" w:cs="Arial"/>
        </w:rPr>
        <w:t>Kar</w:t>
      </w:r>
      <w:proofErr w:type="spellEnd"/>
      <w:r w:rsidRPr="00AB2AE4">
        <w:rPr>
          <w:rFonts w:ascii="Arial" w:hAnsi="Arial" w:cs="Arial"/>
        </w:rPr>
        <w:t xml:space="preserve">, N., </w:t>
      </w:r>
      <w:proofErr w:type="spellStart"/>
      <w:r w:rsidRPr="00AB2AE4">
        <w:rPr>
          <w:rFonts w:ascii="Arial" w:hAnsi="Arial" w:cs="Arial"/>
        </w:rPr>
        <w:t>Huisman</w:t>
      </w:r>
      <w:proofErr w:type="spellEnd"/>
      <w:r w:rsidRPr="00AB2AE4">
        <w:rPr>
          <w:rFonts w:ascii="Arial" w:hAnsi="Arial" w:cs="Arial"/>
        </w:rPr>
        <w:t xml:space="preserve">, A., van den Berg, D., van </w:t>
      </w:r>
      <w:proofErr w:type="spellStart"/>
      <w:r w:rsidRPr="00AB2AE4">
        <w:rPr>
          <w:rFonts w:ascii="Arial" w:hAnsi="Arial" w:cs="Arial"/>
        </w:rPr>
        <w:t>Kempen</w:t>
      </w:r>
      <w:proofErr w:type="spellEnd"/>
      <w:r w:rsidRPr="00AB2AE4">
        <w:rPr>
          <w:rFonts w:ascii="Arial" w:hAnsi="Arial" w:cs="Arial"/>
        </w:rPr>
        <w:t xml:space="preserve">, Z. L. E., &amp; </w:t>
      </w:r>
      <w:proofErr w:type="spellStart"/>
      <w:r w:rsidRPr="00AB2AE4">
        <w:rPr>
          <w:rFonts w:ascii="Arial" w:hAnsi="Arial" w:cs="Arial"/>
        </w:rPr>
        <w:t>Hollak</w:t>
      </w:r>
      <w:proofErr w:type="spellEnd"/>
      <w:r w:rsidRPr="00AB2AE4">
        <w:rPr>
          <w:rFonts w:ascii="Arial" w:hAnsi="Arial" w:cs="Arial"/>
        </w:rPr>
        <w:t xml:space="preserve">, C. E. M. (2026). Rational use of expensive medicines in the Netherlands: strategies to improve effectiveness and reduce burden on patients and society - a narrative review. </w:t>
      </w:r>
      <w:r w:rsidRPr="00954CE4">
        <w:rPr>
          <w:rFonts w:ascii="Arial" w:hAnsi="Arial" w:cs="Arial"/>
          <w:i/>
        </w:rPr>
        <w:t>BMC Med, 24</w:t>
      </w:r>
      <w:r w:rsidRPr="00AB2AE4">
        <w:rPr>
          <w:rFonts w:ascii="Arial" w:hAnsi="Arial" w:cs="Arial"/>
        </w:rPr>
        <w:t xml:space="preserve">(1), 1-8. https://doi.org/10.1186/s12916-026-04897-7 </w:t>
      </w:r>
    </w:p>
    <w:p w14:paraId="0E028C36" w14:textId="77777777" w:rsidR="00AB2AE4" w:rsidRPr="00AB2AE4" w:rsidRDefault="00AB2AE4" w:rsidP="00AB2AE4">
      <w:pPr>
        <w:spacing w:line="276" w:lineRule="auto"/>
        <w:jc w:val="both"/>
        <w:rPr>
          <w:rFonts w:ascii="Arial" w:hAnsi="Arial" w:cs="Arial"/>
        </w:rPr>
      </w:pPr>
    </w:p>
    <w:p w14:paraId="12C9AE24"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Rodger, R., Robertson, A., McGee, C., Chisholm, L., </w:t>
      </w:r>
      <w:proofErr w:type="spellStart"/>
      <w:r w:rsidRPr="00AB2AE4">
        <w:rPr>
          <w:rFonts w:ascii="Arial" w:hAnsi="Arial" w:cs="Arial"/>
        </w:rPr>
        <w:t>Ballantyne</w:t>
      </w:r>
      <w:proofErr w:type="spellEnd"/>
      <w:r w:rsidRPr="00AB2AE4">
        <w:rPr>
          <w:rFonts w:ascii="Arial" w:hAnsi="Arial" w:cs="Arial"/>
        </w:rPr>
        <w:t>, H., &amp; McCutcheon, C. (2022).</w:t>
      </w:r>
      <w:proofErr w:type="gramEnd"/>
      <w:r w:rsidRPr="00AB2AE4">
        <w:rPr>
          <w:rFonts w:ascii="Arial" w:hAnsi="Arial" w:cs="Arial"/>
        </w:rPr>
        <w:t xml:space="preserve"> </w:t>
      </w:r>
      <w:proofErr w:type="gramStart"/>
      <w:r w:rsidRPr="00AB2AE4">
        <w:rPr>
          <w:rFonts w:ascii="Arial" w:hAnsi="Arial" w:cs="Arial"/>
        </w:rPr>
        <w:t>Improving antimicrobial stewardship and sustainability by promoting oral metronidazole in eligible surgical patients at the Royal Alexandra Hospital.</w:t>
      </w:r>
      <w:proofErr w:type="gramEnd"/>
      <w:r w:rsidRPr="00AB2AE4">
        <w:rPr>
          <w:rFonts w:ascii="Arial" w:hAnsi="Arial" w:cs="Arial"/>
        </w:rPr>
        <w:t xml:space="preserve"> </w:t>
      </w:r>
      <w:r w:rsidRPr="00954CE4">
        <w:rPr>
          <w:rFonts w:ascii="Arial" w:hAnsi="Arial" w:cs="Arial"/>
          <w:i/>
        </w:rPr>
        <w:t>JAC-Antimicrobial Resistance, 4</w:t>
      </w:r>
      <w:r w:rsidRPr="00AB2AE4">
        <w:rPr>
          <w:rFonts w:ascii="Arial" w:hAnsi="Arial" w:cs="Arial"/>
        </w:rPr>
        <w:t xml:space="preserve">(2), 1-8. https://doi.org/10.1093/jacamr/dlac053.003 </w:t>
      </w:r>
    </w:p>
    <w:p w14:paraId="5E2A493C" w14:textId="77777777" w:rsidR="00AB2AE4" w:rsidRPr="00AB2AE4" w:rsidRDefault="00AB2AE4" w:rsidP="00AB2AE4">
      <w:pPr>
        <w:spacing w:line="276" w:lineRule="auto"/>
        <w:jc w:val="both"/>
        <w:rPr>
          <w:rFonts w:ascii="Arial" w:hAnsi="Arial" w:cs="Arial"/>
        </w:rPr>
      </w:pPr>
    </w:p>
    <w:p w14:paraId="17485871"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Rowan, A., Bates, C., Hulme, W., Evans, D., Davy, S., N, A. K., Galloway, J., K, E. M., </w:t>
      </w:r>
      <w:proofErr w:type="spellStart"/>
      <w:r w:rsidRPr="00AB2AE4">
        <w:rPr>
          <w:rFonts w:ascii="Arial" w:hAnsi="Arial" w:cs="Arial"/>
        </w:rPr>
        <w:t>Bechman</w:t>
      </w:r>
      <w:proofErr w:type="spellEnd"/>
      <w:r w:rsidRPr="00AB2AE4">
        <w:rPr>
          <w:rFonts w:ascii="Arial" w:hAnsi="Arial" w:cs="Arial"/>
        </w:rPr>
        <w:t xml:space="preserve">, K., </w:t>
      </w:r>
      <w:proofErr w:type="spellStart"/>
      <w:r w:rsidRPr="00AB2AE4">
        <w:rPr>
          <w:rFonts w:ascii="Arial" w:hAnsi="Arial" w:cs="Arial"/>
        </w:rPr>
        <w:t>Matthewman</w:t>
      </w:r>
      <w:proofErr w:type="spellEnd"/>
      <w:r w:rsidRPr="00AB2AE4">
        <w:rPr>
          <w:rFonts w:ascii="Arial" w:hAnsi="Arial" w:cs="Arial"/>
        </w:rPr>
        <w:t xml:space="preserve">, J., Yates, M., Brown, J., </w:t>
      </w:r>
      <w:proofErr w:type="spellStart"/>
      <w:r w:rsidRPr="00AB2AE4">
        <w:rPr>
          <w:rFonts w:ascii="Arial" w:hAnsi="Arial" w:cs="Arial"/>
        </w:rPr>
        <w:t>Schultze</w:t>
      </w:r>
      <w:proofErr w:type="spellEnd"/>
      <w:r w:rsidRPr="00AB2AE4">
        <w:rPr>
          <w:rFonts w:ascii="Arial" w:hAnsi="Arial" w:cs="Arial"/>
        </w:rPr>
        <w:t xml:space="preserve">, A., Norton, S., A, J. W., C, E. M., </w:t>
      </w:r>
      <w:proofErr w:type="spellStart"/>
      <w:r w:rsidRPr="00AB2AE4">
        <w:rPr>
          <w:rFonts w:ascii="Arial" w:hAnsi="Arial" w:cs="Arial"/>
        </w:rPr>
        <w:t>Bhaskaran</w:t>
      </w:r>
      <w:proofErr w:type="spellEnd"/>
      <w:r w:rsidRPr="00AB2AE4">
        <w:rPr>
          <w:rFonts w:ascii="Arial" w:hAnsi="Arial" w:cs="Arial"/>
        </w:rPr>
        <w:t xml:space="preserve">, K., C, T. R., Williamson, E., Croker, R., Bacon, S., Hickman, G., Ward, T., Green, A., Fisher, L., H, J. C., </w:t>
      </w:r>
      <w:proofErr w:type="spellStart"/>
      <w:r w:rsidRPr="00AB2AE4">
        <w:rPr>
          <w:rFonts w:ascii="Arial" w:hAnsi="Arial" w:cs="Arial"/>
        </w:rPr>
        <w:t>Tazare</w:t>
      </w:r>
      <w:proofErr w:type="spellEnd"/>
      <w:r w:rsidRPr="00AB2AE4">
        <w:rPr>
          <w:rFonts w:ascii="Arial" w:hAnsi="Arial" w:cs="Arial"/>
        </w:rPr>
        <w:t xml:space="preserve">, J., R, M. E., </w:t>
      </w:r>
      <w:proofErr w:type="spellStart"/>
      <w:r w:rsidRPr="00AB2AE4">
        <w:rPr>
          <w:rFonts w:ascii="Arial" w:hAnsi="Arial" w:cs="Arial"/>
        </w:rPr>
        <w:t>Inglesby</w:t>
      </w:r>
      <w:proofErr w:type="spellEnd"/>
      <w:r w:rsidRPr="00AB2AE4">
        <w:rPr>
          <w:rFonts w:ascii="Arial" w:hAnsi="Arial" w:cs="Arial"/>
        </w:rPr>
        <w:t xml:space="preserve">, P., Cockburn, J., H, I. M., </w:t>
      </w:r>
      <w:proofErr w:type="spellStart"/>
      <w:r w:rsidRPr="00AB2AE4">
        <w:rPr>
          <w:rFonts w:ascii="Arial" w:hAnsi="Arial" w:cs="Arial"/>
        </w:rPr>
        <w:t>Mathur</w:t>
      </w:r>
      <w:proofErr w:type="spellEnd"/>
      <w:r w:rsidRPr="00AB2AE4">
        <w:rPr>
          <w:rFonts w:ascii="Arial" w:hAnsi="Arial" w:cs="Arial"/>
        </w:rPr>
        <w:t xml:space="preserve">, R., </w:t>
      </w:r>
      <w:proofErr w:type="spellStart"/>
      <w:r w:rsidRPr="00AB2AE4">
        <w:rPr>
          <w:rFonts w:ascii="Arial" w:hAnsi="Arial" w:cs="Arial"/>
        </w:rPr>
        <w:t>Ys</w:t>
      </w:r>
      <w:proofErr w:type="spellEnd"/>
      <w:r w:rsidRPr="00AB2AE4">
        <w:rPr>
          <w:rFonts w:ascii="Arial" w:hAnsi="Arial" w:cs="Arial"/>
        </w:rPr>
        <w:t xml:space="preserve"> Wong, A., Forbes, H., Parry, J., Hester, F., Harper, S., I, J. D., </w:t>
      </w:r>
      <w:proofErr w:type="spellStart"/>
      <w:r w:rsidRPr="00AB2AE4">
        <w:rPr>
          <w:rFonts w:ascii="Arial" w:hAnsi="Arial" w:cs="Arial"/>
        </w:rPr>
        <w:t>Smeeth</w:t>
      </w:r>
      <w:proofErr w:type="spellEnd"/>
      <w:r w:rsidRPr="00AB2AE4">
        <w:rPr>
          <w:rFonts w:ascii="Arial" w:hAnsi="Arial" w:cs="Arial"/>
        </w:rPr>
        <w:t xml:space="preserve">, L., L, A. T., C, W. L., Evans, S., Smith, C., S, M. L., </w:t>
      </w:r>
      <w:proofErr w:type="spellStart"/>
      <w:r w:rsidRPr="00AB2AE4">
        <w:rPr>
          <w:rFonts w:ascii="Arial" w:hAnsi="Arial" w:cs="Arial"/>
        </w:rPr>
        <w:t>Mehkar</w:t>
      </w:r>
      <w:proofErr w:type="spellEnd"/>
      <w:r w:rsidRPr="00AB2AE4">
        <w:rPr>
          <w:rFonts w:ascii="Arial" w:hAnsi="Arial" w:cs="Arial"/>
        </w:rPr>
        <w:t xml:space="preserve">, A., </w:t>
      </w:r>
      <w:proofErr w:type="spellStart"/>
      <w:r w:rsidRPr="00AB2AE4">
        <w:rPr>
          <w:rFonts w:ascii="Arial" w:hAnsi="Arial" w:cs="Arial"/>
        </w:rPr>
        <w:t>MacKenna</w:t>
      </w:r>
      <w:proofErr w:type="spellEnd"/>
      <w:r w:rsidRPr="00AB2AE4">
        <w:rPr>
          <w:rFonts w:ascii="Arial" w:hAnsi="Arial" w:cs="Arial"/>
        </w:rPr>
        <w:t xml:space="preserve">, B., &amp; </w:t>
      </w:r>
      <w:proofErr w:type="spellStart"/>
      <w:r w:rsidRPr="00AB2AE4">
        <w:rPr>
          <w:rFonts w:ascii="Arial" w:hAnsi="Arial" w:cs="Arial"/>
        </w:rPr>
        <w:t>Goldacre</w:t>
      </w:r>
      <w:proofErr w:type="spellEnd"/>
      <w:r w:rsidRPr="00AB2AE4">
        <w:rPr>
          <w:rFonts w:ascii="Arial" w:hAnsi="Arial" w:cs="Arial"/>
        </w:rPr>
        <w:t xml:space="preserve">, B. (2021). A comprehensive high cost drugs dataset from the NHS in England - An </w:t>
      </w:r>
      <w:proofErr w:type="spellStart"/>
      <w:r w:rsidRPr="00AB2AE4">
        <w:rPr>
          <w:rFonts w:ascii="Arial" w:hAnsi="Arial" w:cs="Arial"/>
        </w:rPr>
        <w:t>OpenSAFELY</w:t>
      </w:r>
      <w:proofErr w:type="spellEnd"/>
      <w:r w:rsidRPr="00AB2AE4">
        <w:rPr>
          <w:rFonts w:ascii="Arial" w:hAnsi="Arial" w:cs="Arial"/>
        </w:rPr>
        <w:t xml:space="preserve">-TPP Short Data Report. </w:t>
      </w:r>
      <w:proofErr w:type="spellStart"/>
      <w:r w:rsidRPr="00954CE4">
        <w:rPr>
          <w:rFonts w:ascii="Arial" w:hAnsi="Arial" w:cs="Arial"/>
          <w:i/>
        </w:rPr>
        <w:t>Wellcome</w:t>
      </w:r>
      <w:proofErr w:type="spellEnd"/>
      <w:r w:rsidRPr="00954CE4">
        <w:rPr>
          <w:rFonts w:ascii="Arial" w:hAnsi="Arial" w:cs="Arial"/>
          <w:i/>
        </w:rPr>
        <w:t xml:space="preserve"> Open Res, 6</w:t>
      </w:r>
      <w:r w:rsidRPr="00AB2AE4">
        <w:rPr>
          <w:rFonts w:ascii="Arial" w:hAnsi="Arial" w:cs="Arial"/>
        </w:rPr>
        <w:t xml:space="preserve">(1), 360-368. https://doi.org/10.12688/wellcomeopenres.17360.1 </w:t>
      </w:r>
    </w:p>
    <w:p w14:paraId="4D75B221" w14:textId="77777777" w:rsidR="00AB2AE4" w:rsidRPr="00AB2AE4" w:rsidRDefault="00AB2AE4" w:rsidP="00AB2AE4">
      <w:pPr>
        <w:spacing w:line="276" w:lineRule="auto"/>
        <w:jc w:val="both"/>
        <w:rPr>
          <w:rFonts w:ascii="Arial" w:hAnsi="Arial" w:cs="Arial"/>
        </w:rPr>
      </w:pPr>
    </w:p>
    <w:p w14:paraId="373F75FA"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Sanderson, T. (2024).</w:t>
      </w:r>
      <w:proofErr w:type="gramEnd"/>
      <w:r w:rsidRPr="00AB2AE4">
        <w:rPr>
          <w:rFonts w:ascii="Arial" w:hAnsi="Arial" w:cs="Arial"/>
        </w:rPr>
        <w:t xml:space="preserve"> </w:t>
      </w:r>
      <w:proofErr w:type="gramStart"/>
      <w:r w:rsidRPr="00AB2AE4">
        <w:rPr>
          <w:rFonts w:ascii="Arial" w:hAnsi="Arial" w:cs="Arial"/>
        </w:rPr>
        <w:t>A web tool for exploring the usage of medicines in hospitals in England.</w:t>
      </w:r>
      <w:proofErr w:type="gramEnd"/>
      <w:r w:rsidRPr="00AB2AE4">
        <w:rPr>
          <w:rFonts w:ascii="Arial" w:hAnsi="Arial" w:cs="Arial"/>
        </w:rPr>
        <w:t xml:space="preserve"> </w:t>
      </w:r>
      <w:proofErr w:type="spellStart"/>
      <w:r w:rsidRPr="00954CE4">
        <w:rPr>
          <w:rFonts w:ascii="Arial" w:hAnsi="Arial" w:cs="Arial"/>
          <w:i/>
        </w:rPr>
        <w:t>Wellcome</w:t>
      </w:r>
      <w:proofErr w:type="spellEnd"/>
      <w:r w:rsidRPr="00954CE4">
        <w:rPr>
          <w:rFonts w:ascii="Arial" w:hAnsi="Arial" w:cs="Arial"/>
          <w:i/>
        </w:rPr>
        <w:t xml:space="preserve"> Open Res, 9</w:t>
      </w:r>
      <w:r w:rsidRPr="00AB2AE4">
        <w:rPr>
          <w:rFonts w:ascii="Arial" w:hAnsi="Arial" w:cs="Arial"/>
        </w:rPr>
        <w:t xml:space="preserve">(1), 147-157. https://doi.org/10.12688/wellcomeopenres.20766.1 </w:t>
      </w:r>
    </w:p>
    <w:p w14:paraId="189DD76E" w14:textId="77777777" w:rsidR="00AB2AE4" w:rsidRPr="00AB2AE4" w:rsidRDefault="00AB2AE4" w:rsidP="00AB2AE4">
      <w:pPr>
        <w:spacing w:line="276" w:lineRule="auto"/>
        <w:jc w:val="both"/>
        <w:rPr>
          <w:rFonts w:ascii="Arial" w:hAnsi="Arial" w:cs="Arial"/>
        </w:rPr>
      </w:pPr>
    </w:p>
    <w:p w14:paraId="7A5E681B" w14:textId="77777777" w:rsidR="00AB2AE4" w:rsidRPr="00AB2AE4" w:rsidRDefault="00AB2AE4" w:rsidP="00AB2AE4">
      <w:pPr>
        <w:spacing w:line="276" w:lineRule="auto"/>
        <w:jc w:val="both"/>
        <w:rPr>
          <w:rFonts w:ascii="Arial" w:hAnsi="Arial" w:cs="Arial"/>
        </w:rPr>
      </w:pPr>
      <w:r w:rsidRPr="00AB2AE4">
        <w:rPr>
          <w:rFonts w:ascii="Arial" w:hAnsi="Arial" w:cs="Arial"/>
        </w:rPr>
        <w:lastRenderedPageBreak/>
        <w:t xml:space="preserve">Sepulveda, C. F. (2020). </w:t>
      </w:r>
      <w:proofErr w:type="gramStart"/>
      <w:r w:rsidRPr="00AB2AE4">
        <w:rPr>
          <w:rFonts w:ascii="Arial" w:hAnsi="Arial" w:cs="Arial"/>
        </w:rPr>
        <w:t>Explaining the demand and supply model with the cost-benefit rule.</w:t>
      </w:r>
      <w:proofErr w:type="gramEnd"/>
      <w:r w:rsidRPr="00AB2AE4">
        <w:rPr>
          <w:rFonts w:ascii="Arial" w:hAnsi="Arial" w:cs="Arial"/>
        </w:rPr>
        <w:t xml:space="preserve"> </w:t>
      </w:r>
      <w:r w:rsidRPr="00DD2AE3">
        <w:rPr>
          <w:rFonts w:ascii="Arial" w:hAnsi="Arial" w:cs="Arial"/>
          <w:i/>
        </w:rPr>
        <w:t>International Review of Economics Education, 35</w:t>
      </w:r>
      <w:r w:rsidRPr="00AB2AE4">
        <w:rPr>
          <w:rFonts w:ascii="Arial" w:hAnsi="Arial" w:cs="Arial"/>
        </w:rPr>
        <w:t xml:space="preserve">(1), 1-9. https://doi.org/10.1016/j.iree.2020.100194 </w:t>
      </w:r>
    </w:p>
    <w:p w14:paraId="12CCC926" w14:textId="77777777" w:rsidR="00AB2AE4" w:rsidRPr="00AB2AE4" w:rsidRDefault="00AB2AE4" w:rsidP="00AB2AE4">
      <w:pPr>
        <w:spacing w:line="276" w:lineRule="auto"/>
        <w:jc w:val="both"/>
        <w:rPr>
          <w:rFonts w:ascii="Arial" w:hAnsi="Arial" w:cs="Arial"/>
        </w:rPr>
      </w:pPr>
    </w:p>
    <w:p w14:paraId="554D7B83"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Smith, A. (2018). Metronidazole resistance: a hidden epidemic? </w:t>
      </w:r>
      <w:r w:rsidRPr="00DD2AE3">
        <w:rPr>
          <w:rFonts w:ascii="Arial" w:hAnsi="Arial" w:cs="Arial"/>
          <w:i/>
        </w:rPr>
        <w:t>British Dental Journal, 224</w:t>
      </w:r>
      <w:r w:rsidRPr="00AB2AE4">
        <w:rPr>
          <w:rFonts w:ascii="Arial" w:hAnsi="Arial" w:cs="Arial"/>
        </w:rPr>
        <w:t xml:space="preserve">(6), 403-404. https://doi.org/10.1038/sj.bdj.2018.221 </w:t>
      </w:r>
    </w:p>
    <w:p w14:paraId="18884016" w14:textId="77777777" w:rsidR="00AB2AE4" w:rsidRPr="00AB2AE4" w:rsidRDefault="00AB2AE4" w:rsidP="00AB2AE4">
      <w:pPr>
        <w:spacing w:line="276" w:lineRule="auto"/>
        <w:jc w:val="both"/>
        <w:rPr>
          <w:rFonts w:ascii="Arial" w:hAnsi="Arial" w:cs="Arial"/>
        </w:rPr>
      </w:pPr>
    </w:p>
    <w:p w14:paraId="3E0F4A42"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Sterrantino</w:t>
      </w:r>
      <w:proofErr w:type="spellEnd"/>
      <w:r w:rsidRPr="00AB2AE4">
        <w:rPr>
          <w:rFonts w:ascii="Arial" w:hAnsi="Arial" w:cs="Arial"/>
        </w:rPr>
        <w:t xml:space="preserve">, A. F. (2024). Observational studies: practical tips for avoiding common statistical pitfalls. </w:t>
      </w:r>
      <w:r w:rsidRPr="00DD2AE3">
        <w:rPr>
          <w:rFonts w:ascii="Arial" w:hAnsi="Arial" w:cs="Arial"/>
          <w:i/>
        </w:rPr>
        <w:t>The Lancet Regional Health, 25</w:t>
      </w:r>
      <w:r w:rsidRPr="00AB2AE4">
        <w:rPr>
          <w:rFonts w:ascii="Arial" w:hAnsi="Arial" w:cs="Arial"/>
        </w:rPr>
        <w:t xml:space="preserve">(1), 1-8. https://doi.org/10.1016/j.lansea.2024.100415 </w:t>
      </w:r>
    </w:p>
    <w:p w14:paraId="6BA09DA4" w14:textId="77777777" w:rsidR="00AB2AE4" w:rsidRPr="00AB2AE4" w:rsidRDefault="00AB2AE4" w:rsidP="00AB2AE4">
      <w:pPr>
        <w:spacing w:line="276" w:lineRule="auto"/>
        <w:jc w:val="both"/>
        <w:rPr>
          <w:rFonts w:ascii="Arial" w:hAnsi="Arial" w:cs="Arial"/>
        </w:rPr>
      </w:pPr>
    </w:p>
    <w:p w14:paraId="0BCC8A5A"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Stuifbergen</w:t>
      </w:r>
      <w:proofErr w:type="spellEnd"/>
      <w:r w:rsidRPr="00AB2AE4">
        <w:rPr>
          <w:rFonts w:ascii="Arial" w:hAnsi="Arial" w:cs="Arial"/>
        </w:rPr>
        <w:t xml:space="preserve">, A. K., Becker, H., Kullberg, V., </w:t>
      </w:r>
      <w:proofErr w:type="spellStart"/>
      <w:r w:rsidRPr="00AB2AE4">
        <w:rPr>
          <w:rFonts w:ascii="Arial" w:hAnsi="Arial" w:cs="Arial"/>
        </w:rPr>
        <w:t>Palesh</w:t>
      </w:r>
      <w:proofErr w:type="spellEnd"/>
      <w:r w:rsidRPr="00AB2AE4">
        <w:rPr>
          <w:rFonts w:ascii="Arial" w:hAnsi="Arial" w:cs="Arial"/>
        </w:rPr>
        <w:t xml:space="preserve">, O., &amp; </w:t>
      </w:r>
      <w:proofErr w:type="spellStart"/>
      <w:r w:rsidRPr="00AB2AE4">
        <w:rPr>
          <w:rFonts w:ascii="Arial" w:hAnsi="Arial" w:cs="Arial"/>
        </w:rPr>
        <w:t>Kesler</w:t>
      </w:r>
      <w:proofErr w:type="spellEnd"/>
      <w:r w:rsidRPr="00AB2AE4">
        <w:rPr>
          <w:rFonts w:ascii="Arial" w:hAnsi="Arial" w:cs="Arial"/>
        </w:rPr>
        <w:t xml:space="preserve">, S. R. (2024). </w:t>
      </w:r>
      <w:proofErr w:type="gramStart"/>
      <w:r w:rsidRPr="00AB2AE4">
        <w:rPr>
          <w:rFonts w:ascii="Arial" w:hAnsi="Arial" w:cs="Arial"/>
        </w:rPr>
        <w:t>Nurturing Longitudinal Samples 2.0.</w:t>
      </w:r>
      <w:proofErr w:type="gramEnd"/>
      <w:r w:rsidRPr="00AB2AE4">
        <w:rPr>
          <w:rFonts w:ascii="Arial" w:hAnsi="Arial" w:cs="Arial"/>
        </w:rPr>
        <w:t xml:space="preserve"> </w:t>
      </w:r>
      <w:r w:rsidRPr="00DD2AE3">
        <w:rPr>
          <w:rFonts w:ascii="Arial" w:hAnsi="Arial" w:cs="Arial"/>
          <w:i/>
        </w:rPr>
        <w:t xml:space="preserve">West J </w:t>
      </w:r>
      <w:proofErr w:type="spellStart"/>
      <w:r w:rsidRPr="00DD2AE3">
        <w:rPr>
          <w:rFonts w:ascii="Arial" w:hAnsi="Arial" w:cs="Arial"/>
          <w:i/>
        </w:rPr>
        <w:t>Nurs</w:t>
      </w:r>
      <w:proofErr w:type="spellEnd"/>
      <w:r w:rsidRPr="00DD2AE3">
        <w:rPr>
          <w:rFonts w:ascii="Arial" w:hAnsi="Arial" w:cs="Arial"/>
          <w:i/>
        </w:rPr>
        <w:t xml:space="preserve"> Res, 46</w:t>
      </w:r>
      <w:r w:rsidRPr="00AB2AE4">
        <w:rPr>
          <w:rFonts w:ascii="Arial" w:hAnsi="Arial" w:cs="Arial"/>
        </w:rPr>
        <w:t xml:space="preserve">(10), 831-836. https://doi.org/10.1177/01939459241273328 </w:t>
      </w:r>
    </w:p>
    <w:p w14:paraId="40E45638" w14:textId="77777777" w:rsidR="00AB2AE4" w:rsidRPr="00AB2AE4" w:rsidRDefault="00AB2AE4" w:rsidP="00AB2AE4">
      <w:pPr>
        <w:spacing w:line="276" w:lineRule="auto"/>
        <w:jc w:val="both"/>
        <w:rPr>
          <w:rFonts w:ascii="Arial" w:hAnsi="Arial" w:cs="Arial"/>
        </w:rPr>
      </w:pPr>
    </w:p>
    <w:p w14:paraId="12CC6CAD"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Tazare</w:t>
      </w:r>
      <w:proofErr w:type="spellEnd"/>
      <w:r w:rsidRPr="00AB2AE4">
        <w:rPr>
          <w:rFonts w:ascii="Arial" w:hAnsi="Arial" w:cs="Arial"/>
        </w:rPr>
        <w:t xml:space="preserve">, J., Henderson, A. D., Morley, J., Blake, H. A., McDonald, H. I., Williamson, E. J., &amp; Strongman, H. (2024). NHS national data opt-outs: trends and potential consequences for health data research. </w:t>
      </w:r>
      <w:r w:rsidRPr="00221E0A">
        <w:rPr>
          <w:rFonts w:ascii="Arial" w:hAnsi="Arial" w:cs="Arial"/>
          <w:i/>
        </w:rPr>
        <w:t>BJGP Open, 8</w:t>
      </w:r>
      <w:r w:rsidRPr="00AB2AE4">
        <w:rPr>
          <w:rFonts w:ascii="Arial" w:hAnsi="Arial" w:cs="Arial"/>
        </w:rPr>
        <w:t xml:space="preserve">(3), 1-7. https://doi.org/10.3399/BJGPO.2024.0020 </w:t>
      </w:r>
    </w:p>
    <w:p w14:paraId="4771E384" w14:textId="77777777" w:rsidR="00AB2AE4" w:rsidRPr="00AB2AE4" w:rsidRDefault="00AB2AE4" w:rsidP="00AB2AE4">
      <w:pPr>
        <w:spacing w:line="276" w:lineRule="auto"/>
        <w:jc w:val="both"/>
        <w:rPr>
          <w:rFonts w:ascii="Arial" w:hAnsi="Arial" w:cs="Arial"/>
        </w:rPr>
      </w:pPr>
    </w:p>
    <w:p w14:paraId="77322168"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 xml:space="preserve">Togo, K., &amp; </w:t>
      </w:r>
      <w:proofErr w:type="spellStart"/>
      <w:r w:rsidRPr="00AB2AE4">
        <w:rPr>
          <w:rFonts w:ascii="Arial" w:hAnsi="Arial" w:cs="Arial"/>
        </w:rPr>
        <w:t>Yonemoto</w:t>
      </w:r>
      <w:proofErr w:type="spellEnd"/>
      <w:r w:rsidRPr="00AB2AE4">
        <w:rPr>
          <w:rFonts w:ascii="Arial" w:hAnsi="Arial" w:cs="Arial"/>
        </w:rPr>
        <w:t>, N. (2022).</w:t>
      </w:r>
      <w:proofErr w:type="gramEnd"/>
      <w:r w:rsidRPr="00AB2AE4">
        <w:rPr>
          <w:rFonts w:ascii="Arial" w:hAnsi="Arial" w:cs="Arial"/>
        </w:rPr>
        <w:t xml:space="preserve"> Real world data and data science in medical research: present and future. </w:t>
      </w:r>
      <w:proofErr w:type="spellStart"/>
      <w:r w:rsidRPr="00221E0A">
        <w:rPr>
          <w:rFonts w:ascii="Arial" w:hAnsi="Arial" w:cs="Arial"/>
          <w:i/>
        </w:rPr>
        <w:t>Jpn</w:t>
      </w:r>
      <w:proofErr w:type="spellEnd"/>
      <w:r w:rsidRPr="00221E0A">
        <w:rPr>
          <w:rFonts w:ascii="Arial" w:hAnsi="Arial" w:cs="Arial"/>
          <w:i/>
        </w:rPr>
        <w:t xml:space="preserve"> J Stat Data </w:t>
      </w:r>
      <w:proofErr w:type="spellStart"/>
      <w:r w:rsidRPr="00221E0A">
        <w:rPr>
          <w:rFonts w:ascii="Arial" w:hAnsi="Arial" w:cs="Arial"/>
          <w:i/>
        </w:rPr>
        <w:t>Sci</w:t>
      </w:r>
      <w:proofErr w:type="spellEnd"/>
      <w:r w:rsidRPr="00221E0A">
        <w:rPr>
          <w:rFonts w:ascii="Arial" w:hAnsi="Arial" w:cs="Arial"/>
          <w:i/>
        </w:rPr>
        <w:t>, 5</w:t>
      </w:r>
      <w:r w:rsidRPr="00AB2AE4">
        <w:rPr>
          <w:rFonts w:ascii="Arial" w:hAnsi="Arial" w:cs="Arial"/>
        </w:rPr>
        <w:t xml:space="preserve">(2), 769-781. https://doi.org/10.1007/s42081-022-00156-0 </w:t>
      </w:r>
    </w:p>
    <w:p w14:paraId="5938868B" w14:textId="77777777" w:rsidR="00AB2AE4" w:rsidRPr="00AB2AE4" w:rsidRDefault="00AB2AE4" w:rsidP="00AB2AE4">
      <w:pPr>
        <w:spacing w:line="276" w:lineRule="auto"/>
        <w:jc w:val="both"/>
        <w:rPr>
          <w:rFonts w:ascii="Arial" w:hAnsi="Arial" w:cs="Arial"/>
        </w:rPr>
      </w:pPr>
    </w:p>
    <w:p w14:paraId="688E74C2" w14:textId="77777777" w:rsidR="00AB2AE4" w:rsidRPr="00AB2AE4" w:rsidRDefault="00AB2AE4" w:rsidP="00AB2AE4">
      <w:pPr>
        <w:spacing w:line="276" w:lineRule="auto"/>
        <w:jc w:val="both"/>
        <w:rPr>
          <w:rFonts w:ascii="Arial" w:hAnsi="Arial" w:cs="Arial"/>
        </w:rPr>
      </w:pPr>
      <w:proofErr w:type="spellStart"/>
      <w:r w:rsidRPr="00AB2AE4">
        <w:rPr>
          <w:rFonts w:ascii="Arial" w:hAnsi="Arial" w:cs="Arial"/>
        </w:rPr>
        <w:t>Varkey</w:t>
      </w:r>
      <w:proofErr w:type="spellEnd"/>
      <w:r w:rsidRPr="00AB2AE4">
        <w:rPr>
          <w:rFonts w:ascii="Arial" w:hAnsi="Arial" w:cs="Arial"/>
        </w:rPr>
        <w:t xml:space="preserve">, B. (2021). </w:t>
      </w:r>
      <w:proofErr w:type="gramStart"/>
      <w:r w:rsidRPr="00AB2AE4">
        <w:rPr>
          <w:rFonts w:ascii="Arial" w:hAnsi="Arial" w:cs="Arial"/>
        </w:rPr>
        <w:t>Principles of Clinical Ethics and Their Application to Practice.</w:t>
      </w:r>
      <w:proofErr w:type="gramEnd"/>
      <w:r w:rsidRPr="00AB2AE4">
        <w:rPr>
          <w:rFonts w:ascii="Arial" w:hAnsi="Arial" w:cs="Arial"/>
        </w:rPr>
        <w:t xml:space="preserve"> </w:t>
      </w:r>
      <w:r w:rsidRPr="00221E0A">
        <w:rPr>
          <w:rFonts w:ascii="Arial" w:hAnsi="Arial" w:cs="Arial"/>
          <w:i/>
        </w:rPr>
        <w:t>Medical Principles and Practice, 30</w:t>
      </w:r>
      <w:r w:rsidRPr="00AB2AE4">
        <w:rPr>
          <w:rFonts w:ascii="Arial" w:hAnsi="Arial" w:cs="Arial"/>
        </w:rPr>
        <w:t xml:space="preserve">(1), 17-28. https://doi.org/10.1159/000509119 </w:t>
      </w:r>
    </w:p>
    <w:p w14:paraId="3C2236C1" w14:textId="77777777" w:rsidR="00AB2AE4" w:rsidRPr="00AB2AE4" w:rsidRDefault="00AB2AE4" w:rsidP="00AB2AE4">
      <w:pPr>
        <w:spacing w:line="276" w:lineRule="auto"/>
        <w:jc w:val="both"/>
        <w:rPr>
          <w:rFonts w:ascii="Arial" w:hAnsi="Arial" w:cs="Arial"/>
        </w:rPr>
      </w:pPr>
    </w:p>
    <w:p w14:paraId="079B62C2" w14:textId="77777777" w:rsidR="00AB2AE4" w:rsidRPr="00AB2AE4" w:rsidRDefault="00AB2AE4" w:rsidP="00AB2AE4">
      <w:pPr>
        <w:spacing w:line="276" w:lineRule="auto"/>
        <w:jc w:val="both"/>
        <w:rPr>
          <w:rFonts w:ascii="Arial" w:hAnsi="Arial" w:cs="Arial"/>
        </w:rPr>
      </w:pPr>
      <w:proofErr w:type="gramStart"/>
      <w:r w:rsidRPr="00AB2AE4">
        <w:rPr>
          <w:rFonts w:ascii="Arial" w:hAnsi="Arial" w:cs="Arial"/>
        </w:rPr>
        <w:t>Wang, D., Anwar, M., &amp; Tang, R. (2025).</w:t>
      </w:r>
      <w:proofErr w:type="gramEnd"/>
      <w:r w:rsidRPr="00AB2AE4">
        <w:rPr>
          <w:rFonts w:ascii="Arial" w:hAnsi="Arial" w:cs="Arial"/>
        </w:rPr>
        <w:t xml:space="preserve"> Open access data policies and technologies: Introduction to special issue. </w:t>
      </w:r>
      <w:r w:rsidRPr="00221E0A">
        <w:rPr>
          <w:rFonts w:ascii="Arial" w:hAnsi="Arial" w:cs="Arial"/>
          <w:i/>
        </w:rPr>
        <w:t>Data and Information Management, 9</w:t>
      </w:r>
      <w:r w:rsidRPr="00AB2AE4">
        <w:rPr>
          <w:rFonts w:ascii="Arial" w:hAnsi="Arial" w:cs="Arial"/>
        </w:rPr>
        <w:t xml:space="preserve">(1), 1-9. https://doi.org/10.1016/j.dim.2025.100093 </w:t>
      </w:r>
    </w:p>
    <w:p w14:paraId="6F285B61" w14:textId="77777777" w:rsidR="00AB2AE4" w:rsidRPr="00AB2AE4" w:rsidRDefault="00AB2AE4" w:rsidP="00AB2AE4">
      <w:pPr>
        <w:spacing w:line="276" w:lineRule="auto"/>
        <w:jc w:val="both"/>
        <w:rPr>
          <w:rFonts w:ascii="Arial" w:hAnsi="Arial" w:cs="Arial"/>
        </w:rPr>
      </w:pPr>
    </w:p>
    <w:p w14:paraId="7A468D33" w14:textId="24557AEE" w:rsidR="00AB2AE4" w:rsidRPr="00AB2AE4" w:rsidRDefault="00AB2AE4" w:rsidP="00AB2AE4">
      <w:pPr>
        <w:spacing w:line="276" w:lineRule="auto"/>
        <w:jc w:val="both"/>
        <w:rPr>
          <w:rFonts w:ascii="Arial" w:hAnsi="Arial" w:cs="Arial"/>
        </w:rPr>
      </w:pPr>
      <w:proofErr w:type="gramStart"/>
      <w:r w:rsidRPr="00AB2AE4">
        <w:rPr>
          <w:rFonts w:ascii="Arial" w:hAnsi="Arial" w:cs="Arial"/>
        </w:rPr>
        <w:t>WHO.</w:t>
      </w:r>
      <w:proofErr w:type="gramEnd"/>
      <w:r w:rsidRPr="00AB2AE4">
        <w:rPr>
          <w:rFonts w:ascii="Arial" w:hAnsi="Arial" w:cs="Arial"/>
        </w:rPr>
        <w:t xml:space="preserve"> </w:t>
      </w:r>
      <w:proofErr w:type="gramStart"/>
      <w:r w:rsidRPr="00AB2AE4">
        <w:rPr>
          <w:rFonts w:ascii="Arial" w:hAnsi="Arial" w:cs="Arial"/>
        </w:rPr>
        <w:t xml:space="preserve">(2026). </w:t>
      </w:r>
      <w:r w:rsidRPr="00221E0A">
        <w:rPr>
          <w:rFonts w:ascii="Arial" w:hAnsi="Arial" w:cs="Arial"/>
          <w:i/>
        </w:rPr>
        <w:t>Universal health coverage.</w:t>
      </w:r>
      <w:proofErr w:type="gramEnd"/>
      <w:r w:rsidRPr="00AB2AE4">
        <w:rPr>
          <w:rFonts w:ascii="Arial" w:hAnsi="Arial" w:cs="Arial"/>
        </w:rPr>
        <w:t xml:space="preserve"> Retrieved 1</w:t>
      </w:r>
      <w:r w:rsidR="00221E0A">
        <w:rPr>
          <w:rFonts w:ascii="Arial" w:hAnsi="Arial" w:cs="Arial"/>
        </w:rPr>
        <w:t>7</w:t>
      </w:r>
      <w:r w:rsidRPr="00AB2AE4">
        <w:rPr>
          <w:rFonts w:ascii="Arial" w:hAnsi="Arial" w:cs="Arial"/>
        </w:rPr>
        <w:t>/06/2026 from https://www.who.int/health-topics/universal-health-coverage#tab=tab_1</w:t>
      </w:r>
    </w:p>
    <w:p w14:paraId="7FA3CC31" w14:textId="77777777" w:rsidR="00AB2AE4" w:rsidRPr="00AB2AE4" w:rsidRDefault="00AB2AE4" w:rsidP="00AB2AE4">
      <w:pPr>
        <w:spacing w:line="276" w:lineRule="auto"/>
        <w:jc w:val="both"/>
        <w:rPr>
          <w:rFonts w:ascii="Arial" w:hAnsi="Arial" w:cs="Arial"/>
        </w:rPr>
      </w:pPr>
    </w:p>
    <w:p w14:paraId="49DD7EF1" w14:textId="77777777" w:rsidR="00AB2AE4" w:rsidRPr="00AB2AE4" w:rsidRDefault="00AB2AE4" w:rsidP="00AB2AE4">
      <w:pPr>
        <w:spacing w:line="276" w:lineRule="auto"/>
        <w:jc w:val="both"/>
        <w:rPr>
          <w:rFonts w:ascii="Arial" w:hAnsi="Arial" w:cs="Arial"/>
        </w:rPr>
      </w:pPr>
      <w:r w:rsidRPr="00AB2AE4">
        <w:rPr>
          <w:rFonts w:ascii="Arial" w:hAnsi="Arial" w:cs="Arial"/>
        </w:rPr>
        <w:t xml:space="preserve">Wickham, R. J. (2019). </w:t>
      </w:r>
      <w:proofErr w:type="gramStart"/>
      <w:r w:rsidRPr="00AB2AE4">
        <w:rPr>
          <w:rFonts w:ascii="Arial" w:hAnsi="Arial" w:cs="Arial"/>
        </w:rPr>
        <w:t>Secondary Analysis Research.</w:t>
      </w:r>
      <w:proofErr w:type="gramEnd"/>
      <w:r w:rsidRPr="00AB2AE4">
        <w:rPr>
          <w:rFonts w:ascii="Arial" w:hAnsi="Arial" w:cs="Arial"/>
        </w:rPr>
        <w:t xml:space="preserve"> </w:t>
      </w:r>
      <w:proofErr w:type="gramStart"/>
      <w:r w:rsidRPr="00221E0A">
        <w:rPr>
          <w:rFonts w:ascii="Arial" w:hAnsi="Arial" w:cs="Arial"/>
          <w:i/>
        </w:rPr>
        <w:t>Journal of the advanced practitioner in oncology, 10</w:t>
      </w:r>
      <w:r w:rsidRPr="00AB2AE4">
        <w:rPr>
          <w:rFonts w:ascii="Arial" w:hAnsi="Arial" w:cs="Arial"/>
        </w:rPr>
        <w:t>(4), 395-400.</w:t>
      </w:r>
      <w:proofErr w:type="gramEnd"/>
      <w:r w:rsidRPr="00AB2AE4">
        <w:rPr>
          <w:rFonts w:ascii="Arial" w:hAnsi="Arial" w:cs="Arial"/>
        </w:rPr>
        <w:t xml:space="preserve"> https://doi.org/10.6004/jadpro.2019.10.4.7 </w:t>
      </w:r>
    </w:p>
    <w:p w14:paraId="515BC93A" w14:textId="77777777" w:rsidR="00AB2AE4" w:rsidRPr="00AB2AE4" w:rsidRDefault="00AB2AE4" w:rsidP="00AB2AE4">
      <w:pPr>
        <w:spacing w:line="276" w:lineRule="auto"/>
        <w:jc w:val="both"/>
        <w:rPr>
          <w:rFonts w:ascii="Arial" w:hAnsi="Arial" w:cs="Arial"/>
        </w:rPr>
      </w:pPr>
    </w:p>
    <w:p w14:paraId="4943A291" w14:textId="77777777" w:rsidR="00AB2AE4" w:rsidRPr="00AB2AE4" w:rsidRDefault="00AB2AE4" w:rsidP="00AB2AE4">
      <w:pPr>
        <w:spacing w:line="276" w:lineRule="auto"/>
        <w:jc w:val="both"/>
        <w:rPr>
          <w:rFonts w:ascii="Arial" w:hAnsi="Arial" w:cs="Arial"/>
        </w:rPr>
      </w:pPr>
      <w:proofErr w:type="spellStart"/>
      <w:proofErr w:type="gramStart"/>
      <w:r w:rsidRPr="00AB2AE4">
        <w:rPr>
          <w:rFonts w:ascii="Arial" w:hAnsi="Arial" w:cs="Arial"/>
        </w:rPr>
        <w:t>Wouters</w:t>
      </w:r>
      <w:proofErr w:type="spellEnd"/>
      <w:r w:rsidRPr="00AB2AE4">
        <w:rPr>
          <w:rFonts w:ascii="Arial" w:hAnsi="Arial" w:cs="Arial"/>
        </w:rPr>
        <w:t xml:space="preserve">, O. J., McKee, M., &amp; </w:t>
      </w:r>
      <w:proofErr w:type="spellStart"/>
      <w:r w:rsidRPr="00AB2AE4">
        <w:rPr>
          <w:rFonts w:ascii="Arial" w:hAnsi="Arial" w:cs="Arial"/>
        </w:rPr>
        <w:t>Luyten</w:t>
      </w:r>
      <w:proofErr w:type="spellEnd"/>
      <w:r w:rsidRPr="00AB2AE4">
        <w:rPr>
          <w:rFonts w:ascii="Arial" w:hAnsi="Arial" w:cs="Arial"/>
        </w:rPr>
        <w:t>, J. (2020).</w:t>
      </w:r>
      <w:proofErr w:type="gramEnd"/>
      <w:r w:rsidRPr="00AB2AE4">
        <w:rPr>
          <w:rFonts w:ascii="Arial" w:hAnsi="Arial" w:cs="Arial"/>
        </w:rPr>
        <w:t xml:space="preserve"> </w:t>
      </w:r>
      <w:r w:rsidRPr="008140B7">
        <w:rPr>
          <w:rFonts w:ascii="Arial" w:hAnsi="Arial" w:cs="Arial"/>
          <w:i/>
        </w:rPr>
        <w:t xml:space="preserve">Estimated Research and Development Investment Needed to Bring a New Medicine to Market, 2009-2018. </w:t>
      </w:r>
      <w:proofErr w:type="spellStart"/>
      <w:r w:rsidRPr="008140B7">
        <w:rPr>
          <w:rFonts w:ascii="Arial" w:hAnsi="Arial" w:cs="Arial"/>
          <w:i/>
        </w:rPr>
        <w:t>Jama</w:t>
      </w:r>
      <w:proofErr w:type="spellEnd"/>
      <w:r w:rsidRPr="008140B7">
        <w:rPr>
          <w:rFonts w:ascii="Arial" w:hAnsi="Arial" w:cs="Arial"/>
          <w:i/>
        </w:rPr>
        <w:t>, 323</w:t>
      </w:r>
      <w:r w:rsidRPr="00AB2AE4">
        <w:rPr>
          <w:rFonts w:ascii="Arial" w:hAnsi="Arial" w:cs="Arial"/>
        </w:rPr>
        <w:t xml:space="preserve">(9), 844-853. https://doi.org/10.1001/jama.2020.1166 </w:t>
      </w:r>
    </w:p>
    <w:p w14:paraId="42C06F1D" w14:textId="77777777" w:rsidR="00AB2AE4" w:rsidRPr="00AB2AE4" w:rsidRDefault="00AB2AE4" w:rsidP="00AB2AE4">
      <w:pPr>
        <w:spacing w:line="276" w:lineRule="auto"/>
        <w:jc w:val="both"/>
        <w:rPr>
          <w:rFonts w:ascii="Arial" w:hAnsi="Arial" w:cs="Arial"/>
        </w:rPr>
      </w:pPr>
    </w:p>
    <w:p w14:paraId="2B6C25B7" w14:textId="190C6CFB" w:rsidR="00164315" w:rsidRPr="00177BFB" w:rsidRDefault="00AB2AE4" w:rsidP="00893C40">
      <w:pPr>
        <w:spacing w:line="276" w:lineRule="auto"/>
        <w:jc w:val="both"/>
        <w:rPr>
          <w:rFonts w:ascii="Arial" w:hAnsi="Arial" w:cs="Arial"/>
        </w:rPr>
      </w:pPr>
      <w:proofErr w:type="gramStart"/>
      <w:r w:rsidRPr="00AB2AE4">
        <w:rPr>
          <w:rFonts w:ascii="Arial" w:hAnsi="Arial" w:cs="Arial"/>
        </w:rPr>
        <w:t>Wozniak-</w:t>
      </w:r>
      <w:proofErr w:type="spellStart"/>
      <w:r w:rsidRPr="00AB2AE4">
        <w:rPr>
          <w:rFonts w:ascii="Arial" w:hAnsi="Arial" w:cs="Arial"/>
        </w:rPr>
        <w:t>Holecka</w:t>
      </w:r>
      <w:proofErr w:type="spellEnd"/>
      <w:r w:rsidRPr="00AB2AE4">
        <w:rPr>
          <w:rFonts w:ascii="Arial" w:hAnsi="Arial" w:cs="Arial"/>
        </w:rPr>
        <w:t xml:space="preserve">, J., </w:t>
      </w:r>
      <w:proofErr w:type="spellStart"/>
      <w:r w:rsidRPr="00AB2AE4">
        <w:rPr>
          <w:rFonts w:ascii="Arial" w:hAnsi="Arial" w:cs="Arial"/>
        </w:rPr>
        <w:t>Smółka</w:t>
      </w:r>
      <w:proofErr w:type="spellEnd"/>
      <w:r w:rsidRPr="00AB2AE4">
        <w:rPr>
          <w:rFonts w:ascii="Arial" w:hAnsi="Arial" w:cs="Arial"/>
        </w:rPr>
        <w:t xml:space="preserve">, J., </w:t>
      </w:r>
      <w:proofErr w:type="spellStart"/>
      <w:r w:rsidRPr="00AB2AE4">
        <w:rPr>
          <w:rFonts w:ascii="Arial" w:hAnsi="Arial" w:cs="Arial"/>
        </w:rPr>
        <w:t>Sobczyk</w:t>
      </w:r>
      <w:proofErr w:type="spellEnd"/>
      <w:r w:rsidRPr="00AB2AE4">
        <w:rPr>
          <w:rFonts w:ascii="Arial" w:hAnsi="Arial" w:cs="Arial"/>
        </w:rPr>
        <w:t xml:space="preserve">, K., &amp; </w:t>
      </w:r>
      <w:proofErr w:type="spellStart"/>
      <w:r w:rsidRPr="00AB2AE4">
        <w:rPr>
          <w:rFonts w:ascii="Arial" w:hAnsi="Arial" w:cs="Arial"/>
        </w:rPr>
        <w:t>Holecki</w:t>
      </w:r>
      <w:proofErr w:type="spellEnd"/>
      <w:r w:rsidRPr="00AB2AE4">
        <w:rPr>
          <w:rFonts w:ascii="Arial" w:hAnsi="Arial" w:cs="Arial"/>
        </w:rPr>
        <w:t>, T. (2026).</w:t>
      </w:r>
      <w:proofErr w:type="gramEnd"/>
      <w:r w:rsidRPr="00AB2AE4">
        <w:rPr>
          <w:rFonts w:ascii="Arial" w:hAnsi="Arial" w:cs="Arial"/>
        </w:rPr>
        <w:t xml:space="preserve"> Change in healthcare costs in Europe 2018–</w:t>
      </w:r>
      <w:r w:rsidR="008140B7">
        <w:rPr>
          <w:rFonts w:ascii="Arial" w:hAnsi="Arial" w:cs="Arial"/>
        </w:rPr>
        <w:t>2023 (data report)</w:t>
      </w:r>
      <w:r w:rsidRPr="00AB2AE4">
        <w:rPr>
          <w:rFonts w:ascii="Arial" w:hAnsi="Arial" w:cs="Arial"/>
        </w:rPr>
        <w:t xml:space="preserve">. </w:t>
      </w:r>
      <w:r w:rsidRPr="008140B7">
        <w:rPr>
          <w:rFonts w:ascii="Arial" w:hAnsi="Arial" w:cs="Arial"/>
          <w:i/>
        </w:rPr>
        <w:t>Frontiers in Public Health, 14</w:t>
      </w:r>
      <w:r w:rsidRPr="00AB2AE4">
        <w:rPr>
          <w:rFonts w:ascii="Arial" w:hAnsi="Arial" w:cs="Arial"/>
        </w:rPr>
        <w:t xml:space="preserve"> (1), 1-8. https://doi</w:t>
      </w:r>
      <w:r>
        <w:rPr>
          <w:rFonts w:ascii="Arial" w:hAnsi="Arial" w:cs="Arial"/>
        </w:rPr>
        <w:t>.org/10.3389/fpubh.2026.1774180</w:t>
      </w:r>
    </w:p>
    <w:p w14:paraId="06C9E6F8" w14:textId="691AF265" w:rsidR="007E7CAE" w:rsidRPr="008B30F0" w:rsidRDefault="007E7CAE" w:rsidP="00F66B3A">
      <w:pPr>
        <w:spacing w:line="276" w:lineRule="auto"/>
        <w:jc w:val="both"/>
        <w:rPr>
          <w:rFonts w:ascii="Arial" w:hAnsi="Arial" w:cs="Arial"/>
          <w:b/>
          <w:u w:val="single"/>
        </w:rPr>
      </w:pPr>
      <w:r w:rsidRPr="008B30F0">
        <w:rPr>
          <w:rFonts w:ascii="Arial" w:hAnsi="Arial" w:cs="Arial"/>
          <w:b/>
          <w:u w:val="single"/>
        </w:rPr>
        <w:lastRenderedPageBreak/>
        <w:t>Appendices</w:t>
      </w:r>
    </w:p>
    <w:p w14:paraId="67DDB044" w14:textId="77777777" w:rsidR="00F4302A" w:rsidRPr="00177BFB" w:rsidRDefault="00F4302A" w:rsidP="00F66B3A">
      <w:pPr>
        <w:spacing w:line="276" w:lineRule="auto"/>
        <w:jc w:val="both"/>
        <w:rPr>
          <w:rFonts w:ascii="Arial" w:hAnsi="Arial" w:cs="Arial"/>
        </w:rPr>
      </w:pPr>
    </w:p>
    <w:p w14:paraId="187B043E" w14:textId="2224FFE4" w:rsidR="00996215" w:rsidRDefault="007E7CAE" w:rsidP="00F66B3A">
      <w:pPr>
        <w:spacing w:line="276" w:lineRule="auto"/>
        <w:jc w:val="both"/>
        <w:rPr>
          <w:rFonts w:ascii="Arial" w:hAnsi="Arial" w:cs="Arial"/>
          <w:iCs/>
        </w:rPr>
      </w:pPr>
      <w:r w:rsidRPr="009D5F72">
        <w:rPr>
          <w:rFonts w:ascii="Arial" w:hAnsi="Arial" w:cs="Arial"/>
          <w:iCs/>
        </w:rPr>
        <w:t>Appendix 1</w:t>
      </w:r>
    </w:p>
    <w:p w14:paraId="1871C5CC" w14:textId="5E49BA6A" w:rsidR="007E7CAE" w:rsidRPr="00996215" w:rsidRDefault="007E7CAE" w:rsidP="00F66B3A">
      <w:pPr>
        <w:spacing w:line="276" w:lineRule="auto"/>
        <w:jc w:val="both"/>
        <w:rPr>
          <w:rFonts w:ascii="Arial" w:hAnsi="Arial" w:cs="Arial"/>
          <w:i/>
          <w:iCs/>
        </w:rPr>
      </w:pPr>
      <w:r w:rsidRPr="00996215">
        <w:rPr>
          <w:rFonts w:ascii="Arial" w:hAnsi="Arial" w:cs="Arial"/>
          <w:i/>
          <w:iCs/>
        </w:rPr>
        <w:t>Link</w:t>
      </w:r>
      <w:r w:rsidR="00FA3C67" w:rsidRPr="00996215">
        <w:rPr>
          <w:rFonts w:ascii="Arial" w:hAnsi="Arial" w:cs="Arial"/>
          <w:i/>
          <w:iCs/>
        </w:rPr>
        <w:t xml:space="preserve"> </w:t>
      </w:r>
      <w:r w:rsidRPr="00996215">
        <w:rPr>
          <w:rFonts w:ascii="Arial" w:hAnsi="Arial" w:cs="Arial"/>
          <w:i/>
          <w:iCs/>
        </w:rPr>
        <w:t xml:space="preserve">to </w:t>
      </w:r>
      <w:r w:rsidR="00F92045" w:rsidRPr="00996215">
        <w:rPr>
          <w:rFonts w:ascii="Arial" w:hAnsi="Arial" w:cs="Arial"/>
          <w:i/>
          <w:iCs/>
        </w:rPr>
        <w:t>Original D</w:t>
      </w:r>
      <w:r w:rsidRPr="00996215">
        <w:rPr>
          <w:rFonts w:ascii="Arial" w:hAnsi="Arial" w:cs="Arial"/>
          <w:i/>
          <w:iCs/>
        </w:rPr>
        <w:t>atasets</w:t>
      </w:r>
    </w:p>
    <w:p w14:paraId="2C9C4EBE" w14:textId="77777777" w:rsidR="00FA3C67" w:rsidRPr="00177BFB" w:rsidRDefault="00FA3C67" w:rsidP="00F66B3A">
      <w:pPr>
        <w:spacing w:line="276" w:lineRule="auto"/>
        <w:jc w:val="both"/>
        <w:rPr>
          <w:rFonts w:ascii="Arial" w:hAnsi="Arial" w:cs="Arial"/>
        </w:rPr>
      </w:pPr>
    </w:p>
    <w:p w14:paraId="4F361C88" w14:textId="1EAB4C56" w:rsidR="007E7CAE" w:rsidRPr="00177BFB" w:rsidRDefault="00FA3C67" w:rsidP="00F66B3A">
      <w:pPr>
        <w:spacing w:line="276" w:lineRule="auto"/>
        <w:jc w:val="both"/>
        <w:rPr>
          <w:rFonts w:ascii="Arial" w:hAnsi="Arial" w:cs="Arial"/>
        </w:rPr>
      </w:pPr>
      <w:r w:rsidRPr="00177BFB">
        <w:rPr>
          <w:rFonts w:ascii="Arial" w:hAnsi="Arial" w:cs="Arial"/>
        </w:rPr>
        <w:t>https://opendata.nhsbsa.net/dataset/secondary-care-medicines-data-indicative-price</w:t>
      </w:r>
    </w:p>
    <w:p w14:paraId="6F7CB1C0" w14:textId="1DBC0ED5" w:rsidR="007E7CAE" w:rsidRPr="00177BFB" w:rsidRDefault="007E7CAE" w:rsidP="00F66B3A">
      <w:pPr>
        <w:spacing w:line="276" w:lineRule="auto"/>
        <w:jc w:val="both"/>
        <w:rPr>
          <w:rFonts w:ascii="Arial" w:hAnsi="Arial" w:cs="Arial"/>
        </w:rPr>
      </w:pPr>
    </w:p>
    <w:p w14:paraId="09DC6A10" w14:textId="77777777" w:rsidR="00F4302A" w:rsidRPr="00177BFB" w:rsidRDefault="00F4302A" w:rsidP="00F66B3A">
      <w:pPr>
        <w:spacing w:line="276" w:lineRule="auto"/>
        <w:jc w:val="both"/>
        <w:rPr>
          <w:rFonts w:ascii="Arial" w:hAnsi="Arial" w:cs="Arial"/>
        </w:rPr>
      </w:pPr>
    </w:p>
    <w:p w14:paraId="5CFDB4D3" w14:textId="2582B34B" w:rsidR="00996215" w:rsidRDefault="00996215" w:rsidP="00F66B3A">
      <w:pPr>
        <w:spacing w:line="276" w:lineRule="auto"/>
        <w:jc w:val="both"/>
        <w:rPr>
          <w:rFonts w:ascii="Arial" w:hAnsi="Arial" w:cs="Arial"/>
          <w:iCs/>
        </w:rPr>
      </w:pPr>
      <w:r>
        <w:rPr>
          <w:rFonts w:ascii="Arial" w:hAnsi="Arial" w:cs="Arial"/>
          <w:iCs/>
        </w:rPr>
        <w:t>Appendix 2</w:t>
      </w:r>
    </w:p>
    <w:p w14:paraId="335EFF37" w14:textId="2367C051" w:rsidR="007E7CAE" w:rsidRPr="00996215" w:rsidRDefault="007E7CAE" w:rsidP="00F66B3A">
      <w:pPr>
        <w:spacing w:line="276" w:lineRule="auto"/>
        <w:jc w:val="both"/>
        <w:rPr>
          <w:rFonts w:ascii="Arial" w:hAnsi="Arial" w:cs="Arial"/>
          <w:i/>
          <w:iCs/>
        </w:rPr>
      </w:pPr>
      <w:r w:rsidRPr="00996215">
        <w:rPr>
          <w:rFonts w:ascii="Arial" w:hAnsi="Arial" w:cs="Arial"/>
          <w:i/>
          <w:iCs/>
        </w:rPr>
        <w:t>Analys</w:t>
      </w:r>
      <w:r w:rsidR="00FC3091" w:rsidRPr="00996215">
        <w:rPr>
          <w:rFonts w:ascii="Arial" w:hAnsi="Arial" w:cs="Arial"/>
          <w:i/>
          <w:iCs/>
        </w:rPr>
        <w:t>e</w:t>
      </w:r>
      <w:r w:rsidRPr="00996215">
        <w:rPr>
          <w:rFonts w:ascii="Arial" w:hAnsi="Arial" w:cs="Arial"/>
          <w:i/>
          <w:iCs/>
        </w:rPr>
        <w:t xml:space="preserve">s </w:t>
      </w:r>
      <w:r w:rsidR="00F92045" w:rsidRPr="00996215">
        <w:rPr>
          <w:rFonts w:ascii="Arial" w:hAnsi="Arial" w:cs="Arial"/>
          <w:i/>
          <w:iCs/>
        </w:rPr>
        <w:t>O</w:t>
      </w:r>
      <w:r w:rsidRPr="00996215">
        <w:rPr>
          <w:rFonts w:ascii="Arial" w:hAnsi="Arial" w:cs="Arial"/>
          <w:i/>
          <w:iCs/>
        </w:rPr>
        <w:t>utputs</w:t>
      </w:r>
    </w:p>
    <w:p w14:paraId="70EE87CB" w14:textId="77777777" w:rsidR="00F4302A" w:rsidRPr="009D5F72" w:rsidRDefault="00F4302A" w:rsidP="00F66B3A">
      <w:pPr>
        <w:spacing w:line="276" w:lineRule="auto"/>
        <w:jc w:val="both"/>
        <w:rPr>
          <w:rFonts w:ascii="Baskerville" w:hAnsi="Baskerville"/>
          <w:iCs/>
        </w:rPr>
      </w:pPr>
    </w:p>
    <w:p w14:paraId="3810EA74" w14:textId="1A4E1E7A" w:rsidR="00FA3C67" w:rsidRDefault="00893C40" w:rsidP="00F66B3A">
      <w:pPr>
        <w:spacing w:line="276" w:lineRule="auto"/>
        <w:jc w:val="both"/>
        <w:rPr>
          <w:rFonts w:ascii="Baskerville" w:hAnsi="Baskerville"/>
        </w:rPr>
      </w:pPr>
      <w:r>
        <w:rPr>
          <w:rFonts w:ascii="Baskerville" w:hAnsi="Baskerville"/>
          <w:noProof/>
        </w:rPr>
        <w:drawing>
          <wp:inline distT="0" distB="0" distL="0" distR="0" wp14:anchorId="373C7894" wp14:editId="33B95C69">
            <wp:extent cx="4391790" cy="340680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393344" cy="3408008"/>
                    </a:xfrm>
                    <a:prstGeom prst="rect">
                      <a:avLst/>
                    </a:prstGeom>
                  </pic:spPr>
                </pic:pic>
              </a:graphicData>
            </a:graphic>
          </wp:inline>
        </w:drawing>
      </w:r>
    </w:p>
    <w:p w14:paraId="41F3FB59" w14:textId="47FE54AE" w:rsidR="00893C40" w:rsidRDefault="00893C40" w:rsidP="00F66B3A">
      <w:pPr>
        <w:spacing w:line="276" w:lineRule="auto"/>
        <w:jc w:val="both"/>
        <w:rPr>
          <w:rFonts w:ascii="Baskerville" w:hAnsi="Baskerville"/>
        </w:rPr>
      </w:pPr>
    </w:p>
    <w:p w14:paraId="03037EC4" w14:textId="16A37A49" w:rsidR="00893C40" w:rsidRDefault="00893C40" w:rsidP="00F66B3A">
      <w:pPr>
        <w:spacing w:line="276" w:lineRule="auto"/>
        <w:jc w:val="both"/>
        <w:rPr>
          <w:rFonts w:ascii="Baskerville" w:hAnsi="Baskerville"/>
        </w:rPr>
      </w:pPr>
      <w:r>
        <w:rPr>
          <w:rFonts w:ascii="Baskerville" w:hAnsi="Baskerville"/>
          <w:noProof/>
        </w:rPr>
        <w:lastRenderedPageBreak/>
        <w:drawing>
          <wp:inline distT="0" distB="0" distL="0" distR="0" wp14:anchorId="51F1FA5A" wp14:editId="1FD3AD13">
            <wp:extent cx="4414592" cy="3497413"/>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4424999" cy="3505658"/>
                    </a:xfrm>
                    <a:prstGeom prst="rect">
                      <a:avLst/>
                    </a:prstGeom>
                  </pic:spPr>
                </pic:pic>
              </a:graphicData>
            </a:graphic>
          </wp:inline>
        </w:drawing>
      </w:r>
    </w:p>
    <w:p w14:paraId="189707D5" w14:textId="4177D693" w:rsidR="00893C40" w:rsidRDefault="00893C40" w:rsidP="00F66B3A">
      <w:pPr>
        <w:spacing w:line="276" w:lineRule="auto"/>
        <w:jc w:val="both"/>
        <w:rPr>
          <w:rFonts w:ascii="Baskerville" w:hAnsi="Baskerville"/>
        </w:rPr>
      </w:pPr>
    </w:p>
    <w:p w14:paraId="2D6F93B4" w14:textId="59792EF3" w:rsidR="00893C40" w:rsidRDefault="00893C40" w:rsidP="00F66B3A">
      <w:pPr>
        <w:spacing w:line="276" w:lineRule="auto"/>
        <w:jc w:val="both"/>
        <w:rPr>
          <w:rFonts w:ascii="Baskerville" w:hAnsi="Baskerville"/>
        </w:rPr>
      </w:pPr>
      <w:r>
        <w:rPr>
          <w:rFonts w:ascii="Baskerville" w:hAnsi="Baskerville"/>
          <w:noProof/>
        </w:rPr>
        <w:drawing>
          <wp:inline distT="0" distB="0" distL="0" distR="0" wp14:anchorId="5343A9CF" wp14:editId="7D58F9EF">
            <wp:extent cx="5112388" cy="3784414"/>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126311" cy="3794720"/>
                    </a:xfrm>
                    <a:prstGeom prst="rect">
                      <a:avLst/>
                    </a:prstGeom>
                  </pic:spPr>
                </pic:pic>
              </a:graphicData>
            </a:graphic>
          </wp:inline>
        </w:drawing>
      </w:r>
    </w:p>
    <w:p w14:paraId="190AF420" w14:textId="0D6945AC" w:rsidR="00893C40" w:rsidRDefault="00893C40" w:rsidP="00F66B3A">
      <w:pPr>
        <w:spacing w:line="276" w:lineRule="auto"/>
        <w:jc w:val="both"/>
        <w:rPr>
          <w:rFonts w:ascii="Baskerville" w:hAnsi="Baskerville"/>
        </w:rPr>
      </w:pPr>
    </w:p>
    <w:p w14:paraId="1AA2A257" w14:textId="61D113BE" w:rsidR="003E3DB5" w:rsidRDefault="00893C40" w:rsidP="00F66B3A">
      <w:pPr>
        <w:spacing w:line="276" w:lineRule="auto"/>
        <w:jc w:val="both"/>
        <w:rPr>
          <w:rFonts w:ascii="Baskerville" w:hAnsi="Baskerville"/>
        </w:rPr>
      </w:pPr>
      <w:r>
        <w:rPr>
          <w:rFonts w:ascii="Baskerville" w:hAnsi="Baskerville"/>
          <w:noProof/>
        </w:rPr>
        <w:lastRenderedPageBreak/>
        <w:drawing>
          <wp:inline distT="0" distB="0" distL="0" distR="0" wp14:anchorId="77FF3772" wp14:editId="4A3EEBDE">
            <wp:extent cx="5129165" cy="3737694"/>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137437" cy="3743722"/>
                    </a:xfrm>
                    <a:prstGeom prst="rect">
                      <a:avLst/>
                    </a:prstGeom>
                  </pic:spPr>
                </pic:pic>
              </a:graphicData>
            </a:graphic>
          </wp:inline>
        </w:drawing>
      </w:r>
    </w:p>
    <w:p w14:paraId="08307CBA" w14:textId="77777777" w:rsidR="003E3DB5" w:rsidRPr="003E3DB5" w:rsidRDefault="003E3DB5" w:rsidP="003E3DB5">
      <w:pPr>
        <w:rPr>
          <w:rFonts w:ascii="Baskerville" w:hAnsi="Baskerville"/>
        </w:rPr>
      </w:pPr>
    </w:p>
    <w:p w14:paraId="1970FDF1" w14:textId="7C913525" w:rsidR="00106F42" w:rsidRPr="00DA57D8" w:rsidRDefault="00DA57D8" w:rsidP="00106F42">
      <w:pPr>
        <w:rPr>
          <w:rFonts w:ascii="Arial" w:hAnsi="Arial" w:cs="Arial"/>
        </w:rPr>
      </w:pPr>
      <w:r w:rsidRPr="00DA57D8">
        <w:rPr>
          <w:rFonts w:ascii="Arial" w:hAnsi="Arial" w:cs="Arial"/>
        </w:rPr>
        <w:t>A Spearman rank</w:t>
      </w:r>
      <w:r>
        <w:rPr>
          <w:rFonts w:ascii="Arial" w:hAnsi="Arial" w:cs="Arial"/>
        </w:rPr>
        <w:t>-</w:t>
      </w:r>
      <w:r w:rsidRPr="00DA57D8">
        <w:rPr>
          <w:rFonts w:ascii="Arial" w:hAnsi="Arial" w:cs="Arial"/>
        </w:rPr>
        <w:t>order correlation was used to assess whether calendar year was associated with changes in total prescribing volume across the study period, as shown above under the correlations heading. Simple linear regression was used to assess whether calendar year significantly predicted changes in total indicative expenditure over time, as shown above with Analysis of Variance (ANOVA). The Mann</w:t>
      </w:r>
      <w:r>
        <w:rPr>
          <w:rFonts w:ascii="Arial" w:hAnsi="Arial" w:cs="Arial"/>
        </w:rPr>
        <w:t>-</w:t>
      </w:r>
      <w:r w:rsidRPr="00DA57D8">
        <w:rPr>
          <w:rFonts w:ascii="Arial" w:hAnsi="Arial" w:cs="Arial"/>
        </w:rPr>
        <w:t>Whitney U test was used to compare cost</w:t>
      </w:r>
      <w:r>
        <w:rPr>
          <w:rFonts w:ascii="Arial" w:hAnsi="Arial" w:cs="Arial"/>
        </w:rPr>
        <w:t>-</w:t>
      </w:r>
      <w:r w:rsidRPr="00DA57D8">
        <w:rPr>
          <w:rFonts w:ascii="Arial" w:hAnsi="Arial" w:cs="Arial"/>
        </w:rPr>
        <w:t>per</w:t>
      </w:r>
      <w:r>
        <w:rPr>
          <w:rFonts w:ascii="Arial" w:hAnsi="Arial" w:cs="Arial"/>
        </w:rPr>
        <w:t>-</w:t>
      </w:r>
      <w:r w:rsidRPr="00DA57D8">
        <w:rPr>
          <w:rFonts w:ascii="Arial" w:hAnsi="Arial" w:cs="Arial"/>
        </w:rPr>
        <w:t>unit distributions between the most frequently prescribed and most expensive medicine groups. The Wilcoxon signed-ranks test was used to assess whether there was a significant paired change in medicine cost per unit between 2021 and 2026. Finally, the Shapiro</w:t>
      </w:r>
      <w:r>
        <w:rPr>
          <w:rFonts w:ascii="Arial" w:hAnsi="Arial" w:cs="Arial"/>
        </w:rPr>
        <w:t>-</w:t>
      </w:r>
      <w:proofErr w:type="spellStart"/>
      <w:r w:rsidRPr="00DA57D8">
        <w:rPr>
          <w:rFonts w:ascii="Arial" w:hAnsi="Arial" w:cs="Arial"/>
        </w:rPr>
        <w:t>Wilk</w:t>
      </w:r>
      <w:proofErr w:type="spellEnd"/>
      <w:r w:rsidRPr="00DA57D8">
        <w:rPr>
          <w:rFonts w:ascii="Arial" w:hAnsi="Arial" w:cs="Arial"/>
        </w:rPr>
        <w:t xml:space="preserve"> test was used to assess whether the annual expenditure data followed a normal distribution and to inform consideration of distributional assumptions, as shown below.</w:t>
      </w:r>
    </w:p>
    <w:p w14:paraId="275CDC43" w14:textId="77777777" w:rsidR="00DA57D8" w:rsidRDefault="00DA57D8" w:rsidP="00106F42">
      <w:pPr>
        <w:rPr>
          <w:rFonts w:ascii="Baskerville" w:hAnsi="Baskerville"/>
        </w:rPr>
      </w:pPr>
    </w:p>
    <w:p w14:paraId="3BFC23E1" w14:textId="104D12A1" w:rsidR="00B57A11" w:rsidRDefault="003E3DB5" w:rsidP="003E3DB5">
      <w:pPr>
        <w:rPr>
          <w:rFonts w:ascii="Baskerville" w:hAnsi="Baskerville"/>
        </w:rPr>
      </w:pPr>
      <w:r>
        <w:rPr>
          <w:rFonts w:ascii="Baskerville" w:hAnsi="Baskerville"/>
          <w:noProof/>
        </w:rPr>
        <w:drawing>
          <wp:inline distT="0" distB="0" distL="0" distR="0" wp14:anchorId="3B748B14" wp14:editId="64CB981A">
            <wp:extent cx="5124450" cy="25750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28701" cy="2577150"/>
                    </a:xfrm>
                    <a:prstGeom prst="rect">
                      <a:avLst/>
                    </a:prstGeom>
                    <a:noFill/>
                    <a:ln>
                      <a:noFill/>
                    </a:ln>
                  </pic:spPr>
                </pic:pic>
              </a:graphicData>
            </a:graphic>
          </wp:inline>
        </w:drawing>
      </w:r>
    </w:p>
    <w:p w14:paraId="768FCAF0" w14:textId="77777777" w:rsidR="00893C40" w:rsidRPr="00B57A11" w:rsidRDefault="00893C40" w:rsidP="00B57A11">
      <w:pPr>
        <w:rPr>
          <w:rFonts w:ascii="Baskerville" w:hAnsi="Baskerville"/>
        </w:rPr>
      </w:pPr>
    </w:p>
    <w:sectPr w:rsidR="00893C40" w:rsidRPr="00B57A11" w:rsidSect="00D83C07">
      <w:footerReference w:type="default" r:id="rId17"/>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2D98E" w14:textId="77777777" w:rsidR="005456AD" w:rsidRDefault="005456AD" w:rsidP="003A6827">
      <w:r>
        <w:separator/>
      </w:r>
    </w:p>
  </w:endnote>
  <w:endnote w:type="continuationSeparator" w:id="0">
    <w:p w14:paraId="653592C6" w14:textId="77777777" w:rsidR="005456AD" w:rsidRDefault="005456AD" w:rsidP="003A6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askerville">
    <w:altName w:val="Baskerville Old Face"/>
    <w:charset w:val="00"/>
    <w:family w:val="roman"/>
    <w:pitch w:val="variable"/>
    <w:sig w:usb0="80000067" w:usb1="02000000" w:usb2="00000000" w:usb3="00000000" w:csb0="0000019F" w:csb1="00000000"/>
  </w:font>
  <w:font w:name="Heebo">
    <w:charset w:val="B1"/>
    <w:family w:val="auto"/>
    <w:pitch w:val="variable"/>
    <w:sig w:usb0="A00008E7" w:usb1="40000043" w:usb2="00000000" w:usb3="00000000" w:csb0="0000002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3558726"/>
      <w:docPartObj>
        <w:docPartGallery w:val="Page Numbers (Bottom of Page)"/>
        <w:docPartUnique/>
      </w:docPartObj>
    </w:sdtPr>
    <w:sdtEndPr>
      <w:rPr>
        <w:noProof/>
      </w:rPr>
    </w:sdtEndPr>
    <w:sdtContent>
      <w:p w14:paraId="563278D3" w14:textId="0B894360" w:rsidR="00F86561" w:rsidRDefault="00F86561">
        <w:pPr>
          <w:pStyle w:val="Footer"/>
          <w:jc w:val="right"/>
        </w:pPr>
        <w:r>
          <w:fldChar w:fldCharType="begin"/>
        </w:r>
        <w:r>
          <w:instrText xml:space="preserve"> PAGE   \* MERGEFORMAT </w:instrText>
        </w:r>
        <w:r>
          <w:fldChar w:fldCharType="separate"/>
        </w:r>
        <w:r w:rsidR="002261D1">
          <w:rPr>
            <w:noProof/>
          </w:rPr>
          <w:t>2</w:t>
        </w:r>
        <w:r>
          <w:rPr>
            <w:noProof/>
          </w:rPr>
          <w:fldChar w:fldCharType="end"/>
        </w:r>
      </w:p>
    </w:sdtContent>
  </w:sdt>
  <w:p w14:paraId="24A4DB11" w14:textId="77777777" w:rsidR="00F86561" w:rsidRDefault="00F865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DC07B" w14:textId="77777777" w:rsidR="005456AD" w:rsidRDefault="005456AD" w:rsidP="003A6827">
      <w:r>
        <w:separator/>
      </w:r>
    </w:p>
  </w:footnote>
  <w:footnote w:type="continuationSeparator" w:id="0">
    <w:p w14:paraId="00373934" w14:textId="77777777" w:rsidR="005456AD" w:rsidRDefault="005456AD" w:rsidP="003A68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0&lt;/ScanUnformatted&gt;&lt;ScanChanges&gt;1&lt;/ScanChanges&gt;&lt;Suspended&gt;0&lt;/Suspended&gt;&lt;/ENInstantFormat&gt;"/>
    <w:docVar w:name="EN.Layout" w:val="&lt;ENLayout&gt;&lt;Style&gt;APA 7th Updated&lt;/Style&gt;&lt;LeftDelim&gt;{&lt;/LeftDelim&gt;&lt;RightDelim&gt;}&lt;/RightDelim&gt;&lt;FontName&gt;Calibri&lt;/FontName&gt;&lt;FontSize&gt;12&lt;/FontSize&gt;&lt;ReflistTitle&gt;&lt;style face=&quot;underline&quot;&gt;References&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ddxevxwlaz2eqe9s9txvpsofdz55v9v55a2&quot;&gt;REF2023&lt;record-ids&gt;&lt;item&gt;20217&lt;/item&gt;&lt;item&gt;22766&lt;/item&gt;&lt;item&gt;23014&lt;/item&gt;&lt;item&gt;23698&lt;/item&gt;&lt;item&gt;33198&lt;/item&gt;&lt;item&gt;33329&lt;/item&gt;&lt;item&gt;34735&lt;/item&gt;&lt;item&gt;40497&lt;/item&gt;&lt;item&gt;41069&lt;/item&gt;&lt;item&gt;41070&lt;/item&gt;&lt;item&gt;41071&lt;/item&gt;&lt;item&gt;41072&lt;/item&gt;&lt;item&gt;41073&lt;/item&gt;&lt;item&gt;41074&lt;/item&gt;&lt;item&gt;41075&lt;/item&gt;&lt;item&gt;41076&lt;/item&gt;&lt;item&gt;41077&lt;/item&gt;&lt;item&gt;41078&lt;/item&gt;&lt;item&gt;41079&lt;/item&gt;&lt;item&gt;41080&lt;/item&gt;&lt;item&gt;41081&lt;/item&gt;&lt;item&gt;41082&lt;/item&gt;&lt;item&gt;41083&lt;/item&gt;&lt;item&gt;41084&lt;/item&gt;&lt;item&gt;41085&lt;/item&gt;&lt;item&gt;41086&lt;/item&gt;&lt;item&gt;41087&lt;/item&gt;&lt;item&gt;41088&lt;/item&gt;&lt;item&gt;41089&lt;/item&gt;&lt;item&gt;41090&lt;/item&gt;&lt;item&gt;41091&lt;/item&gt;&lt;item&gt;41092&lt;/item&gt;&lt;item&gt;41093&lt;/item&gt;&lt;item&gt;41094&lt;/item&gt;&lt;item&gt;41095&lt;/item&gt;&lt;item&gt;41096&lt;/item&gt;&lt;item&gt;41097&lt;/item&gt;&lt;item&gt;41098&lt;/item&gt;&lt;item&gt;41099&lt;/item&gt;&lt;item&gt;41100&lt;/item&gt;&lt;item&gt;41101&lt;/item&gt;&lt;item&gt;41102&lt;/item&gt;&lt;item&gt;41103&lt;/item&gt;&lt;item&gt;41104&lt;/item&gt;&lt;item&gt;41105&lt;/item&gt;&lt;item&gt;41106&lt;/item&gt;&lt;item&gt;41107&lt;/item&gt;&lt;item&gt;41108&lt;/item&gt;&lt;item&gt;41109&lt;/item&gt;&lt;item&gt;41110&lt;/item&gt;&lt;item&gt;41111&lt;/item&gt;&lt;item&gt;41112&lt;/item&gt;&lt;item&gt;41113&lt;/item&gt;&lt;item&gt;41114&lt;/item&gt;&lt;item&gt;41115&lt;/item&gt;&lt;item&gt;41116&lt;/item&gt;&lt;item&gt;41117&lt;/item&gt;&lt;item&gt;41118&lt;/item&gt;&lt;item&gt;41119&lt;/item&gt;&lt;item&gt;41120&lt;/item&gt;&lt;item&gt;41121&lt;/item&gt;&lt;item&gt;41122&lt;/item&gt;&lt;item&gt;41123&lt;/item&gt;&lt;item&gt;41124&lt;/item&gt;&lt;item&gt;41125&lt;/item&gt;&lt;item&gt;41126&lt;/item&gt;&lt;item&gt;41127&lt;/item&gt;&lt;item&gt;41128&lt;/item&gt;&lt;item&gt;41129&lt;/item&gt;&lt;/record-ids&gt;&lt;/item&gt;&lt;/Libraries&gt;"/>
  </w:docVars>
  <w:rsids>
    <w:rsidRoot w:val="005B4044"/>
    <w:rsid w:val="000038CC"/>
    <w:rsid w:val="00004199"/>
    <w:rsid w:val="00005A5D"/>
    <w:rsid w:val="00007AB6"/>
    <w:rsid w:val="00007B09"/>
    <w:rsid w:val="00010A21"/>
    <w:rsid w:val="00011140"/>
    <w:rsid w:val="00012E73"/>
    <w:rsid w:val="000139E2"/>
    <w:rsid w:val="00015681"/>
    <w:rsid w:val="00015A15"/>
    <w:rsid w:val="000166E6"/>
    <w:rsid w:val="00023B34"/>
    <w:rsid w:val="000247C5"/>
    <w:rsid w:val="00025FBF"/>
    <w:rsid w:val="000272EC"/>
    <w:rsid w:val="00030E59"/>
    <w:rsid w:val="000330A6"/>
    <w:rsid w:val="00034899"/>
    <w:rsid w:val="00035AA4"/>
    <w:rsid w:val="00036DF1"/>
    <w:rsid w:val="00037957"/>
    <w:rsid w:val="00037B4A"/>
    <w:rsid w:val="0004057D"/>
    <w:rsid w:val="00041B35"/>
    <w:rsid w:val="00041F11"/>
    <w:rsid w:val="0004288A"/>
    <w:rsid w:val="00043620"/>
    <w:rsid w:val="000438C9"/>
    <w:rsid w:val="0004504B"/>
    <w:rsid w:val="00055C24"/>
    <w:rsid w:val="0005692E"/>
    <w:rsid w:val="0006003D"/>
    <w:rsid w:val="00063048"/>
    <w:rsid w:val="00065D0E"/>
    <w:rsid w:val="00067894"/>
    <w:rsid w:val="00070E78"/>
    <w:rsid w:val="00071792"/>
    <w:rsid w:val="00072913"/>
    <w:rsid w:val="0007398E"/>
    <w:rsid w:val="0007475D"/>
    <w:rsid w:val="000753EA"/>
    <w:rsid w:val="00075402"/>
    <w:rsid w:val="0007649A"/>
    <w:rsid w:val="00076F59"/>
    <w:rsid w:val="0008097D"/>
    <w:rsid w:val="00080E3B"/>
    <w:rsid w:val="00081156"/>
    <w:rsid w:val="000826A7"/>
    <w:rsid w:val="00082DE0"/>
    <w:rsid w:val="0008351C"/>
    <w:rsid w:val="00085A72"/>
    <w:rsid w:val="00085AED"/>
    <w:rsid w:val="000872D9"/>
    <w:rsid w:val="00090E1E"/>
    <w:rsid w:val="00093197"/>
    <w:rsid w:val="0009384A"/>
    <w:rsid w:val="00097D8E"/>
    <w:rsid w:val="00097E86"/>
    <w:rsid w:val="000A2A06"/>
    <w:rsid w:val="000A3A41"/>
    <w:rsid w:val="000A4B21"/>
    <w:rsid w:val="000A50B9"/>
    <w:rsid w:val="000B29BA"/>
    <w:rsid w:val="000B38BE"/>
    <w:rsid w:val="000B38C6"/>
    <w:rsid w:val="000B3DCB"/>
    <w:rsid w:val="000B455C"/>
    <w:rsid w:val="000C61FD"/>
    <w:rsid w:val="000C643A"/>
    <w:rsid w:val="000C6C6C"/>
    <w:rsid w:val="000D3D82"/>
    <w:rsid w:val="000D63E7"/>
    <w:rsid w:val="000D689E"/>
    <w:rsid w:val="000E18D5"/>
    <w:rsid w:val="000E2D87"/>
    <w:rsid w:val="000E3458"/>
    <w:rsid w:val="000E3CBA"/>
    <w:rsid w:val="000E4837"/>
    <w:rsid w:val="000E57C3"/>
    <w:rsid w:val="000F0371"/>
    <w:rsid w:val="000F3410"/>
    <w:rsid w:val="000F5958"/>
    <w:rsid w:val="000F613C"/>
    <w:rsid w:val="000F736C"/>
    <w:rsid w:val="00105307"/>
    <w:rsid w:val="0010543A"/>
    <w:rsid w:val="00105585"/>
    <w:rsid w:val="00105A7F"/>
    <w:rsid w:val="00106F42"/>
    <w:rsid w:val="00110F3B"/>
    <w:rsid w:val="0011468B"/>
    <w:rsid w:val="0011475B"/>
    <w:rsid w:val="00120680"/>
    <w:rsid w:val="00120A37"/>
    <w:rsid w:val="00120B5C"/>
    <w:rsid w:val="00120ED9"/>
    <w:rsid w:val="001217DA"/>
    <w:rsid w:val="00122A7B"/>
    <w:rsid w:val="00124EDE"/>
    <w:rsid w:val="00134617"/>
    <w:rsid w:val="00135D4C"/>
    <w:rsid w:val="001377FB"/>
    <w:rsid w:val="00141E1C"/>
    <w:rsid w:val="00142008"/>
    <w:rsid w:val="001423FB"/>
    <w:rsid w:val="00143421"/>
    <w:rsid w:val="00144077"/>
    <w:rsid w:val="00147570"/>
    <w:rsid w:val="0015036A"/>
    <w:rsid w:val="001525D2"/>
    <w:rsid w:val="00152D88"/>
    <w:rsid w:val="00153F31"/>
    <w:rsid w:val="00156A9D"/>
    <w:rsid w:val="00157972"/>
    <w:rsid w:val="00164315"/>
    <w:rsid w:val="0016483F"/>
    <w:rsid w:val="001728CC"/>
    <w:rsid w:val="00177B7A"/>
    <w:rsid w:val="00177BFB"/>
    <w:rsid w:val="0018036A"/>
    <w:rsid w:val="001821CD"/>
    <w:rsid w:val="001849D2"/>
    <w:rsid w:val="0019019B"/>
    <w:rsid w:val="0019430B"/>
    <w:rsid w:val="00195113"/>
    <w:rsid w:val="00195AAB"/>
    <w:rsid w:val="00195B83"/>
    <w:rsid w:val="00197970"/>
    <w:rsid w:val="001A0A9E"/>
    <w:rsid w:val="001A1B33"/>
    <w:rsid w:val="001A3540"/>
    <w:rsid w:val="001A5880"/>
    <w:rsid w:val="001B6A9C"/>
    <w:rsid w:val="001C1136"/>
    <w:rsid w:val="001C20BA"/>
    <w:rsid w:val="001C32F0"/>
    <w:rsid w:val="001C5F4D"/>
    <w:rsid w:val="001C637B"/>
    <w:rsid w:val="001D0DEF"/>
    <w:rsid w:val="001E2953"/>
    <w:rsid w:val="001E32EA"/>
    <w:rsid w:val="001E6843"/>
    <w:rsid w:val="001E78BB"/>
    <w:rsid w:val="001F0923"/>
    <w:rsid w:val="00201E71"/>
    <w:rsid w:val="0020731F"/>
    <w:rsid w:val="00210CC0"/>
    <w:rsid w:val="00212C96"/>
    <w:rsid w:val="00214C1D"/>
    <w:rsid w:val="0022005E"/>
    <w:rsid w:val="0022013A"/>
    <w:rsid w:val="00221E0A"/>
    <w:rsid w:val="00224431"/>
    <w:rsid w:val="0022480A"/>
    <w:rsid w:val="002261D1"/>
    <w:rsid w:val="002330D2"/>
    <w:rsid w:val="00233770"/>
    <w:rsid w:val="0023742C"/>
    <w:rsid w:val="00237960"/>
    <w:rsid w:val="00241C76"/>
    <w:rsid w:val="002428DB"/>
    <w:rsid w:val="002437B0"/>
    <w:rsid w:val="00244D92"/>
    <w:rsid w:val="00244FD1"/>
    <w:rsid w:val="002535BA"/>
    <w:rsid w:val="00253CE2"/>
    <w:rsid w:val="00254118"/>
    <w:rsid w:val="00254F80"/>
    <w:rsid w:val="0025627A"/>
    <w:rsid w:val="00257CC8"/>
    <w:rsid w:val="00263EE9"/>
    <w:rsid w:val="0026476D"/>
    <w:rsid w:val="00265FF3"/>
    <w:rsid w:val="0026606A"/>
    <w:rsid w:val="00267B6C"/>
    <w:rsid w:val="00270306"/>
    <w:rsid w:val="00270456"/>
    <w:rsid w:val="00272219"/>
    <w:rsid w:val="00274369"/>
    <w:rsid w:val="00276374"/>
    <w:rsid w:val="00276673"/>
    <w:rsid w:val="00276A9F"/>
    <w:rsid w:val="00276E00"/>
    <w:rsid w:val="00277D35"/>
    <w:rsid w:val="00280A55"/>
    <w:rsid w:val="00280ED3"/>
    <w:rsid w:val="0028159A"/>
    <w:rsid w:val="00282140"/>
    <w:rsid w:val="00285AC3"/>
    <w:rsid w:val="00286EB6"/>
    <w:rsid w:val="00293C7D"/>
    <w:rsid w:val="00295B82"/>
    <w:rsid w:val="00296B7E"/>
    <w:rsid w:val="00297043"/>
    <w:rsid w:val="0029711A"/>
    <w:rsid w:val="002A0993"/>
    <w:rsid w:val="002A1EBD"/>
    <w:rsid w:val="002A202B"/>
    <w:rsid w:val="002A48E4"/>
    <w:rsid w:val="002B27B2"/>
    <w:rsid w:val="002B2F12"/>
    <w:rsid w:val="002C1397"/>
    <w:rsid w:val="002C2ACC"/>
    <w:rsid w:val="002C6D7D"/>
    <w:rsid w:val="002C7112"/>
    <w:rsid w:val="002C7F0B"/>
    <w:rsid w:val="002E099C"/>
    <w:rsid w:val="002E0C4B"/>
    <w:rsid w:val="002E7419"/>
    <w:rsid w:val="002E758D"/>
    <w:rsid w:val="002F353A"/>
    <w:rsid w:val="00300329"/>
    <w:rsid w:val="003018CF"/>
    <w:rsid w:val="00303436"/>
    <w:rsid w:val="00312478"/>
    <w:rsid w:val="003139EB"/>
    <w:rsid w:val="003144C9"/>
    <w:rsid w:val="00315C71"/>
    <w:rsid w:val="00323781"/>
    <w:rsid w:val="003239AA"/>
    <w:rsid w:val="00325F86"/>
    <w:rsid w:val="00330CD8"/>
    <w:rsid w:val="00331A57"/>
    <w:rsid w:val="00331AE7"/>
    <w:rsid w:val="0033230D"/>
    <w:rsid w:val="003359CE"/>
    <w:rsid w:val="0033681E"/>
    <w:rsid w:val="00337183"/>
    <w:rsid w:val="00340622"/>
    <w:rsid w:val="00340C56"/>
    <w:rsid w:val="00342015"/>
    <w:rsid w:val="00342118"/>
    <w:rsid w:val="003426DE"/>
    <w:rsid w:val="0034270A"/>
    <w:rsid w:val="00344147"/>
    <w:rsid w:val="0034602F"/>
    <w:rsid w:val="00347E81"/>
    <w:rsid w:val="00347ED8"/>
    <w:rsid w:val="0035040B"/>
    <w:rsid w:val="003511D4"/>
    <w:rsid w:val="00351A24"/>
    <w:rsid w:val="00353076"/>
    <w:rsid w:val="003551B7"/>
    <w:rsid w:val="00355E61"/>
    <w:rsid w:val="0035754B"/>
    <w:rsid w:val="00361133"/>
    <w:rsid w:val="00361704"/>
    <w:rsid w:val="00363764"/>
    <w:rsid w:val="0036638A"/>
    <w:rsid w:val="00367129"/>
    <w:rsid w:val="0036717F"/>
    <w:rsid w:val="0037014E"/>
    <w:rsid w:val="00370EC3"/>
    <w:rsid w:val="00374D77"/>
    <w:rsid w:val="0038361D"/>
    <w:rsid w:val="00385AC7"/>
    <w:rsid w:val="0038782E"/>
    <w:rsid w:val="00393FC6"/>
    <w:rsid w:val="0039475B"/>
    <w:rsid w:val="00395FF5"/>
    <w:rsid w:val="00396AAD"/>
    <w:rsid w:val="00396D99"/>
    <w:rsid w:val="00396E8C"/>
    <w:rsid w:val="003A3731"/>
    <w:rsid w:val="003A6827"/>
    <w:rsid w:val="003A7605"/>
    <w:rsid w:val="003A766C"/>
    <w:rsid w:val="003B03BA"/>
    <w:rsid w:val="003B103B"/>
    <w:rsid w:val="003B2DCA"/>
    <w:rsid w:val="003B2FF1"/>
    <w:rsid w:val="003B6EB8"/>
    <w:rsid w:val="003B7DC6"/>
    <w:rsid w:val="003C15E1"/>
    <w:rsid w:val="003C5591"/>
    <w:rsid w:val="003C5BD1"/>
    <w:rsid w:val="003C5D1D"/>
    <w:rsid w:val="003D000B"/>
    <w:rsid w:val="003D08F0"/>
    <w:rsid w:val="003D15D7"/>
    <w:rsid w:val="003D1D45"/>
    <w:rsid w:val="003D2BA4"/>
    <w:rsid w:val="003D2CB6"/>
    <w:rsid w:val="003D4480"/>
    <w:rsid w:val="003D4BE7"/>
    <w:rsid w:val="003E0201"/>
    <w:rsid w:val="003E3DB5"/>
    <w:rsid w:val="003E75EE"/>
    <w:rsid w:val="003F0C56"/>
    <w:rsid w:val="003F140B"/>
    <w:rsid w:val="003F25B1"/>
    <w:rsid w:val="003F2D63"/>
    <w:rsid w:val="003F3CCA"/>
    <w:rsid w:val="003F4A35"/>
    <w:rsid w:val="003F60C5"/>
    <w:rsid w:val="003F7CEC"/>
    <w:rsid w:val="004010C5"/>
    <w:rsid w:val="00402B71"/>
    <w:rsid w:val="0040656C"/>
    <w:rsid w:val="00415258"/>
    <w:rsid w:val="00415769"/>
    <w:rsid w:val="00416E67"/>
    <w:rsid w:val="0042150C"/>
    <w:rsid w:val="00421CE8"/>
    <w:rsid w:val="00422500"/>
    <w:rsid w:val="00424CAE"/>
    <w:rsid w:val="0043061D"/>
    <w:rsid w:val="00431184"/>
    <w:rsid w:val="004337F2"/>
    <w:rsid w:val="0043413D"/>
    <w:rsid w:val="004426AF"/>
    <w:rsid w:val="00443FEE"/>
    <w:rsid w:val="00444515"/>
    <w:rsid w:val="00445228"/>
    <w:rsid w:val="00446DAE"/>
    <w:rsid w:val="00447132"/>
    <w:rsid w:val="004543E9"/>
    <w:rsid w:val="00455637"/>
    <w:rsid w:val="00456CD6"/>
    <w:rsid w:val="0046154B"/>
    <w:rsid w:val="00461C2A"/>
    <w:rsid w:val="00463554"/>
    <w:rsid w:val="0046714C"/>
    <w:rsid w:val="004672F4"/>
    <w:rsid w:val="0046767E"/>
    <w:rsid w:val="00470A5A"/>
    <w:rsid w:val="004711CB"/>
    <w:rsid w:val="00473F5E"/>
    <w:rsid w:val="0047496D"/>
    <w:rsid w:val="0047620B"/>
    <w:rsid w:val="0048350F"/>
    <w:rsid w:val="004840A9"/>
    <w:rsid w:val="00486B01"/>
    <w:rsid w:val="00492DD2"/>
    <w:rsid w:val="004A01BE"/>
    <w:rsid w:val="004A1C28"/>
    <w:rsid w:val="004A3042"/>
    <w:rsid w:val="004B0713"/>
    <w:rsid w:val="004B2981"/>
    <w:rsid w:val="004B389D"/>
    <w:rsid w:val="004B4ADE"/>
    <w:rsid w:val="004B4E89"/>
    <w:rsid w:val="004B7E7E"/>
    <w:rsid w:val="004C0ABE"/>
    <w:rsid w:val="004C0DD8"/>
    <w:rsid w:val="004C2317"/>
    <w:rsid w:val="004C696E"/>
    <w:rsid w:val="004D04C1"/>
    <w:rsid w:val="004D0784"/>
    <w:rsid w:val="004D14B6"/>
    <w:rsid w:val="004D520D"/>
    <w:rsid w:val="004D61E0"/>
    <w:rsid w:val="004D6E03"/>
    <w:rsid w:val="004D72A0"/>
    <w:rsid w:val="004E0280"/>
    <w:rsid w:val="004E13B6"/>
    <w:rsid w:val="004E4ABD"/>
    <w:rsid w:val="004E4B4E"/>
    <w:rsid w:val="004E67A6"/>
    <w:rsid w:val="004F2833"/>
    <w:rsid w:val="004F6480"/>
    <w:rsid w:val="005002A5"/>
    <w:rsid w:val="005011BE"/>
    <w:rsid w:val="00502561"/>
    <w:rsid w:val="00511894"/>
    <w:rsid w:val="005130C2"/>
    <w:rsid w:val="00513AF7"/>
    <w:rsid w:val="00514A8C"/>
    <w:rsid w:val="005178DB"/>
    <w:rsid w:val="00520A2C"/>
    <w:rsid w:val="005235C0"/>
    <w:rsid w:val="00523843"/>
    <w:rsid w:val="00523D32"/>
    <w:rsid w:val="005249A2"/>
    <w:rsid w:val="00531D16"/>
    <w:rsid w:val="0053447D"/>
    <w:rsid w:val="00534DCA"/>
    <w:rsid w:val="005368CF"/>
    <w:rsid w:val="00541D73"/>
    <w:rsid w:val="00544FFE"/>
    <w:rsid w:val="005450BC"/>
    <w:rsid w:val="005456AD"/>
    <w:rsid w:val="0054767A"/>
    <w:rsid w:val="00550AB5"/>
    <w:rsid w:val="00551050"/>
    <w:rsid w:val="005556AC"/>
    <w:rsid w:val="00557BB2"/>
    <w:rsid w:val="005627D6"/>
    <w:rsid w:val="00563EF4"/>
    <w:rsid w:val="00566C79"/>
    <w:rsid w:val="005737B9"/>
    <w:rsid w:val="0057423F"/>
    <w:rsid w:val="00576139"/>
    <w:rsid w:val="00577BC7"/>
    <w:rsid w:val="00577E51"/>
    <w:rsid w:val="00580DA6"/>
    <w:rsid w:val="00585090"/>
    <w:rsid w:val="00585F7B"/>
    <w:rsid w:val="00587DE6"/>
    <w:rsid w:val="005902D2"/>
    <w:rsid w:val="00591DF0"/>
    <w:rsid w:val="005927B2"/>
    <w:rsid w:val="00593A36"/>
    <w:rsid w:val="0059521B"/>
    <w:rsid w:val="005A2C64"/>
    <w:rsid w:val="005A54C7"/>
    <w:rsid w:val="005B0A1C"/>
    <w:rsid w:val="005B143F"/>
    <w:rsid w:val="005B211C"/>
    <w:rsid w:val="005B3A8E"/>
    <w:rsid w:val="005B4044"/>
    <w:rsid w:val="005C01DA"/>
    <w:rsid w:val="005C10D2"/>
    <w:rsid w:val="005C1528"/>
    <w:rsid w:val="005C1F1D"/>
    <w:rsid w:val="005C2162"/>
    <w:rsid w:val="005C2441"/>
    <w:rsid w:val="005C366B"/>
    <w:rsid w:val="005C53E0"/>
    <w:rsid w:val="005D5846"/>
    <w:rsid w:val="005D6771"/>
    <w:rsid w:val="005E0B3C"/>
    <w:rsid w:val="005E0F5D"/>
    <w:rsid w:val="005E163A"/>
    <w:rsid w:val="005E3F33"/>
    <w:rsid w:val="005E6503"/>
    <w:rsid w:val="005F02C4"/>
    <w:rsid w:val="006002EB"/>
    <w:rsid w:val="00601FC9"/>
    <w:rsid w:val="0060202A"/>
    <w:rsid w:val="00604AF0"/>
    <w:rsid w:val="00604D26"/>
    <w:rsid w:val="006100B9"/>
    <w:rsid w:val="006137B0"/>
    <w:rsid w:val="00614866"/>
    <w:rsid w:val="00616C14"/>
    <w:rsid w:val="00616D94"/>
    <w:rsid w:val="00624F40"/>
    <w:rsid w:val="00626780"/>
    <w:rsid w:val="00626E0A"/>
    <w:rsid w:val="006270D3"/>
    <w:rsid w:val="00627B64"/>
    <w:rsid w:val="00636164"/>
    <w:rsid w:val="00637696"/>
    <w:rsid w:val="00641EB8"/>
    <w:rsid w:val="00642445"/>
    <w:rsid w:val="0064436F"/>
    <w:rsid w:val="00644A54"/>
    <w:rsid w:val="006460D7"/>
    <w:rsid w:val="006504C3"/>
    <w:rsid w:val="00650764"/>
    <w:rsid w:val="006517C2"/>
    <w:rsid w:val="006529CF"/>
    <w:rsid w:val="00653359"/>
    <w:rsid w:val="0065355E"/>
    <w:rsid w:val="0065469B"/>
    <w:rsid w:val="00666A3C"/>
    <w:rsid w:val="00670A27"/>
    <w:rsid w:val="0067193B"/>
    <w:rsid w:val="00673EB9"/>
    <w:rsid w:val="00674A12"/>
    <w:rsid w:val="00675523"/>
    <w:rsid w:val="006765A5"/>
    <w:rsid w:val="00680420"/>
    <w:rsid w:val="006807D0"/>
    <w:rsid w:val="00681227"/>
    <w:rsid w:val="0068262A"/>
    <w:rsid w:val="006841FA"/>
    <w:rsid w:val="00694844"/>
    <w:rsid w:val="006966CF"/>
    <w:rsid w:val="00697C0B"/>
    <w:rsid w:val="006A05B7"/>
    <w:rsid w:val="006A1944"/>
    <w:rsid w:val="006A25EC"/>
    <w:rsid w:val="006A353C"/>
    <w:rsid w:val="006A3F8B"/>
    <w:rsid w:val="006A450B"/>
    <w:rsid w:val="006A6418"/>
    <w:rsid w:val="006B0FD3"/>
    <w:rsid w:val="006B23C1"/>
    <w:rsid w:val="006B4A5B"/>
    <w:rsid w:val="006B568C"/>
    <w:rsid w:val="006B6FD8"/>
    <w:rsid w:val="006C0D66"/>
    <w:rsid w:val="006C3D44"/>
    <w:rsid w:val="006C4FD2"/>
    <w:rsid w:val="006C66DD"/>
    <w:rsid w:val="006D158C"/>
    <w:rsid w:val="006D1C31"/>
    <w:rsid w:val="006D2537"/>
    <w:rsid w:val="006D2A94"/>
    <w:rsid w:val="006D32D6"/>
    <w:rsid w:val="006D725C"/>
    <w:rsid w:val="006E0618"/>
    <w:rsid w:val="006E70D5"/>
    <w:rsid w:val="006F170A"/>
    <w:rsid w:val="006F1ECB"/>
    <w:rsid w:val="006F26F0"/>
    <w:rsid w:val="006F5E79"/>
    <w:rsid w:val="00700181"/>
    <w:rsid w:val="00702C96"/>
    <w:rsid w:val="00704140"/>
    <w:rsid w:val="0070472D"/>
    <w:rsid w:val="00710A1F"/>
    <w:rsid w:val="0071362E"/>
    <w:rsid w:val="00713D3F"/>
    <w:rsid w:val="00720102"/>
    <w:rsid w:val="007215CB"/>
    <w:rsid w:val="00722168"/>
    <w:rsid w:val="0072404F"/>
    <w:rsid w:val="00724C54"/>
    <w:rsid w:val="00725789"/>
    <w:rsid w:val="00726F64"/>
    <w:rsid w:val="00730503"/>
    <w:rsid w:val="00730E2A"/>
    <w:rsid w:val="00733410"/>
    <w:rsid w:val="00733773"/>
    <w:rsid w:val="00734384"/>
    <w:rsid w:val="00735476"/>
    <w:rsid w:val="007363F7"/>
    <w:rsid w:val="00737E99"/>
    <w:rsid w:val="00745FE4"/>
    <w:rsid w:val="007467FB"/>
    <w:rsid w:val="0075392A"/>
    <w:rsid w:val="00755A61"/>
    <w:rsid w:val="00756B5D"/>
    <w:rsid w:val="007571AD"/>
    <w:rsid w:val="0076075F"/>
    <w:rsid w:val="00761334"/>
    <w:rsid w:val="0076633C"/>
    <w:rsid w:val="0076685E"/>
    <w:rsid w:val="00766916"/>
    <w:rsid w:val="00770ABC"/>
    <w:rsid w:val="007737AE"/>
    <w:rsid w:val="00773D13"/>
    <w:rsid w:val="00775828"/>
    <w:rsid w:val="00776F2F"/>
    <w:rsid w:val="007814E2"/>
    <w:rsid w:val="00781AFE"/>
    <w:rsid w:val="0078284D"/>
    <w:rsid w:val="007844DE"/>
    <w:rsid w:val="00787E99"/>
    <w:rsid w:val="00790755"/>
    <w:rsid w:val="00790976"/>
    <w:rsid w:val="00790BB8"/>
    <w:rsid w:val="00790D2F"/>
    <w:rsid w:val="007915B8"/>
    <w:rsid w:val="007960B4"/>
    <w:rsid w:val="00796C3B"/>
    <w:rsid w:val="00797CDC"/>
    <w:rsid w:val="007A03FF"/>
    <w:rsid w:val="007A16CD"/>
    <w:rsid w:val="007A2E8E"/>
    <w:rsid w:val="007B1801"/>
    <w:rsid w:val="007B2291"/>
    <w:rsid w:val="007B5AC0"/>
    <w:rsid w:val="007B5C73"/>
    <w:rsid w:val="007C065A"/>
    <w:rsid w:val="007C0CBF"/>
    <w:rsid w:val="007C35A9"/>
    <w:rsid w:val="007C3D42"/>
    <w:rsid w:val="007C43EB"/>
    <w:rsid w:val="007C4E96"/>
    <w:rsid w:val="007C5F08"/>
    <w:rsid w:val="007D1FE5"/>
    <w:rsid w:val="007D2082"/>
    <w:rsid w:val="007D50C5"/>
    <w:rsid w:val="007E0115"/>
    <w:rsid w:val="007E0952"/>
    <w:rsid w:val="007E0D57"/>
    <w:rsid w:val="007E2CC4"/>
    <w:rsid w:val="007E3A3B"/>
    <w:rsid w:val="007E50A8"/>
    <w:rsid w:val="007E5442"/>
    <w:rsid w:val="007E5FFF"/>
    <w:rsid w:val="007E74FF"/>
    <w:rsid w:val="007E7CAE"/>
    <w:rsid w:val="007F0718"/>
    <w:rsid w:val="007F2571"/>
    <w:rsid w:val="007F48F3"/>
    <w:rsid w:val="007F6A3D"/>
    <w:rsid w:val="00800E0F"/>
    <w:rsid w:val="008038C7"/>
    <w:rsid w:val="008059A0"/>
    <w:rsid w:val="0081001D"/>
    <w:rsid w:val="0081003F"/>
    <w:rsid w:val="008110C6"/>
    <w:rsid w:val="008130B1"/>
    <w:rsid w:val="008140B7"/>
    <w:rsid w:val="00816CB4"/>
    <w:rsid w:val="00820BDD"/>
    <w:rsid w:val="00821253"/>
    <w:rsid w:val="00823536"/>
    <w:rsid w:val="00823749"/>
    <w:rsid w:val="008238AF"/>
    <w:rsid w:val="00824359"/>
    <w:rsid w:val="00824A70"/>
    <w:rsid w:val="00826CDA"/>
    <w:rsid w:val="008301E1"/>
    <w:rsid w:val="008311B5"/>
    <w:rsid w:val="00831CE7"/>
    <w:rsid w:val="00833671"/>
    <w:rsid w:val="00834B80"/>
    <w:rsid w:val="00835083"/>
    <w:rsid w:val="00837351"/>
    <w:rsid w:val="00840570"/>
    <w:rsid w:val="00842B54"/>
    <w:rsid w:val="00844A52"/>
    <w:rsid w:val="00845F5D"/>
    <w:rsid w:val="008502CD"/>
    <w:rsid w:val="00853D10"/>
    <w:rsid w:val="0085420C"/>
    <w:rsid w:val="008553D5"/>
    <w:rsid w:val="00861D65"/>
    <w:rsid w:val="0087154B"/>
    <w:rsid w:val="00872C01"/>
    <w:rsid w:val="008751F0"/>
    <w:rsid w:val="008769DB"/>
    <w:rsid w:val="00877E9A"/>
    <w:rsid w:val="00877EF2"/>
    <w:rsid w:val="00881F5A"/>
    <w:rsid w:val="00883A8D"/>
    <w:rsid w:val="008866DF"/>
    <w:rsid w:val="008909D0"/>
    <w:rsid w:val="00892602"/>
    <w:rsid w:val="00893B34"/>
    <w:rsid w:val="00893C40"/>
    <w:rsid w:val="00894FE5"/>
    <w:rsid w:val="008A1B4C"/>
    <w:rsid w:val="008A204B"/>
    <w:rsid w:val="008A2ECB"/>
    <w:rsid w:val="008A39A3"/>
    <w:rsid w:val="008A77F2"/>
    <w:rsid w:val="008B12B8"/>
    <w:rsid w:val="008B30F0"/>
    <w:rsid w:val="008B389B"/>
    <w:rsid w:val="008B5743"/>
    <w:rsid w:val="008B6982"/>
    <w:rsid w:val="008B737F"/>
    <w:rsid w:val="008B793D"/>
    <w:rsid w:val="008C25C8"/>
    <w:rsid w:val="008C29B8"/>
    <w:rsid w:val="008C3FA6"/>
    <w:rsid w:val="008C57E8"/>
    <w:rsid w:val="008C7DBA"/>
    <w:rsid w:val="008D1BDB"/>
    <w:rsid w:val="008D3156"/>
    <w:rsid w:val="008D4855"/>
    <w:rsid w:val="008D7AD3"/>
    <w:rsid w:val="008E345E"/>
    <w:rsid w:val="008E3AC9"/>
    <w:rsid w:val="008E531B"/>
    <w:rsid w:val="008E59CD"/>
    <w:rsid w:val="008E646C"/>
    <w:rsid w:val="008E745C"/>
    <w:rsid w:val="008F1520"/>
    <w:rsid w:val="008F2D00"/>
    <w:rsid w:val="008F3CA1"/>
    <w:rsid w:val="008F64EB"/>
    <w:rsid w:val="008F6ABF"/>
    <w:rsid w:val="00904E6F"/>
    <w:rsid w:val="00906756"/>
    <w:rsid w:val="00907E63"/>
    <w:rsid w:val="00912500"/>
    <w:rsid w:val="0091265F"/>
    <w:rsid w:val="009141E8"/>
    <w:rsid w:val="00914D25"/>
    <w:rsid w:val="00916E48"/>
    <w:rsid w:val="00917144"/>
    <w:rsid w:val="00921291"/>
    <w:rsid w:val="0092547D"/>
    <w:rsid w:val="00925E5C"/>
    <w:rsid w:val="00931AAF"/>
    <w:rsid w:val="00931D2E"/>
    <w:rsid w:val="009352D3"/>
    <w:rsid w:val="00936060"/>
    <w:rsid w:val="00940B68"/>
    <w:rsid w:val="00940DB6"/>
    <w:rsid w:val="009416CA"/>
    <w:rsid w:val="009456D3"/>
    <w:rsid w:val="009457C8"/>
    <w:rsid w:val="00952791"/>
    <w:rsid w:val="009535A0"/>
    <w:rsid w:val="009543C7"/>
    <w:rsid w:val="009545DA"/>
    <w:rsid w:val="00954CE4"/>
    <w:rsid w:val="00960CF6"/>
    <w:rsid w:val="0096317F"/>
    <w:rsid w:val="00963935"/>
    <w:rsid w:val="00965CA8"/>
    <w:rsid w:val="009661A1"/>
    <w:rsid w:val="00966831"/>
    <w:rsid w:val="00967FC9"/>
    <w:rsid w:val="00970B3C"/>
    <w:rsid w:val="0097320F"/>
    <w:rsid w:val="00973CF0"/>
    <w:rsid w:val="009761CE"/>
    <w:rsid w:val="009774D0"/>
    <w:rsid w:val="009810A5"/>
    <w:rsid w:val="00981422"/>
    <w:rsid w:val="0098153D"/>
    <w:rsid w:val="00982846"/>
    <w:rsid w:val="00982C49"/>
    <w:rsid w:val="00984B89"/>
    <w:rsid w:val="009862BA"/>
    <w:rsid w:val="0098738C"/>
    <w:rsid w:val="009876FF"/>
    <w:rsid w:val="009902D7"/>
    <w:rsid w:val="00991F40"/>
    <w:rsid w:val="00993A43"/>
    <w:rsid w:val="00996215"/>
    <w:rsid w:val="00996412"/>
    <w:rsid w:val="009965CF"/>
    <w:rsid w:val="00997A92"/>
    <w:rsid w:val="00997BC9"/>
    <w:rsid w:val="009A1F17"/>
    <w:rsid w:val="009A470A"/>
    <w:rsid w:val="009A76D1"/>
    <w:rsid w:val="009B01EA"/>
    <w:rsid w:val="009B12B0"/>
    <w:rsid w:val="009B2845"/>
    <w:rsid w:val="009B3C94"/>
    <w:rsid w:val="009B508C"/>
    <w:rsid w:val="009B6CAF"/>
    <w:rsid w:val="009B7362"/>
    <w:rsid w:val="009C1BE3"/>
    <w:rsid w:val="009C29F5"/>
    <w:rsid w:val="009C50E3"/>
    <w:rsid w:val="009C6536"/>
    <w:rsid w:val="009C78D8"/>
    <w:rsid w:val="009D1AD1"/>
    <w:rsid w:val="009D2DA3"/>
    <w:rsid w:val="009D588A"/>
    <w:rsid w:val="009D5F72"/>
    <w:rsid w:val="009D6281"/>
    <w:rsid w:val="009D6F47"/>
    <w:rsid w:val="009E1C41"/>
    <w:rsid w:val="009E3154"/>
    <w:rsid w:val="009E3F0B"/>
    <w:rsid w:val="009E5D2E"/>
    <w:rsid w:val="009E75AD"/>
    <w:rsid w:val="009F2811"/>
    <w:rsid w:val="009F32D1"/>
    <w:rsid w:val="00A0023C"/>
    <w:rsid w:val="00A00F70"/>
    <w:rsid w:val="00A02F3E"/>
    <w:rsid w:val="00A0425B"/>
    <w:rsid w:val="00A07438"/>
    <w:rsid w:val="00A1010E"/>
    <w:rsid w:val="00A13C96"/>
    <w:rsid w:val="00A22DD1"/>
    <w:rsid w:val="00A235DF"/>
    <w:rsid w:val="00A24360"/>
    <w:rsid w:val="00A26256"/>
    <w:rsid w:val="00A268D4"/>
    <w:rsid w:val="00A271A4"/>
    <w:rsid w:val="00A303D3"/>
    <w:rsid w:val="00A334D0"/>
    <w:rsid w:val="00A3703A"/>
    <w:rsid w:val="00A40C4A"/>
    <w:rsid w:val="00A43393"/>
    <w:rsid w:val="00A43511"/>
    <w:rsid w:val="00A450C8"/>
    <w:rsid w:val="00A4652C"/>
    <w:rsid w:val="00A46F9A"/>
    <w:rsid w:val="00A47C61"/>
    <w:rsid w:val="00A52BD6"/>
    <w:rsid w:val="00A540DB"/>
    <w:rsid w:val="00A57661"/>
    <w:rsid w:val="00A605A6"/>
    <w:rsid w:val="00A60ACE"/>
    <w:rsid w:val="00A6322A"/>
    <w:rsid w:val="00A63890"/>
    <w:rsid w:val="00A65CD6"/>
    <w:rsid w:val="00A66E2A"/>
    <w:rsid w:val="00A70AC7"/>
    <w:rsid w:val="00A73044"/>
    <w:rsid w:val="00A743FB"/>
    <w:rsid w:val="00A770CB"/>
    <w:rsid w:val="00A77A25"/>
    <w:rsid w:val="00A80957"/>
    <w:rsid w:val="00A84793"/>
    <w:rsid w:val="00A8504A"/>
    <w:rsid w:val="00A86469"/>
    <w:rsid w:val="00A871B8"/>
    <w:rsid w:val="00A87926"/>
    <w:rsid w:val="00A90962"/>
    <w:rsid w:val="00A93444"/>
    <w:rsid w:val="00A93ED3"/>
    <w:rsid w:val="00AA2012"/>
    <w:rsid w:val="00AA2EB9"/>
    <w:rsid w:val="00AA6442"/>
    <w:rsid w:val="00AA67D4"/>
    <w:rsid w:val="00AA7AE3"/>
    <w:rsid w:val="00AB02A5"/>
    <w:rsid w:val="00AB2AE4"/>
    <w:rsid w:val="00AB2B15"/>
    <w:rsid w:val="00AB4A70"/>
    <w:rsid w:val="00AB5528"/>
    <w:rsid w:val="00AB768F"/>
    <w:rsid w:val="00AC0CD1"/>
    <w:rsid w:val="00AC1F4F"/>
    <w:rsid w:val="00AC354E"/>
    <w:rsid w:val="00AC4621"/>
    <w:rsid w:val="00AC4A8F"/>
    <w:rsid w:val="00AC51B2"/>
    <w:rsid w:val="00AC5DA5"/>
    <w:rsid w:val="00AC78F5"/>
    <w:rsid w:val="00AD4653"/>
    <w:rsid w:val="00AE1D53"/>
    <w:rsid w:val="00AE27C1"/>
    <w:rsid w:val="00AE4D39"/>
    <w:rsid w:val="00AE5520"/>
    <w:rsid w:val="00AE7875"/>
    <w:rsid w:val="00AF08BE"/>
    <w:rsid w:val="00AF1BDF"/>
    <w:rsid w:val="00AF2AEF"/>
    <w:rsid w:val="00AF6E7F"/>
    <w:rsid w:val="00B0315B"/>
    <w:rsid w:val="00B032AD"/>
    <w:rsid w:val="00B04B47"/>
    <w:rsid w:val="00B10066"/>
    <w:rsid w:val="00B10A63"/>
    <w:rsid w:val="00B11ED3"/>
    <w:rsid w:val="00B17119"/>
    <w:rsid w:val="00B177BD"/>
    <w:rsid w:val="00B22DF8"/>
    <w:rsid w:val="00B331BF"/>
    <w:rsid w:val="00B36998"/>
    <w:rsid w:val="00B36CF4"/>
    <w:rsid w:val="00B37ACC"/>
    <w:rsid w:val="00B40EE7"/>
    <w:rsid w:val="00B435F5"/>
    <w:rsid w:val="00B45BFB"/>
    <w:rsid w:val="00B45F5E"/>
    <w:rsid w:val="00B471E9"/>
    <w:rsid w:val="00B5043C"/>
    <w:rsid w:val="00B504CE"/>
    <w:rsid w:val="00B54E64"/>
    <w:rsid w:val="00B55F7B"/>
    <w:rsid w:val="00B57A11"/>
    <w:rsid w:val="00B60786"/>
    <w:rsid w:val="00B64A8A"/>
    <w:rsid w:val="00B6686A"/>
    <w:rsid w:val="00B730DE"/>
    <w:rsid w:val="00B75611"/>
    <w:rsid w:val="00B75C01"/>
    <w:rsid w:val="00B80A49"/>
    <w:rsid w:val="00B871C2"/>
    <w:rsid w:val="00B9007A"/>
    <w:rsid w:val="00B915FC"/>
    <w:rsid w:val="00B92D4C"/>
    <w:rsid w:val="00B9450D"/>
    <w:rsid w:val="00BA073F"/>
    <w:rsid w:val="00BA14CA"/>
    <w:rsid w:val="00BA1869"/>
    <w:rsid w:val="00BA56D7"/>
    <w:rsid w:val="00BB4C22"/>
    <w:rsid w:val="00BB609E"/>
    <w:rsid w:val="00BC038B"/>
    <w:rsid w:val="00BC08E3"/>
    <w:rsid w:val="00BC1C5B"/>
    <w:rsid w:val="00BC1DC0"/>
    <w:rsid w:val="00BC2292"/>
    <w:rsid w:val="00BC3929"/>
    <w:rsid w:val="00BC3F11"/>
    <w:rsid w:val="00BC66F3"/>
    <w:rsid w:val="00BC7096"/>
    <w:rsid w:val="00BD1271"/>
    <w:rsid w:val="00BD22E4"/>
    <w:rsid w:val="00BD2F16"/>
    <w:rsid w:val="00BD4098"/>
    <w:rsid w:val="00BD4158"/>
    <w:rsid w:val="00BD43DB"/>
    <w:rsid w:val="00BD5BFF"/>
    <w:rsid w:val="00BD5C4A"/>
    <w:rsid w:val="00BD628D"/>
    <w:rsid w:val="00BD7B17"/>
    <w:rsid w:val="00BE1FEB"/>
    <w:rsid w:val="00BE6AA5"/>
    <w:rsid w:val="00BF1B35"/>
    <w:rsid w:val="00BF284B"/>
    <w:rsid w:val="00BF490B"/>
    <w:rsid w:val="00BF4960"/>
    <w:rsid w:val="00C0690A"/>
    <w:rsid w:val="00C11BEC"/>
    <w:rsid w:val="00C1582B"/>
    <w:rsid w:val="00C17B90"/>
    <w:rsid w:val="00C223E4"/>
    <w:rsid w:val="00C266D1"/>
    <w:rsid w:val="00C27DB6"/>
    <w:rsid w:val="00C303F8"/>
    <w:rsid w:val="00C325D0"/>
    <w:rsid w:val="00C33BCD"/>
    <w:rsid w:val="00C34989"/>
    <w:rsid w:val="00C35BAC"/>
    <w:rsid w:val="00C36A28"/>
    <w:rsid w:val="00C41550"/>
    <w:rsid w:val="00C5139C"/>
    <w:rsid w:val="00C5631D"/>
    <w:rsid w:val="00C5713F"/>
    <w:rsid w:val="00C610C6"/>
    <w:rsid w:val="00C615FD"/>
    <w:rsid w:val="00C62B10"/>
    <w:rsid w:val="00C64749"/>
    <w:rsid w:val="00C66D6E"/>
    <w:rsid w:val="00C70F6B"/>
    <w:rsid w:val="00C730C9"/>
    <w:rsid w:val="00C7388D"/>
    <w:rsid w:val="00C75528"/>
    <w:rsid w:val="00C77B43"/>
    <w:rsid w:val="00C825ED"/>
    <w:rsid w:val="00C861F5"/>
    <w:rsid w:val="00C90A78"/>
    <w:rsid w:val="00C91967"/>
    <w:rsid w:val="00CA04B5"/>
    <w:rsid w:val="00CA1875"/>
    <w:rsid w:val="00CA200D"/>
    <w:rsid w:val="00CA5B86"/>
    <w:rsid w:val="00CA6484"/>
    <w:rsid w:val="00CA7836"/>
    <w:rsid w:val="00CB21A3"/>
    <w:rsid w:val="00CB24DF"/>
    <w:rsid w:val="00CB5F97"/>
    <w:rsid w:val="00CC312F"/>
    <w:rsid w:val="00CC5966"/>
    <w:rsid w:val="00CC67FB"/>
    <w:rsid w:val="00CC72DE"/>
    <w:rsid w:val="00CD3AFA"/>
    <w:rsid w:val="00CD4431"/>
    <w:rsid w:val="00CD45FC"/>
    <w:rsid w:val="00CD4865"/>
    <w:rsid w:val="00CE043B"/>
    <w:rsid w:val="00CE0859"/>
    <w:rsid w:val="00CE5EBD"/>
    <w:rsid w:val="00CE6787"/>
    <w:rsid w:val="00CE7919"/>
    <w:rsid w:val="00CF1508"/>
    <w:rsid w:val="00D00B96"/>
    <w:rsid w:val="00D02B6F"/>
    <w:rsid w:val="00D04393"/>
    <w:rsid w:val="00D04450"/>
    <w:rsid w:val="00D04D83"/>
    <w:rsid w:val="00D0545D"/>
    <w:rsid w:val="00D05D1B"/>
    <w:rsid w:val="00D0672B"/>
    <w:rsid w:val="00D110C8"/>
    <w:rsid w:val="00D12383"/>
    <w:rsid w:val="00D14EB4"/>
    <w:rsid w:val="00D150B6"/>
    <w:rsid w:val="00D200E1"/>
    <w:rsid w:val="00D23022"/>
    <w:rsid w:val="00D25D9B"/>
    <w:rsid w:val="00D31D1B"/>
    <w:rsid w:val="00D329B3"/>
    <w:rsid w:val="00D332AB"/>
    <w:rsid w:val="00D33AFB"/>
    <w:rsid w:val="00D33D04"/>
    <w:rsid w:val="00D36A46"/>
    <w:rsid w:val="00D37A83"/>
    <w:rsid w:val="00D4016D"/>
    <w:rsid w:val="00D440BF"/>
    <w:rsid w:val="00D44E31"/>
    <w:rsid w:val="00D47226"/>
    <w:rsid w:val="00D47B93"/>
    <w:rsid w:val="00D54539"/>
    <w:rsid w:val="00D56A1B"/>
    <w:rsid w:val="00D60A99"/>
    <w:rsid w:val="00D61F6A"/>
    <w:rsid w:val="00D636DC"/>
    <w:rsid w:val="00D7269F"/>
    <w:rsid w:val="00D7482D"/>
    <w:rsid w:val="00D74977"/>
    <w:rsid w:val="00D758D6"/>
    <w:rsid w:val="00D803A2"/>
    <w:rsid w:val="00D81859"/>
    <w:rsid w:val="00D819C2"/>
    <w:rsid w:val="00D83C07"/>
    <w:rsid w:val="00D860F8"/>
    <w:rsid w:val="00D906AF"/>
    <w:rsid w:val="00D90757"/>
    <w:rsid w:val="00D914B7"/>
    <w:rsid w:val="00D93283"/>
    <w:rsid w:val="00D94D48"/>
    <w:rsid w:val="00D959FF"/>
    <w:rsid w:val="00D95F88"/>
    <w:rsid w:val="00D97471"/>
    <w:rsid w:val="00DA0085"/>
    <w:rsid w:val="00DA36E5"/>
    <w:rsid w:val="00DA3E35"/>
    <w:rsid w:val="00DA57D8"/>
    <w:rsid w:val="00DA6C28"/>
    <w:rsid w:val="00DB015B"/>
    <w:rsid w:val="00DB1FC4"/>
    <w:rsid w:val="00DB4E3F"/>
    <w:rsid w:val="00DB65BD"/>
    <w:rsid w:val="00DC06D3"/>
    <w:rsid w:val="00DC2366"/>
    <w:rsid w:val="00DC775C"/>
    <w:rsid w:val="00DD0A63"/>
    <w:rsid w:val="00DD23D6"/>
    <w:rsid w:val="00DD27BC"/>
    <w:rsid w:val="00DD2AE3"/>
    <w:rsid w:val="00DD2F51"/>
    <w:rsid w:val="00DD3276"/>
    <w:rsid w:val="00DD7484"/>
    <w:rsid w:val="00DD7B82"/>
    <w:rsid w:val="00DE0054"/>
    <w:rsid w:val="00DE0C75"/>
    <w:rsid w:val="00DE2132"/>
    <w:rsid w:val="00DE4127"/>
    <w:rsid w:val="00DE7701"/>
    <w:rsid w:val="00DF17F6"/>
    <w:rsid w:val="00DF2690"/>
    <w:rsid w:val="00DF2C2E"/>
    <w:rsid w:val="00DF3E44"/>
    <w:rsid w:val="00DF4D21"/>
    <w:rsid w:val="00E0175C"/>
    <w:rsid w:val="00E025E3"/>
    <w:rsid w:val="00E02DC1"/>
    <w:rsid w:val="00E03301"/>
    <w:rsid w:val="00E043CF"/>
    <w:rsid w:val="00E0474D"/>
    <w:rsid w:val="00E11A52"/>
    <w:rsid w:val="00E133C9"/>
    <w:rsid w:val="00E16271"/>
    <w:rsid w:val="00E168EE"/>
    <w:rsid w:val="00E170C1"/>
    <w:rsid w:val="00E24763"/>
    <w:rsid w:val="00E25C47"/>
    <w:rsid w:val="00E34A39"/>
    <w:rsid w:val="00E34F4E"/>
    <w:rsid w:val="00E406A3"/>
    <w:rsid w:val="00E4289C"/>
    <w:rsid w:val="00E437AE"/>
    <w:rsid w:val="00E45D95"/>
    <w:rsid w:val="00E558AE"/>
    <w:rsid w:val="00E55AB6"/>
    <w:rsid w:val="00E55FDD"/>
    <w:rsid w:val="00E567FB"/>
    <w:rsid w:val="00E63013"/>
    <w:rsid w:val="00E638AA"/>
    <w:rsid w:val="00E64F41"/>
    <w:rsid w:val="00E65AA6"/>
    <w:rsid w:val="00E662FA"/>
    <w:rsid w:val="00E67FC7"/>
    <w:rsid w:val="00E72372"/>
    <w:rsid w:val="00E743ED"/>
    <w:rsid w:val="00E7557D"/>
    <w:rsid w:val="00E759E0"/>
    <w:rsid w:val="00E80212"/>
    <w:rsid w:val="00E80405"/>
    <w:rsid w:val="00E81A8C"/>
    <w:rsid w:val="00E842A4"/>
    <w:rsid w:val="00E867D0"/>
    <w:rsid w:val="00E8762D"/>
    <w:rsid w:val="00E90FFE"/>
    <w:rsid w:val="00E92F7F"/>
    <w:rsid w:val="00E93DEE"/>
    <w:rsid w:val="00E94DB1"/>
    <w:rsid w:val="00E9533A"/>
    <w:rsid w:val="00E97236"/>
    <w:rsid w:val="00E97386"/>
    <w:rsid w:val="00E973AB"/>
    <w:rsid w:val="00E97D88"/>
    <w:rsid w:val="00EA2360"/>
    <w:rsid w:val="00EB229A"/>
    <w:rsid w:val="00EB3B20"/>
    <w:rsid w:val="00EB5C88"/>
    <w:rsid w:val="00EC23DF"/>
    <w:rsid w:val="00EC2B52"/>
    <w:rsid w:val="00EC5362"/>
    <w:rsid w:val="00EC59BC"/>
    <w:rsid w:val="00ED2DF8"/>
    <w:rsid w:val="00ED74B0"/>
    <w:rsid w:val="00ED78D1"/>
    <w:rsid w:val="00EE1122"/>
    <w:rsid w:val="00EE117C"/>
    <w:rsid w:val="00EE2B04"/>
    <w:rsid w:val="00EE2F2A"/>
    <w:rsid w:val="00EE3032"/>
    <w:rsid w:val="00EE370F"/>
    <w:rsid w:val="00EE3E89"/>
    <w:rsid w:val="00EE657E"/>
    <w:rsid w:val="00EE7E11"/>
    <w:rsid w:val="00EF22C1"/>
    <w:rsid w:val="00EF3935"/>
    <w:rsid w:val="00EF7E63"/>
    <w:rsid w:val="00F016E1"/>
    <w:rsid w:val="00F03667"/>
    <w:rsid w:val="00F07A3D"/>
    <w:rsid w:val="00F10ED3"/>
    <w:rsid w:val="00F11332"/>
    <w:rsid w:val="00F125A6"/>
    <w:rsid w:val="00F12C02"/>
    <w:rsid w:val="00F13255"/>
    <w:rsid w:val="00F15B31"/>
    <w:rsid w:val="00F15EA9"/>
    <w:rsid w:val="00F24B97"/>
    <w:rsid w:val="00F24CC0"/>
    <w:rsid w:val="00F24DAD"/>
    <w:rsid w:val="00F269D4"/>
    <w:rsid w:val="00F3040E"/>
    <w:rsid w:val="00F30528"/>
    <w:rsid w:val="00F316DF"/>
    <w:rsid w:val="00F32366"/>
    <w:rsid w:val="00F32D93"/>
    <w:rsid w:val="00F3357F"/>
    <w:rsid w:val="00F33E95"/>
    <w:rsid w:val="00F34C98"/>
    <w:rsid w:val="00F3537B"/>
    <w:rsid w:val="00F35A8D"/>
    <w:rsid w:val="00F36A34"/>
    <w:rsid w:val="00F423D8"/>
    <w:rsid w:val="00F4302A"/>
    <w:rsid w:val="00F45CE8"/>
    <w:rsid w:val="00F47B46"/>
    <w:rsid w:val="00F51E2D"/>
    <w:rsid w:val="00F52B18"/>
    <w:rsid w:val="00F55E63"/>
    <w:rsid w:val="00F5676F"/>
    <w:rsid w:val="00F57128"/>
    <w:rsid w:val="00F60F95"/>
    <w:rsid w:val="00F61D3A"/>
    <w:rsid w:val="00F658C9"/>
    <w:rsid w:val="00F66B3A"/>
    <w:rsid w:val="00F6720B"/>
    <w:rsid w:val="00F6731F"/>
    <w:rsid w:val="00F673E6"/>
    <w:rsid w:val="00F73AA4"/>
    <w:rsid w:val="00F76411"/>
    <w:rsid w:val="00F800F1"/>
    <w:rsid w:val="00F80A5E"/>
    <w:rsid w:val="00F81D2D"/>
    <w:rsid w:val="00F864D7"/>
    <w:rsid w:val="00F86561"/>
    <w:rsid w:val="00F87250"/>
    <w:rsid w:val="00F90FCF"/>
    <w:rsid w:val="00F92045"/>
    <w:rsid w:val="00F9385E"/>
    <w:rsid w:val="00FA334C"/>
    <w:rsid w:val="00FA3A4C"/>
    <w:rsid w:val="00FA3C67"/>
    <w:rsid w:val="00FA4047"/>
    <w:rsid w:val="00FB0E59"/>
    <w:rsid w:val="00FB21C4"/>
    <w:rsid w:val="00FB2A4A"/>
    <w:rsid w:val="00FB3592"/>
    <w:rsid w:val="00FB45CF"/>
    <w:rsid w:val="00FB5817"/>
    <w:rsid w:val="00FB596C"/>
    <w:rsid w:val="00FC0CA0"/>
    <w:rsid w:val="00FC1148"/>
    <w:rsid w:val="00FC2054"/>
    <w:rsid w:val="00FC2169"/>
    <w:rsid w:val="00FC22E5"/>
    <w:rsid w:val="00FC3091"/>
    <w:rsid w:val="00FD0C32"/>
    <w:rsid w:val="00FD19F3"/>
    <w:rsid w:val="00FD2927"/>
    <w:rsid w:val="00FD2D1E"/>
    <w:rsid w:val="00FD3A72"/>
    <w:rsid w:val="00FD432B"/>
    <w:rsid w:val="00FD5E26"/>
    <w:rsid w:val="00FD65EF"/>
    <w:rsid w:val="00FE1167"/>
    <w:rsid w:val="00FE38F9"/>
    <w:rsid w:val="00FE617E"/>
    <w:rsid w:val="00FE7A1B"/>
    <w:rsid w:val="00FE7D59"/>
    <w:rsid w:val="00FF2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E9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1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22D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2DD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6D3"/>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9456D3"/>
    <w:rPr>
      <w:rFonts w:ascii="Times New Roman" w:hAnsi="Times New Roman" w:cs="Times New Roman"/>
      <w:sz w:val="18"/>
      <w:szCs w:val="18"/>
    </w:rPr>
  </w:style>
  <w:style w:type="character" w:styleId="Hyperlink">
    <w:name w:val="Hyperlink"/>
    <w:basedOn w:val="DefaultParagraphFont"/>
    <w:uiPriority w:val="99"/>
    <w:unhideWhenUsed/>
    <w:rsid w:val="00925E5C"/>
    <w:rPr>
      <w:color w:val="0563C1" w:themeColor="hyperlink"/>
      <w:u w:val="single"/>
    </w:rPr>
  </w:style>
  <w:style w:type="character" w:customStyle="1" w:styleId="UnresolvedMention">
    <w:name w:val="Unresolved Mention"/>
    <w:basedOn w:val="DefaultParagraphFont"/>
    <w:uiPriority w:val="99"/>
    <w:semiHidden/>
    <w:unhideWhenUsed/>
    <w:rsid w:val="00925E5C"/>
    <w:rPr>
      <w:color w:val="605E5C"/>
      <w:shd w:val="clear" w:color="auto" w:fill="E1DFDD"/>
    </w:rPr>
  </w:style>
  <w:style w:type="paragraph" w:customStyle="1" w:styleId="gds-typography">
    <w:name w:val="gds-typography"/>
    <w:basedOn w:val="Normal"/>
    <w:rsid w:val="00BD4098"/>
    <w:pPr>
      <w:spacing w:before="100" w:beforeAutospacing="1" w:after="100" w:afterAutospacing="1"/>
    </w:pPr>
  </w:style>
  <w:style w:type="character" w:styleId="Strong">
    <w:name w:val="Strong"/>
    <w:basedOn w:val="DefaultParagraphFont"/>
    <w:uiPriority w:val="22"/>
    <w:qFormat/>
    <w:rsid w:val="00BD4098"/>
    <w:rPr>
      <w:b/>
      <w:bCs/>
    </w:rPr>
  </w:style>
  <w:style w:type="paragraph" w:customStyle="1" w:styleId="EndNoteBibliographyTitle">
    <w:name w:val="EndNote Bibliography Title"/>
    <w:basedOn w:val="Normal"/>
    <w:link w:val="EndNoteBibliographyTitleChar"/>
    <w:rsid w:val="00DB015B"/>
    <w:pPr>
      <w:jc w:val="center"/>
    </w:pPr>
    <w:rPr>
      <w:rFonts w:ascii="Calibri" w:eastAsiaTheme="minorHAnsi" w:hAnsi="Calibri" w:cs="Calibri"/>
      <w:lang w:val="en-US" w:eastAsia="en-US"/>
    </w:rPr>
  </w:style>
  <w:style w:type="character" w:customStyle="1" w:styleId="EndNoteBibliographyTitleChar">
    <w:name w:val="EndNote Bibliography Title Char"/>
    <w:basedOn w:val="DefaultParagraphFont"/>
    <w:link w:val="EndNoteBibliographyTitle"/>
    <w:rsid w:val="00DB015B"/>
    <w:rPr>
      <w:rFonts w:ascii="Calibri" w:hAnsi="Calibri" w:cs="Calibri"/>
      <w:lang w:val="en-US"/>
    </w:rPr>
  </w:style>
  <w:style w:type="paragraph" w:customStyle="1" w:styleId="EndNoteBibliography">
    <w:name w:val="EndNote Bibliography"/>
    <w:basedOn w:val="Normal"/>
    <w:link w:val="EndNoteBibliographyChar"/>
    <w:rsid w:val="00DB015B"/>
    <w:rPr>
      <w:rFonts w:ascii="Calibri" w:eastAsiaTheme="minorHAnsi" w:hAnsi="Calibri" w:cs="Calibri"/>
      <w:lang w:val="en-US" w:eastAsia="en-US"/>
    </w:rPr>
  </w:style>
  <w:style w:type="character" w:customStyle="1" w:styleId="EndNoteBibliographyChar">
    <w:name w:val="EndNote Bibliography Char"/>
    <w:basedOn w:val="DefaultParagraphFont"/>
    <w:link w:val="EndNoteBibliography"/>
    <w:rsid w:val="00DB015B"/>
    <w:rPr>
      <w:rFonts w:ascii="Calibri" w:hAnsi="Calibri" w:cs="Calibri"/>
      <w:lang w:val="en-US"/>
    </w:rPr>
  </w:style>
  <w:style w:type="character" w:styleId="FollowedHyperlink">
    <w:name w:val="FollowedHyperlink"/>
    <w:basedOn w:val="DefaultParagraphFont"/>
    <w:uiPriority w:val="99"/>
    <w:semiHidden/>
    <w:unhideWhenUsed/>
    <w:rsid w:val="009C29F5"/>
    <w:rPr>
      <w:color w:val="954F72" w:themeColor="followedHyperlink"/>
      <w:u w:val="single"/>
    </w:rPr>
  </w:style>
  <w:style w:type="paragraph" w:customStyle="1" w:styleId="isselectedend">
    <w:name w:val="isselectedend"/>
    <w:basedOn w:val="Normal"/>
    <w:rsid w:val="000038CC"/>
    <w:pPr>
      <w:spacing w:before="100" w:beforeAutospacing="1" w:after="100" w:afterAutospacing="1"/>
    </w:pPr>
  </w:style>
  <w:style w:type="paragraph" w:styleId="NormalWeb">
    <w:name w:val="Normal (Web)"/>
    <w:basedOn w:val="Normal"/>
    <w:uiPriority w:val="99"/>
    <w:semiHidden/>
    <w:unhideWhenUsed/>
    <w:rsid w:val="000038CC"/>
    <w:pPr>
      <w:spacing w:before="100" w:beforeAutospacing="1" w:after="100" w:afterAutospacing="1"/>
    </w:pPr>
  </w:style>
  <w:style w:type="character" w:customStyle="1" w:styleId="Heading1Char">
    <w:name w:val="Heading 1 Char"/>
    <w:basedOn w:val="DefaultParagraphFont"/>
    <w:link w:val="Heading1"/>
    <w:uiPriority w:val="9"/>
    <w:rsid w:val="00A22DD1"/>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A22DD1"/>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4D72A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D72A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D72A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D72A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72A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72A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72A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72A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72A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72A0"/>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3A6827"/>
    <w:pPr>
      <w:tabs>
        <w:tab w:val="center" w:pos="4513"/>
        <w:tab w:val="right" w:pos="9026"/>
      </w:tabs>
    </w:pPr>
  </w:style>
  <w:style w:type="character" w:customStyle="1" w:styleId="HeaderChar">
    <w:name w:val="Header Char"/>
    <w:basedOn w:val="DefaultParagraphFont"/>
    <w:link w:val="Header"/>
    <w:uiPriority w:val="99"/>
    <w:rsid w:val="003A6827"/>
    <w:rPr>
      <w:rFonts w:ascii="Times New Roman" w:eastAsia="Times New Roman" w:hAnsi="Times New Roman" w:cs="Times New Roman"/>
      <w:lang w:eastAsia="en-GB"/>
    </w:rPr>
  </w:style>
  <w:style w:type="paragraph" w:styleId="Footer">
    <w:name w:val="footer"/>
    <w:basedOn w:val="Normal"/>
    <w:link w:val="FooterChar"/>
    <w:uiPriority w:val="99"/>
    <w:unhideWhenUsed/>
    <w:rsid w:val="003A6827"/>
    <w:pPr>
      <w:tabs>
        <w:tab w:val="center" w:pos="4513"/>
        <w:tab w:val="right" w:pos="9026"/>
      </w:tabs>
    </w:pPr>
  </w:style>
  <w:style w:type="character" w:customStyle="1" w:styleId="FooterChar">
    <w:name w:val="Footer Char"/>
    <w:basedOn w:val="DefaultParagraphFont"/>
    <w:link w:val="Footer"/>
    <w:uiPriority w:val="99"/>
    <w:rsid w:val="003A6827"/>
    <w:rPr>
      <w:rFonts w:ascii="Times New Roman" w:eastAsia="Times New Roman" w:hAnsi="Times New Roman" w:cs="Times New Roman"/>
      <w:lang w:eastAsia="en-GB"/>
    </w:rPr>
  </w:style>
  <w:style w:type="table" w:styleId="TableGrid">
    <w:name w:val="Table Grid"/>
    <w:basedOn w:val="TableNormal"/>
    <w:uiPriority w:val="39"/>
    <w:rsid w:val="0012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token-text-primary">
    <w:name w:val="text-token-text-primary"/>
    <w:basedOn w:val="DefaultParagraphFont"/>
    <w:rsid w:val="0006003D"/>
  </w:style>
  <w:style w:type="paragraph" w:styleId="Revision">
    <w:name w:val="Revision"/>
    <w:hidden/>
    <w:uiPriority w:val="99"/>
    <w:semiHidden/>
    <w:rsid w:val="0046714C"/>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E9533A"/>
    <w:rPr>
      <w:sz w:val="16"/>
      <w:szCs w:val="16"/>
    </w:rPr>
  </w:style>
  <w:style w:type="paragraph" w:styleId="CommentText">
    <w:name w:val="annotation text"/>
    <w:basedOn w:val="Normal"/>
    <w:link w:val="CommentTextChar"/>
    <w:uiPriority w:val="99"/>
    <w:semiHidden/>
    <w:unhideWhenUsed/>
    <w:rsid w:val="00E9533A"/>
    <w:rPr>
      <w:sz w:val="20"/>
      <w:szCs w:val="20"/>
    </w:rPr>
  </w:style>
  <w:style w:type="character" w:customStyle="1" w:styleId="CommentTextChar">
    <w:name w:val="Comment Text Char"/>
    <w:basedOn w:val="DefaultParagraphFont"/>
    <w:link w:val="CommentText"/>
    <w:uiPriority w:val="99"/>
    <w:semiHidden/>
    <w:rsid w:val="00E9533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9533A"/>
    <w:rPr>
      <w:b/>
      <w:bCs/>
    </w:rPr>
  </w:style>
  <w:style w:type="character" w:customStyle="1" w:styleId="CommentSubjectChar">
    <w:name w:val="Comment Subject Char"/>
    <w:basedOn w:val="CommentTextChar"/>
    <w:link w:val="CommentSubject"/>
    <w:uiPriority w:val="99"/>
    <w:semiHidden/>
    <w:rsid w:val="00E9533A"/>
    <w:rPr>
      <w:rFonts w:ascii="Times New Roman" w:eastAsia="Times New Roman" w:hAnsi="Times New Roman" w:cs="Times New Roman"/>
      <w:b/>
      <w:bCs/>
      <w:sz w:val="20"/>
      <w:szCs w:val="20"/>
      <w:lang w:eastAsia="en-GB"/>
    </w:rPr>
  </w:style>
  <w:style w:type="paragraph" w:styleId="NoSpacing">
    <w:name w:val="No Spacing"/>
    <w:link w:val="NoSpacingChar"/>
    <w:uiPriority w:val="1"/>
    <w:qFormat/>
    <w:rsid w:val="00E45D95"/>
    <w:rPr>
      <w:rFonts w:eastAsiaTheme="minorEastAsia"/>
      <w:sz w:val="22"/>
      <w:szCs w:val="22"/>
      <w:lang w:val="en-US" w:eastAsia="ja-JP"/>
    </w:rPr>
  </w:style>
  <w:style w:type="character" w:customStyle="1" w:styleId="NoSpacingChar">
    <w:name w:val="No Spacing Char"/>
    <w:basedOn w:val="DefaultParagraphFont"/>
    <w:link w:val="NoSpacing"/>
    <w:uiPriority w:val="1"/>
    <w:rsid w:val="00E45D95"/>
    <w:rPr>
      <w:rFonts w:eastAsiaTheme="minorEastAsia"/>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1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22D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2DD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6D3"/>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9456D3"/>
    <w:rPr>
      <w:rFonts w:ascii="Times New Roman" w:hAnsi="Times New Roman" w:cs="Times New Roman"/>
      <w:sz w:val="18"/>
      <w:szCs w:val="18"/>
    </w:rPr>
  </w:style>
  <w:style w:type="character" w:styleId="Hyperlink">
    <w:name w:val="Hyperlink"/>
    <w:basedOn w:val="DefaultParagraphFont"/>
    <w:uiPriority w:val="99"/>
    <w:unhideWhenUsed/>
    <w:rsid w:val="00925E5C"/>
    <w:rPr>
      <w:color w:val="0563C1" w:themeColor="hyperlink"/>
      <w:u w:val="single"/>
    </w:rPr>
  </w:style>
  <w:style w:type="character" w:customStyle="1" w:styleId="UnresolvedMention">
    <w:name w:val="Unresolved Mention"/>
    <w:basedOn w:val="DefaultParagraphFont"/>
    <w:uiPriority w:val="99"/>
    <w:semiHidden/>
    <w:unhideWhenUsed/>
    <w:rsid w:val="00925E5C"/>
    <w:rPr>
      <w:color w:val="605E5C"/>
      <w:shd w:val="clear" w:color="auto" w:fill="E1DFDD"/>
    </w:rPr>
  </w:style>
  <w:style w:type="paragraph" w:customStyle="1" w:styleId="gds-typography">
    <w:name w:val="gds-typography"/>
    <w:basedOn w:val="Normal"/>
    <w:rsid w:val="00BD4098"/>
    <w:pPr>
      <w:spacing w:before="100" w:beforeAutospacing="1" w:after="100" w:afterAutospacing="1"/>
    </w:pPr>
  </w:style>
  <w:style w:type="character" w:styleId="Strong">
    <w:name w:val="Strong"/>
    <w:basedOn w:val="DefaultParagraphFont"/>
    <w:uiPriority w:val="22"/>
    <w:qFormat/>
    <w:rsid w:val="00BD4098"/>
    <w:rPr>
      <w:b/>
      <w:bCs/>
    </w:rPr>
  </w:style>
  <w:style w:type="paragraph" w:customStyle="1" w:styleId="EndNoteBibliographyTitle">
    <w:name w:val="EndNote Bibliography Title"/>
    <w:basedOn w:val="Normal"/>
    <w:link w:val="EndNoteBibliographyTitleChar"/>
    <w:rsid w:val="00DB015B"/>
    <w:pPr>
      <w:jc w:val="center"/>
    </w:pPr>
    <w:rPr>
      <w:rFonts w:ascii="Calibri" w:eastAsiaTheme="minorHAnsi" w:hAnsi="Calibri" w:cs="Calibri"/>
      <w:lang w:val="en-US" w:eastAsia="en-US"/>
    </w:rPr>
  </w:style>
  <w:style w:type="character" w:customStyle="1" w:styleId="EndNoteBibliographyTitleChar">
    <w:name w:val="EndNote Bibliography Title Char"/>
    <w:basedOn w:val="DefaultParagraphFont"/>
    <w:link w:val="EndNoteBibliographyTitle"/>
    <w:rsid w:val="00DB015B"/>
    <w:rPr>
      <w:rFonts w:ascii="Calibri" w:hAnsi="Calibri" w:cs="Calibri"/>
      <w:lang w:val="en-US"/>
    </w:rPr>
  </w:style>
  <w:style w:type="paragraph" w:customStyle="1" w:styleId="EndNoteBibliography">
    <w:name w:val="EndNote Bibliography"/>
    <w:basedOn w:val="Normal"/>
    <w:link w:val="EndNoteBibliographyChar"/>
    <w:rsid w:val="00DB015B"/>
    <w:rPr>
      <w:rFonts w:ascii="Calibri" w:eastAsiaTheme="minorHAnsi" w:hAnsi="Calibri" w:cs="Calibri"/>
      <w:lang w:val="en-US" w:eastAsia="en-US"/>
    </w:rPr>
  </w:style>
  <w:style w:type="character" w:customStyle="1" w:styleId="EndNoteBibliographyChar">
    <w:name w:val="EndNote Bibliography Char"/>
    <w:basedOn w:val="DefaultParagraphFont"/>
    <w:link w:val="EndNoteBibliography"/>
    <w:rsid w:val="00DB015B"/>
    <w:rPr>
      <w:rFonts w:ascii="Calibri" w:hAnsi="Calibri" w:cs="Calibri"/>
      <w:lang w:val="en-US"/>
    </w:rPr>
  </w:style>
  <w:style w:type="character" w:styleId="FollowedHyperlink">
    <w:name w:val="FollowedHyperlink"/>
    <w:basedOn w:val="DefaultParagraphFont"/>
    <w:uiPriority w:val="99"/>
    <w:semiHidden/>
    <w:unhideWhenUsed/>
    <w:rsid w:val="009C29F5"/>
    <w:rPr>
      <w:color w:val="954F72" w:themeColor="followedHyperlink"/>
      <w:u w:val="single"/>
    </w:rPr>
  </w:style>
  <w:style w:type="paragraph" w:customStyle="1" w:styleId="isselectedend">
    <w:name w:val="isselectedend"/>
    <w:basedOn w:val="Normal"/>
    <w:rsid w:val="000038CC"/>
    <w:pPr>
      <w:spacing w:before="100" w:beforeAutospacing="1" w:after="100" w:afterAutospacing="1"/>
    </w:pPr>
  </w:style>
  <w:style w:type="paragraph" w:styleId="NormalWeb">
    <w:name w:val="Normal (Web)"/>
    <w:basedOn w:val="Normal"/>
    <w:uiPriority w:val="99"/>
    <w:semiHidden/>
    <w:unhideWhenUsed/>
    <w:rsid w:val="000038CC"/>
    <w:pPr>
      <w:spacing w:before="100" w:beforeAutospacing="1" w:after="100" w:afterAutospacing="1"/>
    </w:pPr>
  </w:style>
  <w:style w:type="character" w:customStyle="1" w:styleId="Heading1Char">
    <w:name w:val="Heading 1 Char"/>
    <w:basedOn w:val="DefaultParagraphFont"/>
    <w:link w:val="Heading1"/>
    <w:uiPriority w:val="9"/>
    <w:rsid w:val="00A22DD1"/>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A22DD1"/>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4D72A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D72A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D72A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D72A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72A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72A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72A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72A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72A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72A0"/>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3A6827"/>
    <w:pPr>
      <w:tabs>
        <w:tab w:val="center" w:pos="4513"/>
        <w:tab w:val="right" w:pos="9026"/>
      </w:tabs>
    </w:pPr>
  </w:style>
  <w:style w:type="character" w:customStyle="1" w:styleId="HeaderChar">
    <w:name w:val="Header Char"/>
    <w:basedOn w:val="DefaultParagraphFont"/>
    <w:link w:val="Header"/>
    <w:uiPriority w:val="99"/>
    <w:rsid w:val="003A6827"/>
    <w:rPr>
      <w:rFonts w:ascii="Times New Roman" w:eastAsia="Times New Roman" w:hAnsi="Times New Roman" w:cs="Times New Roman"/>
      <w:lang w:eastAsia="en-GB"/>
    </w:rPr>
  </w:style>
  <w:style w:type="paragraph" w:styleId="Footer">
    <w:name w:val="footer"/>
    <w:basedOn w:val="Normal"/>
    <w:link w:val="FooterChar"/>
    <w:uiPriority w:val="99"/>
    <w:unhideWhenUsed/>
    <w:rsid w:val="003A6827"/>
    <w:pPr>
      <w:tabs>
        <w:tab w:val="center" w:pos="4513"/>
        <w:tab w:val="right" w:pos="9026"/>
      </w:tabs>
    </w:pPr>
  </w:style>
  <w:style w:type="character" w:customStyle="1" w:styleId="FooterChar">
    <w:name w:val="Footer Char"/>
    <w:basedOn w:val="DefaultParagraphFont"/>
    <w:link w:val="Footer"/>
    <w:uiPriority w:val="99"/>
    <w:rsid w:val="003A6827"/>
    <w:rPr>
      <w:rFonts w:ascii="Times New Roman" w:eastAsia="Times New Roman" w:hAnsi="Times New Roman" w:cs="Times New Roman"/>
      <w:lang w:eastAsia="en-GB"/>
    </w:rPr>
  </w:style>
  <w:style w:type="table" w:styleId="TableGrid">
    <w:name w:val="Table Grid"/>
    <w:basedOn w:val="TableNormal"/>
    <w:uiPriority w:val="39"/>
    <w:rsid w:val="0012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token-text-primary">
    <w:name w:val="text-token-text-primary"/>
    <w:basedOn w:val="DefaultParagraphFont"/>
    <w:rsid w:val="0006003D"/>
  </w:style>
  <w:style w:type="paragraph" w:styleId="Revision">
    <w:name w:val="Revision"/>
    <w:hidden/>
    <w:uiPriority w:val="99"/>
    <w:semiHidden/>
    <w:rsid w:val="0046714C"/>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E9533A"/>
    <w:rPr>
      <w:sz w:val="16"/>
      <w:szCs w:val="16"/>
    </w:rPr>
  </w:style>
  <w:style w:type="paragraph" w:styleId="CommentText">
    <w:name w:val="annotation text"/>
    <w:basedOn w:val="Normal"/>
    <w:link w:val="CommentTextChar"/>
    <w:uiPriority w:val="99"/>
    <w:semiHidden/>
    <w:unhideWhenUsed/>
    <w:rsid w:val="00E9533A"/>
    <w:rPr>
      <w:sz w:val="20"/>
      <w:szCs w:val="20"/>
    </w:rPr>
  </w:style>
  <w:style w:type="character" w:customStyle="1" w:styleId="CommentTextChar">
    <w:name w:val="Comment Text Char"/>
    <w:basedOn w:val="DefaultParagraphFont"/>
    <w:link w:val="CommentText"/>
    <w:uiPriority w:val="99"/>
    <w:semiHidden/>
    <w:rsid w:val="00E9533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9533A"/>
    <w:rPr>
      <w:b/>
      <w:bCs/>
    </w:rPr>
  </w:style>
  <w:style w:type="character" w:customStyle="1" w:styleId="CommentSubjectChar">
    <w:name w:val="Comment Subject Char"/>
    <w:basedOn w:val="CommentTextChar"/>
    <w:link w:val="CommentSubject"/>
    <w:uiPriority w:val="99"/>
    <w:semiHidden/>
    <w:rsid w:val="00E9533A"/>
    <w:rPr>
      <w:rFonts w:ascii="Times New Roman" w:eastAsia="Times New Roman" w:hAnsi="Times New Roman" w:cs="Times New Roman"/>
      <w:b/>
      <w:bCs/>
      <w:sz w:val="20"/>
      <w:szCs w:val="20"/>
      <w:lang w:eastAsia="en-GB"/>
    </w:rPr>
  </w:style>
  <w:style w:type="paragraph" w:styleId="NoSpacing">
    <w:name w:val="No Spacing"/>
    <w:link w:val="NoSpacingChar"/>
    <w:uiPriority w:val="1"/>
    <w:qFormat/>
    <w:rsid w:val="00E45D95"/>
    <w:rPr>
      <w:rFonts w:eastAsiaTheme="minorEastAsia"/>
      <w:sz w:val="22"/>
      <w:szCs w:val="22"/>
      <w:lang w:val="en-US" w:eastAsia="ja-JP"/>
    </w:rPr>
  </w:style>
  <w:style w:type="character" w:customStyle="1" w:styleId="NoSpacingChar">
    <w:name w:val="No Spacing Char"/>
    <w:basedOn w:val="DefaultParagraphFont"/>
    <w:link w:val="NoSpacing"/>
    <w:uiPriority w:val="1"/>
    <w:rsid w:val="00E45D95"/>
    <w:rPr>
      <w:rFonts w:eastAsiaTheme="minorEastAsia"/>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16614">
      <w:bodyDiv w:val="1"/>
      <w:marLeft w:val="0"/>
      <w:marRight w:val="0"/>
      <w:marTop w:val="0"/>
      <w:marBottom w:val="0"/>
      <w:divBdr>
        <w:top w:val="none" w:sz="0" w:space="0" w:color="auto"/>
        <w:left w:val="none" w:sz="0" w:space="0" w:color="auto"/>
        <w:bottom w:val="none" w:sz="0" w:space="0" w:color="auto"/>
        <w:right w:val="none" w:sz="0" w:space="0" w:color="auto"/>
      </w:divBdr>
      <w:divsChild>
        <w:div w:id="1679117147">
          <w:marLeft w:val="0"/>
          <w:marRight w:val="0"/>
          <w:marTop w:val="120"/>
          <w:marBottom w:val="120"/>
          <w:divBdr>
            <w:top w:val="none" w:sz="0" w:space="0" w:color="auto"/>
            <w:left w:val="none" w:sz="0" w:space="0" w:color="auto"/>
            <w:bottom w:val="none" w:sz="0" w:space="0" w:color="auto"/>
            <w:right w:val="none" w:sz="0" w:space="0" w:color="auto"/>
          </w:divBdr>
        </w:div>
      </w:divsChild>
    </w:div>
    <w:div w:id="99186576">
      <w:bodyDiv w:val="1"/>
      <w:marLeft w:val="0"/>
      <w:marRight w:val="0"/>
      <w:marTop w:val="0"/>
      <w:marBottom w:val="0"/>
      <w:divBdr>
        <w:top w:val="none" w:sz="0" w:space="0" w:color="auto"/>
        <w:left w:val="none" w:sz="0" w:space="0" w:color="auto"/>
        <w:bottom w:val="none" w:sz="0" w:space="0" w:color="auto"/>
        <w:right w:val="none" w:sz="0" w:space="0" w:color="auto"/>
      </w:divBdr>
    </w:div>
    <w:div w:id="135999588">
      <w:bodyDiv w:val="1"/>
      <w:marLeft w:val="0"/>
      <w:marRight w:val="0"/>
      <w:marTop w:val="0"/>
      <w:marBottom w:val="0"/>
      <w:divBdr>
        <w:top w:val="none" w:sz="0" w:space="0" w:color="auto"/>
        <w:left w:val="none" w:sz="0" w:space="0" w:color="auto"/>
        <w:bottom w:val="none" w:sz="0" w:space="0" w:color="auto"/>
        <w:right w:val="none" w:sz="0" w:space="0" w:color="auto"/>
      </w:divBdr>
    </w:div>
    <w:div w:id="178279342">
      <w:bodyDiv w:val="1"/>
      <w:marLeft w:val="0"/>
      <w:marRight w:val="0"/>
      <w:marTop w:val="0"/>
      <w:marBottom w:val="0"/>
      <w:divBdr>
        <w:top w:val="none" w:sz="0" w:space="0" w:color="auto"/>
        <w:left w:val="none" w:sz="0" w:space="0" w:color="auto"/>
        <w:bottom w:val="none" w:sz="0" w:space="0" w:color="auto"/>
        <w:right w:val="none" w:sz="0" w:space="0" w:color="auto"/>
      </w:divBdr>
    </w:div>
    <w:div w:id="249433615">
      <w:bodyDiv w:val="1"/>
      <w:marLeft w:val="0"/>
      <w:marRight w:val="0"/>
      <w:marTop w:val="0"/>
      <w:marBottom w:val="0"/>
      <w:divBdr>
        <w:top w:val="none" w:sz="0" w:space="0" w:color="auto"/>
        <w:left w:val="none" w:sz="0" w:space="0" w:color="auto"/>
        <w:bottom w:val="none" w:sz="0" w:space="0" w:color="auto"/>
        <w:right w:val="none" w:sz="0" w:space="0" w:color="auto"/>
      </w:divBdr>
      <w:divsChild>
        <w:div w:id="952441966">
          <w:marLeft w:val="0"/>
          <w:marRight w:val="0"/>
          <w:marTop w:val="120"/>
          <w:marBottom w:val="120"/>
          <w:divBdr>
            <w:top w:val="none" w:sz="0" w:space="0" w:color="auto"/>
            <w:left w:val="none" w:sz="0" w:space="0" w:color="auto"/>
            <w:bottom w:val="none" w:sz="0" w:space="0" w:color="auto"/>
            <w:right w:val="none" w:sz="0" w:space="0" w:color="auto"/>
          </w:divBdr>
        </w:div>
        <w:div w:id="965962278">
          <w:marLeft w:val="0"/>
          <w:marRight w:val="0"/>
          <w:marTop w:val="120"/>
          <w:marBottom w:val="120"/>
          <w:divBdr>
            <w:top w:val="none" w:sz="0" w:space="0" w:color="auto"/>
            <w:left w:val="none" w:sz="0" w:space="0" w:color="auto"/>
            <w:bottom w:val="none" w:sz="0" w:space="0" w:color="auto"/>
            <w:right w:val="none" w:sz="0" w:space="0" w:color="auto"/>
          </w:divBdr>
        </w:div>
        <w:div w:id="1500778851">
          <w:marLeft w:val="0"/>
          <w:marRight w:val="0"/>
          <w:marTop w:val="120"/>
          <w:marBottom w:val="120"/>
          <w:divBdr>
            <w:top w:val="none" w:sz="0" w:space="0" w:color="auto"/>
            <w:left w:val="none" w:sz="0" w:space="0" w:color="auto"/>
            <w:bottom w:val="none" w:sz="0" w:space="0" w:color="auto"/>
            <w:right w:val="none" w:sz="0" w:space="0" w:color="auto"/>
          </w:divBdr>
        </w:div>
        <w:div w:id="113866413">
          <w:marLeft w:val="0"/>
          <w:marRight w:val="0"/>
          <w:marTop w:val="120"/>
          <w:marBottom w:val="120"/>
          <w:divBdr>
            <w:top w:val="none" w:sz="0" w:space="0" w:color="auto"/>
            <w:left w:val="none" w:sz="0" w:space="0" w:color="auto"/>
            <w:bottom w:val="none" w:sz="0" w:space="0" w:color="auto"/>
            <w:right w:val="none" w:sz="0" w:space="0" w:color="auto"/>
          </w:divBdr>
        </w:div>
        <w:div w:id="1999065917">
          <w:marLeft w:val="0"/>
          <w:marRight w:val="0"/>
          <w:marTop w:val="120"/>
          <w:marBottom w:val="120"/>
          <w:divBdr>
            <w:top w:val="none" w:sz="0" w:space="0" w:color="auto"/>
            <w:left w:val="none" w:sz="0" w:space="0" w:color="auto"/>
            <w:bottom w:val="none" w:sz="0" w:space="0" w:color="auto"/>
            <w:right w:val="none" w:sz="0" w:space="0" w:color="auto"/>
          </w:divBdr>
        </w:div>
        <w:div w:id="1699507922">
          <w:marLeft w:val="0"/>
          <w:marRight w:val="0"/>
          <w:marTop w:val="120"/>
          <w:marBottom w:val="120"/>
          <w:divBdr>
            <w:top w:val="none" w:sz="0" w:space="0" w:color="auto"/>
            <w:left w:val="none" w:sz="0" w:space="0" w:color="auto"/>
            <w:bottom w:val="none" w:sz="0" w:space="0" w:color="auto"/>
            <w:right w:val="none" w:sz="0" w:space="0" w:color="auto"/>
          </w:divBdr>
        </w:div>
        <w:div w:id="416752881">
          <w:marLeft w:val="0"/>
          <w:marRight w:val="0"/>
          <w:marTop w:val="120"/>
          <w:marBottom w:val="120"/>
          <w:divBdr>
            <w:top w:val="none" w:sz="0" w:space="0" w:color="auto"/>
            <w:left w:val="none" w:sz="0" w:space="0" w:color="auto"/>
            <w:bottom w:val="none" w:sz="0" w:space="0" w:color="auto"/>
            <w:right w:val="none" w:sz="0" w:space="0" w:color="auto"/>
          </w:divBdr>
        </w:div>
        <w:div w:id="1416167493">
          <w:marLeft w:val="0"/>
          <w:marRight w:val="0"/>
          <w:marTop w:val="120"/>
          <w:marBottom w:val="120"/>
          <w:divBdr>
            <w:top w:val="none" w:sz="0" w:space="0" w:color="auto"/>
            <w:left w:val="none" w:sz="0" w:space="0" w:color="auto"/>
            <w:bottom w:val="none" w:sz="0" w:space="0" w:color="auto"/>
            <w:right w:val="none" w:sz="0" w:space="0" w:color="auto"/>
          </w:divBdr>
        </w:div>
        <w:div w:id="1467430663">
          <w:marLeft w:val="0"/>
          <w:marRight w:val="0"/>
          <w:marTop w:val="120"/>
          <w:marBottom w:val="120"/>
          <w:divBdr>
            <w:top w:val="none" w:sz="0" w:space="0" w:color="auto"/>
            <w:left w:val="none" w:sz="0" w:space="0" w:color="auto"/>
            <w:bottom w:val="none" w:sz="0" w:space="0" w:color="auto"/>
            <w:right w:val="none" w:sz="0" w:space="0" w:color="auto"/>
          </w:divBdr>
        </w:div>
      </w:divsChild>
    </w:div>
    <w:div w:id="254092730">
      <w:bodyDiv w:val="1"/>
      <w:marLeft w:val="0"/>
      <w:marRight w:val="0"/>
      <w:marTop w:val="0"/>
      <w:marBottom w:val="0"/>
      <w:divBdr>
        <w:top w:val="none" w:sz="0" w:space="0" w:color="auto"/>
        <w:left w:val="none" w:sz="0" w:space="0" w:color="auto"/>
        <w:bottom w:val="none" w:sz="0" w:space="0" w:color="auto"/>
        <w:right w:val="none" w:sz="0" w:space="0" w:color="auto"/>
      </w:divBdr>
    </w:div>
    <w:div w:id="391317930">
      <w:bodyDiv w:val="1"/>
      <w:marLeft w:val="0"/>
      <w:marRight w:val="0"/>
      <w:marTop w:val="0"/>
      <w:marBottom w:val="0"/>
      <w:divBdr>
        <w:top w:val="none" w:sz="0" w:space="0" w:color="auto"/>
        <w:left w:val="none" w:sz="0" w:space="0" w:color="auto"/>
        <w:bottom w:val="none" w:sz="0" w:space="0" w:color="auto"/>
        <w:right w:val="none" w:sz="0" w:space="0" w:color="auto"/>
      </w:divBdr>
      <w:divsChild>
        <w:div w:id="927427865">
          <w:marLeft w:val="0"/>
          <w:marRight w:val="0"/>
          <w:marTop w:val="120"/>
          <w:marBottom w:val="120"/>
          <w:divBdr>
            <w:top w:val="none" w:sz="0" w:space="0" w:color="auto"/>
            <w:left w:val="none" w:sz="0" w:space="0" w:color="auto"/>
            <w:bottom w:val="none" w:sz="0" w:space="0" w:color="auto"/>
            <w:right w:val="none" w:sz="0" w:space="0" w:color="auto"/>
          </w:divBdr>
        </w:div>
        <w:div w:id="162282542">
          <w:marLeft w:val="0"/>
          <w:marRight w:val="0"/>
          <w:marTop w:val="120"/>
          <w:marBottom w:val="120"/>
          <w:divBdr>
            <w:top w:val="none" w:sz="0" w:space="0" w:color="auto"/>
            <w:left w:val="none" w:sz="0" w:space="0" w:color="auto"/>
            <w:bottom w:val="none" w:sz="0" w:space="0" w:color="auto"/>
            <w:right w:val="none" w:sz="0" w:space="0" w:color="auto"/>
          </w:divBdr>
        </w:div>
        <w:div w:id="1284580607">
          <w:marLeft w:val="0"/>
          <w:marRight w:val="0"/>
          <w:marTop w:val="120"/>
          <w:marBottom w:val="120"/>
          <w:divBdr>
            <w:top w:val="none" w:sz="0" w:space="0" w:color="auto"/>
            <w:left w:val="none" w:sz="0" w:space="0" w:color="auto"/>
            <w:bottom w:val="none" w:sz="0" w:space="0" w:color="auto"/>
            <w:right w:val="none" w:sz="0" w:space="0" w:color="auto"/>
          </w:divBdr>
        </w:div>
        <w:div w:id="1626276128">
          <w:marLeft w:val="0"/>
          <w:marRight w:val="0"/>
          <w:marTop w:val="120"/>
          <w:marBottom w:val="120"/>
          <w:divBdr>
            <w:top w:val="none" w:sz="0" w:space="0" w:color="auto"/>
            <w:left w:val="none" w:sz="0" w:space="0" w:color="auto"/>
            <w:bottom w:val="none" w:sz="0" w:space="0" w:color="auto"/>
            <w:right w:val="none" w:sz="0" w:space="0" w:color="auto"/>
          </w:divBdr>
        </w:div>
        <w:div w:id="896277998">
          <w:marLeft w:val="0"/>
          <w:marRight w:val="0"/>
          <w:marTop w:val="120"/>
          <w:marBottom w:val="120"/>
          <w:divBdr>
            <w:top w:val="none" w:sz="0" w:space="0" w:color="auto"/>
            <w:left w:val="none" w:sz="0" w:space="0" w:color="auto"/>
            <w:bottom w:val="none" w:sz="0" w:space="0" w:color="auto"/>
            <w:right w:val="none" w:sz="0" w:space="0" w:color="auto"/>
          </w:divBdr>
        </w:div>
        <w:div w:id="1031418539">
          <w:marLeft w:val="0"/>
          <w:marRight w:val="0"/>
          <w:marTop w:val="120"/>
          <w:marBottom w:val="120"/>
          <w:divBdr>
            <w:top w:val="none" w:sz="0" w:space="0" w:color="auto"/>
            <w:left w:val="none" w:sz="0" w:space="0" w:color="auto"/>
            <w:bottom w:val="none" w:sz="0" w:space="0" w:color="auto"/>
            <w:right w:val="none" w:sz="0" w:space="0" w:color="auto"/>
          </w:divBdr>
        </w:div>
        <w:div w:id="1829517570">
          <w:marLeft w:val="0"/>
          <w:marRight w:val="0"/>
          <w:marTop w:val="120"/>
          <w:marBottom w:val="120"/>
          <w:divBdr>
            <w:top w:val="none" w:sz="0" w:space="0" w:color="auto"/>
            <w:left w:val="none" w:sz="0" w:space="0" w:color="auto"/>
            <w:bottom w:val="none" w:sz="0" w:space="0" w:color="auto"/>
            <w:right w:val="none" w:sz="0" w:space="0" w:color="auto"/>
          </w:divBdr>
        </w:div>
        <w:div w:id="135295351">
          <w:marLeft w:val="0"/>
          <w:marRight w:val="0"/>
          <w:marTop w:val="120"/>
          <w:marBottom w:val="120"/>
          <w:divBdr>
            <w:top w:val="none" w:sz="0" w:space="0" w:color="auto"/>
            <w:left w:val="none" w:sz="0" w:space="0" w:color="auto"/>
            <w:bottom w:val="none" w:sz="0" w:space="0" w:color="auto"/>
            <w:right w:val="none" w:sz="0" w:space="0" w:color="auto"/>
          </w:divBdr>
        </w:div>
      </w:divsChild>
    </w:div>
    <w:div w:id="433283708">
      <w:bodyDiv w:val="1"/>
      <w:marLeft w:val="0"/>
      <w:marRight w:val="0"/>
      <w:marTop w:val="0"/>
      <w:marBottom w:val="0"/>
      <w:divBdr>
        <w:top w:val="none" w:sz="0" w:space="0" w:color="auto"/>
        <w:left w:val="none" w:sz="0" w:space="0" w:color="auto"/>
        <w:bottom w:val="none" w:sz="0" w:space="0" w:color="auto"/>
        <w:right w:val="none" w:sz="0" w:space="0" w:color="auto"/>
      </w:divBdr>
      <w:divsChild>
        <w:div w:id="1690795819">
          <w:marLeft w:val="0"/>
          <w:marRight w:val="0"/>
          <w:marTop w:val="120"/>
          <w:marBottom w:val="120"/>
          <w:divBdr>
            <w:top w:val="none" w:sz="0" w:space="0" w:color="auto"/>
            <w:left w:val="none" w:sz="0" w:space="0" w:color="auto"/>
            <w:bottom w:val="none" w:sz="0" w:space="0" w:color="auto"/>
            <w:right w:val="none" w:sz="0" w:space="0" w:color="auto"/>
          </w:divBdr>
        </w:div>
        <w:div w:id="1190483851">
          <w:marLeft w:val="0"/>
          <w:marRight w:val="0"/>
          <w:marTop w:val="120"/>
          <w:marBottom w:val="120"/>
          <w:divBdr>
            <w:top w:val="none" w:sz="0" w:space="0" w:color="auto"/>
            <w:left w:val="none" w:sz="0" w:space="0" w:color="auto"/>
            <w:bottom w:val="none" w:sz="0" w:space="0" w:color="auto"/>
            <w:right w:val="none" w:sz="0" w:space="0" w:color="auto"/>
          </w:divBdr>
        </w:div>
      </w:divsChild>
    </w:div>
    <w:div w:id="483938789">
      <w:bodyDiv w:val="1"/>
      <w:marLeft w:val="0"/>
      <w:marRight w:val="0"/>
      <w:marTop w:val="0"/>
      <w:marBottom w:val="0"/>
      <w:divBdr>
        <w:top w:val="none" w:sz="0" w:space="0" w:color="auto"/>
        <w:left w:val="none" w:sz="0" w:space="0" w:color="auto"/>
        <w:bottom w:val="none" w:sz="0" w:space="0" w:color="auto"/>
        <w:right w:val="none" w:sz="0" w:space="0" w:color="auto"/>
      </w:divBdr>
      <w:divsChild>
        <w:div w:id="818619272">
          <w:marLeft w:val="0"/>
          <w:marRight w:val="0"/>
          <w:marTop w:val="120"/>
          <w:marBottom w:val="120"/>
          <w:divBdr>
            <w:top w:val="none" w:sz="0" w:space="0" w:color="auto"/>
            <w:left w:val="none" w:sz="0" w:space="0" w:color="auto"/>
            <w:bottom w:val="none" w:sz="0" w:space="0" w:color="auto"/>
            <w:right w:val="none" w:sz="0" w:space="0" w:color="auto"/>
          </w:divBdr>
        </w:div>
      </w:divsChild>
    </w:div>
    <w:div w:id="523250473">
      <w:bodyDiv w:val="1"/>
      <w:marLeft w:val="0"/>
      <w:marRight w:val="0"/>
      <w:marTop w:val="0"/>
      <w:marBottom w:val="0"/>
      <w:divBdr>
        <w:top w:val="none" w:sz="0" w:space="0" w:color="auto"/>
        <w:left w:val="none" w:sz="0" w:space="0" w:color="auto"/>
        <w:bottom w:val="none" w:sz="0" w:space="0" w:color="auto"/>
        <w:right w:val="none" w:sz="0" w:space="0" w:color="auto"/>
      </w:divBdr>
      <w:divsChild>
        <w:div w:id="267852368">
          <w:marLeft w:val="0"/>
          <w:marRight w:val="0"/>
          <w:marTop w:val="120"/>
          <w:marBottom w:val="120"/>
          <w:divBdr>
            <w:top w:val="none" w:sz="0" w:space="0" w:color="auto"/>
            <w:left w:val="none" w:sz="0" w:space="0" w:color="auto"/>
            <w:bottom w:val="none" w:sz="0" w:space="0" w:color="auto"/>
            <w:right w:val="none" w:sz="0" w:space="0" w:color="auto"/>
          </w:divBdr>
        </w:div>
        <w:div w:id="280115458">
          <w:marLeft w:val="0"/>
          <w:marRight w:val="0"/>
          <w:marTop w:val="120"/>
          <w:marBottom w:val="120"/>
          <w:divBdr>
            <w:top w:val="none" w:sz="0" w:space="0" w:color="auto"/>
            <w:left w:val="none" w:sz="0" w:space="0" w:color="auto"/>
            <w:bottom w:val="none" w:sz="0" w:space="0" w:color="auto"/>
            <w:right w:val="none" w:sz="0" w:space="0" w:color="auto"/>
          </w:divBdr>
        </w:div>
      </w:divsChild>
    </w:div>
    <w:div w:id="552278644">
      <w:bodyDiv w:val="1"/>
      <w:marLeft w:val="0"/>
      <w:marRight w:val="0"/>
      <w:marTop w:val="0"/>
      <w:marBottom w:val="0"/>
      <w:divBdr>
        <w:top w:val="none" w:sz="0" w:space="0" w:color="auto"/>
        <w:left w:val="none" w:sz="0" w:space="0" w:color="auto"/>
        <w:bottom w:val="none" w:sz="0" w:space="0" w:color="auto"/>
        <w:right w:val="none" w:sz="0" w:space="0" w:color="auto"/>
      </w:divBdr>
      <w:divsChild>
        <w:div w:id="1620986344">
          <w:marLeft w:val="0"/>
          <w:marRight w:val="0"/>
          <w:marTop w:val="120"/>
          <w:marBottom w:val="120"/>
          <w:divBdr>
            <w:top w:val="none" w:sz="0" w:space="0" w:color="auto"/>
            <w:left w:val="none" w:sz="0" w:space="0" w:color="auto"/>
            <w:bottom w:val="none" w:sz="0" w:space="0" w:color="auto"/>
            <w:right w:val="none" w:sz="0" w:space="0" w:color="auto"/>
          </w:divBdr>
        </w:div>
        <w:div w:id="1680699231">
          <w:marLeft w:val="0"/>
          <w:marRight w:val="0"/>
          <w:marTop w:val="120"/>
          <w:marBottom w:val="120"/>
          <w:divBdr>
            <w:top w:val="none" w:sz="0" w:space="0" w:color="auto"/>
            <w:left w:val="none" w:sz="0" w:space="0" w:color="auto"/>
            <w:bottom w:val="none" w:sz="0" w:space="0" w:color="auto"/>
            <w:right w:val="none" w:sz="0" w:space="0" w:color="auto"/>
          </w:divBdr>
        </w:div>
        <w:div w:id="1074089271">
          <w:marLeft w:val="0"/>
          <w:marRight w:val="0"/>
          <w:marTop w:val="120"/>
          <w:marBottom w:val="120"/>
          <w:divBdr>
            <w:top w:val="none" w:sz="0" w:space="0" w:color="auto"/>
            <w:left w:val="none" w:sz="0" w:space="0" w:color="auto"/>
            <w:bottom w:val="none" w:sz="0" w:space="0" w:color="auto"/>
            <w:right w:val="none" w:sz="0" w:space="0" w:color="auto"/>
          </w:divBdr>
        </w:div>
        <w:div w:id="1428312711">
          <w:marLeft w:val="0"/>
          <w:marRight w:val="0"/>
          <w:marTop w:val="120"/>
          <w:marBottom w:val="120"/>
          <w:divBdr>
            <w:top w:val="none" w:sz="0" w:space="0" w:color="auto"/>
            <w:left w:val="none" w:sz="0" w:space="0" w:color="auto"/>
            <w:bottom w:val="none" w:sz="0" w:space="0" w:color="auto"/>
            <w:right w:val="none" w:sz="0" w:space="0" w:color="auto"/>
          </w:divBdr>
        </w:div>
        <w:div w:id="861820311">
          <w:marLeft w:val="0"/>
          <w:marRight w:val="0"/>
          <w:marTop w:val="120"/>
          <w:marBottom w:val="120"/>
          <w:divBdr>
            <w:top w:val="none" w:sz="0" w:space="0" w:color="auto"/>
            <w:left w:val="none" w:sz="0" w:space="0" w:color="auto"/>
            <w:bottom w:val="none" w:sz="0" w:space="0" w:color="auto"/>
            <w:right w:val="none" w:sz="0" w:space="0" w:color="auto"/>
          </w:divBdr>
        </w:div>
      </w:divsChild>
    </w:div>
    <w:div w:id="639070219">
      <w:bodyDiv w:val="1"/>
      <w:marLeft w:val="0"/>
      <w:marRight w:val="0"/>
      <w:marTop w:val="0"/>
      <w:marBottom w:val="0"/>
      <w:divBdr>
        <w:top w:val="none" w:sz="0" w:space="0" w:color="auto"/>
        <w:left w:val="none" w:sz="0" w:space="0" w:color="auto"/>
        <w:bottom w:val="none" w:sz="0" w:space="0" w:color="auto"/>
        <w:right w:val="none" w:sz="0" w:space="0" w:color="auto"/>
      </w:divBdr>
    </w:div>
    <w:div w:id="694577286">
      <w:bodyDiv w:val="1"/>
      <w:marLeft w:val="0"/>
      <w:marRight w:val="0"/>
      <w:marTop w:val="0"/>
      <w:marBottom w:val="0"/>
      <w:divBdr>
        <w:top w:val="none" w:sz="0" w:space="0" w:color="auto"/>
        <w:left w:val="none" w:sz="0" w:space="0" w:color="auto"/>
        <w:bottom w:val="none" w:sz="0" w:space="0" w:color="auto"/>
        <w:right w:val="none" w:sz="0" w:space="0" w:color="auto"/>
      </w:divBdr>
      <w:divsChild>
        <w:div w:id="324482202">
          <w:marLeft w:val="0"/>
          <w:marRight w:val="0"/>
          <w:marTop w:val="120"/>
          <w:marBottom w:val="120"/>
          <w:divBdr>
            <w:top w:val="none" w:sz="0" w:space="0" w:color="auto"/>
            <w:left w:val="none" w:sz="0" w:space="0" w:color="auto"/>
            <w:bottom w:val="none" w:sz="0" w:space="0" w:color="auto"/>
            <w:right w:val="none" w:sz="0" w:space="0" w:color="auto"/>
          </w:divBdr>
        </w:div>
        <w:div w:id="2102871408">
          <w:marLeft w:val="0"/>
          <w:marRight w:val="0"/>
          <w:marTop w:val="120"/>
          <w:marBottom w:val="120"/>
          <w:divBdr>
            <w:top w:val="none" w:sz="0" w:space="0" w:color="auto"/>
            <w:left w:val="none" w:sz="0" w:space="0" w:color="auto"/>
            <w:bottom w:val="none" w:sz="0" w:space="0" w:color="auto"/>
            <w:right w:val="none" w:sz="0" w:space="0" w:color="auto"/>
          </w:divBdr>
        </w:div>
        <w:div w:id="66072969">
          <w:marLeft w:val="0"/>
          <w:marRight w:val="0"/>
          <w:marTop w:val="120"/>
          <w:marBottom w:val="120"/>
          <w:divBdr>
            <w:top w:val="none" w:sz="0" w:space="0" w:color="auto"/>
            <w:left w:val="none" w:sz="0" w:space="0" w:color="auto"/>
            <w:bottom w:val="none" w:sz="0" w:space="0" w:color="auto"/>
            <w:right w:val="none" w:sz="0" w:space="0" w:color="auto"/>
          </w:divBdr>
        </w:div>
        <w:div w:id="1484619599">
          <w:marLeft w:val="0"/>
          <w:marRight w:val="0"/>
          <w:marTop w:val="120"/>
          <w:marBottom w:val="120"/>
          <w:divBdr>
            <w:top w:val="none" w:sz="0" w:space="0" w:color="auto"/>
            <w:left w:val="none" w:sz="0" w:space="0" w:color="auto"/>
            <w:bottom w:val="none" w:sz="0" w:space="0" w:color="auto"/>
            <w:right w:val="none" w:sz="0" w:space="0" w:color="auto"/>
          </w:divBdr>
        </w:div>
        <w:div w:id="692532928">
          <w:marLeft w:val="0"/>
          <w:marRight w:val="0"/>
          <w:marTop w:val="120"/>
          <w:marBottom w:val="120"/>
          <w:divBdr>
            <w:top w:val="none" w:sz="0" w:space="0" w:color="auto"/>
            <w:left w:val="none" w:sz="0" w:space="0" w:color="auto"/>
            <w:bottom w:val="none" w:sz="0" w:space="0" w:color="auto"/>
            <w:right w:val="none" w:sz="0" w:space="0" w:color="auto"/>
          </w:divBdr>
        </w:div>
        <w:div w:id="81029166">
          <w:marLeft w:val="0"/>
          <w:marRight w:val="0"/>
          <w:marTop w:val="120"/>
          <w:marBottom w:val="120"/>
          <w:divBdr>
            <w:top w:val="none" w:sz="0" w:space="0" w:color="auto"/>
            <w:left w:val="none" w:sz="0" w:space="0" w:color="auto"/>
            <w:bottom w:val="none" w:sz="0" w:space="0" w:color="auto"/>
            <w:right w:val="none" w:sz="0" w:space="0" w:color="auto"/>
          </w:divBdr>
        </w:div>
        <w:div w:id="1282568936">
          <w:marLeft w:val="0"/>
          <w:marRight w:val="0"/>
          <w:marTop w:val="120"/>
          <w:marBottom w:val="120"/>
          <w:divBdr>
            <w:top w:val="none" w:sz="0" w:space="0" w:color="auto"/>
            <w:left w:val="none" w:sz="0" w:space="0" w:color="auto"/>
            <w:bottom w:val="none" w:sz="0" w:space="0" w:color="auto"/>
            <w:right w:val="none" w:sz="0" w:space="0" w:color="auto"/>
          </w:divBdr>
        </w:div>
        <w:div w:id="1738626487">
          <w:marLeft w:val="0"/>
          <w:marRight w:val="0"/>
          <w:marTop w:val="120"/>
          <w:marBottom w:val="120"/>
          <w:divBdr>
            <w:top w:val="none" w:sz="0" w:space="0" w:color="auto"/>
            <w:left w:val="none" w:sz="0" w:space="0" w:color="auto"/>
            <w:bottom w:val="none" w:sz="0" w:space="0" w:color="auto"/>
            <w:right w:val="none" w:sz="0" w:space="0" w:color="auto"/>
          </w:divBdr>
        </w:div>
        <w:div w:id="1622610549">
          <w:marLeft w:val="0"/>
          <w:marRight w:val="0"/>
          <w:marTop w:val="120"/>
          <w:marBottom w:val="120"/>
          <w:divBdr>
            <w:top w:val="none" w:sz="0" w:space="0" w:color="auto"/>
            <w:left w:val="none" w:sz="0" w:space="0" w:color="auto"/>
            <w:bottom w:val="none" w:sz="0" w:space="0" w:color="auto"/>
            <w:right w:val="none" w:sz="0" w:space="0" w:color="auto"/>
          </w:divBdr>
        </w:div>
        <w:div w:id="779187272">
          <w:marLeft w:val="0"/>
          <w:marRight w:val="0"/>
          <w:marTop w:val="120"/>
          <w:marBottom w:val="120"/>
          <w:divBdr>
            <w:top w:val="none" w:sz="0" w:space="0" w:color="auto"/>
            <w:left w:val="none" w:sz="0" w:space="0" w:color="auto"/>
            <w:bottom w:val="none" w:sz="0" w:space="0" w:color="auto"/>
            <w:right w:val="none" w:sz="0" w:space="0" w:color="auto"/>
          </w:divBdr>
        </w:div>
      </w:divsChild>
    </w:div>
    <w:div w:id="727152179">
      <w:bodyDiv w:val="1"/>
      <w:marLeft w:val="0"/>
      <w:marRight w:val="0"/>
      <w:marTop w:val="0"/>
      <w:marBottom w:val="0"/>
      <w:divBdr>
        <w:top w:val="none" w:sz="0" w:space="0" w:color="auto"/>
        <w:left w:val="none" w:sz="0" w:space="0" w:color="auto"/>
        <w:bottom w:val="none" w:sz="0" w:space="0" w:color="auto"/>
        <w:right w:val="none" w:sz="0" w:space="0" w:color="auto"/>
      </w:divBdr>
      <w:divsChild>
        <w:div w:id="300429469">
          <w:marLeft w:val="0"/>
          <w:marRight w:val="0"/>
          <w:marTop w:val="120"/>
          <w:marBottom w:val="120"/>
          <w:divBdr>
            <w:top w:val="none" w:sz="0" w:space="0" w:color="auto"/>
            <w:left w:val="none" w:sz="0" w:space="0" w:color="auto"/>
            <w:bottom w:val="none" w:sz="0" w:space="0" w:color="auto"/>
            <w:right w:val="none" w:sz="0" w:space="0" w:color="auto"/>
          </w:divBdr>
        </w:div>
        <w:div w:id="2072849602">
          <w:marLeft w:val="0"/>
          <w:marRight w:val="0"/>
          <w:marTop w:val="120"/>
          <w:marBottom w:val="120"/>
          <w:divBdr>
            <w:top w:val="none" w:sz="0" w:space="0" w:color="auto"/>
            <w:left w:val="none" w:sz="0" w:space="0" w:color="auto"/>
            <w:bottom w:val="none" w:sz="0" w:space="0" w:color="auto"/>
            <w:right w:val="none" w:sz="0" w:space="0" w:color="auto"/>
          </w:divBdr>
        </w:div>
        <w:div w:id="814875277">
          <w:marLeft w:val="0"/>
          <w:marRight w:val="0"/>
          <w:marTop w:val="120"/>
          <w:marBottom w:val="120"/>
          <w:divBdr>
            <w:top w:val="none" w:sz="0" w:space="0" w:color="auto"/>
            <w:left w:val="none" w:sz="0" w:space="0" w:color="auto"/>
            <w:bottom w:val="none" w:sz="0" w:space="0" w:color="auto"/>
            <w:right w:val="none" w:sz="0" w:space="0" w:color="auto"/>
          </w:divBdr>
        </w:div>
        <w:div w:id="1747919815">
          <w:marLeft w:val="0"/>
          <w:marRight w:val="0"/>
          <w:marTop w:val="120"/>
          <w:marBottom w:val="120"/>
          <w:divBdr>
            <w:top w:val="none" w:sz="0" w:space="0" w:color="auto"/>
            <w:left w:val="none" w:sz="0" w:space="0" w:color="auto"/>
            <w:bottom w:val="none" w:sz="0" w:space="0" w:color="auto"/>
            <w:right w:val="none" w:sz="0" w:space="0" w:color="auto"/>
          </w:divBdr>
        </w:div>
        <w:div w:id="361437221">
          <w:marLeft w:val="0"/>
          <w:marRight w:val="0"/>
          <w:marTop w:val="120"/>
          <w:marBottom w:val="120"/>
          <w:divBdr>
            <w:top w:val="none" w:sz="0" w:space="0" w:color="auto"/>
            <w:left w:val="none" w:sz="0" w:space="0" w:color="auto"/>
            <w:bottom w:val="none" w:sz="0" w:space="0" w:color="auto"/>
            <w:right w:val="none" w:sz="0" w:space="0" w:color="auto"/>
          </w:divBdr>
        </w:div>
        <w:div w:id="1065494311">
          <w:marLeft w:val="0"/>
          <w:marRight w:val="0"/>
          <w:marTop w:val="120"/>
          <w:marBottom w:val="120"/>
          <w:divBdr>
            <w:top w:val="none" w:sz="0" w:space="0" w:color="auto"/>
            <w:left w:val="none" w:sz="0" w:space="0" w:color="auto"/>
            <w:bottom w:val="none" w:sz="0" w:space="0" w:color="auto"/>
            <w:right w:val="none" w:sz="0" w:space="0" w:color="auto"/>
          </w:divBdr>
        </w:div>
        <w:div w:id="519047960">
          <w:marLeft w:val="0"/>
          <w:marRight w:val="0"/>
          <w:marTop w:val="120"/>
          <w:marBottom w:val="120"/>
          <w:divBdr>
            <w:top w:val="none" w:sz="0" w:space="0" w:color="auto"/>
            <w:left w:val="none" w:sz="0" w:space="0" w:color="auto"/>
            <w:bottom w:val="none" w:sz="0" w:space="0" w:color="auto"/>
            <w:right w:val="none" w:sz="0" w:space="0" w:color="auto"/>
          </w:divBdr>
        </w:div>
      </w:divsChild>
    </w:div>
    <w:div w:id="773331259">
      <w:bodyDiv w:val="1"/>
      <w:marLeft w:val="0"/>
      <w:marRight w:val="0"/>
      <w:marTop w:val="0"/>
      <w:marBottom w:val="0"/>
      <w:divBdr>
        <w:top w:val="none" w:sz="0" w:space="0" w:color="auto"/>
        <w:left w:val="none" w:sz="0" w:space="0" w:color="auto"/>
        <w:bottom w:val="none" w:sz="0" w:space="0" w:color="auto"/>
        <w:right w:val="none" w:sz="0" w:space="0" w:color="auto"/>
      </w:divBdr>
      <w:divsChild>
        <w:div w:id="1201479604">
          <w:marLeft w:val="0"/>
          <w:marRight w:val="0"/>
          <w:marTop w:val="120"/>
          <w:marBottom w:val="120"/>
          <w:divBdr>
            <w:top w:val="none" w:sz="0" w:space="0" w:color="auto"/>
            <w:left w:val="none" w:sz="0" w:space="0" w:color="auto"/>
            <w:bottom w:val="none" w:sz="0" w:space="0" w:color="auto"/>
            <w:right w:val="none" w:sz="0" w:space="0" w:color="auto"/>
          </w:divBdr>
        </w:div>
        <w:div w:id="1591768857">
          <w:marLeft w:val="0"/>
          <w:marRight w:val="0"/>
          <w:marTop w:val="120"/>
          <w:marBottom w:val="120"/>
          <w:divBdr>
            <w:top w:val="none" w:sz="0" w:space="0" w:color="auto"/>
            <w:left w:val="none" w:sz="0" w:space="0" w:color="auto"/>
            <w:bottom w:val="none" w:sz="0" w:space="0" w:color="auto"/>
            <w:right w:val="none" w:sz="0" w:space="0" w:color="auto"/>
          </w:divBdr>
        </w:div>
        <w:div w:id="768890156">
          <w:marLeft w:val="0"/>
          <w:marRight w:val="0"/>
          <w:marTop w:val="120"/>
          <w:marBottom w:val="120"/>
          <w:divBdr>
            <w:top w:val="none" w:sz="0" w:space="0" w:color="auto"/>
            <w:left w:val="none" w:sz="0" w:space="0" w:color="auto"/>
            <w:bottom w:val="none" w:sz="0" w:space="0" w:color="auto"/>
            <w:right w:val="none" w:sz="0" w:space="0" w:color="auto"/>
          </w:divBdr>
        </w:div>
        <w:div w:id="726295879">
          <w:marLeft w:val="0"/>
          <w:marRight w:val="0"/>
          <w:marTop w:val="120"/>
          <w:marBottom w:val="120"/>
          <w:divBdr>
            <w:top w:val="none" w:sz="0" w:space="0" w:color="auto"/>
            <w:left w:val="none" w:sz="0" w:space="0" w:color="auto"/>
            <w:bottom w:val="none" w:sz="0" w:space="0" w:color="auto"/>
            <w:right w:val="none" w:sz="0" w:space="0" w:color="auto"/>
          </w:divBdr>
        </w:div>
        <w:div w:id="1858687903">
          <w:marLeft w:val="0"/>
          <w:marRight w:val="0"/>
          <w:marTop w:val="120"/>
          <w:marBottom w:val="120"/>
          <w:divBdr>
            <w:top w:val="none" w:sz="0" w:space="0" w:color="auto"/>
            <w:left w:val="none" w:sz="0" w:space="0" w:color="auto"/>
            <w:bottom w:val="none" w:sz="0" w:space="0" w:color="auto"/>
            <w:right w:val="none" w:sz="0" w:space="0" w:color="auto"/>
          </w:divBdr>
        </w:div>
      </w:divsChild>
    </w:div>
    <w:div w:id="817649940">
      <w:bodyDiv w:val="1"/>
      <w:marLeft w:val="0"/>
      <w:marRight w:val="0"/>
      <w:marTop w:val="0"/>
      <w:marBottom w:val="0"/>
      <w:divBdr>
        <w:top w:val="none" w:sz="0" w:space="0" w:color="auto"/>
        <w:left w:val="none" w:sz="0" w:space="0" w:color="auto"/>
        <w:bottom w:val="none" w:sz="0" w:space="0" w:color="auto"/>
        <w:right w:val="none" w:sz="0" w:space="0" w:color="auto"/>
      </w:divBdr>
    </w:div>
    <w:div w:id="828592077">
      <w:bodyDiv w:val="1"/>
      <w:marLeft w:val="0"/>
      <w:marRight w:val="0"/>
      <w:marTop w:val="0"/>
      <w:marBottom w:val="0"/>
      <w:divBdr>
        <w:top w:val="none" w:sz="0" w:space="0" w:color="auto"/>
        <w:left w:val="none" w:sz="0" w:space="0" w:color="auto"/>
        <w:bottom w:val="none" w:sz="0" w:space="0" w:color="auto"/>
        <w:right w:val="none" w:sz="0" w:space="0" w:color="auto"/>
      </w:divBdr>
      <w:divsChild>
        <w:div w:id="983395262">
          <w:marLeft w:val="0"/>
          <w:marRight w:val="0"/>
          <w:marTop w:val="120"/>
          <w:marBottom w:val="120"/>
          <w:divBdr>
            <w:top w:val="none" w:sz="0" w:space="0" w:color="auto"/>
            <w:left w:val="none" w:sz="0" w:space="0" w:color="auto"/>
            <w:bottom w:val="none" w:sz="0" w:space="0" w:color="auto"/>
            <w:right w:val="none" w:sz="0" w:space="0" w:color="auto"/>
          </w:divBdr>
        </w:div>
        <w:div w:id="2026051346">
          <w:marLeft w:val="0"/>
          <w:marRight w:val="0"/>
          <w:marTop w:val="120"/>
          <w:marBottom w:val="120"/>
          <w:divBdr>
            <w:top w:val="none" w:sz="0" w:space="0" w:color="auto"/>
            <w:left w:val="none" w:sz="0" w:space="0" w:color="auto"/>
            <w:bottom w:val="none" w:sz="0" w:space="0" w:color="auto"/>
            <w:right w:val="none" w:sz="0" w:space="0" w:color="auto"/>
          </w:divBdr>
        </w:div>
        <w:div w:id="678390401">
          <w:marLeft w:val="0"/>
          <w:marRight w:val="0"/>
          <w:marTop w:val="120"/>
          <w:marBottom w:val="120"/>
          <w:divBdr>
            <w:top w:val="none" w:sz="0" w:space="0" w:color="auto"/>
            <w:left w:val="none" w:sz="0" w:space="0" w:color="auto"/>
            <w:bottom w:val="none" w:sz="0" w:space="0" w:color="auto"/>
            <w:right w:val="none" w:sz="0" w:space="0" w:color="auto"/>
          </w:divBdr>
        </w:div>
        <w:div w:id="1899633073">
          <w:marLeft w:val="0"/>
          <w:marRight w:val="0"/>
          <w:marTop w:val="120"/>
          <w:marBottom w:val="120"/>
          <w:divBdr>
            <w:top w:val="none" w:sz="0" w:space="0" w:color="auto"/>
            <w:left w:val="none" w:sz="0" w:space="0" w:color="auto"/>
            <w:bottom w:val="none" w:sz="0" w:space="0" w:color="auto"/>
            <w:right w:val="none" w:sz="0" w:space="0" w:color="auto"/>
          </w:divBdr>
        </w:div>
        <w:div w:id="418256096">
          <w:marLeft w:val="0"/>
          <w:marRight w:val="0"/>
          <w:marTop w:val="120"/>
          <w:marBottom w:val="120"/>
          <w:divBdr>
            <w:top w:val="none" w:sz="0" w:space="0" w:color="auto"/>
            <w:left w:val="none" w:sz="0" w:space="0" w:color="auto"/>
            <w:bottom w:val="none" w:sz="0" w:space="0" w:color="auto"/>
            <w:right w:val="none" w:sz="0" w:space="0" w:color="auto"/>
          </w:divBdr>
        </w:div>
        <w:div w:id="1408991089">
          <w:marLeft w:val="0"/>
          <w:marRight w:val="0"/>
          <w:marTop w:val="120"/>
          <w:marBottom w:val="120"/>
          <w:divBdr>
            <w:top w:val="none" w:sz="0" w:space="0" w:color="auto"/>
            <w:left w:val="none" w:sz="0" w:space="0" w:color="auto"/>
            <w:bottom w:val="none" w:sz="0" w:space="0" w:color="auto"/>
            <w:right w:val="none" w:sz="0" w:space="0" w:color="auto"/>
          </w:divBdr>
        </w:div>
      </w:divsChild>
    </w:div>
    <w:div w:id="840854163">
      <w:bodyDiv w:val="1"/>
      <w:marLeft w:val="0"/>
      <w:marRight w:val="0"/>
      <w:marTop w:val="0"/>
      <w:marBottom w:val="0"/>
      <w:divBdr>
        <w:top w:val="none" w:sz="0" w:space="0" w:color="auto"/>
        <w:left w:val="none" w:sz="0" w:space="0" w:color="auto"/>
        <w:bottom w:val="none" w:sz="0" w:space="0" w:color="auto"/>
        <w:right w:val="none" w:sz="0" w:space="0" w:color="auto"/>
      </w:divBdr>
      <w:divsChild>
        <w:div w:id="900991936">
          <w:marLeft w:val="0"/>
          <w:marRight w:val="0"/>
          <w:marTop w:val="120"/>
          <w:marBottom w:val="120"/>
          <w:divBdr>
            <w:top w:val="none" w:sz="0" w:space="0" w:color="auto"/>
            <w:left w:val="none" w:sz="0" w:space="0" w:color="auto"/>
            <w:bottom w:val="none" w:sz="0" w:space="0" w:color="auto"/>
            <w:right w:val="none" w:sz="0" w:space="0" w:color="auto"/>
          </w:divBdr>
        </w:div>
        <w:div w:id="1043947507">
          <w:marLeft w:val="0"/>
          <w:marRight w:val="0"/>
          <w:marTop w:val="120"/>
          <w:marBottom w:val="120"/>
          <w:divBdr>
            <w:top w:val="none" w:sz="0" w:space="0" w:color="auto"/>
            <w:left w:val="none" w:sz="0" w:space="0" w:color="auto"/>
            <w:bottom w:val="none" w:sz="0" w:space="0" w:color="auto"/>
            <w:right w:val="none" w:sz="0" w:space="0" w:color="auto"/>
          </w:divBdr>
        </w:div>
        <w:div w:id="329870253">
          <w:marLeft w:val="0"/>
          <w:marRight w:val="0"/>
          <w:marTop w:val="120"/>
          <w:marBottom w:val="120"/>
          <w:divBdr>
            <w:top w:val="none" w:sz="0" w:space="0" w:color="auto"/>
            <w:left w:val="none" w:sz="0" w:space="0" w:color="auto"/>
            <w:bottom w:val="none" w:sz="0" w:space="0" w:color="auto"/>
            <w:right w:val="none" w:sz="0" w:space="0" w:color="auto"/>
          </w:divBdr>
        </w:div>
        <w:div w:id="2128692402">
          <w:marLeft w:val="0"/>
          <w:marRight w:val="0"/>
          <w:marTop w:val="120"/>
          <w:marBottom w:val="120"/>
          <w:divBdr>
            <w:top w:val="none" w:sz="0" w:space="0" w:color="auto"/>
            <w:left w:val="none" w:sz="0" w:space="0" w:color="auto"/>
            <w:bottom w:val="none" w:sz="0" w:space="0" w:color="auto"/>
            <w:right w:val="none" w:sz="0" w:space="0" w:color="auto"/>
          </w:divBdr>
        </w:div>
        <w:div w:id="1835679634">
          <w:marLeft w:val="0"/>
          <w:marRight w:val="0"/>
          <w:marTop w:val="120"/>
          <w:marBottom w:val="120"/>
          <w:divBdr>
            <w:top w:val="none" w:sz="0" w:space="0" w:color="auto"/>
            <w:left w:val="none" w:sz="0" w:space="0" w:color="auto"/>
            <w:bottom w:val="none" w:sz="0" w:space="0" w:color="auto"/>
            <w:right w:val="none" w:sz="0" w:space="0" w:color="auto"/>
          </w:divBdr>
        </w:div>
        <w:div w:id="1683165243">
          <w:marLeft w:val="0"/>
          <w:marRight w:val="0"/>
          <w:marTop w:val="120"/>
          <w:marBottom w:val="120"/>
          <w:divBdr>
            <w:top w:val="none" w:sz="0" w:space="0" w:color="auto"/>
            <w:left w:val="none" w:sz="0" w:space="0" w:color="auto"/>
            <w:bottom w:val="none" w:sz="0" w:space="0" w:color="auto"/>
            <w:right w:val="none" w:sz="0" w:space="0" w:color="auto"/>
          </w:divBdr>
        </w:div>
      </w:divsChild>
    </w:div>
    <w:div w:id="1029573464">
      <w:bodyDiv w:val="1"/>
      <w:marLeft w:val="0"/>
      <w:marRight w:val="0"/>
      <w:marTop w:val="0"/>
      <w:marBottom w:val="0"/>
      <w:divBdr>
        <w:top w:val="none" w:sz="0" w:space="0" w:color="auto"/>
        <w:left w:val="none" w:sz="0" w:space="0" w:color="auto"/>
        <w:bottom w:val="none" w:sz="0" w:space="0" w:color="auto"/>
        <w:right w:val="none" w:sz="0" w:space="0" w:color="auto"/>
      </w:divBdr>
    </w:div>
    <w:div w:id="1213810773">
      <w:bodyDiv w:val="1"/>
      <w:marLeft w:val="0"/>
      <w:marRight w:val="0"/>
      <w:marTop w:val="0"/>
      <w:marBottom w:val="0"/>
      <w:divBdr>
        <w:top w:val="none" w:sz="0" w:space="0" w:color="auto"/>
        <w:left w:val="none" w:sz="0" w:space="0" w:color="auto"/>
        <w:bottom w:val="none" w:sz="0" w:space="0" w:color="auto"/>
        <w:right w:val="none" w:sz="0" w:space="0" w:color="auto"/>
      </w:divBdr>
      <w:divsChild>
        <w:div w:id="363021626">
          <w:marLeft w:val="0"/>
          <w:marRight w:val="0"/>
          <w:marTop w:val="120"/>
          <w:marBottom w:val="120"/>
          <w:divBdr>
            <w:top w:val="none" w:sz="0" w:space="0" w:color="auto"/>
            <w:left w:val="none" w:sz="0" w:space="0" w:color="auto"/>
            <w:bottom w:val="none" w:sz="0" w:space="0" w:color="auto"/>
            <w:right w:val="none" w:sz="0" w:space="0" w:color="auto"/>
          </w:divBdr>
        </w:div>
        <w:div w:id="1444031838">
          <w:marLeft w:val="0"/>
          <w:marRight w:val="0"/>
          <w:marTop w:val="120"/>
          <w:marBottom w:val="120"/>
          <w:divBdr>
            <w:top w:val="none" w:sz="0" w:space="0" w:color="auto"/>
            <w:left w:val="none" w:sz="0" w:space="0" w:color="auto"/>
            <w:bottom w:val="none" w:sz="0" w:space="0" w:color="auto"/>
            <w:right w:val="none" w:sz="0" w:space="0" w:color="auto"/>
          </w:divBdr>
        </w:div>
        <w:div w:id="341474389">
          <w:marLeft w:val="0"/>
          <w:marRight w:val="0"/>
          <w:marTop w:val="120"/>
          <w:marBottom w:val="120"/>
          <w:divBdr>
            <w:top w:val="none" w:sz="0" w:space="0" w:color="auto"/>
            <w:left w:val="none" w:sz="0" w:space="0" w:color="auto"/>
            <w:bottom w:val="none" w:sz="0" w:space="0" w:color="auto"/>
            <w:right w:val="none" w:sz="0" w:space="0" w:color="auto"/>
          </w:divBdr>
        </w:div>
        <w:div w:id="34232750">
          <w:marLeft w:val="0"/>
          <w:marRight w:val="0"/>
          <w:marTop w:val="120"/>
          <w:marBottom w:val="120"/>
          <w:divBdr>
            <w:top w:val="none" w:sz="0" w:space="0" w:color="auto"/>
            <w:left w:val="none" w:sz="0" w:space="0" w:color="auto"/>
            <w:bottom w:val="none" w:sz="0" w:space="0" w:color="auto"/>
            <w:right w:val="none" w:sz="0" w:space="0" w:color="auto"/>
          </w:divBdr>
        </w:div>
        <w:div w:id="483622708">
          <w:marLeft w:val="0"/>
          <w:marRight w:val="0"/>
          <w:marTop w:val="120"/>
          <w:marBottom w:val="120"/>
          <w:divBdr>
            <w:top w:val="none" w:sz="0" w:space="0" w:color="auto"/>
            <w:left w:val="none" w:sz="0" w:space="0" w:color="auto"/>
            <w:bottom w:val="none" w:sz="0" w:space="0" w:color="auto"/>
            <w:right w:val="none" w:sz="0" w:space="0" w:color="auto"/>
          </w:divBdr>
        </w:div>
        <w:div w:id="161045861">
          <w:marLeft w:val="0"/>
          <w:marRight w:val="0"/>
          <w:marTop w:val="120"/>
          <w:marBottom w:val="120"/>
          <w:divBdr>
            <w:top w:val="none" w:sz="0" w:space="0" w:color="auto"/>
            <w:left w:val="none" w:sz="0" w:space="0" w:color="auto"/>
            <w:bottom w:val="none" w:sz="0" w:space="0" w:color="auto"/>
            <w:right w:val="none" w:sz="0" w:space="0" w:color="auto"/>
          </w:divBdr>
        </w:div>
        <w:div w:id="233320767">
          <w:marLeft w:val="0"/>
          <w:marRight w:val="0"/>
          <w:marTop w:val="120"/>
          <w:marBottom w:val="120"/>
          <w:divBdr>
            <w:top w:val="none" w:sz="0" w:space="0" w:color="auto"/>
            <w:left w:val="none" w:sz="0" w:space="0" w:color="auto"/>
            <w:bottom w:val="none" w:sz="0" w:space="0" w:color="auto"/>
            <w:right w:val="none" w:sz="0" w:space="0" w:color="auto"/>
          </w:divBdr>
        </w:div>
        <w:div w:id="1100563192">
          <w:marLeft w:val="0"/>
          <w:marRight w:val="0"/>
          <w:marTop w:val="120"/>
          <w:marBottom w:val="120"/>
          <w:divBdr>
            <w:top w:val="none" w:sz="0" w:space="0" w:color="auto"/>
            <w:left w:val="none" w:sz="0" w:space="0" w:color="auto"/>
            <w:bottom w:val="none" w:sz="0" w:space="0" w:color="auto"/>
            <w:right w:val="none" w:sz="0" w:space="0" w:color="auto"/>
          </w:divBdr>
        </w:div>
      </w:divsChild>
    </w:div>
    <w:div w:id="1305886206">
      <w:bodyDiv w:val="1"/>
      <w:marLeft w:val="0"/>
      <w:marRight w:val="0"/>
      <w:marTop w:val="0"/>
      <w:marBottom w:val="0"/>
      <w:divBdr>
        <w:top w:val="none" w:sz="0" w:space="0" w:color="auto"/>
        <w:left w:val="none" w:sz="0" w:space="0" w:color="auto"/>
        <w:bottom w:val="none" w:sz="0" w:space="0" w:color="auto"/>
        <w:right w:val="none" w:sz="0" w:space="0" w:color="auto"/>
      </w:divBdr>
      <w:divsChild>
        <w:div w:id="2099321931">
          <w:marLeft w:val="0"/>
          <w:marRight w:val="0"/>
          <w:marTop w:val="120"/>
          <w:marBottom w:val="120"/>
          <w:divBdr>
            <w:top w:val="none" w:sz="0" w:space="0" w:color="auto"/>
            <w:left w:val="none" w:sz="0" w:space="0" w:color="auto"/>
            <w:bottom w:val="none" w:sz="0" w:space="0" w:color="auto"/>
            <w:right w:val="none" w:sz="0" w:space="0" w:color="auto"/>
          </w:divBdr>
        </w:div>
        <w:div w:id="1917400049">
          <w:marLeft w:val="0"/>
          <w:marRight w:val="0"/>
          <w:marTop w:val="120"/>
          <w:marBottom w:val="120"/>
          <w:divBdr>
            <w:top w:val="none" w:sz="0" w:space="0" w:color="auto"/>
            <w:left w:val="none" w:sz="0" w:space="0" w:color="auto"/>
            <w:bottom w:val="none" w:sz="0" w:space="0" w:color="auto"/>
            <w:right w:val="none" w:sz="0" w:space="0" w:color="auto"/>
          </w:divBdr>
        </w:div>
      </w:divsChild>
    </w:div>
    <w:div w:id="1646932787">
      <w:bodyDiv w:val="1"/>
      <w:marLeft w:val="0"/>
      <w:marRight w:val="0"/>
      <w:marTop w:val="0"/>
      <w:marBottom w:val="0"/>
      <w:divBdr>
        <w:top w:val="none" w:sz="0" w:space="0" w:color="auto"/>
        <w:left w:val="none" w:sz="0" w:space="0" w:color="auto"/>
        <w:bottom w:val="none" w:sz="0" w:space="0" w:color="auto"/>
        <w:right w:val="none" w:sz="0" w:space="0" w:color="auto"/>
      </w:divBdr>
      <w:divsChild>
        <w:div w:id="536238481">
          <w:marLeft w:val="0"/>
          <w:marRight w:val="0"/>
          <w:marTop w:val="120"/>
          <w:marBottom w:val="120"/>
          <w:divBdr>
            <w:top w:val="none" w:sz="0" w:space="0" w:color="auto"/>
            <w:left w:val="none" w:sz="0" w:space="0" w:color="auto"/>
            <w:bottom w:val="none" w:sz="0" w:space="0" w:color="auto"/>
            <w:right w:val="none" w:sz="0" w:space="0" w:color="auto"/>
          </w:divBdr>
        </w:div>
        <w:div w:id="563297757">
          <w:marLeft w:val="0"/>
          <w:marRight w:val="0"/>
          <w:marTop w:val="120"/>
          <w:marBottom w:val="120"/>
          <w:divBdr>
            <w:top w:val="none" w:sz="0" w:space="0" w:color="auto"/>
            <w:left w:val="none" w:sz="0" w:space="0" w:color="auto"/>
            <w:bottom w:val="none" w:sz="0" w:space="0" w:color="auto"/>
            <w:right w:val="none" w:sz="0" w:space="0" w:color="auto"/>
          </w:divBdr>
        </w:div>
        <w:div w:id="1570388299">
          <w:marLeft w:val="0"/>
          <w:marRight w:val="0"/>
          <w:marTop w:val="120"/>
          <w:marBottom w:val="120"/>
          <w:divBdr>
            <w:top w:val="none" w:sz="0" w:space="0" w:color="auto"/>
            <w:left w:val="none" w:sz="0" w:space="0" w:color="auto"/>
            <w:bottom w:val="none" w:sz="0" w:space="0" w:color="auto"/>
            <w:right w:val="none" w:sz="0" w:space="0" w:color="auto"/>
          </w:divBdr>
        </w:div>
        <w:div w:id="195044724">
          <w:marLeft w:val="0"/>
          <w:marRight w:val="0"/>
          <w:marTop w:val="120"/>
          <w:marBottom w:val="120"/>
          <w:divBdr>
            <w:top w:val="none" w:sz="0" w:space="0" w:color="auto"/>
            <w:left w:val="none" w:sz="0" w:space="0" w:color="auto"/>
            <w:bottom w:val="none" w:sz="0" w:space="0" w:color="auto"/>
            <w:right w:val="none" w:sz="0" w:space="0" w:color="auto"/>
          </w:divBdr>
        </w:div>
      </w:divsChild>
    </w:div>
    <w:div w:id="1693993253">
      <w:bodyDiv w:val="1"/>
      <w:marLeft w:val="0"/>
      <w:marRight w:val="0"/>
      <w:marTop w:val="0"/>
      <w:marBottom w:val="0"/>
      <w:divBdr>
        <w:top w:val="none" w:sz="0" w:space="0" w:color="auto"/>
        <w:left w:val="none" w:sz="0" w:space="0" w:color="auto"/>
        <w:bottom w:val="none" w:sz="0" w:space="0" w:color="auto"/>
        <w:right w:val="none" w:sz="0" w:space="0" w:color="auto"/>
      </w:divBdr>
    </w:div>
    <w:div w:id="1734355801">
      <w:bodyDiv w:val="1"/>
      <w:marLeft w:val="0"/>
      <w:marRight w:val="0"/>
      <w:marTop w:val="0"/>
      <w:marBottom w:val="0"/>
      <w:divBdr>
        <w:top w:val="none" w:sz="0" w:space="0" w:color="auto"/>
        <w:left w:val="none" w:sz="0" w:space="0" w:color="auto"/>
        <w:bottom w:val="none" w:sz="0" w:space="0" w:color="auto"/>
        <w:right w:val="none" w:sz="0" w:space="0" w:color="auto"/>
      </w:divBdr>
      <w:divsChild>
        <w:div w:id="1744640084">
          <w:marLeft w:val="0"/>
          <w:marRight w:val="0"/>
          <w:marTop w:val="120"/>
          <w:marBottom w:val="120"/>
          <w:divBdr>
            <w:top w:val="none" w:sz="0" w:space="0" w:color="auto"/>
            <w:left w:val="none" w:sz="0" w:space="0" w:color="auto"/>
            <w:bottom w:val="none" w:sz="0" w:space="0" w:color="auto"/>
            <w:right w:val="none" w:sz="0" w:space="0" w:color="auto"/>
          </w:divBdr>
        </w:div>
        <w:div w:id="1521550429">
          <w:marLeft w:val="0"/>
          <w:marRight w:val="0"/>
          <w:marTop w:val="120"/>
          <w:marBottom w:val="120"/>
          <w:divBdr>
            <w:top w:val="none" w:sz="0" w:space="0" w:color="auto"/>
            <w:left w:val="none" w:sz="0" w:space="0" w:color="auto"/>
            <w:bottom w:val="none" w:sz="0" w:space="0" w:color="auto"/>
            <w:right w:val="none" w:sz="0" w:space="0" w:color="auto"/>
          </w:divBdr>
        </w:div>
        <w:div w:id="1804811410">
          <w:marLeft w:val="0"/>
          <w:marRight w:val="0"/>
          <w:marTop w:val="120"/>
          <w:marBottom w:val="120"/>
          <w:divBdr>
            <w:top w:val="none" w:sz="0" w:space="0" w:color="auto"/>
            <w:left w:val="none" w:sz="0" w:space="0" w:color="auto"/>
            <w:bottom w:val="none" w:sz="0" w:space="0" w:color="auto"/>
            <w:right w:val="none" w:sz="0" w:space="0" w:color="auto"/>
          </w:divBdr>
        </w:div>
        <w:div w:id="1264802617">
          <w:marLeft w:val="0"/>
          <w:marRight w:val="0"/>
          <w:marTop w:val="120"/>
          <w:marBottom w:val="120"/>
          <w:divBdr>
            <w:top w:val="none" w:sz="0" w:space="0" w:color="auto"/>
            <w:left w:val="none" w:sz="0" w:space="0" w:color="auto"/>
            <w:bottom w:val="none" w:sz="0" w:space="0" w:color="auto"/>
            <w:right w:val="none" w:sz="0" w:space="0" w:color="auto"/>
          </w:divBdr>
        </w:div>
        <w:div w:id="839351501">
          <w:marLeft w:val="0"/>
          <w:marRight w:val="0"/>
          <w:marTop w:val="120"/>
          <w:marBottom w:val="120"/>
          <w:divBdr>
            <w:top w:val="none" w:sz="0" w:space="0" w:color="auto"/>
            <w:left w:val="none" w:sz="0" w:space="0" w:color="auto"/>
            <w:bottom w:val="none" w:sz="0" w:space="0" w:color="auto"/>
            <w:right w:val="none" w:sz="0" w:space="0" w:color="auto"/>
          </w:divBdr>
        </w:div>
        <w:div w:id="27680955">
          <w:marLeft w:val="0"/>
          <w:marRight w:val="0"/>
          <w:marTop w:val="120"/>
          <w:marBottom w:val="120"/>
          <w:divBdr>
            <w:top w:val="none" w:sz="0" w:space="0" w:color="auto"/>
            <w:left w:val="none" w:sz="0" w:space="0" w:color="auto"/>
            <w:bottom w:val="none" w:sz="0" w:space="0" w:color="auto"/>
            <w:right w:val="none" w:sz="0" w:space="0" w:color="auto"/>
          </w:divBdr>
        </w:div>
        <w:div w:id="300498655">
          <w:marLeft w:val="0"/>
          <w:marRight w:val="0"/>
          <w:marTop w:val="120"/>
          <w:marBottom w:val="120"/>
          <w:divBdr>
            <w:top w:val="none" w:sz="0" w:space="0" w:color="auto"/>
            <w:left w:val="none" w:sz="0" w:space="0" w:color="auto"/>
            <w:bottom w:val="none" w:sz="0" w:space="0" w:color="auto"/>
            <w:right w:val="none" w:sz="0" w:space="0" w:color="auto"/>
          </w:divBdr>
        </w:div>
        <w:div w:id="200554186">
          <w:marLeft w:val="0"/>
          <w:marRight w:val="0"/>
          <w:marTop w:val="120"/>
          <w:marBottom w:val="120"/>
          <w:divBdr>
            <w:top w:val="none" w:sz="0" w:space="0" w:color="auto"/>
            <w:left w:val="none" w:sz="0" w:space="0" w:color="auto"/>
            <w:bottom w:val="none" w:sz="0" w:space="0" w:color="auto"/>
            <w:right w:val="none" w:sz="0" w:space="0" w:color="auto"/>
          </w:divBdr>
        </w:div>
        <w:div w:id="67964504">
          <w:marLeft w:val="0"/>
          <w:marRight w:val="0"/>
          <w:marTop w:val="120"/>
          <w:marBottom w:val="120"/>
          <w:divBdr>
            <w:top w:val="none" w:sz="0" w:space="0" w:color="auto"/>
            <w:left w:val="none" w:sz="0" w:space="0" w:color="auto"/>
            <w:bottom w:val="none" w:sz="0" w:space="0" w:color="auto"/>
            <w:right w:val="none" w:sz="0" w:space="0" w:color="auto"/>
          </w:divBdr>
        </w:div>
        <w:div w:id="1348409061">
          <w:marLeft w:val="0"/>
          <w:marRight w:val="0"/>
          <w:marTop w:val="120"/>
          <w:marBottom w:val="120"/>
          <w:divBdr>
            <w:top w:val="none" w:sz="0" w:space="0" w:color="auto"/>
            <w:left w:val="none" w:sz="0" w:space="0" w:color="auto"/>
            <w:bottom w:val="none" w:sz="0" w:space="0" w:color="auto"/>
            <w:right w:val="none" w:sz="0" w:space="0" w:color="auto"/>
          </w:divBdr>
        </w:div>
      </w:divsChild>
    </w:div>
    <w:div w:id="1850946606">
      <w:bodyDiv w:val="1"/>
      <w:marLeft w:val="0"/>
      <w:marRight w:val="0"/>
      <w:marTop w:val="0"/>
      <w:marBottom w:val="0"/>
      <w:divBdr>
        <w:top w:val="none" w:sz="0" w:space="0" w:color="auto"/>
        <w:left w:val="none" w:sz="0" w:space="0" w:color="auto"/>
        <w:bottom w:val="none" w:sz="0" w:space="0" w:color="auto"/>
        <w:right w:val="none" w:sz="0" w:space="0" w:color="auto"/>
      </w:divBdr>
    </w:div>
    <w:div w:id="2142772143">
      <w:bodyDiv w:val="1"/>
      <w:marLeft w:val="0"/>
      <w:marRight w:val="0"/>
      <w:marTop w:val="0"/>
      <w:marBottom w:val="0"/>
      <w:divBdr>
        <w:top w:val="none" w:sz="0" w:space="0" w:color="auto"/>
        <w:left w:val="none" w:sz="0" w:space="0" w:color="auto"/>
        <w:bottom w:val="none" w:sz="0" w:space="0" w:color="auto"/>
        <w:right w:val="none" w:sz="0" w:space="0" w:color="auto"/>
      </w:divBdr>
      <w:divsChild>
        <w:div w:id="1883252168">
          <w:marLeft w:val="0"/>
          <w:marRight w:val="0"/>
          <w:marTop w:val="120"/>
          <w:marBottom w:val="120"/>
          <w:divBdr>
            <w:top w:val="none" w:sz="0" w:space="0" w:color="auto"/>
            <w:left w:val="none" w:sz="0" w:space="0" w:color="auto"/>
            <w:bottom w:val="none" w:sz="0" w:space="0" w:color="auto"/>
            <w:right w:val="none" w:sz="0" w:space="0" w:color="auto"/>
          </w:divBdr>
        </w:div>
        <w:div w:id="137846328">
          <w:marLeft w:val="0"/>
          <w:marRight w:val="0"/>
          <w:marTop w:val="120"/>
          <w:marBottom w:val="120"/>
          <w:divBdr>
            <w:top w:val="none" w:sz="0" w:space="0" w:color="auto"/>
            <w:left w:val="none" w:sz="0" w:space="0" w:color="auto"/>
            <w:bottom w:val="none" w:sz="0" w:space="0" w:color="auto"/>
            <w:right w:val="none" w:sz="0" w:space="0" w:color="auto"/>
          </w:divBdr>
        </w:div>
        <w:div w:id="856387046">
          <w:marLeft w:val="0"/>
          <w:marRight w:val="0"/>
          <w:marTop w:val="120"/>
          <w:marBottom w:val="120"/>
          <w:divBdr>
            <w:top w:val="none" w:sz="0" w:space="0" w:color="auto"/>
            <w:left w:val="none" w:sz="0" w:space="0" w:color="auto"/>
            <w:bottom w:val="none" w:sz="0" w:space="0" w:color="auto"/>
            <w:right w:val="none" w:sz="0" w:space="0" w:color="auto"/>
          </w:divBdr>
        </w:div>
        <w:div w:id="752318197">
          <w:marLeft w:val="0"/>
          <w:marRight w:val="0"/>
          <w:marTop w:val="120"/>
          <w:marBottom w:val="120"/>
          <w:divBdr>
            <w:top w:val="none" w:sz="0" w:space="0" w:color="auto"/>
            <w:left w:val="none" w:sz="0" w:space="0" w:color="auto"/>
            <w:bottom w:val="none" w:sz="0" w:space="0" w:color="auto"/>
            <w:right w:val="none" w:sz="0" w:space="0" w:color="auto"/>
          </w:divBdr>
        </w:div>
        <w:div w:id="1390493321">
          <w:marLeft w:val="0"/>
          <w:marRight w:val="0"/>
          <w:marTop w:val="120"/>
          <w:marBottom w:val="120"/>
          <w:divBdr>
            <w:top w:val="none" w:sz="0" w:space="0" w:color="auto"/>
            <w:left w:val="none" w:sz="0" w:space="0" w:color="auto"/>
            <w:bottom w:val="none" w:sz="0" w:space="0" w:color="auto"/>
            <w:right w:val="none" w:sz="0" w:space="0" w:color="auto"/>
          </w:divBdr>
        </w:div>
        <w:div w:id="988486422">
          <w:marLeft w:val="0"/>
          <w:marRight w:val="0"/>
          <w:marTop w:val="120"/>
          <w:marBottom w:val="120"/>
          <w:divBdr>
            <w:top w:val="none" w:sz="0" w:space="0" w:color="auto"/>
            <w:left w:val="none" w:sz="0" w:space="0" w:color="auto"/>
            <w:bottom w:val="none" w:sz="0" w:space="0" w:color="auto"/>
            <w:right w:val="none" w:sz="0" w:space="0" w:color="auto"/>
          </w:divBdr>
        </w:div>
        <w:div w:id="740756275">
          <w:marLeft w:val="0"/>
          <w:marRight w:val="0"/>
          <w:marTop w:val="120"/>
          <w:marBottom w:val="120"/>
          <w:divBdr>
            <w:top w:val="none" w:sz="0" w:space="0" w:color="auto"/>
            <w:left w:val="none" w:sz="0" w:space="0" w:color="auto"/>
            <w:bottom w:val="none" w:sz="0" w:space="0" w:color="auto"/>
            <w:right w:val="none" w:sz="0" w:space="0" w:color="auto"/>
          </w:divBdr>
        </w:div>
        <w:div w:id="695354820">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file:///\\Users\Ben\Library\Mobile%20Documents\com~apple~CloudDocs\Documents\AK%20Work\582186%20Quantity.csv"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Ben\Library\Mobile%20Documents\com~apple~CloudDocs\Documents\AK%20Work\582186%20Quantity.csv"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Ben\Library\Mobile%20Documents\com~apple~CloudDocs\Documents\AK%20Work\582186%20Cos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Ben\Library\Mobile%20Documents\com~apple~CloudDocs\Documents\AK%20Work\582186%20Cos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circle"/>
            <c:size val="8"/>
            <c:spPr>
              <a:solidFill>
                <a:schemeClr val="accent1"/>
              </a:solidFill>
              <a:ln w="9525">
                <a:noFill/>
              </a:ln>
              <a:effectLst/>
            </c:spPr>
          </c:marker>
          <c:cat>
            <c:strRef>
              <c:f>'582186 Quantity'!$A$20:$A$25</c:f>
              <c:strCache>
                <c:ptCount val="6"/>
                <c:pt idx="0">
                  <c:v>April: 2026</c:v>
                </c:pt>
                <c:pt idx="1">
                  <c:v>April: 2025</c:v>
                </c:pt>
                <c:pt idx="2">
                  <c:v>April: 2024</c:v>
                </c:pt>
                <c:pt idx="3">
                  <c:v>April: 2023</c:v>
                </c:pt>
                <c:pt idx="4">
                  <c:v>April: 2022</c:v>
                </c:pt>
                <c:pt idx="5">
                  <c:v>April: 2021</c:v>
                </c:pt>
              </c:strCache>
            </c:strRef>
          </c:cat>
          <c:val>
            <c:numRef>
              <c:f>'582186 Quantity'!$B$20:$B$25</c:f>
              <c:numCache>
                <c:formatCode>General</c:formatCode>
                <c:ptCount val="6"/>
                <c:pt idx="0">
                  <c:v>13465800</c:v>
                </c:pt>
                <c:pt idx="1">
                  <c:v>22551600</c:v>
                </c:pt>
                <c:pt idx="2">
                  <c:v>23364000</c:v>
                </c:pt>
                <c:pt idx="3">
                  <c:v>29475950</c:v>
                </c:pt>
                <c:pt idx="4">
                  <c:v>34458200</c:v>
                </c:pt>
                <c:pt idx="5">
                  <c:v>32314462</c:v>
                </c:pt>
              </c:numCache>
            </c:numRef>
          </c:val>
          <c:smooth val="0"/>
          <c:extLst xmlns:c16r2="http://schemas.microsoft.com/office/drawing/2015/06/chart">
            <c:ext xmlns:c16="http://schemas.microsoft.com/office/drawing/2014/chart" uri="{C3380CC4-5D6E-409C-BE32-E72D297353CC}">
              <c16:uniqueId val="{00000000-4FE8-5942-81DD-810EA3639555}"/>
            </c:ext>
          </c:extLst>
        </c:ser>
        <c:dLbls>
          <c:showLegendKey val="0"/>
          <c:showVal val="0"/>
          <c:showCatName val="0"/>
          <c:showSerName val="0"/>
          <c:showPercent val="0"/>
          <c:showBubbleSize val="0"/>
        </c:dLbls>
        <c:marker val="1"/>
        <c:smooth val="0"/>
        <c:axId val="63353600"/>
        <c:axId val="63355520"/>
      </c:lineChart>
      <c:catAx>
        <c:axId val="6335360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55520"/>
        <c:crosses val="autoZero"/>
        <c:auto val="1"/>
        <c:lblAlgn val="ctr"/>
        <c:lblOffset val="100"/>
        <c:noMultiLvlLbl val="0"/>
      </c:catAx>
      <c:valAx>
        <c:axId val="6335552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number of prescribed units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53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square"/>
            <c:size val="8"/>
            <c:spPr>
              <a:solidFill>
                <a:schemeClr val="accent1"/>
              </a:solidFill>
              <a:ln w="9525">
                <a:solidFill>
                  <a:schemeClr val="accent1"/>
                </a:solidFill>
              </a:ln>
              <a:effectLst/>
            </c:spPr>
          </c:marker>
          <c:cat>
            <c:strRef>
              <c:f>'582186 Quantity'!$A$20:$A$25</c:f>
              <c:strCache>
                <c:ptCount val="6"/>
                <c:pt idx="0">
                  <c:v>April: 2026</c:v>
                </c:pt>
                <c:pt idx="1">
                  <c:v>April: 2025</c:v>
                </c:pt>
                <c:pt idx="2">
                  <c:v>April: 2024</c:v>
                </c:pt>
                <c:pt idx="3">
                  <c:v>April: 2023</c:v>
                </c:pt>
                <c:pt idx="4">
                  <c:v>April: 2022</c:v>
                </c:pt>
                <c:pt idx="5">
                  <c:v>April: 2021</c:v>
                </c:pt>
              </c:strCache>
            </c:strRef>
          </c:cat>
          <c:val>
            <c:numRef>
              <c:f>'582186 Quantity'!$C$20:$C$25</c:f>
              <c:numCache>
                <c:formatCode>General</c:formatCode>
                <c:ptCount val="6"/>
                <c:pt idx="0">
                  <c:v>673348.87</c:v>
                </c:pt>
                <c:pt idx="1">
                  <c:v>287425.09000000003</c:v>
                </c:pt>
                <c:pt idx="2">
                  <c:v>941913.56</c:v>
                </c:pt>
                <c:pt idx="3">
                  <c:v>1051070.72</c:v>
                </c:pt>
                <c:pt idx="4">
                  <c:v>282903.91999999993</c:v>
                </c:pt>
                <c:pt idx="5">
                  <c:v>1917753.6</c:v>
                </c:pt>
              </c:numCache>
            </c:numRef>
          </c:val>
          <c:smooth val="0"/>
          <c:extLst xmlns:c16r2="http://schemas.microsoft.com/office/drawing/2015/06/chart">
            <c:ext xmlns:c16="http://schemas.microsoft.com/office/drawing/2014/chart" uri="{C3380CC4-5D6E-409C-BE32-E72D297353CC}">
              <c16:uniqueId val="{00000000-5E61-1D44-BCEB-71EE4B3EDFB5}"/>
            </c:ext>
          </c:extLst>
        </c:ser>
        <c:dLbls>
          <c:showLegendKey val="0"/>
          <c:showVal val="0"/>
          <c:showCatName val="0"/>
          <c:showSerName val="0"/>
          <c:showPercent val="0"/>
          <c:showBubbleSize val="0"/>
        </c:dLbls>
        <c:marker val="1"/>
        <c:smooth val="0"/>
        <c:axId val="154605440"/>
        <c:axId val="117489664"/>
      </c:lineChart>
      <c:catAx>
        <c:axId val="15460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489664"/>
        <c:crosses val="autoZero"/>
        <c:auto val="1"/>
        <c:lblAlgn val="ctr"/>
        <c:lblOffset val="100"/>
        <c:noMultiLvlLbl val="0"/>
      </c:catAx>
      <c:valAx>
        <c:axId val="1174896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cost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605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square"/>
            <c:size val="5"/>
            <c:spPr>
              <a:solidFill>
                <a:schemeClr val="accent1"/>
              </a:solidFill>
              <a:ln w="9525">
                <a:solidFill>
                  <a:schemeClr val="accent1"/>
                </a:solidFill>
              </a:ln>
              <a:effectLst/>
            </c:spPr>
          </c:marker>
          <c:cat>
            <c:strRef>
              <c:f>Sheet1!$A$17:$A$22</c:f>
              <c:strCache>
                <c:ptCount val="6"/>
                <c:pt idx="0">
                  <c:v>April: 2026</c:v>
                </c:pt>
                <c:pt idx="1">
                  <c:v>April: 2025</c:v>
                </c:pt>
                <c:pt idx="2">
                  <c:v>April: 2024</c:v>
                </c:pt>
                <c:pt idx="3">
                  <c:v>April: 2023</c:v>
                </c:pt>
                <c:pt idx="4">
                  <c:v>April: 2022</c:v>
                </c:pt>
                <c:pt idx="5">
                  <c:v>April: 2021</c:v>
                </c:pt>
              </c:strCache>
            </c:strRef>
          </c:cat>
          <c:val>
            <c:numRef>
              <c:f>Sheet1!$B$17:$B$22</c:f>
              <c:numCache>
                <c:formatCode>0</c:formatCode>
                <c:ptCount val="6"/>
                <c:pt idx="0">
                  <c:v>629724.5</c:v>
                </c:pt>
                <c:pt idx="1">
                  <c:v>1237024.6000000001</c:v>
                </c:pt>
                <c:pt idx="2">
                  <c:v>743411.5</c:v>
                </c:pt>
                <c:pt idx="3">
                  <c:v>1741275</c:v>
                </c:pt>
                <c:pt idx="4">
                  <c:v>1281790.3999999999</c:v>
                </c:pt>
                <c:pt idx="5">
                  <c:v>830057.6</c:v>
                </c:pt>
              </c:numCache>
            </c:numRef>
          </c:val>
          <c:smooth val="0"/>
          <c:extLst xmlns:c16r2="http://schemas.microsoft.com/office/drawing/2015/06/chart">
            <c:ext xmlns:c16="http://schemas.microsoft.com/office/drawing/2014/chart" uri="{C3380CC4-5D6E-409C-BE32-E72D297353CC}">
              <c16:uniqueId val="{00000000-689D-4844-AFEC-FDF434D85F5A}"/>
            </c:ext>
          </c:extLst>
        </c:ser>
        <c:dLbls>
          <c:showLegendKey val="0"/>
          <c:showVal val="0"/>
          <c:showCatName val="0"/>
          <c:showSerName val="0"/>
          <c:showPercent val="0"/>
          <c:showBubbleSize val="0"/>
        </c:dLbls>
        <c:marker val="1"/>
        <c:smooth val="0"/>
        <c:axId val="117502336"/>
        <c:axId val="120566912"/>
      </c:lineChart>
      <c:catAx>
        <c:axId val="117502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566912"/>
        <c:crosses val="autoZero"/>
        <c:auto val="1"/>
        <c:lblAlgn val="ctr"/>
        <c:lblOffset val="100"/>
        <c:noMultiLvlLbl val="0"/>
      </c:catAx>
      <c:valAx>
        <c:axId val="1205669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prescribed units</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02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square"/>
            <c:size val="5"/>
            <c:spPr>
              <a:solidFill>
                <a:schemeClr val="accent1"/>
              </a:solidFill>
              <a:ln w="9525">
                <a:solidFill>
                  <a:schemeClr val="accent1"/>
                </a:solidFill>
              </a:ln>
              <a:effectLst/>
            </c:spPr>
          </c:marker>
          <c:cat>
            <c:strRef>
              <c:f>Sheet1!$A$17:$A$22</c:f>
              <c:strCache>
                <c:ptCount val="6"/>
                <c:pt idx="0">
                  <c:v>April: 2026</c:v>
                </c:pt>
                <c:pt idx="1">
                  <c:v>April: 2025</c:v>
                </c:pt>
                <c:pt idx="2">
                  <c:v>April: 2024</c:v>
                </c:pt>
                <c:pt idx="3">
                  <c:v>April: 2023</c:v>
                </c:pt>
                <c:pt idx="4">
                  <c:v>April: 2022</c:v>
                </c:pt>
                <c:pt idx="5">
                  <c:v>April: 2021</c:v>
                </c:pt>
              </c:strCache>
            </c:strRef>
          </c:cat>
          <c:val>
            <c:numRef>
              <c:f>Sheet1!$C$17:$C$22</c:f>
              <c:numCache>
                <c:formatCode>0</c:formatCode>
                <c:ptCount val="6"/>
                <c:pt idx="0">
                  <c:v>68466628.859999999</c:v>
                </c:pt>
                <c:pt idx="1">
                  <c:v>71660544.099999994</c:v>
                </c:pt>
                <c:pt idx="2">
                  <c:v>61047972.880000003</c:v>
                </c:pt>
                <c:pt idx="3">
                  <c:v>95622195.570000008</c:v>
                </c:pt>
                <c:pt idx="4">
                  <c:v>60309701.559999995</c:v>
                </c:pt>
                <c:pt idx="5">
                  <c:v>210489433</c:v>
                </c:pt>
              </c:numCache>
            </c:numRef>
          </c:val>
          <c:smooth val="0"/>
          <c:extLst xmlns:c16r2="http://schemas.microsoft.com/office/drawing/2015/06/chart">
            <c:ext xmlns:c16="http://schemas.microsoft.com/office/drawing/2014/chart" uri="{C3380CC4-5D6E-409C-BE32-E72D297353CC}">
              <c16:uniqueId val="{00000000-745C-C944-9CF2-AB885A7F0F92}"/>
            </c:ext>
          </c:extLst>
        </c:ser>
        <c:dLbls>
          <c:showLegendKey val="0"/>
          <c:showVal val="0"/>
          <c:showCatName val="0"/>
          <c:showSerName val="0"/>
          <c:showPercent val="0"/>
          <c:showBubbleSize val="0"/>
        </c:dLbls>
        <c:marker val="1"/>
        <c:smooth val="0"/>
        <c:axId val="120584064"/>
        <c:axId val="154315392"/>
      </c:lineChart>
      <c:catAx>
        <c:axId val="120584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315392"/>
        <c:crosses val="autoZero"/>
        <c:auto val="1"/>
        <c:lblAlgn val="ctr"/>
        <c:lblOffset val="100"/>
        <c:noMultiLvlLbl val="0"/>
      </c:catAx>
      <c:valAx>
        <c:axId val="15431539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cost</a:t>
                </a:r>
                <a:r>
                  <a:rPr lang="en-GB" baseline="0"/>
                  <a:t> (£)</a:t>
                </a:r>
                <a:endParaRPr lang="en-GB"/>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584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B91E3-28FB-49C6-848D-111766245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12386</Words>
  <Characters>70604</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2026-07-28T15:20:00Z</dcterms:created>
  <dcterms:modified xsi:type="dcterms:W3CDTF">2026-09-12T20:39:00Z</dcterms:modified>
</cp:coreProperties>
</file>