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tyles+xml" PartName="/word/styles.xml"/>
  <Override ContentType="application/vnd.openxmlformats-officedocument.drawingml.diagramData+xml" PartName="/word/diagrams/data1.xml"/>
  <Override ContentType="application/vnd.openxmlformats-officedocument.wordprocessingml.fontTable+xml" PartName="/word/fontTable.xml"/>
  <Override ContentType="application/vnd.openxmlformats-package.core-properties+xml" PartName="/docProps/core.xml"/>
  <Override ContentType="application/vnd.openxmlformats-officedocument.drawingml.chart+xml" PartName="/word/charts/chart6.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7.xml"/>
  <Override ContentType="application/vnd.openxmlformats-officedocument.drawingml.chart+xml" PartName="/word/charts/chart4.xml"/>
  <Override ContentType="application/vnd.openxmlformats-officedocument.drawingml.chart+xml" PartName="/word/charts/chart5.xml"/>
  <Override ContentType="application/vnd.openxmlformats-officedocument.drawingml.chart+xml" PartName="/word/charts/chart3.xml"/>
  <Override ContentType="application/vnd.openxmlformats-officedocument.drawingml.chart+xml" PartName="/word/charts/chart10.xml"/>
  <Override ContentType="application/vnd.openxmlformats-officedocument.drawingml.chart+xml" PartName="/word/charts/chart8.xml"/>
  <Override ContentType="application/vnd.openxmlformats-officedocument.drawingml.chart+xml" PartName="/word/charts/chart9.xml"/>
  <Override ContentType="application/vnd.openxmlformats-officedocument.theme+xml" PartName="/word/theme/theme1.xml"/>
  <Override ContentType="application/vnd.openxmlformats-officedocument.wordprocessingml.settings+xml" PartName="/word/settings.xml"/>
  <Override ContentType="application/vnd.openxmlformats-officedocument.wordprocessingml.footer+xml" PartName="/word/footer1.xml"/>
  <Override ContentType="application/vnd.openxmlformats-officedocument.drawingml.diagramLayout+xml" PartName="/word/diagrams/layout1.xml"/>
  <Override ContentType="application/vnd.openxmlformats-officedocument.wordprocessingml.numbering+xml" PartName="/word/numbering.xml"/>
  <Override ContentType="application/vnd.openxmlformats-officedocument.drawingml.diagramStyle+xml" PartName="/word/diagrams/quickStyle1.xml"/>
  <Override ContentType="application/vnd.openxmlformats-officedocument.wordprocessingml.document.main+xml" PartName="/word/document.xml"/>
  <Override ContentType="application/vnd.openxmlformats-officedocument.drawingml.diagramColors+xml" PartName="/word/diagrams/colors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576.0" w:type="dxa"/>
        <w:jc w:val="center"/>
        <w:tblLayout w:type="fixed"/>
        <w:tblLook w:val="0400"/>
      </w:tblPr>
      <w:tblGrid>
        <w:gridCol w:w="9576"/>
        <w:tblGridChange w:id="0">
          <w:tblGrid>
            <w:gridCol w:w="9576"/>
          </w:tblGrid>
        </w:tblGridChange>
      </w:tblGrid>
      <w:tr>
        <w:trPr>
          <w:trHeight w:val="2880" w:hRule="atLeast"/>
        </w:trPr>
        <w:tc>
          <w:tcPr/>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1"/>
                <w:strike w:val="0"/>
                <w:color w:val="000000"/>
                <w:sz w:val="24"/>
                <w:szCs w:val="24"/>
                <w:u w:val="none"/>
                <w:shd w:fill="auto" w:val="clear"/>
                <w:vertAlign w:val="baseline"/>
              </w:rPr>
            </w:pPr>
            <w:r w:rsidDel="00000000" w:rsidR="00000000" w:rsidRPr="00000000">
              <w:rPr>
                <w:rtl w:val="0"/>
              </w:rPr>
            </w:r>
          </w:p>
        </w:tc>
      </w:tr>
      <w:tr>
        <w:trPr>
          <w:trHeight w:val="1440" w:hRule="atLeast"/>
        </w:trPr>
        <w:tc>
          <w:tcPr>
            <w:tcBorders>
              <w:bottom w:color="4f81bd" w:space="0" w:sz="4" w:val="single"/>
            </w:tcBorders>
            <w:vAlign w:val="center"/>
          </w:tcPr>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40"/>
                <w:szCs w:val="40"/>
                <w:highlight w:val="white"/>
                <w:u w:val="none"/>
                <w:vertAlign w:val="baseline"/>
                <w:rtl w:val="0"/>
              </w:rPr>
              <w:t xml:space="preserve">Analysis of the key indicators of measuring  profitability of banks and the impact of NPA on liquidity and profitability of banks</w:t>
            </w:r>
            <w:r w:rsidDel="00000000" w:rsidR="00000000" w:rsidRPr="00000000">
              <w:rPr>
                <w:rtl w:val="0"/>
              </w:rPr>
            </w:r>
          </w:p>
        </w:tc>
      </w:tr>
    </w:tbl>
    <w:p w:rsidR="00000000" w:rsidDel="00000000" w:rsidP="00000000" w:rsidRDefault="00000000" w:rsidRPr="00000000" w14:paraId="0000000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sz w:val="24"/>
          <w:szCs w:val="24"/>
        </w:rPr>
      </w:pPr>
      <w:r w:rsidDel="00000000" w:rsidR="00000000" w:rsidRPr="00000000">
        <w:rPr>
          <w:rtl w:val="0"/>
        </w:rPr>
      </w:r>
    </w:p>
    <w:tbl>
      <w:tblPr>
        <w:tblStyle w:val="Table2"/>
        <w:tblW w:w="9576.0" w:type="dxa"/>
        <w:jc w:val="left"/>
        <w:tblInd w:w="0.0" w:type="dxa"/>
        <w:tblLayout w:type="fixed"/>
        <w:tblLook w:val="0400"/>
      </w:tblPr>
      <w:tblGrid>
        <w:gridCol w:w="9576"/>
        <w:tblGridChange w:id="0">
          <w:tblGrid>
            <w:gridCol w:w="9576"/>
          </w:tblGrid>
        </w:tblGridChange>
      </w:tblGrid>
      <w:tr>
        <w:tc>
          <w:tcPr/>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0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Times New Roman" w:cs="Times New Roman" w:eastAsia="Times New Roman" w:hAnsi="Times New Roman"/>
          <w:b w:val="1"/>
          <w:i w:val="0"/>
          <w:smallCaps w:val="0"/>
          <w:strike w:val="0"/>
          <w:color w:val="366091"/>
          <w:sz w:val="20"/>
          <w:szCs w:val="20"/>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366091"/>
          <w:sz w:val="20"/>
          <w:szCs w:val="20"/>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Chapter 1: Introduction to Research</w:t>
              <w:tab/>
              <w:t xml:space="preserve">3</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0"/>
                <w:szCs w:val="20"/>
                <w:highlight w:val="white"/>
                <w:u w:val="none"/>
                <w:vertAlign w:val="baseline"/>
                <w:rtl w:val="0"/>
              </w:rPr>
              <w:t xml:space="preserve">1.1) Background of the Research:</w:t>
            </w:r>
          </w:hyperlink>
          <w:hyperlink w:anchor="_30j0zll">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0"/>
                <w:szCs w:val="20"/>
                <w:highlight w:val="white"/>
                <w:u w:val="none"/>
                <w:vertAlign w:val="baseline"/>
                <w:rtl w:val="0"/>
              </w:rPr>
              <w:t xml:space="preserve">1.2) Significance of the Research:</w:t>
            </w:r>
          </w:hyperlink>
          <w:hyperlink w:anchor="_1fob9te">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1.3) Research Aims and Objectives:</w:t>
              <w:tab/>
              <w:t xml:space="preserve">6</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1.3.1) Research Aims:</w:t>
              <w:tab/>
              <w:t xml:space="preserve">6</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1.3.2) Research Objectives:</w:t>
              <w:tab/>
              <w:t xml:space="preserve">6</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0"/>
                <w:szCs w:val="20"/>
                <w:highlight w:val="white"/>
                <w:u w:val="none"/>
                <w:vertAlign w:val="baseline"/>
                <w:rtl w:val="0"/>
              </w:rPr>
              <w:t xml:space="preserve">1.4) Research Questions:</w:t>
            </w:r>
          </w:hyperlink>
          <w:hyperlink w:anchor="_3dy6vkm">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1.5) Research Gap:</w:t>
              <w:tab/>
              <w:t xml:space="preserve">7</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1.6) Research Structure</w:t>
              <w:tab/>
              <w:t xml:space="preserve">7</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Chapter 2: Literature Review</w:t>
              <w:tab/>
              <w:t xml:space="preserve">8</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2.1) Evaluating the ways through which liquidity of a bank could be managed :</w:t>
              <w:tab/>
              <w:t xml:space="preserve">8</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2.2) Impact on the bank’s profitability due to inadequate liquidity in banks:</w:t>
              <w:tab/>
              <w:t xml:space="preserve">9</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2.3) Non Performing Assets - A critical Discussion:</w:t>
              <w:tab/>
              <w:t xml:space="preserve">10</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2.4) Analysis of the different ways or the strategies through which Non Performing Assets of the bank could be managed:</w:t>
              <w:tab/>
              <w:t xml:space="preserve">11</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2.5) Impact of NPA on the profitability and liquidity of the banks:</w:t>
              <w:tab/>
              <w:t xml:space="preserve">14</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2.6) Evaluating the different ways through which profitability of banks could be enhanced:</w:t>
              <w:tab/>
              <w:t xml:space="preserve">15</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2.7) Contemporary measures taken by some Indian banks for increasing the profitability:</w:t>
              <w:tab/>
              <w:t xml:space="preserve">18</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2.8) Critical Analysis of the reasons of the lack of profitability in nationalized banks of India:</w:t>
              <w:tab/>
              <w:t xml:space="preserve">20</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0"/>
                <w:szCs w:val="20"/>
                <w:highlight w:val="white"/>
                <w:u w:val="none"/>
                <w:vertAlign w:val="baseline"/>
                <w:rtl w:val="0"/>
              </w:rPr>
              <w:t xml:space="preserve">3)  Research Methodology:</w:t>
            </w:r>
          </w:hyperlink>
          <w:hyperlink w:anchor="_z337ya">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22</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0"/>
                <w:szCs w:val="20"/>
                <w:highlight w:val="white"/>
                <w:u w:val="none"/>
                <w:vertAlign w:val="baseline"/>
                <w:rtl w:val="0"/>
              </w:rPr>
              <w:t xml:space="preserve">3.1) Research Design:</w:t>
            </w:r>
          </w:hyperlink>
          <w:hyperlink w:anchor="_3j2qqm3">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22</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0"/>
                <w:szCs w:val="20"/>
                <w:highlight w:val="white"/>
                <w:u w:val="none"/>
                <w:vertAlign w:val="baseline"/>
                <w:rtl w:val="0"/>
              </w:rPr>
              <w:t xml:space="preserve">3.2) Research Strategy:</w:t>
            </w:r>
          </w:hyperlink>
          <w:hyperlink w:anchor="_1y810tw">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22</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Methodology for Data Analysis</w:t>
              <w:tab/>
              <w:t xml:space="preserve">23</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0"/>
                <w:szCs w:val="20"/>
                <w:highlight w:val="white"/>
                <w:u w:val="none"/>
                <w:vertAlign w:val="baseline"/>
                <w:rtl w:val="0"/>
              </w:rPr>
              <w:t xml:space="preserve">3.3) Data Collection Technique:</w:t>
            </w:r>
          </w:hyperlink>
          <w:hyperlink w:anchor="_2xcytpi">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24</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3.4) Method for Data Analysis:</w:t>
              <w:tab/>
              <w:t xml:space="preserve">25</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0"/>
                <w:szCs w:val="20"/>
                <w:highlight w:val="white"/>
                <w:u w:val="none"/>
                <w:vertAlign w:val="baseline"/>
                <w:rtl w:val="0"/>
              </w:rPr>
              <w:t xml:space="preserve">3.5) Ethical Consideration:</w:t>
            </w:r>
          </w:hyperlink>
          <w:hyperlink w:anchor="_3whwml4">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25</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2bn6wsx">
            <w:r w:rsidDel="00000000" w:rsidR="00000000" w:rsidRPr="00000000">
              <w:rPr>
                <w:rFonts w:ascii="Times New Roman" w:cs="Times New Roman" w:eastAsia="Times New Roman" w:hAnsi="Times New Roman"/>
                <w:b w:val="0"/>
                <w:i w:val="0"/>
                <w:smallCaps w:val="0"/>
                <w:strike w:val="0"/>
                <w:color w:val="000000"/>
                <w:sz w:val="20"/>
                <w:szCs w:val="20"/>
                <w:highlight w:val="white"/>
                <w:u w:val="none"/>
                <w:vertAlign w:val="baseline"/>
                <w:rtl w:val="0"/>
              </w:rPr>
              <w:t xml:space="preserve">Chapter 4: Data Analysis</w:t>
            </w:r>
          </w:hyperlink>
          <w:hyperlink w:anchor="_2bn6wsx">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t xml:space="preserve">26</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qsh70q">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Chapter 5: Conclusion &amp; Recommendations</w:t>
              <w:tab/>
              <w:t xml:space="preserve">49</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as4poj">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5.1) Conclusion</w:t>
              <w:tab/>
              <w:t xml:space="preserve">49</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1pxezwc">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5.2) Recommendations</w:t>
              <w:tab/>
              <w:t xml:space="preserve">51</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hanging="22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49x2ik5">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Reference:</w:t>
              <w:tab/>
              <w:t xml:space="preserve">54</w:t>
            </w:r>
          </w:hyperlink>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pStyle w:val="Heading1"/>
        <w:rPr/>
      </w:pPr>
      <w:bookmarkStart w:colFirst="0" w:colLast="0" w:name="_gjdgxs" w:id="0"/>
      <w:bookmarkEnd w:id="0"/>
      <w:r w:rsidDel="00000000" w:rsidR="00000000" w:rsidRPr="00000000">
        <w:rPr>
          <w:rtl w:val="0"/>
        </w:rPr>
        <w:t xml:space="preserve">Chapter 1: Introduction to Research</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2"/>
        <w:rPr>
          <w:highlight w:val="white"/>
        </w:rPr>
      </w:pPr>
      <w:bookmarkStart w:colFirst="0" w:colLast="0" w:name="_2p2csry" w:id="1"/>
      <w:bookmarkEnd w:id="1"/>
      <w:r w:rsidDel="00000000" w:rsidR="00000000" w:rsidRPr="00000000">
        <w:rPr>
          <w:highlight w:val="white"/>
          <w:rtl w:val="0"/>
        </w:rPr>
        <w:t xml:space="preserve">1.1) Background of the Research:</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Overview of banking Sector of India</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Indian banking industry is extensive with presence of large number of cooperative banks. But it is apart from it there are large number of structured commercial banks which operates across various regions of the country. To be specific there are as many as 27 structured commercial banks which are controlled by Government of India and apart from it there are also 27 private banks within the commercial banking sector which also plays a proactive role in development of the banking industry of India. So in a nutshell, it can be stated that these 27 public sector banks and 21 private sector banks forms the essential core of the banking system of India. Each of these public sector banks and private banks has large number of branches which operates in various parts of country both in rural , urban and semi urban areas. It is important to mention that each of commercial banks which are both private and nationalized banks does possess thousand of branches and hence forms an extensive network for providing banking service to the people of the India.  It is apart from it there are 49 foreign banks which mainly operates in the urban areas. As per the report published by IBEF, there are also 1562 urban cooperative banks and 94384 rural cooperative banks which also provides various banking service. The entire banking industry is monitored by the Reserve bank of India which acts as a central bank of the country. So with large number of branches of public sector banks, foreign banks, cooperative banks and private banks, it can be said that there is a huge network of banking system which operates in length and breadth of world’s largest democracy of India. </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data published by Reserve Bank of India (RBI), as of quarter 3 of financial year 2019 (period between April to September 2018) , the  total credit that has been provided by these various commercial banks turned out to be INR 93751.17 billion (US$ 1299.39 billion) and the total deposit at various banks stands at INR 120818.92 billion (US$ 1866.22 billion). Therefore, it can be rightly said that there is a healthy credit to deposit ratio which indicates that there is more room for banks to grow and also there is good amount of buffer that are maintained by banks operating in India for ensuring proper risk management. </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commercial banks which are operating in India undertakes proactive risk management measures. This is evident from the fact that all the banks have embraced International banking Accord of Basel II and most of the banks which are operating in the country have already met the capital requirement standards as per International Accord of Basel III. Therefore, it could be rightly said that commercial banks across the country are committed to met the risk management standards as per international norms. </w:t>
      </w:r>
    </w:p>
    <w:p w:rsidR="00000000" w:rsidDel="00000000" w:rsidP="00000000" w:rsidRDefault="00000000" w:rsidRPr="00000000" w14:paraId="00000033">
      <w:pPr>
        <w:spacing w:line="360" w:lineRule="auto"/>
        <w:jc w:val="both"/>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Research Background:</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As per the opinion of </w:t>
      </w:r>
      <w:r w:rsidDel="00000000" w:rsidR="00000000" w:rsidRPr="00000000">
        <w:rPr>
          <w:rFonts w:ascii="Times New Roman" w:cs="Times New Roman" w:eastAsia="Times New Roman" w:hAnsi="Times New Roman"/>
          <w:color w:val="222222"/>
          <w:sz w:val="24"/>
          <w:szCs w:val="24"/>
          <w:highlight w:val="white"/>
          <w:rtl w:val="0"/>
        </w:rPr>
        <w:t xml:space="preserve">Messai and Jouini (2013), </w:t>
      </w:r>
      <w:r w:rsidDel="00000000" w:rsidR="00000000" w:rsidRPr="00000000">
        <w:rPr>
          <w:rFonts w:ascii="Times New Roman" w:cs="Times New Roman" w:eastAsia="Times New Roman" w:hAnsi="Times New Roman"/>
          <w:sz w:val="24"/>
          <w:szCs w:val="24"/>
          <w:highlight w:val="white"/>
          <w:rtl w:val="0"/>
        </w:rPr>
        <w:t xml:space="preserve">profitability of the banks is the key to sustainability of the bank in long run and it also helps in maintaining a  healthy financial system in a economy. Therefore, assessing the profitability from time to time is the basics for assessing financial health of banks. There are indeed several indicators through which the financial health of the banks could be accurately measured even from published accounts of banks. The most common forms of indicators for assessing the profitability are Return on Assets, Net profit of Banks, Net Interest margin, Return on Equity. Moreover, the total deposit, Total credit extended with respect to deposit (Total Credit to Deposit ratio), other fee based income of the banks also essentially help to assess the absolute profitability of the banks. Therefore stakeholders like the shareholders, depositors and banking executives should assess these indicators closely and monitor it from time to time basis for the understanding the financial health of the company. </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Liquidity is another most important concerns of any commercial banks. A bank essentially earns from lending money from the deposit that are made by the depositors. In addition there are obligation on the behalf of the banks to repay interest to the deposits that are made in the banks by the depositor. In the same time they have to provide the money as credit and ensure that repayments are made by borrower on time so as to maintain the obligation to repay the interest of the deposits. There can be asset liability mismatch while doing it at some point of time there could be match between the deposits and credit given. Therefore, it is important for the banks to assess the liquidity levels before undertaking any lending activities.</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Another most important aspect is the management of Non Performing Assets (NPA). Non Performing Assets is basically the amount of assets or the loan account in which banks does not get the proper repayment in a timely manner or are unable to recover the appropriate amount of dues. Therefore, it is important that each and every lending activities are done with proper due diligence. In India, there is a CIBIL which is an inter banking mechanism of assessing the borrower credit history. It is of critical importance that banks must take several measures such as taking adequate liquidable securities for the loan. If unsecured loan is provided future cash flows from a project for a business or future income potential of an individual must be assessed very carefully. On the other hand, giving reminders on continuous basis  and contacting with the borrower or restricting the repayment cycles are some of the most critical measures ; NPA could be managed or reduced to a substantial extent. The bank must also make use of various law for management of NPA. In India, there is Securitisation and Reconstruction of Financial Assets and Enforcement of Securities Act which provides power to liquidate the assets in case there is a NPA of any loan account. Therefore, with the provision of banking law, there has been immense  power of banks for managing of NPA through several measures. Hence, banking institution must undertake these standard procedures for effective management of NPA. Non Performing Asset has a tremendous impact as it reduced the profitability and also has impact on the capital of the banks. Therefore, it also impacts the over liquidity of the banks and future performance. So, these NPS must be effectively managed for better management of banks and overall financial performance improvement. </w:t>
      </w:r>
    </w:p>
    <w:p w:rsidR="00000000" w:rsidDel="00000000" w:rsidP="00000000" w:rsidRDefault="00000000" w:rsidRPr="00000000" w14:paraId="00000037">
      <w:pPr>
        <w:pStyle w:val="Heading2"/>
        <w:rPr>
          <w:highlight w:val="white"/>
        </w:rPr>
      </w:pPr>
      <w:bookmarkStart w:colFirst="0" w:colLast="0" w:name="_147n2zr" w:id="2"/>
      <w:bookmarkEnd w:id="2"/>
      <w:r w:rsidDel="00000000" w:rsidR="00000000" w:rsidRPr="00000000">
        <w:rPr>
          <w:highlight w:val="white"/>
          <w:rtl w:val="0"/>
        </w:rPr>
        <w:t xml:space="preserve">1.2) Significance of the Research:</w:t>
      </w:r>
    </w:p>
    <w:p w:rsidR="00000000" w:rsidDel="00000000" w:rsidP="00000000" w:rsidRDefault="00000000" w:rsidRPr="00000000" w14:paraId="00000038">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Non Performing Loans is one of the major concerns of the banks as it would potentially impact the overall liquidity and profitability of a bank. Therefore it is for this purpose there must be a proper risk management mechanism in place which would essentially help in identifying the non performing loans at the very initial level and undertake appropriate action so as to recover the non performing loans. This will significantly help to reduce the total non-performing loans and effectively help to increase the performance of the commercial banks. </w:t>
      </w:r>
    </w:p>
    <w:p w:rsidR="00000000" w:rsidDel="00000000" w:rsidP="00000000" w:rsidRDefault="00000000" w:rsidRPr="00000000" w14:paraId="00000039">
      <w:pPr>
        <w:pStyle w:val="Heading2"/>
        <w:rPr/>
      </w:pPr>
      <w:bookmarkStart w:colFirst="0" w:colLast="0" w:name="_3znysh7" w:id="3"/>
      <w:bookmarkEnd w:id="3"/>
      <w:r w:rsidDel="00000000" w:rsidR="00000000" w:rsidRPr="00000000">
        <w:rPr>
          <w:rtl w:val="0"/>
        </w:rPr>
        <w:t xml:space="preserve">1.3) Research Aims and Objectives: </w:t>
      </w:r>
    </w:p>
    <w:p w:rsidR="00000000" w:rsidDel="00000000" w:rsidP="00000000" w:rsidRDefault="00000000" w:rsidRPr="00000000" w14:paraId="0000003A">
      <w:pPr>
        <w:pStyle w:val="Heading2"/>
        <w:spacing w:line="360" w:lineRule="auto"/>
        <w:rPr/>
      </w:pPr>
      <w:bookmarkStart w:colFirst="0" w:colLast="0" w:name="_2et92p0" w:id="4"/>
      <w:bookmarkEnd w:id="4"/>
      <w:r w:rsidDel="00000000" w:rsidR="00000000" w:rsidRPr="00000000">
        <w:rPr>
          <w:rtl w:val="0"/>
        </w:rPr>
        <w:t xml:space="preserve">1.3.1) Research Aims:</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primary aim of this research project is to analyze the different ways through which the profitability of major commercial banks operating in India could be measured. On the other hand, the research would also put considerable quest to assess the impact of  Non -performing Assets (NPA)  on the various Indian banks profitability and liquidity. This research work would also assess the different ways through the profitability and liquidity could be increased for efficient working of these India based commercial banks. </w:t>
      </w:r>
    </w:p>
    <w:p w:rsidR="00000000" w:rsidDel="00000000" w:rsidP="00000000" w:rsidRDefault="00000000" w:rsidRPr="00000000" w14:paraId="0000003C">
      <w:pPr>
        <w:pStyle w:val="Heading2"/>
        <w:spacing w:line="360" w:lineRule="auto"/>
        <w:rPr/>
      </w:pPr>
      <w:bookmarkStart w:colFirst="0" w:colLast="0" w:name="_tyjcwt" w:id="5"/>
      <w:bookmarkEnd w:id="5"/>
      <w:r w:rsidDel="00000000" w:rsidR="00000000" w:rsidRPr="00000000">
        <w:rPr>
          <w:rtl w:val="0"/>
        </w:rPr>
        <w:t xml:space="preserve">1.3.2) Research Objectives:</w:t>
      </w:r>
    </w:p>
    <w:p w:rsidR="00000000" w:rsidDel="00000000" w:rsidP="00000000" w:rsidRDefault="00000000" w:rsidRPr="00000000" w14:paraId="0000003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various objectives of the research which would be accomplished through undertaking of this research are depicted below:</w:t>
      </w:r>
    </w:p>
    <w:p w:rsidR="00000000" w:rsidDel="00000000" w:rsidP="00000000" w:rsidRDefault="00000000" w:rsidRPr="00000000" w14:paraId="0000003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To analyze the different indicators which could potentially help in evaluating the profitability of a bank and efficiency of banking operation in India. </w:t>
      </w:r>
    </w:p>
    <w:p w:rsidR="00000000" w:rsidDel="00000000" w:rsidP="00000000" w:rsidRDefault="00000000" w:rsidRPr="00000000" w14:paraId="0000003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ii) </w:t>
      </w:r>
      <w:r w:rsidDel="00000000" w:rsidR="00000000" w:rsidRPr="00000000">
        <w:rPr>
          <w:rFonts w:ascii="Times New Roman" w:cs="Times New Roman" w:eastAsia="Times New Roman" w:hAnsi="Times New Roman"/>
          <w:color w:val="222222"/>
          <w:sz w:val="24"/>
          <w:szCs w:val="24"/>
          <w:highlight w:val="white"/>
          <w:rtl w:val="0"/>
        </w:rPr>
        <w:t xml:space="preserve">) To analyze the impact of non-performing assets on the profitability and liquidity of banks operating in </w:t>
      </w:r>
      <w:r w:rsidDel="00000000" w:rsidR="00000000" w:rsidRPr="00000000">
        <w:rPr>
          <w:rFonts w:ascii="Times New Roman" w:cs="Times New Roman" w:eastAsia="Times New Roman" w:hAnsi="Times New Roman"/>
          <w:color w:val="222222"/>
          <w:sz w:val="24"/>
          <w:szCs w:val="24"/>
          <w:rtl w:val="0"/>
        </w:rPr>
        <w:t xml:space="preserve">India. </w:t>
      </w:r>
      <w:r w:rsidDel="00000000" w:rsidR="00000000" w:rsidRPr="00000000">
        <w:rPr>
          <w:rtl w:val="0"/>
        </w:rPr>
      </w:r>
    </w:p>
    <w:p w:rsidR="00000000" w:rsidDel="00000000" w:rsidP="00000000" w:rsidRDefault="00000000" w:rsidRPr="00000000" w14:paraId="0000004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iii) To assess the critical importance maintaining decent liquidity in banks for maintaining high degree of buffer and managing any unforeseen financial risk. </w:t>
      </w:r>
    </w:p>
    <w:p w:rsidR="00000000" w:rsidDel="00000000" w:rsidP="00000000" w:rsidRDefault="00000000" w:rsidRPr="00000000" w14:paraId="00000041">
      <w:pPr>
        <w:pStyle w:val="Heading2"/>
        <w:rPr>
          <w:highlight w:val="white"/>
        </w:rPr>
      </w:pPr>
      <w:bookmarkStart w:colFirst="0" w:colLast="0" w:name="_3dy6vkm" w:id="6"/>
      <w:bookmarkEnd w:id="6"/>
      <w:r w:rsidDel="00000000" w:rsidR="00000000" w:rsidRPr="00000000">
        <w:rPr>
          <w:highlight w:val="white"/>
          <w:rtl w:val="0"/>
        </w:rPr>
        <w:t xml:space="preserve">1.4) Research Questions:</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The various research questions which will be answered through undertaking the research on the specified subject area of the banking domain are postulated below:</w:t>
      </w:r>
    </w:p>
    <w:p w:rsidR="00000000" w:rsidDel="00000000" w:rsidP="00000000" w:rsidRDefault="00000000" w:rsidRPr="00000000" w14:paraId="00000044">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 What are the </w:t>
      </w:r>
      <w:r w:rsidDel="00000000" w:rsidR="00000000" w:rsidRPr="00000000">
        <w:rPr>
          <w:rFonts w:ascii="Times New Roman" w:cs="Times New Roman" w:eastAsia="Times New Roman" w:hAnsi="Times New Roman"/>
          <w:sz w:val="24"/>
          <w:szCs w:val="24"/>
          <w:rtl w:val="0"/>
        </w:rPr>
        <w:t xml:space="preserve">different indicators which could potentially help in evaluating the profitability of a bank and efficiency of banking operation in India? </w:t>
      </w: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2) What is the impact of non-performing assets on the profitability and liquidity of banks operating in United Kingdom</w:t>
      </w:r>
      <w:r w:rsidDel="00000000" w:rsidR="00000000" w:rsidRPr="00000000">
        <w:rPr>
          <w:rFonts w:ascii="Times New Roman" w:cs="Times New Roman" w:eastAsia="Times New Roman" w:hAnsi="Times New Roman"/>
          <w:color w:val="222222"/>
          <w:sz w:val="24"/>
          <w:szCs w:val="24"/>
          <w:rtl w:val="0"/>
        </w:rPr>
        <w:t xml:space="preserve">?</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rtl w:val="0"/>
        </w:rPr>
        <w:t xml:space="preserve">3) What is the </w:t>
      </w:r>
      <w:r w:rsidDel="00000000" w:rsidR="00000000" w:rsidRPr="00000000">
        <w:rPr>
          <w:rFonts w:ascii="Times New Roman" w:cs="Times New Roman" w:eastAsia="Times New Roman" w:hAnsi="Times New Roman"/>
          <w:sz w:val="24"/>
          <w:szCs w:val="24"/>
          <w:rtl w:val="0"/>
        </w:rPr>
        <w:t xml:space="preserve">critical importance maintaining decent liquidity in banks for maintaining high degree of buffer and managing any unforeseen financial risk?</w:t>
      </w:r>
    </w:p>
    <w:p w:rsidR="00000000" w:rsidDel="00000000" w:rsidP="00000000" w:rsidRDefault="00000000" w:rsidRPr="00000000" w14:paraId="00000047">
      <w:pPr>
        <w:pStyle w:val="Heading2"/>
        <w:rPr/>
      </w:pPr>
      <w:bookmarkStart w:colFirst="0" w:colLast="0" w:name="_1t3h5sf" w:id="7"/>
      <w:bookmarkEnd w:id="7"/>
      <w:r w:rsidDel="00000000" w:rsidR="00000000" w:rsidRPr="00000000">
        <w:rPr>
          <w:rtl w:val="0"/>
        </w:rPr>
        <w:t xml:space="preserve">1.5) Research Gap:</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research is always performed based on the gap which are generally identified on existing research areas. It is evident from in-depth and extensive study of various studies pertaining to the subject area that there are very few research which has focused on assessing the key indicators which assess the liquidity of the banks operating in India. Moreover, there are extensive research studies  which has been done which assess the impact of high NPA on the profitability of the banks operating in India. But there are very few research studies which essentially portrayed the importance of managing the Non Performing Assets(NPA) for managing liquidity. Additionally, limited research has been done within the paradigm of Indian bank to assess the profitability measures and liquidity measures. Therefore this particular research in particular would focus on analyzing these aspects to fulfill the research gaps. </w:t>
      </w:r>
    </w:p>
    <w:p w:rsidR="00000000" w:rsidDel="00000000" w:rsidP="00000000" w:rsidRDefault="00000000" w:rsidRPr="00000000" w14:paraId="00000049">
      <w:pPr>
        <w:pStyle w:val="Heading2"/>
        <w:jc w:val="both"/>
        <w:rPr/>
      </w:pPr>
      <w:bookmarkStart w:colFirst="0" w:colLast="0" w:name="_4d34og8" w:id="8"/>
      <w:bookmarkEnd w:id="8"/>
      <w:r w:rsidDel="00000000" w:rsidR="00000000" w:rsidRPr="00000000">
        <w:rPr>
          <w:rtl w:val="0"/>
        </w:rPr>
        <w:t xml:space="preserve">1.6) Research Structure</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research has been divided into various steps and activities for a comprehensive undertaking of the research process. The detailed structure and the indicative content of the each of the phases or chapter  of this dissertation is mentioned below in detail</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Chapter 1 – Introduction to the Research:</w:t>
      </w:r>
      <w:r w:rsidDel="00000000" w:rsidR="00000000" w:rsidRPr="00000000">
        <w:rPr>
          <w:rFonts w:ascii="Times New Roman" w:cs="Times New Roman" w:eastAsia="Times New Roman" w:hAnsi="Times New Roman"/>
          <w:sz w:val="24"/>
          <w:szCs w:val="24"/>
          <w:rtl w:val="0"/>
        </w:rPr>
        <w:t xml:space="preserve"> This chapter essentially provides a brief introduction to the research area. Furthermore, the major aims, objectives, research questions and the significance of the research are also depicted in this chapter of the dissertation.</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Chapter 2 – Literature Review:</w:t>
      </w:r>
      <w:r w:rsidDel="00000000" w:rsidR="00000000" w:rsidRPr="00000000">
        <w:rPr>
          <w:rFonts w:ascii="Times New Roman" w:cs="Times New Roman" w:eastAsia="Times New Roman" w:hAnsi="Times New Roman"/>
          <w:sz w:val="24"/>
          <w:szCs w:val="24"/>
          <w:rtl w:val="0"/>
        </w:rPr>
        <w:t xml:space="preserve"> This chapter of the research consists of an extensive review of literature in the paradigm of banking operation and the key aspect of measuring profit. Literature Review has also been done in the area of managing of NPA and the way Indian banks manages NPA in particular.</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color w:val="000000"/>
          <w:sz w:val="24"/>
          <w:szCs w:val="24"/>
          <w:rtl w:val="0"/>
        </w:rPr>
        <w:t xml:space="preserve">Chapter 3 – Research Mythology :</w:t>
      </w:r>
      <w:r w:rsidDel="00000000" w:rsidR="00000000" w:rsidRPr="00000000">
        <w:rPr>
          <w:rFonts w:ascii="Times New Roman" w:cs="Times New Roman" w:eastAsia="Times New Roman" w:hAnsi="Times New Roman"/>
          <w:sz w:val="24"/>
          <w:szCs w:val="24"/>
          <w:rtl w:val="0"/>
        </w:rPr>
        <w:t xml:space="preserve"> This chapter postulates the entire methodology that would be adopted for the research. The detailed process of the data collection, the data analysis methods that are used are also depicted In addition the research strategies and the research choices that are  </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Chapter 4 – Data Analysis and Discussion</w:t>
      </w:r>
      <w:r w:rsidDel="00000000" w:rsidR="00000000" w:rsidRPr="00000000">
        <w:rPr>
          <w:rFonts w:ascii="Times New Roman" w:cs="Times New Roman" w:eastAsia="Times New Roman" w:hAnsi="Times New Roman"/>
          <w:sz w:val="24"/>
          <w:szCs w:val="24"/>
          <w:rtl w:val="0"/>
        </w:rPr>
        <w:t xml:space="preserve">: In  this chapter of the dissertation, the actual data analysis has been performed by using various statistical measures from the key data of the Indian banks for undertaking the research and fulfill the research objectives. It is also essential to mention that a vivid discussion of the findings of the research findings are also done based on the results of the data analysis</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Chapter 5- Conclusion and Recommendation:</w:t>
      </w:r>
      <w:r w:rsidDel="00000000" w:rsidR="00000000" w:rsidRPr="00000000">
        <w:rPr>
          <w:rFonts w:ascii="Times New Roman" w:cs="Times New Roman" w:eastAsia="Times New Roman" w:hAnsi="Times New Roman"/>
          <w:sz w:val="24"/>
          <w:szCs w:val="24"/>
          <w:rtl w:val="0"/>
        </w:rPr>
        <w:t xml:space="preserve">  In this chapter, the conclusion has been provided from the learning’s achieved from the research. A recommendation has also been given provided to the commercial banks based in India through which they can manage the Non Performing Assets for ensuring better profitability and liquidity. The key measures of profitability that they should assess for undertaking the profitability aspect has also been provided in this chapter of the dissertation. </w:t>
      </w:r>
    </w:p>
    <w:p w:rsidR="00000000" w:rsidDel="00000000" w:rsidP="00000000" w:rsidRDefault="00000000" w:rsidRPr="00000000" w14:paraId="0000005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486400" cy="3200400"/>
            <wp:effectExtent b="0" l="19050" r="19050" t="0"/>
            <wp:docPr id="45" name=""/>
            <a:graphic>
              <a:graphicData uri="http://schemas.openxmlformats.org/drawingml/2006/diagram">
                <dgm:relIds r:cs="rId1" r:dm="rId2" r:lo="rId3" r:qs="rId4"/>
              </a:graphicData>
            </a:graphic>
          </wp:inline>
        </w:drawing>
      </w:r>
      <w:r w:rsidDel="00000000" w:rsidR="00000000" w:rsidRPr="00000000">
        <w:rPr>
          <w:rtl w:val="0"/>
        </w:rPr>
      </w:r>
    </w:p>
    <w:p w:rsidR="00000000" w:rsidDel="00000000" w:rsidP="00000000" w:rsidRDefault="00000000" w:rsidRPr="00000000" w14:paraId="00000051">
      <w:pPr>
        <w:spacing w:line="360" w:lineRule="auto"/>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Figure: Structure of the Research</w:t>
      </w:r>
    </w:p>
    <w:p w:rsidR="00000000" w:rsidDel="00000000" w:rsidP="00000000" w:rsidRDefault="00000000" w:rsidRPr="00000000" w14:paraId="00000052">
      <w:pPr>
        <w:spacing w:line="360" w:lineRule="auto"/>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3">
      <w:pPr>
        <w:spacing w:line="360" w:lineRule="auto"/>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4">
      <w:pPr>
        <w:spacing w:line="360" w:lineRule="auto"/>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5">
      <w:pPr>
        <w:spacing w:line="360" w:lineRule="auto"/>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6">
      <w:pPr>
        <w:spacing w:line="360" w:lineRule="auto"/>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7">
      <w:pPr>
        <w:spacing w:line="360" w:lineRule="auto"/>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8">
      <w:pPr>
        <w:spacing w:line="360" w:lineRule="auto"/>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9">
      <w:pPr>
        <w:spacing w:line="360" w:lineRule="auto"/>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A">
      <w:pPr>
        <w:spacing w:line="360" w:lineRule="auto"/>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B">
      <w:pPr>
        <w:spacing w:line="360" w:lineRule="auto"/>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C">
      <w:pPr>
        <w:pStyle w:val="Heading1"/>
        <w:rPr>
          <w:rFonts w:ascii="Calibri" w:cs="Calibri" w:eastAsia="Calibri" w:hAnsi="Calibri"/>
          <w:sz w:val="22"/>
          <w:szCs w:val="22"/>
        </w:rPr>
      </w:pPr>
      <w:bookmarkStart w:colFirst="0" w:colLast="0" w:name="_2s8eyo1" w:id="9"/>
      <w:bookmarkEnd w:id="9"/>
      <w:r w:rsidDel="00000000" w:rsidR="00000000" w:rsidRPr="00000000">
        <w:rPr>
          <w:rtl w:val="0"/>
        </w:rPr>
        <w:t xml:space="preserve">Chapter 2: Literature Review</w:t>
      </w:r>
      <w:r w:rsidDel="00000000" w:rsidR="00000000" w:rsidRPr="00000000">
        <w:rPr>
          <w:rtl w:val="0"/>
        </w:rPr>
      </w:r>
    </w:p>
    <w:p w:rsidR="00000000" w:rsidDel="00000000" w:rsidP="00000000" w:rsidRDefault="00000000" w:rsidRPr="00000000" w14:paraId="0000005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pStyle w:val="Heading2"/>
        <w:rPr/>
      </w:pPr>
      <w:bookmarkStart w:colFirst="0" w:colLast="0" w:name="_17dp8vu" w:id="10"/>
      <w:bookmarkEnd w:id="10"/>
      <w:r w:rsidDel="00000000" w:rsidR="00000000" w:rsidRPr="00000000">
        <w:rPr>
          <w:rtl w:val="0"/>
        </w:rPr>
        <w:t xml:space="preserve">2.1) Evaluating the ways through which liquidity of a bank could be managed :</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liquidity amount of the bank showcases its financial health and its capability of the bank to handle the different financial crisis management. According to </w:t>
      </w:r>
      <w:r w:rsidDel="00000000" w:rsidR="00000000" w:rsidRPr="00000000">
        <w:rPr>
          <w:rFonts w:ascii="Times New Roman" w:cs="Times New Roman" w:eastAsia="Times New Roman" w:hAnsi="Times New Roman"/>
          <w:color w:val="222222"/>
          <w:sz w:val="24"/>
          <w:szCs w:val="24"/>
          <w:highlight w:val="white"/>
          <w:rtl w:val="0"/>
        </w:rPr>
        <w:t xml:space="preserve">Ghosh,(2015)</w:t>
      </w:r>
      <w:r w:rsidDel="00000000" w:rsidR="00000000" w:rsidRPr="00000000">
        <w:rPr>
          <w:rFonts w:ascii="Times New Roman" w:cs="Times New Roman" w:eastAsia="Times New Roman" w:hAnsi="Times New Roman"/>
          <w:sz w:val="24"/>
          <w:szCs w:val="24"/>
          <w:rtl w:val="0"/>
        </w:rPr>
        <w:t xml:space="preserve">  liquidity is define the immediate capability of any individual to meet up the financial commitment. The investment capability of the bank depends on the deposit which it receives from the institution, companies and other types of public and private demand and term deposits. Moreover to enhance the investment capability of the bank part of the profit which is earned by the bank is also kept for further investment. One of the major problem which the banking institute face is the law as per which the deposit held by the bank are payable as per the depositor’s obligation terms. Some of the liquidity management method and strategies that is adopted by the banking system of UK so as to maintain the cash deposit is highlighted in the following paragraph in a detailed format</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efficient way of managing liquidity, proper strategy for cash management should be implemented by the bank as it is very essential since cash is a complete liquidity. This cash can be managed by holding deposit with the central bank and keeping quantum of cash in the from of SLR and CRR. Apart from all the rules and regulation set by the central bank,  the commercial banks should also keep quantum of cash in hand so as to effectively carryout cash management as well as investment management , this will help the banks to  maintain and manage liquidity needs of the bank. </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Apart from this another method which is effective in managing liquidity by the bank is cash concentration/ pooling, as per this strategy fund is transfer from the diverse account into the central account so as to improve the efficiency level of cash management. Cash pooling is of two type notional cash pooling and other cash pooling. In case of notional cash pooling the resultant standard of cash pooling is done by merging the interest statements. In case of banking system this particular strategy is implemented by pooling different amount of cash available in different bank account into a master account , this method facilitate the bank to efficiently manage cash control and cash visibility.</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method which can be undertaken for liquidity management is group cash pool , this method of cash management is a centralized method to cash management and is done to balance the account of a group subsidiary and is based on real time zero and the net balance is always showcased in the account . The main goal of this liquidity management method is management of treasury by mitigating the imperfection which is penetrating within the financial markets with less financial cost. </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Therefore it is essential for the banks  to undertake the policies formulated by the central bank on liquidity management and also formulate and implement different strategies of their way so as to effectively manage the liquidity which will help them to mitigate any problem related to NPAs, crisis situation without incurring any losses.</w:t>
      </w:r>
    </w:p>
    <w:p w:rsidR="00000000" w:rsidDel="00000000" w:rsidP="00000000" w:rsidRDefault="00000000" w:rsidRPr="00000000" w14:paraId="00000065">
      <w:pPr>
        <w:pStyle w:val="Heading2"/>
        <w:rPr/>
      </w:pPr>
      <w:bookmarkStart w:colFirst="0" w:colLast="0" w:name="_3rdcrjn" w:id="11"/>
      <w:bookmarkEnd w:id="11"/>
      <w:r w:rsidDel="00000000" w:rsidR="00000000" w:rsidRPr="00000000">
        <w:rPr>
          <w:rtl w:val="0"/>
        </w:rPr>
        <w:t xml:space="preserve">2.2) Impact on the bank’s profitability due to inadequate liquidity in banks:</w:t>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financial performance of the banking institution is a combination of the external and internal factors and the difference of the core business and the management system of the banking institution which is indicated by the difference in the performance level of the different banking institution. Some of the factors that internally determine the profitability of the firm are inclusive of management decision taken up by the banking institution, regulatory objective like the expense management, size of the banking institution and the level of liquidity</w:t>
      </w:r>
      <w:r w:rsidDel="00000000" w:rsidR="00000000" w:rsidRPr="00000000">
        <w:rPr>
          <w:rFonts w:ascii="Times New Roman" w:cs="Times New Roman" w:eastAsia="Times New Roman" w:hAnsi="Times New Roman"/>
          <w:color w:val="222222"/>
          <w:sz w:val="24"/>
          <w:szCs w:val="24"/>
          <w:highlight w:val="white"/>
          <w:rtl w:val="0"/>
        </w:rPr>
        <w:t xml:space="preserve"> (Ekwere, 2016)</w:t>
      </w:r>
      <w:r w:rsidDel="00000000" w:rsidR="00000000" w:rsidRPr="00000000">
        <w:rPr>
          <w:rFonts w:ascii="Times New Roman" w:cs="Times New Roman" w:eastAsia="Times New Roman" w:hAnsi="Times New Roman"/>
          <w:sz w:val="24"/>
          <w:szCs w:val="24"/>
          <w:rtl w:val="0"/>
        </w:rPr>
        <w:t xml:space="preserve">. On the other side the external factors which determines the profitability level of the banking institution is inclusive of factors like industrial characteristics market concentration and other macroeconomic determinants.</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w:t>
      </w:r>
      <w:r w:rsidDel="00000000" w:rsidR="00000000" w:rsidRPr="00000000">
        <w:rPr>
          <w:rFonts w:ascii="Times New Roman" w:cs="Times New Roman" w:eastAsia="Times New Roman" w:hAnsi="Times New Roman"/>
          <w:color w:val="222222"/>
          <w:sz w:val="24"/>
          <w:szCs w:val="24"/>
          <w:highlight w:val="white"/>
          <w:rtl w:val="0"/>
        </w:rPr>
        <w:t xml:space="preserve">Alshatti ( 2015)</w:t>
      </w:r>
      <w:r w:rsidDel="00000000" w:rsidR="00000000" w:rsidRPr="00000000">
        <w:rPr>
          <w:rFonts w:ascii="Times New Roman" w:cs="Times New Roman" w:eastAsia="Times New Roman" w:hAnsi="Times New Roman"/>
          <w:sz w:val="24"/>
          <w:szCs w:val="24"/>
          <w:rtl w:val="0"/>
        </w:rPr>
        <w:t xml:space="preserve">, liquidity problem has an adverse impact on the earning of the banking institution and the capital. Moreover in some extreme cases inadequate liquidity can also result in bankruptcies of the otherwise solvent banks. This mainly happens since the bank is forced to  borrow  from the market to stabilize the liquidity problem penetrating within the banking institute and to settle the obligation created by liquidity failure  even at an extreme high rate of interest and this  ultimately causes a fall in the total earning rate of the bank. Apart from this it is also evident that the banks’ earning is also affected by the liquidity related fire sale risk of asset, as per which financial institute has to sale large quantity of their assets in order to meet up the obligation or for reduction of its leverage associated with conformity of the regulationary requirement of capital adequacy. This fire sake risk asset can result in the impairment of the bank’s assets. Moreover mismatch between the demand deposit and the corresponding resources cab force the banking institute to generate required fund from alternative sources at a high interest rate which can levy negative impact on the financial performance of the bank.</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As liquidity is define the ability of the bank available cash reserve so as to meet its obligation without incurring any losses</w:t>
      </w:r>
      <w:r w:rsidDel="00000000" w:rsidR="00000000" w:rsidRPr="00000000">
        <w:rPr>
          <w:rFonts w:ascii="Times New Roman" w:cs="Times New Roman" w:eastAsia="Times New Roman" w:hAnsi="Times New Roman"/>
          <w:color w:val="222222"/>
          <w:sz w:val="24"/>
          <w:szCs w:val="24"/>
          <w:highlight w:val="white"/>
          <w:rtl w:val="0"/>
        </w:rPr>
        <w:t xml:space="preserve"> (Sahoo, 2019)</w:t>
      </w:r>
      <w:r w:rsidDel="00000000" w:rsidR="00000000" w:rsidRPr="00000000">
        <w:rPr>
          <w:rFonts w:ascii="Times New Roman" w:cs="Times New Roman" w:eastAsia="Times New Roman" w:hAnsi="Times New Roman"/>
          <w:sz w:val="24"/>
          <w:szCs w:val="24"/>
          <w:rtl w:val="0"/>
        </w:rPr>
        <w:t xml:space="preserve">. So  liquidity risk is the risk which  showcases the inability of the bank to liquidate a position in a timely manner and at an reasonable price , on other words it is the inability of the bank to fund asset at an appropriate maturities , rate or at a  rate which is near to the faire value within appropriate time frame . So the bank should focuses on the liquidity risk management and makes the framework stricter so as to hold more liquid assets so as to be more resilient against funding difficulties. Furthermore it is also seen that the positive impact of the constraint of government share and cost have on the profitability of the bank helps the bank to maximize profit level. Thus it is evident from the information provided in the above paragraph that the inadequate amount of liquidity has negative impact on the profitability level of nay banking institution.</w:t>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pStyle w:val="Heading2"/>
        <w:rPr/>
      </w:pPr>
      <w:bookmarkStart w:colFirst="0" w:colLast="0" w:name="_26in1rg" w:id="12"/>
      <w:bookmarkEnd w:id="12"/>
      <w:r w:rsidDel="00000000" w:rsidR="00000000" w:rsidRPr="00000000">
        <w:rPr>
          <w:rtl w:val="0"/>
        </w:rPr>
        <w:t xml:space="preserve">2.3) Non Performing Assets - A critical Discussion:</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Non Performing Asset is defined as the credit facility in respect to which the installment on the principal amount is due for a specific period of time. In simple words the asset which ceases to generate income for the lender is known as non performing assets</w:t>
      </w:r>
      <w:r w:rsidDel="00000000" w:rsidR="00000000" w:rsidRPr="00000000">
        <w:rPr>
          <w:rFonts w:ascii="Times New Roman" w:cs="Times New Roman" w:eastAsia="Times New Roman" w:hAnsi="Times New Roman"/>
          <w:color w:val="222222"/>
          <w:sz w:val="24"/>
          <w:szCs w:val="24"/>
          <w:highlight w:val="white"/>
          <w:rtl w:val="0"/>
        </w:rPr>
        <w:t xml:space="preserve"> (Tehranian,2011)</w:t>
      </w:r>
      <w:r w:rsidDel="00000000" w:rsidR="00000000" w:rsidRPr="00000000">
        <w:rPr>
          <w:rFonts w:ascii="Times New Roman" w:cs="Times New Roman" w:eastAsia="Times New Roman" w:hAnsi="Times New Roman"/>
          <w:sz w:val="24"/>
          <w:szCs w:val="24"/>
          <w:rtl w:val="0"/>
        </w:rPr>
        <w:t xml:space="preserve">. In some cases the debt is also classified as Non Performing when it is not played for a time period of 90days. </w:t>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Non Performing Asset is typically highlighted on the balance sheet of the commercial bank. It is evident that commercial bank categorizes an asset to be Non Performing if the inters torte principal amount is not paid within a time period of 90 days by the loan taker. On the other hand if the loan can be also be categories as nonperforming if the loan taker gives the entire interest amount but fails to repay the principal amount on maturity.</w:t>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most common non performing asset are term loan but apart from this there are six other means on which loan or advances can be categories under NPAs</w:t>
      </w:r>
      <w:r w:rsidDel="00000000" w:rsidR="00000000" w:rsidRPr="00000000">
        <w:rPr>
          <w:rFonts w:ascii="Times New Roman" w:cs="Times New Roman" w:eastAsia="Times New Roman" w:hAnsi="Times New Roman"/>
          <w:color w:val="222222"/>
          <w:sz w:val="24"/>
          <w:szCs w:val="24"/>
          <w:highlight w:val="white"/>
          <w:rtl w:val="0"/>
        </w:rPr>
        <w:t xml:space="preserve"> (Edem, 2017)</w:t>
      </w:r>
      <w:r w:rsidDel="00000000" w:rsidR="00000000" w:rsidRPr="00000000">
        <w:rPr>
          <w:rFonts w:ascii="Times New Roman" w:cs="Times New Roman" w:eastAsia="Times New Roman" w:hAnsi="Times New Roman"/>
          <w:sz w:val="24"/>
          <w:szCs w:val="24"/>
          <w:rtl w:val="0"/>
        </w:rPr>
        <w:t xml:space="preserve">. These six other way of loan and advances are inclusive of overdraft and cash credit account which is left out of order for more than 90 days, agriculture loan whose interests or  principle amount is remained overdue for two crop season,  purchase or discounted bill which is overdue for more than a  time period of 90days, expected pavement form any respected account is overdue for more than 90 days, non submission of statement of the stock for 3concecutive quarter in cash-credit facility case and non activity for more than 91 days in case of overdraft, cash credit, PCFC or EPC  account.</w:t>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to be noted that the non performing asst which is also termed as non performing loan showcases a burden on the lender in a three distinct manner. Firstly it reduces the cash flow, disrupt budget and decreases earning of the lender due to nonpayment of the interest and the principle amount on time</w:t>
      </w:r>
      <w:r w:rsidDel="00000000" w:rsidR="00000000" w:rsidRPr="00000000">
        <w:rPr>
          <w:rFonts w:ascii="Times New Roman" w:cs="Times New Roman" w:eastAsia="Times New Roman" w:hAnsi="Times New Roman"/>
          <w:color w:val="222222"/>
          <w:sz w:val="24"/>
          <w:szCs w:val="24"/>
          <w:highlight w:val="white"/>
          <w:rtl w:val="0"/>
        </w:rPr>
        <w:t xml:space="preserve"> (Moessner, 2013)</w:t>
      </w:r>
      <w:r w:rsidDel="00000000" w:rsidR="00000000" w:rsidRPr="00000000">
        <w:rPr>
          <w:rFonts w:ascii="Times New Roman" w:cs="Times New Roman" w:eastAsia="Times New Roman" w:hAnsi="Times New Roman"/>
          <w:sz w:val="24"/>
          <w:szCs w:val="24"/>
          <w:rtl w:val="0"/>
        </w:rPr>
        <w:t xml:space="preserve">. Secondly losses of loan reduce the capital availability for provision of subsequent loan. Lastly defaulted loans are written off against earning which showcase a negative impact on the earning rate of the lender.</w:t>
      </w:r>
    </w:p>
    <w:p w:rsidR="00000000" w:rsidDel="00000000" w:rsidP="00000000" w:rsidRDefault="00000000" w:rsidRPr="00000000" w14:paraId="0000006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pStyle w:val="Heading2"/>
        <w:jc w:val="both"/>
        <w:rPr/>
      </w:pPr>
      <w:bookmarkStart w:colFirst="0" w:colLast="0" w:name="_lnxbz9" w:id="13"/>
      <w:bookmarkEnd w:id="13"/>
      <w:r w:rsidDel="00000000" w:rsidR="00000000" w:rsidRPr="00000000">
        <w:rPr>
          <w:rtl w:val="0"/>
        </w:rPr>
        <w:t xml:space="preserve">2.4) Analysis of the different ways or the strategies through which Non Performing Assets of the bank could be managed:</w:t>
      </w:r>
    </w:p>
    <w:p w:rsidR="00000000" w:rsidDel="00000000" w:rsidP="00000000" w:rsidRDefault="00000000" w:rsidRPr="00000000" w14:paraId="0000007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series of strategies which is taken up by the commercial as well as the central bank so as to manage the non performing assets. The strategies which are necessary taken up by the banks are broadly categorized into two categories which is inclusive of Preventive management and curative management strategies.</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preventive management strategies the banks take into consideration measures which help them to minimize the rate of NPAs. Some of the preventive measures taken up by the banks are illustrated in the following paragraph.</w:t>
      </w:r>
    </w:p>
    <w:p w:rsidR="00000000" w:rsidDel="00000000" w:rsidP="00000000" w:rsidRDefault="00000000" w:rsidRPr="00000000" w14:paraId="0000007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Early Warning signals (EWS):</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method helps in reduction of credit degradation by hosting early warning signals for identification of the NPAs. For doing so the banks have laid down many operational, financial, transactional indicators which could help the bank to identify the problem at an early stages</w:t>
      </w:r>
      <w:r w:rsidDel="00000000" w:rsidR="00000000" w:rsidRPr="00000000">
        <w:rPr>
          <w:rFonts w:ascii="Times New Roman" w:cs="Times New Roman" w:eastAsia="Times New Roman" w:hAnsi="Times New Roman"/>
          <w:color w:val="222222"/>
          <w:sz w:val="24"/>
          <w:szCs w:val="24"/>
          <w:highlight w:val="white"/>
          <w:rtl w:val="0"/>
        </w:rPr>
        <w:t xml:space="preserve"> (Ghosh,2015)</w:t>
      </w:r>
      <w:r w:rsidDel="00000000" w:rsidR="00000000" w:rsidRPr="00000000">
        <w:rPr>
          <w:rFonts w:ascii="Times New Roman" w:cs="Times New Roman" w:eastAsia="Times New Roman" w:hAnsi="Times New Roman"/>
          <w:sz w:val="24"/>
          <w:szCs w:val="24"/>
          <w:rtl w:val="0"/>
        </w:rPr>
        <w:t xml:space="preserve">. This signal are broadly classified into 4 categories which is inclusive of financial warning signals, operational warning signals, banking related signals and management related signals. </w:t>
      </w:r>
    </w:p>
    <w:p w:rsidR="00000000" w:rsidDel="00000000" w:rsidP="00000000" w:rsidRDefault="00000000" w:rsidRPr="00000000" w14:paraId="0000007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Know your client:</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another preventive measure which is taken up by the banks so as to minimize the amount of NPAs. As per this preventive measure visit are made by the bank staff to their client places and business unit so as to gather knowledge about the financial status of the client to whom bank has given loan. This help the bank to identify the problem related to repayment of the loan in the early stage which could prevent the amount of loan to turn out to be NPAs.</w:t>
      </w:r>
    </w:p>
    <w:p w:rsidR="00000000" w:rsidDel="00000000" w:rsidP="00000000" w:rsidRDefault="00000000" w:rsidRPr="00000000" w14:paraId="0000007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Credit Assessment and Risk Management Mechanism:</w:t>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Managing credit and risk is one of the best solutions to the problem of NPAs. Managing credit  risk is one of the forward looking approach as per which the quality of credit flow is managed before default take place the documentation in relation to credit policy and credo audit is done immediately after sanction of loan amount together with prudential norms helps in minimizing the credit risk to a large extent.</w:t>
      </w:r>
    </w:p>
    <w:p w:rsidR="00000000" w:rsidDel="00000000" w:rsidP="00000000" w:rsidRDefault="00000000" w:rsidRPr="00000000" w14:paraId="0000007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Restructuring of the organization;</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Restructuring of the organization by inputting new improvement within managerial efficiency, skill up gradation, proper credit assement facility, change in overall attitude of the bank towards legal action, etc can help in better management of NPAs and also reduce the credit risk.</w:t>
      </w:r>
    </w:p>
    <w:p w:rsidR="00000000" w:rsidDel="00000000" w:rsidP="00000000" w:rsidRDefault="00000000" w:rsidRPr="00000000" w14:paraId="0000007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Reduce Dependence on Interest:</w:t>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Reduction on the dependency of interest on loan and investing in securities can help the banks to earn sufficient net margin and also help in reduction of problem of NPAs.</w:t>
      </w:r>
    </w:p>
    <w:p w:rsidR="00000000" w:rsidDel="00000000" w:rsidP="00000000" w:rsidRDefault="00000000" w:rsidRPr="00000000" w14:paraId="0000007E">
      <w:pPr>
        <w:tabs>
          <w:tab w:val="left" w:pos="2592"/>
        </w:tabs>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Willful Defaulters:</w:t>
      </w:r>
    </w:p>
    <w:p w:rsidR="00000000" w:rsidDel="00000000" w:rsidP="00000000" w:rsidRDefault="00000000" w:rsidRPr="00000000" w14:paraId="0000007F">
      <w:pPr>
        <w:tabs>
          <w:tab w:val="left" w:pos="2592"/>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Willful defaulters are those personal who defaulted in meeting the obligation of the lender when it is capable of housing the obligation. On other words willful defaulter are those borrowers who utilize the fund other then those for which the particular loan was granted</w:t>
      </w:r>
      <w:r w:rsidDel="00000000" w:rsidR="00000000" w:rsidRPr="00000000">
        <w:rPr>
          <w:rFonts w:ascii="Times New Roman" w:cs="Times New Roman" w:eastAsia="Times New Roman" w:hAnsi="Times New Roman"/>
          <w:color w:val="222222"/>
          <w:sz w:val="24"/>
          <w:szCs w:val="24"/>
          <w:highlight w:val="white"/>
          <w:rtl w:val="0"/>
        </w:rPr>
        <w:t xml:space="preserve"> (Ojunrongbe,2019)</w:t>
      </w:r>
      <w:r w:rsidDel="00000000" w:rsidR="00000000" w:rsidRPr="00000000">
        <w:rPr>
          <w:rFonts w:ascii="Times New Roman" w:cs="Times New Roman" w:eastAsia="Times New Roman" w:hAnsi="Times New Roman"/>
          <w:sz w:val="24"/>
          <w:szCs w:val="24"/>
          <w:rtl w:val="0"/>
        </w:rPr>
        <w:t xml:space="preserve">. To prevent such defaulter the central bank prevent their access to capital market and also initiate legal action against such defaulters, this measures taken by the central bank helps in managing the rate of NPAs.</w:t>
      </w:r>
    </w:p>
    <w:p w:rsidR="00000000" w:rsidDel="00000000" w:rsidP="00000000" w:rsidRDefault="00000000" w:rsidRPr="00000000" w14:paraId="00000080">
      <w:pPr>
        <w:tabs>
          <w:tab w:val="left" w:pos="2592"/>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the curative management is design to maximize the rate of recovery so as to release the bank funds which are locked up in NPAs for recycling. Some of the curative measure taken up by the central government and central bank are showcased in the following paragraph.</w:t>
      </w:r>
    </w:p>
    <w:p w:rsidR="00000000" w:rsidDel="00000000" w:rsidP="00000000" w:rsidRDefault="00000000" w:rsidRPr="00000000" w14:paraId="00000081">
      <w:pPr>
        <w:tabs>
          <w:tab w:val="left" w:pos="2592"/>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Formation of creative information Bureau limited: Formation of creative information Bureau limited is another effective measure which can be undertaken to recovery the amount from the borrower so as to minimize the rate of NPAs.</w:t>
      </w:r>
    </w:p>
    <w:p w:rsidR="00000000" w:rsidDel="00000000" w:rsidP="00000000" w:rsidRDefault="00000000" w:rsidRPr="00000000" w14:paraId="00000082">
      <w:pPr>
        <w:tabs>
          <w:tab w:val="left" w:pos="2592"/>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Compromise settlement scheme :Compromise settlement scheme as per this scheme the banks are free to  implement and design their own polices in regard to recovering the loan mount and write off incorporation , negotiate settlement and compromise with the approval of the board.</w:t>
      </w:r>
    </w:p>
    <w:p w:rsidR="00000000" w:rsidDel="00000000" w:rsidP="00000000" w:rsidRDefault="00000000" w:rsidRPr="00000000" w14:paraId="00000083">
      <w:pPr>
        <w:tabs>
          <w:tab w:val="left" w:pos="2592"/>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Formation of people court: Formation of people court so as to recover small amount of loan in a speedy and authorized manner is another curative measure taken up by the government</w:t>
      </w:r>
      <w:r w:rsidDel="00000000" w:rsidR="00000000" w:rsidRPr="00000000">
        <w:rPr>
          <w:rFonts w:ascii="Times New Roman" w:cs="Times New Roman" w:eastAsia="Times New Roman" w:hAnsi="Times New Roman"/>
          <w:color w:val="222222"/>
          <w:sz w:val="24"/>
          <w:szCs w:val="24"/>
          <w:highlight w:val="white"/>
          <w:rtl w:val="0"/>
        </w:rPr>
        <w:t xml:space="preserve"> (Kumar, 2018)</w:t>
      </w:r>
      <w:r w:rsidDel="00000000" w:rsidR="00000000" w:rsidRPr="00000000">
        <w:rPr>
          <w:rFonts w:ascii="Times New Roman" w:cs="Times New Roman" w:eastAsia="Times New Roman" w:hAnsi="Times New Roman"/>
          <w:sz w:val="24"/>
          <w:szCs w:val="24"/>
          <w:rtl w:val="0"/>
        </w:rPr>
        <w:t xml:space="preserve"> . This court also legal address the soft defaulter in a cost effective manner and this is one of the easy method of settling problems related to NAPs.</w:t>
      </w:r>
    </w:p>
    <w:p w:rsidR="00000000" w:rsidDel="00000000" w:rsidP="00000000" w:rsidRDefault="00000000" w:rsidRPr="00000000" w14:paraId="00000084">
      <w:pPr>
        <w:tabs>
          <w:tab w:val="left" w:pos="2592"/>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Perusing corporate Debt restricting: It is recognizing the outstanding obligation of the distressed company, so as to restore its liquidity and keep it  in business. This is achieved by  a negotiation which is achieved between the distressed company and the creditor , this is one of the most effective measure of managing NPAs.</w:t>
      </w:r>
    </w:p>
    <w:p w:rsidR="00000000" w:rsidDel="00000000" w:rsidP="00000000" w:rsidRDefault="00000000" w:rsidRPr="00000000" w14:paraId="00000085">
      <w:pPr>
        <w:tabs>
          <w:tab w:val="left" w:pos="2592"/>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Encouraging acquisition of sick units by healthy ones: as per this measures the central government and bank encourages the healthy companies to take over the sick companies so that the sick company can revive its business and the creditor can release  its NPAs for recycling or further revenue generation.</w:t>
      </w:r>
    </w:p>
    <w:p w:rsidR="00000000" w:rsidDel="00000000" w:rsidP="00000000" w:rsidRDefault="00000000" w:rsidRPr="00000000" w14:paraId="00000086">
      <w:pPr>
        <w:tabs>
          <w:tab w:val="left" w:pos="2592"/>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Asset Reconstruction Company: this are companies which were created to tackle NAPs ,such companies purchase bad assets or NAPs from the banks at a negotiated price and thus helps the bank to clean up their balance sheet and reduce the mounting NPAs.</w:t>
      </w:r>
    </w:p>
    <w:p w:rsidR="00000000" w:rsidDel="00000000" w:rsidP="00000000" w:rsidRDefault="00000000" w:rsidRPr="00000000" w14:paraId="00000087">
      <w:pPr>
        <w:tabs>
          <w:tab w:val="left" w:pos="2592"/>
        </w:tabs>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pStyle w:val="Heading2"/>
        <w:jc w:val="both"/>
        <w:rPr/>
      </w:pPr>
      <w:bookmarkStart w:colFirst="0" w:colLast="0" w:name="_35nkun2" w:id="14"/>
      <w:bookmarkEnd w:id="14"/>
      <w:r w:rsidDel="00000000" w:rsidR="00000000" w:rsidRPr="00000000">
        <w:rPr>
          <w:rtl w:val="0"/>
        </w:rPr>
        <w:t xml:space="preserve">2.5) Impact of NPA on the profitability and liquidity of the banks: </w:t>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w:t>
      </w:r>
      <w:r w:rsidDel="00000000" w:rsidR="00000000" w:rsidRPr="00000000">
        <w:rPr>
          <w:rFonts w:ascii="Times New Roman" w:cs="Times New Roman" w:eastAsia="Times New Roman" w:hAnsi="Times New Roman"/>
          <w:color w:val="222222"/>
          <w:sz w:val="24"/>
          <w:szCs w:val="24"/>
          <w:highlight w:val="white"/>
          <w:rtl w:val="0"/>
        </w:rPr>
        <w:t xml:space="preserve"> Bellas (2014)</w:t>
      </w:r>
      <w:r w:rsidDel="00000000" w:rsidR="00000000" w:rsidRPr="00000000">
        <w:rPr>
          <w:rFonts w:ascii="Times New Roman" w:cs="Times New Roman" w:eastAsia="Times New Roman" w:hAnsi="Times New Roman"/>
          <w:sz w:val="24"/>
          <w:szCs w:val="24"/>
          <w:rtl w:val="0"/>
        </w:rPr>
        <w:t xml:space="preserve">, NPAs are those assets which has stopped generating income for the bank. Specifically NPAs are those assets which stands on the concept of ‘Past Dues’ associated with the principal amount or interest on the principal amount which the borrower has failed to give to the lender within the stipulated time frame. As per </w:t>
      </w:r>
      <w:r w:rsidDel="00000000" w:rsidR="00000000" w:rsidRPr="00000000">
        <w:rPr>
          <w:rFonts w:ascii="Times New Roman" w:cs="Times New Roman" w:eastAsia="Times New Roman" w:hAnsi="Times New Roman"/>
          <w:color w:val="222222"/>
          <w:sz w:val="24"/>
          <w:szCs w:val="24"/>
          <w:highlight w:val="white"/>
          <w:rtl w:val="0"/>
        </w:rPr>
        <w:t xml:space="preserve">Jouini (2013)</w:t>
      </w:r>
      <w:r w:rsidDel="00000000" w:rsidR="00000000" w:rsidRPr="00000000">
        <w:rPr>
          <w:rFonts w:ascii="Times New Roman" w:cs="Times New Roman" w:eastAsia="Times New Roman" w:hAnsi="Times New Roman"/>
          <w:sz w:val="24"/>
          <w:szCs w:val="24"/>
          <w:rtl w:val="0"/>
        </w:rPr>
        <w:t xml:space="preserve">, NPAs is considered as the virus which is affecting the banking sector and also stands out to be the major threat for the banking sector, since  a mounting of NPAs leys question on the efficiency of the bank in the flied of credit  risk management.</w:t>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opinion of </w:t>
      </w:r>
      <w:r w:rsidDel="00000000" w:rsidR="00000000" w:rsidRPr="00000000">
        <w:rPr>
          <w:rFonts w:ascii="Times New Roman" w:cs="Times New Roman" w:eastAsia="Times New Roman" w:hAnsi="Times New Roman"/>
          <w:color w:val="222222"/>
          <w:sz w:val="24"/>
          <w:szCs w:val="24"/>
          <w:highlight w:val="white"/>
          <w:rtl w:val="0"/>
        </w:rPr>
        <w:t xml:space="preserve">Santos (2018)</w:t>
      </w:r>
      <w:r w:rsidDel="00000000" w:rsidR="00000000" w:rsidRPr="00000000">
        <w:rPr>
          <w:rFonts w:ascii="Times New Roman" w:cs="Times New Roman" w:eastAsia="Times New Roman" w:hAnsi="Times New Roman"/>
          <w:sz w:val="24"/>
          <w:szCs w:val="24"/>
          <w:rtl w:val="0"/>
        </w:rPr>
        <w:t xml:space="preserve">, management of NPAs needs a structured legal platform and technological advancement which should be based on the core banking solution, recovery procedure and other specific indicator taken up by the banking institution. The NPA ratio is one of the most important ratios which have to be taken into consideration by the banking institution since hike in its ratio reflect bad quality of loans. Impact of NPA on the profitability and liquidity of banks is always negative since with increase in the NPAs amount their occurs a situation of capital erosion within the banking sector and the capability of bank to create credit through granting loans also reduces. On the other hand the NPA ratio indicates the quality of assets which a bank posses which further reflects the credit risk management efficiency rate of that particular bank. According to </w:t>
      </w:r>
      <w:r w:rsidDel="00000000" w:rsidR="00000000" w:rsidRPr="00000000">
        <w:rPr>
          <w:rFonts w:ascii="Times New Roman" w:cs="Times New Roman" w:eastAsia="Times New Roman" w:hAnsi="Times New Roman"/>
          <w:color w:val="222222"/>
          <w:sz w:val="24"/>
          <w:szCs w:val="24"/>
          <w:highlight w:val="white"/>
          <w:rtl w:val="0"/>
        </w:rPr>
        <w:t xml:space="preserve">Wang (2017)</w:t>
      </w:r>
      <w:r w:rsidDel="00000000" w:rsidR="00000000" w:rsidRPr="00000000">
        <w:rPr>
          <w:rFonts w:ascii="Times New Roman" w:cs="Times New Roman" w:eastAsia="Times New Roman" w:hAnsi="Times New Roman"/>
          <w:sz w:val="24"/>
          <w:szCs w:val="24"/>
          <w:rtl w:val="0"/>
        </w:rPr>
        <w:t xml:space="preserve"> NPAs act as the prudential indicator of the financial health of any banking institution and also adversely affects the profitability, solvency and liquidity of the banking institution. The bank’s viability will be jeopardizing due to continuous decline in the profit margin and continuous increase in the amount of NPAs. Apart from this, mounting NPAs reduces the interest rate of the bank and corrodes the average earning if the bank from the loan and total assets. The hike in the rate of NPAs on one hand brings down the income level of the bank and on the other hand hinders the finer Prime Lending Rates (PLR). According to the study conducted by</w:t>
      </w:r>
      <w:r w:rsidDel="00000000" w:rsidR="00000000" w:rsidRPr="00000000">
        <w:rPr>
          <w:rFonts w:ascii="Times New Roman" w:cs="Times New Roman" w:eastAsia="Times New Roman" w:hAnsi="Times New Roman"/>
          <w:color w:val="222222"/>
          <w:sz w:val="24"/>
          <w:szCs w:val="24"/>
          <w:highlight w:val="white"/>
          <w:rtl w:val="0"/>
        </w:rPr>
        <w:t xml:space="preserve"> Sukri,  (2016)</w:t>
      </w:r>
      <w:r w:rsidDel="00000000" w:rsidR="00000000" w:rsidRPr="00000000">
        <w:rPr>
          <w:rFonts w:ascii="Times New Roman" w:cs="Times New Roman" w:eastAsia="Times New Roman" w:hAnsi="Times New Roman"/>
          <w:sz w:val="24"/>
          <w:szCs w:val="24"/>
          <w:rtl w:val="0"/>
        </w:rPr>
        <w:t xml:space="preserve"> the profitability level of the bank is  enhanced by introduction of effective remedial measures for controlling the rate of NPAs. It is also evident that the increasing level of NPAs has negative impact on the achievement of the Capital Adequacy level, banking system credibility, fund mobilization and the overall productivity of the economy. Moreover the negative impact of NPAs on the profitability and liquidity is further showcased by the direct impact which it bestowed on its profitability since the banks are legally not allowed to book income and on the other hand are forced to make provision under the guide line of the central bank. </w:t>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Thus  it is clear from the above mention facts that the negative  impact of NPAs in the profitability and liquidity of the banking institute can adversely affect the financial health and stability of the banking instate if  not properly management and if proper strategic measures are not undertaken to stabilize the situation created by mounting amount of NPAs</w:t>
      </w:r>
      <w:r w:rsidDel="00000000" w:rsidR="00000000" w:rsidRPr="00000000">
        <w:rPr>
          <w:rFonts w:ascii="Times New Roman" w:cs="Times New Roman" w:eastAsia="Times New Roman" w:hAnsi="Times New Roman"/>
          <w:color w:val="222222"/>
          <w:sz w:val="24"/>
          <w:szCs w:val="24"/>
          <w:highlight w:val="white"/>
          <w:rtl w:val="0"/>
        </w:rPr>
        <w:t xml:space="preserve"> (Sukri, 2016)</w:t>
      </w:r>
      <w:r w:rsidDel="00000000" w:rsidR="00000000" w:rsidRPr="00000000">
        <w:rPr>
          <w:rFonts w:ascii="Times New Roman" w:cs="Times New Roman" w:eastAsia="Times New Roman" w:hAnsi="Times New Roman"/>
          <w:sz w:val="24"/>
          <w:szCs w:val="24"/>
          <w:rtl w:val="0"/>
        </w:rPr>
        <w:t xml:space="preserve">. So the banking institute should focus on the strategies which can reduce the problem associated with NPAs so as to ensure proper working of the banking institution</w:t>
      </w:r>
    </w:p>
    <w:p w:rsidR="00000000" w:rsidDel="00000000" w:rsidP="00000000" w:rsidRDefault="00000000" w:rsidRPr="00000000" w14:paraId="0000008C">
      <w:pPr>
        <w:pStyle w:val="Heading2"/>
        <w:rPr/>
      </w:pPr>
      <w:r w:rsidDel="00000000" w:rsidR="00000000" w:rsidRPr="00000000">
        <w:rPr>
          <w:rtl w:val="0"/>
        </w:rPr>
      </w:r>
    </w:p>
    <w:p w:rsidR="00000000" w:rsidDel="00000000" w:rsidP="00000000" w:rsidRDefault="00000000" w:rsidRPr="00000000" w14:paraId="0000008D">
      <w:pPr>
        <w:pStyle w:val="Heading2"/>
        <w:rPr/>
      </w:pPr>
      <w:bookmarkStart w:colFirst="0" w:colLast="0" w:name="_3o7alnk" w:id="15"/>
      <w:bookmarkEnd w:id="15"/>
      <w:r w:rsidDel="00000000" w:rsidR="00000000" w:rsidRPr="00000000">
        <w:rPr>
          <w:rtl w:val="0"/>
        </w:rPr>
        <w:t xml:space="preserve">2.6) Evaluating the different ways through which profitability of banks could be enhanced: </w:t>
      </w:r>
    </w:p>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financial health and stability of the banking sectors is one of the major concerns for every country because this directly links with the economic growth and success of the country. According to  </w:t>
      </w:r>
      <w:r w:rsidDel="00000000" w:rsidR="00000000" w:rsidRPr="00000000">
        <w:rPr>
          <w:rFonts w:ascii="Times New Roman" w:cs="Times New Roman" w:eastAsia="Times New Roman" w:hAnsi="Times New Roman"/>
          <w:color w:val="222222"/>
          <w:sz w:val="24"/>
          <w:szCs w:val="24"/>
          <w:highlight w:val="white"/>
          <w:rtl w:val="0"/>
        </w:rPr>
        <w:t xml:space="preserve">Dietrich and Wanzenried, (2014) </w:t>
      </w:r>
      <w:r w:rsidDel="00000000" w:rsidR="00000000" w:rsidRPr="00000000">
        <w:rPr>
          <w:rFonts w:ascii="Times New Roman" w:cs="Times New Roman" w:eastAsia="Times New Roman" w:hAnsi="Times New Roman"/>
          <w:sz w:val="24"/>
          <w:szCs w:val="24"/>
          <w:rtl w:val="0"/>
        </w:rPr>
        <w:t xml:space="preserve">there are different factors that may affect the profitability of the banks which needs to be measured by the financial institutions to ensure the enhancing profitability of the banking sectors. Therefore, the banking institutions should understand a number of strategies to enhance the profitability as well as revenue to deliver better services for the customers. The different ways through which the banking sectors can enhance the profitability of banks are as summarized below; </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Interest rates increase:  </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interest rates largely affect the profitability of banks. The increasing number of short term interest rates may reduce the profitability of banks. While, increasing number of long term interest rates has positive impact on enhancing profitability of the banking institutions. However, in short term interest rate any increasing of the rate of interests may lead to abrupt fall of the loan demands rather than demands of deposits which impacts on the net interest margins and overall profitability of the banks. Therefore, the short term interest rate creates negative impact on profitability of the bank. On the other hand by increasing the long term interest rates, the bank can charge a high amount if interest rates from the borrowers which increases revenue as well as profitability of the bank. </w:t>
      </w:r>
    </w:p>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Decrease in deposit rates: </w:t>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deposit rate also impacts the profitability and revenue of the banking institutions. By decreasing the deposit rate, the banking institutions also can reduce the costs of safety and surplus charges on the bank deposits which may increase profitability and revenue of the banking institutions. On the other hand, the decreasing of deposit rate the banks also can influence the customers to buy other products and services from the bank which may increase profitability of the banks.</w:t>
      </w:r>
    </w:p>
    <w:p w:rsidR="00000000" w:rsidDel="00000000" w:rsidP="00000000" w:rsidRDefault="00000000" w:rsidRPr="00000000" w14:paraId="0000009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Setting minimum balance: </w:t>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another way through which the banking institutions can gain profit and revenues to achieve growth in the banking sectors. By setting the minimum balance in bank, the bank can impose charge on the customers who cannot maintain the minimum balance in their accounts (</w:t>
      </w:r>
      <w:r w:rsidDel="00000000" w:rsidR="00000000" w:rsidRPr="00000000">
        <w:rPr>
          <w:rFonts w:ascii="Times New Roman" w:cs="Times New Roman" w:eastAsia="Times New Roman" w:hAnsi="Times New Roman"/>
          <w:color w:val="222222"/>
          <w:sz w:val="24"/>
          <w:szCs w:val="24"/>
          <w:highlight w:val="white"/>
          <w:rtl w:val="0"/>
        </w:rPr>
        <w:t xml:space="preserve">Petria, Capraru and Ihnatov, 2015)</w:t>
      </w:r>
      <w:r w:rsidDel="00000000" w:rsidR="00000000" w:rsidRPr="00000000">
        <w:rPr>
          <w:rFonts w:ascii="Times New Roman" w:cs="Times New Roman" w:eastAsia="Times New Roman" w:hAnsi="Times New Roman"/>
          <w:sz w:val="24"/>
          <w:szCs w:val="24"/>
          <w:rtl w:val="0"/>
        </w:rPr>
        <w:t xml:space="preserve">. Different types of charges by not maintaining the minimum balance in the bank account may lead to increasing of profit for the banks. </w:t>
      </w:r>
    </w:p>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Selling of financial products like life and non life insurance using the banking channels: </w:t>
      </w:r>
    </w:p>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various financial products such as life and non life insurance are associated with the banking institutions. Each and every bank sells different types of insurances for the customers. By selling the products including insurances at different rates, the bank also can earn profit and revenues. Different products and attractive services can attract the customers through which the profitability of the banking can be increased. </w:t>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Fees on debit and credit card transaction: </w:t>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Financial transaction is one of the key parts of any financial institutions through which the organization can transfer or receive money from other accounts. The banking institutions impose some charges on credit and debit card transactions which create positive impacts on increasing profitability and revenues of the bank (</w:t>
      </w:r>
      <w:r w:rsidDel="00000000" w:rsidR="00000000" w:rsidRPr="00000000">
        <w:rPr>
          <w:rFonts w:ascii="Times New Roman" w:cs="Times New Roman" w:eastAsia="Times New Roman" w:hAnsi="Times New Roman"/>
          <w:color w:val="222222"/>
          <w:sz w:val="24"/>
          <w:szCs w:val="24"/>
          <w:highlight w:val="white"/>
          <w:rtl w:val="0"/>
        </w:rPr>
        <w:t xml:space="preserve">Ani, Ezeudu and Ugwuanyi,  2012)</w:t>
      </w:r>
      <w:r w:rsidDel="00000000" w:rsidR="00000000" w:rsidRPr="00000000">
        <w:rPr>
          <w:rFonts w:ascii="Times New Roman" w:cs="Times New Roman" w:eastAsia="Times New Roman" w:hAnsi="Times New Roman"/>
          <w:sz w:val="24"/>
          <w:szCs w:val="24"/>
          <w:rtl w:val="0"/>
        </w:rPr>
        <w:t xml:space="preserve">. In recent days, different types of online payment app have to connect with banks for transferring payment which also requires some charges. This can increase profitability and revenue of the banks. </w:t>
      </w:r>
    </w:p>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Hefty Late fines on credit cards: </w:t>
      </w:r>
    </w:p>
    <w:p w:rsidR="00000000" w:rsidDel="00000000" w:rsidP="00000000" w:rsidRDefault="00000000" w:rsidRPr="00000000" w14:paraId="0000009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Hefty late fines on the credit cards are another way through which the banking institutions can earn profit and long term sustainability. The hefty fine is mainly imposed on the customers when individual breaches the banking rules in transactions. A huge fine also may be imposed due to severity of mistakes. The huge amount of fines imposed on the customers due to breaching the banking rules on credit cards may increase profitability and revenue of the banking institutions. </w:t>
      </w:r>
    </w:p>
    <w:p w:rsidR="00000000" w:rsidDel="00000000" w:rsidP="00000000" w:rsidRDefault="00000000" w:rsidRPr="00000000" w14:paraId="0000009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Fees on International trade facilities like issuing of Letter of Credit: </w:t>
      </w:r>
    </w:p>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manage the export sale, negotiation of the payment is the primary concern for any banks. In order to secure the payment in advance, a letter of credit is issued by the issuing bank for making the payment on behalf of the buyer. The letter of payment should be issued 180 days before the payment is made. In order to manage the international trade facilities, the letter of credit is issued. However, any kinds of breaches of the banking regulations in the international trade nay impose charges which can help to increase profitability and revenue of the banking institutions. </w:t>
      </w:r>
    </w:p>
    <w:p w:rsidR="00000000" w:rsidDel="00000000" w:rsidP="00000000" w:rsidRDefault="00000000" w:rsidRPr="00000000" w14:paraId="0000009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Other fee charged for various commercial and business banking services: </w:t>
      </w:r>
    </w:p>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bank also imposes several charges in commercial and business banking services such as international transactions, home branch and non home bank transactions and other cash transactions. In addition, the bank also imposes charges for demand draft, PIN generation and duplicate bank statements and queries of bank statements (</w:t>
      </w:r>
      <w:r w:rsidDel="00000000" w:rsidR="00000000" w:rsidRPr="00000000">
        <w:rPr>
          <w:rFonts w:ascii="Times New Roman" w:cs="Times New Roman" w:eastAsia="Times New Roman" w:hAnsi="Times New Roman"/>
          <w:color w:val="222222"/>
          <w:sz w:val="24"/>
          <w:szCs w:val="24"/>
          <w:highlight w:val="white"/>
          <w:rtl w:val="0"/>
        </w:rPr>
        <w:t xml:space="preserve">Menicucci and Paolucci, 2016)</w:t>
      </w:r>
      <w:r w:rsidDel="00000000" w:rsidR="00000000" w:rsidRPr="00000000">
        <w:rPr>
          <w:rFonts w:ascii="Times New Roman" w:cs="Times New Roman" w:eastAsia="Times New Roman" w:hAnsi="Times New Roman"/>
          <w:sz w:val="24"/>
          <w:szCs w:val="24"/>
          <w:rtl w:val="0"/>
        </w:rPr>
        <w:t xml:space="preserve">. These charges are beneficial for enhancing profitability and revenues of the bank. By maintaining these charges, the banks can maintain long term revenues and profitability.  </w:t>
      </w:r>
    </w:p>
    <w:p w:rsidR="00000000" w:rsidDel="00000000" w:rsidP="00000000" w:rsidRDefault="00000000" w:rsidRPr="00000000" w14:paraId="0000009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Imposing charges in overusing ATM: </w:t>
      </w:r>
    </w:p>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customers cannot make unlimited transactions using ATM. Each and every bank has some limit of transactions through ATM. By overusing the ATM transactions, the bank may impose charge on the account balance. This is another way of income generation for the baking institutions. Through the help of imposing charges in overusing ATM, the bank can earn profit, revenue and long term sustainability within the competitive banking sector. </w:t>
      </w:r>
    </w:p>
    <w:p w:rsidR="00000000" w:rsidDel="00000000" w:rsidP="00000000" w:rsidRDefault="00000000" w:rsidRPr="00000000" w14:paraId="000000A1">
      <w:pPr>
        <w:pStyle w:val="Heading2"/>
        <w:rPr/>
      </w:pPr>
      <w:bookmarkStart w:colFirst="0" w:colLast="0" w:name="_23ckvvd" w:id="16"/>
      <w:bookmarkEnd w:id="16"/>
      <w:r w:rsidDel="00000000" w:rsidR="00000000" w:rsidRPr="00000000">
        <w:rPr>
          <w:rtl w:val="0"/>
        </w:rPr>
        <w:t xml:space="preserve">2.7) Contemporary measures taken by some Indian banks for increasing the profitability:</w:t>
      </w:r>
    </w:p>
    <w:p w:rsidR="00000000" w:rsidDel="00000000" w:rsidP="00000000" w:rsidRDefault="00000000" w:rsidRPr="00000000" w14:paraId="000000A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Indian banking sectors contributes a large number of economic growth of the country. Different factors may affect the banking profitability which may impact on financial health of the banking institutions as well as growth of the overall economy of the country. Therefore, the banking system should take the right measures for increasing its long term profitability to achieve long term growth and sustainability. According to </w:t>
      </w:r>
      <w:r w:rsidDel="00000000" w:rsidR="00000000" w:rsidRPr="00000000">
        <w:rPr>
          <w:rFonts w:ascii="Times New Roman" w:cs="Times New Roman" w:eastAsia="Times New Roman" w:hAnsi="Times New Roman"/>
          <w:color w:val="222222"/>
          <w:sz w:val="24"/>
          <w:szCs w:val="24"/>
          <w:highlight w:val="white"/>
          <w:rtl w:val="0"/>
        </w:rPr>
        <w:t xml:space="preserve">Akhisar, Tunay and Tunay, (2015) </w:t>
      </w:r>
      <w:r w:rsidDel="00000000" w:rsidR="00000000" w:rsidRPr="00000000">
        <w:rPr>
          <w:rFonts w:ascii="Times New Roman" w:cs="Times New Roman" w:eastAsia="Times New Roman" w:hAnsi="Times New Roman"/>
          <w:sz w:val="24"/>
          <w:szCs w:val="24"/>
          <w:rtl w:val="0"/>
        </w:rPr>
        <w:t xml:space="preserve">the different contemporary measures that have been taken by the Indian banks in increasing profitability which are as summarized below; </w:t>
      </w:r>
    </w:p>
    <w:p w:rsidR="00000000" w:rsidDel="00000000" w:rsidP="00000000" w:rsidRDefault="00000000" w:rsidRPr="00000000" w14:paraId="000000A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Mergers with other financial institutions: </w:t>
      </w:r>
    </w:p>
    <w:p w:rsidR="00000000" w:rsidDel="00000000" w:rsidP="00000000" w:rsidRDefault="00000000" w:rsidRPr="00000000" w14:paraId="000000A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Merger and acquisitions with other financial institutions can be an effective step to sustain growth and profitability of the different banks. By merging the banks, different banks can enjoy the average increasing on profitability rather than the operation within single entity. in recently, the government of India has announced to merge the 10 different public banks including Union Bank of India, Canara Bank, Punjab National Bank, Allahabad bank, United Bank of India, Syndicate bank, Andhra Bank, Indian Bank, Corporation Bank and Oriental Bank of Commerce into four entities. This would be helpful for gaining average profits for all banks (</w:t>
      </w:r>
      <w:r w:rsidDel="00000000" w:rsidR="00000000" w:rsidRPr="00000000">
        <w:rPr>
          <w:rFonts w:ascii="Times New Roman" w:cs="Times New Roman" w:eastAsia="Times New Roman" w:hAnsi="Times New Roman"/>
          <w:color w:val="222222"/>
          <w:sz w:val="24"/>
          <w:szCs w:val="24"/>
          <w:highlight w:val="white"/>
          <w:rtl w:val="0"/>
        </w:rPr>
        <w:t xml:space="preserve">Ahamed, 2017)</w:t>
      </w:r>
      <w:r w:rsidDel="00000000" w:rsidR="00000000" w:rsidRPr="00000000">
        <w:rPr>
          <w:rFonts w:ascii="Times New Roman" w:cs="Times New Roman" w:eastAsia="Times New Roman" w:hAnsi="Times New Roman"/>
          <w:sz w:val="24"/>
          <w:szCs w:val="24"/>
          <w:rtl w:val="0"/>
        </w:rPr>
        <w:t xml:space="preserve">. However in order to take the merge as a measure to increase the profitability, the banks should focus upon the changes of the return on capital and interest rates. The price changes between the non financial and financial items also should be taken into considered for managing measures through mergers of the Indian banks. In addition, the financial charges, costs of the insurance, service premiums and deposit charges also should be taken into considered for increasing profitability with mergers.</w:t>
      </w:r>
    </w:p>
    <w:p w:rsidR="00000000" w:rsidDel="00000000" w:rsidP="00000000" w:rsidRDefault="00000000" w:rsidRPr="00000000" w14:paraId="000000A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Improving managerial efficiencies: </w:t>
      </w:r>
    </w:p>
    <w:p w:rsidR="00000000" w:rsidDel="00000000" w:rsidP="00000000" w:rsidRDefault="00000000" w:rsidRPr="00000000" w14:paraId="000000A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managerial efficiencies also can be taken into considered by the banking institutions in order to increase the profitability of the banks. The Indian banks provide special training for the managers to increase their knowledge and skills in assisting to increase market shares. The mangers not only assist is raising profits but also focuses upon the perceived quality of the customers for dealing with the service operations (</w:t>
      </w:r>
      <w:r w:rsidDel="00000000" w:rsidR="00000000" w:rsidRPr="00000000">
        <w:rPr>
          <w:rFonts w:ascii="Times New Roman" w:cs="Times New Roman" w:eastAsia="Times New Roman" w:hAnsi="Times New Roman"/>
          <w:color w:val="222222"/>
          <w:sz w:val="24"/>
          <w:szCs w:val="24"/>
          <w:highlight w:val="white"/>
          <w:rtl w:val="0"/>
        </w:rPr>
        <w:t xml:space="preserve">Goyal, 2013)</w:t>
      </w:r>
      <w:r w:rsidDel="00000000" w:rsidR="00000000" w:rsidRPr="00000000">
        <w:rPr>
          <w:rFonts w:ascii="Times New Roman" w:cs="Times New Roman" w:eastAsia="Times New Roman" w:hAnsi="Times New Roman"/>
          <w:sz w:val="24"/>
          <w:szCs w:val="24"/>
          <w:rtl w:val="0"/>
        </w:rPr>
        <w:t xml:space="preserve">. The efficiencies of the manager to maintain long term relationships with the customers also help in gaining profitability for the banks for long term basis. </w:t>
      </w:r>
    </w:p>
    <w:p w:rsidR="00000000" w:rsidDel="00000000" w:rsidP="00000000" w:rsidRDefault="00000000" w:rsidRPr="00000000" w14:paraId="000000A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Developing interest rate policies: </w:t>
      </w:r>
    </w:p>
    <w:p w:rsidR="00000000" w:rsidDel="00000000" w:rsidP="00000000" w:rsidRDefault="00000000" w:rsidRPr="00000000" w14:paraId="000000A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interest rates on short term and long term deposits also can be a measure for increasing profitability of the banks. In recent days, the Indian banks have reduced the interest rates for short term deposits to increase the demands of long term deposits. The short term deposits may affect the income, revenues and profitability of the banks. On the other hand, by increasing the interest rates for long term deposits the banks can earn more profit. This also increases the overall profitability of the banks. </w:t>
      </w:r>
    </w:p>
    <w:p w:rsidR="00000000" w:rsidDel="00000000" w:rsidP="00000000" w:rsidRDefault="00000000" w:rsidRPr="00000000" w14:paraId="000000A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Introducing information technologies: </w:t>
      </w:r>
    </w:p>
    <w:p w:rsidR="00000000" w:rsidDel="00000000" w:rsidP="00000000" w:rsidRDefault="00000000" w:rsidRPr="00000000" w14:paraId="000000A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 of different banking systems using information technology also can be taken into considered as a measure for increasing the profitability of the banks. Over the last few decades, the introduction of information technology has brought opportunities to introduce internet banking, SMS facilities, online transactions and use of payment apps. All of these online facilities are useful to reduce the operating costs of the banks and generates income for the banks. The income generation from such online facilities also results in increasing profitability of the banks. In addition, the ATM transactions also increase the banking profitability in India. According to the RBI rules, the customers only can make five transactions in a month. However after completing five transactions in a month, the respective bank will charge Rs 20 per transactions and 9.55 for each non financial transaction. This also generates income and profit of the banks as well. </w:t>
      </w:r>
    </w:p>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Changing the rules of cash transactions and international transactions: </w:t>
      </w:r>
    </w:p>
    <w:p w:rsidR="00000000" w:rsidDel="00000000" w:rsidP="00000000" w:rsidRDefault="00000000" w:rsidRPr="00000000" w14:paraId="000000A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Indian banks also can secure their profit from measuring cash transaction and international transaction. The customers cannot make unlimited transactions from one bank account. The bank charges for every transaction if it beyond the limits (</w:t>
      </w:r>
      <w:r w:rsidDel="00000000" w:rsidR="00000000" w:rsidRPr="00000000">
        <w:rPr>
          <w:rFonts w:ascii="Times New Roman" w:cs="Times New Roman" w:eastAsia="Times New Roman" w:hAnsi="Times New Roman"/>
          <w:color w:val="222222"/>
          <w:sz w:val="24"/>
          <w:szCs w:val="24"/>
          <w:highlight w:val="white"/>
          <w:rtl w:val="0"/>
        </w:rPr>
        <w:t xml:space="preserve">Obamuyi, 2013)</w:t>
      </w:r>
      <w:r w:rsidDel="00000000" w:rsidR="00000000" w:rsidRPr="00000000">
        <w:rPr>
          <w:rFonts w:ascii="Times New Roman" w:cs="Times New Roman" w:eastAsia="Times New Roman" w:hAnsi="Times New Roman"/>
          <w:sz w:val="24"/>
          <w:szCs w:val="24"/>
          <w:rtl w:val="0"/>
        </w:rPr>
        <w:t xml:space="preserve">. For example, SBI allows only three free transactions and if it exceeds, the bank charges Rs 50 for every transaction. This also can increase profitability of the banks. In addition, the Indian bank also charges 3- 4% for every international transaction which helps in generating incomes and profitability of the banks. </w:t>
      </w:r>
    </w:p>
    <w:p w:rsidR="00000000" w:rsidDel="00000000" w:rsidP="00000000" w:rsidRDefault="00000000" w:rsidRPr="00000000" w14:paraId="000000A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Introducing diversified banking services: </w:t>
      </w:r>
    </w:p>
    <w:p w:rsidR="00000000" w:rsidDel="00000000" w:rsidP="00000000" w:rsidRDefault="00000000" w:rsidRPr="00000000" w14:paraId="000000A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introducing the diversified banking services, the Indian banks also can secure profitability and revenues. In recent days, most of the bank has introduced different products and non financial services such as insurances, gold loans and other services. These services generate sustainable income, revenue and profitability for the banks to achieve competitive advantages over the other financial institutions. </w:t>
      </w:r>
    </w:p>
    <w:p w:rsidR="00000000" w:rsidDel="00000000" w:rsidP="00000000" w:rsidRDefault="00000000" w:rsidRPr="00000000" w14:paraId="000000AF">
      <w:pPr>
        <w:pStyle w:val="Heading2"/>
        <w:jc w:val="both"/>
        <w:rPr/>
      </w:pPr>
      <w:bookmarkStart w:colFirst="0" w:colLast="0" w:name="_ihv636" w:id="17"/>
      <w:bookmarkEnd w:id="17"/>
      <w:r w:rsidDel="00000000" w:rsidR="00000000" w:rsidRPr="00000000">
        <w:rPr>
          <w:rtl w:val="0"/>
        </w:rPr>
        <w:t xml:space="preserve">2.8) Critical Analysis of the reasons of the lack of profitability in nationalized banks of India: </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nationalized banks or public sector banks are the central of Indian banking and financial systems. However, in recent days the public sector banks are struggling to enhance their profitability for long term basis. According to…. The major issues that are lacking the profitability of the nationalized banks of India are as summarized below; </w:t>
      </w:r>
    </w:p>
    <w:p w:rsidR="00000000" w:rsidDel="00000000" w:rsidP="00000000" w:rsidRDefault="00000000" w:rsidRPr="00000000" w14:paraId="000000B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Poor Economic growth rate:  This is one of the significant reasons for slow growth of the nationalized banks of India. According to the Indian government report it is evident that the current economic growth rate is 6% which has declined from 7.4% of the previous year. However, from the report it is observed that the major reasons for economic slowdown in India are collapsing in the private consumptions due to demonetization, increasing number of debts, rollout of the GST and global slowdown. All these factors have affected the high inflation rate which results in lack of profitability of the Indian banks (</w:t>
      </w:r>
      <w:r w:rsidDel="00000000" w:rsidR="00000000" w:rsidRPr="00000000">
        <w:rPr>
          <w:rFonts w:ascii="Times New Roman" w:cs="Times New Roman" w:eastAsia="Times New Roman" w:hAnsi="Times New Roman"/>
          <w:color w:val="222222"/>
          <w:sz w:val="24"/>
          <w:szCs w:val="24"/>
          <w:highlight w:val="white"/>
          <w:rtl w:val="0"/>
        </w:rPr>
        <w:t xml:space="preserve">Sinha and Sharma, 2016)</w:t>
      </w:r>
      <w:r w:rsidDel="00000000" w:rsidR="00000000" w:rsidRPr="00000000">
        <w:rPr>
          <w:rFonts w:ascii="Times New Roman" w:cs="Times New Roman" w:eastAsia="Times New Roman" w:hAnsi="Times New Roman"/>
          <w:sz w:val="24"/>
          <w:szCs w:val="24"/>
          <w:rtl w:val="0"/>
        </w:rPr>
        <w:t xml:space="preserve">. The slow economic growth and personal spending power of the individuals also have affected the loan seekers to repay the amounts. Therefore, the poor economic growth of India is one of the significant reasons of the lack of profitability of the Indian banks. </w:t>
      </w:r>
    </w:p>
    <w:p w:rsidR="00000000" w:rsidDel="00000000" w:rsidP="00000000" w:rsidRDefault="00000000" w:rsidRPr="00000000" w14:paraId="000000B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penetration in the vast rural markets: </w:t>
      </w:r>
    </w:p>
    <w:p w:rsidR="00000000" w:rsidDel="00000000" w:rsidP="00000000" w:rsidRDefault="00000000" w:rsidRPr="00000000" w14:paraId="000000B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gap between rural and urban markets in terms of banking operations also can be considered as the significant factors that create challenges for the Indian bank to earn profitability. There are some significant factors that mainly lack the Indian banks to expand their operations in the rural areas which are income status of the rural areas, expenditure patterns, literacy rates and lack of contacts. These particular challenges are creating barriers for the Indian banks to expand their operations in the rural areas which largely impacts on the profitability, revenues and overall growth of the banking institutions. </w:t>
      </w:r>
    </w:p>
    <w:p w:rsidR="00000000" w:rsidDel="00000000" w:rsidP="00000000" w:rsidRDefault="00000000" w:rsidRPr="00000000" w14:paraId="000000B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Regulations of providing sectoral loans as mandated by government:</w:t>
      </w:r>
    </w:p>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regulations of RBI, the lenders should be registered with NBFC or as a bank of RBI. The RBI provides strict regulations, notifications, policies and guidelines for the banks to secure the loans from the lenders (</w:t>
      </w:r>
      <w:r w:rsidDel="00000000" w:rsidR="00000000" w:rsidRPr="00000000">
        <w:rPr>
          <w:rFonts w:ascii="Times New Roman" w:cs="Times New Roman" w:eastAsia="Times New Roman" w:hAnsi="Times New Roman"/>
          <w:color w:val="222222"/>
          <w:sz w:val="24"/>
          <w:szCs w:val="24"/>
          <w:highlight w:val="white"/>
          <w:rtl w:val="0"/>
        </w:rPr>
        <w:t xml:space="preserve">Pennathur, Subrahmanyam and Vishwasrao, 2012)</w:t>
      </w:r>
      <w:r w:rsidDel="00000000" w:rsidR="00000000" w:rsidRPr="00000000">
        <w:rPr>
          <w:rFonts w:ascii="Times New Roman" w:cs="Times New Roman" w:eastAsia="Times New Roman" w:hAnsi="Times New Roman"/>
          <w:sz w:val="24"/>
          <w:szCs w:val="24"/>
          <w:rtl w:val="0"/>
        </w:rPr>
        <w:t xml:space="preserve">. However, certain sectoral loans are permitted without the maintaining the regulations, policies and guidelines set by the RBI. These may affect the banks at larger scale which results in lack of profitability and income for long term basis. </w:t>
      </w:r>
    </w:p>
    <w:p w:rsidR="00000000" w:rsidDel="00000000" w:rsidP="00000000" w:rsidRDefault="00000000" w:rsidRPr="00000000" w14:paraId="000000B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degree of political interference in providing huge unsecured loans to selected parties: </w:t>
      </w:r>
    </w:p>
    <w:p w:rsidR="00000000" w:rsidDel="00000000" w:rsidP="00000000" w:rsidRDefault="00000000" w:rsidRPr="00000000" w14:paraId="000000B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Political interferences, nepotisms and power authority are the other reasons that also hamper the banking systems in India. Sometimes, the banks are forced to provide huge loans for the selected parties who have high hold of political leaders. The increasing number of unsecured loans issued by the banks also affects the profitability, income and revenue of the Indian banks.  </w:t>
      </w:r>
    </w:p>
    <w:p w:rsidR="00000000" w:rsidDel="00000000" w:rsidP="00000000" w:rsidRDefault="00000000" w:rsidRPr="00000000" w14:paraId="000000B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maintaining proper due diligence: </w:t>
      </w:r>
    </w:p>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report published by </w:t>
      </w:r>
      <w:r w:rsidDel="00000000" w:rsidR="00000000" w:rsidRPr="00000000">
        <w:rPr>
          <w:rFonts w:ascii="Times New Roman" w:cs="Times New Roman" w:eastAsia="Times New Roman" w:hAnsi="Times New Roman"/>
          <w:color w:val="222222"/>
          <w:sz w:val="24"/>
          <w:szCs w:val="24"/>
          <w:highlight w:val="white"/>
          <w:rtl w:val="0"/>
        </w:rPr>
        <w:t xml:space="preserve">Chari and Banalieva, (2015) </w:t>
      </w:r>
      <w:r w:rsidDel="00000000" w:rsidR="00000000" w:rsidRPr="00000000">
        <w:rPr>
          <w:rFonts w:ascii="Times New Roman" w:cs="Times New Roman" w:eastAsia="Times New Roman" w:hAnsi="Times New Roman"/>
          <w:sz w:val="24"/>
          <w:szCs w:val="24"/>
          <w:rtl w:val="0"/>
        </w:rPr>
        <w:t xml:space="preserve">it is evident that the bad loans in the Indian banking systems are expected to be increased if the current due diligence systems are not improved. The inefficient loan sanctioning process and relying on the third parties in India mainly faces problem to disburse the loan. This also has led to lack of profitability of the banking systems.  </w:t>
      </w:r>
    </w:p>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People don’t have proper credit history of large sections:  </w:t>
      </w:r>
    </w:p>
    <w:p w:rsidR="00000000" w:rsidDel="00000000" w:rsidP="00000000" w:rsidRDefault="00000000" w:rsidRPr="00000000" w14:paraId="000000B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Most of the banking systems do not have proper system to check the credit history of the loan seekers for large section. This has caused a number of negative impacts on the banking sectors. The banking institution should properly check the credit histories of the loan seekers before sanctioning the loans. Due to lack of checking the history, the banks have to face problem to disburse the amount which largely impacts the profitability and revenues of the organization.   </w:t>
      </w:r>
    </w:p>
    <w:p w:rsidR="00000000" w:rsidDel="00000000" w:rsidP="00000000" w:rsidRDefault="00000000" w:rsidRPr="00000000" w14:paraId="000000B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E">
      <w:pPr>
        <w:pStyle w:val="Heading1"/>
        <w:rPr>
          <w:highlight w:val="white"/>
        </w:rPr>
      </w:pPr>
      <w:bookmarkStart w:colFirst="0" w:colLast="0" w:name="_32hioqz" w:id="18"/>
      <w:bookmarkEnd w:id="18"/>
      <w:r w:rsidDel="00000000" w:rsidR="00000000" w:rsidRPr="00000000">
        <w:rPr>
          <w:highlight w:val="white"/>
          <w:rtl w:val="0"/>
        </w:rPr>
        <w:t xml:space="preserve">3)  Research Methodology:</w:t>
      </w:r>
    </w:p>
    <w:p w:rsidR="00000000" w:rsidDel="00000000" w:rsidP="00000000" w:rsidRDefault="00000000" w:rsidRPr="00000000" w14:paraId="000000BF">
      <w:pPr>
        <w:pStyle w:val="Heading2"/>
        <w:rPr>
          <w:highlight w:val="white"/>
        </w:rPr>
      </w:pPr>
      <w:bookmarkStart w:colFirst="0" w:colLast="0" w:name="_1hmsyys" w:id="19"/>
      <w:bookmarkEnd w:id="19"/>
      <w:r w:rsidDel="00000000" w:rsidR="00000000" w:rsidRPr="00000000">
        <w:rPr>
          <w:highlight w:val="white"/>
          <w:rtl w:val="0"/>
        </w:rPr>
        <w:t xml:space="preserve">3.1) Research Design:</w:t>
      </w:r>
    </w:p>
    <w:p w:rsidR="00000000" w:rsidDel="00000000" w:rsidP="00000000" w:rsidRDefault="00000000" w:rsidRPr="00000000" w14:paraId="000000C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Design as a part of the methodology provides the basic framework of the aspect of the way through which the research in a subject area would be conducted.</w:t>
      </w:r>
      <w:r w:rsidDel="00000000" w:rsidR="00000000" w:rsidRPr="00000000">
        <w:rPr>
          <w:rFonts w:ascii="Times New Roman" w:cs="Times New Roman" w:eastAsia="Times New Roman" w:hAnsi="Times New Roman"/>
          <w:color w:val="222222"/>
          <w:sz w:val="24"/>
          <w:szCs w:val="24"/>
          <w:highlight w:val="white"/>
          <w:rtl w:val="0"/>
        </w:rPr>
        <w:t xml:space="preserve"> (Lewis, 2015)</w:t>
      </w:r>
      <w:r w:rsidDel="00000000" w:rsidR="00000000" w:rsidRPr="00000000">
        <w:rPr>
          <w:rFonts w:ascii="Times New Roman" w:cs="Times New Roman" w:eastAsia="Times New Roman" w:hAnsi="Times New Roman"/>
          <w:sz w:val="24"/>
          <w:szCs w:val="24"/>
          <w:rtl w:val="0"/>
        </w:rPr>
        <w:t xml:space="preserve">  Moreover, it also helps in providing the research problem and essentially helps in taking decisions for proceedings of the entire research project. </w:t>
      </w:r>
    </w:p>
    <w:p w:rsidR="00000000" w:rsidDel="00000000" w:rsidP="00000000" w:rsidRDefault="00000000" w:rsidRPr="00000000" w14:paraId="000000C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various types of research design such as explanatory research design, exploratory research design and descriptive research design which are generally undertaken for the conducting research. In this very particular research which aims at assessing the impacts of proper credit risk management system for managing liquidity risk; a descriptive research design would be chosen. The undertaking of a descriptive research design would help in enabling to showcase the appropriate steps that needs to be taken as also how these steps could help in increasing the efficiency of the commercial banks to increase performance by reducing non performing loans.  </w:t>
      </w:r>
    </w:p>
    <w:p w:rsidR="00000000" w:rsidDel="00000000" w:rsidP="00000000" w:rsidRDefault="00000000" w:rsidRPr="00000000" w14:paraId="000000C2">
      <w:pPr>
        <w:pStyle w:val="Heading2"/>
        <w:rPr>
          <w:highlight w:val="white"/>
        </w:rPr>
      </w:pPr>
      <w:bookmarkStart w:colFirst="0" w:colLast="0" w:name="_41mghml" w:id="20"/>
      <w:bookmarkEnd w:id="20"/>
      <w:r w:rsidDel="00000000" w:rsidR="00000000" w:rsidRPr="00000000">
        <w:rPr>
          <w:highlight w:val="white"/>
          <w:rtl w:val="0"/>
        </w:rPr>
        <w:t xml:space="preserve">3.2) Research Strategy:</w:t>
      </w:r>
    </w:p>
    <w:p w:rsidR="00000000" w:rsidDel="00000000" w:rsidP="00000000" w:rsidRDefault="00000000" w:rsidRPr="00000000" w14:paraId="000000C3">
      <w:pPr>
        <w:jc w:val="both"/>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C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Research strategy is essentially one of the most vital part of the research as it helps to undertake the most appropriate strategy which would ideally enable to fulfill the objective of the research. Essentially there are two kinds of research strategy which are used in a research activity. One is qualitative research strategy and other is quantitative research strategy. Qualitative research strategy is a particular strategy where there is no use of any mathematical or financial applications; rather the issue is depicted or elaborated with theories and framework for fulfilling the objective of the research. On the other hand, a quantitative research strategy is a particular strategy where there is application of the various mathematical and financial tools or any statistical tool for analysis of the data. The results or outcome of the applications are used for generating inferences and fulfilling the objectives of the research.</w:t>
      </w:r>
    </w:p>
    <w:p w:rsidR="00000000" w:rsidDel="00000000" w:rsidP="00000000" w:rsidRDefault="00000000" w:rsidRPr="00000000" w14:paraId="000000C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This particular research aims at analyzing the the bank’s profitability and impact of NPA on liquidity and profitability; it is important to undertake quantitative techniques with help of various financial and statistical application on the published key data of the banks. Hence, it could be said that this research would adopt a quantitative research strategy. </w:t>
      </w:r>
    </w:p>
    <w:p w:rsidR="00000000" w:rsidDel="00000000" w:rsidP="00000000" w:rsidRDefault="00000000" w:rsidRPr="00000000" w14:paraId="000000C6">
      <w:pPr>
        <w:pStyle w:val="Heading2"/>
        <w:rPr/>
      </w:pPr>
      <w:bookmarkStart w:colFirst="0" w:colLast="0" w:name="_4i7ojhp" w:id="21"/>
      <w:bookmarkEnd w:id="21"/>
      <w:r w:rsidDel="00000000" w:rsidR="00000000" w:rsidRPr="00000000">
        <w:rPr>
          <w:rtl w:val="0"/>
        </w:rPr>
        <w:t xml:space="preserve">Methodology for Data Analysis</w:t>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spacing w:line="360" w:lineRule="auto"/>
        <w:jc w:val="both"/>
        <w:rPr>
          <w:rFonts w:ascii="Times New Roman" w:cs="Times New Roman" w:eastAsia="Times New Roman" w:hAnsi="Times New Roman"/>
          <w:b w:val="1"/>
          <w:color w:val="000000"/>
          <w:sz w:val="24"/>
          <w:szCs w:val="24"/>
          <w:u w:val="single"/>
        </w:rPr>
      </w:pPr>
      <w:r w:rsidDel="00000000" w:rsidR="00000000" w:rsidRPr="00000000">
        <w:rPr>
          <w:rFonts w:ascii="Times New Roman" w:cs="Times New Roman" w:eastAsia="Times New Roman" w:hAnsi="Times New Roman"/>
          <w:b w:val="1"/>
          <w:color w:val="000000"/>
          <w:sz w:val="24"/>
          <w:szCs w:val="24"/>
          <w:u w:val="single"/>
          <w:rtl w:val="0"/>
        </w:rPr>
        <w:t xml:space="preserve">Hypothesis:</w:t>
      </w:r>
    </w:p>
    <w:p w:rsidR="00000000" w:rsidDel="00000000" w:rsidP="00000000" w:rsidRDefault="00000000" w:rsidRPr="00000000" w14:paraId="000000C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main hypothesis of the research  are provided below;</w:t>
      </w:r>
    </w:p>
    <w:p w:rsidR="00000000" w:rsidDel="00000000" w:rsidP="00000000" w:rsidRDefault="00000000" w:rsidRPr="00000000" w14:paraId="000000C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H0: There is a link between the NPA and the total profitability of the banks that are operating in India.</w:t>
      </w:r>
    </w:p>
    <w:p w:rsidR="00000000" w:rsidDel="00000000" w:rsidP="00000000" w:rsidRDefault="00000000" w:rsidRPr="00000000" w14:paraId="000000C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H1: There is no link between the NPA and the total profitability of the bank</w:t>
      </w:r>
    </w:p>
    <w:p w:rsidR="00000000" w:rsidDel="00000000" w:rsidP="00000000" w:rsidRDefault="00000000" w:rsidRPr="00000000" w14:paraId="000000CC">
      <w:pPr>
        <w:spacing w:line="360" w:lineRule="auto"/>
        <w:jc w:val="both"/>
        <w:rPr>
          <w:rFonts w:ascii="Times New Roman" w:cs="Times New Roman" w:eastAsia="Times New Roman" w:hAnsi="Times New Roman"/>
          <w:b w:val="1"/>
          <w:color w:val="000000"/>
          <w:sz w:val="24"/>
          <w:szCs w:val="24"/>
          <w:u w:val="single"/>
        </w:rPr>
      </w:pPr>
      <w:r w:rsidDel="00000000" w:rsidR="00000000" w:rsidRPr="00000000">
        <w:rPr>
          <w:rFonts w:ascii="Times New Roman" w:cs="Times New Roman" w:eastAsia="Times New Roman" w:hAnsi="Times New Roman"/>
          <w:b w:val="1"/>
          <w:color w:val="000000"/>
          <w:sz w:val="24"/>
          <w:szCs w:val="24"/>
          <w:u w:val="single"/>
          <w:rtl w:val="0"/>
        </w:rPr>
        <w:t xml:space="preserve">Regression Model:</w:t>
      </w:r>
    </w:p>
    <w:p w:rsidR="00000000" w:rsidDel="00000000" w:rsidP="00000000" w:rsidRDefault="00000000" w:rsidRPr="00000000" w14:paraId="000000C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order to assess the hypothesis, a regression model has been formulated which is provided below;</w:t>
      </w:r>
    </w:p>
    <w:p w:rsidR="00000000" w:rsidDel="00000000" w:rsidP="00000000" w:rsidRDefault="00000000" w:rsidRPr="00000000" w14:paraId="000000CE">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ROA = a+b(NPA/ Total Credit)</w:t>
      </w:r>
    </w:p>
    <w:p w:rsidR="00000000" w:rsidDel="00000000" w:rsidP="00000000" w:rsidRDefault="00000000" w:rsidRPr="00000000" w14:paraId="000000CF">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NPA (Y)= a+b* Total Capital</w:t>
      </w:r>
    </w:p>
    <w:p w:rsidR="00000000" w:rsidDel="00000000" w:rsidP="00000000" w:rsidRDefault="00000000" w:rsidRPr="00000000" w14:paraId="000000D0">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NPA (Y)= a+b* Total Tier I capital</w:t>
      </w:r>
    </w:p>
    <w:p w:rsidR="00000000" w:rsidDel="00000000" w:rsidP="00000000" w:rsidRDefault="00000000" w:rsidRPr="00000000" w14:paraId="000000D1">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NPA (Y)= a+ b* Credit Card Loans </w:t>
      </w:r>
    </w:p>
    <w:p w:rsidR="00000000" w:rsidDel="00000000" w:rsidP="00000000" w:rsidRDefault="00000000" w:rsidRPr="00000000" w14:paraId="000000D2">
      <w:pPr>
        <w:rPr>
          <w:rFonts w:ascii="Times New Roman" w:cs="Times New Roman" w:eastAsia="Times New Roman" w:hAnsi="Times New Roman"/>
          <w:b w:val="1"/>
          <w:color w:val="000000"/>
          <w:sz w:val="24"/>
          <w:szCs w:val="24"/>
          <w:u w:val="single"/>
        </w:rPr>
      </w:pPr>
      <w:r w:rsidDel="00000000" w:rsidR="00000000" w:rsidRPr="00000000">
        <w:rPr>
          <w:rFonts w:ascii="Times New Roman" w:cs="Times New Roman" w:eastAsia="Times New Roman" w:hAnsi="Times New Roman"/>
          <w:b w:val="1"/>
          <w:color w:val="000000"/>
          <w:sz w:val="24"/>
          <w:szCs w:val="24"/>
          <w:u w:val="single"/>
          <w:rtl w:val="0"/>
        </w:rPr>
        <w:t xml:space="preserve">Panel Data:</w:t>
      </w:r>
    </w:p>
    <w:p w:rsidR="00000000" w:rsidDel="00000000" w:rsidP="00000000" w:rsidRDefault="00000000" w:rsidRPr="00000000" w14:paraId="000000D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 regression is a statistical tool which indeed helps to evaluate the  relation between the dependent and independent variable. In this dissertation, in order to evaluate the impact of profitability due to NPA and Total Credit, data of these figures are retrieved from the annual report of the banks. </w:t>
      </w:r>
    </w:p>
    <w:p w:rsidR="00000000" w:rsidDel="00000000" w:rsidP="00000000" w:rsidRDefault="00000000" w:rsidRPr="00000000" w14:paraId="000000D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After getting all the required data, the above regression are run for the desired action. </w:t>
      </w:r>
    </w:p>
    <w:p w:rsidR="00000000" w:rsidDel="00000000" w:rsidP="00000000" w:rsidRDefault="00000000" w:rsidRPr="00000000" w14:paraId="000000D5">
      <w:pPr>
        <w:spacing w:line="360" w:lineRule="auto"/>
        <w:jc w:val="both"/>
        <w:rPr>
          <w:rFonts w:ascii="Times New Roman" w:cs="Times New Roman" w:eastAsia="Times New Roman" w:hAnsi="Times New Roman"/>
          <w:color w:val="00b050"/>
          <w:sz w:val="24"/>
          <w:szCs w:val="24"/>
        </w:rPr>
      </w:pPr>
      <w:r w:rsidDel="00000000" w:rsidR="00000000" w:rsidRPr="00000000">
        <w:rPr>
          <w:rtl w:val="0"/>
        </w:rPr>
      </w:r>
    </w:p>
    <w:p w:rsidR="00000000" w:rsidDel="00000000" w:rsidP="00000000" w:rsidRDefault="00000000" w:rsidRPr="00000000" w14:paraId="000000D6">
      <w:pPr>
        <w:spacing w:line="360" w:lineRule="auto"/>
        <w:jc w:val="both"/>
        <w:rPr>
          <w:rFonts w:ascii="Times New Roman" w:cs="Times New Roman" w:eastAsia="Times New Roman" w:hAnsi="Times New Roman"/>
          <w:color w:val="00b050"/>
          <w:sz w:val="24"/>
          <w:szCs w:val="24"/>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pStyle w:val="Heading2"/>
        <w:spacing w:line="360" w:lineRule="auto"/>
        <w:rPr>
          <w:rFonts w:ascii="Times New Roman" w:cs="Times New Roman" w:eastAsia="Times New Roman" w:hAnsi="Times New Roman"/>
          <w:sz w:val="24"/>
          <w:szCs w:val="24"/>
          <w:highlight w:val="white"/>
        </w:rPr>
      </w:pPr>
      <w:bookmarkStart w:colFirst="0" w:colLast="0" w:name="_2grqrue" w:id="22"/>
      <w:bookmarkEnd w:id="22"/>
      <w:r w:rsidDel="00000000" w:rsidR="00000000" w:rsidRPr="00000000">
        <w:rPr>
          <w:rFonts w:ascii="Times New Roman" w:cs="Times New Roman" w:eastAsia="Times New Roman" w:hAnsi="Times New Roman"/>
          <w:sz w:val="22"/>
          <w:szCs w:val="22"/>
          <w:highlight w:val="white"/>
          <w:rtl w:val="0"/>
        </w:rPr>
        <w:t xml:space="preserve">3</w:t>
      </w:r>
      <w:r w:rsidDel="00000000" w:rsidR="00000000" w:rsidRPr="00000000">
        <w:rPr>
          <w:rFonts w:ascii="Times New Roman" w:cs="Times New Roman" w:eastAsia="Times New Roman" w:hAnsi="Times New Roman"/>
          <w:sz w:val="24"/>
          <w:szCs w:val="24"/>
          <w:highlight w:val="white"/>
          <w:rtl w:val="0"/>
        </w:rPr>
        <w:t xml:space="preserve">.3) Data Collection Technique:</w:t>
      </w:r>
    </w:p>
    <w:p w:rsidR="00000000" w:rsidDel="00000000" w:rsidP="00000000" w:rsidRDefault="00000000" w:rsidRPr="00000000" w14:paraId="000000D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Data Collection is one of the most important part of the research as collection of proper data is key for getting valid outcome. Since, this research would focus on analyzing the key indicators of a bank’s profitability and analysis of the aspect how Non performing the liquidity and profitability of banks; various key data such as Non Performing Asset data has been collected from banks published annual financial statement for the year 2018. Moreover, Reserve Bank of India’s website would be used for retrieving the data. </w:t>
      </w:r>
    </w:p>
    <w:p w:rsidR="00000000" w:rsidDel="00000000" w:rsidP="00000000" w:rsidRDefault="00000000" w:rsidRPr="00000000" w14:paraId="000000D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is for finding appropriate data for the research, various key indicators of banks such as Total Credit , Total balance Sheet size of banks, Total Deposits with the banks , Return on Assets, Return on Equity, Net Interest margin data of 25 commercial scheduled banks operating in India both as private banks or nationalized banks would be taken into consideration. These key ratios or financial data pertaining to all the commercial banks would essentially help to analyze the profitability of the banks and also would help to analyze the impact of NPA on profitability and liquidity of banks. </w:t>
      </w:r>
    </w:p>
    <w:p w:rsidR="00000000" w:rsidDel="00000000" w:rsidP="00000000" w:rsidRDefault="00000000" w:rsidRPr="00000000" w14:paraId="000000D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Since, these data would be retrieved from the all publsiohed financial statement and annual report or would be sourced from Reserve Banks of India’s (RBI) website or the respective banks official website; it could be rightly said that secondary quantitative data would be collected for the purpose of analysis. Since, this research  objective is to analyze the bank’s profitability and impact of NPA on liquidity and profitability; it is important to retrieve financial information as mentioned earlier and conduct a quantitative analysis for attaining the objective of the research. </w:t>
      </w:r>
    </w:p>
    <w:p w:rsidR="00000000" w:rsidDel="00000000" w:rsidP="00000000" w:rsidRDefault="00000000" w:rsidRPr="00000000" w14:paraId="000000DC">
      <w:pPr>
        <w:spacing w:line="360" w:lineRule="auto"/>
        <w:rPr/>
      </w:pPr>
      <w:r w:rsidDel="00000000" w:rsidR="00000000" w:rsidRPr="00000000">
        <w:rPr>
          <w:rtl w:val="0"/>
        </w:rPr>
      </w:r>
    </w:p>
    <w:p w:rsidR="00000000" w:rsidDel="00000000" w:rsidP="00000000" w:rsidRDefault="00000000" w:rsidRPr="00000000" w14:paraId="000000DD">
      <w:pPr>
        <w:pStyle w:val="Heading2"/>
        <w:rPr/>
      </w:pPr>
      <w:bookmarkStart w:colFirst="0" w:colLast="0" w:name="_1ci93xb" w:id="23"/>
      <w:bookmarkEnd w:id="23"/>
      <w:r w:rsidDel="00000000" w:rsidR="00000000" w:rsidRPr="00000000">
        <w:rPr>
          <w:rtl w:val="0"/>
        </w:rPr>
        <w:t xml:space="preserve">3.4) Method for Data Analysis:</w:t>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data which are collected from appropriate source needs to be analyzed by implementing proper statistical and financial tool which would help to fulfill the objective of the research. First and foremost, this research activity aims at finding the profitability  of the banks. So it is critically important to find the key item which reflects the profitability. Therefore, Net profit figure would be retrieved from the annual report of all the 25 banks. Furthermore, certain financial ratio such as Return on Assets and Return on Equity also reflects the profitability of banks. Therefore, these financial ratios would also be calculated with the help of appropriate formula for analyzing the profitability of different banks. </w:t>
      </w:r>
    </w:p>
    <w:p w:rsidR="00000000" w:rsidDel="00000000" w:rsidP="00000000" w:rsidRDefault="00000000" w:rsidRPr="00000000" w14:paraId="000000E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Secondly, the research also aims at analyzing the impact of Non Performing Assets of banks on liquidity and profitability. Therefore, regression would be used as a statistical tool for analyzing the said impact. So, for this purpose various linear regression would be performed with NPA data with the various profitability measures of bank. This would help to evaluate the impact on profitability due to NPA in the banks. Additionally, a regression would also be done with NPA figures of the banks with the certain key measures such as Total Credit toTotal Deposit, NPA to Total loans or debts taken by banks so as to assess the impact of NPA on liquidity of banks. </w:t>
      </w:r>
    </w:p>
    <w:p w:rsidR="00000000" w:rsidDel="00000000" w:rsidP="00000000" w:rsidRDefault="00000000" w:rsidRPr="00000000" w14:paraId="000000E1">
      <w:pPr>
        <w:pStyle w:val="Heading2"/>
        <w:spacing w:line="360" w:lineRule="auto"/>
        <w:rPr>
          <w:highlight w:val="white"/>
        </w:rPr>
      </w:pPr>
      <w:bookmarkStart w:colFirst="0" w:colLast="0" w:name="_vx1227" w:id="24"/>
      <w:bookmarkEnd w:id="24"/>
      <w:r w:rsidDel="00000000" w:rsidR="00000000" w:rsidRPr="00000000">
        <w:rPr>
          <w:highlight w:val="white"/>
          <w:rtl w:val="0"/>
        </w:rPr>
        <w:t xml:space="preserve">3.5) Ethical Consideration:</w:t>
      </w:r>
    </w:p>
    <w:p w:rsidR="00000000" w:rsidDel="00000000" w:rsidP="00000000" w:rsidRDefault="00000000" w:rsidRPr="00000000" w14:paraId="000000E2">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 research must be done with proper ethics and right ethical standards must be followed for conducting a research. So for  the purpose of maintaining utmost ethics and ethical standard certain measures would be undertaken which will embrace proper ethical standards (Flick, 2015). Therefore, for maintaining the highest level of the ethical standard, all the approvals from the university and other institution who are the part of this entire research would be taken in advance before commencing the research work. Moreover, nobody would be forced to participate in the survey process and no physical and emotional harm would be done during the interview or the survey. The participation in the interview process or the survey is absolute at the will and discretion of the participants. Finally, the data obtained from the participants and all other sources would be stored in a highly confidential location with no access to anybody else. </w:t>
      </w:r>
    </w:p>
    <w:p w:rsidR="00000000" w:rsidDel="00000000" w:rsidP="00000000" w:rsidRDefault="00000000" w:rsidRPr="00000000" w14:paraId="000000E3">
      <w:pPr>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Analysis of the key indicators of measuring  profitability of banks and the of NPS on liquidity on liquidity and profitability of bank</w:t>
      </w:r>
    </w:p>
    <w:p w:rsidR="00000000" w:rsidDel="00000000" w:rsidP="00000000" w:rsidRDefault="00000000" w:rsidRPr="00000000" w14:paraId="000000E4">
      <w:pPr>
        <w:rPr>
          <w:rFonts w:ascii="Times New Roman" w:cs="Times New Roman" w:eastAsia="Times New Roman" w:hAnsi="Times New Roman"/>
          <w:b w:val="1"/>
          <w:color w:val="222222"/>
          <w:sz w:val="24"/>
          <w:szCs w:val="24"/>
          <w:highlight w:val="white"/>
        </w:rPr>
      </w:pPr>
      <w:r w:rsidDel="00000000" w:rsidR="00000000" w:rsidRPr="00000000">
        <w:rPr>
          <w:rtl w:val="0"/>
        </w:rPr>
      </w:r>
    </w:p>
    <w:p w:rsidR="00000000" w:rsidDel="00000000" w:rsidP="00000000" w:rsidRDefault="00000000" w:rsidRPr="00000000" w14:paraId="000000E5">
      <w:pPr>
        <w:pStyle w:val="Heading1"/>
        <w:rPr>
          <w:color w:val="000000"/>
          <w:highlight w:val="white"/>
        </w:rPr>
      </w:pPr>
      <w:bookmarkStart w:colFirst="0" w:colLast="0" w:name="_2bn6wsx" w:id="25"/>
      <w:bookmarkEnd w:id="25"/>
      <w:r w:rsidDel="00000000" w:rsidR="00000000" w:rsidRPr="00000000">
        <w:rPr>
          <w:color w:val="000000"/>
          <w:highlight w:val="white"/>
          <w:rtl w:val="0"/>
        </w:rPr>
        <w:t xml:space="preserve">Chapter 4: Data Analysis</w:t>
      </w:r>
    </w:p>
    <w:p w:rsidR="00000000" w:rsidDel="00000000" w:rsidP="00000000" w:rsidRDefault="00000000" w:rsidRPr="00000000" w14:paraId="000000E6">
      <w:pPr>
        <w:rPr>
          <w:color w:val="000000"/>
        </w:rPr>
      </w:pPr>
      <w:r w:rsidDel="00000000" w:rsidR="00000000" w:rsidRPr="00000000">
        <w:rPr>
          <w:rtl w:val="0"/>
        </w:rPr>
      </w:r>
    </w:p>
    <w:p w:rsidR="00000000" w:rsidDel="00000000" w:rsidP="00000000" w:rsidRDefault="00000000" w:rsidRPr="00000000" w14:paraId="000000E7">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is for making a comprehensive analysis for analyzing the profitability in banks, various key financial ratios and key figure of different banks operating in India is assessed.  </w:t>
      </w:r>
    </w:p>
    <w:p w:rsidR="00000000" w:rsidDel="00000000" w:rsidP="00000000" w:rsidRDefault="00000000" w:rsidRPr="00000000" w14:paraId="000000E8">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Key Ratios that would be taken for Assessing the NPA of the banks various variable has been assessed of various Indian banks.  </w:t>
      </w:r>
    </w:p>
    <w:tbl>
      <w:tblPr>
        <w:tblStyle w:val="Table3"/>
        <w:tblW w:w="9483.0" w:type="dxa"/>
        <w:jc w:val="left"/>
        <w:tblInd w:w="93.0" w:type="dxa"/>
        <w:tblLayout w:type="fixed"/>
        <w:tblLook w:val="0400"/>
      </w:tblPr>
      <w:tblGrid>
        <w:gridCol w:w="2643"/>
        <w:gridCol w:w="1590"/>
        <w:gridCol w:w="1471"/>
        <w:gridCol w:w="955"/>
        <w:gridCol w:w="1531"/>
        <w:gridCol w:w="1293"/>
        <w:tblGridChange w:id="0">
          <w:tblGrid>
            <w:gridCol w:w="2643"/>
            <w:gridCol w:w="1590"/>
            <w:gridCol w:w="1471"/>
            <w:gridCol w:w="955"/>
            <w:gridCol w:w="1531"/>
            <w:gridCol w:w="1293"/>
          </w:tblGrid>
        </w:tblGridChange>
      </w:tblGrid>
      <w:tr>
        <w:trPr>
          <w:trHeight w:val="300" w:hRule="atLeast"/>
        </w:trPr>
        <w:tc>
          <w:tcPr>
            <w:tcBorders>
              <w:top w:color="000000" w:space="0" w:sz="8" w:val="single"/>
              <w:left w:color="000000" w:space="0" w:sz="0" w:val="nil"/>
              <w:bottom w:color="000000" w:space="0" w:sz="8" w:val="single"/>
              <w:right w:color="000000" w:space="0" w:sz="0" w:val="nil"/>
            </w:tcBorders>
            <w:shd w:fill="ffff00" w:val="clear"/>
            <w:vAlign w:val="bottom"/>
          </w:tcPr>
          <w:p w:rsidR="00000000" w:rsidDel="00000000" w:rsidP="00000000" w:rsidRDefault="00000000" w:rsidRPr="00000000" w14:paraId="000000E9">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Name of Banks</w:t>
            </w:r>
          </w:p>
        </w:tc>
        <w:tc>
          <w:tcPr>
            <w:tcBorders>
              <w:top w:color="000000" w:space="0" w:sz="8" w:val="single"/>
              <w:left w:color="000000" w:space="0" w:sz="8" w:val="single"/>
              <w:bottom w:color="000000" w:space="0" w:sz="8" w:val="single"/>
              <w:right w:color="000000" w:space="0" w:sz="8" w:val="single"/>
            </w:tcBorders>
            <w:shd w:fill="ffff00" w:val="clear"/>
            <w:vAlign w:val="bottom"/>
          </w:tcPr>
          <w:p w:rsidR="00000000" w:rsidDel="00000000" w:rsidP="00000000" w:rsidRDefault="00000000" w:rsidRPr="00000000" w14:paraId="000000EA">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Gross NPA</w:t>
            </w:r>
          </w:p>
        </w:tc>
        <w:tc>
          <w:tcPr>
            <w:tcBorders>
              <w:top w:color="000000" w:space="0" w:sz="8" w:val="single"/>
              <w:left w:color="000000" w:space="0" w:sz="0" w:val="nil"/>
              <w:bottom w:color="000000" w:space="0" w:sz="8" w:val="single"/>
              <w:right w:color="000000" w:space="0" w:sz="8" w:val="single"/>
            </w:tcBorders>
            <w:shd w:fill="ffff00" w:val="clear"/>
            <w:vAlign w:val="bottom"/>
          </w:tcPr>
          <w:p w:rsidR="00000000" w:rsidDel="00000000" w:rsidP="00000000" w:rsidRDefault="00000000" w:rsidRPr="00000000" w14:paraId="000000EB">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Net NPA</w:t>
            </w:r>
          </w:p>
        </w:tc>
        <w:tc>
          <w:tcPr>
            <w:tcBorders>
              <w:top w:color="000000" w:space="0" w:sz="8" w:val="single"/>
              <w:left w:color="000000" w:space="0" w:sz="0" w:val="nil"/>
              <w:bottom w:color="000000" w:space="0" w:sz="8" w:val="single"/>
              <w:right w:color="000000" w:space="0" w:sz="8" w:val="single"/>
            </w:tcBorders>
            <w:shd w:fill="ffff00" w:val="clear"/>
            <w:vAlign w:val="bottom"/>
          </w:tcPr>
          <w:p w:rsidR="00000000" w:rsidDel="00000000" w:rsidP="00000000" w:rsidRDefault="00000000" w:rsidRPr="00000000" w14:paraId="000000EC">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CAR</w:t>
            </w:r>
          </w:p>
        </w:tc>
        <w:tc>
          <w:tcPr>
            <w:tcBorders>
              <w:top w:color="000000" w:space="0" w:sz="8" w:val="single"/>
              <w:left w:color="000000" w:space="0" w:sz="0" w:val="nil"/>
              <w:bottom w:color="000000" w:space="0" w:sz="8" w:val="single"/>
              <w:right w:color="000000" w:space="0" w:sz="8" w:val="single"/>
            </w:tcBorders>
            <w:shd w:fill="ffff00" w:val="clear"/>
            <w:vAlign w:val="bottom"/>
          </w:tcPr>
          <w:p w:rsidR="00000000" w:rsidDel="00000000" w:rsidP="00000000" w:rsidRDefault="00000000" w:rsidRPr="00000000" w14:paraId="000000ED">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Tier-1 Capital </w:t>
            </w:r>
          </w:p>
        </w:tc>
        <w:tc>
          <w:tcPr>
            <w:tcBorders>
              <w:top w:color="000000" w:space="0" w:sz="8" w:val="single"/>
              <w:left w:color="000000" w:space="0" w:sz="0" w:val="nil"/>
              <w:bottom w:color="000000" w:space="0" w:sz="8" w:val="single"/>
              <w:right w:color="000000" w:space="0" w:sz="8" w:val="single"/>
            </w:tcBorders>
            <w:shd w:fill="ffff00" w:val="clear"/>
            <w:vAlign w:val="bottom"/>
          </w:tcPr>
          <w:p w:rsidR="00000000" w:rsidDel="00000000" w:rsidP="00000000" w:rsidRDefault="00000000" w:rsidRPr="00000000" w14:paraId="000000EE">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Tier-1 CAR</w:t>
            </w:r>
          </w:p>
        </w:tc>
      </w:tr>
      <w:tr>
        <w:trPr>
          <w:trHeight w:val="300" w:hRule="atLeast"/>
        </w:trPr>
        <w:tc>
          <w:tcPr>
            <w:tcBorders>
              <w:top w:color="000000" w:space="0" w:sz="0" w:val="nil"/>
              <w:left w:color="000000" w:space="0" w:sz="8" w:val="single"/>
              <w:bottom w:color="000000" w:space="0" w:sz="0" w:val="nil"/>
              <w:right w:color="000000" w:space="0" w:sz="8" w:val="single"/>
            </w:tcBorders>
            <w:shd w:fill="ffff00" w:val="clear"/>
            <w:vAlign w:val="bottom"/>
          </w:tcPr>
          <w:p w:rsidR="00000000" w:rsidDel="00000000" w:rsidP="00000000" w:rsidRDefault="00000000" w:rsidRPr="00000000" w14:paraId="000000EF">
            <w:pPr>
              <w:spacing w:after="0" w:line="240" w:lineRule="auto"/>
              <w:rPr>
                <w:rFonts w:ascii="Times New Roman" w:cs="Times New Roman" w:eastAsia="Times New Roman" w:hAnsi="Times New Roman"/>
                <w:b w:val="1"/>
                <w:i w:val="1"/>
                <w:color w:val="000000"/>
                <w:sz w:val="24"/>
                <w:szCs w:val="24"/>
                <w:u w:val="single"/>
              </w:rPr>
            </w:pPr>
            <w:r w:rsidDel="00000000" w:rsidR="00000000" w:rsidRPr="00000000">
              <w:rPr>
                <w:rFonts w:ascii="Times New Roman" w:cs="Times New Roman" w:eastAsia="Times New Roman" w:hAnsi="Times New Roman"/>
                <w:b w:val="1"/>
                <w:i w:val="1"/>
                <w:color w:val="000000"/>
                <w:sz w:val="24"/>
                <w:szCs w:val="24"/>
                <w:u w:val="single"/>
                <w:rtl w:val="0"/>
              </w:rPr>
              <w:t xml:space="preserve"> </w:t>
            </w:r>
          </w:p>
        </w:tc>
        <w:tc>
          <w:tcPr>
            <w:tcBorders>
              <w:top w:color="000000" w:space="0" w:sz="0" w:val="nil"/>
              <w:left w:color="000000" w:space="0" w:sz="0" w:val="nil"/>
              <w:bottom w:color="000000" w:space="0" w:sz="0" w:val="nil"/>
              <w:right w:color="000000" w:space="0" w:sz="8" w:val="single"/>
            </w:tcBorders>
            <w:shd w:fill="ffff00" w:val="clear"/>
            <w:vAlign w:val="bottom"/>
          </w:tcPr>
          <w:p w:rsidR="00000000" w:rsidDel="00000000" w:rsidP="00000000" w:rsidRDefault="00000000" w:rsidRPr="00000000" w14:paraId="000000F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in %)</w:t>
            </w:r>
          </w:p>
        </w:tc>
        <w:tc>
          <w:tcPr>
            <w:tcBorders>
              <w:top w:color="000000" w:space="0" w:sz="0" w:val="nil"/>
              <w:left w:color="000000" w:space="0" w:sz="0" w:val="nil"/>
              <w:bottom w:color="000000" w:space="0" w:sz="0" w:val="nil"/>
              <w:right w:color="000000" w:space="0" w:sz="8" w:val="single"/>
            </w:tcBorders>
            <w:shd w:fill="ffff00" w:val="clear"/>
            <w:vAlign w:val="bottom"/>
          </w:tcPr>
          <w:p w:rsidR="00000000" w:rsidDel="00000000" w:rsidP="00000000" w:rsidRDefault="00000000" w:rsidRPr="00000000" w14:paraId="000000F1">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in %)</w:t>
            </w:r>
          </w:p>
        </w:tc>
        <w:tc>
          <w:tcPr>
            <w:tcBorders>
              <w:top w:color="000000" w:space="0" w:sz="0" w:val="nil"/>
              <w:left w:color="000000" w:space="0" w:sz="0" w:val="nil"/>
              <w:bottom w:color="000000" w:space="0" w:sz="0" w:val="nil"/>
              <w:right w:color="000000" w:space="0" w:sz="8" w:val="single"/>
            </w:tcBorders>
            <w:shd w:fill="ffff00" w:val="clear"/>
            <w:vAlign w:val="bottom"/>
          </w:tcPr>
          <w:p w:rsidR="00000000" w:rsidDel="00000000" w:rsidP="00000000" w:rsidRDefault="00000000" w:rsidRPr="00000000" w14:paraId="000000F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 in %)</w:t>
            </w:r>
          </w:p>
        </w:tc>
        <w:tc>
          <w:tcPr>
            <w:tcBorders>
              <w:top w:color="000000" w:space="0" w:sz="0" w:val="nil"/>
              <w:left w:color="000000" w:space="0" w:sz="0" w:val="nil"/>
              <w:bottom w:color="000000" w:space="0" w:sz="0" w:val="nil"/>
              <w:right w:color="000000" w:space="0" w:sz="8" w:val="single"/>
            </w:tcBorders>
            <w:shd w:fill="ffff00" w:val="clear"/>
            <w:vAlign w:val="bottom"/>
          </w:tcPr>
          <w:p w:rsidR="00000000" w:rsidDel="00000000" w:rsidP="00000000" w:rsidRDefault="00000000" w:rsidRPr="00000000" w14:paraId="000000F3">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 Rs. Crore)</w:t>
            </w:r>
          </w:p>
        </w:tc>
        <w:tc>
          <w:tcPr>
            <w:tcBorders>
              <w:top w:color="000000" w:space="0" w:sz="0" w:val="nil"/>
              <w:left w:color="000000" w:space="0" w:sz="0" w:val="nil"/>
              <w:bottom w:color="000000" w:space="0" w:sz="0" w:val="nil"/>
              <w:right w:color="000000" w:space="0" w:sz="8" w:val="single"/>
            </w:tcBorders>
            <w:shd w:fill="ffff00" w:val="clear"/>
            <w:vAlign w:val="bottom"/>
          </w:tcPr>
          <w:p w:rsidR="00000000" w:rsidDel="00000000" w:rsidP="00000000" w:rsidRDefault="00000000" w:rsidRPr="00000000" w14:paraId="000000F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 %)</w:t>
            </w:r>
          </w:p>
        </w:tc>
      </w:tr>
      <w:tr>
        <w:trPr>
          <w:trHeight w:val="300" w:hRule="atLeast"/>
        </w:trPr>
        <w:tc>
          <w:tcPr>
            <w:tcBorders>
              <w:top w:color="000000" w:space="0" w:sz="8" w:val="single"/>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0F5">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Allahabad Bank</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F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1.77</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F7">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0.69</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F8">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12.99</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F9">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7897.4</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F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9.41</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0FB">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Axis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F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1.01</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FD">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0.26</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FE">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12.65</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FF">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18,503.49</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0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11.18</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01">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Andhra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0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1.38</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03">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0.38</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0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14.38</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05">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9,861.04</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0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9.68</w:t>
            </w:r>
          </w:p>
        </w:tc>
      </w:tr>
      <w:tr>
        <w:trPr>
          <w:trHeight w:val="320" w:hRule="atLeast"/>
        </w:trPr>
        <w:tc>
          <w:tcPr>
            <w:tcBorders>
              <w:top w:color="000000" w:space="0" w:sz="0" w:val="nil"/>
              <w:left w:color="000000" w:space="0" w:sz="8" w:val="single"/>
              <w:bottom w:color="000000" w:space="0" w:sz="0" w:val="nil"/>
              <w:right w:color="000000" w:space="0" w:sz="8" w:val="single"/>
            </w:tcBorders>
            <w:shd w:fill="auto" w:val="clear"/>
            <w:vAlign w:val="bottom"/>
          </w:tcPr>
          <w:p w:rsidR="00000000" w:rsidDel="00000000" w:rsidP="00000000" w:rsidRDefault="00000000" w:rsidRPr="00000000" w14:paraId="00000107">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Bank of Maharashtra</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08">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2.47</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09">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1.32</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0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13.35</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0B">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3368.89</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0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8.02</w:t>
            </w:r>
          </w:p>
        </w:tc>
      </w:tr>
      <w:tr>
        <w:trPr>
          <w:trHeight w:val="320" w:hRule="atLeast"/>
        </w:trPr>
        <w:tc>
          <w:tcPr>
            <w:tcBorders>
              <w:top w:color="000000" w:space="0" w:sz="8" w:val="single"/>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0D">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Bank of Baroda</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0E">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0.62</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0F">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0.19</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1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14.52</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11">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21612.95</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1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9.99</w:t>
            </w:r>
          </w:p>
        </w:tc>
      </w:tr>
      <w:tr>
        <w:trPr>
          <w:trHeight w:val="320" w:hRule="atLeast"/>
        </w:trPr>
        <w:tc>
          <w:tcPr>
            <w:tcBorders>
              <w:top w:color="000000" w:space="0" w:sz="0" w:val="nil"/>
              <w:left w:color="000000" w:space="0" w:sz="8" w:val="single"/>
              <w:bottom w:color="000000" w:space="0" w:sz="0" w:val="nil"/>
              <w:right w:color="000000" w:space="0" w:sz="8" w:val="single"/>
            </w:tcBorders>
            <w:shd w:fill="auto" w:val="clear"/>
            <w:vAlign w:val="bottom"/>
          </w:tcPr>
          <w:p w:rsidR="00000000" w:rsidDel="00000000" w:rsidP="00000000" w:rsidRDefault="00000000" w:rsidRPr="00000000" w14:paraId="00000113">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Canara Bank</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1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1.45</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15">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1.11</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1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15.38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7">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19139.01</w:t>
            </w:r>
          </w:p>
        </w:tc>
        <w:tc>
          <w:tcPr>
            <w:tcBorders>
              <w:top w:color="000000" w:space="0" w:sz="0" w:val="nil"/>
              <w:left w:color="000000" w:space="0" w:sz="8" w:val="single"/>
              <w:bottom w:color="000000" w:space="0" w:sz="0" w:val="nil"/>
              <w:right w:color="000000" w:space="0" w:sz="8" w:val="single"/>
            </w:tcBorders>
            <w:shd w:fill="auto" w:val="clear"/>
            <w:vAlign w:val="bottom"/>
          </w:tcPr>
          <w:p w:rsidR="00000000" w:rsidDel="00000000" w:rsidP="00000000" w:rsidRDefault="00000000" w:rsidRPr="00000000" w14:paraId="00000118">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10.87</w:t>
            </w:r>
          </w:p>
        </w:tc>
      </w:tr>
      <w:tr>
        <w:trPr>
          <w:trHeight w:val="320" w:hRule="atLeast"/>
        </w:trPr>
        <w:tc>
          <w:tcPr>
            <w:tcBorders>
              <w:top w:color="000000" w:space="0" w:sz="8" w:val="single"/>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19">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Corporation Bank</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1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1.32</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1B">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0.91</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1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12.9</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1D">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7,823.92</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1E">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8.69</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1F">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Dena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1.86</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1">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1.22</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13.41</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3">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3884</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9.77</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25">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Development Credit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5.88</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7">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0.98</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8">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13.25</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9">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557.53</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11.1</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2B">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Dhanlaxmi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0.74</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D">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0.3</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E">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11.8</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2F">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808</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3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9.41</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31">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IDBI</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2.47</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33">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1.57</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3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13.64</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35">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15896.81</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3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8.03</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37">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Indian Bank</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38">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0.98</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39">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0.53</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3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13.56</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3B">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8372.01</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3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11.02</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3D">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Oriental Bank of Commerce</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3E">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1.67</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3F">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0.7</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4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14.23</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41">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8119.52</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4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9.38</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43">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Punjab National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4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2.28</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45">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0.85</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4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12.42</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47">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20978.87</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48">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8.44</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49">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State Bank of India(SBI)</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4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3.28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B">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1.63</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4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13.25</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4D">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84,939</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4E">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7.6</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4F">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Syndicate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5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2.4</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51">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0.97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13.04</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53">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7413.12</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5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9.31</w:t>
            </w:r>
          </w:p>
        </w:tc>
      </w:tr>
      <w:tr>
        <w:trPr>
          <w:trHeight w:val="320" w:hRule="atLeast"/>
        </w:trPr>
        <w:tc>
          <w:tcPr>
            <w:tcBorders>
              <w:top w:color="000000" w:space="0" w:sz="0" w:val="nil"/>
              <w:left w:color="000000" w:space="0" w:sz="8" w:val="single"/>
              <w:bottom w:color="000000" w:space="0" w:sz="0" w:val="nil"/>
              <w:right w:color="000000" w:space="0" w:sz="8" w:val="single"/>
            </w:tcBorders>
            <w:shd w:fill="auto" w:val="clear"/>
            <w:vAlign w:val="bottom"/>
          </w:tcPr>
          <w:p w:rsidR="00000000" w:rsidDel="00000000" w:rsidP="00000000" w:rsidRDefault="00000000" w:rsidRPr="00000000" w14:paraId="00000155">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Union Bank of India</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5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2.37</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57">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1.19</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58">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12.95</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59">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12178</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5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8.69</w:t>
            </w:r>
          </w:p>
        </w:tc>
      </w:tr>
      <w:tr>
        <w:trPr>
          <w:trHeight w:val="300" w:hRule="atLeast"/>
        </w:trPr>
        <w:tc>
          <w:tcPr>
            <w:tcBorders>
              <w:top w:color="000000" w:space="0" w:sz="8" w:val="single"/>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5B">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HDFC Bank</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5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1.05</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5D">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0.19</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5E">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16.22</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5F">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24254.72</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6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12.23</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61">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ICICI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6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4.06</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63">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1.13</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6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19.92</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65">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50425</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6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12.72</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67">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ING Vysya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68">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2.3</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69">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0.39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12.94</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6B">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2,463.67</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6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9.36</w:t>
            </w:r>
          </w:p>
        </w:tc>
      </w:tr>
      <w:tr>
        <w:trPr>
          <w:trHeight w:val="320" w:hRule="atLeast"/>
        </w:trPr>
        <w:tc>
          <w:tcPr>
            <w:tcBorders>
              <w:top w:color="000000" w:space="0" w:sz="0" w:val="nil"/>
              <w:left w:color="000000" w:space="0" w:sz="8" w:val="single"/>
              <w:bottom w:color="000000" w:space="0" w:sz="0" w:val="nil"/>
              <w:right w:color="000000" w:space="0" w:sz="8" w:val="single"/>
            </w:tcBorders>
            <w:shd w:fill="auto" w:val="clear"/>
            <w:vAlign w:val="bottom"/>
          </w:tcPr>
          <w:p w:rsidR="00000000" w:rsidDel="00000000" w:rsidP="00000000" w:rsidRDefault="00000000" w:rsidRPr="00000000" w14:paraId="0000016D">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Karnataka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6E">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3.97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F">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1.63</w:t>
            </w:r>
          </w:p>
        </w:tc>
        <w:tc>
          <w:tcPr>
            <w:tcBorders>
              <w:top w:color="000000" w:space="0" w:sz="8" w:val="single"/>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7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13.33</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71">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2429.09</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7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9.56</w:t>
            </w:r>
          </w:p>
        </w:tc>
      </w:tr>
    </w:tbl>
    <w:p w:rsidR="00000000" w:rsidDel="00000000" w:rsidP="00000000" w:rsidRDefault="00000000" w:rsidRPr="00000000" w14:paraId="00000173">
      <w:pPr>
        <w:rPr>
          <w:rFonts w:ascii="Times New Roman" w:cs="Times New Roman" w:eastAsia="Times New Roman" w:hAnsi="Times New Roman"/>
          <w:color w:val="000000"/>
          <w:sz w:val="24"/>
          <w:szCs w:val="24"/>
        </w:rPr>
      </w:pPr>
      <w:r w:rsidDel="00000000" w:rsidR="00000000" w:rsidRPr="00000000">
        <w:rPr>
          <w:rtl w:val="0"/>
        </w:rPr>
      </w:r>
    </w:p>
    <w:tbl>
      <w:tblPr>
        <w:tblStyle w:val="Table4"/>
        <w:tblW w:w="8920.0" w:type="dxa"/>
        <w:jc w:val="left"/>
        <w:tblInd w:w="93.0" w:type="dxa"/>
        <w:tblLayout w:type="fixed"/>
        <w:tblLook w:val="0400"/>
      </w:tblPr>
      <w:tblGrid>
        <w:gridCol w:w="1000"/>
        <w:gridCol w:w="2840"/>
        <w:gridCol w:w="1840"/>
        <w:gridCol w:w="1480"/>
        <w:gridCol w:w="1760"/>
        <w:tblGridChange w:id="0">
          <w:tblGrid>
            <w:gridCol w:w="1000"/>
            <w:gridCol w:w="2840"/>
            <w:gridCol w:w="1840"/>
            <w:gridCol w:w="1480"/>
            <w:gridCol w:w="1760"/>
          </w:tblGrid>
        </w:tblGridChange>
      </w:tblGrid>
      <w:tr>
        <w:trPr>
          <w:trHeight w:val="300" w:hRule="atLeast"/>
        </w:trPr>
        <w:tc>
          <w:tcPr>
            <w:tcBorders>
              <w:top w:color="000000" w:space="0" w:sz="8" w:val="single"/>
              <w:left w:color="000000" w:space="0" w:sz="8" w:val="single"/>
              <w:bottom w:color="000000" w:space="0" w:sz="8" w:val="single"/>
              <w:right w:color="000000" w:space="0" w:sz="8" w:val="single"/>
            </w:tcBorders>
            <w:shd w:fill="ffff00" w:val="clear"/>
            <w:vAlign w:val="bottom"/>
          </w:tcPr>
          <w:p w:rsidR="00000000" w:rsidDel="00000000" w:rsidP="00000000" w:rsidRDefault="00000000" w:rsidRPr="00000000" w14:paraId="00000174">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Serial Nos.</w:t>
            </w:r>
          </w:p>
        </w:tc>
        <w:tc>
          <w:tcPr>
            <w:tcBorders>
              <w:top w:color="000000" w:space="0" w:sz="8" w:val="single"/>
              <w:left w:color="000000" w:space="0" w:sz="0" w:val="nil"/>
              <w:bottom w:color="000000" w:space="0" w:sz="8" w:val="single"/>
              <w:right w:color="000000" w:space="0" w:sz="8" w:val="single"/>
            </w:tcBorders>
            <w:shd w:fill="ffff00" w:val="clear"/>
            <w:vAlign w:val="bottom"/>
          </w:tcPr>
          <w:p w:rsidR="00000000" w:rsidDel="00000000" w:rsidP="00000000" w:rsidRDefault="00000000" w:rsidRPr="00000000" w14:paraId="00000175">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Name of Banks</w:t>
            </w:r>
          </w:p>
        </w:tc>
        <w:tc>
          <w:tcPr>
            <w:tcBorders>
              <w:top w:color="000000" w:space="0" w:sz="8" w:val="single"/>
              <w:left w:color="000000" w:space="0" w:sz="0" w:val="nil"/>
              <w:bottom w:color="000000" w:space="0" w:sz="8" w:val="single"/>
              <w:right w:color="000000" w:space="0" w:sz="8" w:val="single"/>
            </w:tcBorders>
            <w:shd w:fill="ffff00" w:val="clear"/>
            <w:vAlign w:val="bottom"/>
          </w:tcPr>
          <w:p w:rsidR="00000000" w:rsidDel="00000000" w:rsidP="00000000" w:rsidRDefault="00000000" w:rsidRPr="00000000" w14:paraId="00000176">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Total Business</w:t>
            </w:r>
          </w:p>
        </w:tc>
        <w:tc>
          <w:tcPr>
            <w:tcBorders>
              <w:top w:color="000000" w:space="0" w:sz="8" w:val="single"/>
              <w:left w:color="000000" w:space="0" w:sz="0" w:val="nil"/>
              <w:bottom w:color="000000" w:space="0" w:sz="8" w:val="single"/>
              <w:right w:color="000000" w:space="0" w:sz="0" w:val="nil"/>
            </w:tcBorders>
            <w:shd w:fill="ffff00" w:val="clear"/>
            <w:vAlign w:val="bottom"/>
          </w:tcPr>
          <w:p w:rsidR="00000000" w:rsidDel="00000000" w:rsidP="00000000" w:rsidRDefault="00000000" w:rsidRPr="00000000" w14:paraId="00000177">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Total Deposit</w:t>
            </w:r>
          </w:p>
        </w:tc>
        <w:tc>
          <w:tcPr>
            <w:tcBorders>
              <w:top w:color="000000" w:space="0" w:sz="8" w:val="single"/>
              <w:left w:color="000000" w:space="0" w:sz="8" w:val="single"/>
              <w:bottom w:color="000000" w:space="0" w:sz="8" w:val="single"/>
              <w:right w:color="000000" w:space="0" w:sz="8" w:val="single"/>
            </w:tcBorders>
            <w:shd w:fill="ffff00" w:val="clear"/>
            <w:vAlign w:val="bottom"/>
          </w:tcPr>
          <w:p w:rsidR="00000000" w:rsidDel="00000000" w:rsidP="00000000" w:rsidRDefault="00000000" w:rsidRPr="00000000" w14:paraId="00000178">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Total Credit</w:t>
            </w:r>
          </w:p>
        </w:tc>
      </w:tr>
      <w:tr>
        <w:trPr>
          <w:trHeight w:val="300" w:hRule="atLeast"/>
        </w:trPr>
        <w:tc>
          <w:tcPr>
            <w:tcBorders>
              <w:top w:color="000000" w:space="0" w:sz="0" w:val="nil"/>
              <w:left w:color="000000" w:space="0" w:sz="8" w:val="single"/>
              <w:bottom w:color="000000" w:space="0" w:sz="0" w:val="nil"/>
              <w:right w:color="000000" w:space="0" w:sz="8" w:val="single"/>
            </w:tcBorders>
            <w:shd w:fill="ffff00" w:val="clear"/>
            <w:vAlign w:val="bottom"/>
          </w:tcPr>
          <w:p w:rsidR="00000000" w:rsidDel="00000000" w:rsidP="00000000" w:rsidRDefault="00000000" w:rsidRPr="00000000" w14:paraId="00000179">
            <w:pPr>
              <w:spacing w:after="0" w:line="24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0" w:val="nil"/>
              <w:right w:color="000000" w:space="0" w:sz="8" w:val="single"/>
            </w:tcBorders>
            <w:shd w:fill="ffff00" w:val="clear"/>
            <w:vAlign w:val="bottom"/>
          </w:tcPr>
          <w:p w:rsidR="00000000" w:rsidDel="00000000" w:rsidP="00000000" w:rsidRDefault="00000000" w:rsidRPr="00000000" w14:paraId="0000017A">
            <w:pPr>
              <w:spacing w:after="0" w:line="240" w:lineRule="auto"/>
              <w:rPr>
                <w:rFonts w:ascii="Times New Roman" w:cs="Times New Roman" w:eastAsia="Times New Roman" w:hAnsi="Times New Roman"/>
                <w:b w:val="1"/>
                <w:i w:val="1"/>
                <w:color w:val="000000"/>
                <w:sz w:val="24"/>
                <w:szCs w:val="24"/>
                <w:u w:val="single"/>
              </w:rPr>
            </w:pPr>
            <w:r w:rsidDel="00000000" w:rsidR="00000000" w:rsidRPr="00000000">
              <w:rPr>
                <w:rFonts w:ascii="Times New Roman" w:cs="Times New Roman" w:eastAsia="Times New Roman" w:hAnsi="Times New Roman"/>
                <w:b w:val="1"/>
                <w:i w:val="1"/>
                <w:color w:val="000000"/>
                <w:sz w:val="24"/>
                <w:szCs w:val="24"/>
                <w:u w:val="single"/>
                <w:rtl w:val="0"/>
              </w:rPr>
              <w:t xml:space="preserve"> </w:t>
            </w:r>
          </w:p>
        </w:tc>
        <w:tc>
          <w:tcPr>
            <w:tcBorders>
              <w:top w:color="000000" w:space="0" w:sz="0" w:val="nil"/>
              <w:left w:color="000000" w:space="0" w:sz="0" w:val="nil"/>
              <w:bottom w:color="000000" w:space="0" w:sz="0" w:val="nil"/>
              <w:right w:color="000000" w:space="0" w:sz="8" w:val="single"/>
            </w:tcBorders>
            <w:shd w:fill="ffff00" w:val="clear"/>
            <w:vAlign w:val="bottom"/>
          </w:tcPr>
          <w:p w:rsidR="00000000" w:rsidDel="00000000" w:rsidP="00000000" w:rsidRDefault="00000000" w:rsidRPr="00000000" w14:paraId="0000017B">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 Rs. Crore)</w:t>
            </w:r>
          </w:p>
        </w:tc>
        <w:tc>
          <w:tcPr>
            <w:tcBorders>
              <w:top w:color="000000" w:space="0" w:sz="0" w:val="nil"/>
              <w:left w:color="000000" w:space="0" w:sz="0" w:val="nil"/>
              <w:bottom w:color="000000" w:space="0" w:sz="0" w:val="nil"/>
              <w:right w:color="000000" w:space="0" w:sz="8" w:val="single"/>
            </w:tcBorders>
            <w:shd w:fill="ffff00" w:val="clear"/>
            <w:vAlign w:val="bottom"/>
          </w:tcPr>
          <w:p w:rsidR="00000000" w:rsidDel="00000000" w:rsidP="00000000" w:rsidRDefault="00000000" w:rsidRPr="00000000" w14:paraId="0000017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 Rs. Crore)</w:t>
            </w:r>
          </w:p>
        </w:tc>
        <w:tc>
          <w:tcPr>
            <w:tcBorders>
              <w:top w:color="000000" w:space="0" w:sz="0" w:val="nil"/>
              <w:left w:color="000000" w:space="0" w:sz="0" w:val="nil"/>
              <w:bottom w:color="000000" w:space="0" w:sz="0" w:val="nil"/>
              <w:right w:color="000000" w:space="0" w:sz="8" w:val="single"/>
            </w:tcBorders>
            <w:shd w:fill="ffff00" w:val="clear"/>
            <w:vAlign w:val="bottom"/>
          </w:tcPr>
          <w:p w:rsidR="00000000" w:rsidDel="00000000" w:rsidP="00000000" w:rsidRDefault="00000000" w:rsidRPr="00000000" w14:paraId="0000017D">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 Rs. Crore)</w:t>
            </w:r>
          </w:p>
        </w:tc>
      </w:tr>
      <w:tr>
        <w:trPr>
          <w:trHeight w:val="300" w:hRule="atLeast"/>
        </w:trPr>
        <w:tc>
          <w:tcPr>
            <w:tcBorders>
              <w:top w:color="000000" w:space="0" w:sz="8" w:val="single"/>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7E">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7F">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Allahabad Bank</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8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2,38,897</w:t>
            </w:r>
          </w:p>
        </w:tc>
        <w:tc>
          <w:tcPr>
            <w:tcBorders>
              <w:top w:color="000000" w:space="0" w:sz="8" w:val="single"/>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81">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1,42,043  </w:t>
            </w:r>
          </w:p>
        </w:tc>
        <w:tc>
          <w:tcPr>
            <w:tcBorders>
              <w:top w:color="000000" w:space="0" w:sz="8" w:val="single"/>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8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96,854</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83">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84">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Axis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85">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331,645.63</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8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189,237.80</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87">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142,407.83</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88">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89">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Andhra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8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163,591.64</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8B">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92,156.28</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8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71,435.36</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8D">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4</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8E">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Bank of Maharashtra</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8F">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113,725.51</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9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66,844.74</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91">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46,880.77</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92">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5</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93">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Bank of Baroda</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9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5,34,116</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95">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305,439.48</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9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228,676.36</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97">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6</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98">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Canara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99">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506,439.82</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9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293,972.65</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9B">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212,467.17</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9C">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9D">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Corporation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9E">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2,03,598</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9F">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116,747.50</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A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86,850.40</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A1">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A2">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Dena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A3">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1,09,372.99</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A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64,209.62</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A5">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45,163.37</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A6">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A7">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Development Credit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A8">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9,881.62</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A9">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5,610.17</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A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4,271.45</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AB">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AC">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Dhanlaxmi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AD">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21,651.25</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AE">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9,121.62</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AF">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12,529.63</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B0">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B1">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IDBI</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B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205,868.90</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B3">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167667.1</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B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38,201.80</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B5">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12</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B6">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Indian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B7">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181,054.09</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B8">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105,804.18</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B9">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75,249.91</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BA">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BB">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Oriental Bank of Commerce</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B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235893.16</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BD">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139,054.26</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BE">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95,908.22</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BF">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14</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C0">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Punjab National Bank</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C1">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555005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433224</w:t>
            </w:r>
          </w:p>
        </w:tc>
        <w:tc>
          <w:tcPr>
            <w:tcBorders>
              <w:top w:color="000000" w:space="0" w:sz="0" w:val="nil"/>
              <w:left w:color="000000" w:space="0" w:sz="8" w:val="single"/>
              <w:bottom w:color="000000" w:space="0" w:sz="0" w:val="nil"/>
              <w:right w:color="000000" w:space="0" w:sz="8" w:val="single"/>
            </w:tcBorders>
            <w:shd w:fill="auto" w:val="clear"/>
            <w:vAlign w:val="bottom"/>
          </w:tcPr>
          <w:p w:rsidR="00000000" w:rsidDel="00000000" w:rsidP="00000000" w:rsidRDefault="00000000" w:rsidRPr="00000000" w14:paraId="000001C3">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242107</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C4">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15</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C5">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State Bank of India(SBI)</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C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1,690,652.26</w:t>
            </w:r>
          </w:p>
        </w:tc>
        <w:tc>
          <w:tcPr>
            <w:tcBorders>
              <w:top w:color="000000" w:space="0" w:sz="8" w:val="single"/>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C7">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933,932.81</w:t>
            </w:r>
          </w:p>
        </w:tc>
        <w:tc>
          <w:tcPr>
            <w:tcBorders>
              <w:top w:color="000000" w:space="0" w:sz="8" w:val="single"/>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C8">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756,719.45</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C9">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16</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CA">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Syndicate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CB">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242,378.00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C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135,596.08</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CD">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106,781.92</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CE">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17</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CF">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Union Bank of India</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D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355483</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D1">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202,461.29</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D2">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1,53,022</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D3">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18</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D4">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HDFC Bank</w:t>
            </w:r>
          </w:p>
        </w:tc>
        <w:tc>
          <w:tcPr>
            <w:tcBorders>
              <w:top w:color="000000" w:space="0" w:sz="0" w:val="nil"/>
              <w:left w:color="000000" w:space="0" w:sz="0" w:val="nil"/>
              <w:bottom w:color="000000" w:space="0" w:sz="0" w:val="nil"/>
              <w:right w:color="000000" w:space="0" w:sz="8" w:val="single"/>
            </w:tcBorders>
            <w:shd w:fill="auto" w:val="clear"/>
            <w:vAlign w:val="bottom"/>
          </w:tcPr>
          <w:p w:rsidR="00000000" w:rsidDel="00000000" w:rsidP="00000000" w:rsidRDefault="00000000" w:rsidRPr="00000000" w14:paraId="000001D5">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368,569</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D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208,586.41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7">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159,982.67</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D8">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19</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D9">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ICICI Bank</w:t>
            </w:r>
          </w:p>
        </w:tc>
        <w:tc>
          <w:tcPr>
            <w:tcBorders>
              <w:top w:color="000000" w:space="0" w:sz="8" w:val="single"/>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D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441,968.01</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DB">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225,602.11</w:t>
            </w:r>
          </w:p>
        </w:tc>
        <w:tc>
          <w:tcPr>
            <w:tcBorders>
              <w:top w:color="000000" w:space="0" w:sz="8" w:val="single"/>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DC">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216,365.90</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DD">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20</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DE">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ING Vysya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DF">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53,796.39</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E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30,194.25</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E1">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23,602.14</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E2">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21</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E3">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Karnataka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E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44,684.52</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E5">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27,336.45</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E6">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17,348.07</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E7">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22</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E8">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Laxmi Vilas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E9">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19,243.93</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E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11,149.51</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EB">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8,094.42</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EC">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23</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ED">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Yes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EE">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80,302.57</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EF">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45,938.93</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F0">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34,363.64</w:t>
            </w:r>
          </w:p>
        </w:tc>
      </w:tr>
      <w:tr>
        <w:trPr>
          <w:trHeight w:val="32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F1">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24</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F2">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IndusInd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F3">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60,531.02</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F4">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34,365.37</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F5">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26,165.65</w:t>
            </w:r>
          </w:p>
        </w:tc>
      </w:tr>
      <w:tr>
        <w:trPr>
          <w:trHeight w:val="300" w:hRule="atLeast"/>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F6">
            <w:pPr>
              <w:spacing w:after="0" w:line="24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25</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F7">
            <w:pPr>
              <w:spacing w:after="0" w:line="24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Kotak Mahindra Bank</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1F8">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58,590.28</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1F9">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29,260.97</w:t>
            </w:r>
          </w:p>
        </w:tc>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1FA">
            <w:pPr>
              <w:spacing w:after="0" w:line="240" w:lineRule="auto"/>
              <w:jc w:val="right"/>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29,329.31</w:t>
            </w:r>
          </w:p>
        </w:tc>
      </w:tr>
    </w:tbl>
    <w:p w:rsidR="00000000" w:rsidDel="00000000" w:rsidP="00000000" w:rsidRDefault="00000000" w:rsidRPr="00000000" w14:paraId="000001FB">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FC">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NPA would be assessed with various variable such as total Business, Total Credit, CARm Tier I and Tier II capital Lending to Credit cards. </w:t>
      </w:r>
    </w:p>
    <w:p w:rsidR="00000000" w:rsidDel="00000000" w:rsidP="00000000" w:rsidRDefault="00000000" w:rsidRPr="00000000" w14:paraId="000001FD">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 a regression would be done with all these variable with NPA as the Y variable and  other as the X variable</w:t>
      </w:r>
    </w:p>
    <w:p w:rsidR="00000000" w:rsidDel="00000000" w:rsidP="00000000" w:rsidRDefault="00000000" w:rsidRPr="00000000" w14:paraId="000001FE">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w:t>
      </w:r>
    </w:p>
    <w:p w:rsidR="00000000" w:rsidDel="00000000" w:rsidP="00000000" w:rsidRDefault="00000000" w:rsidRPr="00000000" w14:paraId="000001FF">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ROA = a+b(NPA/ Total Credit)</w:t>
      </w:r>
    </w:p>
    <w:p w:rsidR="00000000" w:rsidDel="00000000" w:rsidP="00000000" w:rsidRDefault="00000000" w:rsidRPr="00000000" w14:paraId="00000200">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NPA (Y)= a+b* Total Capital</w:t>
      </w:r>
    </w:p>
    <w:p w:rsidR="00000000" w:rsidDel="00000000" w:rsidP="00000000" w:rsidRDefault="00000000" w:rsidRPr="00000000" w14:paraId="00000201">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NPA (Y)= a+b* Total Tier I capital</w:t>
      </w:r>
    </w:p>
    <w:p w:rsidR="00000000" w:rsidDel="00000000" w:rsidP="00000000" w:rsidRDefault="00000000" w:rsidRPr="00000000" w14:paraId="00000202">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NPA (Y)= a+ b* Credit Card Loans </w:t>
      </w:r>
    </w:p>
    <w:p w:rsidR="00000000" w:rsidDel="00000000" w:rsidP="00000000" w:rsidRDefault="00000000" w:rsidRPr="00000000" w14:paraId="00000203">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204">
      <w:pPr>
        <w:rPr>
          <w:rFonts w:ascii="Times New Roman" w:cs="Times New Roman" w:eastAsia="Times New Roman" w:hAnsi="Times New Roman"/>
          <w:b w:val="1"/>
          <w:color w:val="000000"/>
          <w:sz w:val="24"/>
          <w:szCs w:val="24"/>
          <w:u w:val="single"/>
        </w:rPr>
      </w:pPr>
      <w:r w:rsidDel="00000000" w:rsidR="00000000" w:rsidRPr="00000000">
        <w:rPr>
          <w:rFonts w:ascii="Times New Roman" w:cs="Times New Roman" w:eastAsia="Times New Roman" w:hAnsi="Times New Roman"/>
          <w:b w:val="1"/>
          <w:color w:val="000000"/>
          <w:sz w:val="24"/>
          <w:szCs w:val="24"/>
          <w:u w:val="single"/>
          <w:rtl w:val="0"/>
        </w:rPr>
        <w:t xml:space="preserve">3) ROA Vs. (NPA/ Total Credit)</w:t>
      </w:r>
    </w:p>
    <w:p w:rsidR="00000000" w:rsidDel="00000000" w:rsidP="00000000" w:rsidRDefault="00000000" w:rsidRPr="00000000" w14:paraId="00000205">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ROA = a+b(NPA/ Total Credit)</w:t>
      </w:r>
    </w:p>
    <w:p w:rsidR="00000000" w:rsidDel="00000000" w:rsidP="00000000" w:rsidRDefault="00000000" w:rsidRPr="00000000" w14:paraId="00000206">
      <w:pPr>
        <w:rPr>
          <w:rFonts w:ascii="Times New Roman" w:cs="Times New Roman" w:eastAsia="Times New Roman" w:hAnsi="Times New Roman"/>
          <w:b w:val="1"/>
          <w:color w:val="000000"/>
          <w:sz w:val="24"/>
          <w:szCs w:val="24"/>
          <w:u w:val="single"/>
        </w:rPr>
      </w:pPr>
      <w:r w:rsidDel="00000000" w:rsidR="00000000" w:rsidRPr="00000000">
        <w:rPr>
          <w:rtl w:val="0"/>
        </w:rPr>
      </w:r>
    </w:p>
    <w:p w:rsidR="00000000" w:rsidDel="00000000" w:rsidP="00000000" w:rsidRDefault="00000000" w:rsidRPr="00000000" w14:paraId="00000207">
      <w:pPr>
        <w:rPr>
          <w:rFonts w:ascii="Times New Roman" w:cs="Times New Roman" w:eastAsia="Times New Roman" w:hAnsi="Times New Roman"/>
          <w:b w:val="1"/>
          <w:color w:val="000000"/>
          <w:sz w:val="24"/>
          <w:szCs w:val="24"/>
          <w:u w:val="single"/>
        </w:rPr>
      </w:pPr>
      <w:r w:rsidDel="00000000" w:rsidR="00000000" w:rsidRPr="00000000">
        <w:rPr>
          <w:rtl w:val="0"/>
        </w:rPr>
      </w:r>
    </w:p>
    <w:tbl>
      <w:tblPr>
        <w:tblStyle w:val="Table5"/>
        <w:tblW w:w="10678.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1858"/>
        <w:gridCol w:w="1416"/>
        <w:gridCol w:w="1120"/>
        <w:gridCol w:w="1053"/>
        <w:gridCol w:w="1053"/>
        <w:gridCol w:w="1275"/>
        <w:gridCol w:w="941"/>
        <w:gridCol w:w="980"/>
        <w:gridCol w:w="983"/>
        <w:tblGridChange w:id="0">
          <w:tblGrid>
            <w:gridCol w:w="1858"/>
            <w:gridCol w:w="1416"/>
            <w:gridCol w:w="1120"/>
            <w:gridCol w:w="1053"/>
            <w:gridCol w:w="1053"/>
            <w:gridCol w:w="1275"/>
            <w:gridCol w:w="941"/>
            <w:gridCol w:w="980"/>
            <w:gridCol w:w="983"/>
          </w:tblGrid>
        </w:tblGridChange>
      </w:tblGrid>
      <w:tr>
        <w:trPr>
          <w:trHeight w:val="320" w:hRule="atLeast"/>
        </w:trPr>
        <w:tc>
          <w:tcPr>
            <w:gridSpan w:val="2"/>
          </w:tcPr>
          <w:p w:rsidR="00000000" w:rsidDel="00000000" w:rsidP="00000000" w:rsidRDefault="00000000" w:rsidRPr="00000000" w14:paraId="00000208">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Regression Statistics</w:t>
            </w:r>
          </w:p>
        </w:tc>
        <w:tc>
          <w:tcPr/>
          <w:p w:rsidR="00000000" w:rsidDel="00000000" w:rsidP="00000000" w:rsidRDefault="00000000" w:rsidRPr="00000000" w14:paraId="0000020A">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0B">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0C">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0D">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0E">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0F">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10">
            <w:pPr>
              <w:rPr>
                <w:rFonts w:ascii="Calibri" w:cs="Calibri" w:eastAsia="Calibri" w:hAnsi="Calibri"/>
                <w:color w:val="000000"/>
              </w:rPr>
            </w:pPr>
            <w:r w:rsidDel="00000000" w:rsidR="00000000" w:rsidRPr="00000000">
              <w:rPr>
                <w:rtl w:val="0"/>
              </w:rPr>
            </w:r>
          </w:p>
        </w:tc>
      </w:tr>
      <w:tr>
        <w:trPr>
          <w:trHeight w:val="320" w:hRule="atLeast"/>
        </w:trPr>
        <w:tc>
          <w:tcPr/>
          <w:p w:rsidR="00000000" w:rsidDel="00000000" w:rsidP="00000000" w:rsidRDefault="00000000" w:rsidRPr="00000000" w14:paraId="00000211">
            <w:pPr>
              <w:rPr>
                <w:rFonts w:ascii="Calibri" w:cs="Calibri" w:eastAsia="Calibri" w:hAnsi="Calibri"/>
                <w:color w:val="000000"/>
              </w:rPr>
            </w:pPr>
            <w:r w:rsidDel="00000000" w:rsidR="00000000" w:rsidRPr="00000000">
              <w:rPr>
                <w:rFonts w:ascii="Calibri" w:cs="Calibri" w:eastAsia="Calibri" w:hAnsi="Calibri"/>
                <w:color w:val="000000"/>
                <w:rtl w:val="0"/>
              </w:rPr>
              <w:t xml:space="preserve">Multiple R</w:t>
            </w:r>
          </w:p>
        </w:tc>
        <w:tc>
          <w:tcPr/>
          <w:p w:rsidR="00000000" w:rsidDel="00000000" w:rsidP="00000000" w:rsidRDefault="00000000" w:rsidRPr="00000000" w14:paraId="00000212">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0.16482551</w:t>
            </w:r>
          </w:p>
        </w:tc>
        <w:tc>
          <w:tcPr/>
          <w:p w:rsidR="00000000" w:rsidDel="00000000" w:rsidP="00000000" w:rsidRDefault="00000000" w:rsidRPr="00000000" w14:paraId="00000213">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14">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15">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16">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17">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18">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19">
            <w:pPr>
              <w:rPr>
                <w:rFonts w:ascii="Calibri" w:cs="Calibri" w:eastAsia="Calibri" w:hAnsi="Calibri"/>
                <w:color w:val="000000"/>
              </w:rPr>
            </w:pPr>
            <w:r w:rsidDel="00000000" w:rsidR="00000000" w:rsidRPr="00000000">
              <w:rPr>
                <w:rtl w:val="0"/>
              </w:rPr>
            </w:r>
          </w:p>
        </w:tc>
      </w:tr>
      <w:tr>
        <w:trPr>
          <w:trHeight w:val="320" w:hRule="atLeast"/>
        </w:trPr>
        <w:tc>
          <w:tcPr/>
          <w:p w:rsidR="00000000" w:rsidDel="00000000" w:rsidP="00000000" w:rsidRDefault="00000000" w:rsidRPr="00000000" w14:paraId="0000021A">
            <w:pPr>
              <w:rPr>
                <w:rFonts w:ascii="Calibri" w:cs="Calibri" w:eastAsia="Calibri" w:hAnsi="Calibri"/>
                <w:color w:val="000000"/>
              </w:rPr>
            </w:pPr>
            <w:r w:rsidDel="00000000" w:rsidR="00000000" w:rsidRPr="00000000">
              <w:rPr>
                <w:rFonts w:ascii="Calibri" w:cs="Calibri" w:eastAsia="Calibri" w:hAnsi="Calibri"/>
                <w:color w:val="000000"/>
                <w:rtl w:val="0"/>
              </w:rPr>
              <w:t xml:space="preserve">R Square</w:t>
            </w:r>
          </w:p>
        </w:tc>
        <w:tc>
          <w:tcPr/>
          <w:p w:rsidR="00000000" w:rsidDel="00000000" w:rsidP="00000000" w:rsidRDefault="00000000" w:rsidRPr="00000000" w14:paraId="0000021B">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0.027167449</w:t>
            </w:r>
          </w:p>
        </w:tc>
        <w:tc>
          <w:tcPr/>
          <w:p w:rsidR="00000000" w:rsidDel="00000000" w:rsidP="00000000" w:rsidRDefault="00000000" w:rsidRPr="00000000" w14:paraId="0000021C">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1D">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1E">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1F">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20">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21">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22">
            <w:pPr>
              <w:rPr>
                <w:rFonts w:ascii="Calibri" w:cs="Calibri" w:eastAsia="Calibri" w:hAnsi="Calibri"/>
                <w:color w:val="000000"/>
              </w:rPr>
            </w:pPr>
            <w:r w:rsidDel="00000000" w:rsidR="00000000" w:rsidRPr="00000000">
              <w:rPr>
                <w:rtl w:val="0"/>
              </w:rPr>
            </w:r>
          </w:p>
        </w:tc>
      </w:tr>
      <w:tr>
        <w:trPr>
          <w:trHeight w:val="320" w:hRule="atLeast"/>
        </w:trPr>
        <w:tc>
          <w:tcPr/>
          <w:p w:rsidR="00000000" w:rsidDel="00000000" w:rsidP="00000000" w:rsidRDefault="00000000" w:rsidRPr="00000000" w14:paraId="00000223">
            <w:pPr>
              <w:rPr>
                <w:rFonts w:ascii="Calibri" w:cs="Calibri" w:eastAsia="Calibri" w:hAnsi="Calibri"/>
                <w:color w:val="000000"/>
              </w:rPr>
            </w:pPr>
            <w:r w:rsidDel="00000000" w:rsidR="00000000" w:rsidRPr="00000000">
              <w:rPr>
                <w:rFonts w:ascii="Calibri" w:cs="Calibri" w:eastAsia="Calibri" w:hAnsi="Calibri"/>
                <w:color w:val="000000"/>
                <w:rtl w:val="0"/>
              </w:rPr>
              <w:t xml:space="preserve">Adjusted R Square</w:t>
            </w:r>
          </w:p>
        </w:tc>
        <w:tc>
          <w:tcPr/>
          <w:p w:rsidR="00000000" w:rsidDel="00000000" w:rsidP="00000000" w:rsidRDefault="00000000" w:rsidRPr="00000000" w14:paraId="00000224">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-0.024034264</w:t>
            </w:r>
          </w:p>
        </w:tc>
        <w:tc>
          <w:tcPr/>
          <w:p w:rsidR="00000000" w:rsidDel="00000000" w:rsidP="00000000" w:rsidRDefault="00000000" w:rsidRPr="00000000" w14:paraId="00000225">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26">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27">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28">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29">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2A">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2B">
            <w:pPr>
              <w:rPr>
                <w:rFonts w:ascii="Calibri" w:cs="Calibri" w:eastAsia="Calibri" w:hAnsi="Calibri"/>
                <w:color w:val="000000"/>
              </w:rPr>
            </w:pPr>
            <w:r w:rsidDel="00000000" w:rsidR="00000000" w:rsidRPr="00000000">
              <w:rPr>
                <w:rtl w:val="0"/>
              </w:rPr>
            </w:r>
          </w:p>
        </w:tc>
      </w:tr>
      <w:tr>
        <w:trPr>
          <w:trHeight w:val="320" w:hRule="atLeast"/>
        </w:trPr>
        <w:tc>
          <w:tcPr/>
          <w:p w:rsidR="00000000" w:rsidDel="00000000" w:rsidP="00000000" w:rsidRDefault="00000000" w:rsidRPr="00000000" w14:paraId="0000022C">
            <w:pPr>
              <w:rPr>
                <w:rFonts w:ascii="Calibri" w:cs="Calibri" w:eastAsia="Calibri" w:hAnsi="Calibri"/>
                <w:color w:val="000000"/>
              </w:rPr>
            </w:pPr>
            <w:r w:rsidDel="00000000" w:rsidR="00000000" w:rsidRPr="00000000">
              <w:rPr>
                <w:rFonts w:ascii="Calibri" w:cs="Calibri" w:eastAsia="Calibri" w:hAnsi="Calibri"/>
                <w:color w:val="000000"/>
                <w:rtl w:val="0"/>
              </w:rPr>
              <w:t xml:space="preserve">Standard Error</w:t>
            </w:r>
          </w:p>
        </w:tc>
        <w:tc>
          <w:tcPr/>
          <w:p w:rsidR="00000000" w:rsidDel="00000000" w:rsidP="00000000" w:rsidRDefault="00000000" w:rsidRPr="00000000" w14:paraId="0000022D">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1.298726208</w:t>
            </w:r>
          </w:p>
        </w:tc>
        <w:tc>
          <w:tcPr/>
          <w:p w:rsidR="00000000" w:rsidDel="00000000" w:rsidP="00000000" w:rsidRDefault="00000000" w:rsidRPr="00000000" w14:paraId="0000022E">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2F">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30">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31">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32">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33">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34">
            <w:pPr>
              <w:rPr>
                <w:rFonts w:ascii="Calibri" w:cs="Calibri" w:eastAsia="Calibri" w:hAnsi="Calibri"/>
                <w:color w:val="000000"/>
              </w:rPr>
            </w:pPr>
            <w:r w:rsidDel="00000000" w:rsidR="00000000" w:rsidRPr="00000000">
              <w:rPr>
                <w:rtl w:val="0"/>
              </w:rPr>
            </w:r>
          </w:p>
        </w:tc>
      </w:tr>
      <w:tr>
        <w:trPr>
          <w:trHeight w:val="340" w:hRule="atLeast"/>
        </w:trPr>
        <w:tc>
          <w:tcPr/>
          <w:p w:rsidR="00000000" w:rsidDel="00000000" w:rsidP="00000000" w:rsidRDefault="00000000" w:rsidRPr="00000000" w14:paraId="00000235">
            <w:pPr>
              <w:rPr>
                <w:rFonts w:ascii="Calibri" w:cs="Calibri" w:eastAsia="Calibri" w:hAnsi="Calibri"/>
                <w:color w:val="000000"/>
              </w:rPr>
            </w:pPr>
            <w:r w:rsidDel="00000000" w:rsidR="00000000" w:rsidRPr="00000000">
              <w:rPr>
                <w:rFonts w:ascii="Calibri" w:cs="Calibri" w:eastAsia="Calibri" w:hAnsi="Calibri"/>
                <w:color w:val="000000"/>
                <w:rtl w:val="0"/>
              </w:rPr>
              <w:t xml:space="preserve">Observations</w:t>
            </w:r>
          </w:p>
        </w:tc>
        <w:tc>
          <w:tcPr/>
          <w:p w:rsidR="00000000" w:rsidDel="00000000" w:rsidP="00000000" w:rsidRDefault="00000000" w:rsidRPr="00000000" w14:paraId="00000236">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21</w:t>
            </w:r>
          </w:p>
        </w:tc>
        <w:tc>
          <w:tcPr/>
          <w:p w:rsidR="00000000" w:rsidDel="00000000" w:rsidP="00000000" w:rsidRDefault="00000000" w:rsidRPr="00000000" w14:paraId="00000237">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38">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39">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3A">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3B">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3C">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3D">
            <w:pPr>
              <w:rPr>
                <w:rFonts w:ascii="Calibri" w:cs="Calibri" w:eastAsia="Calibri" w:hAnsi="Calibri"/>
                <w:color w:val="000000"/>
              </w:rPr>
            </w:pPr>
            <w:r w:rsidDel="00000000" w:rsidR="00000000" w:rsidRPr="00000000">
              <w:rPr>
                <w:rtl w:val="0"/>
              </w:rPr>
            </w:r>
          </w:p>
        </w:tc>
      </w:tr>
      <w:tr>
        <w:trPr>
          <w:trHeight w:val="320" w:hRule="atLeast"/>
        </w:trPr>
        <w:tc>
          <w:tcPr/>
          <w:p w:rsidR="00000000" w:rsidDel="00000000" w:rsidP="00000000" w:rsidRDefault="00000000" w:rsidRPr="00000000" w14:paraId="0000023E">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3F">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0">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1">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2">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3">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4">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5">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6">
            <w:pPr>
              <w:rPr>
                <w:rFonts w:ascii="Calibri" w:cs="Calibri" w:eastAsia="Calibri" w:hAnsi="Calibri"/>
                <w:color w:val="000000"/>
              </w:rPr>
            </w:pPr>
            <w:r w:rsidDel="00000000" w:rsidR="00000000" w:rsidRPr="00000000">
              <w:rPr>
                <w:rtl w:val="0"/>
              </w:rPr>
            </w:r>
          </w:p>
        </w:tc>
      </w:tr>
      <w:tr>
        <w:trPr>
          <w:trHeight w:val="340" w:hRule="atLeast"/>
        </w:trPr>
        <w:tc>
          <w:tcPr/>
          <w:p w:rsidR="00000000" w:rsidDel="00000000" w:rsidP="00000000" w:rsidRDefault="00000000" w:rsidRPr="00000000" w14:paraId="00000247">
            <w:pPr>
              <w:rPr>
                <w:rFonts w:ascii="Calibri" w:cs="Calibri" w:eastAsia="Calibri" w:hAnsi="Calibri"/>
                <w:color w:val="000000"/>
              </w:rPr>
            </w:pPr>
            <w:r w:rsidDel="00000000" w:rsidR="00000000" w:rsidRPr="00000000">
              <w:rPr>
                <w:rFonts w:ascii="Calibri" w:cs="Calibri" w:eastAsia="Calibri" w:hAnsi="Calibri"/>
                <w:color w:val="000000"/>
                <w:rtl w:val="0"/>
              </w:rPr>
              <w:t xml:space="preserve">ANOVA</w:t>
            </w:r>
          </w:p>
        </w:tc>
        <w:tc>
          <w:tcPr/>
          <w:p w:rsidR="00000000" w:rsidDel="00000000" w:rsidP="00000000" w:rsidRDefault="00000000" w:rsidRPr="00000000" w14:paraId="00000248">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9">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A">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B">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C">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D">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E">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4F">
            <w:pPr>
              <w:rPr>
                <w:rFonts w:ascii="Calibri" w:cs="Calibri" w:eastAsia="Calibri" w:hAnsi="Calibri"/>
                <w:color w:val="000000"/>
              </w:rPr>
            </w:pPr>
            <w:r w:rsidDel="00000000" w:rsidR="00000000" w:rsidRPr="00000000">
              <w:rPr>
                <w:rtl w:val="0"/>
              </w:rPr>
            </w:r>
          </w:p>
        </w:tc>
      </w:tr>
      <w:tr>
        <w:trPr>
          <w:trHeight w:val="320" w:hRule="atLeast"/>
        </w:trPr>
        <w:tc>
          <w:tcPr/>
          <w:p w:rsidR="00000000" w:rsidDel="00000000" w:rsidP="00000000" w:rsidRDefault="00000000" w:rsidRPr="00000000" w14:paraId="00000250">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 </w:t>
            </w:r>
          </w:p>
        </w:tc>
        <w:tc>
          <w:tcPr/>
          <w:p w:rsidR="00000000" w:rsidDel="00000000" w:rsidP="00000000" w:rsidRDefault="00000000" w:rsidRPr="00000000" w14:paraId="00000251">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df</w:t>
            </w:r>
          </w:p>
        </w:tc>
        <w:tc>
          <w:tcPr/>
          <w:p w:rsidR="00000000" w:rsidDel="00000000" w:rsidP="00000000" w:rsidRDefault="00000000" w:rsidRPr="00000000" w14:paraId="00000252">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SS</w:t>
            </w:r>
          </w:p>
        </w:tc>
        <w:tc>
          <w:tcPr/>
          <w:p w:rsidR="00000000" w:rsidDel="00000000" w:rsidP="00000000" w:rsidRDefault="00000000" w:rsidRPr="00000000" w14:paraId="00000253">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MS</w:t>
            </w:r>
          </w:p>
        </w:tc>
        <w:tc>
          <w:tcPr/>
          <w:p w:rsidR="00000000" w:rsidDel="00000000" w:rsidP="00000000" w:rsidRDefault="00000000" w:rsidRPr="00000000" w14:paraId="00000254">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F</w:t>
            </w:r>
          </w:p>
        </w:tc>
        <w:tc>
          <w:tcPr/>
          <w:p w:rsidR="00000000" w:rsidDel="00000000" w:rsidP="00000000" w:rsidRDefault="00000000" w:rsidRPr="00000000" w14:paraId="00000255">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Significance F</w:t>
            </w:r>
          </w:p>
        </w:tc>
        <w:tc>
          <w:tcPr/>
          <w:p w:rsidR="00000000" w:rsidDel="00000000" w:rsidP="00000000" w:rsidRDefault="00000000" w:rsidRPr="00000000" w14:paraId="00000256">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57">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58">
            <w:pPr>
              <w:rPr>
                <w:rFonts w:ascii="Calibri" w:cs="Calibri" w:eastAsia="Calibri" w:hAnsi="Calibri"/>
                <w:color w:val="000000"/>
              </w:rPr>
            </w:pPr>
            <w:r w:rsidDel="00000000" w:rsidR="00000000" w:rsidRPr="00000000">
              <w:rPr>
                <w:rtl w:val="0"/>
              </w:rPr>
            </w:r>
          </w:p>
        </w:tc>
      </w:tr>
      <w:tr>
        <w:trPr>
          <w:trHeight w:val="320" w:hRule="atLeast"/>
        </w:trPr>
        <w:tc>
          <w:tcPr/>
          <w:p w:rsidR="00000000" w:rsidDel="00000000" w:rsidP="00000000" w:rsidRDefault="00000000" w:rsidRPr="00000000" w14:paraId="00000259">
            <w:pPr>
              <w:rPr>
                <w:rFonts w:ascii="Calibri" w:cs="Calibri" w:eastAsia="Calibri" w:hAnsi="Calibri"/>
                <w:color w:val="000000"/>
              </w:rPr>
            </w:pPr>
            <w:r w:rsidDel="00000000" w:rsidR="00000000" w:rsidRPr="00000000">
              <w:rPr>
                <w:rFonts w:ascii="Calibri" w:cs="Calibri" w:eastAsia="Calibri" w:hAnsi="Calibri"/>
                <w:color w:val="000000"/>
                <w:rtl w:val="0"/>
              </w:rPr>
              <w:t xml:space="preserve">Regression</w:t>
            </w:r>
          </w:p>
        </w:tc>
        <w:tc>
          <w:tcPr/>
          <w:p w:rsidR="00000000" w:rsidDel="00000000" w:rsidP="00000000" w:rsidRDefault="00000000" w:rsidRPr="00000000" w14:paraId="0000025A">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w:t>
            </w:r>
          </w:p>
        </w:tc>
        <w:tc>
          <w:tcPr/>
          <w:p w:rsidR="00000000" w:rsidDel="00000000" w:rsidP="00000000" w:rsidRDefault="00000000" w:rsidRPr="00000000" w14:paraId="0000025B">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0.894952</w:t>
            </w:r>
          </w:p>
        </w:tc>
        <w:tc>
          <w:tcPr/>
          <w:p w:rsidR="00000000" w:rsidDel="00000000" w:rsidP="00000000" w:rsidRDefault="00000000" w:rsidRPr="00000000" w14:paraId="0000025C">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0.894952</w:t>
            </w:r>
          </w:p>
        </w:tc>
        <w:tc>
          <w:tcPr/>
          <w:p w:rsidR="00000000" w:rsidDel="00000000" w:rsidP="00000000" w:rsidRDefault="00000000" w:rsidRPr="00000000" w14:paraId="0000025D">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0.530596</w:t>
            </w:r>
          </w:p>
        </w:tc>
        <w:tc>
          <w:tcPr/>
          <w:p w:rsidR="00000000" w:rsidDel="00000000" w:rsidP="00000000" w:rsidRDefault="00000000" w:rsidRPr="00000000" w14:paraId="0000025E">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0.475239</w:t>
            </w:r>
          </w:p>
        </w:tc>
        <w:tc>
          <w:tcPr/>
          <w:p w:rsidR="00000000" w:rsidDel="00000000" w:rsidP="00000000" w:rsidRDefault="00000000" w:rsidRPr="00000000" w14:paraId="0000025F">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60">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61">
            <w:pPr>
              <w:rPr>
                <w:rFonts w:ascii="Calibri" w:cs="Calibri" w:eastAsia="Calibri" w:hAnsi="Calibri"/>
                <w:color w:val="000000"/>
              </w:rPr>
            </w:pPr>
            <w:r w:rsidDel="00000000" w:rsidR="00000000" w:rsidRPr="00000000">
              <w:rPr>
                <w:rtl w:val="0"/>
              </w:rPr>
            </w:r>
          </w:p>
        </w:tc>
      </w:tr>
      <w:tr>
        <w:trPr>
          <w:trHeight w:val="320" w:hRule="atLeast"/>
        </w:trPr>
        <w:tc>
          <w:tcPr/>
          <w:p w:rsidR="00000000" w:rsidDel="00000000" w:rsidP="00000000" w:rsidRDefault="00000000" w:rsidRPr="00000000" w14:paraId="00000262">
            <w:pPr>
              <w:rPr>
                <w:rFonts w:ascii="Calibri" w:cs="Calibri" w:eastAsia="Calibri" w:hAnsi="Calibri"/>
                <w:color w:val="000000"/>
              </w:rPr>
            </w:pPr>
            <w:r w:rsidDel="00000000" w:rsidR="00000000" w:rsidRPr="00000000">
              <w:rPr>
                <w:rFonts w:ascii="Calibri" w:cs="Calibri" w:eastAsia="Calibri" w:hAnsi="Calibri"/>
                <w:color w:val="000000"/>
                <w:rtl w:val="0"/>
              </w:rPr>
              <w:t xml:space="preserve">Residual</w:t>
            </w:r>
          </w:p>
        </w:tc>
        <w:tc>
          <w:tcPr/>
          <w:p w:rsidR="00000000" w:rsidDel="00000000" w:rsidP="00000000" w:rsidRDefault="00000000" w:rsidRPr="00000000" w14:paraId="00000263">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19</w:t>
            </w:r>
          </w:p>
        </w:tc>
        <w:tc>
          <w:tcPr/>
          <w:p w:rsidR="00000000" w:rsidDel="00000000" w:rsidP="00000000" w:rsidRDefault="00000000" w:rsidRPr="00000000" w14:paraId="00000264">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32.04711</w:t>
            </w:r>
          </w:p>
        </w:tc>
        <w:tc>
          <w:tcPr/>
          <w:p w:rsidR="00000000" w:rsidDel="00000000" w:rsidP="00000000" w:rsidRDefault="00000000" w:rsidRPr="00000000" w14:paraId="00000265">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1.68669</w:t>
            </w:r>
          </w:p>
        </w:tc>
        <w:tc>
          <w:tcPr/>
          <w:p w:rsidR="00000000" w:rsidDel="00000000" w:rsidP="00000000" w:rsidRDefault="00000000" w:rsidRPr="00000000" w14:paraId="00000266">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67">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68">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69">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6A">
            <w:pPr>
              <w:rPr>
                <w:rFonts w:ascii="Calibri" w:cs="Calibri" w:eastAsia="Calibri" w:hAnsi="Calibri"/>
                <w:color w:val="000000"/>
              </w:rPr>
            </w:pPr>
            <w:r w:rsidDel="00000000" w:rsidR="00000000" w:rsidRPr="00000000">
              <w:rPr>
                <w:rtl w:val="0"/>
              </w:rPr>
            </w:r>
          </w:p>
        </w:tc>
      </w:tr>
      <w:tr>
        <w:trPr>
          <w:trHeight w:val="340" w:hRule="atLeast"/>
        </w:trPr>
        <w:tc>
          <w:tcPr/>
          <w:p w:rsidR="00000000" w:rsidDel="00000000" w:rsidP="00000000" w:rsidRDefault="00000000" w:rsidRPr="00000000" w14:paraId="0000026B">
            <w:pPr>
              <w:rPr>
                <w:rFonts w:ascii="Calibri" w:cs="Calibri" w:eastAsia="Calibri" w:hAnsi="Calibri"/>
                <w:color w:val="000000"/>
              </w:rPr>
            </w:pPr>
            <w:r w:rsidDel="00000000" w:rsidR="00000000" w:rsidRPr="00000000">
              <w:rPr>
                <w:rFonts w:ascii="Calibri" w:cs="Calibri" w:eastAsia="Calibri" w:hAnsi="Calibri"/>
                <w:color w:val="000000"/>
                <w:rtl w:val="0"/>
              </w:rPr>
              <w:t xml:space="preserve">Total</w:t>
            </w:r>
          </w:p>
        </w:tc>
        <w:tc>
          <w:tcPr/>
          <w:p w:rsidR="00000000" w:rsidDel="00000000" w:rsidP="00000000" w:rsidRDefault="00000000" w:rsidRPr="00000000" w14:paraId="0000026C">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20</w:t>
            </w:r>
          </w:p>
        </w:tc>
        <w:tc>
          <w:tcPr/>
          <w:p w:rsidR="00000000" w:rsidDel="00000000" w:rsidP="00000000" w:rsidRDefault="00000000" w:rsidRPr="00000000" w14:paraId="0000026D">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32.94206</w:t>
            </w:r>
          </w:p>
        </w:tc>
        <w:tc>
          <w:tcPr/>
          <w:p w:rsidR="00000000" w:rsidDel="00000000" w:rsidP="00000000" w:rsidRDefault="00000000" w:rsidRPr="00000000" w14:paraId="0000026E">
            <w:pPr>
              <w:rPr>
                <w:rFonts w:ascii="Calibri" w:cs="Calibri" w:eastAsia="Calibri" w:hAnsi="Calibri"/>
                <w:color w:val="000000"/>
              </w:rPr>
            </w:pPr>
            <w:r w:rsidDel="00000000" w:rsidR="00000000" w:rsidRPr="00000000">
              <w:rPr>
                <w:rFonts w:ascii="Calibri" w:cs="Calibri" w:eastAsia="Calibri" w:hAnsi="Calibri"/>
                <w:color w:val="000000"/>
                <w:rtl w:val="0"/>
              </w:rPr>
              <w:t xml:space="preserve"> </w:t>
            </w:r>
          </w:p>
        </w:tc>
        <w:tc>
          <w:tcPr/>
          <w:p w:rsidR="00000000" w:rsidDel="00000000" w:rsidP="00000000" w:rsidRDefault="00000000" w:rsidRPr="00000000" w14:paraId="0000026F">
            <w:pPr>
              <w:rPr>
                <w:rFonts w:ascii="Calibri" w:cs="Calibri" w:eastAsia="Calibri" w:hAnsi="Calibri"/>
                <w:color w:val="000000"/>
              </w:rPr>
            </w:pPr>
            <w:r w:rsidDel="00000000" w:rsidR="00000000" w:rsidRPr="00000000">
              <w:rPr>
                <w:rFonts w:ascii="Calibri" w:cs="Calibri" w:eastAsia="Calibri" w:hAnsi="Calibri"/>
                <w:color w:val="000000"/>
                <w:rtl w:val="0"/>
              </w:rPr>
              <w:t xml:space="preserve"> </w:t>
            </w:r>
          </w:p>
        </w:tc>
        <w:tc>
          <w:tcPr/>
          <w:p w:rsidR="00000000" w:rsidDel="00000000" w:rsidP="00000000" w:rsidRDefault="00000000" w:rsidRPr="00000000" w14:paraId="00000270">
            <w:pPr>
              <w:rPr>
                <w:rFonts w:ascii="Calibri" w:cs="Calibri" w:eastAsia="Calibri" w:hAnsi="Calibri"/>
                <w:color w:val="000000"/>
              </w:rPr>
            </w:pPr>
            <w:r w:rsidDel="00000000" w:rsidR="00000000" w:rsidRPr="00000000">
              <w:rPr>
                <w:rFonts w:ascii="Calibri" w:cs="Calibri" w:eastAsia="Calibri" w:hAnsi="Calibri"/>
                <w:color w:val="000000"/>
                <w:rtl w:val="0"/>
              </w:rPr>
              <w:t xml:space="preserve"> </w:t>
            </w:r>
          </w:p>
        </w:tc>
        <w:tc>
          <w:tcPr/>
          <w:p w:rsidR="00000000" w:rsidDel="00000000" w:rsidP="00000000" w:rsidRDefault="00000000" w:rsidRPr="00000000" w14:paraId="00000271">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72">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73">
            <w:pPr>
              <w:rPr>
                <w:rFonts w:ascii="Calibri" w:cs="Calibri" w:eastAsia="Calibri" w:hAnsi="Calibri"/>
                <w:color w:val="000000"/>
              </w:rPr>
            </w:pPr>
            <w:r w:rsidDel="00000000" w:rsidR="00000000" w:rsidRPr="00000000">
              <w:rPr>
                <w:rtl w:val="0"/>
              </w:rPr>
            </w:r>
          </w:p>
        </w:tc>
      </w:tr>
      <w:tr>
        <w:trPr>
          <w:trHeight w:val="340" w:hRule="atLeast"/>
        </w:trPr>
        <w:tc>
          <w:tcPr/>
          <w:p w:rsidR="00000000" w:rsidDel="00000000" w:rsidP="00000000" w:rsidRDefault="00000000" w:rsidRPr="00000000" w14:paraId="00000274">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75">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76">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77">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78">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79">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7A">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7B">
            <w:pPr>
              <w:rPr>
                <w:rFonts w:ascii="Calibri" w:cs="Calibri" w:eastAsia="Calibri" w:hAnsi="Calibri"/>
                <w:color w:val="000000"/>
              </w:rPr>
            </w:pPr>
            <w:r w:rsidDel="00000000" w:rsidR="00000000" w:rsidRPr="00000000">
              <w:rPr>
                <w:rtl w:val="0"/>
              </w:rPr>
            </w:r>
          </w:p>
        </w:tc>
        <w:tc>
          <w:tcPr/>
          <w:p w:rsidR="00000000" w:rsidDel="00000000" w:rsidP="00000000" w:rsidRDefault="00000000" w:rsidRPr="00000000" w14:paraId="0000027C">
            <w:pPr>
              <w:rPr>
                <w:rFonts w:ascii="Calibri" w:cs="Calibri" w:eastAsia="Calibri" w:hAnsi="Calibri"/>
                <w:color w:val="000000"/>
              </w:rPr>
            </w:pPr>
            <w:r w:rsidDel="00000000" w:rsidR="00000000" w:rsidRPr="00000000">
              <w:rPr>
                <w:rtl w:val="0"/>
              </w:rPr>
            </w:r>
          </w:p>
        </w:tc>
      </w:tr>
      <w:tr>
        <w:trPr>
          <w:trHeight w:val="320" w:hRule="atLeast"/>
        </w:trPr>
        <w:tc>
          <w:tcPr/>
          <w:p w:rsidR="00000000" w:rsidDel="00000000" w:rsidP="00000000" w:rsidRDefault="00000000" w:rsidRPr="00000000" w14:paraId="0000027D">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 </w:t>
            </w:r>
          </w:p>
        </w:tc>
        <w:tc>
          <w:tcPr/>
          <w:p w:rsidR="00000000" w:rsidDel="00000000" w:rsidP="00000000" w:rsidRDefault="00000000" w:rsidRPr="00000000" w14:paraId="0000027E">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Coefficients</w:t>
            </w:r>
          </w:p>
        </w:tc>
        <w:tc>
          <w:tcPr/>
          <w:p w:rsidR="00000000" w:rsidDel="00000000" w:rsidP="00000000" w:rsidRDefault="00000000" w:rsidRPr="00000000" w14:paraId="0000027F">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Standard Error</w:t>
            </w:r>
          </w:p>
        </w:tc>
        <w:tc>
          <w:tcPr/>
          <w:p w:rsidR="00000000" w:rsidDel="00000000" w:rsidP="00000000" w:rsidRDefault="00000000" w:rsidRPr="00000000" w14:paraId="00000280">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t Stat</w:t>
            </w:r>
          </w:p>
        </w:tc>
        <w:tc>
          <w:tcPr/>
          <w:p w:rsidR="00000000" w:rsidDel="00000000" w:rsidP="00000000" w:rsidRDefault="00000000" w:rsidRPr="00000000" w14:paraId="00000281">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P-value</w:t>
            </w:r>
          </w:p>
        </w:tc>
        <w:tc>
          <w:tcPr/>
          <w:p w:rsidR="00000000" w:rsidDel="00000000" w:rsidP="00000000" w:rsidRDefault="00000000" w:rsidRPr="00000000" w14:paraId="00000282">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Lower 95%</w:t>
            </w:r>
          </w:p>
        </w:tc>
        <w:tc>
          <w:tcPr/>
          <w:p w:rsidR="00000000" w:rsidDel="00000000" w:rsidP="00000000" w:rsidRDefault="00000000" w:rsidRPr="00000000" w14:paraId="00000283">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Upper 95%</w:t>
            </w:r>
          </w:p>
        </w:tc>
        <w:tc>
          <w:tcPr/>
          <w:p w:rsidR="00000000" w:rsidDel="00000000" w:rsidP="00000000" w:rsidRDefault="00000000" w:rsidRPr="00000000" w14:paraId="00000284">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Lower 95.0%</w:t>
            </w:r>
          </w:p>
        </w:tc>
        <w:tc>
          <w:tcPr/>
          <w:p w:rsidR="00000000" w:rsidDel="00000000" w:rsidP="00000000" w:rsidRDefault="00000000" w:rsidRPr="00000000" w14:paraId="00000285">
            <w:pPr>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Upper 95.0%</w:t>
            </w:r>
          </w:p>
        </w:tc>
      </w:tr>
      <w:tr>
        <w:trPr>
          <w:trHeight w:val="320" w:hRule="atLeast"/>
        </w:trPr>
        <w:tc>
          <w:tcPr/>
          <w:p w:rsidR="00000000" w:rsidDel="00000000" w:rsidP="00000000" w:rsidRDefault="00000000" w:rsidRPr="00000000" w14:paraId="00000286">
            <w:pPr>
              <w:rPr>
                <w:rFonts w:ascii="Calibri" w:cs="Calibri" w:eastAsia="Calibri" w:hAnsi="Calibri"/>
                <w:color w:val="000000"/>
              </w:rPr>
            </w:pPr>
            <w:r w:rsidDel="00000000" w:rsidR="00000000" w:rsidRPr="00000000">
              <w:rPr>
                <w:rFonts w:ascii="Calibri" w:cs="Calibri" w:eastAsia="Calibri" w:hAnsi="Calibri"/>
                <w:color w:val="000000"/>
                <w:rtl w:val="0"/>
              </w:rPr>
              <w:t xml:space="preserve">Intercept</w:t>
            </w:r>
          </w:p>
        </w:tc>
        <w:tc>
          <w:tcPr/>
          <w:p w:rsidR="00000000" w:rsidDel="00000000" w:rsidP="00000000" w:rsidRDefault="00000000" w:rsidRPr="00000000" w14:paraId="00000287">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1.987554966</w:t>
            </w:r>
          </w:p>
        </w:tc>
        <w:tc>
          <w:tcPr/>
          <w:p w:rsidR="00000000" w:rsidDel="00000000" w:rsidP="00000000" w:rsidRDefault="00000000" w:rsidRPr="00000000" w14:paraId="00000288">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0.36802</w:t>
            </w:r>
          </w:p>
        </w:tc>
        <w:tc>
          <w:tcPr/>
          <w:p w:rsidR="00000000" w:rsidDel="00000000" w:rsidP="00000000" w:rsidRDefault="00000000" w:rsidRPr="00000000" w14:paraId="00000289">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5.400669</w:t>
            </w:r>
          </w:p>
        </w:tc>
        <w:tc>
          <w:tcPr/>
          <w:p w:rsidR="00000000" w:rsidDel="00000000" w:rsidP="00000000" w:rsidRDefault="00000000" w:rsidRPr="00000000" w14:paraId="0000028A">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3.27E-05</w:t>
            </w:r>
          </w:p>
        </w:tc>
        <w:tc>
          <w:tcPr/>
          <w:p w:rsidR="00000000" w:rsidDel="00000000" w:rsidP="00000000" w:rsidRDefault="00000000" w:rsidRPr="00000000" w14:paraId="0000028B">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1.21728</w:t>
            </w:r>
          </w:p>
        </w:tc>
        <w:tc>
          <w:tcPr/>
          <w:p w:rsidR="00000000" w:rsidDel="00000000" w:rsidP="00000000" w:rsidRDefault="00000000" w:rsidRPr="00000000" w14:paraId="0000028C">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2.75783</w:t>
            </w:r>
          </w:p>
        </w:tc>
        <w:tc>
          <w:tcPr/>
          <w:p w:rsidR="00000000" w:rsidDel="00000000" w:rsidP="00000000" w:rsidRDefault="00000000" w:rsidRPr="00000000" w14:paraId="0000028D">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1.21728</w:t>
            </w:r>
          </w:p>
        </w:tc>
        <w:tc>
          <w:tcPr/>
          <w:p w:rsidR="00000000" w:rsidDel="00000000" w:rsidP="00000000" w:rsidRDefault="00000000" w:rsidRPr="00000000" w14:paraId="0000028E">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2.75783</w:t>
            </w:r>
          </w:p>
        </w:tc>
      </w:tr>
      <w:tr>
        <w:trPr>
          <w:trHeight w:val="340" w:hRule="atLeast"/>
        </w:trPr>
        <w:tc>
          <w:tcPr/>
          <w:p w:rsidR="00000000" w:rsidDel="00000000" w:rsidP="00000000" w:rsidRDefault="00000000" w:rsidRPr="00000000" w14:paraId="0000028F">
            <w:pPr>
              <w:rPr>
                <w:rFonts w:ascii="Calibri" w:cs="Calibri" w:eastAsia="Calibri" w:hAnsi="Calibri"/>
                <w:color w:val="000000"/>
              </w:rPr>
            </w:pPr>
            <w:r w:rsidDel="00000000" w:rsidR="00000000" w:rsidRPr="00000000">
              <w:rPr>
                <w:rFonts w:ascii="Calibri" w:cs="Calibri" w:eastAsia="Calibri" w:hAnsi="Calibri"/>
                <w:color w:val="000000"/>
                <w:rtl w:val="0"/>
              </w:rPr>
              <w:t xml:space="preserve">X Variable 1</w:t>
            </w:r>
          </w:p>
        </w:tc>
        <w:tc>
          <w:tcPr/>
          <w:p w:rsidR="00000000" w:rsidDel="00000000" w:rsidP="00000000" w:rsidRDefault="00000000" w:rsidRPr="00000000" w14:paraId="00000290">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1.57281E-05</w:t>
            </w:r>
          </w:p>
        </w:tc>
        <w:tc>
          <w:tcPr/>
          <w:p w:rsidR="00000000" w:rsidDel="00000000" w:rsidP="00000000" w:rsidRDefault="00000000" w:rsidRPr="00000000" w14:paraId="00000291">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2.16E-05</w:t>
            </w:r>
          </w:p>
        </w:tc>
        <w:tc>
          <w:tcPr/>
          <w:p w:rsidR="00000000" w:rsidDel="00000000" w:rsidP="00000000" w:rsidRDefault="00000000" w:rsidRPr="00000000" w14:paraId="00000292">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0.728421</w:t>
            </w:r>
          </w:p>
        </w:tc>
        <w:tc>
          <w:tcPr/>
          <w:p w:rsidR="00000000" w:rsidDel="00000000" w:rsidP="00000000" w:rsidRDefault="00000000" w:rsidRPr="00000000" w14:paraId="00000293">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0.475239</w:t>
            </w:r>
          </w:p>
        </w:tc>
        <w:tc>
          <w:tcPr/>
          <w:p w:rsidR="00000000" w:rsidDel="00000000" w:rsidP="00000000" w:rsidRDefault="00000000" w:rsidRPr="00000000" w14:paraId="00000294">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-2.9E-05</w:t>
            </w:r>
          </w:p>
        </w:tc>
        <w:tc>
          <w:tcPr/>
          <w:p w:rsidR="00000000" w:rsidDel="00000000" w:rsidP="00000000" w:rsidRDefault="00000000" w:rsidRPr="00000000" w14:paraId="00000295">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6.09E-05</w:t>
            </w:r>
          </w:p>
        </w:tc>
        <w:tc>
          <w:tcPr/>
          <w:p w:rsidR="00000000" w:rsidDel="00000000" w:rsidP="00000000" w:rsidRDefault="00000000" w:rsidRPr="00000000" w14:paraId="00000296">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-2.9E-05</w:t>
            </w:r>
          </w:p>
        </w:tc>
        <w:tc>
          <w:tcPr/>
          <w:p w:rsidR="00000000" w:rsidDel="00000000" w:rsidP="00000000" w:rsidRDefault="00000000" w:rsidRPr="00000000" w14:paraId="00000297">
            <w:pPr>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6.09E-05</w:t>
            </w:r>
          </w:p>
        </w:tc>
      </w:tr>
    </w:tbl>
    <w:p w:rsidR="00000000" w:rsidDel="00000000" w:rsidP="00000000" w:rsidRDefault="00000000" w:rsidRPr="00000000" w14:paraId="00000298">
      <w:pPr>
        <w:rPr>
          <w:rFonts w:ascii="Times New Roman" w:cs="Times New Roman" w:eastAsia="Times New Roman" w:hAnsi="Times New Roman"/>
          <w:b w:val="1"/>
          <w:color w:val="000000"/>
          <w:sz w:val="24"/>
          <w:szCs w:val="24"/>
          <w:u w:val="single"/>
        </w:rPr>
      </w:pPr>
      <w:r w:rsidDel="00000000" w:rsidR="00000000" w:rsidRPr="00000000">
        <w:rPr>
          <w:rtl w:val="0"/>
        </w:rPr>
      </w:r>
    </w:p>
    <w:p w:rsidR="00000000" w:rsidDel="00000000" w:rsidP="00000000" w:rsidRDefault="00000000" w:rsidRPr="00000000" w14:paraId="00000299">
      <w:pPr>
        <w:rPr>
          <w:rFonts w:ascii="Times New Roman" w:cs="Times New Roman" w:eastAsia="Times New Roman" w:hAnsi="Times New Roman"/>
          <w:b w:val="1"/>
          <w:color w:val="000000"/>
          <w:sz w:val="24"/>
          <w:szCs w:val="24"/>
          <w:u w:val="single"/>
        </w:rPr>
      </w:pPr>
      <w:r w:rsidDel="00000000" w:rsidR="00000000" w:rsidRPr="00000000">
        <w:rPr>
          <w:rFonts w:ascii="Times New Roman" w:cs="Times New Roman" w:eastAsia="Times New Roman" w:hAnsi="Times New Roman"/>
          <w:color w:val="000000"/>
          <w:sz w:val="24"/>
          <w:szCs w:val="24"/>
          <w:rtl w:val="0"/>
        </w:rPr>
        <w:t xml:space="preserve">REGRESSION EQUATION: Y=0.00836X+0.6904</w:t>
      </w:r>
      <w:r w:rsidDel="00000000" w:rsidR="00000000" w:rsidRPr="00000000">
        <w:rPr>
          <w:rtl w:val="0"/>
        </w:rPr>
      </w:r>
    </w:p>
    <w:p w:rsidR="00000000" w:rsidDel="00000000" w:rsidP="00000000" w:rsidRDefault="00000000" w:rsidRPr="00000000" w14:paraId="0000029A">
      <w:pP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F-statistic: 2.322 on 1 and 23 DF, Tabulated F-Statistic: 4.28 on 1 &amp; 23 DF</w:t>
      </w:r>
    </w:p>
    <w:p w:rsidR="00000000" w:rsidDel="00000000" w:rsidP="00000000" w:rsidRDefault="00000000" w:rsidRPr="00000000" w14:paraId="0000029B">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b w:val="1"/>
          <w:color w:val="000000"/>
          <w:sz w:val="24"/>
          <w:szCs w:val="24"/>
          <w:rtl w:val="0"/>
        </w:rPr>
        <w:t xml:space="preserve">p-value</w:t>
      </w:r>
      <w:r w:rsidDel="00000000" w:rsidR="00000000" w:rsidRPr="00000000">
        <w:rPr>
          <w:rFonts w:ascii="Times New Roman" w:cs="Times New Roman" w:eastAsia="Times New Roman" w:hAnsi="Times New Roman"/>
          <w:color w:val="000000"/>
          <w:sz w:val="24"/>
          <w:szCs w:val="24"/>
          <w:rtl w:val="0"/>
        </w:rPr>
        <w:t xml:space="preserve">: 0.1412 </w:t>
      </w:r>
    </w:p>
    <w:p w:rsidR="00000000" w:rsidDel="00000000" w:rsidP="00000000" w:rsidRDefault="00000000" w:rsidRPr="00000000" w14:paraId="0000029C">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Correlation Between ROA and (NPA/ Total Credit)=0.16</w:t>
      </w:r>
    </w:p>
    <w:p w:rsidR="00000000" w:rsidDel="00000000" w:rsidP="00000000" w:rsidRDefault="00000000" w:rsidRPr="00000000" w14:paraId="0000029D">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Pr>
        <w:drawing>
          <wp:inline distB="0" distT="0" distL="0" distR="0">
            <wp:extent cx="5372100" cy="1933575"/>
            <wp:effectExtent b="0" l="19050" r="19050" t="0"/>
            <wp:docPr id="47" name=""/>
            <a:graphic>
              <a:graphicData uri="http://schemas.openxmlformats.org/drawingml/2006/chart">
                <c:chart r:id="rId10"/>
              </a:graphicData>
            </a:graphic>
          </wp:inline>
        </w:drawing>
      </w:r>
      <w:r w:rsidDel="00000000" w:rsidR="00000000" w:rsidRPr="00000000">
        <w:rPr>
          <w:rtl w:val="0"/>
        </w:rPr>
      </w:r>
    </w:p>
    <w:p w:rsidR="00000000" w:rsidDel="00000000" w:rsidP="00000000" w:rsidRDefault="00000000" w:rsidRPr="00000000" w14:paraId="0000029E">
      <w:pPr>
        <w:tabs>
          <w:tab w:val="left" w:pos="450"/>
        </w:tabs>
        <w:jc w:val="both"/>
        <w:rPr>
          <w:rFonts w:ascii="Times New Roman" w:cs="Times New Roman" w:eastAsia="Times New Roman" w:hAnsi="Times New Roman"/>
          <w:b w:val="1"/>
          <w:color w:val="000000"/>
          <w:sz w:val="24"/>
          <w:szCs w:val="24"/>
          <w:u w:val="single"/>
        </w:rPr>
      </w:pPr>
      <w:r w:rsidDel="00000000" w:rsidR="00000000" w:rsidRPr="00000000">
        <w:rPr>
          <w:rFonts w:ascii="Times New Roman" w:cs="Times New Roman" w:eastAsia="Times New Roman" w:hAnsi="Times New Roman"/>
          <w:b w:val="1"/>
          <w:color w:val="000000"/>
          <w:sz w:val="24"/>
          <w:szCs w:val="24"/>
          <w:u w:val="single"/>
          <w:rtl w:val="0"/>
        </w:rPr>
        <w:t xml:space="preserve">REGRESSION LINE OF ROA vs. (NPA/Total Credit) with the Regression Equation and Adjusted R^2</w:t>
      </w:r>
    </w:p>
    <w:p w:rsidR="00000000" w:rsidDel="00000000" w:rsidP="00000000" w:rsidRDefault="00000000" w:rsidRPr="00000000" w14:paraId="0000029F">
      <w:pPr>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Since the Adjusted R^2 is only 0.02, so it is evident that there is absolutely a negative linear relationship  between the Return on Assets and (Net NPA/ Total Credit)  in the sample of the 25 Indian Banks that is taken for the purpose of validation.</w:t>
      </w:r>
    </w:p>
    <w:p w:rsidR="00000000" w:rsidDel="00000000" w:rsidP="00000000" w:rsidRDefault="00000000" w:rsidRPr="00000000" w14:paraId="000002A0">
      <w:pPr>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Moreover, at α=0.05(i.e. at 95% level of significance), it can be said that informally the referred hypothesis of a possible relation between Return on Assets and (Net NPA/ Total Credit)  are statistically of moderate significance. It can be inferred from the fact that the p-value of 0.4613&gt;α=0.05.</w:t>
      </w:r>
    </w:p>
    <w:p w:rsidR="00000000" w:rsidDel="00000000" w:rsidP="00000000" w:rsidRDefault="00000000" w:rsidRPr="00000000" w14:paraId="000002A1">
      <w:pPr>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At 95% level of significance, the tabulated value of F-statistic is 0.53 on 1&amp; 23 DF and the Observed value of the F-statistic is 0.53 (Observed value&lt;Tabulated Value). So, it can be inferred that  Alternative hypothesis which assumes that there is a possible dependency between ROA and (NPA/ Total Credit) of the sample Banks’ is rejected. Hence in this specific case the Null hypothesis which assumes that there is no relation between these two variables is accepted.</w:t>
      </w:r>
    </w:p>
    <w:p w:rsidR="00000000" w:rsidDel="00000000" w:rsidP="00000000" w:rsidRDefault="00000000" w:rsidRPr="00000000" w14:paraId="000002A2">
      <w:pPr>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 from the above analysis the model of Regression Analysis and Adjusted R^2 and Correlation Coefficient cannot analyze the problem structure.</w:t>
      </w:r>
    </w:p>
    <w:p w:rsidR="00000000" w:rsidDel="00000000" w:rsidP="00000000" w:rsidRDefault="00000000" w:rsidRPr="00000000" w14:paraId="000002A3">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2A4">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u w:val="single"/>
          <w:rtl w:val="0"/>
        </w:rPr>
        <w:t xml:space="preserve">NET NPA Vs. Capital Adequacy Ratio(CAR)</w:t>
      </w:r>
      <w:r w:rsidDel="00000000" w:rsidR="00000000" w:rsidRPr="00000000">
        <w:rPr>
          <w:rtl w:val="0"/>
        </w:rPr>
      </w:r>
    </w:p>
    <w:p w:rsidR="00000000" w:rsidDel="00000000" w:rsidP="00000000" w:rsidRDefault="00000000" w:rsidRPr="00000000" w14:paraId="000002A5">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bl>
      <w:tblPr>
        <w:tblStyle w:val="Table6"/>
        <w:tblW w:w="701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3969"/>
        <w:gridCol w:w="3044"/>
        <w:tblGridChange w:id="0">
          <w:tblGrid>
            <w:gridCol w:w="3969"/>
            <w:gridCol w:w="3044"/>
          </w:tblGrid>
        </w:tblGridChange>
      </w:tblGrid>
      <w:tr>
        <w:trPr>
          <w:trHeight w:val="320" w:hRule="atLeast"/>
        </w:trPr>
        <w:tc>
          <w:tcPr>
            <w:gridSpan w:val="2"/>
          </w:tcPr>
          <w:p w:rsidR="00000000" w:rsidDel="00000000" w:rsidP="00000000" w:rsidRDefault="00000000" w:rsidRPr="00000000" w14:paraId="000002A6">
            <w:pPr>
              <w:jc w:val="center"/>
              <w:rPr>
                <w:rFonts w:ascii="Times New Roman" w:cs="Times New Roman" w:eastAsia="Times New Roman" w:hAnsi="Times New Roman"/>
                <w:i w:val="1"/>
                <w:color w:val="000000"/>
                <w:sz w:val="24"/>
                <w:szCs w:val="24"/>
              </w:rPr>
            </w:pPr>
            <w:r w:rsidDel="00000000" w:rsidR="00000000" w:rsidRPr="00000000">
              <w:rPr>
                <w:rFonts w:ascii="Times New Roman" w:cs="Times New Roman" w:eastAsia="Times New Roman" w:hAnsi="Times New Roman"/>
                <w:i w:val="1"/>
                <w:color w:val="000000"/>
                <w:sz w:val="24"/>
                <w:szCs w:val="24"/>
                <w:rtl w:val="0"/>
              </w:rPr>
              <w:t xml:space="preserve">Regression Statistics</w:t>
            </w:r>
          </w:p>
        </w:tc>
      </w:tr>
      <w:tr>
        <w:trPr>
          <w:trHeight w:val="320" w:hRule="atLeast"/>
        </w:trPr>
        <w:tc>
          <w:tcPr/>
          <w:p w:rsidR="00000000" w:rsidDel="00000000" w:rsidP="00000000" w:rsidRDefault="00000000" w:rsidRPr="00000000" w14:paraId="000002A8">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Multiple R</w:t>
            </w:r>
          </w:p>
        </w:tc>
        <w:tc>
          <w:tcPr/>
          <w:p w:rsidR="00000000" w:rsidDel="00000000" w:rsidP="00000000" w:rsidRDefault="00000000" w:rsidRPr="00000000" w14:paraId="000002A9">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0.16663832</w:t>
            </w:r>
          </w:p>
        </w:tc>
      </w:tr>
      <w:tr>
        <w:trPr>
          <w:trHeight w:val="320" w:hRule="atLeast"/>
        </w:trPr>
        <w:tc>
          <w:tcPr/>
          <w:p w:rsidR="00000000" w:rsidDel="00000000" w:rsidP="00000000" w:rsidRDefault="00000000" w:rsidRPr="00000000" w14:paraId="000002AA">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 Square</w:t>
            </w:r>
          </w:p>
        </w:tc>
        <w:tc>
          <w:tcPr/>
          <w:p w:rsidR="00000000" w:rsidDel="00000000" w:rsidP="00000000" w:rsidRDefault="00000000" w:rsidRPr="00000000" w14:paraId="000002AB">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0.02776833</w:t>
            </w:r>
          </w:p>
        </w:tc>
      </w:tr>
      <w:tr>
        <w:trPr>
          <w:trHeight w:val="320" w:hRule="atLeast"/>
        </w:trPr>
        <w:tc>
          <w:tcPr/>
          <w:p w:rsidR="00000000" w:rsidDel="00000000" w:rsidP="00000000" w:rsidRDefault="00000000" w:rsidRPr="00000000" w14:paraId="000002AC">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Adjusted R Square</w:t>
            </w:r>
          </w:p>
        </w:tc>
        <w:tc>
          <w:tcPr/>
          <w:p w:rsidR="00000000" w:rsidDel="00000000" w:rsidP="00000000" w:rsidRDefault="00000000" w:rsidRPr="00000000" w14:paraId="000002AD">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-0.014502613</w:t>
            </w:r>
          </w:p>
        </w:tc>
      </w:tr>
      <w:tr>
        <w:trPr>
          <w:trHeight w:val="320" w:hRule="atLeast"/>
        </w:trPr>
        <w:tc>
          <w:tcPr/>
          <w:p w:rsidR="00000000" w:rsidDel="00000000" w:rsidP="00000000" w:rsidRDefault="00000000" w:rsidRPr="00000000" w14:paraId="000002AE">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Standard Error</w:t>
            </w:r>
          </w:p>
        </w:tc>
        <w:tc>
          <w:tcPr/>
          <w:p w:rsidR="00000000" w:rsidDel="00000000" w:rsidP="00000000" w:rsidRDefault="00000000" w:rsidRPr="00000000" w14:paraId="000002AF">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0.481198262</w:t>
            </w:r>
          </w:p>
        </w:tc>
      </w:tr>
      <w:tr>
        <w:trPr>
          <w:trHeight w:val="340" w:hRule="atLeast"/>
        </w:trPr>
        <w:tc>
          <w:tcPr/>
          <w:p w:rsidR="00000000" w:rsidDel="00000000" w:rsidP="00000000" w:rsidRDefault="00000000" w:rsidRPr="00000000" w14:paraId="000002B0">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Observations</w:t>
            </w:r>
          </w:p>
        </w:tc>
        <w:tc>
          <w:tcPr/>
          <w:p w:rsidR="00000000" w:rsidDel="00000000" w:rsidP="00000000" w:rsidRDefault="00000000" w:rsidRPr="00000000" w14:paraId="000002B1">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25</w:t>
            </w:r>
          </w:p>
        </w:tc>
      </w:tr>
    </w:tbl>
    <w:p w:rsidR="00000000" w:rsidDel="00000000" w:rsidP="00000000" w:rsidRDefault="00000000" w:rsidRPr="00000000" w14:paraId="000002B2">
      <w:pPr>
        <w:rPr>
          <w:rFonts w:ascii="Times New Roman" w:cs="Times New Roman" w:eastAsia="Times New Roman" w:hAnsi="Times New Roman"/>
          <w:color w:val="000000"/>
          <w:sz w:val="24"/>
          <w:szCs w:val="24"/>
        </w:rPr>
      </w:pPr>
      <w:r w:rsidDel="00000000" w:rsidR="00000000" w:rsidRPr="00000000">
        <w:rPr>
          <w:rtl w:val="0"/>
        </w:rPr>
      </w:r>
    </w:p>
    <w:tbl>
      <w:tblPr>
        <w:tblStyle w:val="Table7"/>
        <w:tblW w:w="673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2079"/>
        <w:gridCol w:w="2357"/>
        <w:gridCol w:w="2301"/>
        <w:tblGridChange w:id="0">
          <w:tblGrid>
            <w:gridCol w:w="2079"/>
            <w:gridCol w:w="2357"/>
            <w:gridCol w:w="2301"/>
          </w:tblGrid>
        </w:tblGridChange>
      </w:tblGrid>
      <w:tr>
        <w:trPr>
          <w:trHeight w:val="400" w:hRule="atLeast"/>
        </w:trPr>
        <w:tc>
          <w:tcPr/>
          <w:p w:rsidR="00000000" w:rsidDel="00000000" w:rsidP="00000000" w:rsidRDefault="00000000" w:rsidRPr="00000000" w14:paraId="000002B3">
            <w:pPr>
              <w:jc w:val="center"/>
              <w:rPr>
                <w:rFonts w:ascii="Times New Roman" w:cs="Times New Roman" w:eastAsia="Times New Roman" w:hAnsi="Times New Roman"/>
                <w:i w:val="1"/>
                <w:color w:val="000000"/>
                <w:sz w:val="24"/>
                <w:szCs w:val="24"/>
              </w:rPr>
            </w:pPr>
            <w:r w:rsidDel="00000000" w:rsidR="00000000" w:rsidRPr="00000000">
              <w:rPr>
                <w:rFonts w:ascii="Times New Roman" w:cs="Times New Roman" w:eastAsia="Times New Roman" w:hAnsi="Times New Roman"/>
                <w:i w:val="1"/>
                <w:color w:val="000000"/>
                <w:sz w:val="24"/>
                <w:szCs w:val="24"/>
                <w:rtl w:val="0"/>
              </w:rPr>
              <w:t xml:space="preserve"> </w:t>
            </w:r>
          </w:p>
        </w:tc>
        <w:tc>
          <w:tcPr/>
          <w:p w:rsidR="00000000" w:rsidDel="00000000" w:rsidP="00000000" w:rsidRDefault="00000000" w:rsidRPr="00000000" w14:paraId="000002B4">
            <w:pPr>
              <w:jc w:val="center"/>
              <w:rPr>
                <w:rFonts w:ascii="Times New Roman" w:cs="Times New Roman" w:eastAsia="Times New Roman" w:hAnsi="Times New Roman"/>
                <w:i w:val="1"/>
                <w:color w:val="000000"/>
                <w:sz w:val="24"/>
                <w:szCs w:val="24"/>
              </w:rPr>
            </w:pPr>
            <w:r w:rsidDel="00000000" w:rsidR="00000000" w:rsidRPr="00000000">
              <w:rPr>
                <w:rFonts w:ascii="Times New Roman" w:cs="Times New Roman" w:eastAsia="Times New Roman" w:hAnsi="Times New Roman"/>
                <w:i w:val="1"/>
                <w:color w:val="000000"/>
                <w:sz w:val="24"/>
                <w:szCs w:val="24"/>
                <w:rtl w:val="0"/>
              </w:rPr>
              <w:t xml:space="preserve">Coefficients</w:t>
            </w:r>
          </w:p>
        </w:tc>
        <w:tc>
          <w:tcPr/>
          <w:p w:rsidR="00000000" w:rsidDel="00000000" w:rsidP="00000000" w:rsidRDefault="00000000" w:rsidRPr="00000000" w14:paraId="000002B5">
            <w:pPr>
              <w:jc w:val="center"/>
              <w:rPr>
                <w:rFonts w:ascii="Times New Roman" w:cs="Times New Roman" w:eastAsia="Times New Roman" w:hAnsi="Times New Roman"/>
                <w:i w:val="1"/>
                <w:color w:val="000000"/>
                <w:sz w:val="24"/>
                <w:szCs w:val="24"/>
              </w:rPr>
            </w:pPr>
            <w:r w:rsidDel="00000000" w:rsidR="00000000" w:rsidRPr="00000000">
              <w:rPr>
                <w:rFonts w:ascii="Times New Roman" w:cs="Times New Roman" w:eastAsia="Times New Roman" w:hAnsi="Times New Roman"/>
                <w:i w:val="1"/>
                <w:color w:val="000000"/>
                <w:sz w:val="24"/>
                <w:szCs w:val="24"/>
                <w:rtl w:val="0"/>
              </w:rPr>
              <w:t xml:space="preserve">Standard Error</w:t>
            </w:r>
          </w:p>
        </w:tc>
      </w:tr>
      <w:tr>
        <w:trPr>
          <w:trHeight w:val="400" w:hRule="atLeast"/>
        </w:trPr>
        <w:tc>
          <w:tcPr/>
          <w:p w:rsidR="00000000" w:rsidDel="00000000" w:rsidP="00000000" w:rsidRDefault="00000000" w:rsidRPr="00000000" w14:paraId="000002B6">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Intercept</w:t>
            </w:r>
          </w:p>
        </w:tc>
        <w:tc>
          <w:tcPr/>
          <w:p w:rsidR="00000000" w:rsidDel="00000000" w:rsidP="00000000" w:rsidRDefault="00000000" w:rsidRPr="00000000" w14:paraId="000002B7">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1.347209056</w:t>
            </w:r>
          </w:p>
        </w:tc>
        <w:tc>
          <w:tcPr/>
          <w:p w:rsidR="00000000" w:rsidDel="00000000" w:rsidP="00000000" w:rsidRDefault="00000000" w:rsidRPr="00000000" w14:paraId="000002B8">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0.684416377</w:t>
            </w:r>
          </w:p>
        </w:tc>
      </w:tr>
      <w:tr>
        <w:trPr>
          <w:trHeight w:val="420" w:hRule="atLeast"/>
        </w:trPr>
        <w:tc>
          <w:tcPr/>
          <w:p w:rsidR="00000000" w:rsidDel="00000000" w:rsidP="00000000" w:rsidRDefault="00000000" w:rsidRPr="00000000" w14:paraId="000002B9">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X Variable 1</w:t>
            </w:r>
          </w:p>
        </w:tc>
        <w:tc>
          <w:tcPr/>
          <w:p w:rsidR="00000000" w:rsidDel="00000000" w:rsidP="00000000" w:rsidRDefault="00000000" w:rsidRPr="00000000" w14:paraId="000002BA">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-0.038432028</w:t>
            </w:r>
          </w:p>
        </w:tc>
        <w:tc>
          <w:tcPr/>
          <w:p w:rsidR="00000000" w:rsidDel="00000000" w:rsidP="00000000" w:rsidRDefault="00000000" w:rsidRPr="00000000" w14:paraId="000002BB">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0.047417581</w:t>
            </w:r>
          </w:p>
        </w:tc>
      </w:tr>
    </w:tbl>
    <w:p w:rsidR="00000000" w:rsidDel="00000000" w:rsidP="00000000" w:rsidRDefault="00000000" w:rsidRPr="00000000" w14:paraId="000002BC">
      <w:pPr>
        <w:rPr>
          <w:rFonts w:ascii="Times New Roman" w:cs="Times New Roman" w:eastAsia="Times New Roman" w:hAnsi="Times New Roman"/>
          <w:color w:val="000000"/>
          <w:sz w:val="24"/>
          <w:szCs w:val="24"/>
        </w:rPr>
      </w:pPr>
      <w:r w:rsidDel="00000000" w:rsidR="00000000" w:rsidRPr="00000000">
        <w:rPr>
          <w:rtl w:val="0"/>
        </w:rPr>
      </w:r>
    </w:p>
    <w:tbl>
      <w:tblPr>
        <w:tblStyle w:val="Table8"/>
        <w:tblW w:w="431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1929"/>
        <w:gridCol w:w="2388"/>
        <w:tblGridChange w:id="0">
          <w:tblGrid>
            <w:gridCol w:w="1929"/>
            <w:gridCol w:w="2388"/>
          </w:tblGrid>
        </w:tblGridChange>
      </w:tblGrid>
      <w:tr>
        <w:trPr>
          <w:trHeight w:val="160" w:hRule="atLeast"/>
        </w:trPr>
        <w:tc>
          <w:tcPr/>
          <w:p w:rsidR="00000000" w:rsidDel="00000000" w:rsidP="00000000" w:rsidRDefault="00000000" w:rsidRPr="00000000" w14:paraId="000002BD">
            <w:pPr>
              <w:jc w:val="center"/>
              <w:rPr>
                <w:rFonts w:ascii="Times New Roman" w:cs="Times New Roman" w:eastAsia="Times New Roman" w:hAnsi="Times New Roman"/>
                <w:i w:val="1"/>
                <w:color w:val="000000"/>
                <w:sz w:val="24"/>
                <w:szCs w:val="24"/>
              </w:rPr>
            </w:pPr>
            <w:r w:rsidDel="00000000" w:rsidR="00000000" w:rsidRPr="00000000">
              <w:rPr>
                <w:rFonts w:ascii="Times New Roman" w:cs="Times New Roman" w:eastAsia="Times New Roman" w:hAnsi="Times New Roman"/>
                <w:i w:val="1"/>
                <w:color w:val="000000"/>
                <w:sz w:val="24"/>
                <w:szCs w:val="24"/>
                <w:rtl w:val="0"/>
              </w:rPr>
              <w:t xml:space="preserve">Observation</w:t>
            </w:r>
          </w:p>
        </w:tc>
        <w:tc>
          <w:tcPr/>
          <w:p w:rsidR="00000000" w:rsidDel="00000000" w:rsidP="00000000" w:rsidRDefault="00000000" w:rsidRPr="00000000" w14:paraId="000002BE">
            <w:pPr>
              <w:jc w:val="center"/>
              <w:rPr>
                <w:rFonts w:ascii="Times New Roman" w:cs="Times New Roman" w:eastAsia="Times New Roman" w:hAnsi="Times New Roman"/>
                <w:i w:val="1"/>
                <w:color w:val="000000"/>
                <w:sz w:val="24"/>
                <w:szCs w:val="24"/>
              </w:rPr>
            </w:pPr>
            <w:r w:rsidDel="00000000" w:rsidR="00000000" w:rsidRPr="00000000">
              <w:rPr>
                <w:rFonts w:ascii="Times New Roman" w:cs="Times New Roman" w:eastAsia="Times New Roman" w:hAnsi="Times New Roman"/>
                <w:i w:val="1"/>
                <w:color w:val="000000"/>
                <w:sz w:val="24"/>
                <w:szCs w:val="24"/>
                <w:rtl w:val="0"/>
              </w:rPr>
              <w:t xml:space="preserve">Predicted Y</w:t>
            </w:r>
          </w:p>
        </w:tc>
      </w:tr>
      <w:tr>
        <w:trPr>
          <w:trHeight w:val="160" w:hRule="atLeast"/>
        </w:trPr>
        <w:tc>
          <w:tcPr/>
          <w:p w:rsidR="00000000" w:rsidDel="00000000" w:rsidP="00000000" w:rsidRDefault="00000000" w:rsidRPr="00000000" w14:paraId="000002BF">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w:t>
            </w:r>
          </w:p>
        </w:tc>
        <w:tc>
          <w:tcPr/>
          <w:p w:rsidR="00000000" w:rsidDel="00000000" w:rsidP="00000000" w:rsidRDefault="00000000" w:rsidRPr="00000000" w14:paraId="000002C0">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0.84797701</w:t>
            </w:r>
          </w:p>
        </w:tc>
      </w:tr>
      <w:tr>
        <w:trPr>
          <w:trHeight w:val="160" w:hRule="atLeast"/>
        </w:trPr>
        <w:tc>
          <w:tcPr/>
          <w:p w:rsidR="00000000" w:rsidDel="00000000" w:rsidP="00000000" w:rsidRDefault="00000000" w:rsidRPr="00000000" w14:paraId="000002C1">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w:t>
            </w:r>
          </w:p>
        </w:tc>
        <w:tc>
          <w:tcPr/>
          <w:p w:rsidR="00000000" w:rsidDel="00000000" w:rsidP="00000000" w:rsidRDefault="00000000" w:rsidRPr="00000000" w14:paraId="000002C2">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0.861043899</w:t>
            </w:r>
          </w:p>
        </w:tc>
      </w:tr>
      <w:tr>
        <w:trPr>
          <w:trHeight w:val="160" w:hRule="atLeast"/>
        </w:trPr>
        <w:tc>
          <w:tcPr/>
          <w:p w:rsidR="00000000" w:rsidDel="00000000" w:rsidP="00000000" w:rsidRDefault="00000000" w:rsidRPr="00000000" w14:paraId="000002C3">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w:t>
            </w:r>
          </w:p>
        </w:tc>
        <w:tc>
          <w:tcPr/>
          <w:p w:rsidR="00000000" w:rsidDel="00000000" w:rsidP="00000000" w:rsidRDefault="00000000" w:rsidRPr="00000000" w14:paraId="000002C4">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0.79455649</w:t>
            </w:r>
          </w:p>
        </w:tc>
      </w:tr>
      <w:tr>
        <w:trPr>
          <w:trHeight w:val="160" w:hRule="atLeast"/>
        </w:trPr>
        <w:tc>
          <w:tcPr/>
          <w:p w:rsidR="00000000" w:rsidDel="00000000" w:rsidP="00000000" w:rsidRDefault="00000000" w:rsidRPr="00000000" w14:paraId="000002C5">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w:t>
            </w:r>
          </w:p>
        </w:tc>
        <w:tc>
          <w:tcPr/>
          <w:p w:rsidR="00000000" w:rsidDel="00000000" w:rsidP="00000000" w:rsidRDefault="00000000" w:rsidRPr="00000000" w14:paraId="000002C6">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0.834141479</w:t>
            </w:r>
          </w:p>
        </w:tc>
      </w:tr>
      <w:tr>
        <w:trPr>
          <w:trHeight w:val="160" w:hRule="atLeast"/>
        </w:trPr>
        <w:tc>
          <w:tcPr/>
          <w:p w:rsidR="00000000" w:rsidDel="00000000" w:rsidP="00000000" w:rsidRDefault="00000000" w:rsidRPr="00000000" w14:paraId="000002C7">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w:t>
            </w:r>
          </w:p>
        </w:tc>
        <w:tc>
          <w:tcPr/>
          <w:p w:rsidR="00000000" w:rsidDel="00000000" w:rsidP="00000000" w:rsidRDefault="00000000" w:rsidRPr="00000000" w14:paraId="000002C8">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0.789176006</w:t>
            </w:r>
          </w:p>
        </w:tc>
      </w:tr>
      <w:tr>
        <w:trPr>
          <w:trHeight w:val="160" w:hRule="atLeast"/>
        </w:trPr>
        <w:tc>
          <w:tcPr/>
          <w:p w:rsidR="00000000" w:rsidDel="00000000" w:rsidP="00000000" w:rsidRDefault="00000000" w:rsidRPr="00000000" w14:paraId="000002C9">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w:t>
            </w:r>
          </w:p>
        </w:tc>
        <w:tc>
          <w:tcPr/>
          <w:p w:rsidR="00000000" w:rsidDel="00000000" w:rsidP="00000000" w:rsidRDefault="00000000" w:rsidRPr="00000000" w14:paraId="000002CA">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0.756124462</w:t>
            </w:r>
          </w:p>
        </w:tc>
      </w:tr>
      <w:tr>
        <w:trPr>
          <w:trHeight w:val="160" w:hRule="atLeast"/>
        </w:trPr>
        <w:tc>
          <w:tcPr/>
          <w:p w:rsidR="00000000" w:rsidDel="00000000" w:rsidP="00000000" w:rsidRDefault="00000000" w:rsidRPr="00000000" w14:paraId="000002CB">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w:t>
            </w:r>
          </w:p>
        </w:tc>
        <w:tc>
          <w:tcPr/>
          <w:p w:rsidR="00000000" w:rsidDel="00000000" w:rsidP="00000000" w:rsidRDefault="00000000" w:rsidRPr="00000000" w14:paraId="000002CC">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0.851435892</w:t>
            </w:r>
          </w:p>
        </w:tc>
      </w:tr>
      <w:tr>
        <w:trPr>
          <w:trHeight w:val="160" w:hRule="atLeast"/>
        </w:trPr>
        <w:tc>
          <w:tcPr/>
          <w:p w:rsidR="00000000" w:rsidDel="00000000" w:rsidP="00000000" w:rsidRDefault="00000000" w:rsidRPr="00000000" w14:paraId="000002CD">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8</w:t>
            </w:r>
          </w:p>
        </w:tc>
        <w:tc>
          <w:tcPr/>
          <w:p w:rsidR="00000000" w:rsidDel="00000000" w:rsidP="00000000" w:rsidRDefault="00000000" w:rsidRPr="00000000" w14:paraId="000002CE">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0.831835558</w:t>
            </w:r>
          </w:p>
        </w:tc>
      </w:tr>
      <w:tr>
        <w:trPr>
          <w:trHeight w:val="160" w:hRule="atLeast"/>
        </w:trPr>
        <w:tc>
          <w:tcPr/>
          <w:p w:rsidR="00000000" w:rsidDel="00000000" w:rsidP="00000000" w:rsidRDefault="00000000" w:rsidRPr="00000000" w14:paraId="000002CF">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9</w:t>
            </w:r>
          </w:p>
        </w:tc>
        <w:tc>
          <w:tcPr/>
          <w:p w:rsidR="00000000" w:rsidDel="00000000" w:rsidP="00000000" w:rsidRDefault="00000000" w:rsidRPr="00000000" w14:paraId="000002D0">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0.837984682</w:t>
            </w:r>
          </w:p>
        </w:tc>
      </w:tr>
      <w:tr>
        <w:trPr>
          <w:trHeight w:val="160" w:hRule="atLeast"/>
        </w:trPr>
        <w:tc>
          <w:tcPr/>
          <w:p w:rsidR="00000000" w:rsidDel="00000000" w:rsidP="00000000" w:rsidRDefault="00000000" w:rsidRPr="00000000" w14:paraId="000002D1">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w:t>
            </w:r>
          </w:p>
        </w:tc>
        <w:tc>
          <w:tcPr/>
          <w:p w:rsidR="00000000" w:rsidDel="00000000" w:rsidP="00000000" w:rsidRDefault="00000000" w:rsidRPr="00000000" w14:paraId="000002D2">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0.893711123</w:t>
            </w:r>
          </w:p>
        </w:tc>
      </w:tr>
      <w:tr>
        <w:trPr>
          <w:trHeight w:val="160" w:hRule="atLeast"/>
        </w:trPr>
        <w:tc>
          <w:tcPr/>
          <w:p w:rsidR="00000000" w:rsidDel="00000000" w:rsidP="00000000" w:rsidRDefault="00000000" w:rsidRPr="00000000" w14:paraId="000002D3">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11</w:t>
            </w:r>
          </w:p>
        </w:tc>
        <w:tc>
          <w:tcPr/>
          <w:p w:rsidR="00000000" w:rsidDel="00000000" w:rsidP="00000000" w:rsidRDefault="00000000" w:rsidRPr="00000000" w14:paraId="000002D4">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0.822996191</w:t>
            </w:r>
          </w:p>
        </w:tc>
      </w:tr>
      <w:tr>
        <w:trPr>
          <w:trHeight w:val="160" w:hRule="atLeast"/>
        </w:trPr>
        <w:tc>
          <w:tcPr/>
          <w:p w:rsidR="00000000" w:rsidDel="00000000" w:rsidP="00000000" w:rsidRDefault="00000000" w:rsidRPr="00000000" w14:paraId="000002D5">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w:t>
            </w:r>
          </w:p>
        </w:tc>
        <w:tc>
          <w:tcPr/>
          <w:p w:rsidR="00000000" w:rsidDel="00000000" w:rsidP="00000000" w:rsidRDefault="00000000" w:rsidRPr="00000000" w14:paraId="000002D6">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0.826070753</w:t>
            </w:r>
          </w:p>
        </w:tc>
      </w:tr>
      <w:tr>
        <w:trPr>
          <w:trHeight w:val="160" w:hRule="atLeast"/>
        </w:trPr>
        <w:tc>
          <w:tcPr/>
          <w:p w:rsidR="00000000" w:rsidDel="00000000" w:rsidP="00000000" w:rsidRDefault="00000000" w:rsidRPr="00000000" w14:paraId="000002D7">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13</w:t>
            </w:r>
          </w:p>
        </w:tc>
        <w:tc>
          <w:tcPr/>
          <w:p w:rsidR="00000000" w:rsidDel="00000000" w:rsidP="00000000" w:rsidRDefault="00000000" w:rsidRPr="00000000" w14:paraId="000002D8">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0.800321295</w:t>
            </w:r>
          </w:p>
        </w:tc>
      </w:tr>
      <w:tr>
        <w:trPr>
          <w:trHeight w:val="160" w:hRule="atLeast"/>
        </w:trPr>
        <w:tc>
          <w:tcPr/>
          <w:p w:rsidR="00000000" w:rsidDel="00000000" w:rsidP="00000000" w:rsidRDefault="00000000" w:rsidRPr="00000000" w14:paraId="000002D9">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14</w:t>
            </w:r>
          </w:p>
        </w:tc>
        <w:tc>
          <w:tcPr/>
          <w:p w:rsidR="00000000" w:rsidDel="00000000" w:rsidP="00000000" w:rsidRDefault="00000000" w:rsidRPr="00000000" w14:paraId="000002DA">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0.869883266</w:t>
            </w:r>
          </w:p>
        </w:tc>
      </w:tr>
      <w:tr>
        <w:trPr>
          <w:trHeight w:val="160" w:hRule="atLeast"/>
        </w:trPr>
        <w:tc>
          <w:tcPr/>
          <w:p w:rsidR="00000000" w:rsidDel="00000000" w:rsidP="00000000" w:rsidRDefault="00000000" w:rsidRPr="00000000" w14:paraId="000002DB">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15</w:t>
            </w:r>
          </w:p>
        </w:tc>
        <w:tc>
          <w:tcPr/>
          <w:p w:rsidR="00000000" w:rsidDel="00000000" w:rsidP="00000000" w:rsidRDefault="00000000" w:rsidRPr="00000000" w14:paraId="000002DC">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0.837984682</w:t>
            </w:r>
          </w:p>
        </w:tc>
      </w:tr>
      <w:tr>
        <w:trPr>
          <w:trHeight w:val="160" w:hRule="atLeast"/>
        </w:trPr>
        <w:tc>
          <w:tcPr/>
          <w:p w:rsidR="00000000" w:rsidDel="00000000" w:rsidP="00000000" w:rsidRDefault="00000000" w:rsidRPr="00000000" w14:paraId="000002DD">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16</w:t>
            </w:r>
          </w:p>
        </w:tc>
        <w:tc>
          <w:tcPr/>
          <w:p w:rsidR="00000000" w:rsidDel="00000000" w:rsidP="00000000" w:rsidRDefault="00000000" w:rsidRPr="00000000" w14:paraId="000002DE">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0.846055408</w:t>
            </w:r>
          </w:p>
        </w:tc>
      </w:tr>
      <w:tr>
        <w:trPr>
          <w:trHeight w:val="160" w:hRule="atLeast"/>
        </w:trPr>
        <w:tc>
          <w:tcPr/>
          <w:p w:rsidR="00000000" w:rsidDel="00000000" w:rsidP="00000000" w:rsidRDefault="00000000" w:rsidRPr="00000000" w14:paraId="000002DF">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17</w:t>
            </w:r>
          </w:p>
        </w:tc>
        <w:tc>
          <w:tcPr/>
          <w:p w:rsidR="00000000" w:rsidDel="00000000" w:rsidP="00000000" w:rsidRDefault="00000000" w:rsidRPr="00000000" w14:paraId="000002E0">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0.849514291</w:t>
            </w:r>
          </w:p>
        </w:tc>
      </w:tr>
      <w:tr>
        <w:trPr>
          <w:trHeight w:val="160" w:hRule="atLeast"/>
        </w:trPr>
        <w:tc>
          <w:tcPr/>
          <w:p w:rsidR="00000000" w:rsidDel="00000000" w:rsidP="00000000" w:rsidRDefault="00000000" w:rsidRPr="00000000" w14:paraId="000002E1">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18</w:t>
            </w:r>
          </w:p>
        </w:tc>
        <w:tc>
          <w:tcPr/>
          <w:p w:rsidR="00000000" w:rsidDel="00000000" w:rsidP="00000000" w:rsidRDefault="00000000" w:rsidRPr="00000000" w14:paraId="000002E2">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0.723841558</w:t>
            </w:r>
          </w:p>
        </w:tc>
      </w:tr>
      <w:tr>
        <w:trPr>
          <w:trHeight w:val="160" w:hRule="atLeast"/>
        </w:trPr>
        <w:tc>
          <w:tcPr/>
          <w:p w:rsidR="00000000" w:rsidDel="00000000" w:rsidP="00000000" w:rsidRDefault="00000000" w:rsidRPr="00000000" w14:paraId="000002E3">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19</w:t>
            </w:r>
          </w:p>
        </w:tc>
        <w:tc>
          <w:tcPr/>
          <w:p w:rsidR="00000000" w:rsidDel="00000000" w:rsidP="00000000" w:rsidRDefault="00000000" w:rsidRPr="00000000" w14:paraId="000002E4">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0.581643054</w:t>
            </w:r>
          </w:p>
        </w:tc>
      </w:tr>
      <w:tr>
        <w:trPr>
          <w:trHeight w:val="160" w:hRule="atLeast"/>
        </w:trPr>
        <w:tc>
          <w:tcPr/>
          <w:p w:rsidR="00000000" w:rsidDel="00000000" w:rsidP="00000000" w:rsidRDefault="00000000" w:rsidRPr="00000000" w14:paraId="000002E5">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w:t>
            </w:r>
          </w:p>
        </w:tc>
        <w:tc>
          <w:tcPr/>
          <w:p w:rsidR="00000000" w:rsidDel="00000000" w:rsidP="00000000" w:rsidRDefault="00000000" w:rsidRPr="00000000" w14:paraId="000002E6">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0.849898611</w:t>
            </w:r>
          </w:p>
        </w:tc>
      </w:tr>
      <w:tr>
        <w:trPr>
          <w:trHeight w:val="160" w:hRule="atLeast"/>
        </w:trPr>
        <w:tc>
          <w:tcPr/>
          <w:p w:rsidR="00000000" w:rsidDel="00000000" w:rsidP="00000000" w:rsidRDefault="00000000" w:rsidRPr="00000000" w14:paraId="000002E7">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21</w:t>
            </w:r>
          </w:p>
        </w:tc>
        <w:tc>
          <w:tcPr/>
          <w:p w:rsidR="00000000" w:rsidDel="00000000" w:rsidP="00000000" w:rsidRDefault="00000000" w:rsidRPr="00000000" w14:paraId="000002E8">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0.83491012</w:t>
            </w:r>
          </w:p>
        </w:tc>
      </w:tr>
      <w:tr>
        <w:trPr>
          <w:trHeight w:val="160" w:hRule="atLeast"/>
        </w:trPr>
        <w:tc>
          <w:tcPr/>
          <w:p w:rsidR="00000000" w:rsidDel="00000000" w:rsidP="00000000" w:rsidRDefault="00000000" w:rsidRPr="00000000" w14:paraId="000002E9">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22</w:t>
            </w:r>
          </w:p>
        </w:tc>
        <w:tc>
          <w:tcPr/>
          <w:p w:rsidR="00000000" w:rsidDel="00000000" w:rsidP="00000000" w:rsidRDefault="00000000" w:rsidRPr="00000000" w14:paraId="000002EA">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0.777646398</w:t>
            </w:r>
          </w:p>
        </w:tc>
      </w:tr>
      <w:tr>
        <w:trPr>
          <w:trHeight w:val="160" w:hRule="atLeast"/>
        </w:trPr>
        <w:tc>
          <w:tcPr/>
          <w:p w:rsidR="00000000" w:rsidDel="00000000" w:rsidP="00000000" w:rsidRDefault="00000000" w:rsidRPr="00000000" w14:paraId="000002EB">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23</w:t>
            </w:r>
          </w:p>
        </w:tc>
        <w:tc>
          <w:tcPr/>
          <w:p w:rsidR="00000000" w:rsidDel="00000000" w:rsidP="00000000" w:rsidRDefault="00000000" w:rsidRPr="00000000" w14:paraId="000002EC">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0.71308059</w:t>
            </w:r>
          </w:p>
        </w:tc>
      </w:tr>
      <w:tr>
        <w:trPr>
          <w:trHeight w:val="160" w:hRule="atLeast"/>
        </w:trPr>
        <w:tc>
          <w:tcPr/>
          <w:p w:rsidR="00000000" w:rsidDel="00000000" w:rsidP="00000000" w:rsidRDefault="00000000" w:rsidRPr="00000000" w14:paraId="000002ED">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24</w:t>
            </w:r>
          </w:p>
        </w:tc>
        <w:tc>
          <w:tcPr/>
          <w:p w:rsidR="00000000" w:rsidDel="00000000" w:rsidP="00000000" w:rsidRDefault="00000000" w:rsidRPr="00000000" w14:paraId="000002EE">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0.736524128</w:t>
            </w:r>
          </w:p>
        </w:tc>
      </w:tr>
      <w:tr>
        <w:trPr>
          <w:trHeight w:val="180" w:hRule="atLeast"/>
        </w:trPr>
        <w:tc>
          <w:tcPr/>
          <w:p w:rsidR="00000000" w:rsidDel="00000000" w:rsidP="00000000" w:rsidRDefault="00000000" w:rsidRPr="00000000" w14:paraId="000002EF">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25</w:t>
            </w:r>
          </w:p>
        </w:tc>
        <w:tc>
          <w:tcPr/>
          <w:p w:rsidR="00000000" w:rsidDel="00000000" w:rsidP="00000000" w:rsidRDefault="00000000" w:rsidRPr="00000000" w14:paraId="000002F0">
            <w:pP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0.581643054</w:t>
            </w:r>
          </w:p>
        </w:tc>
      </w:tr>
    </w:tbl>
    <w:p w:rsidR="00000000" w:rsidDel="00000000" w:rsidP="00000000" w:rsidRDefault="00000000" w:rsidRPr="00000000" w14:paraId="000002F1">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REGRESSION EQUATION:Y = -.03843X+1.03472</w:t>
      </w:r>
    </w:p>
    <w:p w:rsidR="00000000" w:rsidDel="00000000" w:rsidP="00000000" w:rsidRDefault="00000000" w:rsidRPr="00000000" w14:paraId="000002F2">
      <w:pP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F-statistic: 0.5615 on 1 and 23 DF, Tabulated F-statistic:  4.28 on 1&amp;23 DF</w:t>
      </w:r>
    </w:p>
    <w:p w:rsidR="00000000" w:rsidDel="00000000" w:rsidP="00000000" w:rsidRDefault="00000000" w:rsidRPr="00000000" w14:paraId="000002F3">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p-value:</w:t>
      </w:r>
      <w:r w:rsidDel="00000000" w:rsidR="00000000" w:rsidRPr="00000000">
        <w:rPr>
          <w:rFonts w:ascii="Times New Roman" w:cs="Times New Roman" w:eastAsia="Times New Roman" w:hAnsi="Times New Roman"/>
          <w:color w:val="000000"/>
          <w:sz w:val="24"/>
          <w:szCs w:val="24"/>
          <w:rtl w:val="0"/>
        </w:rPr>
        <w:t xml:space="preserve"> 0.4613 </w:t>
      </w:r>
    </w:p>
    <w:tbl>
      <w:tblPr>
        <w:tblStyle w:val="Table9"/>
        <w:tblW w:w="6120.0" w:type="dxa"/>
        <w:jc w:val="left"/>
        <w:tblInd w:w="93.0" w:type="dxa"/>
        <w:tblLayout w:type="fixed"/>
        <w:tblLook w:val="0400"/>
      </w:tblPr>
      <w:tblGrid>
        <w:gridCol w:w="4640"/>
        <w:gridCol w:w="1480"/>
        <w:tblGridChange w:id="0">
          <w:tblGrid>
            <w:gridCol w:w="4640"/>
            <w:gridCol w:w="1480"/>
          </w:tblGrid>
        </w:tblGridChange>
      </w:tblGrid>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F4">
            <w:pPr>
              <w:spacing w:after="0" w:line="24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Correlation Between NET NPA and  CAR=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F5">
            <w:pPr>
              <w:spacing w:after="0" w:line="24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-0.16663832</w:t>
            </w:r>
          </w:p>
        </w:tc>
      </w:tr>
    </w:tbl>
    <w:p w:rsidR="00000000" w:rsidDel="00000000" w:rsidP="00000000" w:rsidRDefault="00000000" w:rsidRPr="00000000" w14:paraId="000002F6">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2F7">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u w:val="single"/>
          <w:rtl w:val="0"/>
        </w:rPr>
        <w:t xml:space="preserve">THE ANALYSIS OF THE OUTPUT</w:t>
      </w:r>
      <w:r w:rsidDel="00000000" w:rsidR="00000000" w:rsidRPr="00000000">
        <w:rPr>
          <w:rFonts w:ascii="Times New Roman" w:cs="Times New Roman" w:eastAsia="Times New Roman" w:hAnsi="Times New Roman"/>
          <w:color w:val="000000"/>
          <w:sz w:val="24"/>
          <w:szCs w:val="24"/>
          <w:rtl w:val="0"/>
        </w:rPr>
        <w:t xml:space="preserve">:</w:t>
      </w:r>
    </w:p>
    <w:p w:rsidR="00000000" w:rsidDel="00000000" w:rsidP="00000000" w:rsidRDefault="00000000" w:rsidRPr="00000000" w14:paraId="000002F8">
      <w:pPr>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Since the Adjusted R^2 is only -0.01861, so it is evident that there is absolutely a negative linear relationship  between the Net Non-Performing Assets (NET NPA) and Capital Adequacy Ratio(CAR)  in the sample of the 25 Indian Banks that is taken for the purpose of validation.</w:t>
      </w:r>
    </w:p>
    <w:p w:rsidR="00000000" w:rsidDel="00000000" w:rsidP="00000000" w:rsidRDefault="00000000" w:rsidRPr="00000000" w14:paraId="000002F9">
      <w:pPr>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Moreover, at α=0.05(i.e. at 95% level of significance), it can be said that informally the referred hypothesis of a possible relation between Net Non-Performing Assets (NET NPA) and CAR are statistically of moderate significance. It can be inferred from the fact that the p-value of 0.4613&gt;α=0.05.</w:t>
      </w:r>
    </w:p>
    <w:p w:rsidR="00000000" w:rsidDel="00000000" w:rsidP="00000000" w:rsidRDefault="00000000" w:rsidRPr="00000000" w14:paraId="000002FA">
      <w:pPr>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At 95% level of significance, the tabulated value of F-statistic is 4.28 on 1&amp; 23 DF and the Observed value of the F-statistic is 0.5615 (Observed value&lt;Tabulated Value). So, it can be inferred that  Alternative hypothesis which assumes that there is a possible dependency between Net NPA  and Capital Adequacy Ratio of the sample Banks’ is rejected. Hence in this specific case the Null hypothesis which assumes that there is no relation between these two variables is accepted.</w:t>
      </w:r>
    </w:p>
    <w:p w:rsidR="00000000" w:rsidDel="00000000" w:rsidP="00000000" w:rsidRDefault="00000000" w:rsidRPr="00000000" w14:paraId="000002FB">
      <w:pPr>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 from the above analysis the model of Regression Analysis and Adjusted R^2 and Correlation Coefficient cannot analyze the problem structure.</w:t>
      </w:r>
    </w:p>
    <w:p w:rsidR="00000000" w:rsidDel="00000000" w:rsidP="00000000" w:rsidRDefault="00000000" w:rsidRPr="00000000" w14:paraId="000002FC">
      <w:pPr>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2FD">
      <w:pPr>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Pr>
        <w:drawing>
          <wp:inline distB="0" distT="0" distL="0" distR="0">
            <wp:extent cx="4619625" cy="1933575"/>
            <wp:effectExtent b="0" l="19050" r="9525" t="0"/>
            <wp:docPr id="46" name=""/>
            <a:graphic>
              <a:graphicData uri="http://schemas.openxmlformats.org/drawingml/2006/chart">
                <c:chart r:id="rId11"/>
              </a:graphicData>
            </a:graphic>
          </wp:inline>
        </w:drawing>
      </w:r>
      <w:r w:rsidDel="00000000" w:rsidR="00000000" w:rsidRPr="00000000">
        <w:rPr>
          <w:rtl w:val="0"/>
        </w:rPr>
      </w:r>
    </w:p>
    <w:p w:rsidR="00000000" w:rsidDel="00000000" w:rsidP="00000000" w:rsidRDefault="00000000" w:rsidRPr="00000000" w14:paraId="000002FE">
      <w:pPr>
        <w:jc w:val="both"/>
        <w:rPr>
          <w:rFonts w:ascii="Times New Roman" w:cs="Times New Roman" w:eastAsia="Times New Roman" w:hAnsi="Times New Roman"/>
          <w:b w:val="1"/>
          <w:color w:val="000000"/>
          <w:sz w:val="24"/>
          <w:szCs w:val="24"/>
          <w:u w:val="single"/>
        </w:rPr>
      </w:pPr>
      <w:r w:rsidDel="00000000" w:rsidR="00000000" w:rsidRPr="00000000">
        <w:rPr>
          <w:rFonts w:ascii="Times New Roman" w:cs="Times New Roman" w:eastAsia="Times New Roman" w:hAnsi="Times New Roman"/>
          <w:b w:val="1"/>
          <w:color w:val="000000"/>
          <w:sz w:val="24"/>
          <w:szCs w:val="24"/>
          <w:rtl w:val="0"/>
        </w:rPr>
        <w:t xml:space="preserve">               </w:t>
      </w:r>
      <w:r w:rsidDel="00000000" w:rsidR="00000000" w:rsidRPr="00000000">
        <w:rPr>
          <w:rFonts w:ascii="Times New Roman" w:cs="Times New Roman" w:eastAsia="Times New Roman" w:hAnsi="Times New Roman"/>
          <w:b w:val="1"/>
          <w:color w:val="000000"/>
          <w:sz w:val="24"/>
          <w:szCs w:val="24"/>
          <w:u w:val="single"/>
          <w:rtl w:val="0"/>
        </w:rPr>
        <w:t xml:space="preserve">  REGRESSION LINE OF NET NPA vs. CAR with the Regression Equation </w:t>
      </w:r>
    </w:p>
    <w:p w:rsidR="00000000" w:rsidDel="00000000" w:rsidP="00000000" w:rsidRDefault="00000000" w:rsidRPr="00000000" w14:paraId="000002FF">
      <w:pPr>
        <w:jc w:val="both"/>
        <w:rPr>
          <w:rFonts w:ascii="Times New Roman" w:cs="Times New Roman" w:eastAsia="Times New Roman" w:hAnsi="Times New Roman"/>
          <w:b w:val="1"/>
          <w:color w:val="000000"/>
          <w:sz w:val="24"/>
          <w:szCs w:val="24"/>
          <w:u w:val="single"/>
        </w:rPr>
      </w:pPr>
      <w:r w:rsidDel="00000000" w:rsidR="00000000" w:rsidRPr="00000000">
        <w:rPr>
          <w:rtl w:val="0"/>
        </w:rPr>
      </w:r>
    </w:p>
    <w:p w:rsidR="00000000" w:rsidDel="00000000" w:rsidP="00000000" w:rsidRDefault="00000000" w:rsidRPr="00000000" w14:paraId="00000300">
      <w:pPr>
        <w:jc w:val="both"/>
        <w:rPr>
          <w:rFonts w:ascii="Times New Roman" w:cs="Times New Roman" w:eastAsia="Times New Roman" w:hAnsi="Times New Roman"/>
          <w:b w:val="1"/>
          <w:color w:val="000000"/>
          <w:sz w:val="24"/>
          <w:szCs w:val="24"/>
          <w:u w:val="single"/>
        </w:rPr>
      </w:pPr>
      <w:r w:rsidDel="00000000" w:rsidR="00000000" w:rsidRPr="00000000">
        <w:rPr>
          <w:rtl w:val="0"/>
        </w:rPr>
      </w:r>
    </w:p>
    <w:p w:rsidR="00000000" w:rsidDel="00000000" w:rsidP="00000000" w:rsidRDefault="00000000" w:rsidRPr="00000000" w14:paraId="00000301">
      <w:pPr>
        <w:rPr>
          <w:rFonts w:ascii="Bookman Old Style" w:cs="Bookman Old Style" w:eastAsia="Bookman Old Style" w:hAnsi="Bookman Old Style"/>
          <w:b w:val="1"/>
          <w:color w:val="000000"/>
          <w:sz w:val="24"/>
          <w:szCs w:val="24"/>
          <w:u w:val="single"/>
        </w:rPr>
      </w:pPr>
      <w:r w:rsidDel="00000000" w:rsidR="00000000" w:rsidRPr="00000000">
        <w:rPr>
          <w:rFonts w:ascii="Bookman Old Style" w:cs="Bookman Old Style" w:eastAsia="Bookman Old Style" w:hAnsi="Bookman Old Style"/>
          <w:b w:val="1"/>
          <w:color w:val="000000"/>
          <w:sz w:val="24"/>
          <w:szCs w:val="24"/>
          <w:u w:val="single"/>
          <w:rtl w:val="0"/>
        </w:rPr>
        <w:t xml:space="preserve">REGRESSION ANALYSIS WITH NET NPA AS DEPENDENT VARIABLE</w:t>
      </w:r>
    </w:p>
    <w:p w:rsidR="00000000" w:rsidDel="00000000" w:rsidP="00000000" w:rsidRDefault="00000000" w:rsidRPr="00000000" w14:paraId="00000302">
      <w:pPr>
        <w:rPr>
          <w:rFonts w:ascii="Bookman Old Style" w:cs="Bookman Old Style" w:eastAsia="Bookman Old Style" w:hAnsi="Bookman Old Style"/>
          <w:b w:val="1"/>
          <w:color w:val="000000"/>
          <w:sz w:val="28"/>
          <w:szCs w:val="28"/>
          <w:u w:val="single"/>
        </w:rPr>
      </w:pPr>
      <w:r w:rsidDel="00000000" w:rsidR="00000000" w:rsidRPr="00000000">
        <w:rPr>
          <w:rFonts w:ascii="Bookman Old Style" w:cs="Bookman Old Style" w:eastAsia="Bookman Old Style" w:hAnsi="Bookman Old Style"/>
          <w:color w:val="000000"/>
          <w:sz w:val="28"/>
          <w:szCs w:val="28"/>
          <w:rtl w:val="0"/>
        </w:rPr>
        <w:t xml:space="preserve">1) </w:t>
      </w:r>
      <w:r w:rsidDel="00000000" w:rsidR="00000000" w:rsidRPr="00000000">
        <w:rPr>
          <w:rFonts w:ascii="Bookman Old Style" w:cs="Bookman Old Style" w:eastAsia="Bookman Old Style" w:hAnsi="Bookman Old Style"/>
          <w:b w:val="1"/>
          <w:color w:val="000000"/>
          <w:sz w:val="28"/>
          <w:szCs w:val="28"/>
          <w:u w:val="single"/>
          <w:rtl w:val="0"/>
        </w:rPr>
        <w:t xml:space="preserve">NET NPA Vs. BOD</w:t>
      </w:r>
    </w:p>
    <w:tbl>
      <w:tblPr>
        <w:tblStyle w:val="Table10"/>
        <w:tblW w:w="3936.0" w:type="dxa"/>
        <w:jc w:val="left"/>
        <w:tblInd w:w="108.0" w:type="dxa"/>
        <w:tblLayout w:type="fixed"/>
        <w:tblLook w:val="0400"/>
      </w:tblPr>
      <w:tblGrid>
        <w:gridCol w:w="2242"/>
        <w:gridCol w:w="1694"/>
        <w:tblGridChange w:id="0">
          <w:tblGrid>
            <w:gridCol w:w="2242"/>
            <w:gridCol w:w="1694"/>
          </w:tblGrid>
        </w:tblGridChange>
      </w:tblGrid>
      <w:tr>
        <w:trPr>
          <w:trHeight w:val="300" w:hRule="atLeast"/>
        </w:trPr>
        <w:tc>
          <w:tcPr>
            <w:gridSpan w:val="2"/>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03">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Regression Statistics</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05">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Multiple 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0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0.132211057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07">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0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0.017479764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09">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Adjusted 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0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-0.025238507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0B">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Standard Error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0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0.483737683</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0D">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Observations</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0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r>
    </w:tbl>
    <w:p w:rsidR="00000000" w:rsidDel="00000000" w:rsidP="00000000" w:rsidRDefault="00000000" w:rsidRPr="00000000" w14:paraId="0000030F">
      <w:pPr>
        <w:rPr>
          <w:rFonts w:ascii="Bookman Old Style" w:cs="Bookman Old Style" w:eastAsia="Bookman Old Style" w:hAnsi="Bookman Old Style"/>
          <w:b w:val="1"/>
          <w:color w:val="000000"/>
          <w:sz w:val="28"/>
          <w:szCs w:val="28"/>
          <w:u w:val="single"/>
        </w:rPr>
      </w:pPr>
      <w:r w:rsidDel="00000000" w:rsidR="00000000" w:rsidRPr="00000000">
        <w:rPr>
          <w:rtl w:val="0"/>
        </w:rPr>
      </w:r>
    </w:p>
    <w:tbl>
      <w:tblPr>
        <w:tblStyle w:val="Table11"/>
        <w:tblW w:w="5608.0" w:type="dxa"/>
        <w:jc w:val="left"/>
        <w:tblInd w:w="108.0" w:type="dxa"/>
        <w:tblLayout w:type="fixed"/>
        <w:tblLook w:val="0400"/>
      </w:tblPr>
      <w:tblGrid>
        <w:gridCol w:w="2096"/>
        <w:gridCol w:w="1856"/>
        <w:gridCol w:w="1656"/>
        <w:tblGridChange w:id="0">
          <w:tblGrid>
            <w:gridCol w:w="2096"/>
            <w:gridCol w:w="1856"/>
            <w:gridCol w:w="165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10">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 </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11">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Coefficients</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12">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Standard Error</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13">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Intercept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1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0.523714286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1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0.439566735</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16">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X Variable 1</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1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0.024935065</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1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0.038980693</w:t>
            </w:r>
          </w:p>
        </w:tc>
      </w:tr>
    </w:tbl>
    <w:p w:rsidR="00000000" w:rsidDel="00000000" w:rsidP="00000000" w:rsidRDefault="00000000" w:rsidRPr="00000000" w14:paraId="00000319">
      <w:pPr>
        <w:rPr>
          <w:rFonts w:ascii="Bookman Old Style" w:cs="Bookman Old Style" w:eastAsia="Bookman Old Style" w:hAnsi="Bookman Old Style"/>
          <w:b w:val="1"/>
          <w:color w:val="000000"/>
          <w:sz w:val="28"/>
          <w:szCs w:val="28"/>
          <w:u w:val="single"/>
        </w:rPr>
      </w:pPr>
      <w:r w:rsidDel="00000000" w:rsidR="00000000" w:rsidRPr="00000000">
        <w:rPr>
          <w:rtl w:val="0"/>
        </w:rPr>
      </w:r>
    </w:p>
    <w:tbl>
      <w:tblPr>
        <w:tblStyle w:val="Table12"/>
        <w:tblW w:w="3952.0" w:type="dxa"/>
        <w:jc w:val="left"/>
        <w:tblInd w:w="108.0" w:type="dxa"/>
        <w:tblLayout w:type="fixed"/>
        <w:tblLook w:val="0400"/>
      </w:tblPr>
      <w:tblGrid>
        <w:gridCol w:w="2096"/>
        <w:gridCol w:w="1856"/>
        <w:tblGridChange w:id="0">
          <w:tblGrid>
            <w:gridCol w:w="2096"/>
            <w:gridCol w:w="185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1A">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Observation</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1B">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Predicted Y</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1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1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0.773064935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1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1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0.922675325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0.84787013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0.773064935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0.84787013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0.922675325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0.773064935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0.84787013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0.773064935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2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0.723194805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0.69825974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0.798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0.822935065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0.74812987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0.872805195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0.84787013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0.872805195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3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0.773064935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0.773064935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0.822935065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0.798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0.74812987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0.69825974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0.723194805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4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0.74812987</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4E">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4F">
            <w:pPr>
              <w:spacing w:after="0" w:line="240" w:lineRule="auto"/>
              <w:jc w:val="right"/>
              <w:rPr>
                <w:rFonts w:ascii="Calibri" w:cs="Calibri" w:eastAsia="Calibri" w:hAnsi="Calibri"/>
                <w:color w:val="000000"/>
              </w:rPr>
            </w:pPr>
            <w:r w:rsidDel="00000000" w:rsidR="00000000" w:rsidRPr="00000000">
              <w:rPr>
                <w:rtl w:val="0"/>
              </w:rPr>
            </w:r>
          </w:p>
        </w:tc>
      </w:tr>
    </w:tbl>
    <w:p w:rsidR="00000000" w:rsidDel="00000000" w:rsidP="00000000" w:rsidRDefault="00000000" w:rsidRPr="00000000" w14:paraId="00000350">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351">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REGRESSION EQUATION: Y=0.02493X+0.5237</w:t>
      </w:r>
    </w:p>
    <w:p w:rsidR="00000000" w:rsidDel="00000000" w:rsidP="00000000" w:rsidRDefault="00000000" w:rsidRPr="00000000" w14:paraId="00000352">
      <w:pPr>
        <w:rPr>
          <w:color w:val="000000"/>
        </w:rPr>
      </w:pPr>
      <w:r w:rsidDel="00000000" w:rsidR="00000000" w:rsidRPr="00000000">
        <w:rPr>
          <w:b w:val="1"/>
          <w:color w:val="000000"/>
          <w:rtl w:val="0"/>
        </w:rPr>
        <w:t xml:space="preserve">F-statistic:</w:t>
      </w:r>
      <w:r w:rsidDel="00000000" w:rsidR="00000000" w:rsidRPr="00000000">
        <w:rPr>
          <w:color w:val="000000"/>
          <w:rtl w:val="0"/>
        </w:rPr>
        <w:t xml:space="preserve"> 0.3845 on 1 and 23 DF,  </w:t>
      </w:r>
    </w:p>
    <w:p w:rsidR="00000000" w:rsidDel="00000000" w:rsidP="00000000" w:rsidRDefault="00000000" w:rsidRPr="00000000" w14:paraId="00000353">
      <w:pPr>
        <w:rPr>
          <w:color w:val="000000"/>
        </w:rPr>
      </w:pPr>
      <w:r w:rsidDel="00000000" w:rsidR="00000000" w:rsidRPr="00000000">
        <w:rPr>
          <w:b w:val="1"/>
          <w:color w:val="000000"/>
          <w:rtl w:val="0"/>
        </w:rPr>
        <w:t xml:space="preserve">p-value</w:t>
      </w:r>
      <w:r w:rsidDel="00000000" w:rsidR="00000000" w:rsidRPr="00000000">
        <w:rPr>
          <w:color w:val="000000"/>
          <w:rtl w:val="0"/>
        </w:rPr>
        <w:t xml:space="preserve">: 0.5413 </w:t>
      </w:r>
    </w:p>
    <w:tbl>
      <w:tblPr>
        <w:tblStyle w:val="Table13"/>
        <w:tblW w:w="6440.0" w:type="dxa"/>
        <w:jc w:val="left"/>
        <w:tblInd w:w="93.0" w:type="dxa"/>
        <w:tblLayout w:type="fixed"/>
        <w:tblLook w:val="0400"/>
      </w:tblPr>
      <w:tblGrid>
        <w:gridCol w:w="4960"/>
        <w:gridCol w:w="1480"/>
        <w:tblGridChange w:id="0">
          <w:tblGrid>
            <w:gridCol w:w="4960"/>
            <w:gridCol w:w="1480"/>
          </w:tblGrid>
        </w:tblGridChange>
      </w:tblGrid>
      <w:tr>
        <w:trPr>
          <w:trHeight w:val="300" w:hRule="atLeast"/>
        </w:trPr>
        <w:tc>
          <w:tcPr>
            <w:tcBorders>
              <w:top w:color="000000" w:space="0" w:sz="8" w:val="single"/>
              <w:left w:color="000000" w:space="0" w:sz="8" w:val="single"/>
              <w:bottom w:color="000000" w:space="0" w:sz="8" w:val="single"/>
              <w:right w:color="000000" w:space="0" w:sz="0" w:val="nil"/>
            </w:tcBorders>
            <w:shd w:fill="auto" w:val="clear"/>
            <w:vAlign w:val="bottom"/>
          </w:tcPr>
          <w:p w:rsidR="00000000" w:rsidDel="00000000" w:rsidP="00000000" w:rsidRDefault="00000000" w:rsidRPr="00000000" w14:paraId="00000354">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Correlation Between NET NPA and Nos. of Directors=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5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0.132211057</w:t>
            </w:r>
          </w:p>
        </w:tc>
      </w:tr>
    </w:tbl>
    <w:p w:rsidR="00000000" w:rsidDel="00000000" w:rsidP="00000000" w:rsidRDefault="00000000" w:rsidRPr="00000000" w14:paraId="00000356">
      <w:pPr>
        <w:rPr>
          <w:color w:val="000000"/>
        </w:rPr>
      </w:pPr>
      <w:r w:rsidDel="00000000" w:rsidR="00000000" w:rsidRPr="00000000">
        <w:rPr>
          <w:rtl w:val="0"/>
        </w:rPr>
      </w:r>
    </w:p>
    <w:p w:rsidR="00000000" w:rsidDel="00000000" w:rsidP="00000000" w:rsidRDefault="00000000" w:rsidRPr="00000000" w14:paraId="00000357">
      <w:pPr>
        <w:rPr>
          <w:color w:val="000000"/>
        </w:rPr>
      </w:pPr>
      <w:r w:rsidDel="00000000" w:rsidR="00000000" w:rsidRPr="00000000">
        <w:rPr>
          <w:b w:val="1"/>
          <w:color w:val="000000"/>
          <w:u w:val="single"/>
          <w:rtl w:val="0"/>
        </w:rPr>
        <w:t xml:space="preserve">THE ANALYSIS OF THE OUTPUT</w:t>
      </w:r>
      <w:r w:rsidDel="00000000" w:rsidR="00000000" w:rsidRPr="00000000">
        <w:rPr>
          <w:color w:val="000000"/>
          <w:rtl w:val="0"/>
        </w:rPr>
        <w:t xml:space="preserve">:</w:t>
      </w:r>
    </w:p>
    <w:p w:rsidR="00000000" w:rsidDel="00000000" w:rsidP="00000000" w:rsidRDefault="00000000" w:rsidRPr="00000000" w14:paraId="00000358">
      <w:pPr>
        <w:jc w:val="both"/>
        <w:rPr>
          <w:color w:val="000000"/>
        </w:rPr>
      </w:pPr>
      <w:r w:rsidDel="00000000" w:rsidR="00000000" w:rsidRPr="00000000">
        <w:rPr>
          <w:color w:val="000000"/>
          <w:rtl w:val="0"/>
        </w:rPr>
        <w:t xml:space="preserve">Since the Adjusted R^2 is only -0.02632, so it is evident that there is absolutely no linear positive relationship  between the Net Non-Performing Assets (NET NPA) and Number of Board of Directors(BOD)  in the sample of the 25 Indian Banks that is taken for the purpose of validation.</w:t>
      </w:r>
    </w:p>
    <w:p w:rsidR="00000000" w:rsidDel="00000000" w:rsidP="00000000" w:rsidRDefault="00000000" w:rsidRPr="00000000" w14:paraId="00000359">
      <w:pPr>
        <w:jc w:val="both"/>
        <w:rPr>
          <w:color w:val="000000"/>
        </w:rPr>
      </w:pPr>
      <w:r w:rsidDel="00000000" w:rsidR="00000000" w:rsidRPr="00000000">
        <w:rPr>
          <w:color w:val="000000"/>
          <w:rtl w:val="0"/>
        </w:rPr>
        <w:t xml:space="preserve">Moreover, at α=0.05(i.e. at 95% level of significance), it can be said that informally the referred hypothesis of a possible relation between Net Non-Performing Assets (NET NPA) and Number of Board of Directors(BOD)  are statistically very significant and the significance of correlation between the two variables is very strong. It can be inferred from the fact that the p-value of 0.5413 &gt;α=0.05.</w:t>
      </w:r>
    </w:p>
    <w:p w:rsidR="00000000" w:rsidDel="00000000" w:rsidP="00000000" w:rsidRDefault="00000000" w:rsidRPr="00000000" w14:paraId="0000035A">
      <w:pPr>
        <w:jc w:val="both"/>
        <w:rPr>
          <w:color w:val="000000"/>
        </w:rPr>
      </w:pPr>
      <w:r w:rsidDel="00000000" w:rsidR="00000000" w:rsidRPr="00000000">
        <w:rPr>
          <w:color w:val="000000"/>
          <w:rtl w:val="0"/>
        </w:rPr>
        <w:t xml:space="preserve">At 95% level of significance, the tabulated value of F-statistic is 4.28 on 1&amp; 23 DF and the Observed value of the F-statistic is 0.3845 (Observed value&lt;Tabulated Value). So, it can be inferred that  Alternative hypothesis which assumes that there is a possible dependency between Net NPA  and Number of Board of Director is rejected. Hence in this specific case the Null hypothesis which assumes that there is no relation between these two variables is accepted.</w:t>
      </w:r>
    </w:p>
    <w:p w:rsidR="00000000" w:rsidDel="00000000" w:rsidP="00000000" w:rsidRDefault="00000000" w:rsidRPr="00000000" w14:paraId="0000035B">
      <w:pPr>
        <w:jc w:val="both"/>
        <w:rPr>
          <w:color w:val="000000"/>
        </w:rPr>
      </w:pPr>
      <w:r w:rsidDel="00000000" w:rsidR="00000000" w:rsidRPr="00000000">
        <w:rPr>
          <w:color w:val="000000"/>
          <w:rtl w:val="0"/>
        </w:rPr>
        <w:t xml:space="preserve">So, from the above analysis the model of Regression Analysis and Adjusted R^2 and Correlation Coefficient cannot analyze the problem structure.</w:t>
      </w:r>
    </w:p>
    <w:p w:rsidR="00000000" w:rsidDel="00000000" w:rsidP="00000000" w:rsidRDefault="00000000" w:rsidRPr="00000000" w14:paraId="0000035C">
      <w:pPr>
        <w:rPr>
          <w:color w:val="000000"/>
        </w:rPr>
      </w:pPr>
      <w:r w:rsidDel="00000000" w:rsidR="00000000" w:rsidRPr="00000000">
        <w:rPr>
          <w:color w:val="000000"/>
        </w:rPr>
        <w:drawing>
          <wp:inline distB="0" distT="0" distL="0" distR="0">
            <wp:extent cx="5657850" cy="1933575"/>
            <wp:effectExtent b="0" l="19050" r="19050" t="0"/>
            <wp:docPr id="49" name=""/>
            <a:graphic>
              <a:graphicData uri="http://schemas.openxmlformats.org/drawingml/2006/chart">
                <c:chart r:id="rId12"/>
              </a:graphicData>
            </a:graphic>
          </wp:inline>
        </w:drawing>
      </w:r>
      <w:r w:rsidDel="00000000" w:rsidR="00000000" w:rsidRPr="00000000">
        <w:rPr>
          <w:rtl w:val="0"/>
        </w:rPr>
      </w:r>
    </w:p>
    <w:p w:rsidR="00000000" w:rsidDel="00000000" w:rsidP="00000000" w:rsidRDefault="00000000" w:rsidRPr="00000000" w14:paraId="0000035D">
      <w:pPr>
        <w:jc w:val="both"/>
        <w:rPr>
          <w:rFonts w:ascii="Times New Roman" w:cs="Times New Roman" w:eastAsia="Times New Roman" w:hAnsi="Times New Roman"/>
          <w:b w:val="1"/>
          <w:color w:val="000000"/>
          <w:u w:val="single"/>
        </w:rPr>
      </w:pPr>
      <w:r w:rsidDel="00000000" w:rsidR="00000000" w:rsidRPr="00000000">
        <w:rPr>
          <w:rFonts w:ascii="Times New Roman" w:cs="Times New Roman" w:eastAsia="Times New Roman" w:hAnsi="Times New Roman"/>
          <w:b w:val="1"/>
          <w:color w:val="000000"/>
          <w:u w:val="single"/>
          <w:rtl w:val="0"/>
        </w:rPr>
        <w:t xml:space="preserve">REGRESSION LINE OF NET NPA vs. No. of Board of Director with the Regression Equation </w:t>
      </w:r>
    </w:p>
    <w:p w:rsidR="00000000" w:rsidDel="00000000" w:rsidP="00000000" w:rsidRDefault="00000000" w:rsidRPr="00000000" w14:paraId="0000035E">
      <w:pPr>
        <w:rPr>
          <w:rFonts w:ascii="Bookman Old Style" w:cs="Bookman Old Style" w:eastAsia="Bookman Old Style" w:hAnsi="Bookman Old Style"/>
          <w:b w:val="1"/>
          <w:color w:val="000000"/>
          <w:sz w:val="28"/>
          <w:szCs w:val="28"/>
          <w:u w:val="single"/>
        </w:rPr>
      </w:pPr>
      <w:r w:rsidDel="00000000" w:rsidR="00000000" w:rsidRPr="00000000">
        <w:rPr>
          <w:rtl w:val="0"/>
        </w:rPr>
      </w:r>
    </w:p>
    <w:p w:rsidR="00000000" w:rsidDel="00000000" w:rsidP="00000000" w:rsidRDefault="00000000" w:rsidRPr="00000000" w14:paraId="0000035F">
      <w:pPr>
        <w:rPr>
          <w:rFonts w:ascii="Bookman Old Style" w:cs="Bookman Old Style" w:eastAsia="Bookman Old Style" w:hAnsi="Bookman Old Style"/>
          <w:b w:val="1"/>
          <w:color w:val="000000"/>
          <w:sz w:val="28"/>
          <w:szCs w:val="28"/>
          <w:u w:val="single"/>
        </w:rPr>
      </w:pPr>
      <w:r w:rsidDel="00000000" w:rsidR="00000000" w:rsidRPr="00000000">
        <w:rPr>
          <w:rFonts w:ascii="Bookman Old Style" w:cs="Bookman Old Style" w:eastAsia="Bookman Old Style" w:hAnsi="Bookman Old Style"/>
          <w:b w:val="1"/>
          <w:color w:val="000000"/>
          <w:sz w:val="28"/>
          <w:szCs w:val="28"/>
          <w:u w:val="single"/>
          <w:rtl w:val="0"/>
        </w:rPr>
        <w:t xml:space="preserve">2) NET NPA vs. Board Meetings</w:t>
      </w:r>
    </w:p>
    <w:tbl>
      <w:tblPr>
        <w:tblStyle w:val="Table14"/>
        <w:tblW w:w="3356.0" w:type="dxa"/>
        <w:jc w:val="left"/>
        <w:tblInd w:w="108.0" w:type="dxa"/>
        <w:tblLayout w:type="fixed"/>
        <w:tblLook w:val="0400"/>
      </w:tblPr>
      <w:tblGrid>
        <w:gridCol w:w="1912"/>
        <w:gridCol w:w="1444"/>
        <w:tblGridChange w:id="0">
          <w:tblGrid>
            <w:gridCol w:w="1912"/>
            <w:gridCol w:w="1444"/>
          </w:tblGrid>
        </w:tblGridChange>
      </w:tblGrid>
      <w:tr>
        <w:trPr>
          <w:trHeight w:val="300" w:hRule="atLeast"/>
        </w:trPr>
        <w:tc>
          <w:tcPr>
            <w:gridSpan w:val="2"/>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60">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Regression Statistics</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2">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Multiple 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0.102188957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4">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0.010442583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6">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Adjusted 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-0.032581653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8">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Standard Error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6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0.485466948</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6A">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Observations</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6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r>
    </w:tbl>
    <w:p w:rsidR="00000000" w:rsidDel="00000000" w:rsidP="00000000" w:rsidRDefault="00000000" w:rsidRPr="00000000" w14:paraId="0000036C">
      <w:pPr>
        <w:rPr>
          <w:b w:val="1"/>
          <w:color w:val="000000"/>
        </w:rPr>
      </w:pPr>
      <w:r w:rsidDel="00000000" w:rsidR="00000000" w:rsidRPr="00000000">
        <w:rPr>
          <w:rtl w:val="0"/>
        </w:rPr>
      </w:r>
    </w:p>
    <w:tbl>
      <w:tblPr>
        <w:tblStyle w:val="Table15"/>
        <w:tblW w:w="4988.0" w:type="dxa"/>
        <w:jc w:val="left"/>
        <w:tblInd w:w="108.0" w:type="dxa"/>
        <w:tblLayout w:type="fixed"/>
        <w:tblLook w:val="0400"/>
      </w:tblPr>
      <w:tblGrid>
        <w:gridCol w:w="1516"/>
        <w:gridCol w:w="1856"/>
        <w:gridCol w:w="1616"/>
        <w:tblGridChange w:id="0">
          <w:tblGrid>
            <w:gridCol w:w="1516"/>
            <w:gridCol w:w="1856"/>
            <w:gridCol w:w="161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6D">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 </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6E">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Coefficients</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6F">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Standard Error</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0">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Intercept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0.502761905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0.607087924</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73">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X Variable 1</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7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0.036904762</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7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0.074909176</w:t>
            </w:r>
          </w:p>
        </w:tc>
      </w:tr>
    </w:tbl>
    <w:p w:rsidR="00000000" w:rsidDel="00000000" w:rsidP="00000000" w:rsidRDefault="00000000" w:rsidRPr="00000000" w14:paraId="00000376">
      <w:pPr>
        <w:rPr>
          <w:b w:val="1"/>
          <w:color w:val="000000"/>
        </w:rPr>
      </w:pPr>
      <w:r w:rsidDel="00000000" w:rsidR="00000000" w:rsidRPr="00000000">
        <w:rPr>
          <w:b w:val="1"/>
          <w:color w:val="000000"/>
          <w:rtl w:val="0"/>
        </w:rPr>
        <w:t xml:space="preserve"> </w:t>
      </w:r>
    </w:p>
    <w:tbl>
      <w:tblPr>
        <w:tblStyle w:val="Table16"/>
        <w:tblW w:w="3372.0" w:type="dxa"/>
        <w:jc w:val="left"/>
        <w:tblInd w:w="108.0" w:type="dxa"/>
        <w:tblLayout w:type="fixed"/>
        <w:tblLook w:val="0400"/>
      </w:tblPr>
      <w:tblGrid>
        <w:gridCol w:w="1516"/>
        <w:gridCol w:w="1856"/>
        <w:tblGridChange w:id="0">
          <w:tblGrid>
            <w:gridCol w:w="1516"/>
            <w:gridCol w:w="185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77">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Observation</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78">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Predicted Y</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0.761095238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0.834904762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0.761095238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7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0.834904762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0.871809524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0.834904762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0.834904762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0.761095238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0.761095238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0.761095238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0.798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8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0.871809524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0.798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0.834904762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0.798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0.798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0.834904762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0.761095238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0.871809524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9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0.761095238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0.798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0.650380952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0.761095238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A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0.798</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A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A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0.798</w:t>
            </w:r>
          </w:p>
        </w:tc>
      </w:tr>
    </w:tbl>
    <w:p w:rsidR="00000000" w:rsidDel="00000000" w:rsidP="00000000" w:rsidRDefault="00000000" w:rsidRPr="00000000" w14:paraId="000003AB">
      <w:pPr>
        <w:rPr>
          <w:b w:val="1"/>
          <w:color w:val="000000"/>
        </w:rPr>
      </w:pPr>
      <w:r w:rsidDel="00000000" w:rsidR="00000000" w:rsidRPr="00000000">
        <w:rPr>
          <w:rtl w:val="0"/>
        </w:rPr>
      </w:r>
    </w:p>
    <w:p w:rsidR="00000000" w:rsidDel="00000000" w:rsidP="00000000" w:rsidRDefault="00000000" w:rsidRPr="00000000" w14:paraId="000003AC">
      <w:pPr>
        <w:rPr>
          <w:b w:val="1"/>
          <w:color w:val="000000"/>
        </w:rPr>
      </w:pPr>
      <w:r w:rsidDel="00000000" w:rsidR="00000000" w:rsidRPr="00000000">
        <w:rPr>
          <w:b w:val="1"/>
          <w:color w:val="000000"/>
          <w:rtl w:val="0"/>
        </w:rPr>
        <w:t xml:space="preserve">REGRESSION EQUATION: Y=0.0369X+0.5027</w:t>
      </w:r>
    </w:p>
    <w:p w:rsidR="00000000" w:rsidDel="00000000" w:rsidP="00000000" w:rsidRDefault="00000000" w:rsidRPr="00000000" w14:paraId="000003AD">
      <w:pPr>
        <w:rPr>
          <w:b w:val="1"/>
          <w:color w:val="000000"/>
        </w:rPr>
      </w:pPr>
      <w:r w:rsidDel="00000000" w:rsidR="00000000" w:rsidRPr="00000000">
        <w:rPr>
          <w:b w:val="1"/>
          <w:color w:val="000000"/>
          <w:rtl w:val="0"/>
        </w:rPr>
        <w:t xml:space="preserve">F-statistic: 0.196 on 1 and 23 DF, Tabulated F- Statistic: 4.28 on 1 &amp; 23 DF</w:t>
      </w:r>
    </w:p>
    <w:p w:rsidR="00000000" w:rsidDel="00000000" w:rsidP="00000000" w:rsidRDefault="00000000" w:rsidRPr="00000000" w14:paraId="000003AE">
      <w:pPr>
        <w:rPr>
          <w:color w:val="000000"/>
        </w:rPr>
      </w:pPr>
      <w:r w:rsidDel="00000000" w:rsidR="00000000" w:rsidRPr="00000000">
        <w:rPr>
          <w:color w:val="000000"/>
          <w:rtl w:val="0"/>
        </w:rPr>
        <w:t xml:space="preserve">  </w:t>
      </w:r>
      <w:r w:rsidDel="00000000" w:rsidR="00000000" w:rsidRPr="00000000">
        <w:rPr>
          <w:b w:val="1"/>
          <w:color w:val="000000"/>
          <w:rtl w:val="0"/>
        </w:rPr>
        <w:t xml:space="preserve">p-value</w:t>
      </w:r>
      <w:r w:rsidDel="00000000" w:rsidR="00000000" w:rsidRPr="00000000">
        <w:rPr>
          <w:color w:val="000000"/>
          <w:rtl w:val="0"/>
        </w:rPr>
        <w:t xml:space="preserve">: 0.6621 </w:t>
      </w:r>
    </w:p>
    <w:tbl>
      <w:tblPr>
        <w:tblStyle w:val="Table17"/>
        <w:tblW w:w="6940.0" w:type="dxa"/>
        <w:jc w:val="left"/>
        <w:tblInd w:w="93.0" w:type="dxa"/>
        <w:tblLayout w:type="fixed"/>
        <w:tblLook w:val="0400"/>
      </w:tblPr>
      <w:tblGrid>
        <w:gridCol w:w="5540"/>
        <w:gridCol w:w="1400"/>
        <w:tblGridChange w:id="0">
          <w:tblGrid>
            <w:gridCol w:w="5540"/>
            <w:gridCol w:w="1400"/>
          </w:tblGrid>
        </w:tblGridChange>
      </w:tblGrid>
      <w:tr>
        <w:trPr>
          <w:trHeight w:val="300" w:hRule="atLeast"/>
        </w:trPr>
        <w:tc>
          <w:tcPr>
            <w:tcBorders>
              <w:top w:color="000000" w:space="0" w:sz="8" w:val="single"/>
              <w:left w:color="000000" w:space="0" w:sz="8" w:val="single"/>
              <w:bottom w:color="000000" w:space="0" w:sz="8" w:val="single"/>
              <w:right w:color="000000" w:space="0" w:sz="8" w:val="single"/>
            </w:tcBorders>
            <w:shd w:fill="ffffff" w:val="clear"/>
            <w:vAlign w:val="bottom"/>
          </w:tcPr>
          <w:p w:rsidR="00000000" w:rsidDel="00000000" w:rsidP="00000000" w:rsidRDefault="00000000" w:rsidRPr="00000000" w14:paraId="000003AF">
            <w:pPr>
              <w:spacing w:after="0" w:line="240" w:lineRule="auto"/>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Correlation Between NET NPA and Nos. of Board Meetings=</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3B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0.102188957</w:t>
            </w:r>
          </w:p>
        </w:tc>
      </w:tr>
    </w:tbl>
    <w:p w:rsidR="00000000" w:rsidDel="00000000" w:rsidP="00000000" w:rsidRDefault="00000000" w:rsidRPr="00000000" w14:paraId="000003B1">
      <w:pPr>
        <w:rPr>
          <w:color w:val="000000"/>
        </w:rPr>
      </w:pPr>
      <w:r w:rsidDel="00000000" w:rsidR="00000000" w:rsidRPr="00000000">
        <w:rPr>
          <w:rtl w:val="0"/>
        </w:rPr>
      </w:r>
    </w:p>
    <w:p w:rsidR="00000000" w:rsidDel="00000000" w:rsidP="00000000" w:rsidRDefault="00000000" w:rsidRPr="00000000" w14:paraId="000003B2">
      <w:pPr>
        <w:rPr>
          <w:color w:val="000000"/>
        </w:rPr>
      </w:pPr>
      <w:r w:rsidDel="00000000" w:rsidR="00000000" w:rsidRPr="00000000">
        <w:rPr>
          <w:b w:val="1"/>
          <w:color w:val="000000"/>
          <w:u w:val="single"/>
          <w:rtl w:val="0"/>
        </w:rPr>
        <w:t xml:space="preserve">THE ANALYSIS OF THE OUTPUT</w:t>
      </w:r>
      <w:r w:rsidDel="00000000" w:rsidR="00000000" w:rsidRPr="00000000">
        <w:rPr>
          <w:color w:val="000000"/>
          <w:rtl w:val="0"/>
        </w:rPr>
        <w:t xml:space="preserve">:</w:t>
      </w:r>
    </w:p>
    <w:p w:rsidR="00000000" w:rsidDel="00000000" w:rsidP="00000000" w:rsidRDefault="00000000" w:rsidRPr="00000000" w14:paraId="000003B3">
      <w:pPr>
        <w:jc w:val="both"/>
        <w:rPr>
          <w:color w:val="000000"/>
        </w:rPr>
      </w:pPr>
      <w:r w:rsidDel="00000000" w:rsidR="00000000" w:rsidRPr="00000000">
        <w:rPr>
          <w:color w:val="000000"/>
          <w:rtl w:val="0"/>
        </w:rPr>
        <w:t xml:space="preserve">Since the Adjusted R^2 is only -0.03466, so it is evident that there is absolutely no linear positive relationship  between the Net Non-Performing Assets (NET NPA) and Number of Board Meetings  in the sample of the 25 Indian Banks that is taken for the purpose of validation.</w:t>
      </w:r>
    </w:p>
    <w:p w:rsidR="00000000" w:rsidDel="00000000" w:rsidP="00000000" w:rsidRDefault="00000000" w:rsidRPr="00000000" w14:paraId="000003B4">
      <w:pPr>
        <w:jc w:val="both"/>
        <w:rPr>
          <w:color w:val="000000"/>
        </w:rPr>
      </w:pPr>
      <w:r w:rsidDel="00000000" w:rsidR="00000000" w:rsidRPr="00000000">
        <w:rPr>
          <w:color w:val="000000"/>
          <w:rtl w:val="0"/>
        </w:rPr>
        <w:t xml:space="preserve">Moreover, at α=0.05(i.e. at 95% level of significance), it can be said that informally the referred hypothesis of a possible relation between Net Non-Performing Assets (NET NPA) and Number of Board meetings  are statistically very significant and the significance of correlation between the two variables is very strong. It can be inferred from the fact that the p-value of 0.6621 &gt;α=0.05.</w:t>
      </w:r>
    </w:p>
    <w:p w:rsidR="00000000" w:rsidDel="00000000" w:rsidP="00000000" w:rsidRDefault="00000000" w:rsidRPr="00000000" w14:paraId="000003B5">
      <w:pPr>
        <w:jc w:val="both"/>
        <w:rPr>
          <w:color w:val="000000"/>
        </w:rPr>
      </w:pPr>
      <w:r w:rsidDel="00000000" w:rsidR="00000000" w:rsidRPr="00000000">
        <w:rPr>
          <w:color w:val="000000"/>
          <w:rtl w:val="0"/>
        </w:rPr>
        <w:t xml:space="preserve">At 95% level of significance, the tabulated value of F-statistic is 4.28 on 1&amp; 23 DF and the Observed value of the F-statistic is 0.196 (Observed value&lt;Tabulated Value). So, it can be inferred that  Alternative hypothesis which assumes that there is a possible dependency between Net NPA  and Number of Board of Meetings  is rejected. Hence in this specific case the Null hypothesis which assumes that there is no relation between these two variables is accepted.</w:t>
      </w:r>
    </w:p>
    <w:p w:rsidR="00000000" w:rsidDel="00000000" w:rsidP="00000000" w:rsidRDefault="00000000" w:rsidRPr="00000000" w14:paraId="000003B6">
      <w:pPr>
        <w:jc w:val="both"/>
        <w:rPr>
          <w:color w:val="000000"/>
        </w:rPr>
      </w:pPr>
      <w:r w:rsidDel="00000000" w:rsidR="00000000" w:rsidRPr="00000000">
        <w:rPr>
          <w:color w:val="000000"/>
          <w:rtl w:val="0"/>
        </w:rPr>
        <w:t xml:space="preserve">So, from the above analysis the model of Regression Analysis and Adjusted R^2 and Correlation Coefficient cannot analyze the problem structure</w:t>
      </w:r>
    </w:p>
    <w:p w:rsidR="00000000" w:rsidDel="00000000" w:rsidP="00000000" w:rsidRDefault="00000000" w:rsidRPr="00000000" w14:paraId="000003B7">
      <w:pPr>
        <w:rPr>
          <w:color w:val="000000"/>
          <w:sz w:val="24"/>
          <w:szCs w:val="24"/>
        </w:rPr>
      </w:pPr>
      <w:r w:rsidDel="00000000" w:rsidR="00000000" w:rsidRPr="00000000">
        <w:rPr>
          <w:color w:val="000000"/>
          <w:sz w:val="24"/>
          <w:szCs w:val="24"/>
        </w:rPr>
        <w:drawing>
          <wp:inline distB="0" distT="0" distL="0" distR="0">
            <wp:extent cx="4781550" cy="1933575"/>
            <wp:effectExtent b="0" l="19050" r="19050" t="0"/>
            <wp:docPr id="48" name=""/>
            <a:graphic>
              <a:graphicData uri="http://schemas.openxmlformats.org/drawingml/2006/chart">
                <c:chart r:id="rId13"/>
              </a:graphicData>
            </a:graphic>
          </wp:inline>
        </w:drawing>
      </w:r>
      <w:r w:rsidDel="00000000" w:rsidR="00000000" w:rsidRPr="00000000">
        <w:rPr>
          <w:rtl w:val="0"/>
        </w:rPr>
      </w:r>
    </w:p>
    <w:p w:rsidR="00000000" w:rsidDel="00000000" w:rsidP="00000000" w:rsidRDefault="00000000" w:rsidRPr="00000000" w14:paraId="000003B8">
      <w:pPr>
        <w:jc w:val="both"/>
        <w:rPr>
          <w:rFonts w:ascii="Times New Roman" w:cs="Times New Roman" w:eastAsia="Times New Roman" w:hAnsi="Times New Roman"/>
          <w:b w:val="1"/>
          <w:color w:val="000000"/>
          <w:u w:val="single"/>
        </w:rPr>
      </w:pPr>
      <w:r w:rsidDel="00000000" w:rsidR="00000000" w:rsidRPr="00000000">
        <w:rPr>
          <w:rFonts w:ascii="Times New Roman" w:cs="Times New Roman" w:eastAsia="Times New Roman" w:hAnsi="Times New Roman"/>
          <w:b w:val="1"/>
          <w:color w:val="000000"/>
          <w:u w:val="single"/>
          <w:rtl w:val="0"/>
        </w:rPr>
        <w:t xml:space="preserve">REGRESSION LINE OF NET NPA vs. No. of Board Meetings with the Regression Equation </w:t>
      </w:r>
    </w:p>
    <w:p w:rsidR="00000000" w:rsidDel="00000000" w:rsidP="00000000" w:rsidRDefault="00000000" w:rsidRPr="00000000" w14:paraId="000003B9">
      <w:pPr>
        <w:rPr>
          <w:color w:val="000000"/>
        </w:rPr>
      </w:pPr>
      <w:r w:rsidDel="00000000" w:rsidR="00000000" w:rsidRPr="00000000">
        <w:rPr>
          <w:rtl w:val="0"/>
        </w:rPr>
      </w:r>
    </w:p>
    <w:p w:rsidR="00000000" w:rsidDel="00000000" w:rsidP="00000000" w:rsidRDefault="00000000" w:rsidRPr="00000000" w14:paraId="000003BA">
      <w:pPr>
        <w:rPr>
          <w:color w:val="000000"/>
        </w:rPr>
      </w:pPr>
      <w:r w:rsidDel="00000000" w:rsidR="00000000" w:rsidRPr="00000000">
        <w:rPr>
          <w:rtl w:val="0"/>
        </w:rPr>
      </w:r>
    </w:p>
    <w:p w:rsidR="00000000" w:rsidDel="00000000" w:rsidP="00000000" w:rsidRDefault="00000000" w:rsidRPr="00000000" w14:paraId="000003BB">
      <w:pPr>
        <w:rPr>
          <w:rFonts w:ascii="Bookman Old Style" w:cs="Bookman Old Style" w:eastAsia="Bookman Old Style" w:hAnsi="Bookman Old Style"/>
          <w:b w:val="1"/>
          <w:color w:val="000000"/>
          <w:sz w:val="28"/>
          <w:szCs w:val="28"/>
          <w:u w:val="single"/>
        </w:rPr>
      </w:pPr>
      <w:r w:rsidDel="00000000" w:rsidR="00000000" w:rsidRPr="00000000">
        <w:rPr>
          <w:rFonts w:ascii="Bookman Old Style" w:cs="Bookman Old Style" w:eastAsia="Bookman Old Style" w:hAnsi="Bookman Old Style"/>
          <w:b w:val="1"/>
          <w:color w:val="000000"/>
          <w:sz w:val="28"/>
          <w:szCs w:val="28"/>
          <w:u w:val="single"/>
          <w:rtl w:val="0"/>
        </w:rPr>
        <w:t xml:space="preserve">3) NET NPA Vs. Total Credit</w:t>
      </w:r>
    </w:p>
    <w:tbl>
      <w:tblPr>
        <w:tblStyle w:val="Table18"/>
        <w:tblW w:w="2917.0" w:type="dxa"/>
        <w:jc w:val="left"/>
        <w:tblInd w:w="108.0" w:type="dxa"/>
        <w:tblLayout w:type="fixed"/>
        <w:tblLook w:val="0400"/>
      </w:tblPr>
      <w:tblGrid>
        <w:gridCol w:w="1864"/>
        <w:gridCol w:w="1053"/>
        <w:tblGridChange w:id="0">
          <w:tblGrid>
            <w:gridCol w:w="1864"/>
            <w:gridCol w:w="1053"/>
          </w:tblGrid>
        </w:tblGridChange>
      </w:tblGrid>
      <w:tr>
        <w:trPr>
          <w:trHeight w:val="300" w:hRule="atLeast"/>
        </w:trPr>
        <w:tc>
          <w:tcPr>
            <w:gridSpan w:val="2"/>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BC">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Regression Statistics</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E">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Multiple 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B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0.293195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0">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0.085963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2">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Adjusted 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0.046223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4">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Standard Error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0.466574</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C6">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Observations</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C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r>
    </w:tbl>
    <w:p w:rsidR="00000000" w:rsidDel="00000000" w:rsidP="00000000" w:rsidRDefault="00000000" w:rsidRPr="00000000" w14:paraId="000003C8">
      <w:pPr>
        <w:rPr>
          <w:rFonts w:ascii="Bookman Old Style" w:cs="Bookman Old Style" w:eastAsia="Bookman Old Style" w:hAnsi="Bookman Old Style"/>
          <w:b w:val="1"/>
          <w:color w:val="000000"/>
          <w:sz w:val="28"/>
          <w:szCs w:val="28"/>
          <w:u w:val="single"/>
        </w:rPr>
      </w:pPr>
      <w:r w:rsidDel="00000000" w:rsidR="00000000" w:rsidRPr="00000000">
        <w:rPr>
          <w:rtl w:val="0"/>
        </w:rPr>
      </w:r>
    </w:p>
    <w:tbl>
      <w:tblPr>
        <w:tblStyle w:val="Table19"/>
        <w:tblW w:w="4706.0" w:type="dxa"/>
        <w:jc w:val="left"/>
        <w:tblInd w:w="108.0" w:type="dxa"/>
        <w:tblLayout w:type="fixed"/>
        <w:tblLook w:val="0400"/>
      </w:tblPr>
      <w:tblGrid>
        <w:gridCol w:w="1856"/>
        <w:gridCol w:w="1254"/>
        <w:gridCol w:w="1596"/>
        <w:tblGridChange w:id="0">
          <w:tblGrid>
            <w:gridCol w:w="1856"/>
            <w:gridCol w:w="1254"/>
            <w:gridCol w:w="159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C9">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 </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CA">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Coefficients</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CB">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Standard Error</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C">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Intercept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0.690405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C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0.11857296</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CF">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X Variable 1</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D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9.178E-07</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3D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6.24037E-07</w:t>
            </w:r>
          </w:p>
        </w:tc>
      </w:tr>
    </w:tbl>
    <w:p w:rsidR="00000000" w:rsidDel="00000000" w:rsidP="00000000" w:rsidRDefault="00000000" w:rsidRPr="00000000" w14:paraId="000003D2">
      <w:pPr>
        <w:rPr>
          <w:rFonts w:ascii="Times New Roman" w:cs="Times New Roman" w:eastAsia="Times New Roman" w:hAnsi="Times New Roman"/>
          <w:color w:val="000000"/>
          <w:sz w:val="24"/>
          <w:szCs w:val="24"/>
        </w:rPr>
      </w:pPr>
      <w:r w:rsidDel="00000000" w:rsidR="00000000" w:rsidRPr="00000000">
        <w:rPr>
          <w:rtl w:val="0"/>
        </w:rPr>
      </w:r>
    </w:p>
    <w:tbl>
      <w:tblPr>
        <w:tblStyle w:val="Table20"/>
        <w:tblW w:w="3020.0" w:type="dxa"/>
        <w:jc w:val="left"/>
        <w:tblInd w:w="108.0" w:type="dxa"/>
        <w:tblLayout w:type="fixed"/>
        <w:tblLook w:val="0400"/>
      </w:tblPr>
      <w:tblGrid>
        <w:gridCol w:w="1856"/>
        <w:gridCol w:w="1164"/>
        <w:tblGridChange w:id="0">
          <w:tblGrid>
            <w:gridCol w:w="1856"/>
            <w:gridCol w:w="1164"/>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D3">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Observation</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3D4">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Predicted Y</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0.7792978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0.8211072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0.7559685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0.7334323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0.9002847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D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0.8854079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0.7701165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0.731856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0.6943253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0.7019047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0.7254667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0.7594695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0.7784298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E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0.9126114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1.384924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0.7884097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0.8308489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0.8372375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0.8889861</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0.7120671</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0.7063271</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3F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0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0.697834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0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0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0.721944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0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0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0.7144199</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0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0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0.7173235</w:t>
            </w:r>
          </w:p>
        </w:tc>
      </w:tr>
    </w:tbl>
    <w:p w:rsidR="00000000" w:rsidDel="00000000" w:rsidP="00000000" w:rsidRDefault="00000000" w:rsidRPr="00000000" w14:paraId="00000407">
      <w:pPr>
        <w:rPr>
          <w:rFonts w:ascii="Bookman Old Style" w:cs="Bookman Old Style" w:eastAsia="Bookman Old Style" w:hAnsi="Bookman Old Style"/>
          <w:b w:val="1"/>
          <w:color w:val="000000"/>
          <w:sz w:val="28"/>
          <w:szCs w:val="28"/>
          <w:u w:val="single"/>
        </w:rPr>
      </w:pPr>
      <w:r w:rsidDel="00000000" w:rsidR="00000000" w:rsidRPr="00000000">
        <w:rPr>
          <w:rtl w:val="0"/>
        </w:rPr>
      </w:r>
    </w:p>
    <w:p w:rsidR="00000000" w:rsidDel="00000000" w:rsidP="00000000" w:rsidRDefault="00000000" w:rsidRPr="00000000" w14:paraId="00000408">
      <w:pPr>
        <w:rPr>
          <w:rFonts w:ascii="Bookman Old Style" w:cs="Bookman Old Style" w:eastAsia="Bookman Old Style" w:hAnsi="Bookman Old Style"/>
          <w:b w:val="1"/>
          <w:color w:val="000000"/>
          <w:sz w:val="24"/>
          <w:szCs w:val="24"/>
          <w:u w:val="single"/>
        </w:rPr>
      </w:pPr>
      <w:r w:rsidDel="00000000" w:rsidR="00000000" w:rsidRPr="00000000">
        <w:rPr>
          <w:rFonts w:ascii="Times New Roman" w:cs="Times New Roman" w:eastAsia="Times New Roman" w:hAnsi="Times New Roman"/>
          <w:color w:val="000000"/>
          <w:sz w:val="24"/>
          <w:szCs w:val="24"/>
          <w:rtl w:val="0"/>
        </w:rPr>
        <w:t xml:space="preserve">REGRESSION EQUATION: Y=0.00836X+0.6904</w:t>
      </w:r>
      <w:r w:rsidDel="00000000" w:rsidR="00000000" w:rsidRPr="00000000">
        <w:rPr>
          <w:rtl w:val="0"/>
        </w:rPr>
      </w:r>
    </w:p>
    <w:p w:rsidR="00000000" w:rsidDel="00000000" w:rsidP="00000000" w:rsidRDefault="00000000" w:rsidRPr="00000000" w14:paraId="00000409">
      <w:pPr>
        <w:rPr>
          <w:b w:val="1"/>
          <w:color w:val="000000"/>
        </w:rPr>
      </w:pPr>
      <w:r w:rsidDel="00000000" w:rsidR="00000000" w:rsidRPr="00000000">
        <w:rPr>
          <w:b w:val="1"/>
          <w:color w:val="000000"/>
          <w:rtl w:val="0"/>
        </w:rPr>
        <w:t xml:space="preserve">F-statistic: 2.322 on 1 and 23 DF, Tabulated F-Statistic: 4.28 on 1 &amp; 23 DF</w:t>
      </w:r>
    </w:p>
    <w:p w:rsidR="00000000" w:rsidDel="00000000" w:rsidP="00000000" w:rsidRDefault="00000000" w:rsidRPr="00000000" w14:paraId="0000040A">
      <w:pPr>
        <w:rPr>
          <w:color w:val="000000"/>
        </w:rPr>
      </w:pPr>
      <w:r w:rsidDel="00000000" w:rsidR="00000000" w:rsidRPr="00000000">
        <w:rPr>
          <w:color w:val="000000"/>
          <w:rtl w:val="0"/>
        </w:rPr>
        <w:t xml:space="preserve"> </w:t>
      </w:r>
      <w:r w:rsidDel="00000000" w:rsidR="00000000" w:rsidRPr="00000000">
        <w:rPr>
          <w:b w:val="1"/>
          <w:color w:val="000000"/>
          <w:rtl w:val="0"/>
        </w:rPr>
        <w:t xml:space="preserve">p-value</w:t>
      </w:r>
      <w:r w:rsidDel="00000000" w:rsidR="00000000" w:rsidRPr="00000000">
        <w:rPr>
          <w:color w:val="000000"/>
          <w:rtl w:val="0"/>
        </w:rPr>
        <w:t xml:space="preserve">: 0.1412 </w:t>
      </w:r>
    </w:p>
    <w:p w:rsidR="00000000" w:rsidDel="00000000" w:rsidP="00000000" w:rsidRDefault="00000000" w:rsidRPr="00000000" w14:paraId="0000040B">
      <w:pPr>
        <w:rPr>
          <w:rFonts w:ascii="Calibri" w:cs="Calibri" w:eastAsia="Calibri" w:hAnsi="Calibri"/>
          <w:color w:val="000000"/>
        </w:rPr>
      </w:pPr>
      <w:r w:rsidDel="00000000" w:rsidR="00000000" w:rsidRPr="00000000">
        <w:rPr>
          <w:color w:val="000000"/>
          <w:rtl w:val="0"/>
        </w:rPr>
        <w:t xml:space="preserve">Correlation Between NET NPA and Total Credit=</w:t>
      </w:r>
      <w:r w:rsidDel="00000000" w:rsidR="00000000" w:rsidRPr="00000000">
        <w:rPr>
          <w:rFonts w:ascii="Calibri" w:cs="Calibri" w:eastAsia="Calibri" w:hAnsi="Calibri"/>
          <w:color w:val="000000"/>
          <w:rtl w:val="0"/>
        </w:rPr>
        <w:t xml:space="preserve">0.293195282</w:t>
      </w:r>
    </w:p>
    <w:p w:rsidR="00000000" w:rsidDel="00000000" w:rsidP="00000000" w:rsidRDefault="00000000" w:rsidRPr="00000000" w14:paraId="0000040C">
      <w:pPr>
        <w:rPr>
          <w:color w:val="000000"/>
        </w:rPr>
      </w:pPr>
      <w:r w:rsidDel="00000000" w:rsidR="00000000" w:rsidRPr="00000000">
        <w:rPr>
          <w:b w:val="1"/>
          <w:color w:val="000000"/>
          <w:u w:val="single"/>
          <w:rtl w:val="0"/>
        </w:rPr>
        <w:t xml:space="preserve">THE ANALYSIS OF THE OUTPUT</w:t>
      </w:r>
      <w:r w:rsidDel="00000000" w:rsidR="00000000" w:rsidRPr="00000000">
        <w:rPr>
          <w:color w:val="000000"/>
          <w:rtl w:val="0"/>
        </w:rPr>
        <w:t xml:space="preserve">:</w:t>
      </w:r>
    </w:p>
    <w:p w:rsidR="00000000" w:rsidDel="00000000" w:rsidP="00000000" w:rsidRDefault="00000000" w:rsidRPr="00000000" w14:paraId="0000040D">
      <w:pPr>
        <w:rPr>
          <w:color w:val="000000"/>
        </w:rPr>
      </w:pPr>
      <w:r w:rsidDel="00000000" w:rsidR="00000000" w:rsidRPr="00000000">
        <w:rPr>
          <w:color w:val="000000"/>
          <w:rtl w:val="0"/>
        </w:rPr>
        <w:t xml:space="preserve">Since the Adjusted R^2 is only 0.05221, so it is evident that there is possibly a mild linear positive relationship  between the Net Non-Performing Assets (NET NPA) and Total Credit  in the sample of the 25 Indian Banks that is taken for the purpose of validation.</w:t>
      </w:r>
    </w:p>
    <w:p w:rsidR="00000000" w:rsidDel="00000000" w:rsidP="00000000" w:rsidRDefault="00000000" w:rsidRPr="00000000" w14:paraId="0000040E">
      <w:pPr>
        <w:rPr>
          <w:color w:val="000000"/>
        </w:rPr>
      </w:pPr>
      <w:r w:rsidDel="00000000" w:rsidR="00000000" w:rsidRPr="00000000">
        <w:rPr>
          <w:color w:val="000000"/>
          <w:rtl w:val="0"/>
        </w:rPr>
        <w:t xml:space="preserve">Moreover, at α=0.05(i.e. at 95% level of significance), it can be said that informally the referred hypothesis of a possible relation between Net Non-Performing Assets (NET NPA) and Total Credit are statistically significant. It can be inferred from the fact that the p-value of 0.1412 &gt;α=0.05.</w:t>
      </w:r>
    </w:p>
    <w:p w:rsidR="00000000" w:rsidDel="00000000" w:rsidP="00000000" w:rsidRDefault="00000000" w:rsidRPr="00000000" w14:paraId="0000040F">
      <w:pPr>
        <w:jc w:val="both"/>
        <w:rPr>
          <w:color w:val="000000"/>
        </w:rPr>
      </w:pPr>
      <w:r w:rsidDel="00000000" w:rsidR="00000000" w:rsidRPr="00000000">
        <w:rPr>
          <w:color w:val="000000"/>
          <w:rtl w:val="0"/>
        </w:rPr>
        <w:t xml:space="preserve">At 95% level of significance, the tabulated value of F-statistic is 4.28 on 1&amp; 23 DF and the Observed value of the F-statistic is 2.322 (Observed value&lt;Tabulated Value). So, it can be inferred that  Alternative hypothesis which assumes that there is a possible dependency between Net NPA  and  Total Credit provided by the sample banks  is rejected. Hence in this specific case the Null hypothesis which assumes that there is no relation between these two variables is accepted.</w:t>
      </w:r>
    </w:p>
    <w:p w:rsidR="00000000" w:rsidDel="00000000" w:rsidP="00000000" w:rsidRDefault="00000000" w:rsidRPr="00000000" w14:paraId="00000410">
      <w:pPr>
        <w:jc w:val="both"/>
        <w:rPr>
          <w:color w:val="000000"/>
        </w:rPr>
      </w:pPr>
      <w:r w:rsidDel="00000000" w:rsidR="00000000" w:rsidRPr="00000000">
        <w:rPr>
          <w:color w:val="000000"/>
          <w:rtl w:val="0"/>
        </w:rPr>
        <w:t xml:space="preserve">So, from the above analysis the model of Regression Analysis and Adjusted R^2 and Correlation Coefficient cannot analyze the problem structure.</w:t>
      </w:r>
    </w:p>
    <w:p w:rsidR="00000000" w:rsidDel="00000000" w:rsidP="00000000" w:rsidRDefault="00000000" w:rsidRPr="00000000" w14:paraId="00000411">
      <w:pPr>
        <w:rPr>
          <w:color w:val="000000"/>
        </w:rPr>
      </w:pPr>
      <w:r w:rsidDel="00000000" w:rsidR="00000000" w:rsidRPr="00000000">
        <w:rPr>
          <w:color w:val="000000"/>
        </w:rPr>
        <w:drawing>
          <wp:inline distB="0" distT="0" distL="0" distR="0">
            <wp:extent cx="5372100" cy="1933575"/>
            <wp:effectExtent b="0" l="19050" r="19050" t="0"/>
            <wp:docPr id="51" name=""/>
            <a:graphic>
              <a:graphicData uri="http://schemas.openxmlformats.org/drawingml/2006/chart">
                <c:chart r:id="rId14"/>
              </a:graphicData>
            </a:graphic>
          </wp:inline>
        </w:drawing>
      </w:r>
      <w:r w:rsidDel="00000000" w:rsidR="00000000" w:rsidRPr="00000000">
        <w:rPr>
          <w:rtl w:val="0"/>
        </w:rPr>
      </w:r>
    </w:p>
    <w:p w:rsidR="00000000" w:rsidDel="00000000" w:rsidP="00000000" w:rsidRDefault="00000000" w:rsidRPr="00000000" w14:paraId="00000412">
      <w:pPr>
        <w:tabs>
          <w:tab w:val="left" w:pos="450"/>
        </w:tabs>
        <w:jc w:val="both"/>
        <w:rPr>
          <w:b w:val="1"/>
          <w:color w:val="000000"/>
          <w:sz w:val="20"/>
          <w:szCs w:val="20"/>
          <w:u w:val="single"/>
        </w:rPr>
      </w:pPr>
      <w:r w:rsidDel="00000000" w:rsidR="00000000" w:rsidRPr="00000000">
        <w:rPr>
          <w:b w:val="1"/>
          <w:color w:val="000000"/>
          <w:sz w:val="24"/>
          <w:szCs w:val="24"/>
          <w:u w:val="single"/>
          <w:rtl w:val="0"/>
        </w:rPr>
        <w:t xml:space="preserve">REGRESSION LINE OF NET NPA vs. Total Credit with the Regression Equation and Adjusted R^2</w:t>
      </w:r>
      <w:r w:rsidDel="00000000" w:rsidR="00000000" w:rsidRPr="00000000">
        <w:rPr>
          <w:rtl w:val="0"/>
        </w:rPr>
      </w:r>
    </w:p>
    <w:p w:rsidR="00000000" w:rsidDel="00000000" w:rsidP="00000000" w:rsidRDefault="00000000" w:rsidRPr="00000000" w14:paraId="00000413">
      <w:pPr>
        <w:jc w:val="both"/>
        <w:rPr>
          <w:b w:val="1"/>
          <w:color w:val="000000"/>
          <w:sz w:val="20"/>
          <w:szCs w:val="20"/>
          <w:u w:val="single"/>
        </w:rPr>
      </w:pPr>
      <w:r w:rsidDel="00000000" w:rsidR="00000000" w:rsidRPr="00000000">
        <w:rPr>
          <w:rtl w:val="0"/>
        </w:rPr>
      </w:r>
    </w:p>
    <w:p w:rsidR="00000000" w:rsidDel="00000000" w:rsidP="00000000" w:rsidRDefault="00000000" w:rsidRPr="00000000" w14:paraId="00000414">
      <w:pPr>
        <w:jc w:val="both"/>
        <w:rPr>
          <w:b w:val="1"/>
          <w:color w:val="000000"/>
          <w:sz w:val="20"/>
          <w:szCs w:val="20"/>
          <w:u w:val="single"/>
        </w:rPr>
      </w:pPr>
      <w:r w:rsidDel="00000000" w:rsidR="00000000" w:rsidRPr="00000000">
        <w:rPr>
          <w:rtl w:val="0"/>
        </w:rPr>
      </w:r>
    </w:p>
    <w:p w:rsidR="00000000" w:rsidDel="00000000" w:rsidP="00000000" w:rsidRDefault="00000000" w:rsidRPr="00000000" w14:paraId="00000415">
      <w:pPr>
        <w:jc w:val="both"/>
        <w:rPr>
          <w:b w:val="1"/>
          <w:color w:val="000000"/>
          <w:sz w:val="20"/>
          <w:szCs w:val="20"/>
          <w:u w:val="single"/>
        </w:rPr>
      </w:pPr>
      <w:r w:rsidDel="00000000" w:rsidR="00000000" w:rsidRPr="00000000">
        <w:rPr>
          <w:rtl w:val="0"/>
        </w:rPr>
      </w:r>
    </w:p>
    <w:p w:rsidR="00000000" w:rsidDel="00000000" w:rsidP="00000000" w:rsidRDefault="00000000" w:rsidRPr="00000000" w14:paraId="00000416">
      <w:pPr>
        <w:jc w:val="both"/>
        <w:rPr>
          <w:b w:val="1"/>
          <w:color w:val="000000"/>
          <w:sz w:val="20"/>
          <w:szCs w:val="20"/>
          <w:u w:val="single"/>
        </w:rPr>
      </w:pPr>
      <w:r w:rsidDel="00000000" w:rsidR="00000000" w:rsidRPr="00000000">
        <w:rPr>
          <w:rtl w:val="0"/>
        </w:rPr>
      </w:r>
    </w:p>
    <w:p w:rsidR="00000000" w:rsidDel="00000000" w:rsidP="00000000" w:rsidRDefault="00000000" w:rsidRPr="00000000" w14:paraId="00000417">
      <w:pPr>
        <w:rPr>
          <w:rFonts w:ascii="Bookman Old Style" w:cs="Bookman Old Style" w:eastAsia="Bookman Old Style" w:hAnsi="Bookman Old Style"/>
          <w:b w:val="1"/>
          <w:color w:val="000000"/>
          <w:sz w:val="28"/>
          <w:szCs w:val="28"/>
          <w:u w:val="single"/>
        </w:rPr>
      </w:pPr>
      <w:r w:rsidDel="00000000" w:rsidR="00000000" w:rsidRPr="00000000">
        <w:rPr>
          <w:rFonts w:ascii="Bookman Old Style" w:cs="Bookman Old Style" w:eastAsia="Bookman Old Style" w:hAnsi="Bookman Old Style"/>
          <w:b w:val="1"/>
          <w:color w:val="000000"/>
          <w:sz w:val="28"/>
          <w:szCs w:val="28"/>
          <w:u w:val="single"/>
          <w:rtl w:val="0"/>
        </w:rPr>
        <w:t xml:space="preserve">4) NET NPA Vs. Total Deposit</w:t>
      </w:r>
    </w:p>
    <w:tbl>
      <w:tblPr>
        <w:tblStyle w:val="Table21"/>
        <w:tblW w:w="3297.9999999999995" w:type="dxa"/>
        <w:jc w:val="left"/>
        <w:tblInd w:w="108.0" w:type="dxa"/>
        <w:tblLayout w:type="fixed"/>
        <w:tblLook w:val="0400"/>
      </w:tblPr>
      <w:tblGrid>
        <w:gridCol w:w="1911"/>
        <w:gridCol w:w="1387"/>
        <w:tblGridChange w:id="0">
          <w:tblGrid>
            <w:gridCol w:w="1911"/>
            <w:gridCol w:w="1387"/>
          </w:tblGrid>
        </w:tblGridChange>
      </w:tblGrid>
      <w:tr>
        <w:trPr>
          <w:trHeight w:val="300" w:hRule="atLeast"/>
        </w:trPr>
        <w:tc>
          <w:tcPr>
            <w:gridSpan w:val="2"/>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18">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Regression Statistics</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1A">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Multiple 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1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0.320935799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1C">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1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0.102999787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1E">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Adjusted 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1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0.063999778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20">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Standard Error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2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0.462205853</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22">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Observations</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2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r>
    </w:tbl>
    <w:p w:rsidR="00000000" w:rsidDel="00000000" w:rsidP="00000000" w:rsidRDefault="00000000" w:rsidRPr="00000000" w14:paraId="00000424">
      <w:pPr>
        <w:rPr>
          <w:color w:val="000000"/>
        </w:rPr>
      </w:pPr>
      <w:r w:rsidDel="00000000" w:rsidR="00000000" w:rsidRPr="00000000">
        <w:rPr>
          <w:color w:val="000000"/>
          <w:rtl w:val="0"/>
        </w:rPr>
        <w:t xml:space="preserve"> </w:t>
      </w:r>
    </w:p>
    <w:tbl>
      <w:tblPr>
        <w:tblStyle w:val="Table22"/>
        <w:tblW w:w="4888.0" w:type="dxa"/>
        <w:jc w:val="left"/>
        <w:tblInd w:w="108.0" w:type="dxa"/>
        <w:tblLayout w:type="fixed"/>
        <w:tblLook w:val="0400"/>
      </w:tblPr>
      <w:tblGrid>
        <w:gridCol w:w="1616"/>
        <w:gridCol w:w="1676"/>
        <w:gridCol w:w="1596"/>
        <w:tblGridChange w:id="0">
          <w:tblGrid>
            <w:gridCol w:w="1616"/>
            <w:gridCol w:w="1676"/>
            <w:gridCol w:w="159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25">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 </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26">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Coefficients</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27">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Standard Error</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28">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Intercept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2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0.670810393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2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0.12112279</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2B">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X Variable 1</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2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7.91855E-07</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2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4.87259E-07</w:t>
            </w:r>
          </w:p>
        </w:tc>
      </w:tr>
    </w:tbl>
    <w:p w:rsidR="00000000" w:rsidDel="00000000" w:rsidP="00000000" w:rsidRDefault="00000000" w:rsidRPr="00000000" w14:paraId="0000042E">
      <w:pPr>
        <w:rPr>
          <w:color w:val="000000"/>
        </w:rPr>
      </w:pPr>
      <w:r w:rsidDel="00000000" w:rsidR="00000000" w:rsidRPr="00000000">
        <w:rPr>
          <w:rtl w:val="0"/>
        </w:rPr>
      </w:r>
    </w:p>
    <w:tbl>
      <w:tblPr>
        <w:tblStyle w:val="Table23"/>
        <w:tblW w:w="3292.0" w:type="dxa"/>
        <w:jc w:val="left"/>
        <w:tblInd w:w="108.0" w:type="dxa"/>
        <w:tblLayout w:type="fixed"/>
        <w:tblLook w:val="0400"/>
      </w:tblPr>
      <w:tblGrid>
        <w:gridCol w:w="1616"/>
        <w:gridCol w:w="1676"/>
        <w:tblGridChange w:id="0">
          <w:tblGrid>
            <w:gridCol w:w="1616"/>
            <w:gridCol w:w="167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2F">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Observation</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30">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Predicted Y</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0.78328791</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0.820659367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0.743784841</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0.723741762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0.912674296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0.903594224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0.763257532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3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0.721655128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0.675252836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0.678033397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0.803578492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0.754592005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0.78092126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1.013861158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1.410350135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4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0.778182882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0.831130459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0.835980669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0.849454643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0.694719873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0.692456909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0.679639193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0.707187383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5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6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0.698022797</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6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6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0.69398085</w:t>
            </w:r>
          </w:p>
        </w:tc>
      </w:tr>
    </w:tbl>
    <w:p w:rsidR="00000000" w:rsidDel="00000000" w:rsidP="00000000" w:rsidRDefault="00000000" w:rsidRPr="00000000" w14:paraId="00000463">
      <w:pPr>
        <w:rPr>
          <w:color w:val="000000"/>
        </w:rPr>
      </w:pPr>
      <w:r w:rsidDel="00000000" w:rsidR="00000000" w:rsidRPr="00000000">
        <w:rPr>
          <w:rtl w:val="0"/>
        </w:rPr>
      </w:r>
    </w:p>
    <w:p w:rsidR="00000000" w:rsidDel="00000000" w:rsidP="00000000" w:rsidRDefault="00000000" w:rsidRPr="00000000" w14:paraId="00000464">
      <w:pPr>
        <w:rPr>
          <w:color w:val="000000"/>
        </w:rPr>
      </w:pPr>
      <w:r w:rsidDel="00000000" w:rsidR="00000000" w:rsidRPr="00000000">
        <w:rPr>
          <w:rtl w:val="0"/>
        </w:rPr>
      </w:r>
    </w:p>
    <w:p w:rsidR="00000000" w:rsidDel="00000000" w:rsidP="00000000" w:rsidRDefault="00000000" w:rsidRPr="00000000" w14:paraId="00000465">
      <w:pPr>
        <w:rPr>
          <w:b w:val="1"/>
          <w:color w:val="000000"/>
        </w:rPr>
      </w:pPr>
      <w:r w:rsidDel="00000000" w:rsidR="00000000" w:rsidRPr="00000000">
        <w:rPr>
          <w:b w:val="1"/>
          <w:color w:val="000000"/>
          <w:rtl w:val="0"/>
        </w:rPr>
        <w:t xml:space="preserve">F-statistic: 2.821 on 1 and 23 DF, Tabulated F- Statistic: 4.28 on 1 &amp; 23 DF</w:t>
      </w:r>
    </w:p>
    <w:p w:rsidR="00000000" w:rsidDel="00000000" w:rsidP="00000000" w:rsidRDefault="00000000" w:rsidRPr="00000000" w14:paraId="00000466">
      <w:pPr>
        <w:rPr>
          <w:color w:val="000000"/>
        </w:rPr>
      </w:pPr>
      <w:r w:rsidDel="00000000" w:rsidR="00000000" w:rsidRPr="00000000">
        <w:rPr>
          <w:b w:val="1"/>
          <w:color w:val="000000"/>
          <w:rtl w:val="0"/>
        </w:rPr>
        <w:t xml:space="preserve"> p-value: </w:t>
      </w:r>
      <w:r w:rsidDel="00000000" w:rsidR="00000000" w:rsidRPr="00000000">
        <w:rPr>
          <w:color w:val="000000"/>
          <w:rtl w:val="0"/>
        </w:rPr>
        <w:t xml:space="preserve">0.1066</w:t>
      </w:r>
    </w:p>
    <w:p w:rsidR="00000000" w:rsidDel="00000000" w:rsidP="00000000" w:rsidRDefault="00000000" w:rsidRPr="00000000" w14:paraId="00000467">
      <w:pPr>
        <w:rPr>
          <w:b w:val="1"/>
          <w:color w:val="000000"/>
        </w:rPr>
      </w:pPr>
      <w:r w:rsidDel="00000000" w:rsidR="00000000" w:rsidRPr="00000000">
        <w:rPr>
          <w:color w:val="000000"/>
          <w:rtl w:val="0"/>
        </w:rPr>
        <w:t xml:space="preserve"> </w:t>
      </w:r>
      <w:r w:rsidDel="00000000" w:rsidR="00000000" w:rsidRPr="00000000">
        <w:rPr>
          <w:b w:val="1"/>
          <w:color w:val="000000"/>
          <w:rtl w:val="0"/>
        </w:rPr>
        <w:t xml:space="preserve">REGRESSION EQUATION: Y= 0.0072129X+0.6708</w:t>
      </w:r>
    </w:p>
    <w:tbl>
      <w:tblPr>
        <w:tblStyle w:val="Table24"/>
        <w:tblW w:w="6440.0" w:type="dxa"/>
        <w:jc w:val="left"/>
        <w:tblInd w:w="93.0" w:type="dxa"/>
        <w:tblLayout w:type="fixed"/>
        <w:tblLook w:val="0400"/>
      </w:tblPr>
      <w:tblGrid>
        <w:gridCol w:w="4960"/>
        <w:gridCol w:w="1480"/>
        <w:tblGridChange w:id="0">
          <w:tblGrid>
            <w:gridCol w:w="4960"/>
            <w:gridCol w:w="1480"/>
          </w:tblGrid>
        </w:tblGridChange>
      </w:tblGrid>
      <w:tr>
        <w:trPr>
          <w:trHeight w:val="300" w:hRule="atLeast"/>
        </w:trPr>
        <w:tc>
          <w:tcPr>
            <w:tcBorders>
              <w:top w:color="000000" w:space="0" w:sz="8" w:val="single"/>
              <w:left w:color="000000" w:space="0" w:sz="8" w:val="single"/>
              <w:bottom w:color="000000" w:space="0" w:sz="8" w:val="single"/>
              <w:right w:color="000000" w:space="0" w:sz="0" w:val="nil"/>
            </w:tcBorders>
            <w:shd w:fill="auto" w:val="clear"/>
            <w:vAlign w:val="bottom"/>
          </w:tcPr>
          <w:p w:rsidR="00000000" w:rsidDel="00000000" w:rsidP="00000000" w:rsidRDefault="00000000" w:rsidRPr="00000000" w14:paraId="00000468">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Correlation Between NET NPA and Total Deposit=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6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0.320935799</w:t>
            </w:r>
          </w:p>
        </w:tc>
      </w:tr>
    </w:tbl>
    <w:p w:rsidR="00000000" w:rsidDel="00000000" w:rsidP="00000000" w:rsidRDefault="00000000" w:rsidRPr="00000000" w14:paraId="0000046A">
      <w:pPr>
        <w:rPr>
          <w:b w:val="1"/>
          <w:color w:val="000000"/>
        </w:rPr>
      </w:pPr>
      <w:r w:rsidDel="00000000" w:rsidR="00000000" w:rsidRPr="00000000">
        <w:rPr>
          <w:rtl w:val="0"/>
        </w:rPr>
      </w:r>
    </w:p>
    <w:p w:rsidR="00000000" w:rsidDel="00000000" w:rsidP="00000000" w:rsidRDefault="00000000" w:rsidRPr="00000000" w14:paraId="0000046B">
      <w:pPr>
        <w:rPr>
          <w:color w:val="000000"/>
        </w:rPr>
      </w:pPr>
      <w:r w:rsidDel="00000000" w:rsidR="00000000" w:rsidRPr="00000000">
        <w:rPr>
          <w:b w:val="1"/>
          <w:color w:val="000000"/>
          <w:u w:val="single"/>
          <w:rtl w:val="0"/>
        </w:rPr>
        <w:t xml:space="preserve">THE ANALYSIS OF THE OUTPUT</w:t>
      </w:r>
      <w:r w:rsidDel="00000000" w:rsidR="00000000" w:rsidRPr="00000000">
        <w:rPr>
          <w:color w:val="000000"/>
          <w:rtl w:val="0"/>
        </w:rPr>
        <w:t xml:space="preserve">:</w:t>
      </w:r>
    </w:p>
    <w:p w:rsidR="00000000" w:rsidDel="00000000" w:rsidP="00000000" w:rsidRDefault="00000000" w:rsidRPr="00000000" w14:paraId="0000046C">
      <w:pPr>
        <w:rPr>
          <w:color w:val="000000"/>
        </w:rPr>
      </w:pPr>
      <w:r w:rsidDel="00000000" w:rsidR="00000000" w:rsidRPr="00000000">
        <w:rPr>
          <w:color w:val="000000"/>
          <w:rtl w:val="0"/>
        </w:rPr>
        <w:t xml:space="preserve">Since the Adjusted R^2 is only 0.07053, so it is evident that there is possibly a mild linear positive relationship  between the Net Non-Performing Assets (NET NPA) and Total Deposit  in the sample of the 25 Indian Banks that is taken for the purpose of validation.</w:t>
      </w:r>
    </w:p>
    <w:p w:rsidR="00000000" w:rsidDel="00000000" w:rsidP="00000000" w:rsidRDefault="00000000" w:rsidRPr="00000000" w14:paraId="0000046D">
      <w:pPr>
        <w:rPr>
          <w:color w:val="000000"/>
        </w:rPr>
      </w:pPr>
      <w:r w:rsidDel="00000000" w:rsidR="00000000" w:rsidRPr="00000000">
        <w:rPr>
          <w:color w:val="000000"/>
          <w:rtl w:val="0"/>
        </w:rPr>
        <w:t xml:space="preserve">Moreover, at α=0.05(i.e. at 95% level of significance), it can be said that informally the referred hypothesis of a possible relation between Net Non-Performing Assets (NET NPA) and Total Deposit are statistically significant. It can be inferred from the fact that the p-value of 0.1066 &gt;α=0.05.</w:t>
      </w:r>
    </w:p>
    <w:p w:rsidR="00000000" w:rsidDel="00000000" w:rsidP="00000000" w:rsidRDefault="00000000" w:rsidRPr="00000000" w14:paraId="0000046E">
      <w:pPr>
        <w:jc w:val="both"/>
        <w:rPr>
          <w:color w:val="000000"/>
        </w:rPr>
      </w:pPr>
      <w:r w:rsidDel="00000000" w:rsidR="00000000" w:rsidRPr="00000000">
        <w:rPr>
          <w:color w:val="000000"/>
          <w:rtl w:val="0"/>
        </w:rPr>
        <w:t xml:space="preserve">At 95% level of significance, the tabulated value of F-statistic is 4.28 on 1&amp; 23 DF and the Observed value of the F-statistic is 2.821 (Observed value&lt;Tabulated Value). So, it can be inferred that  Alternative hypothesis which assumes that there is a possible dependency between Net NPA  and Total Deposit accepted by the sample Banks  is rejected. Hence in this specific case the Null hypothesis which assumes that there is no relation between these two variables is accepted.</w:t>
      </w:r>
    </w:p>
    <w:p w:rsidR="00000000" w:rsidDel="00000000" w:rsidP="00000000" w:rsidRDefault="00000000" w:rsidRPr="00000000" w14:paraId="0000046F">
      <w:pPr>
        <w:rPr>
          <w:color w:val="000000"/>
        </w:rPr>
      </w:pPr>
      <w:r w:rsidDel="00000000" w:rsidR="00000000" w:rsidRPr="00000000">
        <w:rPr>
          <w:color w:val="000000"/>
          <w:rtl w:val="0"/>
        </w:rPr>
        <w:t xml:space="preserve">So, from the above analysis the model of Regression Analysis and Adjusted R^2 and Correlation Coefficient cannot analyze the problem structure.</w:t>
      </w:r>
    </w:p>
    <w:p w:rsidR="00000000" w:rsidDel="00000000" w:rsidP="00000000" w:rsidRDefault="00000000" w:rsidRPr="00000000" w14:paraId="00000470">
      <w:pPr>
        <w:rPr>
          <w:color w:val="000000"/>
        </w:rPr>
      </w:pPr>
      <w:r w:rsidDel="00000000" w:rsidR="00000000" w:rsidRPr="00000000">
        <w:rPr>
          <w:color w:val="000000"/>
        </w:rPr>
        <w:drawing>
          <wp:inline distB="0" distT="0" distL="0" distR="0">
            <wp:extent cx="5229225" cy="1933575"/>
            <wp:effectExtent b="0" l="19050" r="9525" t="0"/>
            <wp:docPr id="50" name=""/>
            <a:graphic>
              <a:graphicData uri="http://schemas.openxmlformats.org/drawingml/2006/chart">
                <c:chart r:id="rId15"/>
              </a:graphicData>
            </a:graphic>
          </wp:inline>
        </w:drawing>
      </w:r>
      <w:r w:rsidDel="00000000" w:rsidR="00000000" w:rsidRPr="00000000">
        <w:rPr>
          <w:rtl w:val="0"/>
        </w:rPr>
      </w:r>
    </w:p>
    <w:p w:rsidR="00000000" w:rsidDel="00000000" w:rsidP="00000000" w:rsidRDefault="00000000" w:rsidRPr="00000000" w14:paraId="00000471">
      <w:pPr>
        <w:jc w:val="both"/>
        <w:rPr>
          <w:rFonts w:ascii="Times New Roman" w:cs="Times New Roman" w:eastAsia="Times New Roman" w:hAnsi="Times New Roman"/>
          <w:b w:val="1"/>
          <w:color w:val="000000"/>
          <w:sz w:val="24"/>
          <w:szCs w:val="24"/>
          <w:u w:val="single"/>
        </w:rPr>
      </w:pPr>
      <w:r w:rsidDel="00000000" w:rsidR="00000000" w:rsidRPr="00000000">
        <w:rPr>
          <w:rFonts w:ascii="Times New Roman" w:cs="Times New Roman" w:eastAsia="Times New Roman" w:hAnsi="Times New Roman"/>
          <w:b w:val="1"/>
          <w:color w:val="000000"/>
          <w:sz w:val="24"/>
          <w:szCs w:val="24"/>
          <w:u w:val="single"/>
          <w:rtl w:val="0"/>
        </w:rPr>
        <w:t xml:space="preserve">REGRESSION LINE OF NET NPA vs. Total Deposit with the Regression Equation </w:t>
      </w:r>
    </w:p>
    <w:p w:rsidR="00000000" w:rsidDel="00000000" w:rsidP="00000000" w:rsidRDefault="00000000" w:rsidRPr="00000000" w14:paraId="00000472">
      <w:pPr>
        <w:rPr>
          <w:rFonts w:ascii="Bookman Old Style" w:cs="Bookman Old Style" w:eastAsia="Bookman Old Style" w:hAnsi="Bookman Old Style"/>
          <w:b w:val="1"/>
          <w:color w:val="000000"/>
          <w:sz w:val="28"/>
          <w:szCs w:val="28"/>
          <w:u w:val="single"/>
        </w:rPr>
      </w:pPr>
      <w:r w:rsidDel="00000000" w:rsidR="00000000" w:rsidRPr="00000000">
        <w:rPr>
          <w:rtl w:val="0"/>
        </w:rPr>
      </w:r>
    </w:p>
    <w:p w:rsidR="00000000" w:rsidDel="00000000" w:rsidP="00000000" w:rsidRDefault="00000000" w:rsidRPr="00000000" w14:paraId="00000473">
      <w:pPr>
        <w:rPr>
          <w:rFonts w:ascii="Bookman Old Style" w:cs="Bookman Old Style" w:eastAsia="Bookman Old Style" w:hAnsi="Bookman Old Style"/>
          <w:b w:val="1"/>
          <w:color w:val="000000"/>
          <w:sz w:val="28"/>
          <w:szCs w:val="28"/>
          <w:u w:val="single"/>
        </w:rPr>
      </w:pPr>
      <w:r w:rsidDel="00000000" w:rsidR="00000000" w:rsidRPr="00000000">
        <w:rPr>
          <w:rtl w:val="0"/>
        </w:rPr>
      </w:r>
    </w:p>
    <w:p w:rsidR="00000000" w:rsidDel="00000000" w:rsidP="00000000" w:rsidRDefault="00000000" w:rsidRPr="00000000" w14:paraId="00000474">
      <w:pPr>
        <w:rPr>
          <w:rFonts w:ascii="Bookman Old Style" w:cs="Bookman Old Style" w:eastAsia="Bookman Old Style" w:hAnsi="Bookman Old Style"/>
          <w:b w:val="1"/>
          <w:color w:val="000000"/>
          <w:sz w:val="28"/>
          <w:szCs w:val="28"/>
          <w:u w:val="single"/>
        </w:rPr>
      </w:pPr>
      <w:r w:rsidDel="00000000" w:rsidR="00000000" w:rsidRPr="00000000">
        <w:rPr>
          <w:rtl w:val="0"/>
        </w:rPr>
      </w:r>
    </w:p>
    <w:p w:rsidR="00000000" w:rsidDel="00000000" w:rsidP="00000000" w:rsidRDefault="00000000" w:rsidRPr="00000000" w14:paraId="00000475">
      <w:pPr>
        <w:rPr>
          <w:rFonts w:ascii="Bookman Old Style" w:cs="Bookman Old Style" w:eastAsia="Bookman Old Style" w:hAnsi="Bookman Old Style"/>
          <w:b w:val="1"/>
          <w:color w:val="000000"/>
          <w:sz w:val="28"/>
          <w:szCs w:val="28"/>
          <w:u w:val="single"/>
        </w:rPr>
      </w:pPr>
      <w:r w:rsidDel="00000000" w:rsidR="00000000" w:rsidRPr="00000000">
        <w:rPr>
          <w:rFonts w:ascii="Bookman Old Style" w:cs="Bookman Old Style" w:eastAsia="Bookman Old Style" w:hAnsi="Bookman Old Style"/>
          <w:b w:val="1"/>
          <w:color w:val="000000"/>
          <w:sz w:val="28"/>
          <w:szCs w:val="28"/>
          <w:u w:val="single"/>
          <w:rtl w:val="0"/>
        </w:rPr>
        <w:t xml:space="preserve">5) NET NPA Vs. NET INTEREST MARGIN(NIM)</w:t>
      </w:r>
    </w:p>
    <w:tbl>
      <w:tblPr>
        <w:tblStyle w:val="Table25"/>
        <w:tblW w:w="3596.0" w:type="dxa"/>
        <w:jc w:val="left"/>
        <w:tblInd w:w="108.0" w:type="dxa"/>
        <w:tblLayout w:type="fixed"/>
        <w:tblLook w:val="0400"/>
      </w:tblPr>
      <w:tblGrid>
        <w:gridCol w:w="2097"/>
        <w:gridCol w:w="1499"/>
        <w:tblGridChange w:id="0">
          <w:tblGrid>
            <w:gridCol w:w="2097"/>
            <w:gridCol w:w="1499"/>
          </w:tblGrid>
        </w:tblGridChange>
      </w:tblGrid>
      <w:tr>
        <w:trPr>
          <w:trHeight w:val="300" w:hRule="atLeast"/>
        </w:trPr>
        <w:tc>
          <w:tcPr>
            <w:gridSpan w:val="2"/>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76">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Regression Statistics</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78">
            <w:pPr>
              <w:spacing w:after="0" w:line="240" w:lineRule="auto"/>
              <w:rPr>
                <w:rFonts w:ascii="Calibri" w:cs="Calibri" w:eastAsia="Calibri" w:hAnsi="Calibri"/>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79">
            <w:pPr>
              <w:spacing w:after="0" w:line="240" w:lineRule="auto"/>
              <w:jc w:val="right"/>
              <w:rPr>
                <w:rFonts w:ascii="Calibri" w:cs="Calibri" w:eastAsia="Calibri" w:hAnsi="Calibri"/>
                <w:color w:val="000000"/>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7A">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7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0.085601648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7C">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Adjusted 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7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0.045845197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7E">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Standard Error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7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0.466666779</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80">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Observations</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8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r>
    </w:tbl>
    <w:p w:rsidR="00000000" w:rsidDel="00000000" w:rsidP="00000000" w:rsidRDefault="00000000" w:rsidRPr="00000000" w14:paraId="00000482">
      <w:pPr>
        <w:rPr>
          <w:rFonts w:ascii="Bookman Old Style" w:cs="Bookman Old Style" w:eastAsia="Bookman Old Style" w:hAnsi="Bookman Old Style"/>
          <w:b w:val="1"/>
          <w:color w:val="000000"/>
          <w:sz w:val="28"/>
          <w:szCs w:val="28"/>
          <w:u w:val="single"/>
        </w:rPr>
      </w:pPr>
      <w:r w:rsidDel="00000000" w:rsidR="00000000" w:rsidRPr="00000000">
        <w:rPr>
          <w:rtl w:val="0"/>
        </w:rPr>
      </w:r>
    </w:p>
    <w:tbl>
      <w:tblPr>
        <w:tblStyle w:val="Table26"/>
        <w:tblW w:w="5708.0" w:type="dxa"/>
        <w:jc w:val="left"/>
        <w:tblInd w:w="108.0" w:type="dxa"/>
        <w:tblLayout w:type="fixed"/>
        <w:tblLook w:val="0400"/>
      </w:tblPr>
      <w:tblGrid>
        <w:gridCol w:w="2036"/>
        <w:gridCol w:w="1576"/>
        <w:gridCol w:w="2096"/>
        <w:tblGridChange w:id="0">
          <w:tblGrid>
            <w:gridCol w:w="2036"/>
            <w:gridCol w:w="1576"/>
            <w:gridCol w:w="209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83">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 </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84">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Coefficients</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85">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Standard Error</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86">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Intercept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8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1.482052512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8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0.475429751</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89">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X Variable 1</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8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-0.192777734</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8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0.131377081</w:t>
            </w:r>
          </w:p>
        </w:tc>
      </w:tr>
    </w:tbl>
    <w:p w:rsidR="00000000" w:rsidDel="00000000" w:rsidP="00000000" w:rsidRDefault="00000000" w:rsidRPr="00000000" w14:paraId="0000048C">
      <w:pPr>
        <w:rPr>
          <w:rFonts w:ascii="Bookman Old Style" w:cs="Bookman Old Style" w:eastAsia="Bookman Old Style" w:hAnsi="Bookman Old Style"/>
          <w:b w:val="1"/>
          <w:color w:val="000000"/>
          <w:sz w:val="28"/>
          <w:szCs w:val="28"/>
          <w:u w:val="single"/>
        </w:rPr>
      </w:pPr>
      <w:r w:rsidDel="00000000" w:rsidR="00000000" w:rsidRPr="00000000">
        <w:rPr>
          <w:rtl w:val="0"/>
        </w:rPr>
      </w:r>
    </w:p>
    <w:p w:rsidR="00000000" w:rsidDel="00000000" w:rsidP="00000000" w:rsidRDefault="00000000" w:rsidRPr="00000000" w14:paraId="0000048D">
      <w:pPr>
        <w:rPr>
          <w:rFonts w:ascii="Bookman Old Style" w:cs="Bookman Old Style" w:eastAsia="Bookman Old Style" w:hAnsi="Bookman Old Style"/>
          <w:b w:val="1"/>
          <w:color w:val="000000"/>
          <w:sz w:val="28"/>
          <w:szCs w:val="28"/>
          <w:u w:val="single"/>
        </w:rPr>
      </w:pPr>
      <w:r w:rsidDel="00000000" w:rsidR="00000000" w:rsidRPr="00000000">
        <w:rPr>
          <w:rtl w:val="0"/>
        </w:rPr>
      </w:r>
    </w:p>
    <w:tbl>
      <w:tblPr>
        <w:tblStyle w:val="Table27"/>
        <w:tblW w:w="3612.0" w:type="dxa"/>
        <w:jc w:val="left"/>
        <w:tblInd w:w="108.0" w:type="dxa"/>
        <w:tblLayout w:type="fixed"/>
        <w:tblLook w:val="0400"/>
      </w:tblPr>
      <w:tblGrid>
        <w:gridCol w:w="2036"/>
        <w:gridCol w:w="1576"/>
        <w:tblGridChange w:id="0">
          <w:tblGrid>
            <w:gridCol w:w="2036"/>
            <w:gridCol w:w="157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8E">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Observation</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8F">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Predicted Y</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0.77263045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0.778413782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0.749497122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0.857452653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0.828535993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0.880585981</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0.996252622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9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0.870947095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0.878658204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0.705158243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1.021313727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0.676241583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0.843958212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0.718652685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0.691663802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A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0.83817488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0.811185997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0.653108255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0.709013798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0.855524876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0.951913743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0.813113774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0.922997083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B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0.813113774</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C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C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0.311891666</w:t>
            </w:r>
          </w:p>
        </w:tc>
      </w:tr>
    </w:tbl>
    <w:p w:rsidR="00000000" w:rsidDel="00000000" w:rsidP="00000000" w:rsidRDefault="00000000" w:rsidRPr="00000000" w14:paraId="000004C2">
      <w:pPr>
        <w:rPr>
          <w:rFonts w:ascii="Bookman Old Style" w:cs="Bookman Old Style" w:eastAsia="Bookman Old Style" w:hAnsi="Bookman Old Style"/>
          <w:b w:val="1"/>
          <w:color w:val="000000"/>
          <w:sz w:val="28"/>
          <w:szCs w:val="28"/>
          <w:u w:val="single"/>
        </w:rPr>
      </w:pPr>
      <w:r w:rsidDel="00000000" w:rsidR="00000000" w:rsidRPr="00000000">
        <w:rPr>
          <w:rtl w:val="0"/>
        </w:rPr>
      </w:r>
    </w:p>
    <w:p w:rsidR="00000000" w:rsidDel="00000000" w:rsidP="00000000" w:rsidRDefault="00000000" w:rsidRPr="00000000" w14:paraId="000004C3">
      <w:pP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REGRESSION EQUATION: Y= -0.19277X+1.48</w:t>
      </w:r>
      <w:r w:rsidDel="00000000" w:rsidR="00000000" w:rsidRPr="00000000">
        <w:rPr>
          <w:rtl w:val="0"/>
        </w:rPr>
      </w:r>
    </w:p>
    <w:p w:rsidR="00000000" w:rsidDel="00000000" w:rsidP="00000000" w:rsidRDefault="00000000" w:rsidRPr="00000000" w14:paraId="000004C4">
      <w:pPr>
        <w:rPr>
          <w:b w:val="1"/>
          <w:color w:val="000000"/>
        </w:rPr>
      </w:pPr>
      <w:r w:rsidDel="00000000" w:rsidR="00000000" w:rsidRPr="00000000">
        <w:rPr>
          <w:b w:val="1"/>
          <w:color w:val="000000"/>
          <w:rtl w:val="0"/>
        </w:rPr>
        <w:t xml:space="preserve">F-statistic: 1.974 on 1 and 23 DF, Tabulated F- Statistic: 4.28 on 1 &amp; 23 DF</w:t>
      </w:r>
    </w:p>
    <w:p w:rsidR="00000000" w:rsidDel="00000000" w:rsidP="00000000" w:rsidRDefault="00000000" w:rsidRPr="00000000" w14:paraId="000004C5">
      <w:pPr>
        <w:rPr>
          <w:color w:val="000000"/>
        </w:rPr>
      </w:pPr>
      <w:r w:rsidDel="00000000" w:rsidR="00000000" w:rsidRPr="00000000">
        <w:rPr>
          <w:b w:val="1"/>
          <w:color w:val="000000"/>
          <w:rtl w:val="0"/>
        </w:rPr>
        <w:t xml:space="preserve">p-value:</w:t>
      </w:r>
      <w:r w:rsidDel="00000000" w:rsidR="00000000" w:rsidRPr="00000000">
        <w:rPr>
          <w:color w:val="000000"/>
          <w:rtl w:val="0"/>
        </w:rPr>
        <w:t xml:space="preserve"> 0.1734 </w:t>
      </w:r>
    </w:p>
    <w:p w:rsidR="00000000" w:rsidDel="00000000" w:rsidP="00000000" w:rsidRDefault="00000000" w:rsidRPr="00000000" w14:paraId="000004C6">
      <w:pPr>
        <w:rPr>
          <w:rFonts w:ascii="Calibri" w:cs="Calibri" w:eastAsia="Calibri" w:hAnsi="Calibri"/>
          <w:color w:val="000000"/>
        </w:rPr>
      </w:pPr>
      <w:r w:rsidDel="00000000" w:rsidR="00000000" w:rsidRPr="00000000">
        <w:rPr>
          <w:color w:val="000000"/>
          <w:rtl w:val="0"/>
        </w:rPr>
        <w:t xml:space="preserve">Correlation Between NET NPA and Net Interest Margin(NIM)=</w:t>
      </w:r>
      <w:r w:rsidDel="00000000" w:rsidR="00000000" w:rsidRPr="00000000">
        <w:rPr>
          <w:rFonts w:ascii="Calibri" w:cs="Calibri" w:eastAsia="Calibri" w:hAnsi="Calibri"/>
          <w:color w:val="000000"/>
          <w:rtl w:val="0"/>
        </w:rPr>
        <w:t xml:space="preserve"> -0.292577592 </w:t>
      </w:r>
    </w:p>
    <w:p w:rsidR="00000000" w:rsidDel="00000000" w:rsidP="00000000" w:rsidRDefault="00000000" w:rsidRPr="00000000" w14:paraId="000004C7">
      <w:pPr>
        <w:rPr>
          <w:color w:val="000000"/>
        </w:rPr>
      </w:pPr>
      <w:r w:rsidDel="00000000" w:rsidR="00000000" w:rsidRPr="00000000">
        <w:rPr>
          <w:b w:val="1"/>
          <w:color w:val="000000"/>
          <w:u w:val="single"/>
          <w:rtl w:val="0"/>
        </w:rPr>
        <w:t xml:space="preserve">THE ANALYSIS OF THE OUTPUT</w:t>
      </w:r>
      <w:r w:rsidDel="00000000" w:rsidR="00000000" w:rsidRPr="00000000">
        <w:rPr>
          <w:color w:val="000000"/>
          <w:rtl w:val="0"/>
        </w:rPr>
        <w:t xml:space="preserve">:</w:t>
      </w:r>
    </w:p>
    <w:p w:rsidR="00000000" w:rsidDel="00000000" w:rsidP="00000000" w:rsidRDefault="00000000" w:rsidRPr="00000000" w14:paraId="000004C8">
      <w:pPr>
        <w:jc w:val="both"/>
        <w:rPr>
          <w:color w:val="000000"/>
        </w:rPr>
      </w:pPr>
      <w:r w:rsidDel="00000000" w:rsidR="00000000" w:rsidRPr="00000000">
        <w:rPr>
          <w:color w:val="000000"/>
          <w:rtl w:val="0"/>
        </w:rPr>
        <w:t xml:space="preserve">Since the Adjusted R^2 is only 0.03901, so it is evident that there is possibly a mild linear positive relationship  between the Net Non-Performing Assets (NET NPA) and Net Interest Margin(NIM)  in the sample of the 25 Indian Banks that is taken for the purpose of validation.</w:t>
      </w:r>
    </w:p>
    <w:p w:rsidR="00000000" w:rsidDel="00000000" w:rsidP="00000000" w:rsidRDefault="00000000" w:rsidRPr="00000000" w14:paraId="000004C9">
      <w:pPr>
        <w:jc w:val="both"/>
        <w:rPr>
          <w:color w:val="000000"/>
        </w:rPr>
      </w:pPr>
      <w:r w:rsidDel="00000000" w:rsidR="00000000" w:rsidRPr="00000000">
        <w:rPr>
          <w:color w:val="000000"/>
          <w:rtl w:val="0"/>
        </w:rPr>
        <w:t xml:space="preserve">Moreover, at α=0.05(i.e. at 95% level of significance), it can be said that informally the referred hypothesis of a possible relation between Net Non-Performing Assets (NET NPA) and Net Interest Margin(NIM) are statistically significant. It can be inferred from the fact that the p-value of 0.1734 &gt;α=0.05.</w:t>
      </w:r>
    </w:p>
    <w:p w:rsidR="00000000" w:rsidDel="00000000" w:rsidP="00000000" w:rsidRDefault="00000000" w:rsidRPr="00000000" w14:paraId="000004CA">
      <w:pPr>
        <w:jc w:val="both"/>
        <w:rPr>
          <w:color w:val="000000"/>
        </w:rPr>
      </w:pPr>
      <w:r w:rsidDel="00000000" w:rsidR="00000000" w:rsidRPr="00000000">
        <w:rPr>
          <w:color w:val="000000"/>
          <w:rtl w:val="0"/>
        </w:rPr>
        <w:t xml:space="preserve">At 95% level of significance, the tabulated value of F-statistic is 4.28 on 1&amp; 23 DF and the Observed value of the F-statistic is 1.974 (Observed value&lt;Tabulated Value). So, it can be inferred that  Alternative hypothesis which assumes that there is a possible dependency between Net NPA  and NIM of the sample Banks is rejected. Hence in this specific case the Null hypothesis which assumes that there is no relation between these two variables is accepted.</w:t>
      </w:r>
    </w:p>
    <w:p w:rsidR="00000000" w:rsidDel="00000000" w:rsidP="00000000" w:rsidRDefault="00000000" w:rsidRPr="00000000" w14:paraId="000004CB">
      <w:pPr>
        <w:rPr>
          <w:color w:val="000000"/>
        </w:rPr>
      </w:pPr>
      <w:r w:rsidDel="00000000" w:rsidR="00000000" w:rsidRPr="00000000">
        <w:rPr>
          <w:color w:val="000000"/>
          <w:rtl w:val="0"/>
        </w:rPr>
        <w:t xml:space="preserve">So, from the above analysis the model of Regression Analysis and Adjusted R^2 and Correlation Coefficient cannot analyze the problem structure.</w:t>
      </w:r>
    </w:p>
    <w:p w:rsidR="00000000" w:rsidDel="00000000" w:rsidP="00000000" w:rsidRDefault="00000000" w:rsidRPr="00000000" w14:paraId="000004CC">
      <w:pPr>
        <w:jc w:val="both"/>
        <w:rPr>
          <w:color w:val="000000"/>
        </w:rPr>
      </w:pPr>
      <w:r w:rsidDel="00000000" w:rsidR="00000000" w:rsidRPr="00000000">
        <w:rPr>
          <w:color w:val="000000"/>
        </w:rPr>
        <w:drawing>
          <wp:inline distB="0" distT="0" distL="0" distR="0">
            <wp:extent cx="5514975" cy="1933575"/>
            <wp:effectExtent b="0" l="19050" r="9525" t="0"/>
            <wp:docPr id="53" name=""/>
            <a:graphic>
              <a:graphicData uri="http://schemas.openxmlformats.org/drawingml/2006/chart">
                <c:chart r:id="rId16"/>
              </a:graphicData>
            </a:graphic>
          </wp:inline>
        </w:drawing>
      </w:r>
      <w:r w:rsidDel="00000000" w:rsidR="00000000" w:rsidRPr="00000000">
        <w:rPr>
          <w:rtl w:val="0"/>
        </w:rPr>
      </w:r>
    </w:p>
    <w:p w:rsidR="00000000" w:rsidDel="00000000" w:rsidP="00000000" w:rsidRDefault="00000000" w:rsidRPr="00000000" w14:paraId="000004CD">
      <w:pPr>
        <w:jc w:val="both"/>
        <w:rPr>
          <w:b w:val="1"/>
          <w:color w:val="000000"/>
          <w:sz w:val="24"/>
          <w:szCs w:val="24"/>
          <w:u w:val="single"/>
        </w:rPr>
      </w:pPr>
      <w:r w:rsidDel="00000000" w:rsidR="00000000" w:rsidRPr="00000000">
        <w:rPr>
          <w:b w:val="1"/>
          <w:color w:val="000000"/>
          <w:sz w:val="24"/>
          <w:szCs w:val="24"/>
          <w:u w:val="single"/>
          <w:rtl w:val="0"/>
        </w:rPr>
        <w:t xml:space="preserve">REGRESSION LINE OF NET NPA vs. NIM with the Regression Equation </w:t>
      </w:r>
    </w:p>
    <w:p w:rsidR="00000000" w:rsidDel="00000000" w:rsidP="00000000" w:rsidRDefault="00000000" w:rsidRPr="00000000" w14:paraId="000004CE">
      <w:pPr>
        <w:rPr>
          <w:rFonts w:ascii="Bookman Old Style" w:cs="Bookman Old Style" w:eastAsia="Bookman Old Style" w:hAnsi="Bookman Old Style"/>
          <w:b w:val="1"/>
          <w:color w:val="000000"/>
          <w:sz w:val="28"/>
          <w:szCs w:val="28"/>
          <w:u w:val="single"/>
        </w:rPr>
      </w:pPr>
      <w:r w:rsidDel="00000000" w:rsidR="00000000" w:rsidRPr="00000000">
        <w:rPr>
          <w:rtl w:val="0"/>
        </w:rPr>
      </w:r>
    </w:p>
    <w:p w:rsidR="00000000" w:rsidDel="00000000" w:rsidP="00000000" w:rsidRDefault="00000000" w:rsidRPr="00000000" w14:paraId="000004CF">
      <w:pPr>
        <w:rPr>
          <w:rFonts w:ascii="Bookman Old Style" w:cs="Bookman Old Style" w:eastAsia="Bookman Old Style" w:hAnsi="Bookman Old Style"/>
          <w:b w:val="1"/>
          <w:color w:val="000000"/>
          <w:sz w:val="28"/>
          <w:szCs w:val="28"/>
          <w:u w:val="single"/>
        </w:rPr>
      </w:pPr>
      <w:r w:rsidDel="00000000" w:rsidR="00000000" w:rsidRPr="00000000">
        <w:rPr>
          <w:rtl w:val="0"/>
        </w:rPr>
      </w:r>
    </w:p>
    <w:p w:rsidR="00000000" w:rsidDel="00000000" w:rsidP="00000000" w:rsidRDefault="00000000" w:rsidRPr="00000000" w14:paraId="000004D0">
      <w:pPr>
        <w:rPr>
          <w:rFonts w:ascii="Bookman Old Style" w:cs="Bookman Old Style" w:eastAsia="Bookman Old Style" w:hAnsi="Bookman Old Style"/>
          <w:b w:val="1"/>
          <w:color w:val="000000"/>
          <w:sz w:val="28"/>
          <w:szCs w:val="28"/>
          <w:u w:val="single"/>
        </w:rPr>
      </w:pPr>
      <w:r w:rsidDel="00000000" w:rsidR="00000000" w:rsidRPr="00000000">
        <w:rPr>
          <w:rFonts w:ascii="Bookman Old Style" w:cs="Bookman Old Style" w:eastAsia="Bookman Old Style" w:hAnsi="Bookman Old Style"/>
          <w:b w:val="1"/>
          <w:color w:val="000000"/>
          <w:sz w:val="28"/>
          <w:szCs w:val="28"/>
          <w:u w:val="single"/>
          <w:rtl w:val="0"/>
        </w:rPr>
        <w:t xml:space="preserve">6) NET NPA Vs. GROSS NPA</w:t>
      </w:r>
    </w:p>
    <w:tbl>
      <w:tblPr>
        <w:tblStyle w:val="Table28"/>
        <w:tblW w:w="4688.0" w:type="dxa"/>
        <w:jc w:val="left"/>
        <w:tblInd w:w="108.0" w:type="dxa"/>
        <w:tblLayout w:type="fixed"/>
        <w:tblLook w:val="0400"/>
      </w:tblPr>
      <w:tblGrid>
        <w:gridCol w:w="1476"/>
        <w:gridCol w:w="318"/>
        <w:gridCol w:w="1298"/>
        <w:gridCol w:w="89"/>
        <w:gridCol w:w="1507"/>
        <w:tblGridChange w:id="0">
          <w:tblGrid>
            <w:gridCol w:w="1476"/>
            <w:gridCol w:w="318"/>
            <w:gridCol w:w="1298"/>
            <w:gridCol w:w="89"/>
            <w:gridCol w:w="1507"/>
          </w:tblGrid>
        </w:tblGridChange>
      </w:tblGrid>
      <w:tr>
        <w:trPr>
          <w:trHeight w:val="300" w:hRule="atLeast"/>
        </w:trPr>
        <w:tc>
          <w:tcPr>
            <w:gridSpan w:val="4"/>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D1">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Regression Statistics</w:t>
            </w:r>
          </w:p>
        </w:tc>
      </w:tr>
      <w:tr>
        <w:trPr>
          <w:trHeight w:val="300" w:hRule="atLeast"/>
        </w:trPr>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D5">
            <w:pPr>
              <w:spacing w:after="0" w:line="240" w:lineRule="auto"/>
              <w:rPr>
                <w:rFonts w:ascii="Calibri" w:cs="Calibri" w:eastAsia="Calibri" w:hAnsi="Calibri"/>
                <w:color w:val="000000"/>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D7">
            <w:pPr>
              <w:spacing w:after="0" w:line="240" w:lineRule="auto"/>
              <w:jc w:val="right"/>
              <w:rPr>
                <w:rFonts w:ascii="Calibri" w:cs="Calibri" w:eastAsia="Calibri" w:hAnsi="Calibri"/>
                <w:color w:val="000000"/>
              </w:rPr>
            </w:pPr>
            <w:r w:rsidDel="00000000" w:rsidR="00000000" w:rsidRPr="00000000">
              <w:rPr>
                <w:rtl w:val="0"/>
              </w:rPr>
            </w:r>
          </w:p>
        </w:tc>
      </w:tr>
      <w:tr>
        <w:trPr>
          <w:trHeight w:val="300" w:hRule="atLeast"/>
        </w:trPr>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D9">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R Square</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D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0.44341163</w:t>
            </w:r>
          </w:p>
        </w:tc>
      </w:tr>
      <w:tr>
        <w:trPr>
          <w:trHeight w:val="300" w:hRule="atLeast"/>
        </w:trPr>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DD">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Adjusted R Square</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D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0.419212135</w:t>
            </w:r>
          </w:p>
        </w:tc>
      </w:tr>
      <w:tr>
        <w:trPr>
          <w:trHeight w:val="300" w:hRule="atLeast"/>
        </w:trPr>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E1">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Standard Error</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E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0.364087888</w:t>
            </w:r>
          </w:p>
        </w:tc>
      </w:tr>
      <w:tr>
        <w:trPr>
          <w:trHeight w:val="300" w:hRule="atLeast"/>
        </w:trPr>
        <w:tc>
          <w:tcPr>
            <w:gridSpan w:val="2"/>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E5">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Observations</w:t>
            </w:r>
          </w:p>
        </w:tc>
        <w:tc>
          <w:tcPr>
            <w:gridSpan w:val="2"/>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E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r>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E9">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 </w:t>
            </w:r>
          </w:p>
        </w:tc>
        <w:tc>
          <w:tcPr>
            <w:gridSpan w:val="2"/>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EA">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Coefficients</w:t>
            </w:r>
          </w:p>
        </w:tc>
        <w:tc>
          <w:tcPr>
            <w:gridSpan w:val="2"/>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EC">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Standard Error</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EE">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Intercept</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E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0.287423797</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F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0.139748451</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F3">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X Variable 1</w:t>
            </w:r>
          </w:p>
        </w:tc>
        <w:tc>
          <w:tcPr>
            <w:gridSpan w:val="2"/>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F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0.254018011</w:t>
            </w:r>
          </w:p>
        </w:tc>
        <w:tc>
          <w:tcPr>
            <w:gridSpan w:val="2"/>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4F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0.059342265</w:t>
            </w:r>
          </w:p>
        </w:tc>
      </w:tr>
    </w:tbl>
    <w:p w:rsidR="00000000" w:rsidDel="00000000" w:rsidP="00000000" w:rsidRDefault="00000000" w:rsidRPr="00000000" w14:paraId="000004F8">
      <w:pPr>
        <w:rPr>
          <w:rFonts w:ascii="Times New Roman" w:cs="Times New Roman" w:eastAsia="Times New Roman" w:hAnsi="Times New Roman"/>
          <w:color w:val="000000"/>
          <w:sz w:val="24"/>
          <w:szCs w:val="24"/>
        </w:rPr>
      </w:pPr>
      <w:r w:rsidDel="00000000" w:rsidR="00000000" w:rsidRPr="00000000">
        <w:rPr>
          <w:rtl w:val="0"/>
        </w:rPr>
      </w:r>
    </w:p>
    <w:tbl>
      <w:tblPr>
        <w:tblStyle w:val="Table29"/>
        <w:tblW w:w="3092.0" w:type="dxa"/>
        <w:jc w:val="left"/>
        <w:tblInd w:w="108.0" w:type="dxa"/>
        <w:tblLayout w:type="fixed"/>
        <w:tblLook w:val="0400"/>
      </w:tblPr>
      <w:tblGrid>
        <w:gridCol w:w="1476"/>
        <w:gridCol w:w="1616"/>
        <w:tblGridChange w:id="0">
          <w:tblGrid>
            <w:gridCol w:w="1476"/>
            <w:gridCol w:w="161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F9">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Observation</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4FA">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Predicted Y</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F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F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0.737035677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F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F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0.543981989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4F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0.637968653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0.914848285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0.444914964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0.655749914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0.622727572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0.759897298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1.781049704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0.475397126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0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0.914848285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0.536361448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0.711633876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0.866584863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1.120602874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0.897067024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0.889446484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0.554142709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1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2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1.318736923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2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2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0.871665223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2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2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1.295875302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2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2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0.777678559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2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2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0.3382274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2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2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0.561763249</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2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2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0.721794597</w:t>
            </w:r>
          </w:p>
        </w:tc>
      </w:tr>
    </w:tbl>
    <w:p w:rsidR="00000000" w:rsidDel="00000000" w:rsidP="00000000" w:rsidRDefault="00000000" w:rsidRPr="00000000" w14:paraId="0000052D">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52E">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REGRESSION EQUATION: Y=0.25401X+0.2874</w:t>
      </w:r>
    </w:p>
    <w:p w:rsidR="00000000" w:rsidDel="00000000" w:rsidP="00000000" w:rsidRDefault="00000000" w:rsidRPr="00000000" w14:paraId="0000052F">
      <w:pPr>
        <w:rPr>
          <w:b w:val="1"/>
          <w:color w:val="000000"/>
        </w:rPr>
      </w:pPr>
      <w:r w:rsidDel="00000000" w:rsidR="00000000" w:rsidRPr="00000000">
        <w:rPr>
          <w:color w:val="000000"/>
          <w:rtl w:val="0"/>
        </w:rPr>
        <w:t xml:space="preserve">  </w:t>
      </w:r>
      <w:r w:rsidDel="00000000" w:rsidR="00000000" w:rsidRPr="00000000">
        <w:rPr>
          <w:b w:val="1"/>
          <w:color w:val="000000"/>
          <w:rtl w:val="0"/>
        </w:rPr>
        <w:t xml:space="preserve">p-value: 0.0002841 </w:t>
      </w:r>
    </w:p>
    <w:p w:rsidR="00000000" w:rsidDel="00000000" w:rsidP="00000000" w:rsidRDefault="00000000" w:rsidRPr="00000000" w14:paraId="00000530">
      <w:pPr>
        <w:spacing w:after="0" w:line="240" w:lineRule="auto"/>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  Observed F- Statistic: 18.32318 on 1 &amp; 23 DF, Tabulated F- statistic:  4.28 on 1&amp;23 DF</w:t>
      </w:r>
    </w:p>
    <w:p w:rsidR="00000000" w:rsidDel="00000000" w:rsidP="00000000" w:rsidRDefault="00000000" w:rsidRPr="00000000" w14:paraId="00000531">
      <w:pPr>
        <w:spacing w:after="0" w:line="240" w:lineRule="auto"/>
        <w:rPr>
          <w:rFonts w:ascii="Calibri" w:cs="Calibri" w:eastAsia="Calibri" w:hAnsi="Calibri"/>
          <w:b w:val="1"/>
          <w:color w:val="000000"/>
        </w:rPr>
      </w:pPr>
      <w:r w:rsidDel="00000000" w:rsidR="00000000" w:rsidRPr="00000000">
        <w:rPr>
          <w:rtl w:val="0"/>
        </w:rPr>
      </w:r>
    </w:p>
    <w:tbl>
      <w:tblPr>
        <w:tblStyle w:val="Table30"/>
        <w:tblW w:w="6120.0" w:type="dxa"/>
        <w:jc w:val="left"/>
        <w:tblInd w:w="93.0" w:type="dxa"/>
        <w:tblLayout w:type="fixed"/>
        <w:tblLook w:val="0400"/>
      </w:tblPr>
      <w:tblGrid>
        <w:gridCol w:w="4640"/>
        <w:gridCol w:w="1480"/>
        <w:tblGridChange w:id="0">
          <w:tblGrid>
            <w:gridCol w:w="4640"/>
            <w:gridCol w:w="1480"/>
          </w:tblGrid>
        </w:tblGridChange>
      </w:tblGrid>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32">
            <w:pPr>
              <w:spacing w:after="0" w:line="240" w:lineRule="auto"/>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Correlation Between NET NPA and  GROSS NPA=</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33">
            <w:pPr>
              <w:spacing w:after="0" w:line="240" w:lineRule="auto"/>
              <w:jc w:val="right"/>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0.665891605</w:t>
            </w:r>
          </w:p>
        </w:tc>
      </w:tr>
    </w:tbl>
    <w:p w:rsidR="00000000" w:rsidDel="00000000" w:rsidP="00000000" w:rsidRDefault="00000000" w:rsidRPr="00000000" w14:paraId="00000534">
      <w:pPr>
        <w:rPr>
          <w:b w:val="1"/>
          <w:color w:val="000000"/>
          <w:u w:val="single"/>
        </w:rPr>
      </w:pPr>
      <w:r w:rsidDel="00000000" w:rsidR="00000000" w:rsidRPr="00000000">
        <w:rPr>
          <w:rtl w:val="0"/>
        </w:rPr>
      </w:r>
    </w:p>
    <w:p w:rsidR="00000000" w:rsidDel="00000000" w:rsidP="00000000" w:rsidRDefault="00000000" w:rsidRPr="00000000" w14:paraId="00000535">
      <w:pPr>
        <w:rPr>
          <w:color w:val="000000"/>
        </w:rPr>
      </w:pPr>
      <w:r w:rsidDel="00000000" w:rsidR="00000000" w:rsidRPr="00000000">
        <w:rPr>
          <w:b w:val="1"/>
          <w:color w:val="000000"/>
          <w:u w:val="single"/>
          <w:rtl w:val="0"/>
        </w:rPr>
        <w:t xml:space="preserve">THE ANALYSIS OF THE OUTPUT</w:t>
      </w:r>
      <w:r w:rsidDel="00000000" w:rsidR="00000000" w:rsidRPr="00000000">
        <w:rPr>
          <w:color w:val="000000"/>
          <w:rtl w:val="0"/>
        </w:rPr>
        <w:t xml:space="preserve">:</w:t>
      </w:r>
    </w:p>
    <w:p w:rsidR="00000000" w:rsidDel="00000000" w:rsidP="00000000" w:rsidRDefault="00000000" w:rsidRPr="00000000" w14:paraId="00000536">
      <w:pPr>
        <w:jc w:val="both"/>
        <w:rPr>
          <w:color w:val="000000"/>
        </w:rPr>
      </w:pPr>
      <w:r w:rsidDel="00000000" w:rsidR="00000000" w:rsidRPr="00000000">
        <w:rPr>
          <w:color w:val="000000"/>
          <w:rtl w:val="0"/>
        </w:rPr>
        <w:t xml:space="preserve">Since the Adjusted R^2 is only 0.4185, so it is evident that there is a strong  linear positive relationship  between the Net Non-Performing Assets (NET NPA) and Gross NPA  in the sample of the 25 Indian Banks that is taken for the purpose of validation.</w:t>
      </w:r>
    </w:p>
    <w:p w:rsidR="00000000" w:rsidDel="00000000" w:rsidP="00000000" w:rsidRDefault="00000000" w:rsidRPr="00000000" w14:paraId="00000537">
      <w:pPr>
        <w:jc w:val="both"/>
        <w:rPr>
          <w:color w:val="000000"/>
        </w:rPr>
      </w:pPr>
      <w:r w:rsidDel="00000000" w:rsidR="00000000" w:rsidRPr="00000000">
        <w:rPr>
          <w:color w:val="000000"/>
          <w:rtl w:val="0"/>
        </w:rPr>
        <w:t xml:space="preserve">Moreover, at α=0.05(i.e. at 95% level of significance), it can be said that informally the referred hypothesis of a possible relation between Net Non-Performing Assets (NET NPA) and Gross NPA are statistically of very low significance. It can be inferred from the fact that the p-value of 0.0002841 &lt;α=0.05.</w:t>
      </w:r>
    </w:p>
    <w:p w:rsidR="00000000" w:rsidDel="00000000" w:rsidP="00000000" w:rsidRDefault="00000000" w:rsidRPr="00000000" w14:paraId="00000538">
      <w:pPr>
        <w:jc w:val="both"/>
        <w:rPr>
          <w:color w:val="000000"/>
        </w:rPr>
      </w:pPr>
      <w:r w:rsidDel="00000000" w:rsidR="00000000" w:rsidRPr="00000000">
        <w:rPr>
          <w:color w:val="000000"/>
          <w:rtl w:val="0"/>
        </w:rPr>
        <w:t xml:space="preserve">At 95% level of significance,the tabulated value of F-statistic is 4.28 on 1&amp; 23 DF and the Observed value of the F-statistic is 18.32318. So, it can be inferred that  Alternative hypothesis which assumes that there is a possible dependency between Net NPA and Total Credit is accepted( Observed value&gt; Tabulated Value). Hence in this specific case the Null hypothesis which assumes that there is no relation between these two variables is rejected.</w:t>
      </w:r>
    </w:p>
    <w:p w:rsidR="00000000" w:rsidDel="00000000" w:rsidP="00000000" w:rsidRDefault="00000000" w:rsidRPr="00000000" w14:paraId="00000539">
      <w:pPr>
        <w:jc w:val="both"/>
        <w:rPr>
          <w:color w:val="000000"/>
        </w:rPr>
      </w:pPr>
      <w:r w:rsidDel="00000000" w:rsidR="00000000" w:rsidRPr="00000000">
        <w:rPr>
          <w:color w:val="000000"/>
          <w:rtl w:val="0"/>
        </w:rPr>
        <w:t xml:space="preserve">So, from the above analysis  the model of Regression Analysis and Adjusted R^2 and Correlation Coefficient can analyze the problem structure.</w:t>
      </w:r>
    </w:p>
    <w:p w:rsidR="00000000" w:rsidDel="00000000" w:rsidP="00000000" w:rsidRDefault="00000000" w:rsidRPr="00000000" w14:paraId="0000053A">
      <w:pPr>
        <w:jc w:val="both"/>
        <w:rPr>
          <w:color w:val="000000"/>
        </w:rPr>
      </w:pPr>
      <w:r w:rsidDel="00000000" w:rsidR="00000000" w:rsidRPr="00000000">
        <w:rPr>
          <w:rtl w:val="0"/>
        </w:rPr>
      </w:r>
    </w:p>
    <w:p w:rsidR="00000000" w:rsidDel="00000000" w:rsidP="00000000" w:rsidRDefault="00000000" w:rsidRPr="00000000" w14:paraId="0000053B">
      <w:pPr>
        <w:jc w:val="both"/>
        <w:rPr>
          <w:color w:val="000000"/>
        </w:rPr>
      </w:pPr>
      <w:r w:rsidDel="00000000" w:rsidR="00000000" w:rsidRPr="00000000">
        <w:rPr>
          <w:color w:val="000000"/>
        </w:rPr>
        <w:drawing>
          <wp:inline distB="0" distT="0" distL="0" distR="0">
            <wp:extent cx="5276850" cy="1933575"/>
            <wp:effectExtent b="0" l="19050" r="19050" t="0"/>
            <wp:docPr id="52" name=""/>
            <a:graphic>
              <a:graphicData uri="http://schemas.openxmlformats.org/drawingml/2006/chart">
                <c:chart r:id="rId17"/>
              </a:graphicData>
            </a:graphic>
          </wp:inline>
        </w:drawing>
      </w:r>
      <w:r w:rsidDel="00000000" w:rsidR="00000000" w:rsidRPr="00000000">
        <w:rPr>
          <w:rtl w:val="0"/>
        </w:rPr>
      </w:r>
    </w:p>
    <w:p w:rsidR="00000000" w:rsidDel="00000000" w:rsidP="00000000" w:rsidRDefault="00000000" w:rsidRPr="00000000" w14:paraId="0000053C">
      <w:pPr>
        <w:jc w:val="both"/>
        <w:rPr>
          <w:b w:val="1"/>
          <w:color w:val="000000"/>
          <w:sz w:val="20"/>
          <w:szCs w:val="20"/>
          <w:u w:val="single"/>
        </w:rPr>
      </w:pPr>
      <w:r w:rsidDel="00000000" w:rsidR="00000000" w:rsidRPr="00000000">
        <w:rPr>
          <w:b w:val="1"/>
          <w:color w:val="000000"/>
          <w:sz w:val="20"/>
          <w:szCs w:val="20"/>
          <w:u w:val="single"/>
          <w:rtl w:val="0"/>
        </w:rPr>
        <w:t xml:space="preserve">REGRESSION LINE OF NET NPA vs. GROSS NPA with the Regression Equation </w:t>
      </w:r>
    </w:p>
    <w:p w:rsidR="00000000" w:rsidDel="00000000" w:rsidP="00000000" w:rsidRDefault="00000000" w:rsidRPr="00000000" w14:paraId="0000053D">
      <w:pPr>
        <w:jc w:val="both"/>
        <w:rPr>
          <w:b w:val="1"/>
          <w:color w:val="000000"/>
          <w:sz w:val="20"/>
          <w:szCs w:val="20"/>
          <w:u w:val="single"/>
        </w:rPr>
      </w:pPr>
      <w:r w:rsidDel="00000000" w:rsidR="00000000" w:rsidRPr="00000000">
        <w:rPr>
          <w:rtl w:val="0"/>
        </w:rPr>
      </w:r>
    </w:p>
    <w:p w:rsidR="00000000" w:rsidDel="00000000" w:rsidP="00000000" w:rsidRDefault="00000000" w:rsidRPr="00000000" w14:paraId="0000053E">
      <w:pPr>
        <w:jc w:val="both"/>
        <w:rPr>
          <w:b w:val="1"/>
          <w:color w:val="000000"/>
          <w:sz w:val="20"/>
          <w:szCs w:val="20"/>
          <w:u w:val="single"/>
        </w:rPr>
      </w:pPr>
      <w:r w:rsidDel="00000000" w:rsidR="00000000" w:rsidRPr="00000000">
        <w:rPr>
          <w:rtl w:val="0"/>
        </w:rPr>
      </w:r>
    </w:p>
    <w:p w:rsidR="00000000" w:rsidDel="00000000" w:rsidP="00000000" w:rsidRDefault="00000000" w:rsidRPr="00000000" w14:paraId="0000053F">
      <w:pPr>
        <w:rPr>
          <w:b w:val="1"/>
          <w:color w:val="000000"/>
          <w:sz w:val="20"/>
          <w:szCs w:val="20"/>
          <w:u w:val="single"/>
        </w:rPr>
      </w:pPr>
      <w:r w:rsidDel="00000000" w:rsidR="00000000" w:rsidRPr="00000000">
        <w:rPr>
          <w:rtl w:val="0"/>
        </w:rPr>
      </w:r>
    </w:p>
    <w:p w:rsidR="00000000" w:rsidDel="00000000" w:rsidP="00000000" w:rsidRDefault="00000000" w:rsidRPr="00000000" w14:paraId="00000540">
      <w:pPr>
        <w:rPr>
          <w:color w:val="000000"/>
        </w:rPr>
      </w:pPr>
      <w:r w:rsidDel="00000000" w:rsidR="00000000" w:rsidRPr="00000000">
        <w:rPr>
          <w:rFonts w:ascii="Bookman Old Style" w:cs="Bookman Old Style" w:eastAsia="Bookman Old Style" w:hAnsi="Bookman Old Style"/>
          <w:b w:val="1"/>
          <w:color w:val="000000"/>
          <w:sz w:val="28"/>
          <w:szCs w:val="28"/>
          <w:u w:val="single"/>
          <w:rtl w:val="0"/>
        </w:rPr>
        <w:t xml:space="preserve">7) NET NPA Vs. Capital Adequacy Ratio(CAR)</w:t>
      </w:r>
      <w:r w:rsidDel="00000000" w:rsidR="00000000" w:rsidRPr="00000000">
        <w:rPr>
          <w:rtl w:val="0"/>
        </w:rPr>
      </w:r>
    </w:p>
    <w:p w:rsidR="00000000" w:rsidDel="00000000" w:rsidP="00000000" w:rsidRDefault="00000000" w:rsidRPr="00000000" w14:paraId="00000541">
      <w:pPr>
        <w:rPr>
          <w:color w:val="000000"/>
        </w:rPr>
      </w:pPr>
      <w:r w:rsidDel="00000000" w:rsidR="00000000" w:rsidRPr="00000000">
        <w:rPr>
          <w:color w:val="000000"/>
          <w:rtl w:val="0"/>
        </w:rPr>
        <w:t xml:space="preserve"> </w:t>
      </w:r>
    </w:p>
    <w:tbl>
      <w:tblPr>
        <w:tblStyle w:val="Table31"/>
        <w:tblW w:w="3196.0" w:type="dxa"/>
        <w:jc w:val="left"/>
        <w:tblInd w:w="108.0" w:type="dxa"/>
        <w:tblLayout w:type="fixed"/>
        <w:tblLook w:val="0400"/>
      </w:tblPr>
      <w:tblGrid>
        <w:gridCol w:w="1809"/>
        <w:gridCol w:w="1387"/>
        <w:tblGridChange w:id="0">
          <w:tblGrid>
            <w:gridCol w:w="1809"/>
            <w:gridCol w:w="1387"/>
          </w:tblGrid>
        </w:tblGridChange>
      </w:tblGrid>
      <w:tr>
        <w:trPr>
          <w:trHeight w:val="300" w:hRule="atLeast"/>
        </w:trPr>
        <w:tc>
          <w:tcPr>
            <w:gridSpan w:val="2"/>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42">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Regression Statistics</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44">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Multiple 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4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0.16663832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46">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4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0.02776833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48">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Adjusted 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4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-0.014502613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4A">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Standard Error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4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0.481198262</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4C">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Observations</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4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r>
    </w:tbl>
    <w:p w:rsidR="00000000" w:rsidDel="00000000" w:rsidP="00000000" w:rsidRDefault="00000000" w:rsidRPr="00000000" w14:paraId="0000054E">
      <w:pPr>
        <w:rPr>
          <w:color w:val="000000"/>
        </w:rPr>
      </w:pPr>
      <w:r w:rsidDel="00000000" w:rsidR="00000000" w:rsidRPr="00000000">
        <w:rPr>
          <w:rtl w:val="0"/>
        </w:rPr>
      </w:r>
    </w:p>
    <w:tbl>
      <w:tblPr>
        <w:tblStyle w:val="Table32"/>
        <w:tblW w:w="4848.0" w:type="dxa"/>
        <w:jc w:val="left"/>
        <w:tblInd w:w="108.0" w:type="dxa"/>
        <w:tblLayout w:type="fixed"/>
        <w:tblLook w:val="0400"/>
      </w:tblPr>
      <w:tblGrid>
        <w:gridCol w:w="1496"/>
        <w:gridCol w:w="1696"/>
        <w:gridCol w:w="1656"/>
        <w:tblGridChange w:id="0">
          <w:tblGrid>
            <w:gridCol w:w="1496"/>
            <w:gridCol w:w="1696"/>
            <w:gridCol w:w="165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4F">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 </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50">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Coefficients</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51">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Standard Error</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52">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Intercept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5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1.347209056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5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0.684416377</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55">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X Variable 1</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5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-0.038432028</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5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0.047417581</w:t>
            </w:r>
          </w:p>
        </w:tc>
      </w:tr>
    </w:tbl>
    <w:p w:rsidR="00000000" w:rsidDel="00000000" w:rsidP="00000000" w:rsidRDefault="00000000" w:rsidRPr="00000000" w14:paraId="00000558">
      <w:pPr>
        <w:rPr>
          <w:color w:val="000000"/>
        </w:rPr>
      </w:pPr>
      <w:r w:rsidDel="00000000" w:rsidR="00000000" w:rsidRPr="00000000">
        <w:rPr>
          <w:rtl w:val="0"/>
        </w:rPr>
      </w:r>
    </w:p>
    <w:tbl>
      <w:tblPr>
        <w:tblStyle w:val="Table33"/>
        <w:tblW w:w="3192.0" w:type="dxa"/>
        <w:jc w:val="left"/>
        <w:tblInd w:w="108.0" w:type="dxa"/>
        <w:tblLayout w:type="fixed"/>
        <w:tblLook w:val="0400"/>
      </w:tblPr>
      <w:tblGrid>
        <w:gridCol w:w="1496"/>
        <w:gridCol w:w="1696"/>
        <w:tblGridChange w:id="0">
          <w:tblGrid>
            <w:gridCol w:w="1496"/>
            <w:gridCol w:w="169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59">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Observation</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5A">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Predicted Y</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5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5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0.84797701</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5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5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0.861043899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5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0.79455649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0.834141479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0.789176006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0.756124462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0.851435892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0.831835558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0.837984682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0.893711123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6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0.822996191</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0.826070753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0.800321295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0.869883266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0.837984682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0.846055408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0.849514291</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0.723841558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7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8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0.581643054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8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8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0.849898611</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8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8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0.83491012</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8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8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0.777646398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8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8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0.71308059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8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8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0.736524128</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8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8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0.581643054</w:t>
            </w:r>
          </w:p>
        </w:tc>
      </w:tr>
    </w:tbl>
    <w:p w:rsidR="00000000" w:rsidDel="00000000" w:rsidP="00000000" w:rsidRDefault="00000000" w:rsidRPr="00000000" w14:paraId="0000058D">
      <w:pPr>
        <w:rPr>
          <w:color w:val="000000"/>
        </w:rPr>
      </w:pPr>
      <w:r w:rsidDel="00000000" w:rsidR="00000000" w:rsidRPr="00000000">
        <w:rPr>
          <w:color w:val="000000"/>
          <w:rtl w:val="0"/>
        </w:rPr>
        <w:t xml:space="preserve">REGRESSION EQUATION:Y = -.03843X+1.03472</w:t>
      </w:r>
    </w:p>
    <w:p w:rsidR="00000000" w:rsidDel="00000000" w:rsidP="00000000" w:rsidRDefault="00000000" w:rsidRPr="00000000" w14:paraId="0000058E">
      <w:pPr>
        <w:rPr>
          <w:b w:val="1"/>
          <w:color w:val="000000"/>
        </w:rPr>
      </w:pPr>
      <w:r w:rsidDel="00000000" w:rsidR="00000000" w:rsidRPr="00000000">
        <w:rPr>
          <w:b w:val="1"/>
          <w:color w:val="000000"/>
          <w:rtl w:val="0"/>
        </w:rPr>
        <w:t xml:space="preserve">F-statistic: 0.5615 on 1 and 23 DF, Tabulated F-statistic: </w:t>
      </w:r>
      <w:r w:rsidDel="00000000" w:rsidR="00000000" w:rsidRPr="00000000">
        <w:rPr>
          <w:rFonts w:ascii="Calibri" w:cs="Calibri" w:eastAsia="Calibri" w:hAnsi="Calibri"/>
          <w:b w:val="1"/>
          <w:color w:val="000000"/>
          <w:rtl w:val="0"/>
        </w:rPr>
        <w:t xml:space="preserve"> 4.28 on 1&amp;23 DF</w:t>
      </w:r>
      <w:r w:rsidDel="00000000" w:rsidR="00000000" w:rsidRPr="00000000">
        <w:rPr>
          <w:rtl w:val="0"/>
        </w:rPr>
      </w:r>
    </w:p>
    <w:p w:rsidR="00000000" w:rsidDel="00000000" w:rsidP="00000000" w:rsidRDefault="00000000" w:rsidRPr="00000000" w14:paraId="0000058F">
      <w:pPr>
        <w:rPr>
          <w:color w:val="000000"/>
        </w:rPr>
      </w:pPr>
      <w:r w:rsidDel="00000000" w:rsidR="00000000" w:rsidRPr="00000000">
        <w:rPr>
          <w:b w:val="1"/>
          <w:color w:val="000000"/>
          <w:rtl w:val="0"/>
        </w:rPr>
        <w:t xml:space="preserve">p-value:</w:t>
      </w:r>
      <w:r w:rsidDel="00000000" w:rsidR="00000000" w:rsidRPr="00000000">
        <w:rPr>
          <w:color w:val="000000"/>
          <w:rtl w:val="0"/>
        </w:rPr>
        <w:t xml:space="preserve"> 0.4613 </w:t>
      </w:r>
    </w:p>
    <w:tbl>
      <w:tblPr>
        <w:tblStyle w:val="Table34"/>
        <w:tblW w:w="6120.0" w:type="dxa"/>
        <w:jc w:val="left"/>
        <w:tblInd w:w="93.0" w:type="dxa"/>
        <w:tblLayout w:type="fixed"/>
        <w:tblLook w:val="0400"/>
      </w:tblPr>
      <w:tblGrid>
        <w:gridCol w:w="4640"/>
        <w:gridCol w:w="1480"/>
        <w:tblGridChange w:id="0">
          <w:tblGrid>
            <w:gridCol w:w="4640"/>
            <w:gridCol w:w="1480"/>
          </w:tblGrid>
        </w:tblGridChange>
      </w:tblGrid>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90">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Correlation Between NET NPA and  CAR=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91">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-0.16663832</w:t>
            </w:r>
          </w:p>
        </w:tc>
      </w:tr>
    </w:tbl>
    <w:p w:rsidR="00000000" w:rsidDel="00000000" w:rsidP="00000000" w:rsidRDefault="00000000" w:rsidRPr="00000000" w14:paraId="00000592">
      <w:pPr>
        <w:rPr>
          <w:color w:val="000000"/>
        </w:rPr>
      </w:pPr>
      <w:r w:rsidDel="00000000" w:rsidR="00000000" w:rsidRPr="00000000">
        <w:rPr>
          <w:rtl w:val="0"/>
        </w:rPr>
      </w:r>
    </w:p>
    <w:p w:rsidR="00000000" w:rsidDel="00000000" w:rsidP="00000000" w:rsidRDefault="00000000" w:rsidRPr="00000000" w14:paraId="00000593">
      <w:pPr>
        <w:rPr>
          <w:color w:val="000000"/>
        </w:rPr>
      </w:pPr>
      <w:r w:rsidDel="00000000" w:rsidR="00000000" w:rsidRPr="00000000">
        <w:rPr>
          <w:b w:val="1"/>
          <w:color w:val="000000"/>
          <w:u w:val="single"/>
          <w:rtl w:val="0"/>
        </w:rPr>
        <w:t xml:space="preserve">THE ANALYSIS OF THE OUTPUT</w:t>
      </w:r>
      <w:r w:rsidDel="00000000" w:rsidR="00000000" w:rsidRPr="00000000">
        <w:rPr>
          <w:color w:val="000000"/>
          <w:rtl w:val="0"/>
        </w:rPr>
        <w:t xml:space="preserve">:</w:t>
      </w:r>
    </w:p>
    <w:p w:rsidR="00000000" w:rsidDel="00000000" w:rsidP="00000000" w:rsidRDefault="00000000" w:rsidRPr="00000000" w14:paraId="00000594">
      <w:pPr>
        <w:jc w:val="both"/>
        <w:rPr>
          <w:color w:val="000000"/>
        </w:rPr>
      </w:pPr>
      <w:r w:rsidDel="00000000" w:rsidR="00000000" w:rsidRPr="00000000">
        <w:rPr>
          <w:color w:val="000000"/>
          <w:rtl w:val="0"/>
        </w:rPr>
        <w:t xml:space="preserve">Since the Adjusted R^2 is only -0.01861, so it is evident that there is absolutely a negative linear relationship  between the Net Non-Performing Assets (NET NPA) and Capital Adequacy Ratio(CAR)  in the sample of the 25 Indian Banks that is taken for the purpose of validation.</w:t>
      </w:r>
    </w:p>
    <w:p w:rsidR="00000000" w:rsidDel="00000000" w:rsidP="00000000" w:rsidRDefault="00000000" w:rsidRPr="00000000" w14:paraId="00000595">
      <w:pPr>
        <w:jc w:val="both"/>
        <w:rPr>
          <w:color w:val="000000"/>
        </w:rPr>
      </w:pPr>
      <w:r w:rsidDel="00000000" w:rsidR="00000000" w:rsidRPr="00000000">
        <w:rPr>
          <w:color w:val="000000"/>
          <w:rtl w:val="0"/>
        </w:rPr>
        <w:t xml:space="preserve">Moreover, at α=0.05(i.e. at 95% level of significance), it can be said that informally the referred hypothesis of a possible relation between Net Non-Performing Assets (NET NPA) and CAR are statistically of moderate significance. It can be inferred from the fact that the p-value of 0.4613&gt;α=0.05.</w:t>
      </w:r>
    </w:p>
    <w:p w:rsidR="00000000" w:rsidDel="00000000" w:rsidP="00000000" w:rsidRDefault="00000000" w:rsidRPr="00000000" w14:paraId="00000596">
      <w:pPr>
        <w:jc w:val="both"/>
        <w:rPr>
          <w:color w:val="000000"/>
        </w:rPr>
      </w:pPr>
      <w:r w:rsidDel="00000000" w:rsidR="00000000" w:rsidRPr="00000000">
        <w:rPr>
          <w:color w:val="000000"/>
          <w:rtl w:val="0"/>
        </w:rPr>
        <w:t xml:space="preserve">At 95% level of significance, the tabulated value of F-statistic is 4.28 on 1&amp; 23 DF and the Observed value of the F-statistic is 0.5615 (Observed value&lt;Tabulated Value). So, it can be inferred that  Alternative hypothesis which assumes that there is a possible dependency between Net NPA  and Capital Adequacy Ratio of the sample Banks’ is rejected. Hence in this specific case the Null hypothesis which assumes that there is no relation between these two variables is accepted.</w:t>
      </w:r>
    </w:p>
    <w:p w:rsidR="00000000" w:rsidDel="00000000" w:rsidP="00000000" w:rsidRDefault="00000000" w:rsidRPr="00000000" w14:paraId="00000597">
      <w:pPr>
        <w:jc w:val="both"/>
        <w:rPr>
          <w:color w:val="000000"/>
        </w:rPr>
      </w:pPr>
      <w:r w:rsidDel="00000000" w:rsidR="00000000" w:rsidRPr="00000000">
        <w:rPr>
          <w:color w:val="000000"/>
          <w:rtl w:val="0"/>
        </w:rPr>
        <w:t xml:space="preserve">So, from the above analysis the model of Regression Analysis and Adjusted R^2 and Correlation Coefficient cannot analyze the problem structure.</w:t>
      </w:r>
    </w:p>
    <w:p w:rsidR="00000000" w:rsidDel="00000000" w:rsidP="00000000" w:rsidRDefault="00000000" w:rsidRPr="00000000" w14:paraId="00000598">
      <w:pPr>
        <w:jc w:val="both"/>
        <w:rPr>
          <w:color w:val="000000"/>
        </w:rPr>
      </w:pPr>
      <w:r w:rsidDel="00000000" w:rsidR="00000000" w:rsidRPr="00000000">
        <w:rPr>
          <w:rtl w:val="0"/>
        </w:rPr>
      </w:r>
    </w:p>
    <w:p w:rsidR="00000000" w:rsidDel="00000000" w:rsidP="00000000" w:rsidRDefault="00000000" w:rsidRPr="00000000" w14:paraId="00000599">
      <w:pPr>
        <w:jc w:val="both"/>
        <w:rPr>
          <w:color w:val="000000"/>
        </w:rPr>
      </w:pPr>
      <w:r w:rsidDel="00000000" w:rsidR="00000000" w:rsidRPr="00000000">
        <w:rPr>
          <w:color w:val="000000"/>
        </w:rPr>
        <w:drawing>
          <wp:inline distB="0" distT="0" distL="0" distR="0">
            <wp:extent cx="4619625" cy="1933575"/>
            <wp:effectExtent b="0" l="19050" r="9525" t="0"/>
            <wp:docPr id="55" name=""/>
            <a:graphic>
              <a:graphicData uri="http://schemas.openxmlformats.org/drawingml/2006/chart">
                <c:chart r:id="rId18"/>
              </a:graphicData>
            </a:graphic>
          </wp:inline>
        </w:drawing>
      </w:r>
      <w:r w:rsidDel="00000000" w:rsidR="00000000" w:rsidRPr="00000000">
        <w:rPr>
          <w:rtl w:val="0"/>
        </w:rPr>
      </w:r>
    </w:p>
    <w:p w:rsidR="00000000" w:rsidDel="00000000" w:rsidP="00000000" w:rsidRDefault="00000000" w:rsidRPr="00000000" w14:paraId="0000059A">
      <w:pPr>
        <w:jc w:val="both"/>
        <w:rPr>
          <w:b w:val="1"/>
          <w:color w:val="000000"/>
          <w:sz w:val="20"/>
          <w:szCs w:val="20"/>
          <w:u w:val="single"/>
        </w:rPr>
      </w:pPr>
      <w:r w:rsidDel="00000000" w:rsidR="00000000" w:rsidRPr="00000000">
        <w:rPr>
          <w:b w:val="1"/>
          <w:color w:val="000000"/>
          <w:sz w:val="20"/>
          <w:szCs w:val="20"/>
          <w:rtl w:val="0"/>
        </w:rPr>
        <w:t xml:space="preserve">               </w:t>
      </w:r>
      <w:r w:rsidDel="00000000" w:rsidR="00000000" w:rsidRPr="00000000">
        <w:rPr>
          <w:b w:val="1"/>
          <w:color w:val="000000"/>
          <w:sz w:val="20"/>
          <w:szCs w:val="20"/>
          <w:u w:val="single"/>
          <w:rtl w:val="0"/>
        </w:rPr>
        <w:t xml:space="preserve">  REGRESSION LINE OF NET NPA vs. CAR with the Regression Equation </w:t>
      </w:r>
    </w:p>
    <w:p w:rsidR="00000000" w:rsidDel="00000000" w:rsidP="00000000" w:rsidRDefault="00000000" w:rsidRPr="00000000" w14:paraId="0000059B">
      <w:pPr>
        <w:jc w:val="both"/>
        <w:rPr>
          <w:b w:val="1"/>
          <w:color w:val="000000"/>
          <w:sz w:val="20"/>
          <w:szCs w:val="20"/>
          <w:u w:val="single"/>
        </w:rPr>
      </w:pPr>
      <w:r w:rsidDel="00000000" w:rsidR="00000000" w:rsidRPr="00000000">
        <w:rPr>
          <w:rtl w:val="0"/>
        </w:rPr>
      </w:r>
    </w:p>
    <w:p w:rsidR="00000000" w:rsidDel="00000000" w:rsidP="00000000" w:rsidRDefault="00000000" w:rsidRPr="00000000" w14:paraId="0000059C">
      <w:pPr>
        <w:jc w:val="both"/>
        <w:rPr>
          <w:b w:val="1"/>
          <w:color w:val="000000"/>
          <w:sz w:val="20"/>
          <w:szCs w:val="20"/>
          <w:u w:val="single"/>
        </w:rPr>
      </w:pPr>
      <w:r w:rsidDel="00000000" w:rsidR="00000000" w:rsidRPr="00000000">
        <w:rPr>
          <w:rtl w:val="0"/>
        </w:rPr>
      </w:r>
    </w:p>
    <w:p w:rsidR="00000000" w:rsidDel="00000000" w:rsidP="00000000" w:rsidRDefault="00000000" w:rsidRPr="00000000" w14:paraId="0000059D">
      <w:pPr>
        <w:rPr>
          <w:rFonts w:ascii="Bookman Old Style" w:cs="Bookman Old Style" w:eastAsia="Bookman Old Style" w:hAnsi="Bookman Old Style"/>
          <w:b w:val="1"/>
          <w:color w:val="000000"/>
          <w:sz w:val="28"/>
          <w:szCs w:val="28"/>
          <w:u w:val="single"/>
        </w:rPr>
      </w:pPr>
      <w:r w:rsidDel="00000000" w:rsidR="00000000" w:rsidRPr="00000000">
        <w:rPr>
          <w:rFonts w:ascii="Bookman Old Style" w:cs="Bookman Old Style" w:eastAsia="Bookman Old Style" w:hAnsi="Bookman Old Style"/>
          <w:b w:val="1"/>
          <w:color w:val="000000"/>
          <w:sz w:val="28"/>
          <w:szCs w:val="28"/>
          <w:u w:val="single"/>
          <w:rtl w:val="0"/>
        </w:rPr>
        <w:t xml:space="preserve">8) NET NPA Vs. Total Tier-I Capital</w:t>
      </w:r>
    </w:p>
    <w:p w:rsidR="00000000" w:rsidDel="00000000" w:rsidP="00000000" w:rsidRDefault="00000000" w:rsidRPr="00000000" w14:paraId="0000059E">
      <w:pPr>
        <w:rPr>
          <w:color w:val="000000"/>
        </w:rPr>
      </w:pPr>
      <w:r w:rsidDel="00000000" w:rsidR="00000000" w:rsidRPr="00000000">
        <w:rPr>
          <w:color w:val="000000"/>
          <w:rtl w:val="0"/>
        </w:rPr>
        <w:t xml:space="preserve"> </w:t>
      </w:r>
    </w:p>
    <w:tbl>
      <w:tblPr>
        <w:tblStyle w:val="Table35"/>
        <w:tblW w:w="3736.0" w:type="dxa"/>
        <w:jc w:val="left"/>
        <w:tblInd w:w="108.0" w:type="dxa"/>
        <w:tblLayout w:type="fixed"/>
        <w:tblLook w:val="0400"/>
      </w:tblPr>
      <w:tblGrid>
        <w:gridCol w:w="2179"/>
        <w:gridCol w:w="1557"/>
        <w:tblGridChange w:id="0">
          <w:tblGrid>
            <w:gridCol w:w="2179"/>
            <w:gridCol w:w="1557"/>
          </w:tblGrid>
        </w:tblGridChange>
      </w:tblGrid>
      <w:tr>
        <w:trPr>
          <w:trHeight w:val="300" w:hRule="atLeast"/>
        </w:trPr>
        <w:tc>
          <w:tcPr>
            <w:gridSpan w:val="2"/>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9F">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Regression Statistics</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A1">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Multiple 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A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0.305807125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A3">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A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0.093517998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A5">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Adjusted R Square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A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0.054105737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A7">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Standard Error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A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0.464642317</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A9">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Observations</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A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r>
    </w:tbl>
    <w:p w:rsidR="00000000" w:rsidDel="00000000" w:rsidP="00000000" w:rsidRDefault="00000000" w:rsidRPr="00000000" w14:paraId="000005AB">
      <w:pPr>
        <w:rPr>
          <w:color w:val="000000"/>
        </w:rPr>
      </w:pPr>
      <w:r w:rsidDel="00000000" w:rsidR="00000000" w:rsidRPr="00000000">
        <w:rPr>
          <w:rtl w:val="0"/>
        </w:rPr>
      </w:r>
    </w:p>
    <w:tbl>
      <w:tblPr>
        <w:tblStyle w:val="Table36"/>
        <w:tblW w:w="5188.0" w:type="dxa"/>
        <w:jc w:val="left"/>
        <w:tblInd w:w="108.0" w:type="dxa"/>
        <w:tblLayout w:type="fixed"/>
        <w:tblLook w:val="0400"/>
      </w:tblPr>
      <w:tblGrid>
        <w:gridCol w:w="1896"/>
        <w:gridCol w:w="1856"/>
        <w:gridCol w:w="1436"/>
        <w:tblGridChange w:id="0">
          <w:tblGrid>
            <w:gridCol w:w="1896"/>
            <w:gridCol w:w="1856"/>
            <w:gridCol w:w="1436"/>
          </w:tblGrid>
        </w:tblGridChange>
      </w:tblGrid>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AC">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 </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AD">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Coefficients</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AE">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Standard Error</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AF">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Intercept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B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0.685775753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B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0.118082336</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B2">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X Variable 1</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B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7.98709E-06</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B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5.18509E-06</w:t>
            </w:r>
          </w:p>
        </w:tc>
      </w:tr>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B5">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Observation</w:t>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B6">
            <w:pPr>
              <w:spacing w:after="0" w:line="240" w:lineRule="auto"/>
              <w:jc w:val="center"/>
              <w:rPr>
                <w:rFonts w:ascii="Calibri" w:cs="Calibri" w:eastAsia="Calibri" w:hAnsi="Calibri"/>
                <w:i w:val="1"/>
                <w:color w:val="000000"/>
              </w:rPr>
            </w:pPr>
            <w:r w:rsidDel="00000000" w:rsidR="00000000" w:rsidRPr="00000000">
              <w:rPr>
                <w:rFonts w:ascii="Calibri" w:cs="Calibri" w:eastAsia="Calibri" w:hAnsi="Calibri"/>
                <w:i w:val="1"/>
                <w:color w:val="000000"/>
                <w:rtl w:val="0"/>
              </w:rPr>
              <w:t xml:space="preserve">Predicted Y</w:t>
            </w:r>
          </w:p>
        </w:tc>
      </w:tr>
      <w:tr>
        <w:trPr>
          <w:trHeight w:val="300" w:hRule="atLeast"/>
        </w:trPr>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B7">
            <w:pPr>
              <w:spacing w:after="0" w:line="240" w:lineRule="auto"/>
              <w:jc w:val="center"/>
              <w:rPr>
                <w:rFonts w:ascii="Calibri" w:cs="Calibri" w:eastAsia="Calibri" w:hAnsi="Calibri"/>
                <w:i w:val="1"/>
                <w:color w:val="000000"/>
              </w:rPr>
            </w:pPr>
            <w:r w:rsidDel="00000000" w:rsidR="00000000" w:rsidRPr="00000000">
              <w:rPr>
                <w:rtl w:val="0"/>
              </w:rPr>
            </w:r>
          </w:p>
        </w:tc>
        <w:tc>
          <w:tcPr>
            <w:tcBorders>
              <w:top w:color="000000" w:space="0" w:sz="8" w:val="single"/>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5B8">
            <w:pPr>
              <w:spacing w:after="0" w:line="240" w:lineRule="auto"/>
              <w:jc w:val="center"/>
              <w:rPr>
                <w:rFonts w:ascii="Calibri" w:cs="Calibri" w:eastAsia="Calibri" w:hAnsi="Calibri"/>
                <w:i w:val="1"/>
                <w:color w:val="000000"/>
              </w:rPr>
            </w:pPr>
            <w:r w:rsidDel="00000000" w:rsidR="00000000" w:rsidRPr="00000000">
              <w:rPr>
                <w:rtl w:val="0"/>
              </w:rPr>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B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B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0.748852965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B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B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0.833564716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B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B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0.764536726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B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0.712683367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0.85840024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0.838640669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0.748266074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0.716797595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0.690228793</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0.692226124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0.812744939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C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0.752643716</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0.750627057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0.853335789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1.364190838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16</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0.744984979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17</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0.783042485</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B">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18</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0.879500284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D">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19</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E">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1.088524557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DF">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E0">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0.705453297</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E1">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21</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E2">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0.705177104</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E3">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22</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E4">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0.692137068</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E5">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23</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E6">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0.719042459</w:t>
            </w:r>
          </w:p>
        </w:tc>
      </w:tr>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E7">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E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0.724768706</w:t>
            </w:r>
          </w:p>
        </w:tc>
      </w:tr>
      <w:tr>
        <w:trPr>
          <w:trHeight w:val="300" w:hRule="atLeast"/>
        </w:trPr>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E9">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25</w:t>
            </w:r>
          </w:p>
        </w:tc>
        <w:tc>
          <w:tcPr>
            <w:tcBorders>
              <w:top w:color="000000" w:space="0" w:sz="0" w:val="nil"/>
              <w:left w:color="000000" w:space="0" w:sz="0" w:val="nil"/>
              <w:bottom w:color="000000" w:space="0" w:sz="8" w:val="single"/>
              <w:right w:color="000000" w:space="0" w:sz="0" w:val="nil"/>
            </w:tcBorders>
            <w:shd w:fill="auto" w:val="clear"/>
            <w:vAlign w:val="bottom"/>
          </w:tcPr>
          <w:p w:rsidR="00000000" w:rsidDel="00000000" w:rsidP="00000000" w:rsidRDefault="00000000" w:rsidRPr="00000000" w14:paraId="000005E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0.769629452</w:t>
            </w:r>
          </w:p>
        </w:tc>
      </w:tr>
    </w:tbl>
    <w:p w:rsidR="00000000" w:rsidDel="00000000" w:rsidP="00000000" w:rsidRDefault="00000000" w:rsidRPr="00000000" w14:paraId="000005EB">
      <w:pPr>
        <w:rPr>
          <w:color w:val="000000"/>
        </w:rPr>
      </w:pPr>
      <w:r w:rsidDel="00000000" w:rsidR="00000000" w:rsidRPr="00000000">
        <w:rPr>
          <w:rtl w:val="0"/>
        </w:rPr>
      </w:r>
    </w:p>
    <w:p w:rsidR="00000000" w:rsidDel="00000000" w:rsidP="00000000" w:rsidRDefault="00000000" w:rsidRPr="00000000" w14:paraId="000005EC">
      <w:pPr>
        <w:rPr>
          <w:b w:val="1"/>
          <w:color w:val="000000"/>
        </w:rPr>
      </w:pPr>
      <w:r w:rsidDel="00000000" w:rsidR="00000000" w:rsidRPr="00000000">
        <w:rPr>
          <w:b w:val="1"/>
          <w:color w:val="000000"/>
          <w:rtl w:val="0"/>
        </w:rPr>
        <w:t xml:space="preserve">REGRESSION EQUATION: Y= 4.48X=0.6857</w:t>
      </w:r>
    </w:p>
    <w:p w:rsidR="00000000" w:rsidDel="00000000" w:rsidP="00000000" w:rsidRDefault="00000000" w:rsidRPr="00000000" w14:paraId="000005ED">
      <w:pPr>
        <w:rPr>
          <w:b w:val="1"/>
          <w:color w:val="000000"/>
        </w:rPr>
      </w:pPr>
      <w:r w:rsidDel="00000000" w:rsidR="00000000" w:rsidRPr="00000000">
        <w:rPr>
          <w:b w:val="1"/>
          <w:color w:val="000000"/>
          <w:rtl w:val="0"/>
        </w:rPr>
        <w:t xml:space="preserve">F-statistic: 2.315 on 1 and 23 DF,  Tabulated F-Statistic:</w:t>
      </w:r>
      <w:r w:rsidDel="00000000" w:rsidR="00000000" w:rsidRPr="00000000">
        <w:rPr>
          <w:rFonts w:ascii="Calibri" w:cs="Calibri" w:eastAsia="Calibri" w:hAnsi="Calibri"/>
          <w:b w:val="1"/>
          <w:color w:val="000000"/>
          <w:rtl w:val="0"/>
        </w:rPr>
        <w:t xml:space="preserve"> 4.28 on 1&amp;23 DF</w:t>
      </w:r>
      <w:r w:rsidDel="00000000" w:rsidR="00000000" w:rsidRPr="00000000">
        <w:rPr>
          <w:rtl w:val="0"/>
        </w:rPr>
      </w:r>
    </w:p>
    <w:p w:rsidR="00000000" w:rsidDel="00000000" w:rsidP="00000000" w:rsidRDefault="00000000" w:rsidRPr="00000000" w14:paraId="000005EE">
      <w:pPr>
        <w:rPr>
          <w:color w:val="000000"/>
        </w:rPr>
      </w:pPr>
      <w:r w:rsidDel="00000000" w:rsidR="00000000" w:rsidRPr="00000000">
        <w:rPr>
          <w:b w:val="1"/>
          <w:color w:val="000000"/>
          <w:rtl w:val="0"/>
        </w:rPr>
        <w:t xml:space="preserve">p-value</w:t>
      </w:r>
      <w:r w:rsidDel="00000000" w:rsidR="00000000" w:rsidRPr="00000000">
        <w:rPr>
          <w:color w:val="000000"/>
          <w:rtl w:val="0"/>
        </w:rPr>
        <w:t xml:space="preserve">: 0.1418 </w:t>
      </w:r>
    </w:p>
    <w:tbl>
      <w:tblPr>
        <w:tblStyle w:val="Table37"/>
        <w:tblW w:w="6355.0" w:type="dxa"/>
        <w:jc w:val="left"/>
        <w:tblInd w:w="93.0" w:type="dxa"/>
        <w:tblLayout w:type="fixed"/>
        <w:tblLook w:val="0400"/>
      </w:tblPr>
      <w:tblGrid>
        <w:gridCol w:w="4875"/>
        <w:gridCol w:w="1480"/>
        <w:tblGridChange w:id="0">
          <w:tblGrid>
            <w:gridCol w:w="4875"/>
            <w:gridCol w:w="1480"/>
          </w:tblGrid>
        </w:tblGridChange>
      </w:tblGrid>
      <w:tr>
        <w:trPr>
          <w:trHeight w:val="30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EF">
            <w:pPr>
              <w:spacing w:after="0" w:line="240" w:lineRule="auto"/>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Correlation Between NET NPA and Tier-I Capital=</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5F0">
            <w:pPr>
              <w:spacing w:after="0" w:line="240" w:lineRule="auto"/>
              <w:jc w:val="right"/>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0.305807125</w:t>
            </w:r>
          </w:p>
        </w:tc>
      </w:tr>
    </w:tbl>
    <w:p w:rsidR="00000000" w:rsidDel="00000000" w:rsidP="00000000" w:rsidRDefault="00000000" w:rsidRPr="00000000" w14:paraId="000005F1">
      <w:pPr>
        <w:rPr>
          <w:color w:val="000000"/>
        </w:rPr>
      </w:pPr>
      <w:r w:rsidDel="00000000" w:rsidR="00000000" w:rsidRPr="00000000">
        <w:rPr>
          <w:rtl w:val="0"/>
        </w:rPr>
      </w:r>
    </w:p>
    <w:p w:rsidR="00000000" w:rsidDel="00000000" w:rsidP="00000000" w:rsidRDefault="00000000" w:rsidRPr="00000000" w14:paraId="000005F2">
      <w:pPr>
        <w:rPr>
          <w:color w:val="000000"/>
        </w:rPr>
      </w:pPr>
      <w:r w:rsidDel="00000000" w:rsidR="00000000" w:rsidRPr="00000000">
        <w:rPr>
          <w:b w:val="1"/>
          <w:color w:val="000000"/>
          <w:u w:val="single"/>
          <w:rtl w:val="0"/>
        </w:rPr>
        <w:t xml:space="preserve">THE ANALYSIS OF THE OUTPUT</w:t>
      </w:r>
      <w:r w:rsidDel="00000000" w:rsidR="00000000" w:rsidRPr="00000000">
        <w:rPr>
          <w:color w:val="000000"/>
          <w:rtl w:val="0"/>
        </w:rPr>
        <w:t xml:space="preserve">:</w:t>
      </w:r>
    </w:p>
    <w:p w:rsidR="00000000" w:rsidDel="00000000" w:rsidP="00000000" w:rsidRDefault="00000000" w:rsidRPr="00000000" w14:paraId="000005F3">
      <w:pPr>
        <w:jc w:val="both"/>
        <w:rPr>
          <w:color w:val="000000"/>
        </w:rPr>
      </w:pPr>
      <w:r w:rsidDel="00000000" w:rsidR="00000000" w:rsidRPr="00000000">
        <w:rPr>
          <w:color w:val="000000"/>
          <w:rtl w:val="0"/>
        </w:rPr>
        <w:t xml:space="preserve">Since the Adjusted R^2 is only 0.05193, so it is evident that there is absolutely a very mild linear relationship  between the Net Non-Performing Assets (NET NPA) and Tier –I Capital  in the sample of the 25 Indian Banks that is taken for the purpose of validation.</w:t>
      </w:r>
    </w:p>
    <w:p w:rsidR="00000000" w:rsidDel="00000000" w:rsidP="00000000" w:rsidRDefault="00000000" w:rsidRPr="00000000" w14:paraId="000005F4">
      <w:pPr>
        <w:jc w:val="both"/>
        <w:rPr>
          <w:color w:val="000000"/>
        </w:rPr>
      </w:pPr>
      <w:r w:rsidDel="00000000" w:rsidR="00000000" w:rsidRPr="00000000">
        <w:rPr>
          <w:color w:val="000000"/>
          <w:rtl w:val="0"/>
        </w:rPr>
        <w:t xml:space="preserve">Moreover, at α=0.05(i.e. at 95% level of significance), it can be said that informally the referred hypothesis of a possible relation between Net Non-Performing Assets (NET NPA) and Tier –I Capital  is statistically of moderate significance. It can be inferred from the fact that the p-value of 0.1418&gt;α=0.05.</w:t>
      </w:r>
    </w:p>
    <w:p w:rsidR="00000000" w:rsidDel="00000000" w:rsidP="00000000" w:rsidRDefault="00000000" w:rsidRPr="00000000" w14:paraId="000005F5">
      <w:pPr>
        <w:jc w:val="both"/>
        <w:rPr>
          <w:color w:val="000000"/>
        </w:rPr>
      </w:pPr>
      <w:r w:rsidDel="00000000" w:rsidR="00000000" w:rsidRPr="00000000">
        <w:rPr>
          <w:color w:val="000000"/>
          <w:rtl w:val="0"/>
        </w:rPr>
        <w:t xml:space="preserve">At 95% level of significance, the tabulated value of F-statistic is 4.28 on 1&amp; 23 DF and the Observed value of the F-statistic is 2.315 (Observed value&lt;Tabulated Value). So, it can be inferred that  Alternative hypothesis which assumes that there is a possible dependency between Net NPA  and total Tier-I Capital of the sample Banks’ is rejected. Hence in this specific case the Null hypothesis which assumes that there is no relation between these two variables is accepted.</w:t>
      </w:r>
    </w:p>
    <w:p w:rsidR="00000000" w:rsidDel="00000000" w:rsidP="00000000" w:rsidRDefault="00000000" w:rsidRPr="00000000" w14:paraId="000005F6">
      <w:pPr>
        <w:jc w:val="both"/>
        <w:rPr>
          <w:color w:val="000000"/>
        </w:rPr>
      </w:pPr>
      <w:r w:rsidDel="00000000" w:rsidR="00000000" w:rsidRPr="00000000">
        <w:rPr>
          <w:color w:val="000000"/>
          <w:rtl w:val="0"/>
        </w:rPr>
        <w:t xml:space="preserve">So, from the above analysis the model of Regression Analysis and Adjusted R^2 and Correlation Coefficient cannot analyze the problem structure.</w:t>
      </w:r>
    </w:p>
    <w:p w:rsidR="00000000" w:rsidDel="00000000" w:rsidP="00000000" w:rsidRDefault="00000000" w:rsidRPr="00000000" w14:paraId="000005F7">
      <w:pPr>
        <w:jc w:val="both"/>
        <w:rPr>
          <w:color w:val="000000"/>
        </w:rPr>
      </w:pPr>
      <w:r w:rsidDel="00000000" w:rsidR="00000000" w:rsidRPr="00000000">
        <w:rPr>
          <w:rtl w:val="0"/>
        </w:rPr>
      </w:r>
    </w:p>
    <w:p w:rsidR="00000000" w:rsidDel="00000000" w:rsidP="00000000" w:rsidRDefault="00000000" w:rsidRPr="00000000" w14:paraId="000005F8">
      <w:pPr>
        <w:jc w:val="both"/>
        <w:rPr>
          <w:color w:val="000000"/>
        </w:rPr>
      </w:pPr>
      <w:r w:rsidDel="00000000" w:rsidR="00000000" w:rsidRPr="00000000">
        <w:rPr>
          <w:color w:val="000000"/>
        </w:rPr>
        <w:drawing>
          <wp:inline distB="0" distT="0" distL="0" distR="0">
            <wp:extent cx="5334000" cy="1933575"/>
            <wp:effectExtent b="0" l="19050" r="19050" t="0"/>
            <wp:docPr id="54" name=""/>
            <a:graphic>
              <a:graphicData uri="http://schemas.openxmlformats.org/drawingml/2006/chart">
                <c:chart r:id="rId19"/>
              </a:graphicData>
            </a:graphic>
          </wp:inline>
        </w:drawing>
      </w:r>
      <w:r w:rsidDel="00000000" w:rsidR="00000000" w:rsidRPr="00000000">
        <w:rPr>
          <w:rtl w:val="0"/>
        </w:rPr>
      </w:r>
    </w:p>
    <w:p w:rsidR="00000000" w:rsidDel="00000000" w:rsidP="00000000" w:rsidRDefault="00000000" w:rsidRPr="00000000" w14:paraId="000005F9">
      <w:pPr>
        <w:jc w:val="both"/>
        <w:rPr>
          <w:rFonts w:ascii="Times New Roman" w:cs="Times New Roman" w:eastAsia="Times New Roman" w:hAnsi="Times New Roman"/>
          <w:b w:val="1"/>
          <w:color w:val="000000"/>
          <w:u w:val="single"/>
        </w:rPr>
      </w:pPr>
      <w:r w:rsidDel="00000000" w:rsidR="00000000" w:rsidRPr="00000000">
        <w:rPr>
          <w:rFonts w:ascii="Times New Roman" w:cs="Times New Roman" w:eastAsia="Times New Roman" w:hAnsi="Times New Roman"/>
          <w:b w:val="1"/>
          <w:color w:val="000000"/>
          <w:u w:val="single"/>
          <w:rtl w:val="0"/>
        </w:rPr>
        <w:t xml:space="preserve">REGRESSION LINE OF NET NPA vs. Total Tier-I Capital with the Regression Equation</w:t>
      </w:r>
    </w:p>
    <w:p w:rsidR="00000000" w:rsidDel="00000000" w:rsidP="00000000" w:rsidRDefault="00000000" w:rsidRPr="00000000" w14:paraId="000005FA">
      <w:pPr>
        <w:pStyle w:val="Heading1"/>
        <w:rPr/>
      </w:pPr>
      <w:r w:rsidDel="00000000" w:rsidR="00000000" w:rsidRPr="00000000">
        <w:rPr>
          <w:rtl w:val="0"/>
        </w:rPr>
      </w:r>
    </w:p>
    <w:p w:rsidR="00000000" w:rsidDel="00000000" w:rsidP="00000000" w:rsidRDefault="00000000" w:rsidRPr="00000000" w14:paraId="000005FB">
      <w:pPr>
        <w:pStyle w:val="Heading1"/>
        <w:rPr/>
      </w:pPr>
      <w:r w:rsidDel="00000000" w:rsidR="00000000" w:rsidRPr="00000000">
        <w:rPr>
          <w:rtl w:val="0"/>
        </w:rPr>
      </w:r>
    </w:p>
    <w:p w:rsidR="00000000" w:rsidDel="00000000" w:rsidP="00000000" w:rsidRDefault="00000000" w:rsidRPr="00000000" w14:paraId="000005FC">
      <w:pPr>
        <w:pStyle w:val="Heading1"/>
        <w:rPr/>
      </w:pPr>
      <w:r w:rsidDel="00000000" w:rsidR="00000000" w:rsidRPr="00000000">
        <w:rPr>
          <w:rtl w:val="0"/>
        </w:rPr>
      </w:r>
    </w:p>
    <w:p w:rsidR="00000000" w:rsidDel="00000000" w:rsidP="00000000" w:rsidRDefault="00000000" w:rsidRPr="00000000" w14:paraId="000005FD">
      <w:pPr>
        <w:rPr/>
      </w:pPr>
      <w:r w:rsidDel="00000000" w:rsidR="00000000" w:rsidRPr="00000000">
        <w:rPr>
          <w:rtl w:val="0"/>
        </w:rPr>
      </w:r>
    </w:p>
    <w:p w:rsidR="00000000" w:rsidDel="00000000" w:rsidP="00000000" w:rsidRDefault="00000000" w:rsidRPr="00000000" w14:paraId="000005FE">
      <w:pPr>
        <w:rPr/>
      </w:pPr>
      <w:r w:rsidDel="00000000" w:rsidR="00000000" w:rsidRPr="00000000">
        <w:rPr>
          <w:rtl w:val="0"/>
        </w:rPr>
      </w:r>
    </w:p>
    <w:p w:rsidR="00000000" w:rsidDel="00000000" w:rsidP="00000000" w:rsidRDefault="00000000" w:rsidRPr="00000000" w14:paraId="000005FF">
      <w:pPr>
        <w:rPr/>
      </w:pPr>
      <w:r w:rsidDel="00000000" w:rsidR="00000000" w:rsidRPr="00000000">
        <w:rPr>
          <w:rtl w:val="0"/>
        </w:rPr>
      </w:r>
    </w:p>
    <w:p w:rsidR="00000000" w:rsidDel="00000000" w:rsidP="00000000" w:rsidRDefault="00000000" w:rsidRPr="00000000" w14:paraId="00000600">
      <w:pPr>
        <w:rPr/>
      </w:pPr>
      <w:r w:rsidDel="00000000" w:rsidR="00000000" w:rsidRPr="00000000">
        <w:rPr>
          <w:rtl w:val="0"/>
        </w:rPr>
      </w:r>
    </w:p>
    <w:p w:rsidR="00000000" w:rsidDel="00000000" w:rsidP="00000000" w:rsidRDefault="00000000" w:rsidRPr="00000000" w14:paraId="00000601">
      <w:pPr>
        <w:rPr/>
      </w:pPr>
      <w:r w:rsidDel="00000000" w:rsidR="00000000" w:rsidRPr="00000000">
        <w:rPr>
          <w:rtl w:val="0"/>
        </w:rPr>
      </w:r>
    </w:p>
    <w:p w:rsidR="00000000" w:rsidDel="00000000" w:rsidP="00000000" w:rsidRDefault="00000000" w:rsidRPr="00000000" w14:paraId="00000602">
      <w:pPr>
        <w:rPr/>
      </w:pPr>
      <w:r w:rsidDel="00000000" w:rsidR="00000000" w:rsidRPr="00000000">
        <w:rPr>
          <w:rtl w:val="0"/>
        </w:rPr>
      </w:r>
    </w:p>
    <w:p w:rsidR="00000000" w:rsidDel="00000000" w:rsidP="00000000" w:rsidRDefault="00000000" w:rsidRPr="00000000" w14:paraId="00000603">
      <w:pPr>
        <w:rPr/>
      </w:pPr>
      <w:r w:rsidDel="00000000" w:rsidR="00000000" w:rsidRPr="00000000">
        <w:rPr>
          <w:rtl w:val="0"/>
        </w:rPr>
      </w:r>
    </w:p>
    <w:p w:rsidR="00000000" w:rsidDel="00000000" w:rsidP="00000000" w:rsidRDefault="00000000" w:rsidRPr="00000000" w14:paraId="00000604">
      <w:pPr>
        <w:rPr/>
      </w:pPr>
      <w:r w:rsidDel="00000000" w:rsidR="00000000" w:rsidRPr="00000000">
        <w:rPr>
          <w:rtl w:val="0"/>
        </w:rPr>
      </w:r>
    </w:p>
    <w:p w:rsidR="00000000" w:rsidDel="00000000" w:rsidP="00000000" w:rsidRDefault="00000000" w:rsidRPr="00000000" w14:paraId="00000605">
      <w:pPr>
        <w:rPr/>
      </w:pPr>
      <w:r w:rsidDel="00000000" w:rsidR="00000000" w:rsidRPr="00000000">
        <w:rPr>
          <w:rtl w:val="0"/>
        </w:rPr>
      </w:r>
    </w:p>
    <w:p w:rsidR="00000000" w:rsidDel="00000000" w:rsidP="00000000" w:rsidRDefault="00000000" w:rsidRPr="00000000" w14:paraId="00000606">
      <w:pPr>
        <w:rPr/>
      </w:pPr>
      <w:r w:rsidDel="00000000" w:rsidR="00000000" w:rsidRPr="00000000">
        <w:rPr>
          <w:rtl w:val="0"/>
        </w:rPr>
      </w:r>
    </w:p>
    <w:p w:rsidR="00000000" w:rsidDel="00000000" w:rsidP="00000000" w:rsidRDefault="00000000" w:rsidRPr="00000000" w14:paraId="00000607">
      <w:pPr>
        <w:rPr/>
      </w:pPr>
      <w:r w:rsidDel="00000000" w:rsidR="00000000" w:rsidRPr="00000000">
        <w:rPr>
          <w:rtl w:val="0"/>
        </w:rPr>
      </w:r>
    </w:p>
    <w:p w:rsidR="00000000" w:rsidDel="00000000" w:rsidP="00000000" w:rsidRDefault="00000000" w:rsidRPr="00000000" w14:paraId="00000608">
      <w:pPr>
        <w:rPr/>
      </w:pPr>
      <w:r w:rsidDel="00000000" w:rsidR="00000000" w:rsidRPr="00000000">
        <w:rPr>
          <w:rtl w:val="0"/>
        </w:rPr>
      </w:r>
    </w:p>
    <w:p w:rsidR="00000000" w:rsidDel="00000000" w:rsidP="00000000" w:rsidRDefault="00000000" w:rsidRPr="00000000" w14:paraId="00000609">
      <w:pPr>
        <w:pStyle w:val="Heading1"/>
        <w:rPr/>
      </w:pPr>
      <w:bookmarkStart w:colFirst="0" w:colLast="0" w:name="_qsh70q" w:id="26"/>
      <w:bookmarkEnd w:id="26"/>
      <w:r w:rsidDel="00000000" w:rsidR="00000000" w:rsidRPr="00000000">
        <w:rPr>
          <w:rtl w:val="0"/>
        </w:rPr>
        <w:t xml:space="preserve">Chapter 5: Conclusion &amp; Recommendations</w:t>
      </w:r>
    </w:p>
    <w:p w:rsidR="00000000" w:rsidDel="00000000" w:rsidP="00000000" w:rsidRDefault="00000000" w:rsidRPr="00000000" w14:paraId="0000060A">
      <w:pPr>
        <w:pStyle w:val="Heading2"/>
        <w:rPr/>
      </w:pPr>
      <w:bookmarkStart w:colFirst="0" w:colLast="0" w:name="_3as4poj" w:id="27"/>
      <w:bookmarkEnd w:id="27"/>
      <w:r w:rsidDel="00000000" w:rsidR="00000000" w:rsidRPr="00000000">
        <w:rPr>
          <w:rtl w:val="0"/>
        </w:rPr>
        <w:t xml:space="preserve">5.1) Conclusion</w:t>
      </w:r>
    </w:p>
    <w:p w:rsidR="00000000" w:rsidDel="00000000" w:rsidP="00000000" w:rsidRDefault="00000000" w:rsidRPr="00000000" w14:paraId="0000060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concluded from the overall study that NPA or the non performing assets are considered to be the ineffective and non performing part of commercial banks. The commercial banks basically dig their own grave by providing the huge amount of credit to the individuals who are not having the potential of repaying the loans which is resulting in developing huge non performing assets for the individuals (Singh 2016). It concludes that the banks borrow the money from the general public or the other business bodies and they invest the money in the form of loans to be passed in order to get huge return on investment to the different banks. It is concluded that the borrowers are needed to be protected so that they should not become the non performing assets for the commercial banks operating in the banking industry (Joseph and Prakash 2014). It is concluded that there is the need of effective credit risk management system to be developed for the commercial banks to make the individuals to be non performing after they borrow money in the form of loans (Singh 2016). It is concluded that if the individuals who are taking up the loans becomes defaulter then the banks never get that money returned for which they become NPA for the banks. It concludes that commercial banks are at huge risk itself when they provide the loans to the individuals who do not have the potential of replaying the amount given to them (Joseph and Prakash 2014). It concludes that with the increase in the non performing assets of the bank can reduce the liquidity and the profitability of the banks. It is concluded that cash is the highest form of liquidity which is getting reduced as they are paying cash to the individuals in the form of loan. It is concluded that with the reduction in the profitability of the commercial banks due to the high nonperforming assets the returns for the shareholders are also getting reduced (Balasubramaniam 2012). This is due to the fact that the financial performances of the commercial banks are declining and this result in having the effect on the stock market where the banks are listed (Joseph and Prakash 2014). The shares of the commercial banks are getting down which are having the high non [performing asset which is not good for the financial health of the banks. It is concluded that with the increase in the non performing loans there has been the mismatch in the current liabilities and current assets and this might fail to return the money given by the depositor. It is concluded that the commercial banks are needed to have the Tier 1 and Tier 2 capital base to be at the strong level so that the banks with their cash reserves can manage the credit risk of the banks. It is also concluded with the fact that the banks are overlooking the credit worthiness of the borrower which is said to be one of the most important actions needed to be taken by the banks for reducing the non performing assets. </w:t>
      </w:r>
    </w:p>
    <w:p w:rsidR="00000000" w:rsidDel="00000000" w:rsidP="00000000" w:rsidRDefault="00000000" w:rsidRPr="00000000" w14:paraId="0000060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concluded that the liquidity is one of the most important aspects of bank for which the banks have been performing and competing within the banking industry. It is important to have the high liquidity for the commercial banks so that they can perform well in the market resulting in improving their financial sustainability. It concluded that for the management of liquidity for the commercial banks they are in need of huge cash reserves or capital either in the form of cash or assets (Singh 2016). It is concludes that cash management is essential for managing the liquidity of banks. It is essential for the central bank to be able to manage the CRR and SLR which is indicating that the central bank can be holding up the deposits so that they can supply cash to the commercial banks as and when it is required. It is concluded that cash pooling is also one of the methods by which the liquidity of the banks can be managed in an effective manner as well (Singh 2013). It is concluded that the group cash pool is also one of the effective methods by which the liquidity in banks can be managed by making the bank to facilitate the cash and having an overall control over the cash management as well. It is the fact that the commercial banks are looking in to the different types of assets which is useful in the development of the high level of mortgages against the assets they have it for the loans can be the technique for managing the NPA for banks. </w:t>
      </w:r>
    </w:p>
    <w:p w:rsidR="00000000" w:rsidDel="00000000" w:rsidP="00000000" w:rsidRDefault="00000000" w:rsidRPr="00000000" w14:paraId="0000060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concluded that liquidity is having a positive relationship for restricting the NPA to be formed for the commercial banks. It is the responsibility of the financial managers as well the branch managers of the different commercial banks to be able to manage the cash liquidity of the banks (Singh 2013). It is concluded that the commercial banks are required to be developing the policies developed by the central bank in order to manage the liquidity so that the NPAs crisis situation can be resolved for them (Singh 2016). It concludes with the fact that the NPA development is also dependent on the wider market dynamics and the changes in the market scenario for the banks were they are operating. The increase in the NPAs for banks restricts the commercial banks to perform at the core level by which they can provide the high efficiency and satisfaction to the customers (Das and Dutta 2014). It is concluded that if the bank is not having the management of liquidity then it will cause an impact on the profitability of the banks. The factors which are responsible for the inadequate management of liquidity can be the expenditure of the banks, the size and scope of the banks who are disbursing the loans and the level of liquidity (Singh 2013). It is also concluded that the market position and industry as well the GDP growth of the country are the external factors which are responsible for the inadequate liquidity of the banks having an impact on the profitability.  It concludes that if the liquidity of the banks are not been managed properly then the rate of insolvency of banks goes up. It is concluded that the loans or the NPA is affecting the profitability and the image of the banks as well the lender. The non performing assets can be the burden or risk for the commercial banks to operate further in the future. It is due to the fact that they are reducing the cash flow of the banks, it disrupts the structure of the budget as there has been mismatch in the assets and the liabilities section of the budget, the cash control is not been done properly and it also decrease the earning of the lender as the interests are not provided to the commercial banks at the right time when they want it (Das and Dutta 2014). It concludes with the fact that if the liquidity is not managed properly by the commercial banks operating in the market then there is negative impact on the profitability. </w:t>
      </w:r>
    </w:p>
    <w:p w:rsidR="00000000" w:rsidDel="00000000" w:rsidP="00000000" w:rsidRDefault="00000000" w:rsidRPr="00000000" w14:paraId="0000060E">
      <w:pPr>
        <w:pStyle w:val="Heading2"/>
        <w:rPr/>
      </w:pPr>
      <w:bookmarkStart w:colFirst="0" w:colLast="0" w:name="_1pxezwc" w:id="28"/>
      <w:bookmarkEnd w:id="28"/>
      <w:r w:rsidDel="00000000" w:rsidR="00000000" w:rsidRPr="00000000">
        <w:rPr>
          <w:rtl w:val="0"/>
        </w:rPr>
        <w:t xml:space="preserve">5.2) Recommendations</w:t>
      </w:r>
    </w:p>
    <w:p w:rsidR="00000000" w:rsidDel="00000000" w:rsidP="00000000" w:rsidRDefault="00000000" w:rsidRPr="00000000" w14:paraId="0000060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various types of recommendations which have come up in order to implement for reducing the NPAs for the banks which results in enhancing the profitability of the commercial banks. So the recommendations developed by the top authorities of commercial banks are described below</w:t>
      </w:r>
    </w:p>
    <w:p w:rsidR="00000000" w:rsidDel="00000000" w:rsidP="00000000" w:rsidRDefault="00000000" w:rsidRPr="00000000" w14:paraId="00000610">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Recommendation 1</w:t>
      </w:r>
    </w:p>
    <w:p w:rsidR="00000000" w:rsidDel="00000000" w:rsidP="00000000" w:rsidRDefault="00000000" w:rsidRPr="00000000" w14:paraId="0000061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details verification of borrower</w:t>
      </w:r>
    </w:p>
    <w:p w:rsidR="00000000" w:rsidDel="00000000" w:rsidP="00000000" w:rsidRDefault="00000000" w:rsidRPr="00000000" w14:paraId="0000061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seen at times that the commercial banks do not have the proper verification or monitoring the details of the borrower who have been taking the money. This makes the banks to have high risk of credit which is making the formation of NPAs for them (Kumar and Singh 2012). It strongly recommended that the banks should be monitoring and verifying all the documents in a clear and concise manner so that they can provide the loans to those individuals who have that potential of replaying the loan (Balasubramaniam 2012). It is recommended that the bank authority should be checking the credit worthiness level of the borrowers. The bank authority need to be checking and satisfied with the reason of why the loans they actually need it (Joseph and Prakash 2014). They need to be looking after the project and its feasibility of why they want the loans. They should also be checking the cash flows of the individual, the income and expenditure level so that they can be able to accept the details and help in passing the loans. </w:t>
      </w:r>
    </w:p>
    <w:p w:rsidR="00000000" w:rsidDel="00000000" w:rsidP="00000000" w:rsidRDefault="00000000" w:rsidRPr="00000000" w14:paraId="00000613">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Recommendation 2</w:t>
      </w:r>
    </w:p>
    <w:p w:rsidR="00000000" w:rsidDel="00000000" w:rsidP="00000000" w:rsidRDefault="00000000" w:rsidRPr="00000000" w14:paraId="000006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Lack of IT system and outdated technologies</w:t>
      </w:r>
    </w:p>
    <w:p w:rsidR="00000000" w:rsidDel="00000000" w:rsidP="00000000" w:rsidRDefault="00000000" w:rsidRPr="00000000" w14:paraId="000006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quite evident that the Indian banking system was not so much aggressive with the technologies they can use it in banking institutions till now. India has now become one of the strongest in terms of its innovation through the latest use of the technologies in the different sectors. In banking sector the technology gut is still there and efforts are made to implement the innovative It system or the latest use of technologies for having the full tracking of the details to be done in quick manner (Joseph and Prakash 2014). It is strongly recommended that the banking institutions should be able to develop the innovation in the IT systems. The IT systems are needed to be updated on a regular basis so that the banking employees of the different commercial banks can have the track record and other financial details of the individual’s to be updated and it can be restored as and when it is required from the banking authorities (Das and Dutta 2014). It is also recommended that the software version of the system should be upgraded and maintained all the time so that the backend operations should comply with the front end operations. This is resulting in the development of the scalable and robust IT systems so that the verification and tracking of the personal and financial details are highly possible. </w:t>
      </w:r>
    </w:p>
    <w:p w:rsidR="00000000" w:rsidDel="00000000" w:rsidP="00000000" w:rsidRDefault="00000000" w:rsidRPr="00000000" w14:paraId="00000616">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Recommendation 3</w:t>
      </w:r>
    </w:p>
    <w:p w:rsidR="00000000" w:rsidDel="00000000" w:rsidP="00000000" w:rsidRDefault="00000000" w:rsidRPr="00000000" w14:paraId="0000061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Lack of cash management</w:t>
      </w:r>
    </w:p>
    <w:p w:rsidR="00000000" w:rsidDel="00000000" w:rsidP="00000000" w:rsidRDefault="00000000" w:rsidRPr="00000000" w14:paraId="0000061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seen that due to the non repayment of the loans by the non performing individuals the commercial banks are very much in the risk of not getting the loans which can be again converted in the form of cash (Samir and Kamra 2013). It is strongly recommended that the banking authorities at each and every day branches of banks should be managing and controlling the cash potential they have it (Dhar and Bakshi 2015). Cash is the essential form of liquidity which is needed to be controlled and managed by the banks in order to improve the profitability. </w:t>
      </w:r>
    </w:p>
    <w:p w:rsidR="00000000" w:rsidDel="00000000" w:rsidP="00000000" w:rsidRDefault="00000000" w:rsidRPr="00000000" w14:paraId="00000619">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Recommendation 4</w:t>
      </w:r>
    </w:p>
    <w:p w:rsidR="00000000" w:rsidDel="00000000" w:rsidP="00000000" w:rsidRDefault="00000000" w:rsidRPr="00000000" w14:paraId="0000061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Lack of credit assessment and implementation of risk management system</w:t>
      </w:r>
    </w:p>
    <w:p w:rsidR="00000000" w:rsidDel="00000000" w:rsidP="00000000" w:rsidRDefault="00000000" w:rsidRPr="00000000" w14:paraId="000006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seen that in most of the banks which are operating in India are not having the setup or the potential of measuring how the credit can be managed. It is also not having the setup of proper risk management system for the different banks which operates in India. It is strongly recommended that the commercial banks operating in India should be developing and formulating the credit policies in such a way that they are flexible for both the parties which is indicating for both the borrower as well for the lender (Singh 2013). It is recommended that the credit audit should be done immediately after the loan is disbursed along with the other legal norms and regulations are checked which is useful in minimizing the risk of credit for the banks (Balasubramaniam 2012). It is recommended that the commercial banks should be upgraded with the new version of software so that it can be able to identify the risks and develop the solutions for the risk to be managed for the banking authorities in a proper way (Kumar and Singh 2012). It is therefore needed to develop and implement a risk management system in commercial banks. </w:t>
      </w:r>
    </w:p>
    <w:p w:rsidR="00000000" w:rsidDel="00000000" w:rsidP="00000000" w:rsidRDefault="00000000" w:rsidRPr="00000000" w14:paraId="0000061C">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Recommendation 5</w:t>
      </w:r>
    </w:p>
    <w:p w:rsidR="00000000" w:rsidDel="00000000" w:rsidP="00000000" w:rsidRDefault="00000000" w:rsidRPr="00000000" w14:paraId="000006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interest fulfilment</w:t>
      </w:r>
    </w:p>
    <w:p w:rsidR="00000000" w:rsidDel="00000000" w:rsidP="00000000" w:rsidRDefault="00000000" w:rsidRPr="00000000" w14:paraId="000006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seen that the NPAs for banks operating in Indian banking sector has the high rates of interests for the defaulters which results in making the borrowers unable to pay the interests along with the original amount (Singh 2016). It is strongly recommended that for the defaulters, the banking authorities should be reducing the rate of interests so that the defaulters can easily pay the interests even if they have the issue of repaying the original amount. </w:t>
      </w:r>
    </w:p>
    <w:p w:rsidR="00000000" w:rsidDel="00000000" w:rsidP="00000000" w:rsidRDefault="00000000" w:rsidRPr="00000000" w14:paraId="0000061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62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62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62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62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62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625">
      <w:pPr>
        <w:pStyle w:val="Heading2"/>
        <w:jc w:val="both"/>
        <w:rPr/>
      </w:pPr>
      <w:bookmarkStart w:colFirst="0" w:colLast="0" w:name="_49x2ik5" w:id="29"/>
      <w:bookmarkEnd w:id="29"/>
      <w:r w:rsidDel="00000000" w:rsidR="00000000" w:rsidRPr="00000000">
        <w:rPr>
          <w:rtl w:val="0"/>
        </w:rPr>
        <w:t xml:space="preserve">Reference:</w:t>
      </w:r>
    </w:p>
    <w:p w:rsidR="00000000" w:rsidDel="00000000" w:rsidP="00000000" w:rsidRDefault="00000000" w:rsidRPr="00000000" w14:paraId="00000626">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627">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Ahamed, M.M., 2017. Asset quality, non-interest income, and bank profitability: Evidence from Indian banks. </w:t>
      </w:r>
      <w:r w:rsidDel="00000000" w:rsidR="00000000" w:rsidRPr="00000000">
        <w:rPr>
          <w:rFonts w:ascii="Times New Roman" w:cs="Times New Roman" w:eastAsia="Times New Roman" w:hAnsi="Times New Roman"/>
          <w:i w:val="1"/>
          <w:color w:val="222222"/>
          <w:sz w:val="24"/>
          <w:szCs w:val="24"/>
          <w:highlight w:val="white"/>
          <w:rtl w:val="0"/>
        </w:rPr>
        <w:t xml:space="preserve">Economic Modelling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63</w:t>
      </w:r>
      <w:r w:rsidDel="00000000" w:rsidR="00000000" w:rsidRPr="00000000">
        <w:rPr>
          <w:rFonts w:ascii="Times New Roman" w:cs="Times New Roman" w:eastAsia="Times New Roman" w:hAnsi="Times New Roman"/>
          <w:color w:val="222222"/>
          <w:sz w:val="24"/>
          <w:szCs w:val="24"/>
          <w:highlight w:val="white"/>
          <w:rtl w:val="0"/>
        </w:rPr>
        <w:t xml:space="preserve">, pp.1-14.</w:t>
      </w:r>
    </w:p>
    <w:p w:rsidR="00000000" w:rsidDel="00000000" w:rsidP="00000000" w:rsidRDefault="00000000" w:rsidRPr="00000000" w14:paraId="00000628">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Akhisar, İ., Tunay, K.B. and Tunay, N., 2015. The effects of innovations on bank performance: The case of electronic banking services. </w:t>
      </w:r>
      <w:r w:rsidDel="00000000" w:rsidR="00000000" w:rsidRPr="00000000">
        <w:rPr>
          <w:rFonts w:ascii="Times New Roman" w:cs="Times New Roman" w:eastAsia="Times New Roman" w:hAnsi="Times New Roman"/>
          <w:i w:val="1"/>
          <w:color w:val="222222"/>
          <w:sz w:val="24"/>
          <w:szCs w:val="24"/>
          <w:highlight w:val="white"/>
          <w:rtl w:val="0"/>
        </w:rPr>
        <w:t xml:space="preserve">Procedia-Social and Behavioral Sciences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195</w:t>
      </w:r>
      <w:r w:rsidDel="00000000" w:rsidR="00000000" w:rsidRPr="00000000">
        <w:rPr>
          <w:rFonts w:ascii="Times New Roman" w:cs="Times New Roman" w:eastAsia="Times New Roman" w:hAnsi="Times New Roman"/>
          <w:color w:val="222222"/>
          <w:sz w:val="24"/>
          <w:szCs w:val="24"/>
          <w:highlight w:val="white"/>
          <w:rtl w:val="0"/>
        </w:rPr>
        <w:t xml:space="preserve">, pp.369-375.</w:t>
      </w:r>
    </w:p>
    <w:p w:rsidR="00000000" w:rsidDel="00000000" w:rsidP="00000000" w:rsidRDefault="00000000" w:rsidRPr="00000000" w14:paraId="0000062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Alshatti, A.S., 2015. The effect of the liquidity management on profitability in the Jordanian commercial banks.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Business and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w:t>
      </w:r>
      <w:r w:rsidDel="00000000" w:rsidR="00000000" w:rsidRPr="00000000">
        <w:rPr>
          <w:rFonts w:ascii="Times New Roman" w:cs="Times New Roman" w:eastAsia="Times New Roman" w:hAnsi="Times New Roman"/>
          <w:color w:val="222222"/>
          <w:sz w:val="24"/>
          <w:szCs w:val="24"/>
          <w:highlight w:val="white"/>
          <w:rtl w:val="0"/>
        </w:rPr>
        <w:t xml:space="preserve">(1), p.62.</w:t>
      </w:r>
    </w:p>
    <w:p w:rsidR="00000000" w:rsidDel="00000000" w:rsidP="00000000" w:rsidRDefault="00000000" w:rsidRPr="00000000" w14:paraId="0000062A">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Ani, W.U., Ugwunta, D.O., Ezeudu, I.J. and Ugwuanyi, G.O., 2012. An empirical assessment of the determinants of bank profitability in Nigeria: Bank characteristics panel evidence. </w:t>
      </w:r>
      <w:r w:rsidDel="00000000" w:rsidR="00000000" w:rsidRPr="00000000">
        <w:rPr>
          <w:rFonts w:ascii="Times New Roman" w:cs="Times New Roman" w:eastAsia="Times New Roman" w:hAnsi="Times New Roman"/>
          <w:i w:val="1"/>
          <w:color w:val="222222"/>
          <w:sz w:val="24"/>
          <w:szCs w:val="24"/>
          <w:highlight w:val="white"/>
          <w:rtl w:val="0"/>
        </w:rPr>
        <w:t xml:space="preserve">Journal of Accounting and Taxation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(3), pp.38-43.</w:t>
      </w:r>
    </w:p>
    <w:p w:rsidR="00000000" w:rsidDel="00000000" w:rsidP="00000000" w:rsidRDefault="00000000" w:rsidRPr="00000000" w14:paraId="0000062B">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Bassey, F.A., Tobi, E.G., Bassey, I.F. and Ekwere, R.E., 2016. Liquidity management and the performance of banks in Nigeria.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academic research in accounting, finance and management sciences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(1).</w:t>
      </w:r>
    </w:p>
    <w:p w:rsidR="00000000" w:rsidDel="00000000" w:rsidP="00000000" w:rsidRDefault="00000000" w:rsidRPr="00000000" w14:paraId="000006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Chari, M.D. and Banalieva, E.R., 2015. How do pro-market reforms impact firm profitability? The case of India under reform. </w:t>
      </w:r>
      <w:r w:rsidDel="00000000" w:rsidR="00000000" w:rsidRPr="00000000">
        <w:rPr>
          <w:rFonts w:ascii="Times New Roman" w:cs="Times New Roman" w:eastAsia="Times New Roman" w:hAnsi="Times New Roman"/>
          <w:i w:val="1"/>
          <w:color w:val="222222"/>
          <w:sz w:val="24"/>
          <w:szCs w:val="24"/>
          <w:highlight w:val="white"/>
          <w:rtl w:val="0"/>
        </w:rPr>
        <w:t xml:space="preserve">Journal of World Business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50</w:t>
      </w:r>
      <w:r w:rsidDel="00000000" w:rsidR="00000000" w:rsidRPr="00000000">
        <w:rPr>
          <w:rFonts w:ascii="Times New Roman" w:cs="Times New Roman" w:eastAsia="Times New Roman" w:hAnsi="Times New Roman"/>
          <w:color w:val="222222"/>
          <w:sz w:val="24"/>
          <w:szCs w:val="24"/>
          <w:highlight w:val="white"/>
          <w:rtl w:val="0"/>
        </w:rPr>
        <w:t xml:space="preserve">(2), pp.357-367.</w:t>
      </w:r>
      <w:r w:rsidDel="00000000" w:rsidR="00000000" w:rsidRPr="00000000">
        <w:rPr>
          <w:rtl w:val="0"/>
        </w:rPr>
      </w:r>
    </w:p>
    <w:p w:rsidR="00000000" w:rsidDel="00000000" w:rsidP="00000000" w:rsidRDefault="00000000" w:rsidRPr="00000000" w14:paraId="0000062D">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Chhatoi, B.P. and Sahoo, S.P., 2019. A Review on Role of Macro and Micro Banking Environment on Non-Performing Assets Management. In </w:t>
      </w:r>
      <w:r w:rsidDel="00000000" w:rsidR="00000000" w:rsidRPr="00000000">
        <w:rPr>
          <w:rFonts w:ascii="Times New Roman" w:cs="Times New Roman" w:eastAsia="Times New Roman" w:hAnsi="Times New Roman"/>
          <w:i w:val="1"/>
          <w:color w:val="222222"/>
          <w:sz w:val="24"/>
          <w:szCs w:val="24"/>
          <w:highlight w:val="white"/>
          <w:rtl w:val="0"/>
        </w:rPr>
        <w:t xml:space="preserve">Behavioral Finance and Decision-Making Models</w:t>
      </w:r>
      <w:r w:rsidDel="00000000" w:rsidR="00000000" w:rsidRPr="00000000">
        <w:rPr>
          <w:rFonts w:ascii="Times New Roman" w:cs="Times New Roman" w:eastAsia="Times New Roman" w:hAnsi="Times New Roman"/>
          <w:color w:val="222222"/>
          <w:sz w:val="24"/>
          <w:szCs w:val="24"/>
          <w:highlight w:val="white"/>
          <w:rtl w:val="0"/>
        </w:rPr>
        <w:t xml:space="preserve"> (pp. 281-294). IGI Global.</w:t>
      </w:r>
    </w:p>
    <w:p w:rsidR="00000000" w:rsidDel="00000000" w:rsidP="00000000" w:rsidRDefault="00000000" w:rsidRPr="00000000" w14:paraId="0000062E">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Cornett, M.M., McNutt, J.J., Strahan, P.E. and Tehranian, H., 2011. Liquidity risk management and credit supply in the financial crisis. </w:t>
      </w:r>
      <w:r w:rsidDel="00000000" w:rsidR="00000000" w:rsidRPr="00000000">
        <w:rPr>
          <w:rFonts w:ascii="Times New Roman" w:cs="Times New Roman" w:eastAsia="Times New Roman" w:hAnsi="Times New Roman"/>
          <w:i w:val="1"/>
          <w:color w:val="222222"/>
          <w:sz w:val="24"/>
          <w:szCs w:val="24"/>
          <w:highlight w:val="white"/>
          <w:rtl w:val="0"/>
        </w:rPr>
        <w:t xml:space="preserve">Journal of financial economics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101</w:t>
      </w:r>
      <w:r w:rsidDel="00000000" w:rsidR="00000000" w:rsidRPr="00000000">
        <w:rPr>
          <w:rFonts w:ascii="Times New Roman" w:cs="Times New Roman" w:eastAsia="Times New Roman" w:hAnsi="Times New Roman"/>
          <w:color w:val="222222"/>
          <w:sz w:val="24"/>
          <w:szCs w:val="24"/>
          <w:highlight w:val="white"/>
          <w:rtl w:val="0"/>
        </w:rPr>
        <w:t xml:space="preserve">(2), pp.297-312.</w:t>
      </w:r>
    </w:p>
    <w:p w:rsidR="00000000" w:rsidDel="00000000" w:rsidP="00000000" w:rsidRDefault="00000000" w:rsidRPr="00000000" w14:paraId="0000062F">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Curak, M., Poposki, K. and Pepur, S., 2012. Profitability determinants of the Macedonian banking sector in changing environment. </w:t>
      </w:r>
      <w:r w:rsidDel="00000000" w:rsidR="00000000" w:rsidRPr="00000000">
        <w:rPr>
          <w:rFonts w:ascii="Times New Roman" w:cs="Times New Roman" w:eastAsia="Times New Roman" w:hAnsi="Times New Roman"/>
          <w:i w:val="1"/>
          <w:color w:val="222222"/>
          <w:sz w:val="24"/>
          <w:szCs w:val="24"/>
          <w:highlight w:val="white"/>
          <w:rtl w:val="0"/>
        </w:rPr>
        <w:t xml:space="preserve">Procedia-Social and Behavioral Sciences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44</w:t>
      </w:r>
      <w:r w:rsidDel="00000000" w:rsidR="00000000" w:rsidRPr="00000000">
        <w:rPr>
          <w:rFonts w:ascii="Times New Roman" w:cs="Times New Roman" w:eastAsia="Times New Roman" w:hAnsi="Times New Roman"/>
          <w:color w:val="222222"/>
          <w:sz w:val="24"/>
          <w:szCs w:val="24"/>
          <w:highlight w:val="white"/>
          <w:rtl w:val="0"/>
        </w:rPr>
        <w:t xml:space="preserve">, pp.406-416.</w:t>
      </w:r>
    </w:p>
    <w:p w:rsidR="00000000" w:rsidDel="00000000" w:rsidP="00000000" w:rsidRDefault="00000000" w:rsidRPr="00000000" w14:paraId="00000630">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Dietrich, A. and Wanzenried, G., 2014. The determinants of commercial banking profitability in low-, middle-, and high-income countries. </w:t>
      </w:r>
      <w:r w:rsidDel="00000000" w:rsidR="00000000" w:rsidRPr="00000000">
        <w:rPr>
          <w:rFonts w:ascii="Times New Roman" w:cs="Times New Roman" w:eastAsia="Times New Roman" w:hAnsi="Times New Roman"/>
          <w:i w:val="1"/>
          <w:color w:val="222222"/>
          <w:sz w:val="24"/>
          <w:szCs w:val="24"/>
          <w:highlight w:val="white"/>
          <w:rtl w:val="0"/>
        </w:rPr>
        <w:t xml:space="preserve">The Quarterly Review of Economics and Finance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54</w:t>
      </w:r>
      <w:r w:rsidDel="00000000" w:rsidR="00000000" w:rsidRPr="00000000">
        <w:rPr>
          <w:rFonts w:ascii="Times New Roman" w:cs="Times New Roman" w:eastAsia="Times New Roman" w:hAnsi="Times New Roman"/>
          <w:color w:val="222222"/>
          <w:sz w:val="24"/>
          <w:szCs w:val="24"/>
          <w:highlight w:val="white"/>
          <w:rtl w:val="0"/>
        </w:rPr>
        <w:t xml:space="preserve">(3), pp.337-354.</w:t>
      </w:r>
    </w:p>
    <w:p w:rsidR="00000000" w:rsidDel="00000000" w:rsidP="00000000" w:rsidRDefault="00000000" w:rsidRPr="00000000" w14:paraId="00000631">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Edem, D.B., 2017. Liquidity Management and Performance of Deposit Money Banks in Nigeria (1986–2011): An Investigation.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Economics, Finance and Management Sciences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(3), pp.146-161.</w:t>
      </w:r>
    </w:p>
    <w:p w:rsidR="00000000" w:rsidDel="00000000" w:rsidP="00000000" w:rsidRDefault="00000000" w:rsidRPr="00000000" w14:paraId="00000632">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Galati, G. and Moessner, R., 2013. Macroprudential policy–a literature review. </w:t>
      </w:r>
      <w:r w:rsidDel="00000000" w:rsidR="00000000" w:rsidRPr="00000000">
        <w:rPr>
          <w:rFonts w:ascii="Times New Roman" w:cs="Times New Roman" w:eastAsia="Times New Roman" w:hAnsi="Times New Roman"/>
          <w:i w:val="1"/>
          <w:color w:val="222222"/>
          <w:sz w:val="24"/>
          <w:szCs w:val="24"/>
          <w:highlight w:val="white"/>
          <w:rtl w:val="0"/>
        </w:rPr>
        <w:t xml:space="preserve">Journal of Economic Surveys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27</w:t>
      </w:r>
      <w:r w:rsidDel="00000000" w:rsidR="00000000" w:rsidRPr="00000000">
        <w:rPr>
          <w:rFonts w:ascii="Times New Roman" w:cs="Times New Roman" w:eastAsia="Times New Roman" w:hAnsi="Times New Roman"/>
          <w:color w:val="222222"/>
          <w:sz w:val="24"/>
          <w:szCs w:val="24"/>
          <w:highlight w:val="white"/>
          <w:rtl w:val="0"/>
        </w:rPr>
        <w:t xml:space="preserve">(5), pp.846-878.</w:t>
      </w:r>
    </w:p>
    <w:p w:rsidR="00000000" w:rsidDel="00000000" w:rsidP="00000000" w:rsidRDefault="00000000" w:rsidRPr="00000000" w14:paraId="00000633">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Ghosh, A., 2015. Banking-industry specific and regional economic determinants of non-performing loans: Evidence from US states. </w:t>
      </w:r>
      <w:r w:rsidDel="00000000" w:rsidR="00000000" w:rsidRPr="00000000">
        <w:rPr>
          <w:rFonts w:ascii="Times New Roman" w:cs="Times New Roman" w:eastAsia="Times New Roman" w:hAnsi="Times New Roman"/>
          <w:i w:val="1"/>
          <w:color w:val="222222"/>
          <w:sz w:val="24"/>
          <w:szCs w:val="24"/>
          <w:highlight w:val="white"/>
          <w:rtl w:val="0"/>
        </w:rPr>
        <w:t xml:space="preserve">Journal of Financial Stability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 pp.93-104.</w:t>
      </w:r>
    </w:p>
    <w:p w:rsidR="00000000" w:rsidDel="00000000" w:rsidP="00000000" w:rsidRDefault="00000000" w:rsidRPr="00000000" w14:paraId="00000634">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Goyal, A.M., 2013. Impact of capital structure on performance of listed public sector banks in India.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business and management invention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w:t>
      </w:r>
      <w:r w:rsidDel="00000000" w:rsidR="00000000" w:rsidRPr="00000000">
        <w:rPr>
          <w:rFonts w:ascii="Times New Roman" w:cs="Times New Roman" w:eastAsia="Times New Roman" w:hAnsi="Times New Roman"/>
          <w:color w:val="222222"/>
          <w:sz w:val="24"/>
          <w:szCs w:val="24"/>
          <w:highlight w:val="white"/>
          <w:rtl w:val="0"/>
        </w:rPr>
        <w:t xml:space="preserve">(10), pp.35-43.</w:t>
      </w:r>
    </w:p>
    <w:p w:rsidR="00000000" w:rsidDel="00000000" w:rsidP="00000000" w:rsidRDefault="00000000" w:rsidRPr="00000000" w14:paraId="00000635">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Kajola, S.O., Sanyaolu, W.A., Alao, A. and Ojunrongbe, O.J., 2019. Liquidity and Profitability Dynamics: Evidence from the Nigerian Banking Sector.</w:t>
      </w:r>
    </w:p>
    <w:p w:rsidR="00000000" w:rsidDel="00000000" w:rsidP="00000000" w:rsidRDefault="00000000" w:rsidRPr="00000000" w14:paraId="00000636">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Kaur, M. and Kumar, R., 2018. Sectoral Analysis of Non Performing Assets during Pre and Post Crisis Period in Selected Commercial Banks. </w:t>
      </w:r>
      <w:r w:rsidDel="00000000" w:rsidR="00000000" w:rsidRPr="00000000">
        <w:rPr>
          <w:rFonts w:ascii="Times New Roman" w:cs="Times New Roman" w:eastAsia="Times New Roman" w:hAnsi="Times New Roman"/>
          <w:i w:val="1"/>
          <w:color w:val="222222"/>
          <w:sz w:val="24"/>
          <w:szCs w:val="24"/>
          <w:highlight w:val="white"/>
          <w:rtl w:val="0"/>
        </w:rPr>
        <w:t xml:space="preserve">PACIFIC BUSINESS REVIEW INTERNATIONAL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(3), pp.34-41.</w:t>
      </w:r>
    </w:p>
    <w:p w:rsidR="00000000" w:rsidDel="00000000" w:rsidP="00000000" w:rsidRDefault="00000000" w:rsidRPr="00000000" w14:paraId="00000637">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Makri, V., Tsagkanos, A. and Bellas, A., 2014. Determinants of non-performing loans: The case of Eurozone. </w:t>
      </w:r>
      <w:r w:rsidDel="00000000" w:rsidR="00000000" w:rsidRPr="00000000">
        <w:rPr>
          <w:rFonts w:ascii="Times New Roman" w:cs="Times New Roman" w:eastAsia="Times New Roman" w:hAnsi="Times New Roman"/>
          <w:i w:val="1"/>
          <w:color w:val="222222"/>
          <w:sz w:val="24"/>
          <w:szCs w:val="24"/>
          <w:highlight w:val="white"/>
          <w:rtl w:val="0"/>
        </w:rPr>
        <w:t xml:space="preserve">Panoeconomicus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61</w:t>
      </w:r>
      <w:r w:rsidDel="00000000" w:rsidR="00000000" w:rsidRPr="00000000">
        <w:rPr>
          <w:rFonts w:ascii="Times New Roman" w:cs="Times New Roman" w:eastAsia="Times New Roman" w:hAnsi="Times New Roman"/>
          <w:color w:val="222222"/>
          <w:sz w:val="24"/>
          <w:szCs w:val="24"/>
          <w:highlight w:val="white"/>
          <w:rtl w:val="0"/>
        </w:rPr>
        <w:t xml:space="preserve">(2), pp.193-206.</w:t>
      </w:r>
    </w:p>
    <w:p w:rsidR="00000000" w:rsidDel="00000000" w:rsidP="00000000" w:rsidRDefault="00000000" w:rsidRPr="00000000" w14:paraId="00000638">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Menicucci, E. and Paolucci, G., 2016. The determinants of bank profitability: empirical evidence from European banking sector. </w:t>
      </w:r>
      <w:r w:rsidDel="00000000" w:rsidR="00000000" w:rsidRPr="00000000">
        <w:rPr>
          <w:rFonts w:ascii="Times New Roman" w:cs="Times New Roman" w:eastAsia="Times New Roman" w:hAnsi="Times New Roman"/>
          <w:i w:val="1"/>
          <w:color w:val="222222"/>
          <w:sz w:val="24"/>
          <w:szCs w:val="24"/>
          <w:highlight w:val="white"/>
          <w:rtl w:val="0"/>
        </w:rPr>
        <w:t xml:space="preserve">Journal of Financial Reporting and Accounting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14</w:t>
      </w:r>
      <w:r w:rsidDel="00000000" w:rsidR="00000000" w:rsidRPr="00000000">
        <w:rPr>
          <w:rFonts w:ascii="Times New Roman" w:cs="Times New Roman" w:eastAsia="Times New Roman" w:hAnsi="Times New Roman"/>
          <w:color w:val="222222"/>
          <w:sz w:val="24"/>
          <w:szCs w:val="24"/>
          <w:highlight w:val="white"/>
          <w:rtl w:val="0"/>
        </w:rPr>
        <w:t xml:space="preserve">(1), pp.86-115.</w:t>
      </w:r>
    </w:p>
    <w:p w:rsidR="00000000" w:rsidDel="00000000" w:rsidP="00000000" w:rsidRDefault="00000000" w:rsidRPr="00000000" w14:paraId="0000063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Messai, A.S. and Jouini, F., 2013. Micro and macro determinants of non-performing loans.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economics and financial issues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(4), pp.852-860.</w:t>
      </w:r>
    </w:p>
    <w:p w:rsidR="00000000" w:rsidDel="00000000" w:rsidP="00000000" w:rsidRDefault="00000000" w:rsidRPr="00000000" w14:paraId="0000063A">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Mian, A. and Santos, J.A., 2018. Liquidity risk and maturity management over the credit cycle. </w:t>
      </w:r>
      <w:r w:rsidDel="00000000" w:rsidR="00000000" w:rsidRPr="00000000">
        <w:rPr>
          <w:rFonts w:ascii="Times New Roman" w:cs="Times New Roman" w:eastAsia="Times New Roman" w:hAnsi="Times New Roman"/>
          <w:i w:val="1"/>
          <w:color w:val="222222"/>
          <w:sz w:val="24"/>
          <w:szCs w:val="24"/>
          <w:highlight w:val="white"/>
          <w:rtl w:val="0"/>
        </w:rPr>
        <w:t xml:space="preserve">Journal of Financial Economics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127</w:t>
      </w:r>
      <w:r w:rsidDel="00000000" w:rsidR="00000000" w:rsidRPr="00000000">
        <w:rPr>
          <w:rFonts w:ascii="Times New Roman" w:cs="Times New Roman" w:eastAsia="Times New Roman" w:hAnsi="Times New Roman"/>
          <w:color w:val="222222"/>
          <w:sz w:val="24"/>
          <w:szCs w:val="24"/>
          <w:highlight w:val="white"/>
          <w:rtl w:val="0"/>
        </w:rPr>
        <w:t xml:space="preserve">(2), pp.264-284.</w:t>
      </w:r>
    </w:p>
    <w:p w:rsidR="00000000" w:rsidDel="00000000" w:rsidP="00000000" w:rsidRDefault="00000000" w:rsidRPr="00000000" w14:paraId="0000063B">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Obamuyi, T.M., 2013. DETERMINANTS OF BANKS’PROFITABILITY IN A DEVELOPING ECONOMY: EVIDENCE FROM NIGERIA. </w:t>
      </w:r>
      <w:r w:rsidDel="00000000" w:rsidR="00000000" w:rsidRPr="00000000">
        <w:rPr>
          <w:rFonts w:ascii="Times New Roman" w:cs="Times New Roman" w:eastAsia="Times New Roman" w:hAnsi="Times New Roman"/>
          <w:i w:val="1"/>
          <w:color w:val="222222"/>
          <w:sz w:val="24"/>
          <w:szCs w:val="24"/>
          <w:highlight w:val="white"/>
          <w:rtl w:val="0"/>
        </w:rPr>
        <w:t xml:space="preserve">Organizations and markets in emerging economies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(08), pp.97-111.</w:t>
      </w:r>
    </w:p>
    <w:p w:rsidR="00000000" w:rsidDel="00000000" w:rsidP="00000000" w:rsidRDefault="00000000" w:rsidRPr="00000000" w14:paraId="0000063C">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Pennathur, A.K., Subrahmanyam, V. and Vishwasrao, S., 2012. Income diversification and risk: Does ownership matter? An empirical examination of Indian banks. </w:t>
      </w:r>
      <w:r w:rsidDel="00000000" w:rsidR="00000000" w:rsidRPr="00000000">
        <w:rPr>
          <w:rFonts w:ascii="Times New Roman" w:cs="Times New Roman" w:eastAsia="Times New Roman" w:hAnsi="Times New Roman"/>
          <w:i w:val="1"/>
          <w:color w:val="222222"/>
          <w:sz w:val="24"/>
          <w:szCs w:val="24"/>
          <w:highlight w:val="white"/>
          <w:rtl w:val="0"/>
        </w:rPr>
        <w:t xml:space="preserve">Journal of Banking &amp; Finance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36</w:t>
      </w:r>
      <w:r w:rsidDel="00000000" w:rsidR="00000000" w:rsidRPr="00000000">
        <w:rPr>
          <w:rFonts w:ascii="Times New Roman" w:cs="Times New Roman" w:eastAsia="Times New Roman" w:hAnsi="Times New Roman"/>
          <w:color w:val="222222"/>
          <w:sz w:val="24"/>
          <w:szCs w:val="24"/>
          <w:highlight w:val="white"/>
          <w:rtl w:val="0"/>
        </w:rPr>
        <w:t xml:space="preserve">(8), pp.2203-2215.</w:t>
      </w:r>
    </w:p>
    <w:p w:rsidR="00000000" w:rsidDel="00000000" w:rsidP="00000000" w:rsidRDefault="00000000" w:rsidRPr="00000000" w14:paraId="0000063D">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Petria, N., Capraru, B. and Ihnatov, I., 2015. Determinants of banks’ profitability: evidence from EU 27 banking systems. </w:t>
      </w:r>
      <w:r w:rsidDel="00000000" w:rsidR="00000000" w:rsidRPr="00000000">
        <w:rPr>
          <w:rFonts w:ascii="Times New Roman" w:cs="Times New Roman" w:eastAsia="Times New Roman" w:hAnsi="Times New Roman"/>
          <w:i w:val="1"/>
          <w:color w:val="222222"/>
          <w:sz w:val="24"/>
          <w:szCs w:val="24"/>
          <w:highlight w:val="white"/>
          <w:rtl w:val="0"/>
        </w:rPr>
        <w:t xml:space="preserve">Procedia Economics and Finance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 pp.518-524.</w:t>
      </w:r>
    </w:p>
    <w:p w:rsidR="00000000" w:rsidDel="00000000" w:rsidP="00000000" w:rsidRDefault="00000000" w:rsidRPr="00000000" w14:paraId="0000063E">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Sinha, P. and Sharma, S., 2016. Determinants of bank profits and its persistence in Indian Banks: a study in a dynamic panel data framework.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System Assurance Engineering and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(1), pp.35-46.</w:t>
      </w:r>
    </w:p>
    <w:p w:rsidR="00000000" w:rsidDel="00000000" w:rsidP="00000000" w:rsidRDefault="00000000" w:rsidRPr="00000000" w14:paraId="0000063F">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Subrahmanyam, M.G., Tang, D.Y. and Wang, S.Q., 2017. Credit default swaps, exacting creditors and corporate liquidity management. </w:t>
      </w:r>
      <w:r w:rsidDel="00000000" w:rsidR="00000000" w:rsidRPr="00000000">
        <w:rPr>
          <w:rFonts w:ascii="Times New Roman" w:cs="Times New Roman" w:eastAsia="Times New Roman" w:hAnsi="Times New Roman"/>
          <w:i w:val="1"/>
          <w:color w:val="222222"/>
          <w:sz w:val="24"/>
          <w:szCs w:val="24"/>
          <w:highlight w:val="white"/>
          <w:rtl w:val="0"/>
        </w:rPr>
        <w:t xml:space="preserve">Journal of Financial Economics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124</w:t>
      </w:r>
      <w:r w:rsidDel="00000000" w:rsidR="00000000" w:rsidRPr="00000000">
        <w:rPr>
          <w:rFonts w:ascii="Times New Roman" w:cs="Times New Roman" w:eastAsia="Times New Roman" w:hAnsi="Times New Roman"/>
          <w:color w:val="222222"/>
          <w:sz w:val="24"/>
          <w:szCs w:val="24"/>
          <w:highlight w:val="white"/>
          <w:rtl w:val="0"/>
        </w:rPr>
        <w:t xml:space="preserve">(2), pp.395-414.</w:t>
      </w:r>
    </w:p>
    <w:p w:rsidR="00000000" w:rsidDel="00000000" w:rsidP="00000000" w:rsidRDefault="00000000" w:rsidRPr="00000000" w14:paraId="00000640">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Waemustafa, W. and Sukri, S., 2016. Systematic and unsystematic risk determinants of liquidity risk between Islamic and conventional banks.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Economics and Financial Issues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(4), pp.1321-1327.</w:t>
      </w:r>
    </w:p>
    <w:sectPr>
      <w:footerReference r:id="rId20" w:type="default"/>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Times New Roman"/>
  <w:font w:name="Georgia"/>
  <w:font w:name="Arial"/>
  <w:font w:name="Bookman Old Style"/>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641">
    <w:pPr>
      <w:keepNext w:val="0"/>
      <w:keepLines w:val="0"/>
      <w:widowControl w:val="1"/>
      <w:pBdr>
        <w:top w:color="d9d9d9" w:space="1" w:sz="4" w:val="single"/>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7f7f7f"/>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64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spacing w:line="240" w:lineRule="auto"/>
    </w:pPr>
    <w:rPr>
      <w:rFonts w:ascii="Times New Roman" w:cs="Times New Roman" w:eastAsia="Times New Roman" w:hAnsi="Times New Roman"/>
      <w:b w:val="1"/>
      <w:sz w:val="27"/>
      <w:szCs w:val="27"/>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0346FA"/>
  </w:style>
  <w:style w:type="paragraph" w:styleId="Heading1">
    <w:name w:val="heading 1"/>
    <w:basedOn w:val="Normal"/>
    <w:next w:val="Normal"/>
    <w:link w:val="Heading1Char"/>
    <w:uiPriority w:val="9"/>
    <w:qFormat w:val="1"/>
    <w:rsid w:val="00C65FCF"/>
    <w:pPr>
      <w:keepNext w:val="1"/>
      <w:keepLines w:val="1"/>
      <w:spacing w:after="0" w:before="480"/>
      <w:outlineLvl w:val="0"/>
    </w:pPr>
    <w:rPr>
      <w:rFonts w:asciiTheme="majorHAnsi" w:cstheme="majorBidi" w:eastAsiaTheme="majorEastAsia" w:hAnsiTheme="majorHAnsi"/>
      <w:b w:val="1"/>
      <w:bCs w:val="1"/>
      <w:color w:val="365f91" w:themeColor="accent1" w:themeShade="0000BF"/>
      <w:sz w:val="28"/>
      <w:szCs w:val="28"/>
    </w:rPr>
  </w:style>
  <w:style w:type="paragraph" w:styleId="Heading2">
    <w:name w:val="heading 2"/>
    <w:basedOn w:val="Normal"/>
    <w:next w:val="Normal"/>
    <w:link w:val="Heading2Char"/>
    <w:uiPriority w:val="9"/>
    <w:unhideWhenUsed w:val="1"/>
    <w:qFormat w:val="1"/>
    <w:rsid w:val="00C65FCF"/>
    <w:pPr>
      <w:keepNext w:val="1"/>
      <w:keepLines w:val="1"/>
      <w:spacing w:after="0" w:before="200"/>
      <w:outlineLvl w:val="1"/>
    </w:pPr>
    <w:rPr>
      <w:rFonts w:asciiTheme="majorHAnsi" w:cstheme="majorBidi" w:eastAsiaTheme="majorEastAsia" w:hAnsiTheme="majorHAnsi"/>
      <w:b w:val="1"/>
      <w:bCs w:val="1"/>
      <w:color w:val="4f81bd" w:themeColor="accent1"/>
      <w:sz w:val="26"/>
      <w:szCs w:val="26"/>
    </w:rPr>
  </w:style>
  <w:style w:type="paragraph" w:styleId="Heading3">
    <w:name w:val="heading 3"/>
    <w:basedOn w:val="Normal"/>
    <w:link w:val="Heading3Char"/>
    <w:uiPriority w:val="9"/>
    <w:qFormat w:val="1"/>
    <w:rsid w:val="00F83597"/>
    <w:pPr>
      <w:spacing w:after="100" w:afterAutospacing="1" w:before="100" w:beforeAutospacing="1" w:line="240" w:lineRule="auto"/>
      <w:outlineLvl w:val="2"/>
    </w:pPr>
    <w:rPr>
      <w:rFonts w:ascii="Times New Roman" w:cs="Times New Roman" w:eastAsia="Times New Roman" w:hAnsi="Times New Roman"/>
      <w:b w:val="1"/>
      <w:bCs w:val="1"/>
      <w:sz w:val="27"/>
      <w:szCs w:val="27"/>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link w:val="NoSpacingChar"/>
    <w:uiPriority w:val="1"/>
    <w:qFormat w:val="1"/>
    <w:rsid w:val="00C65FCF"/>
    <w:pPr>
      <w:spacing w:after="0" w:line="240" w:lineRule="auto"/>
    </w:pPr>
    <w:rPr>
      <w:rFonts w:eastAsiaTheme="minorEastAsia"/>
    </w:rPr>
  </w:style>
  <w:style w:type="character" w:styleId="NoSpacingChar" w:customStyle="1">
    <w:name w:val="No Spacing Char"/>
    <w:basedOn w:val="DefaultParagraphFont"/>
    <w:link w:val="NoSpacing"/>
    <w:uiPriority w:val="1"/>
    <w:rsid w:val="00C65FCF"/>
    <w:rPr>
      <w:rFonts w:eastAsiaTheme="minorEastAsia"/>
    </w:rPr>
  </w:style>
  <w:style w:type="paragraph" w:styleId="BalloonText">
    <w:name w:val="Balloon Text"/>
    <w:basedOn w:val="Normal"/>
    <w:link w:val="BalloonTextChar"/>
    <w:uiPriority w:val="99"/>
    <w:semiHidden w:val="1"/>
    <w:unhideWhenUsed w:val="1"/>
    <w:rsid w:val="00C65FCF"/>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C65FCF"/>
    <w:rPr>
      <w:rFonts w:ascii="Tahoma" w:cs="Tahoma" w:hAnsi="Tahoma"/>
      <w:sz w:val="16"/>
      <w:szCs w:val="16"/>
    </w:rPr>
  </w:style>
  <w:style w:type="character" w:styleId="Heading2Char" w:customStyle="1">
    <w:name w:val="Heading 2 Char"/>
    <w:basedOn w:val="DefaultParagraphFont"/>
    <w:link w:val="Heading2"/>
    <w:uiPriority w:val="9"/>
    <w:rsid w:val="00C65FCF"/>
    <w:rPr>
      <w:rFonts w:asciiTheme="majorHAnsi" w:cstheme="majorBidi" w:eastAsiaTheme="majorEastAsia" w:hAnsiTheme="majorHAnsi"/>
      <w:b w:val="1"/>
      <w:bCs w:val="1"/>
      <w:color w:val="4f81bd" w:themeColor="accent1"/>
      <w:sz w:val="26"/>
      <w:szCs w:val="26"/>
    </w:rPr>
  </w:style>
  <w:style w:type="character" w:styleId="Heading1Char" w:customStyle="1">
    <w:name w:val="Heading 1 Char"/>
    <w:basedOn w:val="DefaultParagraphFont"/>
    <w:link w:val="Heading1"/>
    <w:uiPriority w:val="9"/>
    <w:rsid w:val="00C65FCF"/>
    <w:rPr>
      <w:rFonts w:asciiTheme="majorHAnsi" w:cstheme="majorBidi" w:eastAsiaTheme="majorEastAsia" w:hAnsiTheme="majorHAnsi"/>
      <w:b w:val="1"/>
      <w:bCs w:val="1"/>
      <w:color w:val="365f91" w:themeColor="accent1" w:themeShade="0000BF"/>
      <w:sz w:val="28"/>
      <w:szCs w:val="28"/>
    </w:rPr>
  </w:style>
  <w:style w:type="paragraph" w:styleId="Header">
    <w:name w:val="header"/>
    <w:basedOn w:val="Normal"/>
    <w:link w:val="HeaderChar"/>
    <w:uiPriority w:val="99"/>
    <w:unhideWhenUsed w:val="1"/>
    <w:rsid w:val="007E7C6A"/>
    <w:pPr>
      <w:tabs>
        <w:tab w:val="center" w:pos="4680"/>
        <w:tab w:val="right" w:pos="9360"/>
      </w:tabs>
      <w:spacing w:after="0" w:line="240" w:lineRule="auto"/>
    </w:pPr>
  </w:style>
  <w:style w:type="character" w:styleId="HeaderChar" w:customStyle="1">
    <w:name w:val="Header Char"/>
    <w:basedOn w:val="DefaultParagraphFont"/>
    <w:link w:val="Header"/>
    <w:uiPriority w:val="99"/>
    <w:rsid w:val="007E7C6A"/>
  </w:style>
  <w:style w:type="paragraph" w:styleId="Footer">
    <w:name w:val="footer"/>
    <w:basedOn w:val="Normal"/>
    <w:link w:val="FooterChar"/>
    <w:uiPriority w:val="99"/>
    <w:unhideWhenUsed w:val="1"/>
    <w:rsid w:val="007E7C6A"/>
    <w:pPr>
      <w:tabs>
        <w:tab w:val="center" w:pos="4680"/>
        <w:tab w:val="right" w:pos="9360"/>
      </w:tabs>
      <w:spacing w:after="0" w:line="240" w:lineRule="auto"/>
    </w:pPr>
  </w:style>
  <w:style w:type="character" w:styleId="FooterChar" w:customStyle="1">
    <w:name w:val="Footer Char"/>
    <w:basedOn w:val="DefaultParagraphFont"/>
    <w:link w:val="Footer"/>
    <w:uiPriority w:val="99"/>
    <w:rsid w:val="007E7C6A"/>
  </w:style>
  <w:style w:type="paragraph" w:styleId="TOCHeading">
    <w:name w:val="TOC Heading"/>
    <w:basedOn w:val="Heading1"/>
    <w:next w:val="Normal"/>
    <w:uiPriority w:val="39"/>
    <w:semiHidden w:val="1"/>
    <w:unhideWhenUsed w:val="1"/>
    <w:qFormat w:val="1"/>
    <w:rsid w:val="007E7C6A"/>
    <w:pPr>
      <w:outlineLvl w:val="9"/>
    </w:pPr>
  </w:style>
  <w:style w:type="paragraph" w:styleId="TOC1">
    <w:name w:val="toc 1"/>
    <w:basedOn w:val="Normal"/>
    <w:next w:val="Normal"/>
    <w:autoRedefine w:val="1"/>
    <w:uiPriority w:val="39"/>
    <w:unhideWhenUsed w:val="1"/>
    <w:rsid w:val="007E7C6A"/>
    <w:pPr>
      <w:spacing w:after="100"/>
    </w:pPr>
  </w:style>
  <w:style w:type="paragraph" w:styleId="TOC2">
    <w:name w:val="toc 2"/>
    <w:basedOn w:val="Normal"/>
    <w:next w:val="Normal"/>
    <w:autoRedefine w:val="1"/>
    <w:uiPriority w:val="39"/>
    <w:unhideWhenUsed w:val="1"/>
    <w:rsid w:val="007E7C6A"/>
    <w:pPr>
      <w:spacing w:after="100"/>
      <w:ind w:left="220"/>
    </w:pPr>
  </w:style>
  <w:style w:type="character" w:styleId="Hyperlink">
    <w:name w:val="Hyperlink"/>
    <w:basedOn w:val="DefaultParagraphFont"/>
    <w:uiPriority w:val="99"/>
    <w:unhideWhenUsed w:val="1"/>
    <w:rsid w:val="007E7C6A"/>
    <w:rPr>
      <w:color w:val="0000ff" w:themeColor="hyperlink"/>
      <w:u w:val="single"/>
    </w:rPr>
  </w:style>
  <w:style w:type="character" w:styleId="Heading3Char" w:customStyle="1">
    <w:name w:val="Heading 3 Char"/>
    <w:basedOn w:val="DefaultParagraphFont"/>
    <w:link w:val="Heading3"/>
    <w:uiPriority w:val="9"/>
    <w:rsid w:val="00F83597"/>
    <w:rPr>
      <w:rFonts w:ascii="Times New Roman" w:cs="Times New Roman" w:eastAsia="Times New Roman" w:hAnsi="Times New Roman"/>
      <w:b w:val="1"/>
      <w:bCs w:val="1"/>
      <w:sz w:val="27"/>
      <w:szCs w:val="27"/>
    </w:rPr>
  </w:style>
  <w:style w:type="table" w:styleId="LightGrid-Accent3">
    <w:name w:val="Light Grid Accent 3"/>
    <w:basedOn w:val="TableNormal"/>
    <w:uiPriority w:val="62"/>
    <w:rsid w:val="00F83597"/>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18" w:themeColor="accent3" w:val="single"/>
          <w:right w:color="9bbb59" w:space="0" w:sz="8" w:themeColor="accent3" w:val="single"/>
          <w:insideH w:space="0" w:sz="0" w:val="nil"/>
          <w:insideV w:color="9bbb59" w:space="0" w:sz="8" w:themeColor="accent3"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insideH w:space="0" w:sz="0" w:val="nil"/>
          <w:insideV w:color="9bbb59" w:space="0" w:sz="8" w:themeColor="accent3"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shd w:color="auto" w:fill="e6eed5" w:themeFill="accent3" w:themeFillTint="00003F" w:val="clear"/>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shd w:color="auto" w:fill="e6eed5" w:themeFill="accent3" w:themeFillTint="00003F" w:val="clear"/>
      </w:tcPr>
    </w:tblStylePr>
    <w:tblStylePr w:type="band2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tcPr>
    </w:tblStylePr>
  </w:style>
  <w:style w:type="paragraph" w:styleId="NormalWeb">
    <w:name w:val="Normal (Web)"/>
    <w:basedOn w:val="Normal"/>
    <w:uiPriority w:val="99"/>
    <w:unhideWhenUsed w:val="1"/>
    <w:rsid w:val="00F83597"/>
    <w:pPr>
      <w:spacing w:after="100" w:afterAutospacing="1" w:before="100" w:beforeAutospacing="1" w:line="240" w:lineRule="auto"/>
    </w:pPr>
    <w:rPr>
      <w:rFonts w:ascii="Times New Roman" w:cs="Times New Roman" w:eastAsia="Times New Roman" w:hAnsi="Times New Roman"/>
      <w:sz w:val="24"/>
      <w:szCs w:val="24"/>
    </w:rPr>
  </w:style>
  <w:style w:type="character" w:styleId="Strong">
    <w:name w:val="Strong"/>
    <w:basedOn w:val="DefaultParagraphFont"/>
    <w:uiPriority w:val="22"/>
    <w:qFormat w:val="1"/>
    <w:rsid w:val="00F83597"/>
    <w:rPr>
      <w:b w:val="1"/>
      <w:bCs w:val="1"/>
    </w:rPr>
  </w:style>
  <w:style w:type="character" w:styleId="searchword" w:customStyle="1">
    <w:name w:val="searchword"/>
    <w:basedOn w:val="DefaultParagraphFont"/>
    <w:rsid w:val="00F83597"/>
  </w:style>
  <w:style w:type="paragraph" w:styleId="ListParagraph">
    <w:name w:val="List Paragraph"/>
    <w:basedOn w:val="Normal"/>
    <w:uiPriority w:val="34"/>
    <w:qFormat w:val="1"/>
    <w:rsid w:val="00F83597"/>
    <w:pPr>
      <w:ind w:left="720"/>
      <w:contextualSpacing w:val="1"/>
    </w:pPr>
  </w:style>
  <w:style w:type="character" w:styleId="mw-headline" w:customStyle="1">
    <w:name w:val="mw-headline"/>
    <w:basedOn w:val="DefaultParagraphFont"/>
    <w:rsid w:val="00F83597"/>
  </w:style>
  <w:style w:type="character" w:styleId="editsection" w:customStyle="1">
    <w:name w:val="editsection"/>
    <w:basedOn w:val="DefaultParagraphFont"/>
    <w:rsid w:val="00F83597"/>
  </w:style>
  <w:style w:type="character" w:styleId="subheding1" w:customStyle="1">
    <w:name w:val="subheding1"/>
    <w:basedOn w:val="DefaultParagraphFont"/>
    <w:rsid w:val="00F83597"/>
  </w:style>
  <w:style w:type="character" w:styleId="Emphasis">
    <w:name w:val="Emphasis"/>
    <w:basedOn w:val="DefaultParagraphFont"/>
    <w:uiPriority w:val="20"/>
    <w:qFormat w:val="1"/>
    <w:rsid w:val="00F83597"/>
    <w:rPr>
      <w:i w:val="1"/>
      <w:iCs w:val="1"/>
    </w:rPr>
  </w:style>
  <w:style w:type="table" w:styleId="TableGrid">
    <w:name w:val="Table Grid"/>
    <w:basedOn w:val="TableNormal"/>
    <w:uiPriority w:val="1"/>
    <w:rsid w:val="00F83597"/>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BodyText">
    <w:name w:val="Body Text"/>
    <w:basedOn w:val="Normal"/>
    <w:link w:val="BodyTextChar"/>
    <w:rsid w:val="00F83597"/>
    <w:pPr>
      <w:autoSpaceDE w:val="0"/>
      <w:autoSpaceDN w:val="0"/>
      <w:adjustRightInd w:val="0"/>
      <w:spacing w:after="113" w:line="240" w:lineRule="auto"/>
      <w:jc w:val="both"/>
    </w:pPr>
    <w:rPr>
      <w:rFonts w:ascii="Century Schoolbook" w:cs="Times New Roman" w:eastAsia="Times New Roman" w:hAnsi="Century Schoolbook"/>
      <w:sz w:val="20"/>
      <w:szCs w:val="20"/>
      <w:lang w:val="en-GB"/>
    </w:rPr>
  </w:style>
  <w:style w:type="character" w:styleId="BodyTextChar" w:customStyle="1">
    <w:name w:val="Body Text Char"/>
    <w:basedOn w:val="DefaultParagraphFont"/>
    <w:link w:val="BodyText"/>
    <w:rsid w:val="00F83597"/>
    <w:rPr>
      <w:rFonts w:ascii="Century Schoolbook" w:cs="Times New Roman" w:eastAsia="Times New Roman" w:hAnsi="Century Schoolbook"/>
      <w:sz w:val="20"/>
      <w:szCs w:val="20"/>
      <w:lang w:val="en-GB"/>
    </w:rPr>
  </w:style>
  <w:style w:type="character" w:styleId="HTMLCite">
    <w:name w:val="HTML Cite"/>
    <w:basedOn w:val="DefaultParagraphFont"/>
    <w:uiPriority w:val="99"/>
    <w:semiHidden w:val="1"/>
    <w:unhideWhenUsed w:val="1"/>
    <w:rsid w:val="00F83597"/>
    <w:rPr>
      <w:i w:val="1"/>
      <w:iCs w:val="1"/>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tcBorders>
          <w:top w:color="9bbb59" w:space="0" w:sz="8" w:val="single"/>
          <w:left w:color="9bbb59" w:space="0" w:sz="8" w:val="single"/>
          <w:bottom w:color="9bbb59" w:space="0" w:sz="8" w:val="single"/>
          <w:right w:color="9bbb59" w:space="0" w:sz="8" w:val="single"/>
          <w:insideV w:color="9bbb59" w:space="0" w:sz="8" w:val="single"/>
        </w:tcBorders>
        <w:shd w:fill="e6eed5" w:val="clear"/>
      </w:tcPr>
    </w:tblStylePr>
    <w:tblStylePr w:type="band1Vert">
      <w:tcPr>
        <w:tcBorders>
          <w:top w:color="9bbb59" w:space="0" w:sz="8" w:val="single"/>
          <w:left w:color="9bbb59" w:space="0" w:sz="8" w:val="single"/>
          <w:bottom w:color="9bbb59" w:space="0" w:sz="8" w:val="single"/>
          <w:right w:color="9bbb59" w:space="0" w:sz="8" w:val="single"/>
        </w:tcBorders>
        <w:shd w:fill="e6eed5" w:val="clear"/>
      </w:tcPr>
    </w:tblStylePr>
    <w:tblStylePr w:type="band2Horz">
      <w:tcPr>
        <w:tcBorders>
          <w:top w:color="9bbb59" w:space="0" w:sz="8" w:val="single"/>
          <w:left w:color="9bbb59" w:space="0" w:sz="8" w:val="single"/>
          <w:bottom w:color="9bbb59" w:space="0" w:sz="8" w:val="single"/>
          <w:right w:color="9bbb59" w:space="0" w:sz="8" w:val="single"/>
          <w:insideV w:color="9bbb59" w:space="0" w:sz="8" w:val="single"/>
        </w:tcBorders>
      </w:tcPr>
    </w:tblStylePr>
    <w:tblStylePr w:type="firstCol">
      <w:rPr>
        <w:rFonts w:ascii="Cambria" w:cs="Cambria" w:eastAsia="Cambria" w:hAnsi="Cambria"/>
        <w:b w:val="1"/>
      </w:rPr>
    </w:tblStylePr>
    <w:tblStylePr w:type="firstRow">
      <w:pPr>
        <w:spacing w:after="0" w:before="0" w:line="240" w:lineRule="auto"/>
      </w:pPr>
      <w:rPr>
        <w:rFonts w:ascii="Cambria" w:cs="Cambria" w:eastAsia="Cambria" w:hAnsi="Cambria"/>
        <w:b w:val="1"/>
      </w:rPr>
      <w:tcPr>
        <w:tcBorders>
          <w:top w:color="9bbb59" w:space="0" w:sz="8" w:val="single"/>
          <w:left w:color="9bbb59" w:space="0" w:sz="8" w:val="single"/>
          <w:bottom w:color="9bbb59" w:space="0" w:sz="18" w:val="single"/>
          <w:right w:color="9bbb59" w:space="0" w:sz="8" w:val="single"/>
          <w:insideH w:color="000000" w:space="0" w:sz="0" w:val="nil"/>
          <w:insideV w:color="9bbb59" w:space="0" w:sz="8" w:val="single"/>
        </w:tcBorders>
      </w:tcPr>
    </w:tblStylePr>
    <w:tblStylePr w:type="lastCol">
      <w:rPr>
        <w:rFonts w:ascii="Cambria" w:cs="Cambria" w:eastAsia="Cambria" w:hAnsi="Cambria"/>
        <w:b w:val="1"/>
      </w:rPr>
      <w:tcPr>
        <w:tcBorders>
          <w:top w:color="9bbb59" w:space="0" w:sz="8" w:val="single"/>
          <w:left w:color="9bbb59" w:space="0" w:sz="8" w:val="single"/>
          <w:bottom w:color="9bbb59" w:space="0" w:sz="8" w:val="single"/>
          <w:right w:color="9bbb59" w:space="0" w:sz="8" w:val="single"/>
        </w:tcBorders>
      </w:tcPr>
    </w:tblStylePr>
    <w:tblStylePr w:type="lastRow">
      <w:pPr>
        <w:spacing w:after="0" w:before="0" w:line="240" w:lineRule="auto"/>
      </w:pPr>
      <w:rPr>
        <w:rFonts w:ascii="Cambria" w:cs="Cambria" w:eastAsia="Cambria" w:hAnsi="Cambria"/>
        <w:b w:val="1"/>
      </w:rPr>
      <w:tcPr>
        <w:tcBorders>
          <w:top w:color="9bbb59" w:space="0" w:sz="6" w:val="single"/>
          <w:left w:color="9bbb59" w:space="0" w:sz="8" w:val="single"/>
          <w:bottom w:color="9bbb59" w:space="0" w:sz="8" w:val="single"/>
          <w:right w:color="9bbb59" w:space="0" w:sz="8" w:val="single"/>
          <w:insideH w:color="000000" w:space="0" w:sz="0" w:val="nil"/>
          <w:insideV w:color="9bbb59" w:space="0" w:sz="8" w:val="single"/>
        </w:tcBorders>
      </w:tcPr>
    </w:tblStyle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tcBorders>
          <w:top w:color="9bbb59" w:space="0" w:sz="8" w:val="single"/>
          <w:left w:color="9bbb59" w:space="0" w:sz="8" w:val="single"/>
          <w:bottom w:color="9bbb59" w:space="0" w:sz="8" w:val="single"/>
          <w:right w:color="9bbb59" w:space="0" w:sz="8" w:val="single"/>
          <w:insideV w:color="9bbb59" w:space="0" w:sz="8" w:val="single"/>
        </w:tcBorders>
        <w:shd w:fill="e6eed5" w:val="clear"/>
      </w:tcPr>
    </w:tblStylePr>
    <w:tblStylePr w:type="band1Vert">
      <w:tcPr>
        <w:tcBorders>
          <w:top w:color="9bbb59" w:space="0" w:sz="8" w:val="single"/>
          <w:left w:color="9bbb59" w:space="0" w:sz="8" w:val="single"/>
          <w:bottom w:color="9bbb59" w:space="0" w:sz="8" w:val="single"/>
          <w:right w:color="9bbb59" w:space="0" w:sz="8" w:val="single"/>
        </w:tcBorders>
        <w:shd w:fill="e6eed5" w:val="clear"/>
      </w:tcPr>
    </w:tblStylePr>
    <w:tblStylePr w:type="band2Horz">
      <w:tcPr>
        <w:tcBorders>
          <w:top w:color="9bbb59" w:space="0" w:sz="8" w:val="single"/>
          <w:left w:color="9bbb59" w:space="0" w:sz="8" w:val="single"/>
          <w:bottom w:color="9bbb59" w:space="0" w:sz="8" w:val="single"/>
          <w:right w:color="9bbb59" w:space="0" w:sz="8" w:val="single"/>
          <w:insideV w:color="9bbb59" w:space="0" w:sz="8" w:val="single"/>
        </w:tcBorders>
      </w:tcPr>
    </w:tblStylePr>
    <w:tblStylePr w:type="firstCol">
      <w:rPr>
        <w:rFonts w:ascii="Cambria" w:cs="Cambria" w:eastAsia="Cambria" w:hAnsi="Cambria"/>
        <w:b w:val="1"/>
      </w:rPr>
    </w:tblStylePr>
    <w:tblStylePr w:type="firstRow">
      <w:pPr>
        <w:spacing w:after="0" w:before="0" w:line="240" w:lineRule="auto"/>
      </w:pPr>
      <w:rPr>
        <w:rFonts w:ascii="Cambria" w:cs="Cambria" w:eastAsia="Cambria" w:hAnsi="Cambria"/>
        <w:b w:val="1"/>
      </w:rPr>
      <w:tcPr>
        <w:tcBorders>
          <w:top w:color="9bbb59" w:space="0" w:sz="8" w:val="single"/>
          <w:left w:color="9bbb59" w:space="0" w:sz="8" w:val="single"/>
          <w:bottom w:color="9bbb59" w:space="0" w:sz="18" w:val="single"/>
          <w:right w:color="9bbb59" w:space="0" w:sz="8" w:val="single"/>
          <w:insideH w:color="000000" w:space="0" w:sz="0" w:val="nil"/>
          <w:insideV w:color="9bbb59" w:space="0" w:sz="8" w:val="single"/>
        </w:tcBorders>
      </w:tcPr>
    </w:tblStylePr>
    <w:tblStylePr w:type="lastCol">
      <w:rPr>
        <w:rFonts w:ascii="Cambria" w:cs="Cambria" w:eastAsia="Cambria" w:hAnsi="Cambria"/>
        <w:b w:val="1"/>
      </w:rPr>
      <w:tcPr>
        <w:tcBorders>
          <w:top w:color="9bbb59" w:space="0" w:sz="8" w:val="single"/>
          <w:left w:color="9bbb59" w:space="0" w:sz="8" w:val="single"/>
          <w:bottom w:color="9bbb59" w:space="0" w:sz="8" w:val="single"/>
          <w:right w:color="9bbb59" w:space="0" w:sz="8" w:val="single"/>
        </w:tcBorders>
      </w:tcPr>
    </w:tblStylePr>
    <w:tblStylePr w:type="lastRow">
      <w:pPr>
        <w:spacing w:after="0" w:before="0" w:line="240" w:lineRule="auto"/>
      </w:pPr>
      <w:rPr>
        <w:rFonts w:ascii="Cambria" w:cs="Cambria" w:eastAsia="Cambria" w:hAnsi="Cambria"/>
        <w:b w:val="1"/>
      </w:rPr>
      <w:tcPr>
        <w:tcBorders>
          <w:top w:color="9bbb59" w:space="0" w:sz="6" w:val="single"/>
          <w:left w:color="9bbb59" w:space="0" w:sz="8" w:val="single"/>
          <w:bottom w:color="9bbb59" w:space="0" w:sz="8" w:val="single"/>
          <w:right w:color="9bbb59" w:space="0" w:sz="8" w:val="single"/>
          <w:insideH w:color="000000" w:space="0" w:sz="0" w:val="nil"/>
          <w:insideV w:color="9bbb59" w:space="0" w:sz="8" w:val="single"/>
        </w:tcBorders>
      </w:tcPr>
    </w:tblStyle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tcBorders>
          <w:top w:color="9bbb59" w:space="0" w:sz="8" w:val="single"/>
          <w:left w:color="9bbb59" w:space="0" w:sz="8" w:val="single"/>
          <w:bottom w:color="9bbb59" w:space="0" w:sz="8" w:val="single"/>
          <w:right w:color="9bbb59" w:space="0" w:sz="8" w:val="single"/>
          <w:insideV w:color="9bbb59" w:space="0" w:sz="8" w:val="single"/>
        </w:tcBorders>
        <w:shd w:fill="e6eed5" w:val="clear"/>
      </w:tcPr>
    </w:tblStylePr>
    <w:tblStylePr w:type="band1Vert">
      <w:tcPr>
        <w:tcBorders>
          <w:top w:color="9bbb59" w:space="0" w:sz="8" w:val="single"/>
          <w:left w:color="9bbb59" w:space="0" w:sz="8" w:val="single"/>
          <w:bottom w:color="9bbb59" w:space="0" w:sz="8" w:val="single"/>
          <w:right w:color="9bbb59" w:space="0" w:sz="8" w:val="single"/>
        </w:tcBorders>
        <w:shd w:fill="e6eed5" w:val="clear"/>
      </w:tcPr>
    </w:tblStylePr>
    <w:tblStylePr w:type="band2Horz">
      <w:tcPr>
        <w:tcBorders>
          <w:top w:color="9bbb59" w:space="0" w:sz="8" w:val="single"/>
          <w:left w:color="9bbb59" w:space="0" w:sz="8" w:val="single"/>
          <w:bottom w:color="9bbb59" w:space="0" w:sz="8" w:val="single"/>
          <w:right w:color="9bbb59" w:space="0" w:sz="8" w:val="single"/>
          <w:insideV w:color="9bbb59" w:space="0" w:sz="8" w:val="single"/>
        </w:tcBorders>
      </w:tcPr>
    </w:tblStylePr>
    <w:tblStylePr w:type="firstCol">
      <w:rPr>
        <w:rFonts w:ascii="Cambria" w:cs="Cambria" w:eastAsia="Cambria" w:hAnsi="Cambria"/>
        <w:b w:val="1"/>
      </w:rPr>
    </w:tblStylePr>
    <w:tblStylePr w:type="firstRow">
      <w:pPr>
        <w:spacing w:after="0" w:before="0" w:line="240" w:lineRule="auto"/>
      </w:pPr>
      <w:rPr>
        <w:rFonts w:ascii="Cambria" w:cs="Cambria" w:eastAsia="Cambria" w:hAnsi="Cambria"/>
        <w:b w:val="1"/>
      </w:rPr>
      <w:tcPr>
        <w:tcBorders>
          <w:top w:color="9bbb59" w:space="0" w:sz="8" w:val="single"/>
          <w:left w:color="9bbb59" w:space="0" w:sz="8" w:val="single"/>
          <w:bottom w:color="9bbb59" w:space="0" w:sz="18" w:val="single"/>
          <w:right w:color="9bbb59" w:space="0" w:sz="8" w:val="single"/>
          <w:insideH w:color="000000" w:space="0" w:sz="0" w:val="nil"/>
          <w:insideV w:color="9bbb59" w:space="0" w:sz="8" w:val="single"/>
        </w:tcBorders>
      </w:tcPr>
    </w:tblStylePr>
    <w:tblStylePr w:type="lastCol">
      <w:rPr>
        <w:rFonts w:ascii="Cambria" w:cs="Cambria" w:eastAsia="Cambria" w:hAnsi="Cambria"/>
        <w:b w:val="1"/>
      </w:rPr>
      <w:tcPr>
        <w:tcBorders>
          <w:top w:color="9bbb59" w:space="0" w:sz="8" w:val="single"/>
          <w:left w:color="9bbb59" w:space="0" w:sz="8" w:val="single"/>
          <w:bottom w:color="9bbb59" w:space="0" w:sz="8" w:val="single"/>
          <w:right w:color="9bbb59" w:space="0" w:sz="8" w:val="single"/>
        </w:tcBorders>
      </w:tcPr>
    </w:tblStylePr>
    <w:tblStylePr w:type="lastRow">
      <w:pPr>
        <w:spacing w:after="0" w:before="0" w:line="240" w:lineRule="auto"/>
      </w:pPr>
      <w:rPr>
        <w:rFonts w:ascii="Cambria" w:cs="Cambria" w:eastAsia="Cambria" w:hAnsi="Cambria"/>
        <w:b w:val="1"/>
      </w:rPr>
      <w:tcPr>
        <w:tcBorders>
          <w:top w:color="9bbb59" w:space="0" w:sz="6" w:val="single"/>
          <w:left w:color="9bbb59" w:space="0" w:sz="8" w:val="single"/>
          <w:bottom w:color="9bbb59" w:space="0" w:sz="8" w:val="single"/>
          <w:right w:color="9bbb59" w:space="0" w:sz="8" w:val="single"/>
          <w:insideH w:color="000000" w:space="0" w:sz="0" w:val="nil"/>
          <w:insideV w:color="9bbb59" w:space="0" w:sz="8" w:val="single"/>
        </w:tcBorders>
      </w:tcPr>
    </w:tblStyle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tcBorders>
          <w:top w:color="9bbb59" w:space="0" w:sz="8" w:val="single"/>
          <w:left w:color="9bbb59" w:space="0" w:sz="8" w:val="single"/>
          <w:bottom w:color="9bbb59" w:space="0" w:sz="8" w:val="single"/>
          <w:right w:color="9bbb59" w:space="0" w:sz="8" w:val="single"/>
          <w:insideV w:color="9bbb59" w:space="0" w:sz="8" w:val="single"/>
        </w:tcBorders>
        <w:shd w:fill="e6eed5" w:val="clear"/>
      </w:tcPr>
    </w:tblStylePr>
    <w:tblStylePr w:type="band1Vert">
      <w:tcPr>
        <w:tcBorders>
          <w:top w:color="9bbb59" w:space="0" w:sz="8" w:val="single"/>
          <w:left w:color="9bbb59" w:space="0" w:sz="8" w:val="single"/>
          <w:bottom w:color="9bbb59" w:space="0" w:sz="8" w:val="single"/>
          <w:right w:color="9bbb59" w:space="0" w:sz="8" w:val="single"/>
        </w:tcBorders>
        <w:shd w:fill="e6eed5" w:val="clear"/>
      </w:tcPr>
    </w:tblStylePr>
    <w:tblStylePr w:type="band2Horz">
      <w:tcPr>
        <w:tcBorders>
          <w:top w:color="9bbb59" w:space="0" w:sz="8" w:val="single"/>
          <w:left w:color="9bbb59" w:space="0" w:sz="8" w:val="single"/>
          <w:bottom w:color="9bbb59" w:space="0" w:sz="8" w:val="single"/>
          <w:right w:color="9bbb59" w:space="0" w:sz="8" w:val="single"/>
          <w:insideV w:color="9bbb59" w:space="0" w:sz="8" w:val="single"/>
        </w:tcBorders>
      </w:tcPr>
    </w:tblStylePr>
    <w:tblStylePr w:type="firstCol">
      <w:rPr>
        <w:rFonts w:ascii="Cambria" w:cs="Cambria" w:eastAsia="Cambria" w:hAnsi="Cambria"/>
        <w:b w:val="1"/>
      </w:rPr>
    </w:tblStylePr>
    <w:tblStylePr w:type="firstRow">
      <w:pPr>
        <w:spacing w:after="0" w:before="0" w:line="240" w:lineRule="auto"/>
      </w:pPr>
      <w:rPr>
        <w:rFonts w:ascii="Cambria" w:cs="Cambria" w:eastAsia="Cambria" w:hAnsi="Cambria"/>
        <w:b w:val="1"/>
      </w:rPr>
      <w:tcPr>
        <w:tcBorders>
          <w:top w:color="9bbb59" w:space="0" w:sz="8" w:val="single"/>
          <w:left w:color="9bbb59" w:space="0" w:sz="8" w:val="single"/>
          <w:bottom w:color="9bbb59" w:space="0" w:sz="18" w:val="single"/>
          <w:right w:color="9bbb59" w:space="0" w:sz="8" w:val="single"/>
          <w:insideH w:color="000000" w:space="0" w:sz="0" w:val="nil"/>
          <w:insideV w:color="9bbb59" w:space="0" w:sz="8" w:val="single"/>
        </w:tcBorders>
      </w:tcPr>
    </w:tblStylePr>
    <w:tblStylePr w:type="lastCol">
      <w:rPr>
        <w:rFonts w:ascii="Cambria" w:cs="Cambria" w:eastAsia="Cambria" w:hAnsi="Cambria"/>
        <w:b w:val="1"/>
      </w:rPr>
      <w:tcPr>
        <w:tcBorders>
          <w:top w:color="9bbb59" w:space="0" w:sz="8" w:val="single"/>
          <w:left w:color="9bbb59" w:space="0" w:sz="8" w:val="single"/>
          <w:bottom w:color="9bbb59" w:space="0" w:sz="8" w:val="single"/>
          <w:right w:color="9bbb59" w:space="0" w:sz="8" w:val="single"/>
        </w:tcBorders>
      </w:tcPr>
    </w:tblStylePr>
    <w:tblStylePr w:type="lastRow">
      <w:pPr>
        <w:spacing w:after="0" w:before="0" w:line="240" w:lineRule="auto"/>
      </w:pPr>
      <w:rPr>
        <w:rFonts w:ascii="Cambria" w:cs="Cambria" w:eastAsia="Cambria" w:hAnsi="Cambria"/>
        <w:b w:val="1"/>
      </w:rPr>
      <w:tcPr>
        <w:tcBorders>
          <w:top w:color="9bbb59" w:space="0" w:sz="6" w:val="single"/>
          <w:left w:color="9bbb59" w:space="0" w:sz="8" w:val="single"/>
          <w:bottom w:color="9bbb59" w:space="0" w:sz="8" w:val="single"/>
          <w:right w:color="9bbb59" w:space="0" w:sz="8" w:val="single"/>
          <w:insideH w:color="000000" w:space="0" w:sz="0" w:val="nil"/>
          <w:insideV w:color="9bbb59" w:space="0" w:sz="8" w:val="single"/>
        </w:tcBorders>
      </w:tcPr>
    </w:tblStyle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15.0" w:type="dxa"/>
        <w:bottom w:w="0.0" w:type="dxa"/>
        <w:right w:w="115.0" w:type="dxa"/>
      </w:tblCellMar>
    </w:tblPr>
  </w:style>
  <w:style w:type="table" w:styleId="Table13">
    <w:basedOn w:val="TableNormal"/>
    <w:tblPr>
      <w:tblStyleRowBandSize w:val="1"/>
      <w:tblStyleColBandSize w:val="1"/>
      <w:tblCellMar>
        <w:top w:w="0.0" w:type="dxa"/>
        <w:left w:w="115.0" w:type="dxa"/>
        <w:bottom w:w="0.0" w:type="dxa"/>
        <w:right w:w="115.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15.0" w:type="dxa"/>
        <w:bottom w:w="0.0" w:type="dxa"/>
        <w:right w:w="115.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tblPr>
      <w:tblStyleRowBandSize w:val="1"/>
      <w:tblStyleColBandSize w:val="1"/>
      <w:tblCellMar>
        <w:top w:w="0.0" w:type="dxa"/>
        <w:left w:w="115.0" w:type="dxa"/>
        <w:bottom w:w="0.0" w:type="dxa"/>
        <w:right w:w="115.0" w:type="dxa"/>
      </w:tblCellMar>
    </w:tblPr>
  </w:style>
  <w:style w:type="table" w:styleId="Table28">
    <w:basedOn w:val="TableNormal"/>
    <w:tblPr>
      <w:tblStyleRowBandSize w:val="1"/>
      <w:tblStyleColBandSize w:val="1"/>
      <w:tblCellMar>
        <w:top w:w="0.0" w:type="dxa"/>
        <w:left w:w="115.0" w:type="dxa"/>
        <w:bottom w:w="0.0" w:type="dxa"/>
        <w:right w:w="115.0" w:type="dxa"/>
      </w:tblCellMar>
    </w:tblPr>
  </w:style>
  <w:style w:type="table" w:styleId="Table29">
    <w:basedOn w:val="TableNormal"/>
    <w:tblPr>
      <w:tblStyleRowBandSize w:val="1"/>
      <w:tblStyleColBandSize w:val="1"/>
      <w:tblCellMar>
        <w:top w:w="0.0" w:type="dxa"/>
        <w:left w:w="115.0" w:type="dxa"/>
        <w:bottom w:w="0.0" w:type="dxa"/>
        <w:right w:w="115.0" w:type="dxa"/>
      </w:tblCellMar>
    </w:tblPr>
  </w:style>
  <w:style w:type="table" w:styleId="Table30">
    <w:basedOn w:val="TableNormal"/>
    <w:tblPr>
      <w:tblStyleRowBandSize w:val="1"/>
      <w:tblStyleColBandSize w:val="1"/>
      <w:tblCellMar>
        <w:top w:w="0.0" w:type="dxa"/>
        <w:left w:w="115.0" w:type="dxa"/>
        <w:bottom w:w="0.0" w:type="dxa"/>
        <w:right w:w="115.0" w:type="dxa"/>
      </w:tblCellMar>
    </w:tblPr>
  </w:style>
  <w:style w:type="table" w:styleId="Table31">
    <w:basedOn w:val="TableNormal"/>
    <w:tblPr>
      <w:tblStyleRowBandSize w:val="1"/>
      <w:tblStyleColBandSize w:val="1"/>
      <w:tblCellMar>
        <w:top w:w="0.0" w:type="dxa"/>
        <w:left w:w="115.0" w:type="dxa"/>
        <w:bottom w:w="0.0" w:type="dxa"/>
        <w:right w:w="115.0" w:type="dxa"/>
      </w:tblCellMar>
    </w:tblPr>
  </w:style>
  <w:style w:type="table" w:styleId="Table32">
    <w:basedOn w:val="TableNormal"/>
    <w:tblPr>
      <w:tblStyleRowBandSize w:val="1"/>
      <w:tblStyleColBandSize w:val="1"/>
      <w:tblCellMar>
        <w:top w:w="0.0" w:type="dxa"/>
        <w:left w:w="115.0" w:type="dxa"/>
        <w:bottom w:w="0.0" w:type="dxa"/>
        <w:right w:w="115.0" w:type="dxa"/>
      </w:tblCellMar>
    </w:tblPr>
  </w:style>
  <w:style w:type="table" w:styleId="Table33">
    <w:basedOn w:val="TableNormal"/>
    <w:tblPr>
      <w:tblStyleRowBandSize w:val="1"/>
      <w:tblStyleColBandSize w:val="1"/>
      <w:tblCellMar>
        <w:top w:w="0.0" w:type="dxa"/>
        <w:left w:w="115.0" w:type="dxa"/>
        <w:bottom w:w="0.0" w:type="dxa"/>
        <w:right w:w="115.0" w:type="dxa"/>
      </w:tblCellMar>
    </w:tblPr>
  </w:style>
  <w:style w:type="table" w:styleId="Table34">
    <w:basedOn w:val="TableNormal"/>
    <w:tblPr>
      <w:tblStyleRowBandSize w:val="1"/>
      <w:tblStyleColBandSize w:val="1"/>
      <w:tblCellMar>
        <w:top w:w="0.0" w:type="dxa"/>
        <w:left w:w="115.0" w:type="dxa"/>
        <w:bottom w:w="0.0" w:type="dxa"/>
        <w:right w:w="115.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chart" Target="charts/chart1.xml"/><Relationship Id="rId10" Type="http://schemas.openxmlformats.org/officeDocument/2006/relationships/chart" Target="charts/chart2.xml"/><Relationship Id="rId13" Type="http://schemas.openxmlformats.org/officeDocument/2006/relationships/chart" Target="charts/chart3.xml"/><Relationship Id="rId12" Type="http://schemas.openxmlformats.org/officeDocument/2006/relationships/chart" Target="charts/chart4.xml"/><Relationship Id="rId1" Type="http://schemas.openxmlformats.org/officeDocument/2006/relationships/diagramColors" Target="diagrams/colors1.xml"/><Relationship Id="rId2" Type="http://schemas.openxmlformats.org/officeDocument/2006/relationships/diagramData" Target="diagrams/data1.xml"/><Relationship Id="rId3" Type="http://schemas.openxmlformats.org/officeDocument/2006/relationships/diagramLayout" Target="diagrams/layout1.xml"/><Relationship Id="rId4" Type="http://schemas.openxmlformats.org/officeDocument/2006/relationships/diagramQuickStyle" Target="diagrams/quickStyle1.xml"/><Relationship Id="rId9" Type="http://schemas.openxmlformats.org/officeDocument/2006/relationships/styles" Target="styles.xml"/><Relationship Id="rId15" Type="http://schemas.openxmlformats.org/officeDocument/2006/relationships/chart" Target="charts/chart5.xml"/><Relationship Id="rId14" Type="http://schemas.openxmlformats.org/officeDocument/2006/relationships/chart" Target="charts/chart6.xml"/><Relationship Id="rId17" Type="http://schemas.openxmlformats.org/officeDocument/2006/relationships/chart" Target="charts/chart7.xml"/><Relationship Id="rId16" Type="http://schemas.openxmlformats.org/officeDocument/2006/relationships/chart" Target="charts/chart8.xml"/><Relationship Id="rId5" Type="http://schemas.openxmlformats.org/officeDocument/2006/relationships/theme" Target="theme/theme1.xml"/><Relationship Id="rId19" Type="http://schemas.openxmlformats.org/officeDocument/2006/relationships/chart" Target="charts/chart9.xml"/><Relationship Id="rId6" Type="http://schemas.openxmlformats.org/officeDocument/2006/relationships/settings" Target="settings.xml"/><Relationship Id="rId18" Type="http://schemas.openxmlformats.org/officeDocument/2006/relationships/chart" Target="charts/chart10.xml"/><Relationship Id="rId7" Type="http://schemas.openxmlformats.org/officeDocument/2006/relationships/fontTable" Target="fontTable.xml"/><Relationship Id="rId8" Type="http://schemas.openxmlformats.org/officeDocument/2006/relationships/numbering" Target="numbering.xml"/></Relationships>
</file>

<file path=word/charts/_rels/chart1.xml.rels><?xml version="1.0" encoding="UTF-8" standalone="yes"?><Relationships xmlns="http://schemas.openxmlformats.org/package/2006/relationships"><Relationship Id="rId1" Type="http://schemas.openxmlformats.org/officeDocument/2006/relationships/oleObject" Target="file:///C:\Documents%20and%20Settings\Subhajit\Desktop\FINAL%20MRP\Copy%20of%20Copy%20of%20Correlation%20of%20NET%20NPA%20with%20other%20Factor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Documents%20and%20Settings\Subhajit\Desktop\FINAL%20MRP\Copy%20of%20Copy%20of%20Correlation%20of%20NET%20NPA%20with%20other%20Factor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Documents%20and%20Settings\Subhajit\Desktop\FINAL%20MRP\Copy%20of%20Copy%20of%20Correlation%20of%20NET%20NPA%20with%20other%20Factor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Documents%20and%20Settings\Subhajit\Desktop\FINAL%20MRP\Copy%20of%20Copy%20of%20Correlation%20of%20NET%20NPA%20with%20other%20Factor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Documents%20and%20Settings\Subhajit\Desktop\FINAL%20MRP\Copy%20of%20Copy%20of%20Correlation%20of%20NET%20NPA%20with%20other%20Factor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Documents%20and%20Settings\Subhajit\Desktop\FINAL%20MRP\Copy%20of%20Copy%20of%20Correlation%20of%20NET%20NPA%20with%20other%20Factor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Documents%20and%20Settings\Subhajit\Desktop\FINAL%20MRP\Copy%20of%20Copy%20of%20Correlation%20of%20NET%20NPA%20with%20other%20Factor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Documents%20and%20Settings\Subhajit\Desktop\FINAL%20MRP\Copy%20of%20Copy%20of%20Correlation%20of%20NET%20NPA%20with%20other%20Factors..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Documents%20and%20Settings\Subhajit\Desktop\FINAL%20MRP\Copy%20of%20Copy%20of%20Correlation%20of%20NET%20NPA%20with%20other%20Factors..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Documents%20and%20Settings\Subhajit\Desktop\FINAL%20MRP\Copy%20of%20Copy%20of%20Correlation%20of%20NET%20NPA%20with%20other%20Factor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X Variable 1 Line Fit  Plot</a:t>
            </a:r>
          </a:p>
        </c:rich>
      </c:tx>
    </c:title>
    <c:plotArea>
      <c:layout/>
      <c:scatterChart>
        <c:scatterStyle val="lineMarker"/>
        <c:ser>
          <c:idx val="0"/>
          <c:order val="0"/>
          <c:tx>
            <c:v>Y</c:v>
          </c:tx>
          <c:spPr>
            <a:ln w="28575">
              <a:noFill/>
            </a:ln>
          </c:spPr>
          <c:trendline>
            <c:trendlineType val="linear"/>
            <c:dispEq val="1"/>
            <c:trendlineLbl>
              <c:layout>
                <c:manualLayout>
                  <c:x val="0.5001306867891514"/>
                  <c:y val="-0.21368863374836791"/>
                </c:manualLayout>
              </c:layout>
              <c:numFmt formatCode="General" sourceLinked="0"/>
            </c:trendlineLbl>
          </c:trendline>
          <c:xVal>
            <c:numRef>
              <c:f>'Table-C'!$E$6:$E$30</c:f>
              <c:numCache>
                <c:formatCode>General</c:formatCode>
                <c:ptCount val="25"/>
                <c:pt idx="0">
                  <c:v>12.99</c:v>
                </c:pt>
                <c:pt idx="1">
                  <c:v>12.65</c:v>
                </c:pt>
                <c:pt idx="2">
                  <c:v>14.38</c:v>
                </c:pt>
                <c:pt idx="3">
                  <c:v>13.350000000000026</c:v>
                </c:pt>
                <c:pt idx="4">
                  <c:v>14.52</c:v>
                </c:pt>
                <c:pt idx="5">
                  <c:v>15.38</c:v>
                </c:pt>
                <c:pt idx="6">
                  <c:v>12.9</c:v>
                </c:pt>
                <c:pt idx="7">
                  <c:v>13.41</c:v>
                </c:pt>
                <c:pt idx="8">
                  <c:v>13.25</c:v>
                </c:pt>
                <c:pt idx="9">
                  <c:v>11.8</c:v>
                </c:pt>
                <c:pt idx="10">
                  <c:v>13.639999999999999</c:v>
                </c:pt>
                <c:pt idx="11">
                  <c:v>13.56</c:v>
                </c:pt>
                <c:pt idx="12">
                  <c:v>14.229999999999999</c:v>
                </c:pt>
                <c:pt idx="13">
                  <c:v>12.42</c:v>
                </c:pt>
                <c:pt idx="14">
                  <c:v>13.25</c:v>
                </c:pt>
                <c:pt idx="15">
                  <c:v>13.04</c:v>
                </c:pt>
                <c:pt idx="16">
                  <c:v>12.950000000000006</c:v>
                </c:pt>
                <c:pt idx="17">
                  <c:v>16.22</c:v>
                </c:pt>
                <c:pt idx="18">
                  <c:v>19.920000000000002</c:v>
                </c:pt>
                <c:pt idx="19">
                  <c:v>12.94</c:v>
                </c:pt>
                <c:pt idx="20">
                  <c:v>13.33</c:v>
                </c:pt>
                <c:pt idx="21">
                  <c:v>14.82</c:v>
                </c:pt>
                <c:pt idx="22">
                  <c:v>16.5</c:v>
                </c:pt>
                <c:pt idx="23">
                  <c:v>15.89</c:v>
                </c:pt>
                <c:pt idx="24">
                  <c:v>19.920000000000002</c:v>
                </c:pt>
              </c:numCache>
            </c:numRef>
          </c:xVal>
          <c:yVal>
            <c:numRef>
              <c:f>'Table-C'!$D$6:$D$30</c:f>
              <c:numCache>
                <c:formatCode>General</c:formatCode>
                <c:ptCount val="25"/>
                <c:pt idx="0">
                  <c:v>0.69000000000000061</c:v>
                </c:pt>
                <c:pt idx="1">
                  <c:v>0.26</c:v>
                </c:pt>
                <c:pt idx="2">
                  <c:v>0.38000000000000228</c:v>
                </c:pt>
                <c:pt idx="3">
                  <c:v>1.32</c:v>
                </c:pt>
                <c:pt idx="4">
                  <c:v>0.19</c:v>
                </c:pt>
                <c:pt idx="5">
                  <c:v>1.1100000000000001</c:v>
                </c:pt>
                <c:pt idx="6">
                  <c:v>0.91</c:v>
                </c:pt>
                <c:pt idx="7">
                  <c:v>1.22</c:v>
                </c:pt>
                <c:pt idx="8">
                  <c:v>0.98</c:v>
                </c:pt>
                <c:pt idx="9">
                  <c:v>0.30000000000000032</c:v>
                </c:pt>
                <c:pt idx="10">
                  <c:v>1.57</c:v>
                </c:pt>
                <c:pt idx="11">
                  <c:v>0.53</c:v>
                </c:pt>
                <c:pt idx="12">
                  <c:v>0.70000000000000062</c:v>
                </c:pt>
                <c:pt idx="13">
                  <c:v>0.85000000000000064</c:v>
                </c:pt>
                <c:pt idx="14">
                  <c:v>1.6300000000000001</c:v>
                </c:pt>
                <c:pt idx="15">
                  <c:v>0.97000000000000064</c:v>
                </c:pt>
                <c:pt idx="16">
                  <c:v>1.1900000000000082</c:v>
                </c:pt>
                <c:pt idx="17">
                  <c:v>0.19</c:v>
                </c:pt>
                <c:pt idx="18">
                  <c:v>1.1299999999999908</c:v>
                </c:pt>
                <c:pt idx="19">
                  <c:v>0.39000000000000234</c:v>
                </c:pt>
                <c:pt idx="20">
                  <c:v>1.6300000000000001</c:v>
                </c:pt>
                <c:pt idx="21">
                  <c:v>0.9</c:v>
                </c:pt>
                <c:pt idx="22">
                  <c:v>4.0000000000000022E-2</c:v>
                </c:pt>
                <c:pt idx="23">
                  <c:v>0.28000000000000008</c:v>
                </c:pt>
                <c:pt idx="24">
                  <c:v>0.59</c:v>
                </c:pt>
              </c:numCache>
            </c:numRef>
          </c:yVal>
        </c:ser>
        <c:axId val="79534336"/>
        <c:axId val="79542144"/>
      </c:scatterChart>
      <c:valAx>
        <c:axId val="79534336"/>
        <c:scaling>
          <c:orientation val="minMax"/>
        </c:scaling>
        <c:axPos val="b"/>
        <c:title>
          <c:tx>
            <c:rich>
              <a:bodyPr/>
              <a:lstStyle/>
              <a:p>
                <a:pPr>
                  <a:defRPr/>
                </a:pPr>
                <a:r>
                  <a:rPr lang="en-US"/>
                  <a:t>CAR</a:t>
                </a:r>
              </a:p>
            </c:rich>
          </c:tx>
        </c:title>
        <c:numFmt formatCode="General" sourceLinked="1"/>
        <c:tickLblPos val="nextTo"/>
        <c:crossAx val="79542144"/>
        <c:crosses val="autoZero"/>
        <c:crossBetween val="midCat"/>
      </c:valAx>
      <c:valAx>
        <c:axId val="79542144"/>
        <c:scaling>
          <c:orientation val="minMax"/>
        </c:scaling>
        <c:axPos val="l"/>
        <c:majorGridlines/>
        <c:title>
          <c:tx>
            <c:rich>
              <a:bodyPr/>
              <a:lstStyle/>
              <a:p>
                <a:pPr>
                  <a:defRPr/>
                </a:pPr>
                <a:r>
                  <a:rPr lang="en-US"/>
                  <a:t>Y</a:t>
                </a:r>
              </a:p>
            </c:rich>
          </c:tx>
        </c:title>
        <c:numFmt formatCode="General" sourceLinked="1"/>
        <c:tickLblPos val="nextTo"/>
        <c:crossAx val="79534336"/>
        <c:crosses val="autoZero"/>
        <c:crossBetween val="midCat"/>
      </c:valAx>
    </c:plotArea>
    <c:legend>
      <c:legendPos val="r"/>
    </c:legend>
    <c:plotVisOnly val="1"/>
    <c:dispBlanksAs val="gap"/>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X Variable 1 Line Fit  Plot</a:t>
            </a:r>
          </a:p>
        </c:rich>
      </c:tx>
    </c:title>
    <c:plotArea>
      <c:layout>
        <c:manualLayout>
          <c:layoutTarget val="inner"/>
          <c:xMode val="edge"/>
          <c:yMode val="edge"/>
          <c:x val="0.18800634295713287"/>
          <c:y val="0.21974322175245575"/>
          <c:w val="0.58296532082425068"/>
          <c:h val="0.51207374940201356"/>
        </c:manualLayout>
      </c:layout>
      <c:scatterChart>
        <c:scatterStyle val="lineMarker"/>
        <c:ser>
          <c:idx val="0"/>
          <c:order val="0"/>
          <c:tx>
            <c:v>Y</c:v>
          </c:tx>
          <c:spPr>
            <a:ln w="28575">
              <a:noFill/>
            </a:ln>
          </c:spPr>
          <c:trendline>
            <c:trendlineType val="linear"/>
            <c:dispEq val="1"/>
            <c:trendlineLbl>
              <c:layout>
                <c:manualLayout>
                  <c:x val="0.25540161203253825"/>
                  <c:y val="-0.18936012308806241"/>
                </c:manualLayout>
              </c:layout>
              <c:numFmt formatCode="General" sourceLinked="0"/>
            </c:trendlineLbl>
          </c:trendline>
          <c:xVal>
            <c:numRef>
              <c:f>'Table-B'!$E$6:$E$30</c:f>
              <c:numCache>
                <c:formatCode>General</c:formatCode>
                <c:ptCount val="25"/>
                <c:pt idx="0">
                  <c:v>96854</c:v>
                </c:pt>
                <c:pt idx="1">
                  <c:v>142407.82999999879</c:v>
                </c:pt>
                <c:pt idx="2">
                  <c:v>71435.360000000001</c:v>
                </c:pt>
                <c:pt idx="3">
                  <c:v>46880.77</c:v>
                </c:pt>
                <c:pt idx="4">
                  <c:v>228676.36</c:v>
                </c:pt>
                <c:pt idx="5">
                  <c:v>212467.17</c:v>
                </c:pt>
                <c:pt idx="6">
                  <c:v>86850.4</c:v>
                </c:pt>
                <c:pt idx="7">
                  <c:v>45163.37</c:v>
                </c:pt>
                <c:pt idx="8">
                  <c:v>4271.45</c:v>
                </c:pt>
                <c:pt idx="9">
                  <c:v>12529.630000000006</c:v>
                </c:pt>
                <c:pt idx="10">
                  <c:v>38201.800000000003</c:v>
                </c:pt>
                <c:pt idx="11">
                  <c:v>75249.909999999989</c:v>
                </c:pt>
                <c:pt idx="12">
                  <c:v>95908.22</c:v>
                </c:pt>
                <c:pt idx="13">
                  <c:v>242107</c:v>
                </c:pt>
                <c:pt idx="14">
                  <c:v>756719.45000000042</c:v>
                </c:pt>
                <c:pt idx="15">
                  <c:v>106781.92</c:v>
                </c:pt>
                <c:pt idx="16">
                  <c:v>153022</c:v>
                </c:pt>
                <c:pt idx="17">
                  <c:v>159982.67000000001</c:v>
                </c:pt>
                <c:pt idx="18">
                  <c:v>216365.9</c:v>
                </c:pt>
                <c:pt idx="19">
                  <c:v>23602.14</c:v>
                </c:pt>
                <c:pt idx="20">
                  <c:v>17348.07</c:v>
                </c:pt>
                <c:pt idx="21">
                  <c:v>8094.42</c:v>
                </c:pt>
                <c:pt idx="22">
                  <c:v>34363.64</c:v>
                </c:pt>
                <c:pt idx="23">
                  <c:v>26165.649999999896</c:v>
                </c:pt>
                <c:pt idx="24">
                  <c:v>29329.309999999896</c:v>
                </c:pt>
              </c:numCache>
            </c:numRef>
          </c:xVal>
          <c:yVal>
            <c:numRef>
              <c:f>'Table-B'!$H$6:$H$30</c:f>
              <c:numCache>
                <c:formatCode>General</c:formatCode>
                <c:ptCount val="25"/>
                <c:pt idx="0">
                  <c:v>0.69000000000000083</c:v>
                </c:pt>
                <c:pt idx="1">
                  <c:v>0.26</c:v>
                </c:pt>
                <c:pt idx="2">
                  <c:v>0.38000000000000228</c:v>
                </c:pt>
                <c:pt idx="3">
                  <c:v>1.32</c:v>
                </c:pt>
                <c:pt idx="4">
                  <c:v>0.19000000000000006</c:v>
                </c:pt>
                <c:pt idx="5">
                  <c:v>1.1100000000000001</c:v>
                </c:pt>
                <c:pt idx="6">
                  <c:v>0.91</c:v>
                </c:pt>
                <c:pt idx="7">
                  <c:v>1.22</c:v>
                </c:pt>
                <c:pt idx="8">
                  <c:v>0.98</c:v>
                </c:pt>
                <c:pt idx="9">
                  <c:v>0.30000000000000032</c:v>
                </c:pt>
                <c:pt idx="10">
                  <c:v>1.57</c:v>
                </c:pt>
                <c:pt idx="11">
                  <c:v>0.53</c:v>
                </c:pt>
                <c:pt idx="12">
                  <c:v>0.70000000000000062</c:v>
                </c:pt>
                <c:pt idx="13">
                  <c:v>0.85000000000000064</c:v>
                </c:pt>
                <c:pt idx="14">
                  <c:v>1.6300000000000001</c:v>
                </c:pt>
                <c:pt idx="15">
                  <c:v>0.97000000000000064</c:v>
                </c:pt>
                <c:pt idx="16">
                  <c:v>1.1900000000000082</c:v>
                </c:pt>
                <c:pt idx="17">
                  <c:v>0.19000000000000006</c:v>
                </c:pt>
                <c:pt idx="18">
                  <c:v>1.1299999999999908</c:v>
                </c:pt>
                <c:pt idx="19">
                  <c:v>0.39000000000000234</c:v>
                </c:pt>
                <c:pt idx="20">
                  <c:v>1.6300000000000001</c:v>
                </c:pt>
                <c:pt idx="21">
                  <c:v>0.9</c:v>
                </c:pt>
                <c:pt idx="22">
                  <c:v>4.0000000000000056E-2</c:v>
                </c:pt>
                <c:pt idx="23">
                  <c:v>0.28000000000000008</c:v>
                </c:pt>
                <c:pt idx="24">
                  <c:v>0.59000000000000019</c:v>
                </c:pt>
              </c:numCache>
            </c:numRef>
          </c:yVal>
        </c:ser>
        <c:axId val="78983168"/>
        <c:axId val="78985472"/>
      </c:scatterChart>
      <c:valAx>
        <c:axId val="78983168"/>
        <c:scaling>
          <c:orientation val="minMax"/>
        </c:scaling>
        <c:axPos val="b"/>
        <c:title>
          <c:tx>
            <c:rich>
              <a:bodyPr/>
              <a:lstStyle/>
              <a:p>
                <a:pPr>
                  <a:defRPr/>
                </a:pPr>
                <a:r>
                  <a:rPr lang="en-US"/>
                  <a:t>TOTAL CREDIT</a:t>
                </a:r>
              </a:p>
            </c:rich>
          </c:tx>
        </c:title>
        <c:numFmt formatCode="General" sourceLinked="1"/>
        <c:tickLblPos val="nextTo"/>
        <c:crossAx val="78985472"/>
        <c:crosses val="autoZero"/>
        <c:crossBetween val="midCat"/>
      </c:valAx>
      <c:valAx>
        <c:axId val="78985472"/>
        <c:scaling>
          <c:orientation val="minMax"/>
        </c:scaling>
        <c:axPos val="l"/>
        <c:majorGridlines/>
        <c:title>
          <c:tx>
            <c:rich>
              <a:bodyPr/>
              <a:lstStyle/>
              <a:p>
                <a:pPr>
                  <a:defRPr/>
                </a:pPr>
                <a:r>
                  <a:rPr lang="en-US"/>
                  <a:t>Y</a:t>
                </a:r>
              </a:p>
            </c:rich>
          </c:tx>
        </c:title>
        <c:numFmt formatCode="General" sourceLinked="1"/>
        <c:tickLblPos val="nextTo"/>
        <c:crossAx val="78983168"/>
        <c:crosses val="autoZero"/>
        <c:crossBetween val="midCat"/>
      </c:valAx>
    </c:plotArea>
    <c:legend>
      <c:legendPos val="r"/>
    </c:legend>
    <c:plotVisOnly val="1"/>
    <c:dispBlanksAs val="gap"/>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X Variable 1 Line Fit  Plot</a:t>
            </a:r>
          </a:p>
        </c:rich>
      </c:tx>
    </c:title>
    <c:plotArea>
      <c:layout/>
      <c:scatterChart>
        <c:scatterStyle val="lineMarker"/>
        <c:ser>
          <c:idx val="0"/>
          <c:order val="0"/>
          <c:tx>
            <c:v>Y</c:v>
          </c:tx>
          <c:spPr>
            <a:ln w="28575">
              <a:noFill/>
            </a:ln>
          </c:spPr>
          <c:trendline>
            <c:trendlineType val="linear"/>
            <c:dispEq val="1"/>
            <c:trendlineLbl>
              <c:layout>
                <c:manualLayout>
                  <c:x val="0.55598479877515306"/>
                  <c:y val="-0.26047761271220432"/>
                </c:manualLayout>
              </c:layout>
              <c:numFmt formatCode="General" sourceLinked="0"/>
            </c:trendlineLbl>
          </c:trendline>
          <c:xVal>
            <c:numRef>
              <c:f>'Table-A'!$G$6:$G$30</c:f>
              <c:numCache>
                <c:formatCode>General</c:formatCode>
                <c:ptCount val="25"/>
                <c:pt idx="0">
                  <c:v>7</c:v>
                </c:pt>
                <c:pt idx="1">
                  <c:v>9</c:v>
                </c:pt>
                <c:pt idx="2">
                  <c:v>7</c:v>
                </c:pt>
                <c:pt idx="3">
                  <c:v>9</c:v>
                </c:pt>
                <c:pt idx="4">
                  <c:v>10</c:v>
                </c:pt>
                <c:pt idx="5">
                  <c:v>9</c:v>
                </c:pt>
                <c:pt idx="6">
                  <c:v>9</c:v>
                </c:pt>
                <c:pt idx="7">
                  <c:v>7</c:v>
                </c:pt>
                <c:pt idx="8">
                  <c:v>7</c:v>
                </c:pt>
                <c:pt idx="9">
                  <c:v>7</c:v>
                </c:pt>
                <c:pt idx="10">
                  <c:v>8</c:v>
                </c:pt>
                <c:pt idx="11">
                  <c:v>10</c:v>
                </c:pt>
                <c:pt idx="12">
                  <c:v>8</c:v>
                </c:pt>
                <c:pt idx="13">
                  <c:v>9</c:v>
                </c:pt>
                <c:pt idx="14">
                  <c:v>8</c:v>
                </c:pt>
                <c:pt idx="15">
                  <c:v>8</c:v>
                </c:pt>
                <c:pt idx="16">
                  <c:v>9</c:v>
                </c:pt>
                <c:pt idx="17">
                  <c:v>7</c:v>
                </c:pt>
                <c:pt idx="18">
                  <c:v>10</c:v>
                </c:pt>
                <c:pt idx="19">
                  <c:v>7</c:v>
                </c:pt>
                <c:pt idx="20">
                  <c:v>8</c:v>
                </c:pt>
                <c:pt idx="21">
                  <c:v>4</c:v>
                </c:pt>
                <c:pt idx="22">
                  <c:v>7</c:v>
                </c:pt>
                <c:pt idx="23">
                  <c:v>8</c:v>
                </c:pt>
                <c:pt idx="24">
                  <c:v>8</c:v>
                </c:pt>
              </c:numCache>
            </c:numRef>
          </c:xVal>
          <c:yVal>
            <c:numRef>
              <c:f>'Table-A'!$J$6:$J$30</c:f>
              <c:numCache>
                <c:formatCode>General</c:formatCode>
                <c:ptCount val="25"/>
                <c:pt idx="0">
                  <c:v>0.69000000000000061</c:v>
                </c:pt>
                <c:pt idx="1">
                  <c:v>0.26</c:v>
                </c:pt>
                <c:pt idx="2">
                  <c:v>0.38000000000000206</c:v>
                </c:pt>
                <c:pt idx="3">
                  <c:v>1.32</c:v>
                </c:pt>
                <c:pt idx="4">
                  <c:v>0.19</c:v>
                </c:pt>
                <c:pt idx="5">
                  <c:v>1.1100000000000001</c:v>
                </c:pt>
                <c:pt idx="6">
                  <c:v>0.91</c:v>
                </c:pt>
                <c:pt idx="7">
                  <c:v>1.22</c:v>
                </c:pt>
                <c:pt idx="8">
                  <c:v>0.98</c:v>
                </c:pt>
                <c:pt idx="9">
                  <c:v>0.30000000000000032</c:v>
                </c:pt>
                <c:pt idx="10">
                  <c:v>1.57</c:v>
                </c:pt>
                <c:pt idx="11">
                  <c:v>0.53</c:v>
                </c:pt>
                <c:pt idx="12">
                  <c:v>0.70000000000000062</c:v>
                </c:pt>
                <c:pt idx="13">
                  <c:v>0.85000000000000064</c:v>
                </c:pt>
                <c:pt idx="14">
                  <c:v>1.6300000000000001</c:v>
                </c:pt>
                <c:pt idx="15">
                  <c:v>0.97000000000000064</c:v>
                </c:pt>
                <c:pt idx="16">
                  <c:v>1.1900000000000073</c:v>
                </c:pt>
                <c:pt idx="17">
                  <c:v>0.19</c:v>
                </c:pt>
                <c:pt idx="18">
                  <c:v>1.1299999999999917</c:v>
                </c:pt>
                <c:pt idx="19">
                  <c:v>0.39000000000000207</c:v>
                </c:pt>
                <c:pt idx="20">
                  <c:v>1.6300000000000001</c:v>
                </c:pt>
                <c:pt idx="21">
                  <c:v>0.9</c:v>
                </c:pt>
                <c:pt idx="22">
                  <c:v>4.0000000000000022E-2</c:v>
                </c:pt>
                <c:pt idx="23">
                  <c:v>0.28000000000000008</c:v>
                </c:pt>
                <c:pt idx="24">
                  <c:v>0.59</c:v>
                </c:pt>
              </c:numCache>
            </c:numRef>
          </c:yVal>
        </c:ser>
        <c:axId val="128153088"/>
        <c:axId val="128160896"/>
      </c:scatterChart>
      <c:valAx>
        <c:axId val="128153088"/>
        <c:scaling>
          <c:orientation val="minMax"/>
        </c:scaling>
        <c:axPos val="b"/>
        <c:title>
          <c:tx>
            <c:rich>
              <a:bodyPr/>
              <a:lstStyle/>
              <a:p>
                <a:pPr>
                  <a:defRPr/>
                </a:pPr>
                <a:r>
                  <a:rPr lang="en-US"/>
                  <a:t>Board Meetings</a:t>
                </a:r>
              </a:p>
            </c:rich>
          </c:tx>
        </c:title>
        <c:numFmt formatCode="General" sourceLinked="1"/>
        <c:tickLblPos val="nextTo"/>
        <c:crossAx val="128160896"/>
        <c:crosses val="autoZero"/>
        <c:crossBetween val="midCat"/>
      </c:valAx>
      <c:valAx>
        <c:axId val="128160896"/>
        <c:scaling>
          <c:orientation val="minMax"/>
        </c:scaling>
        <c:axPos val="l"/>
        <c:majorGridlines/>
        <c:title>
          <c:tx>
            <c:rich>
              <a:bodyPr/>
              <a:lstStyle/>
              <a:p>
                <a:pPr>
                  <a:defRPr/>
                </a:pPr>
                <a:r>
                  <a:rPr lang="en-US"/>
                  <a:t>Y</a:t>
                </a:r>
              </a:p>
            </c:rich>
          </c:tx>
        </c:title>
        <c:numFmt formatCode="General" sourceLinked="1"/>
        <c:tickLblPos val="nextTo"/>
        <c:crossAx val="128153088"/>
        <c:crosses val="autoZero"/>
        <c:crossBetween val="midCat"/>
      </c:valAx>
    </c:plotArea>
    <c:legend>
      <c:legendPos val="r"/>
    </c:legend>
    <c:plotVisOnly val="1"/>
    <c:dispBlanksAs val="gap"/>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X Variable 1 Line Fit  Plot</a:t>
            </a:r>
          </a:p>
        </c:rich>
      </c:tx>
    </c:title>
    <c:plotArea>
      <c:layout/>
      <c:scatterChart>
        <c:scatterStyle val="lineMarker"/>
        <c:ser>
          <c:idx val="0"/>
          <c:order val="0"/>
          <c:tx>
            <c:v>Y</c:v>
          </c:tx>
          <c:spPr>
            <a:ln w="28575">
              <a:noFill/>
            </a:ln>
          </c:spPr>
          <c:trendline>
            <c:trendlineType val="linear"/>
            <c:dispEq val="1"/>
            <c:trendlineLbl>
              <c:layout>
                <c:manualLayout>
                  <c:x val="0.40781195319335306"/>
                  <c:y val="-0.17669756797641675"/>
                </c:manualLayout>
              </c:layout>
              <c:numFmt formatCode="General" sourceLinked="0"/>
            </c:trendlineLbl>
          </c:trendline>
          <c:xVal>
            <c:numRef>
              <c:f>'Table-B'!$I$6:$I$30</c:f>
              <c:numCache>
                <c:formatCode>General</c:formatCode>
                <c:ptCount val="25"/>
                <c:pt idx="0">
                  <c:v>10</c:v>
                </c:pt>
                <c:pt idx="1">
                  <c:v>16</c:v>
                </c:pt>
                <c:pt idx="2">
                  <c:v>13</c:v>
                </c:pt>
                <c:pt idx="3">
                  <c:v>10</c:v>
                </c:pt>
                <c:pt idx="4">
                  <c:v>13</c:v>
                </c:pt>
                <c:pt idx="5">
                  <c:v>16</c:v>
                </c:pt>
                <c:pt idx="6">
                  <c:v>10</c:v>
                </c:pt>
                <c:pt idx="7">
                  <c:v>13</c:v>
                </c:pt>
                <c:pt idx="8">
                  <c:v>10</c:v>
                </c:pt>
                <c:pt idx="9">
                  <c:v>8</c:v>
                </c:pt>
                <c:pt idx="10">
                  <c:v>7</c:v>
                </c:pt>
                <c:pt idx="11">
                  <c:v>11</c:v>
                </c:pt>
                <c:pt idx="12">
                  <c:v>12</c:v>
                </c:pt>
                <c:pt idx="13">
                  <c:v>9</c:v>
                </c:pt>
                <c:pt idx="14">
                  <c:v>14</c:v>
                </c:pt>
                <c:pt idx="15">
                  <c:v>13</c:v>
                </c:pt>
                <c:pt idx="16">
                  <c:v>14</c:v>
                </c:pt>
                <c:pt idx="17">
                  <c:v>10</c:v>
                </c:pt>
                <c:pt idx="18">
                  <c:v>10</c:v>
                </c:pt>
                <c:pt idx="19">
                  <c:v>12</c:v>
                </c:pt>
                <c:pt idx="20">
                  <c:v>11</c:v>
                </c:pt>
                <c:pt idx="21">
                  <c:v>9</c:v>
                </c:pt>
                <c:pt idx="22">
                  <c:v>7</c:v>
                </c:pt>
                <c:pt idx="23">
                  <c:v>8</c:v>
                </c:pt>
                <c:pt idx="24">
                  <c:v>9</c:v>
                </c:pt>
              </c:numCache>
            </c:numRef>
          </c:xVal>
          <c:yVal>
            <c:numRef>
              <c:f>'Table-B'!$H$6:$H$30</c:f>
              <c:numCache>
                <c:formatCode>General</c:formatCode>
                <c:ptCount val="25"/>
                <c:pt idx="0">
                  <c:v>0.69000000000000061</c:v>
                </c:pt>
                <c:pt idx="1">
                  <c:v>0.26</c:v>
                </c:pt>
                <c:pt idx="2">
                  <c:v>0.38000000000000206</c:v>
                </c:pt>
                <c:pt idx="3">
                  <c:v>1.32</c:v>
                </c:pt>
                <c:pt idx="4">
                  <c:v>0.19</c:v>
                </c:pt>
                <c:pt idx="5">
                  <c:v>1.1100000000000001</c:v>
                </c:pt>
                <c:pt idx="6">
                  <c:v>0.91</c:v>
                </c:pt>
                <c:pt idx="7">
                  <c:v>1.22</c:v>
                </c:pt>
                <c:pt idx="8">
                  <c:v>0.98</c:v>
                </c:pt>
                <c:pt idx="9">
                  <c:v>0.30000000000000032</c:v>
                </c:pt>
                <c:pt idx="10">
                  <c:v>1.57</c:v>
                </c:pt>
                <c:pt idx="11">
                  <c:v>0.53</c:v>
                </c:pt>
                <c:pt idx="12">
                  <c:v>0.70000000000000062</c:v>
                </c:pt>
                <c:pt idx="13">
                  <c:v>0.85000000000000064</c:v>
                </c:pt>
                <c:pt idx="14">
                  <c:v>1.6300000000000001</c:v>
                </c:pt>
                <c:pt idx="15">
                  <c:v>0.97000000000000064</c:v>
                </c:pt>
                <c:pt idx="16">
                  <c:v>1.1900000000000073</c:v>
                </c:pt>
                <c:pt idx="17">
                  <c:v>0.19</c:v>
                </c:pt>
                <c:pt idx="18">
                  <c:v>1.1299999999999917</c:v>
                </c:pt>
                <c:pt idx="19">
                  <c:v>0.39000000000000207</c:v>
                </c:pt>
                <c:pt idx="20">
                  <c:v>1.6300000000000001</c:v>
                </c:pt>
                <c:pt idx="21">
                  <c:v>0.9</c:v>
                </c:pt>
                <c:pt idx="22">
                  <c:v>4.0000000000000022E-2</c:v>
                </c:pt>
                <c:pt idx="23">
                  <c:v>0.28000000000000008</c:v>
                </c:pt>
                <c:pt idx="24">
                  <c:v>0.59</c:v>
                </c:pt>
              </c:numCache>
            </c:numRef>
          </c:yVal>
        </c:ser>
        <c:axId val="80259712"/>
        <c:axId val="88410368"/>
      </c:scatterChart>
      <c:valAx>
        <c:axId val="80259712"/>
        <c:scaling>
          <c:orientation val="minMax"/>
        </c:scaling>
        <c:axPos val="b"/>
        <c:title>
          <c:tx>
            <c:rich>
              <a:bodyPr/>
              <a:lstStyle/>
              <a:p>
                <a:pPr>
                  <a:defRPr/>
                </a:pPr>
                <a:r>
                  <a:rPr lang="en-US"/>
                  <a:t>BOD</a:t>
                </a:r>
              </a:p>
            </c:rich>
          </c:tx>
        </c:title>
        <c:numFmt formatCode="General" sourceLinked="1"/>
        <c:tickLblPos val="nextTo"/>
        <c:crossAx val="88410368"/>
        <c:crosses val="autoZero"/>
        <c:crossBetween val="midCat"/>
      </c:valAx>
      <c:valAx>
        <c:axId val="88410368"/>
        <c:scaling>
          <c:orientation val="minMax"/>
        </c:scaling>
        <c:axPos val="l"/>
        <c:majorGridlines/>
        <c:title>
          <c:tx>
            <c:rich>
              <a:bodyPr/>
              <a:lstStyle/>
              <a:p>
                <a:pPr>
                  <a:defRPr/>
                </a:pPr>
                <a:r>
                  <a:rPr lang="en-US"/>
                  <a:t>Y</a:t>
                </a:r>
              </a:p>
            </c:rich>
          </c:tx>
        </c:title>
        <c:numFmt formatCode="General" sourceLinked="1"/>
        <c:tickLblPos val="nextTo"/>
        <c:crossAx val="80259712"/>
        <c:crosses val="autoZero"/>
        <c:crossBetween val="midCat"/>
      </c:valAx>
    </c:plotArea>
    <c:legend>
      <c:legendPos val="r"/>
    </c:legend>
    <c:plotVisOnly val="1"/>
    <c:dispBlanksAs val="gap"/>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X Variable 1 Line Fit  Plot</a:t>
            </a:r>
          </a:p>
        </c:rich>
      </c:tx>
    </c:title>
    <c:plotArea>
      <c:layout/>
      <c:scatterChart>
        <c:scatterStyle val="lineMarker"/>
        <c:ser>
          <c:idx val="0"/>
          <c:order val="0"/>
          <c:tx>
            <c:v>Y</c:v>
          </c:tx>
          <c:spPr>
            <a:ln w="28575">
              <a:noFill/>
            </a:ln>
          </c:spPr>
          <c:trendline>
            <c:trendlineType val="linear"/>
            <c:dispEq val="1"/>
            <c:trendlineLbl>
              <c:layout>
                <c:manualLayout>
                  <c:x val="0.29102591684236395"/>
                  <c:y val="-0.17818496825827787"/>
                </c:manualLayout>
              </c:layout>
              <c:numFmt formatCode="General" sourceLinked="0"/>
            </c:trendlineLbl>
          </c:trendline>
          <c:xVal>
            <c:numRef>
              <c:f>'Table-B'!$D$6:$D$30</c:f>
              <c:numCache>
                <c:formatCode>General</c:formatCode>
                <c:ptCount val="25"/>
                <c:pt idx="0">
                  <c:v>142043</c:v>
                </c:pt>
                <c:pt idx="1">
                  <c:v>189237.8</c:v>
                </c:pt>
                <c:pt idx="2">
                  <c:v>92156.28</c:v>
                </c:pt>
                <c:pt idx="3">
                  <c:v>66844.739999999991</c:v>
                </c:pt>
                <c:pt idx="4">
                  <c:v>305439.48000000021</c:v>
                </c:pt>
                <c:pt idx="5">
                  <c:v>293972.64999999985</c:v>
                </c:pt>
                <c:pt idx="6">
                  <c:v>116747.5</c:v>
                </c:pt>
                <c:pt idx="7">
                  <c:v>64209.619999999995</c:v>
                </c:pt>
                <c:pt idx="8">
                  <c:v>5610.17</c:v>
                </c:pt>
                <c:pt idx="9">
                  <c:v>9121.6200000000008</c:v>
                </c:pt>
                <c:pt idx="10">
                  <c:v>167667.1</c:v>
                </c:pt>
                <c:pt idx="11">
                  <c:v>105804.18000000002</c:v>
                </c:pt>
                <c:pt idx="12">
                  <c:v>139054.26</c:v>
                </c:pt>
                <c:pt idx="13">
                  <c:v>433224</c:v>
                </c:pt>
                <c:pt idx="14">
                  <c:v>933932.81</c:v>
                </c:pt>
                <c:pt idx="15">
                  <c:v>135596.07999999999</c:v>
                </c:pt>
                <c:pt idx="16">
                  <c:v>202461.29</c:v>
                </c:pt>
                <c:pt idx="17">
                  <c:v>208586.41</c:v>
                </c:pt>
                <c:pt idx="18">
                  <c:v>225602.11000000004</c:v>
                </c:pt>
                <c:pt idx="19">
                  <c:v>30194.25</c:v>
                </c:pt>
                <c:pt idx="20">
                  <c:v>27336.45</c:v>
                </c:pt>
                <c:pt idx="21">
                  <c:v>11149.51</c:v>
                </c:pt>
                <c:pt idx="22">
                  <c:v>45938.93</c:v>
                </c:pt>
                <c:pt idx="23">
                  <c:v>34365.370000000003</c:v>
                </c:pt>
                <c:pt idx="24">
                  <c:v>29260.97</c:v>
                </c:pt>
              </c:numCache>
            </c:numRef>
          </c:xVal>
          <c:yVal>
            <c:numRef>
              <c:f>'Table-B'!$H$6:$H$30</c:f>
              <c:numCache>
                <c:formatCode>General</c:formatCode>
                <c:ptCount val="25"/>
                <c:pt idx="0">
                  <c:v>0.69000000000000061</c:v>
                </c:pt>
                <c:pt idx="1">
                  <c:v>0.26</c:v>
                </c:pt>
                <c:pt idx="2">
                  <c:v>0.38000000000000206</c:v>
                </c:pt>
                <c:pt idx="3">
                  <c:v>1.32</c:v>
                </c:pt>
                <c:pt idx="4">
                  <c:v>0.19</c:v>
                </c:pt>
                <c:pt idx="5">
                  <c:v>1.1100000000000001</c:v>
                </c:pt>
                <c:pt idx="6">
                  <c:v>0.91</c:v>
                </c:pt>
                <c:pt idx="7">
                  <c:v>1.22</c:v>
                </c:pt>
                <c:pt idx="8">
                  <c:v>0.98</c:v>
                </c:pt>
                <c:pt idx="9">
                  <c:v>0.30000000000000032</c:v>
                </c:pt>
                <c:pt idx="10">
                  <c:v>1.57</c:v>
                </c:pt>
                <c:pt idx="11">
                  <c:v>0.53</c:v>
                </c:pt>
                <c:pt idx="12">
                  <c:v>0.70000000000000062</c:v>
                </c:pt>
                <c:pt idx="13">
                  <c:v>0.85000000000000064</c:v>
                </c:pt>
                <c:pt idx="14">
                  <c:v>1.6300000000000001</c:v>
                </c:pt>
                <c:pt idx="15">
                  <c:v>0.97000000000000064</c:v>
                </c:pt>
                <c:pt idx="16">
                  <c:v>1.1900000000000073</c:v>
                </c:pt>
                <c:pt idx="17">
                  <c:v>0.19</c:v>
                </c:pt>
                <c:pt idx="18">
                  <c:v>1.1299999999999917</c:v>
                </c:pt>
                <c:pt idx="19">
                  <c:v>0.39000000000000207</c:v>
                </c:pt>
                <c:pt idx="20">
                  <c:v>1.6300000000000001</c:v>
                </c:pt>
                <c:pt idx="21">
                  <c:v>0.9</c:v>
                </c:pt>
                <c:pt idx="22">
                  <c:v>4.0000000000000022E-2</c:v>
                </c:pt>
                <c:pt idx="23">
                  <c:v>0.28000000000000008</c:v>
                </c:pt>
                <c:pt idx="24">
                  <c:v>0.59</c:v>
                </c:pt>
              </c:numCache>
            </c:numRef>
          </c:yVal>
        </c:ser>
        <c:axId val="61223680"/>
        <c:axId val="61225600"/>
      </c:scatterChart>
      <c:valAx>
        <c:axId val="61223680"/>
        <c:scaling>
          <c:orientation val="minMax"/>
        </c:scaling>
        <c:axPos val="b"/>
        <c:title>
          <c:tx>
            <c:rich>
              <a:bodyPr/>
              <a:lstStyle/>
              <a:p>
                <a:pPr>
                  <a:defRPr/>
                </a:pPr>
                <a:r>
                  <a:rPr lang="en-US"/>
                  <a:t>TOTAL DEPOSIT</a:t>
                </a:r>
              </a:p>
            </c:rich>
          </c:tx>
        </c:title>
        <c:numFmt formatCode="General" sourceLinked="1"/>
        <c:tickLblPos val="nextTo"/>
        <c:crossAx val="61225600"/>
        <c:crosses val="autoZero"/>
        <c:crossBetween val="midCat"/>
      </c:valAx>
      <c:valAx>
        <c:axId val="61225600"/>
        <c:scaling>
          <c:orientation val="minMax"/>
        </c:scaling>
        <c:axPos val="l"/>
        <c:majorGridlines/>
        <c:title>
          <c:tx>
            <c:rich>
              <a:bodyPr/>
              <a:lstStyle/>
              <a:p>
                <a:pPr>
                  <a:defRPr/>
                </a:pPr>
                <a:r>
                  <a:rPr lang="en-US"/>
                  <a:t>Y</a:t>
                </a:r>
              </a:p>
            </c:rich>
          </c:tx>
        </c:title>
        <c:numFmt formatCode="General" sourceLinked="1"/>
        <c:tickLblPos val="nextTo"/>
        <c:crossAx val="61223680"/>
        <c:crosses val="autoZero"/>
        <c:crossBetween val="midCat"/>
      </c:valAx>
    </c:plotArea>
    <c:legend>
      <c:legendPos val="r"/>
    </c:legend>
    <c:plotVisOnly val="1"/>
    <c:dispBlanksAs val="gap"/>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X Variable 1 Line Fit  Plot</a:t>
            </a:r>
          </a:p>
        </c:rich>
      </c:tx>
    </c:title>
    <c:plotArea>
      <c:layout>
        <c:manualLayout>
          <c:layoutTarget val="inner"/>
          <c:xMode val="edge"/>
          <c:yMode val="edge"/>
          <c:x val="0.18800634295713262"/>
          <c:y val="0.21974322175245553"/>
          <c:w val="0.58296532082425145"/>
          <c:h val="0.51207374940201356"/>
        </c:manualLayout>
      </c:layout>
      <c:scatterChart>
        <c:scatterStyle val="lineMarker"/>
        <c:ser>
          <c:idx val="0"/>
          <c:order val="0"/>
          <c:tx>
            <c:v>Y</c:v>
          </c:tx>
          <c:spPr>
            <a:ln w="28575">
              <a:noFill/>
            </a:ln>
          </c:spPr>
          <c:trendline>
            <c:trendlineType val="linear"/>
            <c:dispEq val="1"/>
            <c:trendlineLbl>
              <c:layout>
                <c:manualLayout>
                  <c:x val="0.25540161203253825"/>
                  <c:y val="-0.18936012308806241"/>
                </c:manualLayout>
              </c:layout>
              <c:numFmt formatCode="General" sourceLinked="0"/>
            </c:trendlineLbl>
          </c:trendline>
          <c:xVal>
            <c:numRef>
              <c:f>'Table-B'!$E$6:$E$30</c:f>
              <c:numCache>
                <c:formatCode>General</c:formatCode>
                <c:ptCount val="25"/>
                <c:pt idx="0">
                  <c:v>96854</c:v>
                </c:pt>
                <c:pt idx="1">
                  <c:v>142407.82999999891</c:v>
                </c:pt>
                <c:pt idx="2">
                  <c:v>71435.360000000001</c:v>
                </c:pt>
                <c:pt idx="3">
                  <c:v>46880.77</c:v>
                </c:pt>
                <c:pt idx="4">
                  <c:v>228676.36</c:v>
                </c:pt>
                <c:pt idx="5">
                  <c:v>212467.17</c:v>
                </c:pt>
                <c:pt idx="6">
                  <c:v>86850.4</c:v>
                </c:pt>
                <c:pt idx="7">
                  <c:v>45163.37</c:v>
                </c:pt>
                <c:pt idx="8">
                  <c:v>4271.45</c:v>
                </c:pt>
                <c:pt idx="9">
                  <c:v>12529.630000000006</c:v>
                </c:pt>
                <c:pt idx="10">
                  <c:v>38201.800000000003</c:v>
                </c:pt>
                <c:pt idx="11">
                  <c:v>75249.909999999989</c:v>
                </c:pt>
                <c:pt idx="12">
                  <c:v>95908.22</c:v>
                </c:pt>
                <c:pt idx="13">
                  <c:v>242107</c:v>
                </c:pt>
                <c:pt idx="14">
                  <c:v>756719.45000000042</c:v>
                </c:pt>
                <c:pt idx="15">
                  <c:v>106781.92</c:v>
                </c:pt>
                <c:pt idx="16">
                  <c:v>153022</c:v>
                </c:pt>
                <c:pt idx="17">
                  <c:v>159982.67000000001</c:v>
                </c:pt>
                <c:pt idx="18">
                  <c:v>216365.9</c:v>
                </c:pt>
                <c:pt idx="19">
                  <c:v>23602.14</c:v>
                </c:pt>
                <c:pt idx="20">
                  <c:v>17348.07</c:v>
                </c:pt>
                <c:pt idx="21">
                  <c:v>8094.42</c:v>
                </c:pt>
                <c:pt idx="22">
                  <c:v>34363.64</c:v>
                </c:pt>
                <c:pt idx="23">
                  <c:v>26165.649999999896</c:v>
                </c:pt>
                <c:pt idx="24">
                  <c:v>29329.309999999896</c:v>
                </c:pt>
              </c:numCache>
            </c:numRef>
          </c:xVal>
          <c:yVal>
            <c:numRef>
              <c:f>'Table-B'!$H$6:$H$30</c:f>
              <c:numCache>
                <c:formatCode>General</c:formatCode>
                <c:ptCount val="25"/>
                <c:pt idx="0">
                  <c:v>0.69000000000000061</c:v>
                </c:pt>
                <c:pt idx="1">
                  <c:v>0.26</c:v>
                </c:pt>
                <c:pt idx="2">
                  <c:v>0.38000000000000206</c:v>
                </c:pt>
                <c:pt idx="3">
                  <c:v>1.32</c:v>
                </c:pt>
                <c:pt idx="4">
                  <c:v>0.19</c:v>
                </c:pt>
                <c:pt idx="5">
                  <c:v>1.1100000000000001</c:v>
                </c:pt>
                <c:pt idx="6">
                  <c:v>0.91</c:v>
                </c:pt>
                <c:pt idx="7">
                  <c:v>1.22</c:v>
                </c:pt>
                <c:pt idx="8">
                  <c:v>0.98</c:v>
                </c:pt>
                <c:pt idx="9">
                  <c:v>0.30000000000000032</c:v>
                </c:pt>
                <c:pt idx="10">
                  <c:v>1.57</c:v>
                </c:pt>
                <c:pt idx="11">
                  <c:v>0.53</c:v>
                </c:pt>
                <c:pt idx="12">
                  <c:v>0.70000000000000062</c:v>
                </c:pt>
                <c:pt idx="13">
                  <c:v>0.85000000000000064</c:v>
                </c:pt>
                <c:pt idx="14">
                  <c:v>1.6300000000000001</c:v>
                </c:pt>
                <c:pt idx="15">
                  <c:v>0.97000000000000064</c:v>
                </c:pt>
                <c:pt idx="16">
                  <c:v>1.1900000000000073</c:v>
                </c:pt>
                <c:pt idx="17">
                  <c:v>0.19</c:v>
                </c:pt>
                <c:pt idx="18">
                  <c:v>1.1299999999999917</c:v>
                </c:pt>
                <c:pt idx="19">
                  <c:v>0.39000000000000207</c:v>
                </c:pt>
                <c:pt idx="20">
                  <c:v>1.6300000000000001</c:v>
                </c:pt>
                <c:pt idx="21">
                  <c:v>0.9</c:v>
                </c:pt>
                <c:pt idx="22">
                  <c:v>4.0000000000000022E-2</c:v>
                </c:pt>
                <c:pt idx="23">
                  <c:v>0.28000000000000008</c:v>
                </c:pt>
                <c:pt idx="24">
                  <c:v>0.59</c:v>
                </c:pt>
              </c:numCache>
            </c:numRef>
          </c:yVal>
        </c:ser>
        <c:axId val="134955008"/>
        <c:axId val="134956928"/>
      </c:scatterChart>
      <c:valAx>
        <c:axId val="134955008"/>
        <c:scaling>
          <c:orientation val="minMax"/>
        </c:scaling>
        <c:axPos val="b"/>
        <c:title>
          <c:tx>
            <c:rich>
              <a:bodyPr/>
              <a:lstStyle/>
              <a:p>
                <a:pPr>
                  <a:defRPr/>
                </a:pPr>
                <a:r>
                  <a:rPr lang="en-US"/>
                  <a:t>TOTAL CREDIT</a:t>
                </a:r>
              </a:p>
            </c:rich>
          </c:tx>
        </c:title>
        <c:numFmt formatCode="General" sourceLinked="1"/>
        <c:tickLblPos val="nextTo"/>
        <c:crossAx val="134956928"/>
        <c:crosses val="autoZero"/>
        <c:crossBetween val="midCat"/>
      </c:valAx>
      <c:valAx>
        <c:axId val="134956928"/>
        <c:scaling>
          <c:orientation val="minMax"/>
        </c:scaling>
        <c:axPos val="l"/>
        <c:majorGridlines/>
        <c:title>
          <c:tx>
            <c:rich>
              <a:bodyPr/>
              <a:lstStyle/>
              <a:p>
                <a:pPr>
                  <a:defRPr/>
                </a:pPr>
                <a:r>
                  <a:rPr lang="en-US"/>
                  <a:t>Y</a:t>
                </a:r>
              </a:p>
            </c:rich>
          </c:tx>
        </c:title>
        <c:numFmt formatCode="General" sourceLinked="1"/>
        <c:tickLblPos val="nextTo"/>
        <c:crossAx val="134955008"/>
        <c:crosses val="autoZero"/>
        <c:crossBetween val="midCat"/>
      </c:valAx>
    </c:plotArea>
    <c:legend>
      <c:legendPos val="r"/>
    </c:legend>
    <c:plotVisOnly val="1"/>
    <c:dispBlanksAs val="gap"/>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X Variable 1 Line Fit  Plot</a:t>
            </a:r>
          </a:p>
        </c:rich>
      </c:tx>
    </c:title>
    <c:plotArea>
      <c:layout/>
      <c:scatterChart>
        <c:scatterStyle val="lineMarker"/>
        <c:ser>
          <c:idx val="0"/>
          <c:order val="0"/>
          <c:tx>
            <c:v>Y</c:v>
          </c:tx>
          <c:spPr>
            <a:ln w="28575">
              <a:noFill/>
            </a:ln>
          </c:spPr>
          <c:xVal>
            <c:numRef>
              <c:f>'Table-C'!$C$6:$C$30</c:f>
              <c:numCache>
                <c:formatCode>General</c:formatCode>
                <c:ptCount val="25"/>
                <c:pt idx="0">
                  <c:v>1.77</c:v>
                </c:pt>
                <c:pt idx="1">
                  <c:v>1.01</c:v>
                </c:pt>
                <c:pt idx="2">
                  <c:v>1.3800000000000001</c:v>
                </c:pt>
                <c:pt idx="3">
                  <c:v>2.4699999999999998</c:v>
                </c:pt>
                <c:pt idx="4">
                  <c:v>0.62000000000000366</c:v>
                </c:pt>
                <c:pt idx="5">
                  <c:v>1.45</c:v>
                </c:pt>
                <c:pt idx="6">
                  <c:v>1.32</c:v>
                </c:pt>
                <c:pt idx="7">
                  <c:v>1.86</c:v>
                </c:pt>
                <c:pt idx="8">
                  <c:v>5.88</c:v>
                </c:pt>
                <c:pt idx="9">
                  <c:v>0.74000000000000365</c:v>
                </c:pt>
                <c:pt idx="10">
                  <c:v>2.4699999999999998</c:v>
                </c:pt>
                <c:pt idx="11">
                  <c:v>0.98</c:v>
                </c:pt>
                <c:pt idx="12">
                  <c:v>1.6700000000000021</c:v>
                </c:pt>
                <c:pt idx="13">
                  <c:v>2.2799999999999998</c:v>
                </c:pt>
                <c:pt idx="14">
                  <c:v>3.2800000000000002</c:v>
                </c:pt>
                <c:pt idx="15">
                  <c:v>2.4</c:v>
                </c:pt>
                <c:pt idx="16">
                  <c:v>2.3699999999999997</c:v>
                </c:pt>
                <c:pt idx="17">
                  <c:v>1.05</c:v>
                </c:pt>
                <c:pt idx="18">
                  <c:v>4.0599999999999996</c:v>
                </c:pt>
                <c:pt idx="19">
                  <c:v>2.2999999999999998</c:v>
                </c:pt>
                <c:pt idx="20">
                  <c:v>3.9699999999999998</c:v>
                </c:pt>
                <c:pt idx="21">
                  <c:v>1.9300000000000073</c:v>
                </c:pt>
                <c:pt idx="22">
                  <c:v>0.2</c:v>
                </c:pt>
                <c:pt idx="23">
                  <c:v>1.08</c:v>
                </c:pt>
                <c:pt idx="24">
                  <c:v>1.71</c:v>
                </c:pt>
              </c:numCache>
            </c:numRef>
          </c:xVal>
          <c:yVal>
            <c:numRef>
              <c:f>'Table-C'!$D$6:$D$30</c:f>
              <c:numCache>
                <c:formatCode>General</c:formatCode>
                <c:ptCount val="25"/>
                <c:pt idx="0">
                  <c:v>0.69000000000000061</c:v>
                </c:pt>
                <c:pt idx="1">
                  <c:v>0.26</c:v>
                </c:pt>
                <c:pt idx="2">
                  <c:v>0.38000000000000206</c:v>
                </c:pt>
                <c:pt idx="3">
                  <c:v>1.32</c:v>
                </c:pt>
                <c:pt idx="4">
                  <c:v>0.19</c:v>
                </c:pt>
                <c:pt idx="5">
                  <c:v>1.1100000000000001</c:v>
                </c:pt>
                <c:pt idx="6">
                  <c:v>0.91</c:v>
                </c:pt>
                <c:pt idx="7">
                  <c:v>1.22</c:v>
                </c:pt>
                <c:pt idx="8">
                  <c:v>0.98</c:v>
                </c:pt>
                <c:pt idx="9">
                  <c:v>0.30000000000000032</c:v>
                </c:pt>
                <c:pt idx="10">
                  <c:v>1.57</c:v>
                </c:pt>
                <c:pt idx="11">
                  <c:v>0.53</c:v>
                </c:pt>
                <c:pt idx="12">
                  <c:v>0.70000000000000062</c:v>
                </c:pt>
                <c:pt idx="13">
                  <c:v>0.85000000000000064</c:v>
                </c:pt>
                <c:pt idx="14">
                  <c:v>1.6300000000000001</c:v>
                </c:pt>
                <c:pt idx="15">
                  <c:v>0.97000000000000064</c:v>
                </c:pt>
                <c:pt idx="16">
                  <c:v>1.1900000000000073</c:v>
                </c:pt>
                <c:pt idx="17">
                  <c:v>0.19</c:v>
                </c:pt>
                <c:pt idx="18">
                  <c:v>1.1299999999999917</c:v>
                </c:pt>
                <c:pt idx="19">
                  <c:v>0.39000000000000207</c:v>
                </c:pt>
                <c:pt idx="20">
                  <c:v>1.6300000000000001</c:v>
                </c:pt>
                <c:pt idx="21">
                  <c:v>0.9</c:v>
                </c:pt>
                <c:pt idx="22">
                  <c:v>4.0000000000000022E-2</c:v>
                </c:pt>
                <c:pt idx="23">
                  <c:v>0.28000000000000008</c:v>
                </c:pt>
                <c:pt idx="24">
                  <c:v>0.59</c:v>
                </c:pt>
              </c:numCache>
            </c:numRef>
          </c:yVal>
        </c:ser>
        <c:axId val="61268352"/>
        <c:axId val="61270272"/>
      </c:scatterChart>
      <c:scatterChart>
        <c:scatterStyle val="lineMarker"/>
        <c:ser>
          <c:idx val="1"/>
          <c:order val="1"/>
          <c:tx>
            <c:v>Predicted Y</c:v>
          </c:tx>
          <c:spPr>
            <a:ln w="28575">
              <a:noFill/>
            </a:ln>
          </c:spPr>
          <c:trendline>
            <c:trendlineType val="linear"/>
            <c:dispEq val="1"/>
            <c:trendlineLbl>
              <c:layout>
                <c:manualLayout>
                  <c:x val="0.58306266404198881"/>
                  <c:y val="-0.25915208874752726"/>
                </c:manualLayout>
              </c:layout>
              <c:numFmt formatCode="General" sourceLinked="0"/>
            </c:trendlineLbl>
          </c:trendline>
          <c:xVal>
            <c:numRef>
              <c:f>'Table-C'!$C$6:$C$30</c:f>
              <c:numCache>
                <c:formatCode>General</c:formatCode>
                <c:ptCount val="25"/>
                <c:pt idx="0">
                  <c:v>1.77</c:v>
                </c:pt>
                <c:pt idx="1">
                  <c:v>1.01</c:v>
                </c:pt>
                <c:pt idx="2">
                  <c:v>1.3800000000000001</c:v>
                </c:pt>
                <c:pt idx="3">
                  <c:v>2.4699999999999998</c:v>
                </c:pt>
                <c:pt idx="4">
                  <c:v>0.62000000000000366</c:v>
                </c:pt>
                <c:pt idx="5">
                  <c:v>1.45</c:v>
                </c:pt>
                <c:pt idx="6">
                  <c:v>1.32</c:v>
                </c:pt>
                <c:pt idx="7">
                  <c:v>1.86</c:v>
                </c:pt>
                <c:pt idx="8">
                  <c:v>5.88</c:v>
                </c:pt>
                <c:pt idx="9">
                  <c:v>0.74000000000000365</c:v>
                </c:pt>
                <c:pt idx="10">
                  <c:v>2.4699999999999998</c:v>
                </c:pt>
                <c:pt idx="11">
                  <c:v>0.98</c:v>
                </c:pt>
                <c:pt idx="12">
                  <c:v>1.6700000000000021</c:v>
                </c:pt>
                <c:pt idx="13">
                  <c:v>2.2799999999999998</c:v>
                </c:pt>
                <c:pt idx="14">
                  <c:v>3.2800000000000002</c:v>
                </c:pt>
                <c:pt idx="15">
                  <c:v>2.4</c:v>
                </c:pt>
                <c:pt idx="16">
                  <c:v>2.3699999999999997</c:v>
                </c:pt>
                <c:pt idx="17">
                  <c:v>1.05</c:v>
                </c:pt>
                <c:pt idx="18">
                  <c:v>4.0599999999999996</c:v>
                </c:pt>
                <c:pt idx="19">
                  <c:v>2.2999999999999998</c:v>
                </c:pt>
                <c:pt idx="20">
                  <c:v>3.9699999999999998</c:v>
                </c:pt>
                <c:pt idx="21">
                  <c:v>1.9300000000000073</c:v>
                </c:pt>
                <c:pt idx="22">
                  <c:v>0.2</c:v>
                </c:pt>
                <c:pt idx="23">
                  <c:v>1.08</c:v>
                </c:pt>
                <c:pt idx="24">
                  <c:v>1.71</c:v>
                </c:pt>
              </c:numCache>
            </c:numRef>
          </c:xVal>
          <c:yVal>
            <c:numRef>
              <c:f>'NET NPA_GROSS NPA'!$B$25:$B$49</c:f>
              <c:numCache>
                <c:formatCode>General</c:formatCode>
                <c:ptCount val="25"/>
                <c:pt idx="0">
                  <c:v>0.7370356772839618</c:v>
                </c:pt>
                <c:pt idx="1">
                  <c:v>0.54398198868315484</c:v>
                </c:pt>
                <c:pt idx="2">
                  <c:v>0.63796865287039295</c:v>
                </c:pt>
                <c:pt idx="3">
                  <c:v>0.91484828520574868</c:v>
                </c:pt>
                <c:pt idx="4">
                  <c:v>0.44491496426958854</c:v>
                </c:pt>
                <c:pt idx="5">
                  <c:v>0.65574991366257829</c:v>
                </c:pt>
                <c:pt idx="6">
                  <c:v>0.62272757219138353</c:v>
                </c:pt>
                <c:pt idx="7">
                  <c:v>0.75989729830247998</c:v>
                </c:pt>
                <c:pt idx="8">
                  <c:v>1.7810497037961899</c:v>
                </c:pt>
                <c:pt idx="9">
                  <c:v>0.47539712562760855</c:v>
                </c:pt>
                <c:pt idx="10">
                  <c:v>0.91484828520574868</c:v>
                </c:pt>
                <c:pt idx="11">
                  <c:v>0.53636144834364952</c:v>
                </c:pt>
                <c:pt idx="12">
                  <c:v>0.71163387615227724</c:v>
                </c:pt>
                <c:pt idx="13">
                  <c:v>0.86658486305554805</c:v>
                </c:pt>
                <c:pt idx="14">
                  <c:v>1.1206028743723941</c:v>
                </c:pt>
                <c:pt idx="15">
                  <c:v>0.89706702441356945</c:v>
                </c:pt>
                <c:pt idx="16">
                  <c:v>0.88944648407406357</c:v>
                </c:pt>
                <c:pt idx="17">
                  <c:v>0.55414270913582853</c:v>
                </c:pt>
                <c:pt idx="18">
                  <c:v>1.3187369231995321</c:v>
                </c:pt>
                <c:pt idx="19">
                  <c:v>0.87166522328189289</c:v>
                </c:pt>
                <c:pt idx="20">
                  <c:v>1.2958753021810159</c:v>
                </c:pt>
                <c:pt idx="21">
                  <c:v>0.77767855909465611</c:v>
                </c:pt>
                <c:pt idx="22">
                  <c:v>0.33822739951651037</c:v>
                </c:pt>
                <c:pt idx="23">
                  <c:v>0.56176324947533407</c:v>
                </c:pt>
                <c:pt idx="24">
                  <c:v>0.72179459660495104</c:v>
                </c:pt>
              </c:numCache>
            </c:numRef>
          </c:yVal>
        </c:ser>
        <c:axId val="63080320"/>
        <c:axId val="63078784"/>
      </c:scatterChart>
      <c:valAx>
        <c:axId val="61268352"/>
        <c:scaling>
          <c:orientation val="minMax"/>
        </c:scaling>
        <c:axPos val="b"/>
        <c:title>
          <c:tx>
            <c:rich>
              <a:bodyPr/>
              <a:lstStyle/>
              <a:p>
                <a:pPr>
                  <a:defRPr/>
                </a:pPr>
                <a:r>
                  <a:rPr lang="en-US"/>
                  <a:t>GROSSNPA</a:t>
                </a:r>
              </a:p>
            </c:rich>
          </c:tx>
        </c:title>
        <c:numFmt formatCode="General" sourceLinked="1"/>
        <c:tickLblPos val="nextTo"/>
        <c:crossAx val="61270272"/>
        <c:crosses val="autoZero"/>
        <c:crossBetween val="midCat"/>
      </c:valAx>
      <c:valAx>
        <c:axId val="61270272"/>
        <c:scaling>
          <c:orientation val="minMax"/>
        </c:scaling>
        <c:axPos val="l"/>
        <c:majorGridlines/>
        <c:title>
          <c:tx>
            <c:rich>
              <a:bodyPr/>
              <a:lstStyle/>
              <a:p>
                <a:pPr>
                  <a:defRPr/>
                </a:pPr>
                <a:r>
                  <a:rPr lang="en-US"/>
                  <a:t>Y</a:t>
                </a:r>
              </a:p>
            </c:rich>
          </c:tx>
        </c:title>
        <c:numFmt formatCode="General" sourceLinked="1"/>
        <c:tickLblPos val="nextTo"/>
        <c:crossAx val="61268352"/>
        <c:crosses val="autoZero"/>
        <c:crossBetween val="midCat"/>
      </c:valAx>
      <c:valAx>
        <c:axId val="63078784"/>
        <c:scaling>
          <c:orientation val="minMax"/>
        </c:scaling>
        <c:axPos val="r"/>
        <c:numFmt formatCode="General" sourceLinked="1"/>
        <c:tickLblPos val="nextTo"/>
        <c:crossAx val="63080320"/>
        <c:crosses val="max"/>
        <c:crossBetween val="midCat"/>
      </c:valAx>
      <c:valAx>
        <c:axId val="63080320"/>
        <c:scaling>
          <c:orientation val="minMax"/>
        </c:scaling>
        <c:axPos val="t"/>
        <c:numFmt formatCode="General" sourceLinked="1"/>
        <c:tickLblPos val="nextTo"/>
        <c:crossAx val="63078784"/>
        <c:crosses val="max"/>
        <c:crossBetween val="midCat"/>
      </c:valAx>
    </c:plotArea>
    <c:legend>
      <c:legendPos val="r"/>
    </c:legend>
    <c:plotVisOnly val="1"/>
    <c:dispBlanksAs val="gap"/>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X Variable 1 Line Fit  Plot</a:t>
            </a:r>
          </a:p>
        </c:rich>
      </c:tx>
    </c:title>
    <c:plotArea>
      <c:layout/>
      <c:scatterChart>
        <c:scatterStyle val="lineMarker"/>
        <c:ser>
          <c:idx val="0"/>
          <c:order val="0"/>
          <c:tx>
            <c:v>Y</c:v>
          </c:tx>
          <c:spPr>
            <a:ln w="28575">
              <a:noFill/>
            </a:ln>
          </c:spPr>
          <c:trendline>
            <c:trendlineType val="linear"/>
            <c:dispEq val="1"/>
            <c:trendlineLbl>
              <c:layout>
                <c:manualLayout>
                  <c:x val="0.43927493438320503"/>
                  <c:y val="-0.32284240332027919"/>
                </c:manualLayout>
              </c:layout>
              <c:numFmt formatCode="General" sourceLinked="0"/>
            </c:trendlineLbl>
          </c:trendline>
          <c:xVal>
            <c:numRef>
              <c:f>'Table-B'!$G$6:$G$30</c:f>
              <c:numCache>
                <c:formatCode>General</c:formatCode>
                <c:ptCount val="25"/>
                <c:pt idx="0">
                  <c:v>3.68</c:v>
                </c:pt>
                <c:pt idx="1">
                  <c:v>3.65</c:v>
                </c:pt>
                <c:pt idx="2">
                  <c:v>3.8</c:v>
                </c:pt>
                <c:pt idx="3">
                  <c:v>3.24</c:v>
                </c:pt>
                <c:pt idx="4">
                  <c:v>3.3899999999999997</c:v>
                </c:pt>
                <c:pt idx="5">
                  <c:v>3.12</c:v>
                </c:pt>
                <c:pt idx="6">
                  <c:v>2.52</c:v>
                </c:pt>
                <c:pt idx="7">
                  <c:v>3.17</c:v>
                </c:pt>
                <c:pt idx="8">
                  <c:v>3.13</c:v>
                </c:pt>
                <c:pt idx="9">
                  <c:v>4.03</c:v>
                </c:pt>
                <c:pt idx="10">
                  <c:v>2.3899999999999997</c:v>
                </c:pt>
                <c:pt idx="11" formatCode="#,##0.00">
                  <c:v>4.18</c:v>
                </c:pt>
                <c:pt idx="12">
                  <c:v>3.3099999999999987</c:v>
                </c:pt>
                <c:pt idx="13">
                  <c:v>3.96</c:v>
                </c:pt>
                <c:pt idx="14">
                  <c:v>4.0999999999999996</c:v>
                </c:pt>
                <c:pt idx="15">
                  <c:v>3.34</c:v>
                </c:pt>
                <c:pt idx="16">
                  <c:v>3.48</c:v>
                </c:pt>
                <c:pt idx="17">
                  <c:v>4.3</c:v>
                </c:pt>
                <c:pt idx="18">
                  <c:v>4.01</c:v>
                </c:pt>
                <c:pt idx="19">
                  <c:v>3.25</c:v>
                </c:pt>
                <c:pt idx="20">
                  <c:v>2.75</c:v>
                </c:pt>
                <c:pt idx="21">
                  <c:v>3.4699999999999998</c:v>
                </c:pt>
                <c:pt idx="22">
                  <c:v>2.9</c:v>
                </c:pt>
                <c:pt idx="23">
                  <c:v>3.4699999999999998</c:v>
                </c:pt>
                <c:pt idx="24">
                  <c:v>6.07</c:v>
                </c:pt>
              </c:numCache>
            </c:numRef>
          </c:xVal>
          <c:yVal>
            <c:numRef>
              <c:f>'Table-B'!$H$6:$H$30</c:f>
              <c:numCache>
                <c:formatCode>General</c:formatCode>
                <c:ptCount val="25"/>
                <c:pt idx="0">
                  <c:v>0.69000000000000061</c:v>
                </c:pt>
                <c:pt idx="1">
                  <c:v>0.26</c:v>
                </c:pt>
                <c:pt idx="2">
                  <c:v>0.38000000000000206</c:v>
                </c:pt>
                <c:pt idx="3">
                  <c:v>1.32</c:v>
                </c:pt>
                <c:pt idx="4">
                  <c:v>0.19</c:v>
                </c:pt>
                <c:pt idx="5">
                  <c:v>1.1100000000000001</c:v>
                </c:pt>
                <c:pt idx="6">
                  <c:v>0.91</c:v>
                </c:pt>
                <c:pt idx="7">
                  <c:v>1.22</c:v>
                </c:pt>
                <c:pt idx="8">
                  <c:v>0.98</c:v>
                </c:pt>
                <c:pt idx="9">
                  <c:v>0.30000000000000032</c:v>
                </c:pt>
                <c:pt idx="10">
                  <c:v>1.57</c:v>
                </c:pt>
                <c:pt idx="11">
                  <c:v>0.53</c:v>
                </c:pt>
                <c:pt idx="12">
                  <c:v>0.70000000000000062</c:v>
                </c:pt>
                <c:pt idx="13">
                  <c:v>0.85000000000000064</c:v>
                </c:pt>
                <c:pt idx="14">
                  <c:v>1.6300000000000001</c:v>
                </c:pt>
                <c:pt idx="15">
                  <c:v>0.97000000000000064</c:v>
                </c:pt>
                <c:pt idx="16">
                  <c:v>1.1900000000000073</c:v>
                </c:pt>
                <c:pt idx="17">
                  <c:v>0.19</c:v>
                </c:pt>
                <c:pt idx="18">
                  <c:v>1.1299999999999917</c:v>
                </c:pt>
                <c:pt idx="19">
                  <c:v>0.39000000000000207</c:v>
                </c:pt>
                <c:pt idx="20">
                  <c:v>1.6300000000000001</c:v>
                </c:pt>
                <c:pt idx="21">
                  <c:v>0.9</c:v>
                </c:pt>
                <c:pt idx="22">
                  <c:v>4.0000000000000022E-2</c:v>
                </c:pt>
                <c:pt idx="23">
                  <c:v>0.28000000000000008</c:v>
                </c:pt>
                <c:pt idx="24">
                  <c:v>0.59</c:v>
                </c:pt>
              </c:numCache>
            </c:numRef>
          </c:yVal>
        </c:ser>
        <c:axId val="61234560"/>
        <c:axId val="61236736"/>
      </c:scatterChart>
      <c:valAx>
        <c:axId val="61234560"/>
        <c:scaling>
          <c:orientation val="minMax"/>
        </c:scaling>
        <c:axPos val="b"/>
        <c:title>
          <c:tx>
            <c:rich>
              <a:bodyPr/>
              <a:lstStyle/>
              <a:p>
                <a:pPr>
                  <a:defRPr/>
                </a:pPr>
                <a:r>
                  <a:rPr lang="en-US"/>
                  <a:t>NIM</a:t>
                </a:r>
              </a:p>
            </c:rich>
          </c:tx>
        </c:title>
        <c:numFmt formatCode="General" sourceLinked="1"/>
        <c:tickLblPos val="nextTo"/>
        <c:crossAx val="61236736"/>
        <c:crosses val="autoZero"/>
        <c:crossBetween val="midCat"/>
      </c:valAx>
      <c:valAx>
        <c:axId val="61236736"/>
        <c:scaling>
          <c:orientation val="minMax"/>
        </c:scaling>
        <c:axPos val="l"/>
        <c:majorGridlines/>
        <c:title>
          <c:tx>
            <c:rich>
              <a:bodyPr/>
              <a:lstStyle/>
              <a:p>
                <a:pPr>
                  <a:defRPr/>
                </a:pPr>
                <a:r>
                  <a:rPr lang="en-US"/>
                  <a:t>Y</a:t>
                </a:r>
              </a:p>
            </c:rich>
          </c:tx>
        </c:title>
        <c:numFmt formatCode="General" sourceLinked="1"/>
        <c:tickLblPos val="nextTo"/>
        <c:crossAx val="61234560"/>
        <c:crosses val="autoZero"/>
        <c:crossBetween val="midCat"/>
      </c:valAx>
    </c:plotArea>
    <c:legend>
      <c:legendPos val="r"/>
    </c:legend>
    <c:plotVisOnly val="1"/>
    <c:dispBlanksAs val="gap"/>
  </c:chart>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X Variable 1 Line Fit  Plot</a:t>
            </a:r>
          </a:p>
        </c:rich>
      </c:tx>
    </c:title>
    <c:plotArea>
      <c:layout/>
      <c:scatterChart>
        <c:scatterStyle val="lineMarker"/>
        <c:ser>
          <c:idx val="0"/>
          <c:order val="0"/>
          <c:tx>
            <c:v>Y</c:v>
          </c:tx>
          <c:spPr>
            <a:ln w="28575">
              <a:noFill/>
            </a:ln>
          </c:spPr>
          <c:trendline>
            <c:trendlineType val="linear"/>
            <c:dispEq val="1"/>
            <c:trendlineLbl>
              <c:layout>
                <c:manualLayout>
                  <c:x val="0.41682633420822623"/>
                  <c:y val="-6.852126242840334E-2"/>
                </c:manualLayout>
              </c:layout>
              <c:numFmt formatCode="General" sourceLinked="0"/>
            </c:trendlineLbl>
          </c:trendline>
          <c:xVal>
            <c:numRef>
              <c:f>'Table-C'!$F$6:$F$30</c:f>
              <c:numCache>
                <c:formatCode>#,##0.00</c:formatCode>
                <c:ptCount val="25"/>
                <c:pt idx="0" formatCode="General">
                  <c:v>7897.4</c:v>
                </c:pt>
                <c:pt idx="1">
                  <c:v>18503.490000000005</c:v>
                </c:pt>
                <c:pt idx="2">
                  <c:v>9861.0400000000009</c:v>
                </c:pt>
                <c:pt idx="3" formatCode="General">
                  <c:v>3368.8900000000012</c:v>
                </c:pt>
                <c:pt idx="4" formatCode="General">
                  <c:v>21612.95</c:v>
                </c:pt>
                <c:pt idx="5" formatCode="General">
                  <c:v>19139.009999999897</c:v>
                </c:pt>
                <c:pt idx="6">
                  <c:v>7823.92</c:v>
                </c:pt>
                <c:pt idx="7" formatCode="General">
                  <c:v>3884</c:v>
                </c:pt>
                <c:pt idx="8" formatCode="General">
                  <c:v>557.53</c:v>
                </c:pt>
                <c:pt idx="9" formatCode="#,##0">
                  <c:v>807.6</c:v>
                </c:pt>
                <c:pt idx="10" formatCode="General">
                  <c:v>15896.81</c:v>
                </c:pt>
                <c:pt idx="11" formatCode="General">
                  <c:v>8372.01</c:v>
                </c:pt>
                <c:pt idx="12" formatCode="General">
                  <c:v>8119.52</c:v>
                </c:pt>
                <c:pt idx="13" formatCode="General">
                  <c:v>20978.87</c:v>
                </c:pt>
                <c:pt idx="14" formatCode="#,##0">
                  <c:v>84939</c:v>
                </c:pt>
                <c:pt idx="15" formatCode="General">
                  <c:v>7413.1200000000044</c:v>
                </c:pt>
                <c:pt idx="16" formatCode="General">
                  <c:v>12178</c:v>
                </c:pt>
                <c:pt idx="17" formatCode="General">
                  <c:v>24254.720000000001</c:v>
                </c:pt>
                <c:pt idx="18" formatCode="General">
                  <c:v>50425</c:v>
                </c:pt>
                <c:pt idx="19">
                  <c:v>2463.67</c:v>
                </c:pt>
                <c:pt idx="20" formatCode="General">
                  <c:v>2429.09</c:v>
                </c:pt>
                <c:pt idx="21" formatCode="General">
                  <c:v>796.44999999999948</c:v>
                </c:pt>
                <c:pt idx="22" formatCode="#,##0">
                  <c:v>4165.0617000000002</c:v>
                </c:pt>
                <c:pt idx="23" formatCode="#,##0">
                  <c:v>4882</c:v>
                </c:pt>
                <c:pt idx="24">
                  <c:v>10498.66</c:v>
                </c:pt>
              </c:numCache>
            </c:numRef>
          </c:xVal>
          <c:yVal>
            <c:numRef>
              <c:f>'Table-C'!$D$6:$D$30</c:f>
              <c:numCache>
                <c:formatCode>General</c:formatCode>
                <c:ptCount val="25"/>
                <c:pt idx="0">
                  <c:v>0.69000000000000061</c:v>
                </c:pt>
                <c:pt idx="1">
                  <c:v>0.26</c:v>
                </c:pt>
                <c:pt idx="2">
                  <c:v>0.38000000000000206</c:v>
                </c:pt>
                <c:pt idx="3">
                  <c:v>1.32</c:v>
                </c:pt>
                <c:pt idx="4">
                  <c:v>0.19</c:v>
                </c:pt>
                <c:pt idx="5">
                  <c:v>1.1100000000000001</c:v>
                </c:pt>
                <c:pt idx="6">
                  <c:v>0.91</c:v>
                </c:pt>
                <c:pt idx="7">
                  <c:v>1.22</c:v>
                </c:pt>
                <c:pt idx="8">
                  <c:v>0.98</c:v>
                </c:pt>
                <c:pt idx="9">
                  <c:v>0.30000000000000032</c:v>
                </c:pt>
                <c:pt idx="10">
                  <c:v>1.57</c:v>
                </c:pt>
                <c:pt idx="11">
                  <c:v>0.53</c:v>
                </c:pt>
                <c:pt idx="12">
                  <c:v>0.70000000000000062</c:v>
                </c:pt>
                <c:pt idx="13">
                  <c:v>0.85000000000000064</c:v>
                </c:pt>
                <c:pt idx="14">
                  <c:v>1.6300000000000001</c:v>
                </c:pt>
                <c:pt idx="15">
                  <c:v>0.97000000000000064</c:v>
                </c:pt>
                <c:pt idx="16">
                  <c:v>1.1900000000000073</c:v>
                </c:pt>
                <c:pt idx="17">
                  <c:v>0.19</c:v>
                </c:pt>
                <c:pt idx="18">
                  <c:v>1.1299999999999917</c:v>
                </c:pt>
                <c:pt idx="19">
                  <c:v>0.39000000000000207</c:v>
                </c:pt>
                <c:pt idx="20">
                  <c:v>1.6300000000000001</c:v>
                </c:pt>
                <c:pt idx="21">
                  <c:v>0.9</c:v>
                </c:pt>
                <c:pt idx="22">
                  <c:v>4.0000000000000022E-2</c:v>
                </c:pt>
                <c:pt idx="23">
                  <c:v>0.28000000000000008</c:v>
                </c:pt>
                <c:pt idx="24">
                  <c:v>0.59</c:v>
                </c:pt>
              </c:numCache>
            </c:numRef>
          </c:yVal>
        </c:ser>
        <c:axId val="64578688"/>
        <c:axId val="64580608"/>
      </c:scatterChart>
      <c:valAx>
        <c:axId val="64578688"/>
        <c:scaling>
          <c:orientation val="minMax"/>
        </c:scaling>
        <c:axPos val="b"/>
        <c:title>
          <c:tx>
            <c:rich>
              <a:bodyPr/>
              <a:lstStyle/>
              <a:p>
                <a:pPr>
                  <a:defRPr/>
                </a:pPr>
                <a:r>
                  <a:rPr lang="en-US"/>
                  <a:t>Tier-I capital</a:t>
                </a:r>
              </a:p>
            </c:rich>
          </c:tx>
        </c:title>
        <c:numFmt formatCode="General" sourceLinked="1"/>
        <c:tickLblPos val="nextTo"/>
        <c:crossAx val="64580608"/>
        <c:crosses val="autoZero"/>
        <c:crossBetween val="midCat"/>
      </c:valAx>
      <c:valAx>
        <c:axId val="64580608"/>
        <c:scaling>
          <c:orientation val="minMax"/>
        </c:scaling>
        <c:axPos val="l"/>
        <c:majorGridlines/>
        <c:title>
          <c:tx>
            <c:rich>
              <a:bodyPr/>
              <a:lstStyle/>
              <a:p>
                <a:pPr>
                  <a:defRPr/>
                </a:pPr>
                <a:r>
                  <a:rPr lang="en-US"/>
                  <a:t>Y</a:t>
                </a:r>
              </a:p>
            </c:rich>
          </c:tx>
        </c:title>
        <c:numFmt formatCode="General" sourceLinked="1"/>
        <c:tickLblPos val="nextTo"/>
        <c:crossAx val="64578688"/>
        <c:crosses val="autoZero"/>
        <c:crossBetween val="midCat"/>
      </c:valAx>
    </c:plotArea>
    <c:legend>
      <c:legendPos val="r"/>
    </c:legend>
    <c:plotVisOnly val="1"/>
    <c:dispBlanksAs val="gap"/>
  </c:chart>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X Variable 1 Line Fit  Plot</a:t>
            </a:r>
          </a:p>
        </c:rich>
      </c:tx>
    </c:title>
    <c:plotArea>
      <c:layout/>
      <c:scatterChart>
        <c:scatterStyle val="lineMarker"/>
        <c:ser>
          <c:idx val="0"/>
          <c:order val="0"/>
          <c:tx>
            <c:v>Y</c:v>
          </c:tx>
          <c:spPr>
            <a:ln w="28575">
              <a:noFill/>
            </a:ln>
          </c:spPr>
          <c:trendline>
            <c:trendlineType val="linear"/>
            <c:dispEq val="1"/>
            <c:trendlineLbl>
              <c:layout>
                <c:manualLayout>
                  <c:x val="0.5001306867891514"/>
                  <c:y val="-0.21368863374836791"/>
                </c:manualLayout>
              </c:layout>
              <c:numFmt formatCode="General" sourceLinked="0"/>
            </c:trendlineLbl>
          </c:trendline>
          <c:xVal>
            <c:numRef>
              <c:f>'Table-C'!$E$6:$E$30</c:f>
              <c:numCache>
                <c:formatCode>General</c:formatCode>
                <c:ptCount val="25"/>
                <c:pt idx="0">
                  <c:v>12.99</c:v>
                </c:pt>
                <c:pt idx="1">
                  <c:v>12.65</c:v>
                </c:pt>
                <c:pt idx="2">
                  <c:v>14.38</c:v>
                </c:pt>
                <c:pt idx="3">
                  <c:v>13.350000000000026</c:v>
                </c:pt>
                <c:pt idx="4">
                  <c:v>14.52</c:v>
                </c:pt>
                <c:pt idx="5">
                  <c:v>15.38</c:v>
                </c:pt>
                <c:pt idx="6">
                  <c:v>12.9</c:v>
                </c:pt>
                <c:pt idx="7">
                  <c:v>13.41</c:v>
                </c:pt>
                <c:pt idx="8">
                  <c:v>13.25</c:v>
                </c:pt>
                <c:pt idx="9">
                  <c:v>11.8</c:v>
                </c:pt>
                <c:pt idx="10">
                  <c:v>13.639999999999999</c:v>
                </c:pt>
                <c:pt idx="11">
                  <c:v>13.56</c:v>
                </c:pt>
                <c:pt idx="12">
                  <c:v>14.229999999999999</c:v>
                </c:pt>
                <c:pt idx="13">
                  <c:v>12.42</c:v>
                </c:pt>
                <c:pt idx="14">
                  <c:v>13.25</c:v>
                </c:pt>
                <c:pt idx="15">
                  <c:v>13.04</c:v>
                </c:pt>
                <c:pt idx="16">
                  <c:v>12.950000000000006</c:v>
                </c:pt>
                <c:pt idx="17">
                  <c:v>16.22</c:v>
                </c:pt>
                <c:pt idx="18">
                  <c:v>19.920000000000002</c:v>
                </c:pt>
                <c:pt idx="19">
                  <c:v>12.94</c:v>
                </c:pt>
                <c:pt idx="20">
                  <c:v>13.33</c:v>
                </c:pt>
                <c:pt idx="21">
                  <c:v>14.82</c:v>
                </c:pt>
                <c:pt idx="22">
                  <c:v>16.5</c:v>
                </c:pt>
                <c:pt idx="23">
                  <c:v>15.89</c:v>
                </c:pt>
                <c:pt idx="24">
                  <c:v>19.920000000000002</c:v>
                </c:pt>
              </c:numCache>
            </c:numRef>
          </c:xVal>
          <c:yVal>
            <c:numRef>
              <c:f>'Table-C'!$D$6:$D$30</c:f>
              <c:numCache>
                <c:formatCode>General</c:formatCode>
                <c:ptCount val="25"/>
                <c:pt idx="0">
                  <c:v>0.69000000000000061</c:v>
                </c:pt>
                <c:pt idx="1">
                  <c:v>0.26</c:v>
                </c:pt>
                <c:pt idx="2">
                  <c:v>0.38000000000000206</c:v>
                </c:pt>
                <c:pt idx="3">
                  <c:v>1.32</c:v>
                </c:pt>
                <c:pt idx="4">
                  <c:v>0.19</c:v>
                </c:pt>
                <c:pt idx="5">
                  <c:v>1.1100000000000001</c:v>
                </c:pt>
                <c:pt idx="6">
                  <c:v>0.91</c:v>
                </c:pt>
                <c:pt idx="7">
                  <c:v>1.22</c:v>
                </c:pt>
                <c:pt idx="8">
                  <c:v>0.98</c:v>
                </c:pt>
                <c:pt idx="9">
                  <c:v>0.30000000000000032</c:v>
                </c:pt>
                <c:pt idx="10">
                  <c:v>1.57</c:v>
                </c:pt>
                <c:pt idx="11">
                  <c:v>0.53</c:v>
                </c:pt>
                <c:pt idx="12">
                  <c:v>0.70000000000000062</c:v>
                </c:pt>
                <c:pt idx="13">
                  <c:v>0.85000000000000064</c:v>
                </c:pt>
                <c:pt idx="14">
                  <c:v>1.6300000000000001</c:v>
                </c:pt>
                <c:pt idx="15">
                  <c:v>0.97000000000000064</c:v>
                </c:pt>
                <c:pt idx="16">
                  <c:v>1.1900000000000073</c:v>
                </c:pt>
                <c:pt idx="17">
                  <c:v>0.19</c:v>
                </c:pt>
                <c:pt idx="18">
                  <c:v>1.1299999999999917</c:v>
                </c:pt>
                <c:pt idx="19">
                  <c:v>0.39000000000000207</c:v>
                </c:pt>
                <c:pt idx="20">
                  <c:v>1.6300000000000001</c:v>
                </c:pt>
                <c:pt idx="21">
                  <c:v>0.9</c:v>
                </c:pt>
                <c:pt idx="22">
                  <c:v>4.0000000000000022E-2</c:v>
                </c:pt>
                <c:pt idx="23">
                  <c:v>0.28000000000000008</c:v>
                </c:pt>
                <c:pt idx="24">
                  <c:v>0.59</c:v>
                </c:pt>
              </c:numCache>
            </c:numRef>
          </c:yVal>
        </c:ser>
        <c:axId val="63097088"/>
        <c:axId val="63287680"/>
      </c:scatterChart>
      <c:valAx>
        <c:axId val="63097088"/>
        <c:scaling>
          <c:orientation val="minMax"/>
        </c:scaling>
        <c:axPos val="b"/>
        <c:title>
          <c:tx>
            <c:rich>
              <a:bodyPr/>
              <a:lstStyle/>
              <a:p>
                <a:pPr>
                  <a:defRPr/>
                </a:pPr>
                <a:r>
                  <a:rPr lang="en-US"/>
                  <a:t>CAR</a:t>
                </a:r>
              </a:p>
            </c:rich>
          </c:tx>
        </c:title>
        <c:numFmt formatCode="General" sourceLinked="1"/>
        <c:tickLblPos val="nextTo"/>
        <c:crossAx val="63287680"/>
        <c:crosses val="autoZero"/>
        <c:crossBetween val="midCat"/>
      </c:valAx>
      <c:valAx>
        <c:axId val="63287680"/>
        <c:scaling>
          <c:orientation val="minMax"/>
        </c:scaling>
        <c:axPos val="l"/>
        <c:majorGridlines/>
        <c:title>
          <c:tx>
            <c:rich>
              <a:bodyPr/>
              <a:lstStyle/>
              <a:p>
                <a:pPr>
                  <a:defRPr/>
                </a:pPr>
                <a:r>
                  <a:rPr lang="en-US"/>
                  <a:t>Y</a:t>
                </a:r>
              </a:p>
            </c:rich>
          </c:tx>
        </c:title>
        <c:numFmt formatCode="General" sourceLinked="1"/>
        <c:tickLblPos val="nextTo"/>
        <c:crossAx val="63097088"/>
        <c:crosses val="autoZero"/>
        <c:crossBetween val="midCat"/>
      </c:valAx>
    </c:plotArea>
    <c:legend>
      <c:legendPos val="r"/>
    </c:legend>
    <c:plotVisOnly val="1"/>
    <c:dispBlanksAs val="gap"/>
  </c:chart>
  <c:externalData r:id="rId1"/>
</c:chartSpace>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089D8A9-9FD5-4F1F-A670-01AE1FBD137A}" type="doc">
      <dgm:prSet loTypeId="urn:microsoft.com/office/officeart/2005/8/layout/list1" loCatId="list" qsTypeId="urn:microsoft.com/office/officeart/2005/8/quickstyle/simple1" qsCatId="simple" csTypeId="urn:microsoft.com/office/officeart/2005/8/colors/accent3_2" csCatId="accent3" phldr="1"/>
      <dgm:spPr/>
      <dgm:t>
        <a:bodyPr/>
        <a:lstStyle/>
        <a:p>
          <a:endParaRPr lang="en-US"/>
        </a:p>
      </dgm:t>
    </dgm:pt>
    <dgm:pt modelId="{6227E6BE-8BFA-40ED-B402-3CEC56A9F6A9}">
      <dgm:prSet phldrT="[Text]"/>
      <dgm:spPr/>
      <dgm:t>
        <a:bodyPr/>
        <a:lstStyle/>
        <a:p>
          <a:r>
            <a:rPr lang="en-US">
              <a:solidFill>
                <a:schemeClr val="tx1"/>
              </a:solidFill>
              <a:latin typeface="Times New Roman" pitchFamily="18" charset="0"/>
              <a:cs typeface="Times New Roman" pitchFamily="18" charset="0"/>
            </a:rPr>
            <a:t>Chapter 1: Introduction ot the Research</a:t>
          </a:r>
        </a:p>
      </dgm:t>
    </dgm:pt>
    <dgm:pt modelId="{BAEE7979-CCE9-4077-B501-6EE6F455E2D0}" type="parTrans" cxnId="{F25A5C53-022A-4CD4-B9E6-7FBAC8563CB7}">
      <dgm:prSet/>
      <dgm:spPr/>
      <dgm:t>
        <a:bodyPr/>
        <a:lstStyle/>
        <a:p>
          <a:endParaRPr lang="en-US"/>
        </a:p>
      </dgm:t>
    </dgm:pt>
    <dgm:pt modelId="{69BBBA0F-9CC5-46A9-9A69-01B09A82F968}" type="sibTrans" cxnId="{F25A5C53-022A-4CD4-B9E6-7FBAC8563CB7}">
      <dgm:prSet/>
      <dgm:spPr/>
      <dgm:t>
        <a:bodyPr/>
        <a:lstStyle/>
        <a:p>
          <a:endParaRPr lang="en-US"/>
        </a:p>
      </dgm:t>
    </dgm:pt>
    <dgm:pt modelId="{E2C98D0E-281F-457E-9EA8-5E189270A90F}">
      <dgm:prSet phldrT="[Text]"/>
      <dgm:spPr/>
      <dgm:t>
        <a:bodyPr/>
        <a:lstStyle/>
        <a:p>
          <a:r>
            <a:rPr lang="en-US">
              <a:solidFill>
                <a:schemeClr val="tx1"/>
              </a:solidFill>
              <a:latin typeface="Times New Roman" pitchFamily="18" charset="0"/>
              <a:cs typeface="Times New Roman" pitchFamily="18" charset="0"/>
            </a:rPr>
            <a:t>Chapter 3: Research Methodology</a:t>
          </a:r>
        </a:p>
      </dgm:t>
    </dgm:pt>
    <dgm:pt modelId="{32711BAE-5A0B-4F01-AD74-3D4D1F6F399D}" type="parTrans" cxnId="{03140127-5A5C-4C1D-B4FE-B104231C9B00}">
      <dgm:prSet/>
      <dgm:spPr/>
      <dgm:t>
        <a:bodyPr/>
        <a:lstStyle/>
        <a:p>
          <a:endParaRPr lang="en-US"/>
        </a:p>
      </dgm:t>
    </dgm:pt>
    <dgm:pt modelId="{4281B6D3-1765-42D1-875F-E8689798FAF3}" type="sibTrans" cxnId="{03140127-5A5C-4C1D-B4FE-B104231C9B00}">
      <dgm:prSet/>
      <dgm:spPr/>
      <dgm:t>
        <a:bodyPr/>
        <a:lstStyle/>
        <a:p>
          <a:endParaRPr lang="en-US"/>
        </a:p>
      </dgm:t>
    </dgm:pt>
    <dgm:pt modelId="{AF373182-E510-475E-9A59-B6790B4CA0B5}">
      <dgm:prSet phldrT="[Text]"/>
      <dgm:spPr/>
      <dgm:t>
        <a:bodyPr/>
        <a:lstStyle/>
        <a:p>
          <a:r>
            <a:rPr lang="en-US">
              <a:solidFill>
                <a:schemeClr val="tx1"/>
              </a:solidFill>
              <a:latin typeface="Times New Roman" pitchFamily="18" charset="0"/>
              <a:cs typeface="Times New Roman" pitchFamily="18" charset="0"/>
            </a:rPr>
            <a:t>Chapter 4: Data Analysis and Discussion</a:t>
          </a:r>
        </a:p>
      </dgm:t>
    </dgm:pt>
    <dgm:pt modelId="{26EEAF56-378C-4C6A-9F21-0F4B2E833B1A}" type="parTrans" cxnId="{3A16233D-10C9-4D8F-8B66-590AF5F57AFA}">
      <dgm:prSet/>
      <dgm:spPr/>
      <dgm:t>
        <a:bodyPr/>
        <a:lstStyle/>
        <a:p>
          <a:endParaRPr lang="en-US"/>
        </a:p>
      </dgm:t>
    </dgm:pt>
    <dgm:pt modelId="{0E15D4F2-F142-4FA1-8050-85B2A4367C6C}" type="sibTrans" cxnId="{3A16233D-10C9-4D8F-8B66-590AF5F57AFA}">
      <dgm:prSet/>
      <dgm:spPr/>
      <dgm:t>
        <a:bodyPr/>
        <a:lstStyle/>
        <a:p>
          <a:endParaRPr lang="en-US"/>
        </a:p>
      </dgm:t>
    </dgm:pt>
    <dgm:pt modelId="{36F27B72-789B-4FBE-AD7C-645C0201FDB7}">
      <dgm:prSet phldrT="[Text]"/>
      <dgm:spPr/>
      <dgm:t>
        <a:bodyPr/>
        <a:lstStyle/>
        <a:p>
          <a:r>
            <a:rPr lang="en-US">
              <a:solidFill>
                <a:schemeClr val="tx1"/>
              </a:solidFill>
              <a:latin typeface="Times New Roman" pitchFamily="18" charset="0"/>
              <a:cs typeface="Times New Roman" pitchFamily="18" charset="0"/>
            </a:rPr>
            <a:t>Chapter 2: Liteartire Review</a:t>
          </a:r>
        </a:p>
      </dgm:t>
    </dgm:pt>
    <dgm:pt modelId="{55A86928-1CAE-4BB1-ADFD-959913C0EA87}" type="parTrans" cxnId="{B679BA7C-4A8F-4214-8CFB-F3DD963E8821}">
      <dgm:prSet/>
      <dgm:spPr/>
    </dgm:pt>
    <dgm:pt modelId="{AE9879AE-747D-459B-ACC9-C10011B6A0D0}" type="sibTrans" cxnId="{B679BA7C-4A8F-4214-8CFB-F3DD963E8821}">
      <dgm:prSet/>
      <dgm:spPr/>
    </dgm:pt>
    <dgm:pt modelId="{387DB986-12A8-4D36-9EE5-79EBCA566502}">
      <dgm:prSet phldrT="[Text]"/>
      <dgm:spPr/>
      <dgm:t>
        <a:bodyPr/>
        <a:lstStyle/>
        <a:p>
          <a:r>
            <a:rPr lang="en-US">
              <a:solidFill>
                <a:schemeClr val="tx1"/>
              </a:solidFill>
              <a:latin typeface="Times New Roman" pitchFamily="18" charset="0"/>
              <a:cs typeface="Times New Roman" pitchFamily="18" charset="0"/>
            </a:rPr>
            <a:t>Chapter 5: Conclusion and Recommendation</a:t>
          </a:r>
        </a:p>
      </dgm:t>
    </dgm:pt>
    <dgm:pt modelId="{4F7C9BD2-2073-43FF-A599-143C8A6DE485}" type="parTrans" cxnId="{1704DFB7-CE0D-45B0-AF6C-4FC3924BE5F2}">
      <dgm:prSet/>
      <dgm:spPr/>
    </dgm:pt>
    <dgm:pt modelId="{97152711-E26F-4CE2-86AC-21CA2777443C}" type="sibTrans" cxnId="{1704DFB7-CE0D-45B0-AF6C-4FC3924BE5F2}">
      <dgm:prSet/>
      <dgm:spPr/>
    </dgm:pt>
    <dgm:pt modelId="{56E01C22-F38E-444F-AC76-6BE2AAE7EA89}" type="pres">
      <dgm:prSet presAssocID="{0089D8A9-9FD5-4F1F-A670-01AE1FBD137A}" presName="linear" presStyleCnt="0">
        <dgm:presLayoutVars>
          <dgm:dir/>
          <dgm:animLvl val="lvl"/>
          <dgm:resizeHandles val="exact"/>
        </dgm:presLayoutVars>
      </dgm:prSet>
      <dgm:spPr/>
    </dgm:pt>
    <dgm:pt modelId="{111DE07F-56B8-43F4-B690-99992E478587}" type="pres">
      <dgm:prSet presAssocID="{6227E6BE-8BFA-40ED-B402-3CEC56A9F6A9}" presName="parentLin" presStyleCnt="0"/>
      <dgm:spPr/>
    </dgm:pt>
    <dgm:pt modelId="{C40A94F9-16D7-4113-B9FD-4326DE5481E1}" type="pres">
      <dgm:prSet presAssocID="{6227E6BE-8BFA-40ED-B402-3CEC56A9F6A9}" presName="parentLeftMargin" presStyleLbl="node1" presStyleIdx="0" presStyleCnt="5"/>
      <dgm:spPr/>
    </dgm:pt>
    <dgm:pt modelId="{9C0C490C-1F1C-4EF1-B27D-AA9999AF4747}" type="pres">
      <dgm:prSet presAssocID="{6227E6BE-8BFA-40ED-B402-3CEC56A9F6A9}" presName="parentText" presStyleLbl="node1" presStyleIdx="0" presStyleCnt="5">
        <dgm:presLayoutVars>
          <dgm:chMax val="0"/>
          <dgm:bulletEnabled val="1"/>
        </dgm:presLayoutVars>
      </dgm:prSet>
      <dgm:spPr/>
      <dgm:t>
        <a:bodyPr/>
        <a:lstStyle/>
        <a:p>
          <a:endParaRPr lang="en-US"/>
        </a:p>
      </dgm:t>
    </dgm:pt>
    <dgm:pt modelId="{DD7AA7F8-AAAD-4225-9916-13CF1D116108}" type="pres">
      <dgm:prSet presAssocID="{6227E6BE-8BFA-40ED-B402-3CEC56A9F6A9}" presName="negativeSpace" presStyleCnt="0"/>
      <dgm:spPr/>
    </dgm:pt>
    <dgm:pt modelId="{5AF6C86D-8AB1-4125-8B05-F6FD341AFA30}" type="pres">
      <dgm:prSet presAssocID="{6227E6BE-8BFA-40ED-B402-3CEC56A9F6A9}" presName="childText" presStyleLbl="conFgAcc1" presStyleIdx="0" presStyleCnt="5">
        <dgm:presLayoutVars>
          <dgm:bulletEnabled val="1"/>
        </dgm:presLayoutVars>
      </dgm:prSet>
      <dgm:spPr/>
    </dgm:pt>
    <dgm:pt modelId="{BD27ABBF-B833-41CF-BA02-99786E2BCEA8}" type="pres">
      <dgm:prSet presAssocID="{69BBBA0F-9CC5-46A9-9A69-01B09A82F968}" presName="spaceBetweenRectangles" presStyleCnt="0"/>
      <dgm:spPr/>
    </dgm:pt>
    <dgm:pt modelId="{CCBF6EAD-8A1A-4364-8085-FE2C71F8B048}" type="pres">
      <dgm:prSet presAssocID="{36F27B72-789B-4FBE-AD7C-645C0201FDB7}" presName="parentLin" presStyleCnt="0"/>
      <dgm:spPr/>
    </dgm:pt>
    <dgm:pt modelId="{9E76F468-70F8-4D2D-8E98-CAFBA26FFC67}" type="pres">
      <dgm:prSet presAssocID="{36F27B72-789B-4FBE-AD7C-645C0201FDB7}" presName="parentLeftMargin" presStyleLbl="node1" presStyleIdx="0" presStyleCnt="5"/>
      <dgm:spPr/>
    </dgm:pt>
    <dgm:pt modelId="{FE58D57B-AB90-4A27-896E-CA740D6D91AA}" type="pres">
      <dgm:prSet presAssocID="{36F27B72-789B-4FBE-AD7C-645C0201FDB7}" presName="parentText" presStyleLbl="node1" presStyleIdx="1" presStyleCnt="5">
        <dgm:presLayoutVars>
          <dgm:chMax val="0"/>
          <dgm:bulletEnabled val="1"/>
        </dgm:presLayoutVars>
      </dgm:prSet>
      <dgm:spPr/>
      <dgm:t>
        <a:bodyPr/>
        <a:lstStyle/>
        <a:p>
          <a:endParaRPr lang="en-US"/>
        </a:p>
      </dgm:t>
    </dgm:pt>
    <dgm:pt modelId="{7FB3D235-74BF-4E47-952C-997A6F016B68}" type="pres">
      <dgm:prSet presAssocID="{36F27B72-789B-4FBE-AD7C-645C0201FDB7}" presName="negativeSpace" presStyleCnt="0"/>
      <dgm:spPr/>
    </dgm:pt>
    <dgm:pt modelId="{2882AD89-7537-4648-96FE-592D7270722C}" type="pres">
      <dgm:prSet presAssocID="{36F27B72-789B-4FBE-AD7C-645C0201FDB7}" presName="childText" presStyleLbl="conFgAcc1" presStyleIdx="1" presStyleCnt="5">
        <dgm:presLayoutVars>
          <dgm:bulletEnabled val="1"/>
        </dgm:presLayoutVars>
      </dgm:prSet>
      <dgm:spPr/>
    </dgm:pt>
    <dgm:pt modelId="{EA0306DF-ED37-4840-83B8-BD53248D5508}" type="pres">
      <dgm:prSet presAssocID="{AE9879AE-747D-459B-ACC9-C10011B6A0D0}" presName="spaceBetweenRectangles" presStyleCnt="0"/>
      <dgm:spPr/>
    </dgm:pt>
    <dgm:pt modelId="{6788AB2B-F900-4324-B5CF-E0BB7DA402E9}" type="pres">
      <dgm:prSet presAssocID="{E2C98D0E-281F-457E-9EA8-5E189270A90F}" presName="parentLin" presStyleCnt="0"/>
      <dgm:spPr/>
    </dgm:pt>
    <dgm:pt modelId="{6BBFBE97-E2BC-4745-A358-3E0F4F64BC4B}" type="pres">
      <dgm:prSet presAssocID="{E2C98D0E-281F-457E-9EA8-5E189270A90F}" presName="parentLeftMargin" presStyleLbl="node1" presStyleIdx="1" presStyleCnt="5"/>
      <dgm:spPr/>
    </dgm:pt>
    <dgm:pt modelId="{4F8F8074-B82F-4DC6-86E2-49D155809AE4}" type="pres">
      <dgm:prSet presAssocID="{E2C98D0E-281F-457E-9EA8-5E189270A90F}" presName="parentText" presStyleLbl="node1" presStyleIdx="2" presStyleCnt="5">
        <dgm:presLayoutVars>
          <dgm:chMax val="0"/>
          <dgm:bulletEnabled val="1"/>
        </dgm:presLayoutVars>
      </dgm:prSet>
      <dgm:spPr/>
    </dgm:pt>
    <dgm:pt modelId="{0A124015-9E4B-472E-8D38-C95266503A6B}" type="pres">
      <dgm:prSet presAssocID="{E2C98D0E-281F-457E-9EA8-5E189270A90F}" presName="negativeSpace" presStyleCnt="0"/>
      <dgm:spPr/>
    </dgm:pt>
    <dgm:pt modelId="{3282D0EA-C086-4A15-9D1F-90A3F034A13B}" type="pres">
      <dgm:prSet presAssocID="{E2C98D0E-281F-457E-9EA8-5E189270A90F}" presName="childText" presStyleLbl="conFgAcc1" presStyleIdx="2" presStyleCnt="5">
        <dgm:presLayoutVars>
          <dgm:bulletEnabled val="1"/>
        </dgm:presLayoutVars>
      </dgm:prSet>
      <dgm:spPr/>
    </dgm:pt>
    <dgm:pt modelId="{3266719E-08CB-4BA4-8EF9-4BBD9CF7261B}" type="pres">
      <dgm:prSet presAssocID="{4281B6D3-1765-42D1-875F-E8689798FAF3}" presName="spaceBetweenRectangles" presStyleCnt="0"/>
      <dgm:spPr/>
    </dgm:pt>
    <dgm:pt modelId="{AF47C425-1B2E-42F1-B9D6-D1D72F2B46A0}" type="pres">
      <dgm:prSet presAssocID="{AF373182-E510-475E-9A59-B6790B4CA0B5}" presName="parentLin" presStyleCnt="0"/>
      <dgm:spPr/>
    </dgm:pt>
    <dgm:pt modelId="{A8509904-C145-482E-9773-C5EC1CCC822E}" type="pres">
      <dgm:prSet presAssocID="{AF373182-E510-475E-9A59-B6790B4CA0B5}" presName="parentLeftMargin" presStyleLbl="node1" presStyleIdx="2" presStyleCnt="5"/>
      <dgm:spPr/>
    </dgm:pt>
    <dgm:pt modelId="{F9F32127-98C3-49FC-8C68-051D0ED4B961}" type="pres">
      <dgm:prSet presAssocID="{AF373182-E510-475E-9A59-B6790B4CA0B5}" presName="parentText" presStyleLbl="node1" presStyleIdx="3" presStyleCnt="5">
        <dgm:presLayoutVars>
          <dgm:chMax val="0"/>
          <dgm:bulletEnabled val="1"/>
        </dgm:presLayoutVars>
      </dgm:prSet>
      <dgm:spPr/>
      <dgm:t>
        <a:bodyPr/>
        <a:lstStyle/>
        <a:p>
          <a:endParaRPr lang="en-US"/>
        </a:p>
      </dgm:t>
    </dgm:pt>
    <dgm:pt modelId="{0E7F78FF-67B6-4747-92C0-78A8B883A993}" type="pres">
      <dgm:prSet presAssocID="{AF373182-E510-475E-9A59-B6790B4CA0B5}" presName="negativeSpace" presStyleCnt="0"/>
      <dgm:spPr/>
    </dgm:pt>
    <dgm:pt modelId="{D76AC7F5-691B-4797-8343-3411380D7DCD}" type="pres">
      <dgm:prSet presAssocID="{AF373182-E510-475E-9A59-B6790B4CA0B5}" presName="childText" presStyleLbl="conFgAcc1" presStyleIdx="3" presStyleCnt="5">
        <dgm:presLayoutVars>
          <dgm:bulletEnabled val="1"/>
        </dgm:presLayoutVars>
      </dgm:prSet>
      <dgm:spPr/>
    </dgm:pt>
    <dgm:pt modelId="{837C69E6-B252-4D01-A02C-8C12CB643605}" type="pres">
      <dgm:prSet presAssocID="{0E15D4F2-F142-4FA1-8050-85B2A4367C6C}" presName="spaceBetweenRectangles" presStyleCnt="0"/>
      <dgm:spPr/>
    </dgm:pt>
    <dgm:pt modelId="{7FE01BD9-EC51-4F50-98B2-C6EC7368DB62}" type="pres">
      <dgm:prSet presAssocID="{387DB986-12A8-4D36-9EE5-79EBCA566502}" presName="parentLin" presStyleCnt="0"/>
      <dgm:spPr/>
    </dgm:pt>
    <dgm:pt modelId="{0CBF3617-E6B2-4777-8D19-612E17FC985E}" type="pres">
      <dgm:prSet presAssocID="{387DB986-12A8-4D36-9EE5-79EBCA566502}" presName="parentLeftMargin" presStyleLbl="node1" presStyleIdx="3" presStyleCnt="5"/>
      <dgm:spPr/>
    </dgm:pt>
    <dgm:pt modelId="{C0D500C9-81E4-4B51-AEAB-CEE3CFD71FC2}" type="pres">
      <dgm:prSet presAssocID="{387DB986-12A8-4D36-9EE5-79EBCA566502}" presName="parentText" presStyleLbl="node1" presStyleIdx="4" presStyleCnt="5">
        <dgm:presLayoutVars>
          <dgm:chMax val="0"/>
          <dgm:bulletEnabled val="1"/>
        </dgm:presLayoutVars>
      </dgm:prSet>
      <dgm:spPr/>
      <dgm:t>
        <a:bodyPr/>
        <a:lstStyle/>
        <a:p>
          <a:endParaRPr lang="en-US"/>
        </a:p>
      </dgm:t>
    </dgm:pt>
    <dgm:pt modelId="{FCFAD232-E4BC-4369-9165-04352117DE16}" type="pres">
      <dgm:prSet presAssocID="{387DB986-12A8-4D36-9EE5-79EBCA566502}" presName="negativeSpace" presStyleCnt="0"/>
      <dgm:spPr/>
    </dgm:pt>
    <dgm:pt modelId="{C91F76CC-FC44-4911-AA21-131E0F485375}" type="pres">
      <dgm:prSet presAssocID="{387DB986-12A8-4D36-9EE5-79EBCA566502}" presName="childText" presStyleLbl="conFgAcc1" presStyleIdx="4" presStyleCnt="5">
        <dgm:presLayoutVars>
          <dgm:bulletEnabled val="1"/>
        </dgm:presLayoutVars>
      </dgm:prSet>
      <dgm:spPr/>
    </dgm:pt>
  </dgm:ptLst>
  <dgm:cxnLst>
    <dgm:cxn modelId="{7DD8B20C-977B-4875-97BF-A160BCB53CF6}" type="presOf" srcId="{6227E6BE-8BFA-40ED-B402-3CEC56A9F6A9}" destId="{9C0C490C-1F1C-4EF1-B27D-AA9999AF4747}" srcOrd="1" destOrd="0" presId="urn:microsoft.com/office/officeart/2005/8/layout/list1"/>
    <dgm:cxn modelId="{AB1BE2BC-AB06-4474-A6AA-316F0CFBA1BE}" type="presOf" srcId="{387DB986-12A8-4D36-9EE5-79EBCA566502}" destId="{C0D500C9-81E4-4B51-AEAB-CEE3CFD71FC2}" srcOrd="1" destOrd="0" presId="urn:microsoft.com/office/officeart/2005/8/layout/list1"/>
    <dgm:cxn modelId="{FC51AD02-E931-4736-BC61-971438145CFF}" type="presOf" srcId="{AF373182-E510-475E-9A59-B6790B4CA0B5}" destId="{F9F32127-98C3-49FC-8C68-051D0ED4B961}" srcOrd="1" destOrd="0" presId="urn:microsoft.com/office/officeart/2005/8/layout/list1"/>
    <dgm:cxn modelId="{F25A5C53-022A-4CD4-B9E6-7FBAC8563CB7}" srcId="{0089D8A9-9FD5-4F1F-A670-01AE1FBD137A}" destId="{6227E6BE-8BFA-40ED-B402-3CEC56A9F6A9}" srcOrd="0" destOrd="0" parTransId="{BAEE7979-CCE9-4077-B501-6EE6F455E2D0}" sibTransId="{69BBBA0F-9CC5-46A9-9A69-01B09A82F968}"/>
    <dgm:cxn modelId="{03140127-5A5C-4C1D-B4FE-B104231C9B00}" srcId="{0089D8A9-9FD5-4F1F-A670-01AE1FBD137A}" destId="{E2C98D0E-281F-457E-9EA8-5E189270A90F}" srcOrd="2" destOrd="0" parTransId="{32711BAE-5A0B-4F01-AD74-3D4D1F6F399D}" sibTransId="{4281B6D3-1765-42D1-875F-E8689798FAF3}"/>
    <dgm:cxn modelId="{305CC603-0FBF-4CC0-B5CE-9C0D847D57D1}" type="presOf" srcId="{387DB986-12A8-4D36-9EE5-79EBCA566502}" destId="{0CBF3617-E6B2-4777-8D19-612E17FC985E}" srcOrd="0" destOrd="0" presId="urn:microsoft.com/office/officeart/2005/8/layout/list1"/>
    <dgm:cxn modelId="{B46DD254-0454-4CBE-AE9C-75ADF1D2D75E}" type="presOf" srcId="{AF373182-E510-475E-9A59-B6790B4CA0B5}" destId="{A8509904-C145-482E-9773-C5EC1CCC822E}" srcOrd="0" destOrd="0" presId="urn:microsoft.com/office/officeart/2005/8/layout/list1"/>
    <dgm:cxn modelId="{25F44233-1E6B-45D4-8055-CA323618CE9A}" type="presOf" srcId="{0089D8A9-9FD5-4F1F-A670-01AE1FBD137A}" destId="{56E01C22-F38E-444F-AC76-6BE2AAE7EA89}" srcOrd="0" destOrd="0" presId="urn:microsoft.com/office/officeart/2005/8/layout/list1"/>
    <dgm:cxn modelId="{3A16233D-10C9-4D8F-8B66-590AF5F57AFA}" srcId="{0089D8A9-9FD5-4F1F-A670-01AE1FBD137A}" destId="{AF373182-E510-475E-9A59-B6790B4CA0B5}" srcOrd="3" destOrd="0" parTransId="{26EEAF56-378C-4C6A-9F21-0F4B2E833B1A}" sibTransId="{0E15D4F2-F142-4FA1-8050-85B2A4367C6C}"/>
    <dgm:cxn modelId="{1704DFB7-CE0D-45B0-AF6C-4FC3924BE5F2}" srcId="{0089D8A9-9FD5-4F1F-A670-01AE1FBD137A}" destId="{387DB986-12A8-4D36-9EE5-79EBCA566502}" srcOrd="4" destOrd="0" parTransId="{4F7C9BD2-2073-43FF-A599-143C8A6DE485}" sibTransId="{97152711-E26F-4CE2-86AC-21CA2777443C}"/>
    <dgm:cxn modelId="{B679BA7C-4A8F-4214-8CFB-F3DD963E8821}" srcId="{0089D8A9-9FD5-4F1F-A670-01AE1FBD137A}" destId="{36F27B72-789B-4FBE-AD7C-645C0201FDB7}" srcOrd="1" destOrd="0" parTransId="{55A86928-1CAE-4BB1-ADFD-959913C0EA87}" sibTransId="{AE9879AE-747D-459B-ACC9-C10011B6A0D0}"/>
    <dgm:cxn modelId="{B52292F3-3565-4741-987E-57997B718145}" type="presOf" srcId="{36F27B72-789B-4FBE-AD7C-645C0201FDB7}" destId="{FE58D57B-AB90-4A27-896E-CA740D6D91AA}" srcOrd="1" destOrd="0" presId="urn:microsoft.com/office/officeart/2005/8/layout/list1"/>
    <dgm:cxn modelId="{F2CCCD19-098E-4D1F-BF37-151478BCF6CF}" type="presOf" srcId="{36F27B72-789B-4FBE-AD7C-645C0201FDB7}" destId="{9E76F468-70F8-4D2D-8E98-CAFBA26FFC67}" srcOrd="0" destOrd="0" presId="urn:microsoft.com/office/officeart/2005/8/layout/list1"/>
    <dgm:cxn modelId="{DC42AD78-4349-4C66-B300-25CC83E7A3C7}" type="presOf" srcId="{6227E6BE-8BFA-40ED-B402-3CEC56A9F6A9}" destId="{C40A94F9-16D7-4113-B9FD-4326DE5481E1}" srcOrd="0" destOrd="0" presId="urn:microsoft.com/office/officeart/2005/8/layout/list1"/>
    <dgm:cxn modelId="{F37D97E8-A0D0-4F24-9DC2-F40B40B95A90}" type="presOf" srcId="{E2C98D0E-281F-457E-9EA8-5E189270A90F}" destId="{6BBFBE97-E2BC-4745-A358-3E0F4F64BC4B}" srcOrd="0" destOrd="0" presId="urn:microsoft.com/office/officeart/2005/8/layout/list1"/>
    <dgm:cxn modelId="{3B4DE1CF-41F6-4DA9-BA42-880A5B18F474}" type="presOf" srcId="{E2C98D0E-281F-457E-9EA8-5E189270A90F}" destId="{4F8F8074-B82F-4DC6-86E2-49D155809AE4}" srcOrd="1" destOrd="0" presId="urn:microsoft.com/office/officeart/2005/8/layout/list1"/>
    <dgm:cxn modelId="{4D5237D3-177B-4860-A674-BFE8E92B7725}" type="presParOf" srcId="{56E01C22-F38E-444F-AC76-6BE2AAE7EA89}" destId="{111DE07F-56B8-43F4-B690-99992E478587}" srcOrd="0" destOrd="0" presId="urn:microsoft.com/office/officeart/2005/8/layout/list1"/>
    <dgm:cxn modelId="{ED4B0BBF-4E6B-4E3C-AD17-6B3B18DB2853}" type="presParOf" srcId="{111DE07F-56B8-43F4-B690-99992E478587}" destId="{C40A94F9-16D7-4113-B9FD-4326DE5481E1}" srcOrd="0" destOrd="0" presId="urn:microsoft.com/office/officeart/2005/8/layout/list1"/>
    <dgm:cxn modelId="{7B14C293-E9A4-4517-A093-229F9CF776AA}" type="presParOf" srcId="{111DE07F-56B8-43F4-B690-99992E478587}" destId="{9C0C490C-1F1C-4EF1-B27D-AA9999AF4747}" srcOrd="1" destOrd="0" presId="urn:microsoft.com/office/officeart/2005/8/layout/list1"/>
    <dgm:cxn modelId="{8416622B-B5B8-49B3-9F45-2486E7260F99}" type="presParOf" srcId="{56E01C22-F38E-444F-AC76-6BE2AAE7EA89}" destId="{DD7AA7F8-AAAD-4225-9916-13CF1D116108}" srcOrd="1" destOrd="0" presId="urn:microsoft.com/office/officeart/2005/8/layout/list1"/>
    <dgm:cxn modelId="{74CFFD1C-8BEA-4666-A17E-4589CED0CDDA}" type="presParOf" srcId="{56E01C22-F38E-444F-AC76-6BE2AAE7EA89}" destId="{5AF6C86D-8AB1-4125-8B05-F6FD341AFA30}" srcOrd="2" destOrd="0" presId="urn:microsoft.com/office/officeart/2005/8/layout/list1"/>
    <dgm:cxn modelId="{42F99911-8294-4029-A89C-9997CD0F8EDE}" type="presParOf" srcId="{56E01C22-F38E-444F-AC76-6BE2AAE7EA89}" destId="{BD27ABBF-B833-41CF-BA02-99786E2BCEA8}" srcOrd="3" destOrd="0" presId="urn:microsoft.com/office/officeart/2005/8/layout/list1"/>
    <dgm:cxn modelId="{D4CD71A6-52A3-41E8-8809-0CD2AC53BD99}" type="presParOf" srcId="{56E01C22-F38E-444F-AC76-6BE2AAE7EA89}" destId="{CCBF6EAD-8A1A-4364-8085-FE2C71F8B048}" srcOrd="4" destOrd="0" presId="urn:microsoft.com/office/officeart/2005/8/layout/list1"/>
    <dgm:cxn modelId="{16829B0F-0C2D-47CA-8AEB-4E041DC7C6D4}" type="presParOf" srcId="{CCBF6EAD-8A1A-4364-8085-FE2C71F8B048}" destId="{9E76F468-70F8-4D2D-8E98-CAFBA26FFC67}" srcOrd="0" destOrd="0" presId="urn:microsoft.com/office/officeart/2005/8/layout/list1"/>
    <dgm:cxn modelId="{66B187F8-EB54-41B8-9272-B81526822D0C}" type="presParOf" srcId="{CCBF6EAD-8A1A-4364-8085-FE2C71F8B048}" destId="{FE58D57B-AB90-4A27-896E-CA740D6D91AA}" srcOrd="1" destOrd="0" presId="urn:microsoft.com/office/officeart/2005/8/layout/list1"/>
    <dgm:cxn modelId="{53790B53-9679-40A2-A52F-41EF4C177B2C}" type="presParOf" srcId="{56E01C22-F38E-444F-AC76-6BE2AAE7EA89}" destId="{7FB3D235-74BF-4E47-952C-997A6F016B68}" srcOrd="5" destOrd="0" presId="urn:microsoft.com/office/officeart/2005/8/layout/list1"/>
    <dgm:cxn modelId="{0FD2B526-40D5-42FC-822C-1932AA79E30B}" type="presParOf" srcId="{56E01C22-F38E-444F-AC76-6BE2AAE7EA89}" destId="{2882AD89-7537-4648-96FE-592D7270722C}" srcOrd="6" destOrd="0" presId="urn:microsoft.com/office/officeart/2005/8/layout/list1"/>
    <dgm:cxn modelId="{AF772A94-6D21-419D-873B-4B022932D2A4}" type="presParOf" srcId="{56E01C22-F38E-444F-AC76-6BE2AAE7EA89}" destId="{EA0306DF-ED37-4840-83B8-BD53248D5508}" srcOrd="7" destOrd="0" presId="urn:microsoft.com/office/officeart/2005/8/layout/list1"/>
    <dgm:cxn modelId="{E11B13BF-1C17-4B18-ACFE-173621BB2688}" type="presParOf" srcId="{56E01C22-F38E-444F-AC76-6BE2AAE7EA89}" destId="{6788AB2B-F900-4324-B5CF-E0BB7DA402E9}" srcOrd="8" destOrd="0" presId="urn:microsoft.com/office/officeart/2005/8/layout/list1"/>
    <dgm:cxn modelId="{84C467B9-2FE9-4D35-B054-5D376D53A4D6}" type="presParOf" srcId="{6788AB2B-F900-4324-B5CF-E0BB7DA402E9}" destId="{6BBFBE97-E2BC-4745-A358-3E0F4F64BC4B}" srcOrd="0" destOrd="0" presId="urn:microsoft.com/office/officeart/2005/8/layout/list1"/>
    <dgm:cxn modelId="{43398E74-196D-43B0-A8B8-269FFA35FF62}" type="presParOf" srcId="{6788AB2B-F900-4324-B5CF-E0BB7DA402E9}" destId="{4F8F8074-B82F-4DC6-86E2-49D155809AE4}" srcOrd="1" destOrd="0" presId="urn:microsoft.com/office/officeart/2005/8/layout/list1"/>
    <dgm:cxn modelId="{FF4BCA8F-315F-4011-973B-049E3D32EE7B}" type="presParOf" srcId="{56E01C22-F38E-444F-AC76-6BE2AAE7EA89}" destId="{0A124015-9E4B-472E-8D38-C95266503A6B}" srcOrd="9" destOrd="0" presId="urn:microsoft.com/office/officeart/2005/8/layout/list1"/>
    <dgm:cxn modelId="{2931EA30-BAB9-41E2-AF6E-7CF965F91F9F}" type="presParOf" srcId="{56E01C22-F38E-444F-AC76-6BE2AAE7EA89}" destId="{3282D0EA-C086-4A15-9D1F-90A3F034A13B}" srcOrd="10" destOrd="0" presId="urn:microsoft.com/office/officeart/2005/8/layout/list1"/>
    <dgm:cxn modelId="{D606D3DF-C49D-4858-8112-292AE13B82AA}" type="presParOf" srcId="{56E01C22-F38E-444F-AC76-6BE2AAE7EA89}" destId="{3266719E-08CB-4BA4-8EF9-4BBD9CF7261B}" srcOrd="11" destOrd="0" presId="urn:microsoft.com/office/officeart/2005/8/layout/list1"/>
    <dgm:cxn modelId="{E70EEC49-09DB-4153-B84B-58F7CA96113C}" type="presParOf" srcId="{56E01C22-F38E-444F-AC76-6BE2AAE7EA89}" destId="{AF47C425-1B2E-42F1-B9D6-D1D72F2B46A0}" srcOrd="12" destOrd="0" presId="urn:microsoft.com/office/officeart/2005/8/layout/list1"/>
    <dgm:cxn modelId="{930E5447-7129-47CE-8C43-4E2CD1176ACA}" type="presParOf" srcId="{AF47C425-1B2E-42F1-B9D6-D1D72F2B46A0}" destId="{A8509904-C145-482E-9773-C5EC1CCC822E}" srcOrd="0" destOrd="0" presId="urn:microsoft.com/office/officeart/2005/8/layout/list1"/>
    <dgm:cxn modelId="{129021AC-CC26-4100-A38D-79311B69AE27}" type="presParOf" srcId="{AF47C425-1B2E-42F1-B9D6-D1D72F2B46A0}" destId="{F9F32127-98C3-49FC-8C68-051D0ED4B961}" srcOrd="1" destOrd="0" presId="urn:microsoft.com/office/officeart/2005/8/layout/list1"/>
    <dgm:cxn modelId="{BDFBA6D4-3AFE-40FA-8C08-2384B73E9F46}" type="presParOf" srcId="{56E01C22-F38E-444F-AC76-6BE2AAE7EA89}" destId="{0E7F78FF-67B6-4747-92C0-78A8B883A993}" srcOrd="13" destOrd="0" presId="urn:microsoft.com/office/officeart/2005/8/layout/list1"/>
    <dgm:cxn modelId="{3630E0CA-3F54-44AE-ADCF-59245EE95AA4}" type="presParOf" srcId="{56E01C22-F38E-444F-AC76-6BE2AAE7EA89}" destId="{D76AC7F5-691B-4797-8343-3411380D7DCD}" srcOrd="14" destOrd="0" presId="urn:microsoft.com/office/officeart/2005/8/layout/list1"/>
    <dgm:cxn modelId="{8536DDC4-8DD8-47FE-950B-56DC6587A244}" type="presParOf" srcId="{56E01C22-F38E-444F-AC76-6BE2AAE7EA89}" destId="{837C69E6-B252-4D01-A02C-8C12CB643605}" srcOrd="15" destOrd="0" presId="urn:microsoft.com/office/officeart/2005/8/layout/list1"/>
    <dgm:cxn modelId="{D45AF2D2-7559-4D86-8ECC-3A47E7879215}" type="presParOf" srcId="{56E01C22-F38E-444F-AC76-6BE2AAE7EA89}" destId="{7FE01BD9-EC51-4F50-98B2-C6EC7368DB62}" srcOrd="16" destOrd="0" presId="urn:microsoft.com/office/officeart/2005/8/layout/list1"/>
    <dgm:cxn modelId="{A96BD442-95D1-4658-831A-367D7280286F}" type="presParOf" srcId="{7FE01BD9-EC51-4F50-98B2-C6EC7368DB62}" destId="{0CBF3617-E6B2-4777-8D19-612E17FC985E}" srcOrd="0" destOrd="0" presId="urn:microsoft.com/office/officeart/2005/8/layout/list1"/>
    <dgm:cxn modelId="{0A2B5435-2B5D-4B64-8410-B34D3811FDE8}" type="presParOf" srcId="{7FE01BD9-EC51-4F50-98B2-C6EC7368DB62}" destId="{C0D500C9-81E4-4B51-AEAB-CEE3CFD71FC2}" srcOrd="1" destOrd="0" presId="urn:microsoft.com/office/officeart/2005/8/layout/list1"/>
    <dgm:cxn modelId="{FF914726-E279-4274-88BD-19A0F6E85C6B}" type="presParOf" srcId="{56E01C22-F38E-444F-AC76-6BE2AAE7EA89}" destId="{FCFAD232-E4BC-4369-9165-04352117DE16}" srcOrd="17" destOrd="0" presId="urn:microsoft.com/office/officeart/2005/8/layout/list1"/>
    <dgm:cxn modelId="{10651443-E33A-40CC-8B2B-14CB26F549EF}" type="presParOf" srcId="{56E01C22-F38E-444F-AC76-6BE2AAE7EA89}" destId="{C91F76CC-FC44-4911-AA21-131E0F485375}" srcOrd="18" destOrd="0" presId="urn:microsoft.com/office/officeart/2005/8/layout/list1"/>
  </dgm:cxnLst>
  <dgm:bg/>
  <dgm:whole/>
</dgm:dataModel>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2019-09-29T11:14:00Z</dcterms:created>
  <dc:creator>Subhojit</dc:creator>
</cp:coreProperties>
</file>