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i w:val="1"/>
          <w:u w:val="single"/>
        </w:rPr>
      </w:pPr>
      <w:r w:rsidDel="00000000" w:rsidR="00000000" w:rsidRPr="00000000">
        <w:rPr>
          <w:i w:val="1"/>
          <w:u w:val="single"/>
          <w:rtl w:val="0"/>
        </w:rPr>
        <w:t xml:space="preserve">Character Dossier -- Tabnit II, Governor of Phoenicia.</w:t>
      </w:r>
      <w:r w:rsidDel="00000000" w:rsidR="00000000" w:rsidRPr="00000000">
        <w:rPr>
          <w:rtl w:val="0"/>
        </w:rPr>
      </w:r>
    </w:p>
    <w:p w:rsidR="00000000" w:rsidDel="00000000" w:rsidP="00000000" w:rsidRDefault="00000000" w:rsidRPr="00000000">
      <w:pPr>
        <w:contextualSpacing w:val="0"/>
        <w:rPr>
          <w:sz w:val="16"/>
          <w:szCs w:val="16"/>
        </w:rPr>
      </w:pPr>
      <w:r w:rsidDel="00000000" w:rsidR="00000000" w:rsidRPr="00000000">
        <w:rPr>
          <w:rtl w:val="0"/>
        </w:rPr>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I will be playing the role of the vassal ruler of Phoenicia, ruled over by the Ptolemies of Egypt. My group is comprised of three rulers, including the vassal ruler of Coele Syria and the Satrap in charge of managing the entire region. As was traditional, my character is one of the high-priests of Astarte, the phoenician goddess of fertility and sexuality</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For this reason he was placed in charge of managing the region. Since the death of Alexander the Great, the province of Phoenicia had been managed by a series of Greek rulers since about 323 BC</w:t>
      </w:r>
      <w:r w:rsidDel="00000000" w:rsidR="00000000" w:rsidRPr="00000000">
        <w:rPr>
          <w:sz w:val="20"/>
          <w:szCs w:val="20"/>
          <w:vertAlign w:val="superscript"/>
        </w:rPr>
        <w:footnoteReference w:customMarkFollows="0" w:id="1"/>
      </w:r>
      <w:r w:rsidDel="00000000" w:rsidR="00000000" w:rsidRPr="00000000">
        <w:rPr>
          <w:sz w:val="20"/>
          <w:szCs w:val="20"/>
          <w:rtl w:val="0"/>
        </w:rPr>
        <w:t xml:space="preserve"> until it fell to the Ptolemies who would be the ones to install the high-priests as rulers. This tradition dates back to before Macedonian invasion of the area, as we see a succession of rulers from the region including Tabnit I and his son Eshmunazar II. We know that these two men ruled over Phoenicia due to the inscriptions found on their sarcophagus’, upon which both of them are hailed as ‘King of Sidon’</w:t>
      </w:r>
      <w:r w:rsidDel="00000000" w:rsidR="00000000" w:rsidRPr="00000000">
        <w:rPr>
          <w:sz w:val="20"/>
          <w:szCs w:val="20"/>
          <w:vertAlign w:val="superscript"/>
        </w:rPr>
        <w:footnoteReference w:customMarkFollows="0" w:id="2"/>
      </w:r>
      <w:r w:rsidDel="00000000" w:rsidR="00000000" w:rsidRPr="00000000">
        <w:rPr>
          <w:sz w:val="20"/>
          <w:szCs w:val="20"/>
          <w:vertAlign w:val="superscript"/>
        </w:rPr>
        <w:footnoteReference w:customMarkFollows="0" w:id="3"/>
      </w:r>
      <w:r w:rsidDel="00000000" w:rsidR="00000000" w:rsidRPr="00000000">
        <w:rPr>
          <w:sz w:val="20"/>
          <w:szCs w:val="20"/>
          <w:rtl w:val="0"/>
        </w:rPr>
        <w:t xml:space="preserve">. I have decided to use this line of succession as historical precedent to make my character a descendent of these two kings, having changed his name too Tabnit II upon his succession.</w:t>
      </w:r>
    </w:p>
    <w:p w:rsidR="00000000" w:rsidDel="00000000" w:rsidP="00000000" w:rsidRDefault="00000000" w:rsidRPr="00000000">
      <w:pPr>
        <w:contextualSpacing w:val="0"/>
        <w:rPr>
          <w:sz w:val="20"/>
          <w:szCs w:val="20"/>
        </w:rPr>
      </w:pPr>
      <w:r w:rsidDel="00000000" w:rsidR="00000000" w:rsidRPr="00000000">
        <w:rPr>
          <w:rtl w:val="0"/>
        </w:rPr>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In keeping with his origins of a Phoenician, Tabnit II has a similar appearance to what you might expect of somebody from the region with brown hair, green eyes and a tanned complexion from time spent out in the sun. In keeping with the resources produced in his region, my character can often be seen wearing purple robes that display status and wealth.</w:t>
      </w:r>
    </w:p>
    <w:p w:rsidR="00000000" w:rsidDel="00000000" w:rsidP="00000000" w:rsidRDefault="00000000" w:rsidRPr="00000000">
      <w:pPr>
        <w:contextualSpacing w:val="0"/>
        <w:rPr>
          <w:sz w:val="20"/>
          <w:szCs w:val="20"/>
        </w:rPr>
      </w:pPr>
      <w:r w:rsidDel="00000000" w:rsidR="00000000" w:rsidRPr="00000000">
        <w:rPr>
          <w:rtl w:val="0"/>
        </w:rPr>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As a high priest, my characters primary concerns must be split equally between what is expected of him as the governor of Phoenicia and as a high priest of Astarte. In keeping with this focus, one of my characters primary aims is to continue to appease the gods. One of his key goals being the construction of a new temple in the settlement of Baalbek, dedicated solely to Astarte. The historical precedent for this is easy enough to gather, as the construction of temples was a key part of ancient life. Baalbek in particular was chosen as during the reign of Augustus (when Phoenicia was a Roman province), construction would begin of a temple complex upon a pre-existing artificial hill within the settlements limits</w:t>
      </w:r>
      <w:r w:rsidDel="00000000" w:rsidR="00000000" w:rsidRPr="00000000">
        <w:rPr>
          <w:sz w:val="20"/>
          <w:szCs w:val="20"/>
          <w:vertAlign w:val="superscript"/>
        </w:rPr>
        <w:footnoteReference w:customMarkFollows="0" w:id="4"/>
      </w:r>
      <w:r w:rsidDel="00000000" w:rsidR="00000000" w:rsidRPr="00000000">
        <w:rPr>
          <w:sz w:val="20"/>
          <w:szCs w:val="20"/>
          <w:rtl w:val="0"/>
        </w:rPr>
        <w:t xml:space="preserve">. It is his hope that through appeasing the gods, he might see an end to the wars being fought in Phoenicia and Syria between the Seleucids and Ptolemies.</w:t>
      </w:r>
    </w:p>
    <w:p w:rsidR="00000000" w:rsidDel="00000000" w:rsidP="00000000" w:rsidRDefault="00000000" w:rsidRPr="00000000">
      <w:pPr>
        <w:contextualSpacing w:val="0"/>
        <w:rPr>
          <w:sz w:val="20"/>
          <w:szCs w:val="20"/>
        </w:rPr>
      </w:pPr>
      <w:r w:rsidDel="00000000" w:rsidR="00000000" w:rsidRPr="00000000">
        <w:rPr>
          <w:rtl w:val="0"/>
        </w:rPr>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Whilst the cost of this endeavour would not be cheap, as the ruler of Phoenicia, Tabnit has a good deal of income in the form of both the trade of cedar wood (one of the few places in the Ptolemaic kingdom to produce wood suitable for ship-building) and an almost total monopoly on purple dye, the substance being produced primarily in Tyre and giving rise to the color of Tyrian purple. Over time, the substance would become immensely valuable (reported as being worth it’s own weight in silver</w:t>
      </w:r>
      <w:r w:rsidDel="00000000" w:rsidR="00000000" w:rsidRPr="00000000">
        <w:rPr>
          <w:sz w:val="20"/>
          <w:szCs w:val="20"/>
          <w:vertAlign w:val="superscript"/>
        </w:rPr>
        <w:footnoteReference w:customMarkFollows="0" w:id="5"/>
      </w:r>
      <w:r w:rsidDel="00000000" w:rsidR="00000000" w:rsidRPr="00000000">
        <w:rPr>
          <w:sz w:val="20"/>
          <w:szCs w:val="20"/>
          <w:rtl w:val="0"/>
        </w:rPr>
        <w:t xml:space="preserve">) and be used in the robes of royals and nobles alike. </w:t>
      </w:r>
    </w:p>
    <w:p w:rsidR="00000000" w:rsidDel="00000000" w:rsidP="00000000" w:rsidRDefault="00000000" w:rsidRPr="00000000">
      <w:pPr>
        <w:contextualSpacing w:val="0"/>
        <w:rPr>
          <w:sz w:val="20"/>
          <w:szCs w:val="20"/>
        </w:rPr>
      </w:pPr>
      <w:r w:rsidDel="00000000" w:rsidR="00000000" w:rsidRPr="00000000">
        <w:rPr>
          <w:rtl w:val="0"/>
        </w:rPr>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When it comes to his duties as governor, his aims switch primarily towards the defense of the region, sitting on the border between the two empires previously mentioned. Having already seen the fierce fighting in the second and third Syrian wars in his lifetime, my character is more than aware of the need for better defense of the realm. It is due to this, that he and the ruler of Coele-Syria aim to petition the Ptolemaic court for additional funds in order to build fortifications along the northern-eastern most section of the Ptolemaic kingdom, along the Euphrates river, and if possible along Phoenicia’s northern border. </w:t>
      </w:r>
    </w:p>
    <w:p w:rsidR="00000000" w:rsidDel="00000000" w:rsidP="00000000" w:rsidRDefault="00000000" w:rsidRPr="00000000">
      <w:pPr>
        <w:contextualSpacing w:val="0"/>
        <w:rPr>
          <w:sz w:val="20"/>
          <w:szCs w:val="20"/>
        </w:rPr>
      </w:pPr>
      <w:r w:rsidDel="00000000" w:rsidR="00000000" w:rsidRPr="00000000">
        <w:rPr>
          <w:rtl w:val="0"/>
        </w:rPr>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Carrying on with the idea of defence, Tabnit is under no illusion that in the event of another war breaking out, Phoenicia would see the brunt of destruction due to its place on the frontline. It is due to this and what he feels is his duty to his people that he would not be opposed to working with the Seleucids in the event of invasion. The exact extent of this cooperation would vary depending on the odds presented, whether limited to allowing the Seleucids to move troops through the region, or instead a complete change of allegiance in the event of impending destruction.</w:t>
      </w:r>
    </w:p>
    <w:p w:rsidR="00000000" w:rsidDel="00000000" w:rsidP="00000000" w:rsidRDefault="00000000" w:rsidRPr="00000000">
      <w:pPr>
        <w:contextualSpacing w:val="0"/>
        <w:rPr>
          <w:sz w:val="20"/>
          <w:szCs w:val="20"/>
        </w:rPr>
      </w:pPr>
      <w:r w:rsidDel="00000000" w:rsidR="00000000" w:rsidRPr="00000000">
        <w:rPr>
          <w:rtl w:val="0"/>
        </w:rPr>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Tabnit’s ultimate goal would be the creation of a Phoenicia free from the yoke of either the Ptolemies or the Seleucids. Whilst he is well aware that in a military engagement, Phoenicia could not hope to defend itself from either on land, due to Phoenicia’s importance as a trade region, he is aware of  the development of Rome as a mediterranean power and believes that it may be possible to break free from the Ptolemies during what he believes to be the coming war, and swear fealty to the Romans in exchange for protection. </w:t>
      </w:r>
    </w:p>
    <w:p w:rsidR="00000000" w:rsidDel="00000000" w:rsidP="00000000" w:rsidRDefault="00000000" w:rsidRPr="00000000">
      <w:pPr>
        <w:contextualSpacing w:val="0"/>
        <w:rPr>
          <w:sz w:val="20"/>
          <w:szCs w:val="20"/>
        </w:rPr>
      </w:pPr>
      <w:r w:rsidDel="00000000" w:rsidR="00000000" w:rsidRPr="00000000">
        <w:rPr>
          <w:rtl w:val="0"/>
        </w:rPr>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In conclusion, Tabnit is a practical, if slightly untrustworthy ruler, who holds little allegiance to anybody but his region and will be willing to do whatever it takes in order to see his lands prosper, and not be used as a battlefield between the two empires that seek to fight over it’s wealth.</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br w:type="page"/>
      </w:r>
      <w:r w:rsidDel="00000000" w:rsidR="00000000" w:rsidRPr="00000000">
        <w:rPr>
          <w:rtl w:val="0"/>
        </w:rPr>
      </w:r>
    </w:p>
    <w:p w:rsidR="00000000" w:rsidDel="00000000" w:rsidP="00000000" w:rsidRDefault="00000000" w:rsidRPr="00000000">
      <w:pPr>
        <w:pStyle w:val="Heading2"/>
        <w:keepNext w:val="0"/>
        <w:keepLines w:val="0"/>
        <w:spacing w:after="80" w:before="0" w:lineRule="auto"/>
        <w:contextualSpacing w:val="0"/>
        <w:rPr>
          <w:sz w:val="34"/>
          <w:szCs w:val="34"/>
        </w:rPr>
      </w:pPr>
      <w:bookmarkStart w:colFirst="0" w:colLast="0" w:name="_qowsai4io0do" w:id="0"/>
      <w:bookmarkEnd w:id="0"/>
      <w:r w:rsidDel="00000000" w:rsidR="00000000" w:rsidRPr="00000000">
        <w:rPr>
          <w:sz w:val="34"/>
          <w:szCs w:val="34"/>
          <w:rtl w:val="0"/>
        </w:rPr>
        <w:t xml:space="preserve">References</w:t>
      </w:r>
    </w:p>
    <w:p w:rsidR="00000000" w:rsidDel="00000000" w:rsidP="00000000" w:rsidRDefault="00000000" w:rsidRPr="00000000">
      <w:pPr>
        <w:spacing w:after="180" w:lineRule="auto"/>
        <w:ind w:left="900" w:hanging="440"/>
        <w:contextualSpacing w:val="0"/>
        <w:rPr>
          <w:b w:val="1"/>
        </w:rPr>
      </w:pPr>
      <w:r w:rsidDel="00000000" w:rsidR="00000000" w:rsidRPr="00000000">
        <w:rPr>
          <w:b w:val="1"/>
          <w:rtl w:val="0"/>
        </w:rPr>
        <w:t xml:space="preserve">Books</w:t>
      </w:r>
    </w:p>
    <w:p w:rsidR="00000000" w:rsidDel="00000000" w:rsidP="00000000" w:rsidRDefault="00000000" w:rsidRPr="00000000">
      <w:pPr>
        <w:spacing w:after="180" w:lineRule="auto"/>
        <w:ind w:left="900" w:hanging="440"/>
        <w:contextualSpacing w:val="0"/>
        <w:rPr/>
      </w:pPr>
      <w:r w:rsidDel="00000000" w:rsidR="00000000" w:rsidRPr="00000000">
        <w:rPr>
          <w:rtl w:val="0"/>
        </w:rPr>
        <w:t xml:space="preserve">Athenaeus and Gulick, C. (1993). </w:t>
      </w:r>
      <w:r w:rsidDel="00000000" w:rsidR="00000000" w:rsidRPr="00000000">
        <w:rPr>
          <w:i w:val="1"/>
          <w:rtl w:val="0"/>
        </w:rPr>
        <w:t xml:space="preserve">The Deipnosophists</w:t>
      </w:r>
      <w:r w:rsidDel="00000000" w:rsidR="00000000" w:rsidRPr="00000000">
        <w:rPr>
          <w:rtl w:val="0"/>
        </w:rPr>
        <w:t xml:space="preserve">. Cambridge, Mass.: Harvard University Press.</w:t>
      </w:r>
    </w:p>
    <w:p w:rsidR="00000000" w:rsidDel="00000000" w:rsidP="00000000" w:rsidRDefault="00000000" w:rsidRPr="00000000">
      <w:pPr>
        <w:spacing w:after="180" w:lineRule="auto"/>
        <w:ind w:left="900" w:hanging="440"/>
        <w:contextualSpacing w:val="0"/>
        <w:rPr/>
      </w:pPr>
      <w:r w:rsidDel="00000000" w:rsidR="00000000" w:rsidRPr="00000000">
        <w:rPr>
          <w:rtl w:val="0"/>
        </w:rPr>
        <w:t xml:space="preserve">Diodorus and Skelton, J. (1957). </w:t>
      </w:r>
      <w:r w:rsidDel="00000000" w:rsidR="00000000" w:rsidRPr="00000000">
        <w:rPr>
          <w:i w:val="1"/>
          <w:rtl w:val="0"/>
        </w:rPr>
        <w:t xml:space="preserve">The Bibliotheca historica</w:t>
      </w:r>
      <w:r w:rsidDel="00000000" w:rsidR="00000000" w:rsidRPr="00000000">
        <w:rPr>
          <w:rtl w:val="0"/>
        </w:rPr>
        <w:t xml:space="preserve">. London: Oxford University Press.</w:t>
      </w:r>
    </w:p>
    <w:p w:rsidR="00000000" w:rsidDel="00000000" w:rsidP="00000000" w:rsidRDefault="00000000" w:rsidRPr="00000000">
      <w:pPr>
        <w:spacing w:after="180" w:lineRule="auto"/>
        <w:ind w:left="900" w:hanging="440"/>
        <w:contextualSpacing w:val="0"/>
        <w:rPr/>
      </w:pPr>
      <w:r w:rsidDel="00000000" w:rsidR="00000000" w:rsidRPr="00000000">
        <w:rPr>
          <w:rtl w:val="0"/>
        </w:rPr>
        <w:t xml:space="preserve">Matthiae, P. (2010). </w:t>
      </w:r>
      <w:r w:rsidDel="00000000" w:rsidR="00000000" w:rsidRPr="00000000">
        <w:rPr>
          <w:i w:val="1"/>
          <w:rtl w:val="0"/>
        </w:rPr>
        <w:t xml:space="preserve">Proceedings of the 6th International Congress of the Archaeology of the Ancient Near East</w:t>
      </w:r>
      <w:r w:rsidDel="00000000" w:rsidR="00000000" w:rsidRPr="00000000">
        <w:rPr>
          <w:rtl w:val="0"/>
        </w:rPr>
        <w:t xml:space="preserve">. Wiesbaden: Harrasowitz, p.208.</w:t>
      </w:r>
    </w:p>
    <w:p w:rsidR="00000000" w:rsidDel="00000000" w:rsidP="00000000" w:rsidRDefault="00000000" w:rsidRPr="00000000">
      <w:pPr>
        <w:spacing w:after="180" w:lineRule="auto"/>
        <w:ind w:left="900" w:hanging="440"/>
        <w:contextualSpacing w:val="0"/>
        <w:rPr/>
      </w:pPr>
      <w:r w:rsidDel="00000000" w:rsidR="00000000" w:rsidRPr="00000000">
        <w:rPr>
          <w:rtl w:val="0"/>
        </w:rPr>
        <w:t xml:space="preserve">Pritchard, J. and Fleming, D. (2011). </w:t>
      </w:r>
      <w:r w:rsidDel="00000000" w:rsidR="00000000" w:rsidRPr="00000000">
        <w:rPr>
          <w:i w:val="1"/>
          <w:rtl w:val="0"/>
        </w:rPr>
        <w:t xml:space="preserve">The ancient Near East</w:t>
      </w:r>
      <w:r w:rsidDel="00000000" w:rsidR="00000000" w:rsidRPr="00000000">
        <w:rPr>
          <w:rtl w:val="0"/>
        </w:rPr>
        <w:t xml:space="preserve">. Princeton, N.J.: Princeton University Press.</w:t>
      </w:r>
    </w:p>
    <w:p w:rsidR="00000000" w:rsidDel="00000000" w:rsidP="00000000" w:rsidRDefault="00000000" w:rsidRPr="00000000">
      <w:pPr>
        <w:spacing w:after="180" w:lineRule="auto"/>
        <w:ind w:left="900" w:hanging="440"/>
        <w:contextualSpacing w:val="0"/>
        <w:rPr/>
      </w:pPr>
      <w:r w:rsidDel="00000000" w:rsidR="00000000" w:rsidRPr="00000000">
        <w:rPr>
          <w:rtl w:val="0"/>
        </w:rPr>
        <w:t xml:space="preserve">Toorn, K., Becking, B. and Horst, P. (1999). </w:t>
      </w:r>
      <w:r w:rsidDel="00000000" w:rsidR="00000000" w:rsidRPr="00000000">
        <w:rPr>
          <w:i w:val="1"/>
          <w:rtl w:val="0"/>
        </w:rPr>
        <w:t xml:space="preserve">Dictionary of deities and demons in the Bible DDD</w:t>
      </w:r>
      <w:r w:rsidDel="00000000" w:rsidR="00000000" w:rsidRPr="00000000">
        <w:rPr>
          <w:rtl w:val="0"/>
        </w:rPr>
        <w:t xml:space="preserve">. Leiden: Brill.</w:t>
      </w:r>
    </w:p>
    <w:p w:rsidR="00000000" w:rsidDel="00000000" w:rsidP="00000000" w:rsidRDefault="00000000" w:rsidRPr="00000000">
      <w:pPr>
        <w:spacing w:after="180" w:lineRule="auto"/>
        <w:ind w:left="900" w:hanging="440"/>
        <w:contextualSpacing w:val="0"/>
        <w:rPr/>
      </w:pPr>
      <w:r w:rsidDel="00000000" w:rsidR="00000000" w:rsidRPr="00000000">
        <w:rPr>
          <w:rtl w:val="0"/>
        </w:rPr>
      </w:r>
    </w:p>
    <w:p w:rsidR="00000000" w:rsidDel="00000000" w:rsidP="00000000" w:rsidRDefault="00000000" w:rsidRPr="00000000">
      <w:pPr>
        <w:spacing w:after="180" w:lineRule="auto"/>
        <w:ind w:left="900" w:hanging="440"/>
        <w:contextualSpacing w:val="0"/>
        <w:rPr>
          <w:b w:val="1"/>
        </w:rPr>
      </w:pPr>
      <w:r w:rsidDel="00000000" w:rsidR="00000000" w:rsidRPr="00000000">
        <w:rPr>
          <w:b w:val="1"/>
          <w:rtl w:val="0"/>
        </w:rPr>
        <w:t xml:space="preserve">Online Resources</w:t>
      </w:r>
    </w:p>
    <w:p w:rsidR="00000000" w:rsidDel="00000000" w:rsidP="00000000" w:rsidRDefault="00000000" w:rsidRPr="00000000">
      <w:pPr>
        <w:spacing w:after="180" w:lineRule="auto"/>
        <w:ind w:left="900" w:hanging="440"/>
        <w:contextualSpacing w:val="0"/>
        <w:rPr/>
      </w:pPr>
      <w:r w:rsidDel="00000000" w:rsidR="00000000" w:rsidRPr="00000000">
        <w:rPr>
          <w:rtl w:val="0"/>
        </w:rPr>
        <w:t xml:space="preserve">McCarter, P. (2018). </w:t>
      </w:r>
      <w:r w:rsidDel="00000000" w:rsidR="00000000" w:rsidRPr="00000000">
        <w:rPr>
          <w:i w:val="1"/>
          <w:rtl w:val="0"/>
        </w:rPr>
        <w:t xml:space="preserve">The Sarcophagus Inscription of Tabnit, King of Sidon (2.56)</w:t>
      </w:r>
      <w:r w:rsidDel="00000000" w:rsidR="00000000" w:rsidRPr="00000000">
        <w:rPr>
          <w:rtl w:val="0"/>
        </w:rPr>
        <w:t xml:space="preserve">. [online] Referenceworks.brillonline.com. Available at: http://referenceworks.brillonline.com/entries/context-of-scripture/the-sarcophagus-inscription-of-tabnit-king-of-sidon-256-aCOSB_2_56 [Accessed 13 Feb. 2018].</w:t>
      </w:r>
      <w:r w:rsidDel="00000000" w:rsidR="00000000" w:rsidRPr="00000000">
        <w:rPr>
          <w:rtl w:val="0"/>
        </w:rPr>
      </w:r>
    </w:p>
    <w:p w:rsidR="00000000" w:rsidDel="00000000" w:rsidP="00000000" w:rsidRDefault="00000000" w:rsidRPr="00000000">
      <w:pPr>
        <w:spacing w:line="240" w:lineRule="auto"/>
        <w:contextualSpacing w:val="0"/>
        <w:rPr>
          <w:rFonts w:ascii="Georgia" w:cs="Georgia" w:eastAsia="Georgia" w:hAnsi="Georgia"/>
          <w:color w:val="222222"/>
          <w:sz w:val="18"/>
          <w:szCs w:val="18"/>
          <w:shd w:fill="f2f2f2" w:val="clear"/>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1">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Diodorus Siculus.18.</w:t>
      </w:r>
    </w:p>
  </w:footnote>
  <w:footnote w:id="2">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color w:val="222222"/>
          <w:sz w:val="18"/>
          <w:szCs w:val="18"/>
          <w:shd w:fill="f2f2f2" w:val="clear"/>
          <w:rtl w:val="0"/>
        </w:rPr>
        <w:t xml:space="preserve">McCarter, P. Kyle</w:t>
      </w:r>
      <w:r w:rsidDel="00000000" w:rsidR="00000000" w:rsidRPr="00000000">
        <w:rPr>
          <w:rtl w:val="0"/>
        </w:rPr>
      </w:r>
    </w:p>
  </w:footnote>
  <w:footnote w:id="3">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Prichard and Fleming. 311.</w:t>
      </w:r>
    </w:p>
  </w:footnote>
  <w:footnote w:id="4">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Harrassowitz Verlag. 208.</w:t>
      </w:r>
    </w:p>
  </w:footnote>
  <w:footnote w:id="0">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shd w:fill="eaf3ff" w:val="clear"/>
          <w:rtl w:val="0"/>
        </w:rPr>
        <w:t xml:space="preserve">van der Toorn, Bob Becking, Pieter Willem van der Horst.109.</w:t>
      </w:r>
      <w:r w:rsidDel="00000000" w:rsidR="00000000" w:rsidRPr="00000000">
        <w:rPr>
          <w:rtl w:val="0"/>
        </w:rPr>
      </w:r>
    </w:p>
  </w:footnote>
  <w:footnote w:id="5">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Barton.</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