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214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2763"/>
        <w:gridCol w:w="2317"/>
        <w:gridCol w:w="2034"/>
      </w:tblGrid>
      <w:tr w:rsidR="00B079F6" w:rsidRPr="00B079F6" w14:paraId="3A066C0A" w14:textId="77777777" w:rsidTr="00B079F6">
        <w:trPr>
          <w:trHeight w:val="502"/>
        </w:trPr>
        <w:tc>
          <w:tcPr>
            <w:tcW w:w="1055" w:type="pct"/>
          </w:tcPr>
          <w:p w14:paraId="1C642156"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Student name:</w:t>
            </w:r>
          </w:p>
        </w:tc>
        <w:tc>
          <w:tcPr>
            <w:tcW w:w="1532" w:type="pct"/>
          </w:tcPr>
          <w:p w14:paraId="485FAA92" w14:textId="77777777" w:rsidR="00B079F6" w:rsidRPr="00B079F6" w:rsidRDefault="00143E14" w:rsidP="00B079F6">
            <w:pPr>
              <w:spacing w:before="120" w:after="120" w:line="240" w:lineRule="auto"/>
              <w:rPr>
                <w:rFonts w:ascii="Arial" w:hAnsi="Arial" w:cs="Arial"/>
                <w:b/>
                <w:szCs w:val="22"/>
                <w:lang w:eastAsia="en-GB"/>
              </w:rPr>
            </w:pPr>
            <w:proofErr w:type="spellStart"/>
            <w:r w:rsidRPr="00771F28">
              <w:rPr>
                <w:rFonts w:cs="Arial"/>
                <w:b/>
                <w:bCs/>
                <w:szCs w:val="22"/>
                <w:lang w:eastAsia="en-GB"/>
              </w:rPr>
              <w:t>Alinaqi</w:t>
            </w:r>
            <w:proofErr w:type="spellEnd"/>
            <w:r w:rsidRPr="00771F28">
              <w:rPr>
                <w:rFonts w:cs="Arial"/>
                <w:b/>
                <w:bCs/>
                <w:szCs w:val="22"/>
                <w:lang w:eastAsia="en-GB"/>
              </w:rPr>
              <w:t xml:space="preserve"> </w:t>
            </w:r>
            <w:proofErr w:type="spellStart"/>
            <w:r w:rsidRPr="00771F28">
              <w:rPr>
                <w:rFonts w:cs="Arial"/>
                <w:b/>
                <w:bCs/>
                <w:szCs w:val="22"/>
                <w:lang w:eastAsia="en-GB"/>
              </w:rPr>
              <w:t>Bukht</w:t>
            </w:r>
            <w:proofErr w:type="spellEnd"/>
            <w:r w:rsidRPr="00771F28">
              <w:rPr>
                <w:rFonts w:cs="Arial"/>
                <w:b/>
                <w:bCs/>
                <w:szCs w:val="22"/>
                <w:lang w:eastAsia="en-GB"/>
              </w:rPr>
              <w:t xml:space="preserve"> Mirza</w:t>
            </w:r>
          </w:p>
        </w:tc>
        <w:tc>
          <w:tcPr>
            <w:tcW w:w="1285" w:type="pct"/>
            <w:shd w:val="clear" w:color="auto" w:fill="D9D9D9"/>
          </w:tcPr>
          <w:p w14:paraId="191F8413"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Student ID number:</w:t>
            </w:r>
          </w:p>
        </w:tc>
        <w:tc>
          <w:tcPr>
            <w:tcW w:w="1129" w:type="pct"/>
          </w:tcPr>
          <w:p w14:paraId="691A88FE" w14:textId="77777777" w:rsidR="00B079F6" w:rsidRPr="00B079F6" w:rsidRDefault="00143E14" w:rsidP="00B079F6">
            <w:pPr>
              <w:spacing w:before="120" w:after="120" w:line="240" w:lineRule="auto"/>
              <w:rPr>
                <w:rFonts w:ascii="Arial" w:hAnsi="Arial" w:cs="Arial"/>
                <w:b/>
                <w:szCs w:val="22"/>
                <w:lang w:eastAsia="en-GB"/>
              </w:rPr>
            </w:pPr>
            <w:r w:rsidRPr="00771F28">
              <w:rPr>
                <w:rFonts w:cs="Arial"/>
                <w:b/>
                <w:bCs/>
                <w:szCs w:val="22"/>
                <w:lang w:eastAsia="en-GB"/>
              </w:rPr>
              <w:t>2530128</w:t>
            </w:r>
          </w:p>
        </w:tc>
      </w:tr>
      <w:tr w:rsidR="00B079F6" w:rsidRPr="00B079F6" w14:paraId="677EE452" w14:textId="77777777" w:rsidTr="00B079F6">
        <w:tc>
          <w:tcPr>
            <w:tcW w:w="1055" w:type="pct"/>
            <w:shd w:val="clear" w:color="auto" w:fill="D9D9D9"/>
          </w:tcPr>
          <w:p w14:paraId="236B8776"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Programme:</w:t>
            </w:r>
          </w:p>
        </w:tc>
        <w:tc>
          <w:tcPr>
            <w:tcW w:w="3945" w:type="pct"/>
            <w:gridSpan w:val="3"/>
          </w:tcPr>
          <w:p w14:paraId="6F388CCF" w14:textId="77777777" w:rsidR="00B079F6" w:rsidRPr="00B079F6" w:rsidRDefault="00B079F6" w:rsidP="00B079F6">
            <w:pPr>
              <w:spacing w:before="120" w:after="120" w:line="240" w:lineRule="auto"/>
              <w:rPr>
                <w:rFonts w:ascii="Arial" w:hAnsi="Arial" w:cs="Arial"/>
                <w:b/>
                <w:bCs/>
                <w:szCs w:val="22"/>
                <w:lang w:eastAsia="en-GB"/>
              </w:rPr>
            </w:pPr>
            <w:proofErr w:type="spellStart"/>
            <w:r w:rsidRPr="00B079F6">
              <w:rPr>
                <w:rFonts w:ascii="Arial" w:hAnsi="Arial" w:cs="Arial"/>
                <w:b/>
                <w:bCs/>
                <w:sz w:val="22"/>
                <w:szCs w:val="22"/>
                <w:lang w:eastAsia="en-GB"/>
              </w:rPr>
              <w:t>CertificateofHigherEducationSkillsforthe</w:t>
            </w:r>
            <w:r w:rsidRPr="00B079F6">
              <w:rPr>
                <w:rFonts w:ascii="Arial" w:hAnsi="Arial" w:cs="Arial"/>
                <w:b/>
                <w:bCs/>
                <w:spacing w:val="-2"/>
                <w:sz w:val="22"/>
                <w:szCs w:val="22"/>
                <w:lang w:eastAsia="en-GB"/>
              </w:rPr>
              <w:t>Workplace</w:t>
            </w:r>
            <w:proofErr w:type="spellEnd"/>
            <w:r w:rsidRPr="00B079F6">
              <w:rPr>
                <w:rFonts w:ascii="Arial" w:hAnsi="Arial" w:cs="Arial"/>
                <w:b/>
                <w:bCs/>
                <w:spacing w:val="-2"/>
                <w:sz w:val="22"/>
                <w:szCs w:val="22"/>
                <w:lang w:eastAsia="en-GB"/>
              </w:rPr>
              <w:t xml:space="preserve"> (Health &amp; Social Care)</w:t>
            </w:r>
          </w:p>
        </w:tc>
      </w:tr>
      <w:tr w:rsidR="00B079F6" w:rsidRPr="00B079F6" w14:paraId="18455286" w14:textId="77777777" w:rsidTr="00B079F6">
        <w:tc>
          <w:tcPr>
            <w:tcW w:w="1055" w:type="pct"/>
          </w:tcPr>
          <w:p w14:paraId="0A0A190D"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Module:</w:t>
            </w:r>
          </w:p>
        </w:tc>
        <w:tc>
          <w:tcPr>
            <w:tcW w:w="3945" w:type="pct"/>
            <w:gridSpan w:val="3"/>
          </w:tcPr>
          <w:p w14:paraId="406FB37B" w14:textId="77777777" w:rsidR="00B079F6" w:rsidRPr="00B079F6" w:rsidRDefault="00B079F6" w:rsidP="00B079F6">
            <w:pPr>
              <w:spacing w:before="120" w:after="120" w:line="240" w:lineRule="auto"/>
              <w:rPr>
                <w:rFonts w:ascii="Arial" w:hAnsi="Arial" w:cs="Arial"/>
                <w:b/>
                <w:bCs/>
                <w:szCs w:val="22"/>
                <w:lang w:eastAsia="en-GB"/>
              </w:rPr>
            </w:pPr>
            <w:r w:rsidRPr="00B079F6">
              <w:rPr>
                <w:rFonts w:ascii="Arial" w:hAnsi="Arial" w:cs="Arial"/>
                <w:b/>
                <w:bCs/>
                <w:sz w:val="22"/>
                <w:szCs w:val="22"/>
                <w:lang w:eastAsia="en-GB"/>
              </w:rPr>
              <w:t>Introduction to Health and Social Care</w:t>
            </w:r>
          </w:p>
        </w:tc>
      </w:tr>
      <w:tr w:rsidR="00B079F6" w:rsidRPr="00B079F6" w14:paraId="1EFB7052" w14:textId="77777777" w:rsidTr="00B079F6">
        <w:tc>
          <w:tcPr>
            <w:tcW w:w="1055" w:type="pct"/>
          </w:tcPr>
          <w:p w14:paraId="367B942E"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Module code:</w:t>
            </w:r>
          </w:p>
        </w:tc>
        <w:tc>
          <w:tcPr>
            <w:tcW w:w="1532" w:type="pct"/>
          </w:tcPr>
          <w:p w14:paraId="3DF076B6" w14:textId="77777777" w:rsidR="00B079F6" w:rsidRPr="00B079F6" w:rsidRDefault="00B079F6" w:rsidP="00B079F6">
            <w:pPr>
              <w:spacing w:before="120" w:after="120" w:line="240" w:lineRule="auto"/>
              <w:rPr>
                <w:rFonts w:ascii="Arial" w:hAnsi="Arial" w:cs="Arial"/>
                <w:b/>
                <w:bCs/>
                <w:szCs w:val="22"/>
                <w:lang w:eastAsia="en-GB"/>
              </w:rPr>
            </w:pPr>
            <w:r w:rsidRPr="00B079F6">
              <w:rPr>
                <w:rFonts w:ascii="Arial" w:hAnsi="Arial" w:cs="Arial"/>
                <w:b/>
                <w:bCs/>
                <w:sz w:val="22"/>
                <w:szCs w:val="22"/>
                <w:lang w:eastAsia="en-GB"/>
              </w:rPr>
              <w:t>LCHS4003</w:t>
            </w:r>
          </w:p>
        </w:tc>
        <w:tc>
          <w:tcPr>
            <w:tcW w:w="1285" w:type="pct"/>
            <w:shd w:val="clear" w:color="auto" w:fill="D9D9D9"/>
          </w:tcPr>
          <w:p w14:paraId="4D070154" w14:textId="77777777" w:rsidR="00B079F6" w:rsidRPr="00B079F6" w:rsidRDefault="00B079F6" w:rsidP="00672E56">
            <w:pPr>
              <w:rPr>
                <w:lang w:eastAsia="en-GB"/>
              </w:rPr>
            </w:pPr>
            <w:r w:rsidRPr="00672E56">
              <w:rPr>
                <w:rFonts w:ascii="Arial" w:hAnsi="Arial" w:cs="Arial"/>
                <w:b/>
                <w:sz w:val="22"/>
                <w:szCs w:val="22"/>
                <w:lang w:eastAsia="en-GB"/>
              </w:rPr>
              <w:t>Contribution to Overall Module Assessment (%):</w:t>
            </w:r>
          </w:p>
        </w:tc>
        <w:tc>
          <w:tcPr>
            <w:tcW w:w="1129" w:type="pct"/>
          </w:tcPr>
          <w:p w14:paraId="20CACBDC" w14:textId="77777777" w:rsidR="00B079F6" w:rsidRPr="00B079F6" w:rsidRDefault="00B079F6" w:rsidP="00B079F6">
            <w:pPr>
              <w:spacing w:before="120" w:after="120" w:line="240" w:lineRule="auto"/>
              <w:rPr>
                <w:rFonts w:ascii="Arial" w:hAnsi="Arial" w:cs="Arial"/>
                <w:b/>
                <w:bCs/>
                <w:szCs w:val="22"/>
                <w:lang w:eastAsia="en-GB"/>
              </w:rPr>
            </w:pPr>
            <w:r w:rsidRPr="00B079F6">
              <w:rPr>
                <w:rFonts w:ascii="Arial" w:hAnsi="Arial" w:cs="Arial"/>
                <w:b/>
                <w:bCs/>
                <w:sz w:val="22"/>
                <w:szCs w:val="22"/>
                <w:lang w:eastAsia="en-GB"/>
              </w:rPr>
              <w:t>50%</w:t>
            </w:r>
          </w:p>
        </w:tc>
      </w:tr>
      <w:tr w:rsidR="00B079F6" w:rsidRPr="00B079F6" w14:paraId="3D23030B" w14:textId="77777777" w:rsidTr="00B079F6">
        <w:tc>
          <w:tcPr>
            <w:tcW w:w="1055" w:type="pct"/>
          </w:tcPr>
          <w:p w14:paraId="2F10B283"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Lecturers:</w:t>
            </w:r>
          </w:p>
        </w:tc>
        <w:tc>
          <w:tcPr>
            <w:tcW w:w="1532" w:type="pct"/>
          </w:tcPr>
          <w:p w14:paraId="2E9D1253" w14:textId="1B83EED8" w:rsidR="00B079F6" w:rsidRPr="00B079F6" w:rsidRDefault="00B70DD5" w:rsidP="00B079F6">
            <w:pPr>
              <w:spacing w:before="120" w:after="120" w:line="240" w:lineRule="auto"/>
              <w:jc w:val="left"/>
              <w:rPr>
                <w:rFonts w:ascii="Arial" w:hAnsi="Arial" w:cs="Arial"/>
                <w:b/>
                <w:bCs/>
                <w:szCs w:val="22"/>
                <w:lang w:eastAsia="en-GB"/>
              </w:rPr>
            </w:pPr>
            <w:r>
              <w:rPr>
                <w:rFonts w:ascii="Arial" w:hAnsi="Arial" w:cs="Arial"/>
                <w:b/>
                <w:bCs/>
                <w:szCs w:val="22"/>
                <w:lang w:eastAsia="en-GB"/>
              </w:rPr>
              <w:t xml:space="preserve">Vivian </w:t>
            </w:r>
            <w:proofErr w:type="spellStart"/>
            <w:r>
              <w:rPr>
                <w:rFonts w:ascii="Arial" w:hAnsi="Arial" w:cs="Arial"/>
                <w:b/>
                <w:bCs/>
                <w:szCs w:val="22"/>
                <w:lang w:eastAsia="en-GB"/>
              </w:rPr>
              <w:t>osuchukwu</w:t>
            </w:r>
            <w:proofErr w:type="spellEnd"/>
          </w:p>
        </w:tc>
        <w:tc>
          <w:tcPr>
            <w:tcW w:w="1285" w:type="pct"/>
            <w:shd w:val="clear" w:color="auto" w:fill="D9D9D9"/>
          </w:tcPr>
          <w:p w14:paraId="5AD4BF9C" w14:textId="77777777" w:rsidR="00B079F6" w:rsidRPr="00B079F6" w:rsidRDefault="00B079F6" w:rsidP="00B079F6">
            <w:pPr>
              <w:spacing w:before="120" w:after="120" w:line="240" w:lineRule="auto"/>
              <w:rPr>
                <w:rFonts w:ascii="Arial" w:hAnsi="Arial" w:cs="Arial"/>
                <w:b/>
                <w:bCs/>
                <w:szCs w:val="22"/>
                <w:lang w:eastAsia="en-GB"/>
              </w:rPr>
            </w:pPr>
            <w:r w:rsidRPr="00B079F6">
              <w:rPr>
                <w:rFonts w:ascii="Arial" w:hAnsi="Arial" w:cs="Arial"/>
                <w:b/>
                <w:bCs/>
                <w:sz w:val="22"/>
                <w:szCs w:val="22"/>
                <w:lang w:eastAsia="en-GB"/>
              </w:rPr>
              <w:t>Internal Verifier:</w:t>
            </w:r>
          </w:p>
        </w:tc>
        <w:tc>
          <w:tcPr>
            <w:tcW w:w="1129" w:type="pct"/>
          </w:tcPr>
          <w:p w14:paraId="2EC7AC20" w14:textId="77777777" w:rsidR="00B079F6" w:rsidRPr="00B079F6" w:rsidRDefault="00B079F6" w:rsidP="00B079F6">
            <w:pPr>
              <w:spacing w:before="120" w:after="120" w:line="240" w:lineRule="auto"/>
              <w:jc w:val="left"/>
              <w:rPr>
                <w:rFonts w:ascii="Arial" w:hAnsi="Arial" w:cs="Arial"/>
                <w:b/>
                <w:bCs/>
                <w:szCs w:val="22"/>
                <w:lang w:eastAsia="en-GB"/>
              </w:rPr>
            </w:pPr>
            <w:r w:rsidRPr="00B079F6">
              <w:rPr>
                <w:rFonts w:ascii="Arial" w:hAnsi="Arial" w:cs="Arial"/>
                <w:b/>
                <w:bCs/>
                <w:sz w:val="22"/>
                <w:szCs w:val="22"/>
                <w:lang w:eastAsia="en-GB"/>
              </w:rPr>
              <w:t xml:space="preserve">Dr </w:t>
            </w:r>
            <w:proofErr w:type="spellStart"/>
            <w:r w:rsidRPr="00B079F6">
              <w:rPr>
                <w:rFonts w:ascii="Arial" w:hAnsi="Arial" w:cs="Arial"/>
                <w:b/>
                <w:bCs/>
                <w:sz w:val="22"/>
                <w:szCs w:val="22"/>
                <w:lang w:eastAsia="en-GB"/>
              </w:rPr>
              <w:t>Besty</w:t>
            </w:r>
            <w:proofErr w:type="spellEnd"/>
            <w:r w:rsidRPr="00B079F6">
              <w:rPr>
                <w:rFonts w:ascii="Arial" w:hAnsi="Arial" w:cs="Arial"/>
                <w:b/>
                <w:bCs/>
                <w:sz w:val="22"/>
                <w:szCs w:val="22"/>
                <w:lang w:eastAsia="en-GB"/>
              </w:rPr>
              <w:t xml:space="preserve"> Jose</w:t>
            </w:r>
          </w:p>
        </w:tc>
      </w:tr>
      <w:tr w:rsidR="00B079F6" w:rsidRPr="00B079F6" w14:paraId="6A9BB074" w14:textId="77777777" w:rsidTr="00B079F6">
        <w:tc>
          <w:tcPr>
            <w:tcW w:w="1055" w:type="pct"/>
          </w:tcPr>
          <w:p w14:paraId="0338986A"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Assignment Title:</w:t>
            </w:r>
          </w:p>
        </w:tc>
        <w:tc>
          <w:tcPr>
            <w:tcW w:w="1532" w:type="pct"/>
          </w:tcPr>
          <w:p w14:paraId="2D3BBEB3" w14:textId="77777777" w:rsidR="00B079F6" w:rsidRPr="00B079F6" w:rsidRDefault="00B079F6" w:rsidP="00B079F6">
            <w:pPr>
              <w:spacing w:before="120" w:after="120" w:line="240" w:lineRule="auto"/>
              <w:rPr>
                <w:rFonts w:ascii="Arial" w:hAnsi="Arial" w:cs="Arial"/>
                <w:b/>
                <w:bCs/>
                <w:szCs w:val="22"/>
                <w:lang w:eastAsia="en-GB"/>
              </w:rPr>
            </w:pPr>
            <w:r w:rsidRPr="00B079F6">
              <w:rPr>
                <w:rFonts w:ascii="Arial" w:hAnsi="Arial" w:cs="Arial"/>
                <w:b/>
                <w:bCs/>
                <w:sz w:val="22"/>
                <w:szCs w:val="22"/>
                <w:lang w:eastAsia="en-GB"/>
              </w:rPr>
              <w:t xml:space="preserve">Written Assignment </w:t>
            </w:r>
          </w:p>
        </w:tc>
        <w:tc>
          <w:tcPr>
            <w:tcW w:w="1285" w:type="pct"/>
          </w:tcPr>
          <w:p w14:paraId="680FA89A"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Word count (or equivalent):</w:t>
            </w:r>
          </w:p>
        </w:tc>
        <w:tc>
          <w:tcPr>
            <w:tcW w:w="1129" w:type="pct"/>
          </w:tcPr>
          <w:p w14:paraId="3BC4090B" w14:textId="77777777" w:rsidR="00B079F6" w:rsidRPr="00B079F6" w:rsidRDefault="00B079F6" w:rsidP="00B079F6">
            <w:pPr>
              <w:spacing w:before="120" w:after="120" w:line="240" w:lineRule="auto"/>
              <w:jc w:val="left"/>
              <w:rPr>
                <w:rFonts w:ascii="Arial" w:hAnsi="Arial" w:cs="Arial"/>
                <w:b/>
                <w:bCs/>
                <w:szCs w:val="22"/>
                <w:lang w:eastAsia="en-GB"/>
              </w:rPr>
            </w:pPr>
            <w:r w:rsidRPr="00B079F6">
              <w:rPr>
                <w:rFonts w:ascii="Arial" w:hAnsi="Arial" w:cs="Arial"/>
                <w:b/>
                <w:bCs/>
                <w:sz w:val="22"/>
                <w:szCs w:val="22"/>
                <w:lang w:eastAsia="en-GB"/>
              </w:rPr>
              <w:t xml:space="preserve">1,500 words </w:t>
            </w:r>
          </w:p>
        </w:tc>
      </w:tr>
      <w:tr w:rsidR="00B079F6" w:rsidRPr="00B079F6" w14:paraId="216E793F" w14:textId="77777777" w:rsidTr="00B079F6">
        <w:tc>
          <w:tcPr>
            <w:tcW w:w="1055" w:type="pct"/>
          </w:tcPr>
          <w:p w14:paraId="71CD3A97"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Submission deadline:</w:t>
            </w:r>
          </w:p>
        </w:tc>
        <w:tc>
          <w:tcPr>
            <w:tcW w:w="1532" w:type="pct"/>
          </w:tcPr>
          <w:p w14:paraId="694D94A2" w14:textId="567E1B89" w:rsidR="00B079F6" w:rsidRPr="00B079F6" w:rsidRDefault="00E84525" w:rsidP="00B079F6">
            <w:pPr>
              <w:spacing w:before="120" w:after="120" w:line="240" w:lineRule="auto"/>
              <w:jc w:val="left"/>
              <w:rPr>
                <w:rFonts w:ascii="Arial" w:hAnsi="Arial" w:cs="Arial"/>
                <w:b/>
                <w:bCs/>
                <w:color w:val="FF0000"/>
                <w:szCs w:val="22"/>
                <w:lang w:eastAsia="en-GB"/>
              </w:rPr>
            </w:pPr>
            <w:r>
              <w:rPr>
                <w:rFonts w:ascii="Arial" w:hAnsi="Arial" w:cs="Arial"/>
                <w:b/>
                <w:bCs/>
                <w:color w:val="FF0000"/>
                <w:szCs w:val="22"/>
                <w:lang w:eastAsia="en-GB"/>
              </w:rPr>
              <w:t>23/07/2026</w:t>
            </w:r>
          </w:p>
        </w:tc>
        <w:tc>
          <w:tcPr>
            <w:tcW w:w="1285" w:type="pct"/>
          </w:tcPr>
          <w:p w14:paraId="604C0CB3" w14:textId="77777777" w:rsidR="00B079F6" w:rsidRPr="00B079F6" w:rsidRDefault="00B079F6" w:rsidP="00B079F6">
            <w:pPr>
              <w:spacing w:before="120" w:after="120" w:line="240" w:lineRule="auto"/>
              <w:rPr>
                <w:rFonts w:ascii="Arial" w:hAnsi="Arial" w:cs="Arial"/>
                <w:b/>
                <w:szCs w:val="22"/>
                <w:lang w:eastAsia="en-GB"/>
              </w:rPr>
            </w:pPr>
            <w:r w:rsidRPr="00B079F6">
              <w:rPr>
                <w:rFonts w:ascii="Arial" w:hAnsi="Arial" w:cs="Arial"/>
                <w:b/>
                <w:sz w:val="22"/>
                <w:szCs w:val="22"/>
                <w:lang w:eastAsia="en-GB"/>
              </w:rPr>
              <w:t>Return date of provisional marks &amp; written feedback:</w:t>
            </w:r>
          </w:p>
        </w:tc>
        <w:tc>
          <w:tcPr>
            <w:tcW w:w="1129" w:type="pct"/>
          </w:tcPr>
          <w:p w14:paraId="609026E9" w14:textId="77777777" w:rsidR="00B079F6" w:rsidRPr="00B079F6" w:rsidRDefault="00B079F6" w:rsidP="00B079F6">
            <w:pPr>
              <w:spacing w:before="0" w:after="0" w:line="240" w:lineRule="auto"/>
              <w:rPr>
                <w:rFonts w:ascii="Aptos Narrow" w:hAnsi="Aptos Narrow"/>
                <w:b/>
                <w:bCs/>
                <w:color w:val="000000"/>
                <w:szCs w:val="22"/>
                <w:lang w:eastAsia="en-GB"/>
              </w:rPr>
            </w:pPr>
          </w:p>
          <w:p w14:paraId="1531AA77" w14:textId="77777777" w:rsidR="00B079F6" w:rsidRPr="00B079F6" w:rsidRDefault="00B079F6" w:rsidP="00B079F6">
            <w:pPr>
              <w:spacing w:before="0" w:after="0" w:line="240" w:lineRule="auto"/>
              <w:rPr>
                <w:rFonts w:ascii="Aptos Narrow" w:hAnsi="Aptos Narrow"/>
                <w:b/>
                <w:bCs/>
                <w:color w:val="000000"/>
                <w:szCs w:val="22"/>
                <w:lang w:eastAsia="zh-CN"/>
              </w:rPr>
            </w:pPr>
            <w:r w:rsidRPr="00B079F6">
              <w:rPr>
                <w:rFonts w:ascii="Aptos Narrow" w:hAnsi="Aptos Narrow"/>
                <w:b/>
                <w:bCs/>
                <w:color w:val="000000"/>
                <w:sz w:val="22"/>
                <w:szCs w:val="22"/>
                <w:lang w:eastAsia="en-GB"/>
              </w:rPr>
              <w:t>28th August 2026</w:t>
            </w:r>
          </w:p>
          <w:p w14:paraId="2D654756" w14:textId="77777777" w:rsidR="00B079F6" w:rsidRPr="00B079F6" w:rsidRDefault="00B079F6" w:rsidP="00B079F6">
            <w:pPr>
              <w:spacing w:before="120" w:after="120" w:line="240" w:lineRule="auto"/>
              <w:rPr>
                <w:rFonts w:ascii="Arial" w:hAnsi="Arial" w:cs="Arial"/>
                <w:b/>
                <w:szCs w:val="22"/>
                <w:lang w:eastAsia="en-GB"/>
              </w:rPr>
            </w:pPr>
          </w:p>
        </w:tc>
      </w:tr>
    </w:tbl>
    <w:p w14:paraId="262E38E9" w14:textId="77777777" w:rsidR="00E21A6D" w:rsidRDefault="00E21A6D">
      <w:pPr>
        <w:spacing w:before="0" w:after="160"/>
        <w:rPr>
          <w:b/>
          <w:bCs/>
        </w:rPr>
      </w:pPr>
      <w:r>
        <w:rPr>
          <w:b/>
          <w:bCs/>
        </w:rPr>
        <w:br w:type="page"/>
      </w:r>
    </w:p>
    <w:sdt>
      <w:sdtPr>
        <w:rPr>
          <w:rFonts w:ascii="Times New Roman" w:eastAsia="Times New Roman" w:hAnsi="Times New Roman" w:cs="Times New Roman"/>
          <w:color w:val="auto"/>
          <w:sz w:val="24"/>
          <w:szCs w:val="20"/>
          <w:lang w:val="en-GB"/>
        </w:rPr>
        <w:id w:val="2116788100"/>
        <w:docPartObj>
          <w:docPartGallery w:val="Table of Contents"/>
          <w:docPartUnique/>
        </w:docPartObj>
      </w:sdtPr>
      <w:sdtEndPr>
        <w:rPr>
          <w:b/>
          <w:bCs/>
          <w:noProof/>
        </w:rPr>
      </w:sdtEndPr>
      <w:sdtContent>
        <w:p w14:paraId="564A0003" w14:textId="77777777" w:rsidR="00672E56" w:rsidRPr="00672E56" w:rsidRDefault="00672E56" w:rsidP="00672E56">
          <w:pPr>
            <w:pStyle w:val="TOCHeading"/>
            <w:jc w:val="center"/>
            <w:rPr>
              <w:rFonts w:ascii="Times New Roman" w:hAnsi="Times New Roman" w:cs="Times New Roman"/>
              <w:b/>
            </w:rPr>
          </w:pPr>
          <w:r w:rsidRPr="00672E56">
            <w:rPr>
              <w:rFonts w:ascii="Times New Roman" w:hAnsi="Times New Roman" w:cs="Times New Roman"/>
              <w:b/>
            </w:rPr>
            <w:t>Table of Contents</w:t>
          </w:r>
        </w:p>
        <w:p w14:paraId="6FEF43DC" w14:textId="77777777" w:rsidR="00672E56" w:rsidRDefault="00705E52">
          <w:pPr>
            <w:pStyle w:val="TOC1"/>
            <w:tabs>
              <w:tab w:val="right" w:leader="dot" w:pos="9016"/>
            </w:tabs>
            <w:rPr>
              <w:rFonts w:asciiTheme="minorHAnsi" w:eastAsiaTheme="minorEastAsia" w:hAnsiTheme="minorHAnsi" w:cstheme="minorBidi"/>
              <w:noProof/>
              <w:sz w:val="22"/>
              <w:szCs w:val="22"/>
              <w:lang w:eastAsia="en-GB"/>
            </w:rPr>
          </w:pPr>
          <w:r>
            <w:fldChar w:fldCharType="begin"/>
          </w:r>
          <w:r w:rsidR="00672E56">
            <w:instrText xml:space="preserve"> TOC \o "1-3" \h \z \u </w:instrText>
          </w:r>
          <w:r>
            <w:fldChar w:fldCharType="separate"/>
          </w:r>
          <w:hyperlink w:anchor="_Toc235572758" w:history="1">
            <w:r w:rsidR="00672E56" w:rsidRPr="00D214AF">
              <w:rPr>
                <w:rStyle w:val="Hyperlink"/>
                <w:noProof/>
              </w:rPr>
              <w:t>Introduction</w:t>
            </w:r>
            <w:r w:rsidR="00672E56">
              <w:rPr>
                <w:noProof/>
                <w:webHidden/>
              </w:rPr>
              <w:tab/>
            </w:r>
            <w:r>
              <w:rPr>
                <w:noProof/>
                <w:webHidden/>
              </w:rPr>
              <w:fldChar w:fldCharType="begin"/>
            </w:r>
            <w:r w:rsidR="00672E56">
              <w:rPr>
                <w:noProof/>
                <w:webHidden/>
              </w:rPr>
              <w:instrText xml:space="preserve"> PAGEREF _Toc235572758 \h </w:instrText>
            </w:r>
            <w:r>
              <w:rPr>
                <w:noProof/>
                <w:webHidden/>
              </w:rPr>
            </w:r>
            <w:r>
              <w:rPr>
                <w:noProof/>
                <w:webHidden/>
              </w:rPr>
              <w:fldChar w:fldCharType="separate"/>
            </w:r>
            <w:r w:rsidR="00672E56">
              <w:rPr>
                <w:noProof/>
                <w:webHidden/>
              </w:rPr>
              <w:t>3</w:t>
            </w:r>
            <w:r>
              <w:rPr>
                <w:noProof/>
                <w:webHidden/>
              </w:rPr>
              <w:fldChar w:fldCharType="end"/>
            </w:r>
          </w:hyperlink>
        </w:p>
        <w:p w14:paraId="490B47C8" w14:textId="77777777" w:rsidR="00672E56"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235572759" w:history="1">
            <w:r w:rsidR="00672E56" w:rsidRPr="00D214AF">
              <w:rPr>
                <w:rStyle w:val="Hyperlink"/>
                <w:noProof/>
              </w:rPr>
              <w:t>1. Effective Communication</w:t>
            </w:r>
            <w:r w:rsidR="00672E56">
              <w:rPr>
                <w:noProof/>
                <w:webHidden/>
              </w:rPr>
              <w:tab/>
            </w:r>
            <w:r w:rsidR="00705E52">
              <w:rPr>
                <w:noProof/>
                <w:webHidden/>
              </w:rPr>
              <w:fldChar w:fldCharType="begin"/>
            </w:r>
            <w:r w:rsidR="00672E56">
              <w:rPr>
                <w:noProof/>
                <w:webHidden/>
              </w:rPr>
              <w:instrText xml:space="preserve"> PAGEREF _Toc235572759 \h </w:instrText>
            </w:r>
            <w:r w:rsidR="00705E52">
              <w:rPr>
                <w:noProof/>
                <w:webHidden/>
              </w:rPr>
            </w:r>
            <w:r w:rsidR="00705E52">
              <w:rPr>
                <w:noProof/>
                <w:webHidden/>
              </w:rPr>
              <w:fldChar w:fldCharType="separate"/>
            </w:r>
            <w:r w:rsidR="00672E56">
              <w:rPr>
                <w:noProof/>
                <w:webHidden/>
              </w:rPr>
              <w:t>3</w:t>
            </w:r>
            <w:r w:rsidR="00705E52">
              <w:rPr>
                <w:noProof/>
                <w:webHidden/>
              </w:rPr>
              <w:fldChar w:fldCharType="end"/>
            </w:r>
          </w:hyperlink>
        </w:p>
        <w:p w14:paraId="50CD9D0C" w14:textId="77777777" w:rsidR="00672E56"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235572760" w:history="1">
            <w:r w:rsidR="00672E56" w:rsidRPr="00D214AF">
              <w:rPr>
                <w:rStyle w:val="Hyperlink"/>
                <w:noProof/>
              </w:rPr>
              <w:t>2. Administrative Skills and Record Keeping</w:t>
            </w:r>
            <w:r w:rsidR="00672E56">
              <w:rPr>
                <w:noProof/>
                <w:webHidden/>
              </w:rPr>
              <w:tab/>
            </w:r>
            <w:r w:rsidR="00705E52">
              <w:rPr>
                <w:noProof/>
                <w:webHidden/>
              </w:rPr>
              <w:fldChar w:fldCharType="begin"/>
            </w:r>
            <w:r w:rsidR="00672E56">
              <w:rPr>
                <w:noProof/>
                <w:webHidden/>
              </w:rPr>
              <w:instrText xml:space="preserve"> PAGEREF _Toc235572760 \h </w:instrText>
            </w:r>
            <w:r w:rsidR="00705E52">
              <w:rPr>
                <w:noProof/>
                <w:webHidden/>
              </w:rPr>
            </w:r>
            <w:r w:rsidR="00705E52">
              <w:rPr>
                <w:noProof/>
                <w:webHidden/>
              </w:rPr>
              <w:fldChar w:fldCharType="separate"/>
            </w:r>
            <w:r w:rsidR="00672E56">
              <w:rPr>
                <w:noProof/>
                <w:webHidden/>
              </w:rPr>
              <w:t>4</w:t>
            </w:r>
            <w:r w:rsidR="00705E52">
              <w:rPr>
                <w:noProof/>
                <w:webHidden/>
              </w:rPr>
              <w:fldChar w:fldCharType="end"/>
            </w:r>
          </w:hyperlink>
        </w:p>
        <w:p w14:paraId="7B0EA395" w14:textId="77777777" w:rsidR="00672E56"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235572761" w:history="1">
            <w:r w:rsidR="00672E56" w:rsidRPr="00D214AF">
              <w:rPr>
                <w:rStyle w:val="Hyperlink"/>
                <w:noProof/>
              </w:rPr>
              <w:t>3. Collaborative Working</w:t>
            </w:r>
            <w:r w:rsidR="00672E56">
              <w:rPr>
                <w:noProof/>
                <w:webHidden/>
              </w:rPr>
              <w:tab/>
            </w:r>
            <w:r w:rsidR="00705E52">
              <w:rPr>
                <w:noProof/>
                <w:webHidden/>
              </w:rPr>
              <w:fldChar w:fldCharType="begin"/>
            </w:r>
            <w:r w:rsidR="00672E56">
              <w:rPr>
                <w:noProof/>
                <w:webHidden/>
              </w:rPr>
              <w:instrText xml:space="preserve"> PAGEREF _Toc235572761 \h </w:instrText>
            </w:r>
            <w:r w:rsidR="00705E52">
              <w:rPr>
                <w:noProof/>
                <w:webHidden/>
              </w:rPr>
            </w:r>
            <w:r w:rsidR="00705E52">
              <w:rPr>
                <w:noProof/>
                <w:webHidden/>
              </w:rPr>
              <w:fldChar w:fldCharType="separate"/>
            </w:r>
            <w:r w:rsidR="00672E56">
              <w:rPr>
                <w:noProof/>
                <w:webHidden/>
              </w:rPr>
              <w:t>5</w:t>
            </w:r>
            <w:r w:rsidR="00705E52">
              <w:rPr>
                <w:noProof/>
                <w:webHidden/>
              </w:rPr>
              <w:fldChar w:fldCharType="end"/>
            </w:r>
          </w:hyperlink>
        </w:p>
        <w:p w14:paraId="7BA67D3E" w14:textId="77777777" w:rsidR="00672E56"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235572762" w:history="1">
            <w:r w:rsidR="00672E56" w:rsidRPr="00D214AF">
              <w:rPr>
                <w:rStyle w:val="Hyperlink"/>
                <w:noProof/>
              </w:rPr>
              <w:t>Conclusion</w:t>
            </w:r>
            <w:r w:rsidR="00672E56">
              <w:rPr>
                <w:noProof/>
                <w:webHidden/>
              </w:rPr>
              <w:tab/>
            </w:r>
            <w:r w:rsidR="00705E52">
              <w:rPr>
                <w:noProof/>
                <w:webHidden/>
              </w:rPr>
              <w:fldChar w:fldCharType="begin"/>
            </w:r>
            <w:r w:rsidR="00672E56">
              <w:rPr>
                <w:noProof/>
                <w:webHidden/>
              </w:rPr>
              <w:instrText xml:space="preserve"> PAGEREF _Toc235572762 \h </w:instrText>
            </w:r>
            <w:r w:rsidR="00705E52">
              <w:rPr>
                <w:noProof/>
                <w:webHidden/>
              </w:rPr>
            </w:r>
            <w:r w:rsidR="00705E52">
              <w:rPr>
                <w:noProof/>
                <w:webHidden/>
              </w:rPr>
              <w:fldChar w:fldCharType="separate"/>
            </w:r>
            <w:r w:rsidR="00672E56">
              <w:rPr>
                <w:noProof/>
                <w:webHidden/>
              </w:rPr>
              <w:t>6</w:t>
            </w:r>
            <w:r w:rsidR="00705E52">
              <w:rPr>
                <w:noProof/>
                <w:webHidden/>
              </w:rPr>
              <w:fldChar w:fldCharType="end"/>
            </w:r>
          </w:hyperlink>
        </w:p>
        <w:p w14:paraId="3D1FA5F0" w14:textId="77777777" w:rsidR="00672E56"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235572763" w:history="1">
            <w:r w:rsidR="00672E56" w:rsidRPr="00D214AF">
              <w:rPr>
                <w:rStyle w:val="Hyperlink"/>
                <w:noProof/>
              </w:rPr>
              <w:t>Reference List</w:t>
            </w:r>
            <w:r w:rsidR="00672E56">
              <w:rPr>
                <w:noProof/>
                <w:webHidden/>
              </w:rPr>
              <w:tab/>
            </w:r>
            <w:r w:rsidR="00705E52">
              <w:rPr>
                <w:noProof/>
                <w:webHidden/>
              </w:rPr>
              <w:fldChar w:fldCharType="begin"/>
            </w:r>
            <w:r w:rsidR="00672E56">
              <w:rPr>
                <w:noProof/>
                <w:webHidden/>
              </w:rPr>
              <w:instrText xml:space="preserve"> PAGEREF _Toc235572763 \h </w:instrText>
            </w:r>
            <w:r w:rsidR="00705E52">
              <w:rPr>
                <w:noProof/>
                <w:webHidden/>
              </w:rPr>
            </w:r>
            <w:r w:rsidR="00705E52">
              <w:rPr>
                <w:noProof/>
                <w:webHidden/>
              </w:rPr>
              <w:fldChar w:fldCharType="separate"/>
            </w:r>
            <w:r w:rsidR="00672E56">
              <w:rPr>
                <w:noProof/>
                <w:webHidden/>
              </w:rPr>
              <w:t>7</w:t>
            </w:r>
            <w:r w:rsidR="00705E52">
              <w:rPr>
                <w:noProof/>
                <w:webHidden/>
              </w:rPr>
              <w:fldChar w:fldCharType="end"/>
            </w:r>
          </w:hyperlink>
        </w:p>
        <w:p w14:paraId="022DD01E" w14:textId="77777777" w:rsidR="00672E56" w:rsidRDefault="00705E52">
          <w:r>
            <w:rPr>
              <w:b/>
              <w:bCs/>
              <w:noProof/>
            </w:rPr>
            <w:fldChar w:fldCharType="end"/>
          </w:r>
        </w:p>
      </w:sdtContent>
    </w:sdt>
    <w:p w14:paraId="3295BFE7" w14:textId="77777777" w:rsidR="00E21A6D" w:rsidRDefault="00E21A6D">
      <w:pPr>
        <w:spacing w:before="0" w:after="160"/>
        <w:rPr>
          <w:b/>
          <w:bCs/>
        </w:rPr>
      </w:pPr>
      <w:r>
        <w:rPr>
          <w:b/>
          <w:bCs/>
        </w:rPr>
        <w:br w:type="page"/>
      </w:r>
    </w:p>
    <w:p w14:paraId="35EFD2D1" w14:textId="77777777" w:rsidR="001003BA" w:rsidRPr="001003BA" w:rsidRDefault="001003BA" w:rsidP="004162A9">
      <w:pPr>
        <w:pStyle w:val="Heading1"/>
      </w:pPr>
      <w:bookmarkStart w:id="0" w:name="_Toc235572758"/>
      <w:r w:rsidRPr="001003BA">
        <w:t>Introduction</w:t>
      </w:r>
      <w:bookmarkEnd w:id="0"/>
    </w:p>
    <w:p w14:paraId="4C777ADC" w14:textId="77777777" w:rsidR="001003BA" w:rsidRPr="001003BA" w:rsidRDefault="00296D23" w:rsidP="001003BA">
      <w:r w:rsidRPr="00296D23">
        <w:t xml:space="preserve">Mrs Thompson is an 84-year-old woman discharged from hospital recently after being treated for Pneumonia. She is living in sheltered accommodation and </w:t>
      </w:r>
      <w:r w:rsidR="009B1208">
        <w:t xml:space="preserve">is </w:t>
      </w:r>
      <w:r w:rsidRPr="00296D23">
        <w:t>being provided with domiciliary care twice daily for her daily needs. Mrs Thompson is a person with mild dementia</w:t>
      </w:r>
      <w:r w:rsidR="009B1208">
        <w:t>,</w:t>
      </w:r>
      <w:r w:rsidRPr="00296D23">
        <w:t xml:space="preserve"> which has caused memory loss and the person to forget to take their medications, causing greater confusion. She was also reported to have been outside in the cold weather, without suitable clothing, raising safeguarding concerns and leading to a review by the local council. These incidents highlight the need for safe, </w:t>
      </w:r>
      <w:r w:rsidR="009B1208">
        <w:t>person-centred</w:t>
      </w:r>
      <w:r w:rsidRPr="00296D23">
        <w:t xml:space="preserve"> and coordinated care. To meet her needs, effective communication, accurate administrative skills and proper keeping of records, as well as collaborative working between health and social care professionals, </w:t>
      </w:r>
      <w:r w:rsidR="009B1208">
        <w:t>are</w:t>
      </w:r>
      <w:r w:rsidRPr="00296D23">
        <w:t xml:space="preserve"> essential. Therefore, this report explores these three areas and their contribution to improving Mrs Thompson's safety, wellbeing and quality of care.</w:t>
      </w:r>
    </w:p>
    <w:p w14:paraId="1EB12915" w14:textId="77777777" w:rsidR="001003BA" w:rsidRPr="001003BA" w:rsidRDefault="001003BA" w:rsidP="005807FD">
      <w:pPr>
        <w:pStyle w:val="Heading1"/>
      </w:pPr>
      <w:bookmarkStart w:id="1" w:name="_Toc235572759"/>
      <w:r w:rsidRPr="001003BA">
        <w:t>1. Effective Communication</w:t>
      </w:r>
      <w:bookmarkEnd w:id="1"/>
    </w:p>
    <w:p w14:paraId="0D81D855" w14:textId="77777777" w:rsidR="005807FD" w:rsidRDefault="005807FD" w:rsidP="005807FD">
      <w:r>
        <w:t xml:space="preserve">Good communication in health and social care is important because it allows professionals to work effectively and provide safe, person-centred and high-quality care. It can help identify the needs of service users accurately, inform </w:t>
      </w:r>
      <w:r w:rsidR="009B1208">
        <w:t>decision-making</w:t>
      </w:r>
      <w:r>
        <w:t xml:space="preserve"> and mitigate potential miscommunication which could impact health outcomes. For Mrs Thompson, effective communication is especially crucial as her mild dementia could impair her ability to recall instructions on medication, and may impact her comprehension of health information. Professionals should speak in a simple and understandable manner, always speak slowly, maintain eye contact with her and give her enough time to respond (Kwame and </w:t>
      </w:r>
      <w:proofErr w:type="spellStart"/>
      <w:r>
        <w:t>Petrucka</w:t>
      </w:r>
      <w:proofErr w:type="spellEnd"/>
      <w:r>
        <w:t>, 2021). They should also encourage active listening and confirm her understanding by asking her to repeat key information. These methods can help increase compliance with medication, minimise confusion, assist Mrs Thompson to be more independent and, most importantly, ensure the concerns she has are identified and dealt with appropriately.</w:t>
      </w:r>
    </w:p>
    <w:p w14:paraId="4954F637" w14:textId="77777777" w:rsidR="005807FD" w:rsidRDefault="005807FD" w:rsidP="005807FD">
      <w:r>
        <w:t>Language barriers and cultural sensitivity are also a factor that needs to be taken into account when communicating in order to provide equitable care for everyone. The case study does not mention that Mrs Thompson has language difficulties</w:t>
      </w:r>
      <w:r w:rsidR="009B1208">
        <w:t>;</w:t>
      </w:r>
      <w:r>
        <w:t xml:space="preserve"> however</w:t>
      </w:r>
      <w:r w:rsidR="005866A7">
        <w:t>,</w:t>
      </w:r>
      <w:r>
        <w:t xml:space="preserve"> if this happens</w:t>
      </w:r>
      <w:r w:rsidR="009B1208">
        <w:t>,</w:t>
      </w:r>
      <w:r>
        <w:t xml:space="preserve"> health and social care staff need to be able to deal with this situation. Where English is not a service user's preferred language, qualified interpreters should be used to provide accurate information and avoid misunderstandings instead of relying on relatives. Visual aids, such as medication charts, picture cards, reminder calendars and labelled pill organisers can also help to scaffold understanding, especially for people with memory loss or low literacy levels. It is also important that the professional respects the value, beliefs and communication preferences of each person involved, and that actions are taken respecting the dignity, respect and without discrimination. These responsibilities are backed up by the Equality Act 2010</w:t>
      </w:r>
      <w:r w:rsidR="009B1208">
        <w:t>,</w:t>
      </w:r>
      <w:r>
        <w:t xml:space="preserve"> which requires reasonable adjustments to </w:t>
      </w:r>
      <w:r w:rsidR="005866A7">
        <w:t>be made</w:t>
      </w:r>
      <w:r>
        <w:t xml:space="preserve"> and equal access to services for those with protected characteristics, including people who are ‘disabled’ or ‘of a certain age’ to access health and social care services.</w:t>
      </w:r>
    </w:p>
    <w:p w14:paraId="5B7684CE" w14:textId="77777777" w:rsidR="001003BA" w:rsidRPr="001003BA" w:rsidRDefault="005807FD" w:rsidP="005807FD">
      <w:r>
        <w:t>The Transactional Model of Communication provides a good communication model for Mrs Thompson as it defines communication as a two-way process where both parties exchange information and also give feedback to each other (</w:t>
      </w:r>
      <w:proofErr w:type="spellStart"/>
      <w:r>
        <w:t>Vermeir</w:t>
      </w:r>
      <w:proofErr w:type="spellEnd"/>
      <w:r>
        <w:t xml:space="preserve"> et al. 2015). The model acknowledges that memory loss or hearing loss may affect communication, as may distress and environmental distractions. Using this model, health and social care staff </w:t>
      </w:r>
      <w:r w:rsidR="005866A7">
        <w:t>need</w:t>
      </w:r>
      <w:r>
        <w:t xml:space="preserve"> to continuously evaluate Mrs Thompson's reaction, explain information if there is a misconception and adjust the way they communicate with her as her needs change. Feedback and family communication, combined with information-sharing and cohesion between professionals, can foster relationships and support continuity of care (Foronda et al., 2016). This form of communication minimises the risk of medication errors, facilitates </w:t>
      </w:r>
      <w:r w:rsidR="005866A7">
        <w:t>person-centred decision-making</w:t>
      </w:r>
      <w:r>
        <w:t xml:space="preserve"> and supports safer, effective care for Mrs Thompson.</w:t>
      </w:r>
    </w:p>
    <w:p w14:paraId="6CD1B118" w14:textId="77777777" w:rsidR="001003BA" w:rsidRPr="001003BA" w:rsidRDefault="001003BA" w:rsidP="005807FD">
      <w:pPr>
        <w:pStyle w:val="Heading1"/>
      </w:pPr>
      <w:bookmarkStart w:id="2" w:name="_Toc235572760"/>
      <w:r w:rsidRPr="001003BA">
        <w:t>2. Administrative Skills and Record Keeping</w:t>
      </w:r>
      <w:bookmarkEnd w:id="2"/>
    </w:p>
    <w:p w14:paraId="4383D2E4" w14:textId="77777777" w:rsidR="00C661A9" w:rsidRDefault="00C661A9" w:rsidP="00C661A9">
      <w:r>
        <w:t xml:space="preserve">Safe and quality health and social care practice requires accurate documentation which gives an accurate and complete record of the condition of a service user's care and treatment. These missing medications, episodes of confusion and an incident where Mrs Thompson had been found outside without appropriate clothing are features that must be recorded to assess risk and plan appropriate interventions in her case. Accurate, clear and </w:t>
      </w:r>
      <w:r w:rsidR="005866A7">
        <w:t>up-to-date</w:t>
      </w:r>
      <w:r>
        <w:t xml:space="preserve"> information </w:t>
      </w:r>
      <w:r w:rsidR="005866A7">
        <w:t>enables</w:t>
      </w:r>
      <w:r>
        <w:t xml:space="preserve"> health and social care workers to make decisions, provide continuity of care and recognise any changes in her health. Good record keeping is also important for the communication between the people who provide her with care, such as domiciliary care workers, community nurses and her GP. Under the Data Protection Act 2018, personal information is to be collected, stored and used lawfully, securely and only for lawful healthcare purposes</w:t>
      </w:r>
      <w:r w:rsidR="005866A7">
        <w:t>,</w:t>
      </w:r>
      <w:r>
        <w:t xml:space="preserve"> ensuring the confidentiality of Mrs Thompson's information, whilst at the same time allowing those with authorisation access to this information when needed.</w:t>
      </w:r>
    </w:p>
    <w:p w14:paraId="333E4155" w14:textId="77777777" w:rsidR="00C661A9" w:rsidRDefault="00C661A9" w:rsidP="00C661A9">
      <w:r>
        <w:t xml:space="preserve">The lack of accurate records can seriously impact service users and providers. Outdated, incomplete or incorrect documentation can lead to medication errors, unnecessary assessments, safeguarding issues and inappropriate care choices. When professionals don't record Mrs Thompson's medication change or change in behaviour, there is a risk of missing a decline in her condition, which could cause additional harm. The sharing of information should then be handled in accordance with the </w:t>
      </w:r>
      <w:proofErr w:type="spellStart"/>
      <w:r>
        <w:t>Caldicott</w:t>
      </w:r>
      <w:proofErr w:type="spellEnd"/>
      <w:r>
        <w:t xml:space="preserve"> Principles, which ensure the handling of information with care and confidentiality, and the sharing of information is necessary to ensure safe and effective care (Foronda et al., 2016). These principles prompt practitioners to adopt and maintain the least amount of identifiable data necessary, to share data only with others when it is needed, and to stay responsible for maintaining confidentiality. These principles </w:t>
      </w:r>
      <w:r w:rsidR="005866A7">
        <w:t>keep</w:t>
      </w:r>
      <w:r>
        <w:t xml:space="preserve"> patients safe and maintain public confidence in their health and social care services.</w:t>
      </w:r>
    </w:p>
    <w:p w14:paraId="765D1ECF" w14:textId="77777777" w:rsidR="001003BA" w:rsidRPr="001003BA" w:rsidRDefault="00C661A9" w:rsidP="00C661A9">
      <w:r>
        <w:t xml:space="preserve">Recordkeeping is also well understood via professional and regulatory frameworks. The Nursing and Midwifery Council (NMC) Code requires health professionals to create clear, accurate and timely records that reflect all assessments, decisions and care provided (Nursing and Midwifery Council, 2018). The Care Quality Commission (CQC) also expect health and social care partners to have good governance systems, which consist of appropriate records and documentation that </w:t>
      </w:r>
      <w:r w:rsidR="005866A7">
        <w:t>prove</w:t>
      </w:r>
      <w:r>
        <w:t xml:space="preserve"> safe, </w:t>
      </w:r>
      <w:r w:rsidR="005866A7">
        <w:t>high-quality</w:t>
      </w:r>
      <w:r>
        <w:t xml:space="preserve"> and </w:t>
      </w:r>
      <w:r w:rsidR="005866A7">
        <w:t>person-centred</w:t>
      </w:r>
      <w:r>
        <w:t xml:space="preserve"> care (Care Quality Commission, 2024). For Mrs Thompson, keeping records of medication review, protecting issues, and communications with other professionals and information about care plans would allow information and decisions to be made in a coordinated way and monitor Mrs Thompson's needs continuously. These legal and professional requirements encourage accountability, safeguard the rights of the service user and contribute to the provision of consistent safe and effective care and minimising avoidable errors.</w:t>
      </w:r>
    </w:p>
    <w:p w14:paraId="6D73EF98" w14:textId="77777777" w:rsidR="001003BA" w:rsidRPr="001003BA" w:rsidRDefault="001003BA" w:rsidP="00403386">
      <w:pPr>
        <w:pStyle w:val="Heading1"/>
      </w:pPr>
      <w:bookmarkStart w:id="3" w:name="_Toc235572761"/>
      <w:r w:rsidRPr="001003BA">
        <w:t>3. Collaborative Working</w:t>
      </w:r>
      <w:bookmarkEnd w:id="3"/>
    </w:p>
    <w:p w14:paraId="13BB98ED" w14:textId="77777777" w:rsidR="002E5AEA" w:rsidRDefault="002E5AEA" w:rsidP="002E5AEA">
      <w:r>
        <w:t xml:space="preserve">In health and social care, many people who use the professional services have complex needs which may need the joint work of a number of professionals. Mrs Thompson's case requires close cooperation between her GP, community nurse, domiciliary carers, her pharmacist and the local authority to care for her dementia, medication and safety issues. Collaboration can facilitate knowledge sharing, informed decision making, and seamless interventions to enhance consistency and quality of care (Foronda et al., 2016). Team working also minimises duplication of services, promotes </w:t>
      </w:r>
      <w:r w:rsidR="005866A7">
        <w:t>person-centred</w:t>
      </w:r>
      <w:r>
        <w:t xml:space="preserve"> care and assists in ensuring Mrs Thompson receives consistent support from all professionals involved.</w:t>
      </w:r>
    </w:p>
    <w:p w14:paraId="1EE67592" w14:textId="77777777" w:rsidR="002E5AEA" w:rsidRDefault="009B1208" w:rsidP="002E5AEA">
      <w:r w:rsidRPr="009B1208">
        <w:t xml:space="preserve">There are several methods that could improve </w:t>
      </w:r>
      <w:r w:rsidR="005866A7">
        <w:t>multi-agency</w:t>
      </w:r>
      <w:r w:rsidRPr="009B1208">
        <w:t xml:space="preserve"> cooperation. Shared care plans provide access to information relating to Mrs Thompson's health, medication, any agreed interventions or risks involved, all working to the same goal. Multidisciplinary meetings and good communication between services enable the recognition of her changing condition and prompt interventions in her care plan (</w:t>
      </w:r>
      <w:proofErr w:type="spellStart"/>
      <w:r w:rsidRPr="009B1208">
        <w:t>O'Daniel</w:t>
      </w:r>
      <w:proofErr w:type="spellEnd"/>
      <w:r w:rsidRPr="009B1208">
        <w:t xml:space="preserve"> and Rosenstein, 2008). Engaging Mrs Thompson and the family members in planning care also promotes shared </w:t>
      </w:r>
      <w:r>
        <w:t>decision-making</w:t>
      </w:r>
      <w:r w:rsidRPr="009B1208">
        <w:t xml:space="preserve"> and helps ensure care is according to her preferences and </w:t>
      </w:r>
      <w:r w:rsidR="005866A7">
        <w:t>needs</w:t>
      </w:r>
      <w:r w:rsidRPr="009B1208">
        <w:t xml:space="preserve">. Such approaches promote coordinated and integrated care, and help to </w:t>
      </w:r>
      <w:r w:rsidR="005866A7">
        <w:t>minimise</w:t>
      </w:r>
      <w:r w:rsidRPr="009B1208">
        <w:t xml:space="preserve"> risk of fragmented care.</w:t>
      </w:r>
    </w:p>
    <w:p w14:paraId="0A3921BB" w14:textId="77777777" w:rsidR="001003BA" w:rsidRPr="001003BA" w:rsidRDefault="002E5AEA" w:rsidP="002E5AEA">
      <w:r>
        <w:t xml:space="preserve">There are some difficulties with collaborative working, including problems with communication, different roles of the professions, slow transmission of information or concerns about confidentiality. This can result in an inconsistent level of care or delayed response to any changes in Mrs Thompson's </w:t>
      </w:r>
      <w:r w:rsidR="005866A7">
        <w:t>condition</w:t>
      </w:r>
      <w:r>
        <w:t xml:space="preserve">. These challenges can be minimised via agreed professional standards and legal requirements, regular team meetings, robust systems for information sharing, </w:t>
      </w:r>
      <w:r w:rsidR="005866A7">
        <w:t xml:space="preserve">and </w:t>
      </w:r>
      <w:r>
        <w:t>due process of duties. Promoting mutual respect, trust and open communication among professionals strengthens teamwork and enables safer, more effective care (Atkinson et al., 2020). The collaboration helps to enhance Mrs Thompson's wellbeing on a good day, minimise risks and enable her to live safely and independently within the community</w:t>
      </w:r>
      <w:r w:rsidR="001003BA" w:rsidRPr="001003BA">
        <w:t>.</w:t>
      </w:r>
    </w:p>
    <w:p w14:paraId="4CCFC58B" w14:textId="77777777" w:rsidR="001003BA" w:rsidRPr="001003BA" w:rsidRDefault="001003BA" w:rsidP="002E5AEA">
      <w:pPr>
        <w:pStyle w:val="Heading1"/>
      </w:pPr>
      <w:bookmarkStart w:id="4" w:name="_Toc235572762"/>
      <w:r w:rsidRPr="001003BA">
        <w:t>Conclusion</w:t>
      </w:r>
      <w:bookmarkEnd w:id="4"/>
    </w:p>
    <w:p w14:paraId="59DA51B1" w14:textId="77777777" w:rsidR="001003BA" w:rsidRPr="001003BA" w:rsidRDefault="002E5AEA" w:rsidP="001003BA">
      <w:r w:rsidRPr="002E5AEA">
        <w:t xml:space="preserve">The case study of Mrs Thompson shows the necessity of using effective communication, precise administrative skills and collaborative working to provide safe, </w:t>
      </w:r>
      <w:r w:rsidR="009B1208">
        <w:t>person-centred</w:t>
      </w:r>
      <w:r w:rsidRPr="002E5AEA">
        <w:t xml:space="preserve"> health and social care. Despite the difficulty of mild dementia, clear communication allows professionals to understand her needs, minimise misunderstandings, and facilitate informed decision making. Careful record keeping provides continuity of care, assists with the security of her confidential information and helps professionals to respond quickly to her condition changing. Coordinated working between the GP, community nurse, domiciliary care workers and the local authority leads to better health outcomes through shared responsibility and working together. Applying appropriate legislation, professional standards and good working practice can minimise risks, maintain Mrs Thompson's wellbeing and help her remain as independent as possible, establishing her access to high quality, compassionate and coordinated care.</w:t>
      </w:r>
    </w:p>
    <w:p w14:paraId="277CD83B" w14:textId="77777777" w:rsidR="00E21A6D" w:rsidRDefault="00E21A6D">
      <w:pPr>
        <w:spacing w:before="0" w:after="160"/>
      </w:pPr>
      <w:r>
        <w:br w:type="page"/>
      </w:r>
    </w:p>
    <w:p w14:paraId="7B801C9B" w14:textId="77777777" w:rsidR="00E21A6D" w:rsidRPr="00E21A6D" w:rsidRDefault="00E21A6D" w:rsidP="002E5AEA">
      <w:pPr>
        <w:pStyle w:val="Heading1"/>
      </w:pPr>
      <w:bookmarkStart w:id="5" w:name="_Toc235572763"/>
      <w:r w:rsidRPr="00E21A6D">
        <w:t>Reference List</w:t>
      </w:r>
      <w:bookmarkEnd w:id="5"/>
    </w:p>
    <w:p w14:paraId="7CD669F4" w14:textId="77777777" w:rsidR="00E21A6D" w:rsidRPr="00E21A6D" w:rsidRDefault="00E21A6D" w:rsidP="00E21A6D">
      <w:r w:rsidRPr="00E21A6D">
        <w:t xml:space="preserve">Atkinson, J., de </w:t>
      </w:r>
      <w:proofErr w:type="spellStart"/>
      <w:r w:rsidRPr="00E21A6D">
        <w:t>Lusignan</w:t>
      </w:r>
      <w:proofErr w:type="spellEnd"/>
      <w:r w:rsidRPr="00E21A6D">
        <w:t xml:space="preserve">, S., Marley, J., Jackson, A., </w:t>
      </w:r>
      <w:proofErr w:type="spellStart"/>
      <w:r w:rsidRPr="00E21A6D">
        <w:t>Seroussi</w:t>
      </w:r>
      <w:proofErr w:type="spellEnd"/>
      <w:r w:rsidRPr="00E21A6D">
        <w:t xml:space="preserve">, B. and Miller, K. (2020) ‘Ethical and legal challenges in health information sharing for integrated care’, </w:t>
      </w:r>
      <w:r w:rsidRPr="00E21A6D">
        <w:rPr>
          <w:i/>
          <w:iCs/>
        </w:rPr>
        <w:t>BMJ Health &amp; Care Informatics</w:t>
      </w:r>
      <w:r w:rsidRPr="00E21A6D">
        <w:t>, 27(3), e100132.</w:t>
      </w:r>
    </w:p>
    <w:p w14:paraId="48ABBB63" w14:textId="77777777" w:rsidR="00E21A6D" w:rsidRPr="00E21A6D" w:rsidRDefault="00E21A6D" w:rsidP="00E21A6D">
      <w:r w:rsidRPr="00E21A6D">
        <w:t xml:space="preserve">Care Quality Commission (2024) </w:t>
      </w:r>
      <w:r w:rsidRPr="00E21A6D">
        <w:rPr>
          <w:i/>
          <w:iCs/>
        </w:rPr>
        <w:t>Assessment framework</w:t>
      </w:r>
      <w:r w:rsidRPr="00E21A6D">
        <w:t xml:space="preserve">. Available at: </w:t>
      </w:r>
      <w:hyperlink r:id="rId7" w:tgtFrame="_new" w:history="1">
        <w:r w:rsidRPr="00E21A6D">
          <w:rPr>
            <w:rStyle w:val="Hyperlink"/>
          </w:rPr>
          <w:t>https://www.cqc.org.uk/guidance-regulation/providers/assessment/single-assessment-framework</w:t>
        </w:r>
      </w:hyperlink>
      <w:r w:rsidRPr="00E21A6D">
        <w:t xml:space="preserve"> (Accessed: 21 July 2026).</w:t>
      </w:r>
    </w:p>
    <w:p w14:paraId="7F40A7A4" w14:textId="77777777" w:rsidR="00E21A6D" w:rsidRPr="00E21A6D" w:rsidRDefault="00E21A6D" w:rsidP="00E21A6D">
      <w:r w:rsidRPr="00E21A6D">
        <w:t xml:space="preserve">Data Protection Act 2018 (c. 12). London: The Stationery Office. Available at: </w:t>
      </w:r>
      <w:hyperlink r:id="rId8" w:tgtFrame="_new" w:history="1">
        <w:r w:rsidRPr="00E21A6D">
          <w:rPr>
            <w:rStyle w:val="Hyperlink"/>
          </w:rPr>
          <w:t>https://www.legislation.gov.uk/ukpga/2018/12/contents</w:t>
        </w:r>
      </w:hyperlink>
      <w:r w:rsidRPr="00E21A6D">
        <w:t xml:space="preserve"> (Accessed: 21 July 2026).</w:t>
      </w:r>
    </w:p>
    <w:p w14:paraId="6E6C473F" w14:textId="77777777" w:rsidR="00E21A6D" w:rsidRPr="00E21A6D" w:rsidRDefault="00E21A6D" w:rsidP="00E21A6D">
      <w:r w:rsidRPr="00E21A6D">
        <w:t xml:space="preserve">Equality Act 2010 (c. 15). London: The Stationery Office. Available at: </w:t>
      </w:r>
      <w:hyperlink r:id="rId9" w:tgtFrame="_new" w:history="1">
        <w:r w:rsidRPr="00E21A6D">
          <w:rPr>
            <w:rStyle w:val="Hyperlink"/>
          </w:rPr>
          <w:t>https://www.legislation.gov.uk/ukpga/2010/15/contents</w:t>
        </w:r>
      </w:hyperlink>
      <w:r w:rsidRPr="00E21A6D">
        <w:t xml:space="preserve"> (Accessed: 21 July 2026).</w:t>
      </w:r>
    </w:p>
    <w:p w14:paraId="4AF621B7" w14:textId="77777777" w:rsidR="00E21A6D" w:rsidRPr="00E21A6D" w:rsidRDefault="00E21A6D" w:rsidP="00E21A6D">
      <w:r w:rsidRPr="00E21A6D">
        <w:t xml:space="preserve">Foronda, C., </w:t>
      </w:r>
      <w:proofErr w:type="spellStart"/>
      <w:r w:rsidRPr="00E21A6D">
        <w:t>MacWilliams</w:t>
      </w:r>
      <w:proofErr w:type="spellEnd"/>
      <w:r w:rsidRPr="00E21A6D">
        <w:t>, B. and McArthur, E. (2016) ‘</w:t>
      </w:r>
      <w:proofErr w:type="spellStart"/>
      <w:r w:rsidRPr="00E21A6D">
        <w:t>Interprofessional</w:t>
      </w:r>
      <w:proofErr w:type="spellEnd"/>
      <w:r w:rsidRPr="00E21A6D">
        <w:t xml:space="preserve"> communication in healthcare: An integrative review’, </w:t>
      </w:r>
      <w:r w:rsidRPr="00E21A6D">
        <w:rPr>
          <w:i/>
          <w:iCs/>
        </w:rPr>
        <w:t>Nurse Education in Practice</w:t>
      </w:r>
      <w:r w:rsidRPr="00E21A6D">
        <w:t>, 19, pp. 36–40.</w:t>
      </w:r>
    </w:p>
    <w:p w14:paraId="5F783DA0" w14:textId="77777777" w:rsidR="00E21A6D" w:rsidRPr="00E21A6D" w:rsidRDefault="00E21A6D" w:rsidP="00E21A6D">
      <w:r w:rsidRPr="00E21A6D">
        <w:t xml:space="preserve">Kwame, A. and </w:t>
      </w:r>
      <w:proofErr w:type="spellStart"/>
      <w:r w:rsidRPr="00E21A6D">
        <w:t>Petrucka</w:t>
      </w:r>
      <w:proofErr w:type="spellEnd"/>
      <w:r w:rsidRPr="00E21A6D">
        <w:t xml:space="preserve">, P.M. (2021) ‘A literature-based study of patient-centred care and communication in nurse-patient interactions: Barriers, facilitators and the way forward’, </w:t>
      </w:r>
      <w:r w:rsidRPr="00E21A6D">
        <w:rPr>
          <w:i/>
          <w:iCs/>
        </w:rPr>
        <w:t>BMC Nursing</w:t>
      </w:r>
      <w:r w:rsidRPr="00E21A6D">
        <w:t>, 20(158), pp. 1–10.</w:t>
      </w:r>
    </w:p>
    <w:p w14:paraId="22E0FC4B" w14:textId="77777777" w:rsidR="00E21A6D" w:rsidRPr="00E21A6D" w:rsidRDefault="00E21A6D" w:rsidP="00E21A6D">
      <w:r w:rsidRPr="00E21A6D">
        <w:t xml:space="preserve">National Data Guardian (2020) </w:t>
      </w:r>
      <w:r w:rsidRPr="00E21A6D">
        <w:rPr>
          <w:i/>
          <w:iCs/>
        </w:rPr>
        <w:t xml:space="preserve">The </w:t>
      </w:r>
      <w:proofErr w:type="spellStart"/>
      <w:r w:rsidRPr="00E21A6D">
        <w:rPr>
          <w:i/>
          <w:iCs/>
        </w:rPr>
        <w:t>Caldicott</w:t>
      </w:r>
      <w:proofErr w:type="spellEnd"/>
      <w:r w:rsidRPr="00E21A6D">
        <w:rPr>
          <w:i/>
          <w:iCs/>
        </w:rPr>
        <w:t xml:space="preserve"> Principles</w:t>
      </w:r>
      <w:r w:rsidRPr="00E21A6D">
        <w:t xml:space="preserve">. Available at: </w:t>
      </w:r>
      <w:hyperlink r:id="rId10" w:tgtFrame="_new" w:history="1">
        <w:r w:rsidRPr="00E21A6D">
          <w:rPr>
            <w:rStyle w:val="Hyperlink"/>
          </w:rPr>
          <w:t>https://www.gov.uk/government/publications/the-caldicott-principles</w:t>
        </w:r>
      </w:hyperlink>
      <w:r w:rsidRPr="00E21A6D">
        <w:t xml:space="preserve"> (Accessed: 21 July 2026).</w:t>
      </w:r>
    </w:p>
    <w:p w14:paraId="2C3B8291" w14:textId="77777777" w:rsidR="00E21A6D" w:rsidRPr="00E21A6D" w:rsidRDefault="00E21A6D" w:rsidP="00E21A6D">
      <w:r w:rsidRPr="00E21A6D">
        <w:t xml:space="preserve">Nursing and Midwifery Council (2018) </w:t>
      </w:r>
      <w:r w:rsidRPr="00E21A6D">
        <w:rPr>
          <w:i/>
          <w:iCs/>
        </w:rPr>
        <w:t>The Code: Professional standards of practice and behaviour for nurses, midwives and nursing associates</w:t>
      </w:r>
      <w:r w:rsidRPr="00E21A6D">
        <w:t xml:space="preserve">. London: Nursing and Midwifery Council. Available at: </w:t>
      </w:r>
      <w:hyperlink r:id="rId11" w:tgtFrame="_new" w:history="1">
        <w:r w:rsidRPr="00E21A6D">
          <w:rPr>
            <w:rStyle w:val="Hyperlink"/>
          </w:rPr>
          <w:t>https://www.nmc.org.uk/standards/code/</w:t>
        </w:r>
      </w:hyperlink>
      <w:r w:rsidRPr="00E21A6D">
        <w:t xml:space="preserve"> (Accessed: 21 July 2026).</w:t>
      </w:r>
    </w:p>
    <w:p w14:paraId="020CCCCC" w14:textId="77777777" w:rsidR="00E21A6D" w:rsidRPr="00E21A6D" w:rsidRDefault="00E21A6D" w:rsidP="00E21A6D">
      <w:proofErr w:type="spellStart"/>
      <w:r w:rsidRPr="00E21A6D">
        <w:t>O'Daniel</w:t>
      </w:r>
      <w:proofErr w:type="spellEnd"/>
      <w:r w:rsidRPr="00E21A6D">
        <w:t xml:space="preserve">, M. and Rosenstein, A.H. (2008) ‘Professional communication and team collaboration’, in Hughes, R.G. (ed.) </w:t>
      </w:r>
      <w:r w:rsidRPr="00E21A6D">
        <w:rPr>
          <w:i/>
          <w:iCs/>
        </w:rPr>
        <w:t>Patient Safety and Quality: An Evidence-Based Handbook for Nurses</w:t>
      </w:r>
      <w:r w:rsidRPr="00E21A6D">
        <w:t>. Rockville, MD: Agency for Healthcare Research and Quality, pp. 2-271–2-284.</w:t>
      </w:r>
    </w:p>
    <w:p w14:paraId="4019529A" w14:textId="77777777" w:rsidR="00E21A6D" w:rsidRPr="00E21A6D" w:rsidRDefault="00E21A6D" w:rsidP="00E21A6D">
      <w:proofErr w:type="spellStart"/>
      <w:r w:rsidRPr="00E21A6D">
        <w:t>Vermeir</w:t>
      </w:r>
      <w:proofErr w:type="spellEnd"/>
      <w:r w:rsidRPr="00E21A6D">
        <w:t xml:space="preserve">, P., </w:t>
      </w:r>
      <w:proofErr w:type="spellStart"/>
      <w:r w:rsidRPr="00E21A6D">
        <w:t>Vandijck</w:t>
      </w:r>
      <w:proofErr w:type="spellEnd"/>
      <w:r w:rsidRPr="00E21A6D">
        <w:t xml:space="preserve">, D., </w:t>
      </w:r>
      <w:proofErr w:type="spellStart"/>
      <w:r w:rsidRPr="00E21A6D">
        <w:t>Degroote</w:t>
      </w:r>
      <w:proofErr w:type="spellEnd"/>
      <w:r w:rsidRPr="00E21A6D">
        <w:t xml:space="preserve">, S., </w:t>
      </w:r>
      <w:proofErr w:type="spellStart"/>
      <w:r w:rsidRPr="00E21A6D">
        <w:t>Peleman</w:t>
      </w:r>
      <w:proofErr w:type="spellEnd"/>
      <w:r w:rsidRPr="00E21A6D">
        <w:t xml:space="preserve">, R., </w:t>
      </w:r>
      <w:proofErr w:type="spellStart"/>
      <w:r w:rsidRPr="00E21A6D">
        <w:t>Verhaeghe</w:t>
      </w:r>
      <w:proofErr w:type="spellEnd"/>
      <w:r w:rsidRPr="00E21A6D">
        <w:t xml:space="preserve">, R., </w:t>
      </w:r>
      <w:proofErr w:type="spellStart"/>
      <w:r w:rsidRPr="00E21A6D">
        <w:t>Mortier</w:t>
      </w:r>
      <w:proofErr w:type="spellEnd"/>
      <w:r w:rsidRPr="00E21A6D">
        <w:t xml:space="preserve">, E., </w:t>
      </w:r>
      <w:proofErr w:type="spellStart"/>
      <w:r w:rsidRPr="00E21A6D">
        <w:t>Hallaert</w:t>
      </w:r>
      <w:proofErr w:type="spellEnd"/>
      <w:r w:rsidRPr="00E21A6D">
        <w:t xml:space="preserve">, G., Van </w:t>
      </w:r>
      <w:proofErr w:type="spellStart"/>
      <w:r w:rsidRPr="00E21A6D">
        <w:t>Daele</w:t>
      </w:r>
      <w:proofErr w:type="spellEnd"/>
      <w:r w:rsidRPr="00E21A6D">
        <w:t xml:space="preserve">, S. and </w:t>
      </w:r>
      <w:proofErr w:type="spellStart"/>
      <w:r w:rsidRPr="00E21A6D">
        <w:t>Vogelaers</w:t>
      </w:r>
      <w:proofErr w:type="spellEnd"/>
      <w:r w:rsidRPr="00E21A6D">
        <w:t xml:space="preserve">, D. (2015) ‘Communication in healthcare: A narrative review of the literature and practical recommendations’, </w:t>
      </w:r>
      <w:r w:rsidRPr="00E21A6D">
        <w:rPr>
          <w:i/>
          <w:iCs/>
        </w:rPr>
        <w:t>International Journal of Clinical Practice</w:t>
      </w:r>
      <w:r w:rsidRPr="00E21A6D">
        <w:t>, 69(11), pp. 1257–1267.</w:t>
      </w:r>
    </w:p>
    <w:p w14:paraId="2682A309" w14:textId="77777777" w:rsidR="00802E4F" w:rsidRDefault="00802E4F"/>
    <w:sectPr w:rsidR="00802E4F" w:rsidSect="00705E5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B4CBC" w14:textId="77777777" w:rsidR="00BD261A" w:rsidRDefault="00BD261A" w:rsidP="00672E56">
      <w:pPr>
        <w:spacing w:before="0" w:after="0" w:line="240" w:lineRule="auto"/>
      </w:pPr>
      <w:r>
        <w:separator/>
      </w:r>
    </w:p>
  </w:endnote>
  <w:endnote w:type="continuationSeparator" w:id="0">
    <w:p w14:paraId="0B402454" w14:textId="77777777" w:rsidR="00BD261A" w:rsidRDefault="00BD261A" w:rsidP="00672E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64B3" w14:textId="77777777" w:rsidR="001E2CCF" w:rsidRDefault="001E2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926497"/>
      <w:docPartObj>
        <w:docPartGallery w:val="Page Numbers (Bottom of Page)"/>
        <w:docPartUnique/>
      </w:docPartObj>
    </w:sdtPr>
    <w:sdtEndPr>
      <w:rPr>
        <w:noProof/>
      </w:rPr>
    </w:sdtEndPr>
    <w:sdtContent>
      <w:p w14:paraId="49D809CB" w14:textId="77777777" w:rsidR="00672E56" w:rsidRDefault="00705E52">
        <w:pPr>
          <w:pStyle w:val="Footer"/>
          <w:jc w:val="right"/>
        </w:pPr>
        <w:r>
          <w:fldChar w:fldCharType="begin"/>
        </w:r>
        <w:r w:rsidR="00672E56">
          <w:instrText xml:space="preserve"> PAGE   \* MERGEFORMAT </w:instrText>
        </w:r>
        <w:r>
          <w:fldChar w:fldCharType="separate"/>
        </w:r>
        <w:r w:rsidR="00143E14">
          <w:rPr>
            <w:noProof/>
          </w:rPr>
          <w:t>2</w:t>
        </w:r>
        <w:r>
          <w:rPr>
            <w:noProof/>
          </w:rPr>
          <w:fldChar w:fldCharType="end"/>
        </w:r>
      </w:p>
    </w:sdtContent>
  </w:sdt>
  <w:p w14:paraId="7FFC80B1" w14:textId="77777777" w:rsidR="00672E56" w:rsidRDefault="00672E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4C073" w14:textId="77777777" w:rsidR="001E2CCF" w:rsidRDefault="001E2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D4484" w14:textId="77777777" w:rsidR="00BD261A" w:rsidRDefault="00BD261A" w:rsidP="00672E56">
      <w:pPr>
        <w:spacing w:before="0" w:after="0" w:line="240" w:lineRule="auto"/>
      </w:pPr>
      <w:r>
        <w:separator/>
      </w:r>
    </w:p>
  </w:footnote>
  <w:footnote w:type="continuationSeparator" w:id="0">
    <w:p w14:paraId="349696A9" w14:textId="77777777" w:rsidR="00BD261A" w:rsidRDefault="00BD261A" w:rsidP="00672E5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854B9" w14:textId="77777777" w:rsidR="001E2CCF" w:rsidRDefault="001E2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C3F7F" w14:textId="77777777" w:rsidR="001E2CCF" w:rsidRDefault="001E2C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8115" w14:textId="77777777" w:rsidR="001E2CCF" w:rsidRDefault="001E2C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3BA"/>
    <w:rsid w:val="00005525"/>
    <w:rsid w:val="001003BA"/>
    <w:rsid w:val="00101473"/>
    <w:rsid w:val="00137DE9"/>
    <w:rsid w:val="001421D2"/>
    <w:rsid w:val="00143E14"/>
    <w:rsid w:val="001E2CCF"/>
    <w:rsid w:val="00214D60"/>
    <w:rsid w:val="00296D23"/>
    <w:rsid w:val="002E5AEA"/>
    <w:rsid w:val="002F31CD"/>
    <w:rsid w:val="00326A12"/>
    <w:rsid w:val="00403386"/>
    <w:rsid w:val="00406960"/>
    <w:rsid w:val="004162A9"/>
    <w:rsid w:val="00502791"/>
    <w:rsid w:val="005807FD"/>
    <w:rsid w:val="005866A7"/>
    <w:rsid w:val="00626197"/>
    <w:rsid w:val="00672E56"/>
    <w:rsid w:val="00705E52"/>
    <w:rsid w:val="00751710"/>
    <w:rsid w:val="00802E4F"/>
    <w:rsid w:val="008121A2"/>
    <w:rsid w:val="009B1208"/>
    <w:rsid w:val="00B079F6"/>
    <w:rsid w:val="00B70DD5"/>
    <w:rsid w:val="00BD261A"/>
    <w:rsid w:val="00BE6E4A"/>
    <w:rsid w:val="00C661A9"/>
    <w:rsid w:val="00D07ED7"/>
    <w:rsid w:val="00DB23DD"/>
    <w:rsid w:val="00E21A6D"/>
    <w:rsid w:val="00E40CAF"/>
    <w:rsid w:val="00E84525"/>
    <w:rsid w:val="00F51380"/>
    <w:rsid w:val="00F729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B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Normal"/>
    <w:next w:val="Normal"/>
    <w:link w:val="Heading1Char"/>
    <w:autoRedefine/>
    <w:uiPriority w:val="9"/>
    <w:qFormat/>
    <w:rsid w:val="00BE6E4A"/>
    <w:pPr>
      <w:keepNext/>
      <w:keepLines/>
      <w:spacing w:before="12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D07ED7"/>
    <w:pPr>
      <w:keepNext/>
      <w:keepLines/>
      <w:spacing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D07ED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E4A"/>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D07ED7"/>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D07ED7"/>
    <w:rPr>
      <w:rFonts w:ascii="Times New Roman" w:eastAsiaTheme="majorEastAsia" w:hAnsi="Times New Roman" w:cstheme="majorBidi"/>
      <w:b/>
      <w:color w:val="1F4D78" w:themeColor="accent1" w:themeShade="7F"/>
      <w:sz w:val="24"/>
      <w:szCs w:val="24"/>
    </w:rPr>
  </w:style>
  <w:style w:type="character" w:styleId="Hyperlink">
    <w:name w:val="Hyperlink"/>
    <w:basedOn w:val="DefaultParagraphFont"/>
    <w:uiPriority w:val="99"/>
    <w:unhideWhenUsed/>
    <w:rsid w:val="00E21A6D"/>
    <w:rPr>
      <w:color w:val="0563C1" w:themeColor="hyperlink"/>
      <w:u w:val="single"/>
    </w:rPr>
  </w:style>
  <w:style w:type="paragraph" w:styleId="Header">
    <w:name w:val="header"/>
    <w:basedOn w:val="Normal"/>
    <w:link w:val="HeaderChar"/>
    <w:uiPriority w:val="99"/>
    <w:unhideWhenUsed/>
    <w:rsid w:val="00672E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2E56"/>
    <w:rPr>
      <w:rFonts w:ascii="Times New Roman" w:hAnsi="Times New Roman" w:cs="Times New Roman"/>
      <w:sz w:val="24"/>
      <w:szCs w:val="20"/>
    </w:rPr>
  </w:style>
  <w:style w:type="paragraph" w:styleId="Footer">
    <w:name w:val="footer"/>
    <w:basedOn w:val="Normal"/>
    <w:link w:val="FooterChar"/>
    <w:uiPriority w:val="99"/>
    <w:unhideWhenUsed/>
    <w:rsid w:val="00672E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2E56"/>
    <w:rPr>
      <w:rFonts w:ascii="Times New Roman" w:hAnsi="Times New Roman" w:cs="Times New Roman"/>
      <w:sz w:val="24"/>
      <w:szCs w:val="20"/>
    </w:rPr>
  </w:style>
  <w:style w:type="paragraph" w:styleId="TOCHeading">
    <w:name w:val="TOC Heading"/>
    <w:basedOn w:val="Heading1"/>
    <w:next w:val="Normal"/>
    <w:uiPriority w:val="39"/>
    <w:unhideWhenUsed/>
    <w:qFormat/>
    <w:rsid w:val="00672E56"/>
    <w:pPr>
      <w:spacing w:before="240" w:line="259" w:lineRule="auto"/>
      <w:jc w:val="left"/>
      <w:outlineLvl w:val="9"/>
    </w:pPr>
    <w:rPr>
      <w:rFonts w:asciiTheme="majorHAnsi" w:hAnsiTheme="majorHAnsi"/>
      <w:b w:val="0"/>
      <w:sz w:val="32"/>
      <w:lang w:val="en-US"/>
    </w:rPr>
  </w:style>
  <w:style w:type="paragraph" w:styleId="TOC2">
    <w:name w:val="toc 2"/>
    <w:basedOn w:val="Normal"/>
    <w:next w:val="Normal"/>
    <w:autoRedefine/>
    <w:uiPriority w:val="39"/>
    <w:unhideWhenUsed/>
    <w:rsid w:val="00672E56"/>
    <w:pPr>
      <w:spacing w:after="100"/>
      <w:ind w:left="240"/>
    </w:pPr>
  </w:style>
  <w:style w:type="paragraph" w:styleId="TOC1">
    <w:name w:val="toc 1"/>
    <w:basedOn w:val="Normal"/>
    <w:next w:val="Normal"/>
    <w:autoRedefine/>
    <w:uiPriority w:val="39"/>
    <w:unhideWhenUsed/>
    <w:rsid w:val="00672E56"/>
    <w:pPr>
      <w:spacing w:after="100"/>
    </w:pPr>
  </w:style>
  <w:style w:type="paragraph" w:styleId="BalloonText">
    <w:name w:val="Balloon Text"/>
    <w:basedOn w:val="Normal"/>
    <w:link w:val="BalloonTextChar"/>
    <w:uiPriority w:val="99"/>
    <w:semiHidden/>
    <w:unhideWhenUsed/>
    <w:rsid w:val="00143E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E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868132">
      <w:bodyDiv w:val="1"/>
      <w:marLeft w:val="0"/>
      <w:marRight w:val="0"/>
      <w:marTop w:val="0"/>
      <w:marBottom w:val="0"/>
      <w:divBdr>
        <w:top w:val="none" w:sz="0" w:space="0" w:color="auto"/>
        <w:left w:val="none" w:sz="0" w:space="0" w:color="auto"/>
        <w:bottom w:val="none" w:sz="0" w:space="0" w:color="auto"/>
        <w:right w:val="none" w:sz="0" w:space="0" w:color="auto"/>
      </w:divBdr>
    </w:div>
    <w:div w:id="890655094">
      <w:bodyDiv w:val="1"/>
      <w:marLeft w:val="0"/>
      <w:marRight w:val="0"/>
      <w:marTop w:val="0"/>
      <w:marBottom w:val="0"/>
      <w:divBdr>
        <w:top w:val="none" w:sz="0" w:space="0" w:color="auto"/>
        <w:left w:val="none" w:sz="0" w:space="0" w:color="auto"/>
        <w:bottom w:val="none" w:sz="0" w:space="0" w:color="auto"/>
        <w:right w:val="none" w:sz="0" w:space="0" w:color="auto"/>
      </w:divBdr>
      <w:divsChild>
        <w:div w:id="1835224294">
          <w:marLeft w:val="0"/>
          <w:marRight w:val="0"/>
          <w:marTop w:val="0"/>
          <w:marBottom w:val="0"/>
          <w:divBdr>
            <w:top w:val="none" w:sz="0" w:space="0" w:color="auto"/>
            <w:left w:val="none" w:sz="0" w:space="0" w:color="auto"/>
            <w:bottom w:val="none" w:sz="0" w:space="0" w:color="auto"/>
            <w:right w:val="none" w:sz="0" w:space="0" w:color="auto"/>
          </w:divBdr>
          <w:divsChild>
            <w:div w:id="287661549">
              <w:marLeft w:val="0"/>
              <w:marRight w:val="0"/>
              <w:marTop w:val="0"/>
              <w:marBottom w:val="0"/>
              <w:divBdr>
                <w:top w:val="none" w:sz="0" w:space="0" w:color="auto"/>
                <w:left w:val="none" w:sz="0" w:space="0" w:color="auto"/>
                <w:bottom w:val="none" w:sz="0" w:space="0" w:color="auto"/>
                <w:right w:val="none" w:sz="0" w:space="0" w:color="auto"/>
              </w:divBdr>
              <w:divsChild>
                <w:div w:id="490485144">
                  <w:marLeft w:val="0"/>
                  <w:marRight w:val="0"/>
                  <w:marTop w:val="0"/>
                  <w:marBottom w:val="0"/>
                  <w:divBdr>
                    <w:top w:val="none" w:sz="0" w:space="0" w:color="auto"/>
                    <w:left w:val="none" w:sz="0" w:space="0" w:color="auto"/>
                    <w:bottom w:val="none" w:sz="0" w:space="0" w:color="auto"/>
                    <w:right w:val="none" w:sz="0" w:space="0" w:color="auto"/>
                  </w:divBdr>
                  <w:divsChild>
                    <w:div w:id="1208252859">
                      <w:marLeft w:val="0"/>
                      <w:marRight w:val="0"/>
                      <w:marTop w:val="0"/>
                      <w:marBottom w:val="0"/>
                      <w:divBdr>
                        <w:top w:val="none" w:sz="0" w:space="0" w:color="auto"/>
                        <w:left w:val="none" w:sz="0" w:space="0" w:color="auto"/>
                        <w:bottom w:val="none" w:sz="0" w:space="0" w:color="auto"/>
                        <w:right w:val="none" w:sz="0" w:space="0" w:color="auto"/>
                      </w:divBdr>
                      <w:divsChild>
                        <w:div w:id="1988780568">
                          <w:marLeft w:val="0"/>
                          <w:marRight w:val="0"/>
                          <w:marTop w:val="0"/>
                          <w:marBottom w:val="0"/>
                          <w:divBdr>
                            <w:top w:val="none" w:sz="0" w:space="0" w:color="auto"/>
                            <w:left w:val="none" w:sz="0" w:space="0" w:color="auto"/>
                            <w:bottom w:val="none" w:sz="0" w:space="0" w:color="auto"/>
                            <w:right w:val="none" w:sz="0" w:space="0" w:color="auto"/>
                          </w:divBdr>
                          <w:divsChild>
                            <w:div w:id="57220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43575">
      <w:bodyDiv w:val="1"/>
      <w:marLeft w:val="0"/>
      <w:marRight w:val="0"/>
      <w:marTop w:val="0"/>
      <w:marBottom w:val="0"/>
      <w:divBdr>
        <w:top w:val="none" w:sz="0" w:space="0" w:color="auto"/>
        <w:left w:val="none" w:sz="0" w:space="0" w:color="auto"/>
        <w:bottom w:val="none" w:sz="0" w:space="0" w:color="auto"/>
        <w:right w:val="none" w:sz="0" w:space="0" w:color="auto"/>
      </w:divBdr>
    </w:div>
    <w:div w:id="1737436351">
      <w:bodyDiv w:val="1"/>
      <w:marLeft w:val="0"/>
      <w:marRight w:val="0"/>
      <w:marTop w:val="0"/>
      <w:marBottom w:val="0"/>
      <w:divBdr>
        <w:top w:val="none" w:sz="0" w:space="0" w:color="auto"/>
        <w:left w:val="none" w:sz="0" w:space="0" w:color="auto"/>
        <w:bottom w:val="none" w:sz="0" w:space="0" w:color="auto"/>
        <w:right w:val="none" w:sz="0" w:space="0" w:color="auto"/>
      </w:divBdr>
      <w:divsChild>
        <w:div w:id="1081757571">
          <w:marLeft w:val="0"/>
          <w:marRight w:val="0"/>
          <w:marTop w:val="0"/>
          <w:marBottom w:val="0"/>
          <w:divBdr>
            <w:top w:val="none" w:sz="0" w:space="0" w:color="auto"/>
            <w:left w:val="none" w:sz="0" w:space="0" w:color="auto"/>
            <w:bottom w:val="none" w:sz="0" w:space="0" w:color="auto"/>
            <w:right w:val="none" w:sz="0" w:space="0" w:color="auto"/>
          </w:divBdr>
          <w:divsChild>
            <w:div w:id="783572453">
              <w:marLeft w:val="0"/>
              <w:marRight w:val="0"/>
              <w:marTop w:val="0"/>
              <w:marBottom w:val="0"/>
              <w:divBdr>
                <w:top w:val="none" w:sz="0" w:space="0" w:color="auto"/>
                <w:left w:val="none" w:sz="0" w:space="0" w:color="auto"/>
                <w:bottom w:val="none" w:sz="0" w:space="0" w:color="auto"/>
                <w:right w:val="none" w:sz="0" w:space="0" w:color="auto"/>
              </w:divBdr>
              <w:divsChild>
                <w:div w:id="315260598">
                  <w:marLeft w:val="0"/>
                  <w:marRight w:val="0"/>
                  <w:marTop w:val="0"/>
                  <w:marBottom w:val="0"/>
                  <w:divBdr>
                    <w:top w:val="none" w:sz="0" w:space="0" w:color="auto"/>
                    <w:left w:val="none" w:sz="0" w:space="0" w:color="auto"/>
                    <w:bottom w:val="none" w:sz="0" w:space="0" w:color="auto"/>
                    <w:right w:val="none" w:sz="0" w:space="0" w:color="auto"/>
                  </w:divBdr>
                  <w:divsChild>
                    <w:div w:id="1826776392">
                      <w:marLeft w:val="0"/>
                      <w:marRight w:val="0"/>
                      <w:marTop w:val="0"/>
                      <w:marBottom w:val="0"/>
                      <w:divBdr>
                        <w:top w:val="none" w:sz="0" w:space="0" w:color="auto"/>
                        <w:left w:val="none" w:sz="0" w:space="0" w:color="auto"/>
                        <w:bottom w:val="none" w:sz="0" w:space="0" w:color="auto"/>
                        <w:right w:val="none" w:sz="0" w:space="0" w:color="auto"/>
                      </w:divBdr>
                      <w:divsChild>
                        <w:div w:id="1223642807">
                          <w:marLeft w:val="0"/>
                          <w:marRight w:val="0"/>
                          <w:marTop w:val="0"/>
                          <w:marBottom w:val="0"/>
                          <w:divBdr>
                            <w:top w:val="none" w:sz="0" w:space="0" w:color="auto"/>
                            <w:left w:val="none" w:sz="0" w:space="0" w:color="auto"/>
                            <w:bottom w:val="none" w:sz="0" w:space="0" w:color="auto"/>
                            <w:right w:val="none" w:sz="0" w:space="0" w:color="auto"/>
                          </w:divBdr>
                          <w:divsChild>
                            <w:div w:id="14658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cqc.org.uk/guidance-regulation/providers/assessment/single-assessment-framework" TargetMode="Externa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styles" Target="styles.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nmc.org.uk/standards/code/"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hyperlink" Target="https://www.gov.uk/government/publications/the-caldicott-principles?utm_source=chatgpt.com"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legislation.gov.uk/ukpga/2010/15/contents"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F13A5D-EBD9-478C-8C25-2CF6EA5D0B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2026-07-23T11:29:00Z</dcterms:created>
  <dcterms:modified xsi:type="dcterms:W3CDTF">2026-07-23T11:32:00Z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23e4636f-1beb-48f6-92c1-a2400d493ec5</vt:lpwstr>
  </property>
</Properties>
</file>