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right"/>
        <w:rPr>
          <w:b w:val="1"/>
          <w:sz w:val="26"/>
          <w:szCs w:val="26"/>
        </w:rPr>
      </w:pPr>
      <w:r w:rsidDel="00000000" w:rsidR="00000000" w:rsidRPr="00000000">
        <w:rPr>
          <w:b w:val="1"/>
          <w:sz w:val="26"/>
          <w:szCs w:val="26"/>
          <w:rtl w:val="0"/>
        </w:rPr>
        <w:t xml:space="preserve">Aimee Clark</w:t>
      </w:r>
    </w:p>
    <w:p w:rsidR="00000000" w:rsidDel="00000000" w:rsidP="00000000" w:rsidRDefault="00000000" w:rsidRPr="00000000" w14:paraId="00000002">
      <w:pPr>
        <w:jc w:val="right"/>
        <w:rPr>
          <w:b w:val="1"/>
          <w:sz w:val="26"/>
          <w:szCs w:val="26"/>
        </w:rPr>
      </w:pPr>
      <w:r w:rsidDel="00000000" w:rsidR="00000000" w:rsidRPr="00000000">
        <w:rPr>
          <w:b w:val="1"/>
          <w:sz w:val="26"/>
          <w:szCs w:val="26"/>
          <w:rtl w:val="0"/>
        </w:rPr>
        <w:t xml:space="preserve">2004607</w:t>
      </w:r>
    </w:p>
    <w:p w:rsidR="00000000" w:rsidDel="00000000" w:rsidP="00000000" w:rsidRDefault="00000000" w:rsidRPr="00000000" w14:paraId="00000003">
      <w:pPr>
        <w:jc w:val="right"/>
        <w:rPr>
          <w:b w:val="1"/>
          <w:sz w:val="26"/>
          <w:szCs w:val="26"/>
        </w:rPr>
      </w:pPr>
      <w:r w:rsidDel="00000000" w:rsidR="00000000" w:rsidRPr="00000000">
        <w:rPr>
          <w:b w:val="1"/>
          <w:sz w:val="26"/>
          <w:szCs w:val="26"/>
          <w:rtl w:val="0"/>
        </w:rPr>
        <w:t xml:space="preserve">Theatre Laboratory</w:t>
      </w:r>
    </w:p>
    <w:p w:rsidR="00000000" w:rsidDel="00000000" w:rsidP="00000000" w:rsidRDefault="00000000" w:rsidRPr="00000000" w14:paraId="00000004">
      <w:pPr>
        <w:jc w:val="right"/>
        <w:rPr>
          <w:b w:val="1"/>
          <w:sz w:val="26"/>
          <w:szCs w:val="26"/>
        </w:rPr>
      </w:pPr>
      <w:r w:rsidDel="00000000" w:rsidR="00000000" w:rsidRPr="00000000">
        <w:rPr>
          <w:b w:val="1"/>
          <w:sz w:val="26"/>
          <w:szCs w:val="26"/>
          <w:rtl w:val="0"/>
        </w:rPr>
        <w:t xml:space="preserve">ADPB4007</w:t>
      </w:r>
      <w:r w:rsidDel="00000000" w:rsidR="00000000" w:rsidRPr="00000000">
        <w:rPr>
          <w:rtl w:val="0"/>
        </w:rPr>
      </w:r>
    </w:p>
    <w:p w:rsidR="00000000" w:rsidDel="00000000" w:rsidP="00000000" w:rsidRDefault="00000000" w:rsidRPr="00000000" w14:paraId="00000005">
      <w:pPr>
        <w:jc w:val="right"/>
        <w:rPr>
          <w:b w:val="1"/>
          <w:sz w:val="26"/>
          <w:szCs w:val="26"/>
        </w:rPr>
      </w:pPr>
      <w:r w:rsidDel="00000000" w:rsidR="00000000" w:rsidRPr="00000000">
        <w:rPr>
          <w:b w:val="1"/>
          <w:sz w:val="26"/>
          <w:szCs w:val="26"/>
          <w:rtl w:val="0"/>
        </w:rPr>
        <w:t xml:space="preserve">Task 2 (Written)</w:t>
      </w:r>
    </w:p>
    <w:p w:rsidR="00000000" w:rsidDel="00000000" w:rsidP="00000000" w:rsidRDefault="00000000" w:rsidRPr="00000000" w14:paraId="00000006">
      <w:pPr>
        <w:jc w:val="right"/>
        <w:rPr>
          <w:b w:val="1"/>
          <w:sz w:val="26"/>
          <w:szCs w:val="26"/>
        </w:rPr>
      </w:pPr>
      <w:r w:rsidDel="00000000" w:rsidR="00000000" w:rsidRPr="00000000">
        <w:rPr>
          <w:b w:val="1"/>
          <w:sz w:val="26"/>
          <w:szCs w:val="26"/>
          <w:rtl w:val="0"/>
        </w:rPr>
        <w:t xml:space="preserve">Due: 30/03/23</w:t>
      </w:r>
      <w:r w:rsidDel="00000000" w:rsidR="00000000" w:rsidRPr="00000000">
        <w:rPr>
          <w:rtl w:val="0"/>
        </w:rPr>
      </w:r>
    </w:p>
    <w:p w:rsidR="00000000" w:rsidDel="00000000" w:rsidP="00000000" w:rsidRDefault="00000000" w:rsidRPr="00000000" w14:paraId="00000007">
      <w:pPr>
        <w:rPr>
          <w:b w:val="1"/>
          <w:sz w:val="28"/>
          <w:szCs w:val="28"/>
          <w:u w:val="single"/>
        </w:rPr>
      </w:pPr>
      <w:r w:rsidDel="00000000" w:rsidR="00000000" w:rsidRPr="00000000">
        <w:rPr>
          <w:rtl w:val="0"/>
        </w:rPr>
      </w:r>
    </w:p>
    <w:p w:rsidR="00000000" w:rsidDel="00000000" w:rsidP="00000000" w:rsidRDefault="00000000" w:rsidRPr="00000000" w14:paraId="00000008">
      <w:pPr>
        <w:rPr>
          <w:b w:val="1"/>
          <w:sz w:val="28"/>
          <w:szCs w:val="28"/>
          <w:u w:val="single"/>
        </w:rPr>
      </w:pPr>
      <w:r w:rsidDel="00000000" w:rsidR="00000000" w:rsidRPr="00000000">
        <w:rPr>
          <w:b w:val="1"/>
          <w:sz w:val="28"/>
          <w:szCs w:val="28"/>
          <w:u w:val="single"/>
          <w:rtl w:val="0"/>
        </w:rPr>
        <w:t xml:space="preserve">Theatre Laboratory Essay</w:t>
      </w:r>
    </w:p>
    <w:p w:rsidR="00000000" w:rsidDel="00000000" w:rsidP="00000000" w:rsidRDefault="00000000" w:rsidRPr="00000000" w14:paraId="00000009">
      <w:pPr>
        <w:rPr>
          <w:b w:val="1"/>
          <w:sz w:val="28"/>
          <w:szCs w:val="28"/>
          <w:u w:val="single"/>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Musical Theatre Laboratory is a module taught by David George Harrington, where we have the opportunity to explore, analyse, rehearse and perform a range of musical theatre styles. We also learn how to interpret musical scores, develop characterizations, and work as part of an ensemble. Over both terms, we worked thoroughly to produce a mixture of songs, by a wide variety of composers and librettists. By the end of each term, we had an intensive week where we would develop these songs further and create a showing, incorporating concepts and sometimes choreography, and perform this to an audience. In this essay, I will be reflecting on this process and delve into the skills I have learned and how this has bettered me as a performer. </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i w:val="1"/>
          <w:sz w:val="24"/>
          <w:szCs w:val="24"/>
        </w:rPr>
      </w:pPr>
      <w:r w:rsidDel="00000000" w:rsidR="00000000" w:rsidRPr="00000000">
        <w:rPr>
          <w:sz w:val="24"/>
          <w:szCs w:val="24"/>
          <w:rtl w:val="0"/>
        </w:rPr>
        <w:t xml:space="preserve">The chosen collection of pieces for our first term included ‘Make Them Hear You’ from the 1996 musical </w:t>
      </w:r>
      <w:r w:rsidDel="00000000" w:rsidR="00000000" w:rsidRPr="00000000">
        <w:rPr>
          <w:i w:val="1"/>
          <w:sz w:val="24"/>
          <w:szCs w:val="24"/>
          <w:rtl w:val="0"/>
        </w:rPr>
        <w:t xml:space="preserve">Ragtime</w:t>
      </w:r>
      <w:r w:rsidDel="00000000" w:rsidR="00000000" w:rsidRPr="00000000">
        <w:rPr>
          <w:sz w:val="24"/>
          <w:szCs w:val="24"/>
          <w:rtl w:val="0"/>
        </w:rPr>
        <w:t xml:space="preserve">, music by Stephen Flaherty, lyrics by Lynn Ahrens, ‘Oklahoma’ from the 1943 musical of the same name, written by Rodgers and Hammerstein, the ‘Mamma Mia Medley’, an original arrangement created by our tutor David Harrington, including songs by ABBA from the 1999 jukebox musical </w:t>
      </w:r>
      <w:r w:rsidDel="00000000" w:rsidR="00000000" w:rsidRPr="00000000">
        <w:rPr>
          <w:i w:val="1"/>
          <w:sz w:val="24"/>
          <w:szCs w:val="24"/>
          <w:rtl w:val="0"/>
        </w:rPr>
        <w:t xml:space="preserve">Mamma Mia,</w:t>
      </w:r>
      <w:r w:rsidDel="00000000" w:rsidR="00000000" w:rsidRPr="00000000">
        <w:rPr>
          <w:sz w:val="24"/>
          <w:szCs w:val="24"/>
          <w:rtl w:val="0"/>
        </w:rPr>
        <w:t xml:space="preserve"> ‘Ascot Gavotte’ from the 1956 musical </w:t>
      </w:r>
      <w:r w:rsidDel="00000000" w:rsidR="00000000" w:rsidRPr="00000000">
        <w:rPr>
          <w:i w:val="1"/>
          <w:sz w:val="24"/>
          <w:szCs w:val="24"/>
          <w:rtl w:val="0"/>
        </w:rPr>
        <w:t xml:space="preserve">My Fair Lady, </w:t>
      </w:r>
      <w:r w:rsidDel="00000000" w:rsidR="00000000" w:rsidRPr="00000000">
        <w:rPr>
          <w:sz w:val="24"/>
          <w:szCs w:val="24"/>
          <w:rtl w:val="0"/>
        </w:rPr>
        <w:t xml:space="preserve">written by Alan Jay Lerner and Frederick Loewe,</w:t>
      </w:r>
      <w:r w:rsidDel="00000000" w:rsidR="00000000" w:rsidRPr="00000000">
        <w:rPr>
          <w:i w:val="1"/>
          <w:sz w:val="24"/>
          <w:szCs w:val="24"/>
          <w:rtl w:val="0"/>
        </w:rPr>
        <w:t xml:space="preserve"> </w:t>
      </w:r>
      <w:r w:rsidDel="00000000" w:rsidR="00000000" w:rsidRPr="00000000">
        <w:rPr>
          <w:sz w:val="24"/>
          <w:szCs w:val="24"/>
          <w:rtl w:val="0"/>
        </w:rPr>
        <w:t xml:space="preserve">and finally a ‘Queen Medley’ also written by Harrington, including songs by Queen from the 2002 jukebox musical </w:t>
      </w:r>
      <w:r w:rsidDel="00000000" w:rsidR="00000000" w:rsidRPr="00000000">
        <w:rPr>
          <w:i w:val="1"/>
          <w:sz w:val="24"/>
          <w:szCs w:val="24"/>
          <w:rtl w:val="0"/>
        </w:rPr>
        <w:t xml:space="preserve">We Will Rock You.</w:t>
      </w:r>
    </w:p>
    <w:p w:rsidR="00000000" w:rsidDel="00000000" w:rsidP="00000000" w:rsidRDefault="00000000" w:rsidRPr="00000000" w14:paraId="0000000D">
      <w:pPr>
        <w:rPr>
          <w:i w:val="1"/>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Throughout working on these songs, we were introduced to various different techniques, vocal qualities and dynamics. For me, I really enjoyed exploring these elements and how they can change the outcome of a song. For example, in ‘Ascot Gavotte’, we were required to use a legit sound, bordering on operatic, and a lot of overexaggerated diction. I was then able to incorporate some of these elements in ‘Oklahoma’. In the ‘Mamma Mia Medley’ a pop style was needed, as well as a twang and belt quality. This could also be used in the ‘Queen Medley’, along with a more rock style and sob quality. I was then able to transfer this sob quality into ‘Make Them Hear You’. </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Our intensive Lab week consisted of recapping everything we learned and worked on over the term, and incorporating more detailed work. It was important that we used this time to really push ourselves into making our pieces sound as clean and professional as possible. For example, In “Ascot Gavotte” and “ Oklahoma”, we worked on the legit quality that was needed. Additionally to the technique, we learned how legit requires emotional depth and complexity. It should evoke a strong emotional response from the listener, whether it be joy, sadness, or any other feeling. It should also have a level of intricacy that makes it intriguing and thought provoking. We then started to brainstorm concepts for our songs and how we were going to build a performance around them. This was followed by taking it upon ourselves to choreograph our pieces. This came with challenges because we had to alter it in ways that made sure our singing didn’t decline because of these movements. This required a lot of team work as a group.</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The next chosen selection of songs for the second term contained an original arrangement of ‘Wait’ from the 1979 musical </w:t>
      </w:r>
      <w:r w:rsidDel="00000000" w:rsidR="00000000" w:rsidRPr="00000000">
        <w:rPr>
          <w:i w:val="1"/>
          <w:sz w:val="24"/>
          <w:szCs w:val="24"/>
          <w:rtl w:val="0"/>
        </w:rPr>
        <w:t xml:space="preserve">Sweeney Todd: The Demon Barber of Fleet Street, </w:t>
      </w:r>
      <w:r w:rsidDel="00000000" w:rsidR="00000000" w:rsidRPr="00000000">
        <w:rPr>
          <w:sz w:val="24"/>
          <w:szCs w:val="24"/>
          <w:rtl w:val="0"/>
        </w:rPr>
        <w:t xml:space="preserve">written by Stephen Sondheim, “The Ballad of Sweeney Todd” from the same musical, “Another Op’nin’” from the 1948 musical </w:t>
      </w:r>
      <w:r w:rsidDel="00000000" w:rsidR="00000000" w:rsidRPr="00000000">
        <w:rPr>
          <w:i w:val="1"/>
          <w:sz w:val="24"/>
          <w:szCs w:val="24"/>
          <w:rtl w:val="0"/>
        </w:rPr>
        <w:t xml:space="preserve">Kiss Me Kate</w:t>
      </w:r>
      <w:r w:rsidDel="00000000" w:rsidR="00000000" w:rsidRPr="00000000">
        <w:rPr>
          <w:sz w:val="24"/>
          <w:szCs w:val="24"/>
          <w:rtl w:val="0"/>
        </w:rPr>
        <w:t xml:space="preserve">, written by Cole Porter, and “Still I will Love’ a 2018 song by Shaina Taub. I was also given a duet with my classmate, Ellie. This was a stunning original arrangement by David Harrington of a mashup of “Not While I’m Around” from </w:t>
      </w:r>
      <w:r w:rsidDel="00000000" w:rsidR="00000000" w:rsidRPr="00000000">
        <w:rPr>
          <w:i w:val="1"/>
          <w:sz w:val="24"/>
          <w:szCs w:val="24"/>
          <w:rtl w:val="0"/>
        </w:rPr>
        <w:t xml:space="preserve">Sweeney Todd </w:t>
      </w:r>
      <w:r w:rsidDel="00000000" w:rsidR="00000000" w:rsidRPr="00000000">
        <w:rPr>
          <w:sz w:val="24"/>
          <w:szCs w:val="24"/>
          <w:rtl w:val="0"/>
        </w:rPr>
        <w:t xml:space="preserve">and “Children Will Listen” from the 1987 musical </w:t>
      </w:r>
      <w:r w:rsidDel="00000000" w:rsidR="00000000" w:rsidRPr="00000000">
        <w:rPr>
          <w:i w:val="1"/>
          <w:sz w:val="24"/>
          <w:szCs w:val="24"/>
          <w:rtl w:val="0"/>
        </w:rPr>
        <w:t xml:space="preserve">Into The Woods, </w:t>
      </w:r>
      <w:r w:rsidDel="00000000" w:rsidR="00000000" w:rsidRPr="00000000">
        <w:rPr>
          <w:sz w:val="24"/>
          <w:szCs w:val="24"/>
          <w:rtl w:val="0"/>
        </w:rPr>
        <w:t xml:space="preserve">both by Sondheim.</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b w:val="1"/>
          <w:sz w:val="24"/>
          <w:szCs w:val="24"/>
        </w:rPr>
      </w:pPr>
      <w:r w:rsidDel="00000000" w:rsidR="00000000" w:rsidRPr="00000000">
        <w:rPr>
          <w:sz w:val="24"/>
          <w:szCs w:val="24"/>
          <w:rtl w:val="0"/>
        </w:rPr>
        <w:t xml:space="preserve">I found that this term, we were challenged with more ambitious harmonies. For example, “Wait” and “The Ballad of Sweeney Todd''. Sonheim’s music often features complex melodies. He frequently uses chromaticism, unexpected chord progressions, and unusual time signatures to create his distinctive sound. His songs also have unconventional structures that deviate from the typical verse-chorus-bridge format. He is known for his use of ‘List Songs’, where a character lists a series of items or ideas in a rapid fire manner, as well as his use of ‘mosaic’ songs, where multiple characters sing different melodies simultaneously. His use of dissonance and unconventional harmonies create tension and add emotional depth. “I like to challenge myself when writing music. I try to avoid cliches and formulas, and instead look for new ways to express the ideas and emotions of the story.” (Sondheim, date unknown). It took us a while to be able to execute all these elements effectively, as sometimes we would lose the harmonies or get out of time with each other. In contrast, “Still I Will Love'' is a gospel song. These songs often focus on themes from the Bible, such as salvation, grace, forgiveness, and faith. It typically requires strong, powerful vocals, often with a ‘call and response’ structure. They also use a lot of repetition to reinforce their message, which often conveys intense emotion, from the joy and celebration of praise songs, to the sadness and longing of songs about struggle and hardship. It’s a deeply emotional form of expression that seeks to uplift and inspire listeners with its message of faith and hope. </w:t>
      </w:r>
      <w:r w:rsidDel="00000000" w:rsidR="00000000" w:rsidRPr="00000000">
        <w:rPr>
          <w:rtl w:val="0"/>
        </w:rPr>
      </w:r>
    </w:p>
    <w:p w:rsidR="00000000" w:rsidDel="00000000" w:rsidP="00000000" w:rsidRDefault="00000000" w:rsidRPr="00000000" w14:paraId="00000015">
      <w:pPr>
        <w:rPr>
          <w:b w:val="1"/>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T</w:t>
      </w:r>
      <w:r w:rsidDel="00000000" w:rsidR="00000000" w:rsidRPr="00000000">
        <w:rPr>
          <w:sz w:val="24"/>
          <w:szCs w:val="24"/>
          <w:rtl w:val="0"/>
        </w:rPr>
        <w:t xml:space="preserve">he</w:t>
      </w:r>
      <w:r w:rsidDel="00000000" w:rsidR="00000000" w:rsidRPr="00000000">
        <w:rPr>
          <w:sz w:val="24"/>
          <w:szCs w:val="24"/>
          <w:rtl w:val="0"/>
        </w:rPr>
        <w:t xml:space="preserve"> second intensive Lab week was a similar process to the first one. Except this time we had guidance from tutor Angharad Lee. She helped us to come up with concepts for our pieces and to make sure the work we developed with David translated to the audience in an effective way accompanied with these concepts, movements, and staging, as they both go hand in hand. “By expanding his vocal and physical expression, he conveys the truth of the character in a way that reaches us in the back of the balcony. This is called theatricality. This is life plus magnitude.” (Deer, 2008). When working on my duet with Ellie, David said I needed to work on the contemporary style of the song as he said I have a tendency to slip into a pop style. Contemporary musical theatre songs often require a performer to use a variety of vocal techniques, such as belting, falsetto, and vibrato. These techniques are used to create a dynamic and expressive performance. They also use complex and varied rhythms to create an energetic and engaging performance. These rhythms can be used to create a sense of urgency or a sense of movement. David also sent me and Ellie away to work on our storytelling and what the song means for us. Contemporary musical theatre songs are often narrative driven, meaning that they tell a story through song. The lyrics of the song are often used to convey the plot and the emotions of the characters. Related to this, these songs often use musical motifs, which are repeated musical phrases or themes. These motifs can be used to create a sense of continuity or to highlight important moments in the story.    </w:t>
      </w:r>
    </w:p>
    <w:p w:rsidR="00000000" w:rsidDel="00000000" w:rsidP="00000000" w:rsidRDefault="00000000" w:rsidRPr="00000000" w14:paraId="00000017">
      <w:pPr>
        <w:rPr>
          <w:b w:val="1"/>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To conclude, I have thoroughly enjoyed this module. I have learned so much in regards to various techniques, musical theatre styles, and how to work as an ensemble and team. I think something I did well in this module is that I'm quite good with harmonies. I tend to have a good ear for them whether that’s hearing them in my head or being able to sustain them well. That’s why I really enjoyed exploring with more difficult harmonies because this only developed this skill further. Something I would love to work on moving forward is experimenting with other voice parts. Over the two terms, I stayed moreless in the Alto part. While I've come to realise that this is where I’m strongest and where </w:t>
      </w:r>
      <w:r w:rsidDel="00000000" w:rsidR="00000000" w:rsidRPr="00000000">
        <w:rPr>
          <w:sz w:val="24"/>
          <w:szCs w:val="24"/>
          <w:rtl w:val="0"/>
        </w:rPr>
        <w:t xml:space="preserve">I sore</w:t>
      </w:r>
      <w:r w:rsidDel="00000000" w:rsidR="00000000" w:rsidRPr="00000000">
        <w:rPr>
          <w:sz w:val="24"/>
          <w:szCs w:val="24"/>
          <w:rtl w:val="0"/>
        </w:rPr>
        <w:t xml:space="preserve">, I think it would benefit me to challenge myself by experimenting with higher voice parts, as this will give me more versatility as a singer in the future. Something else I want to work on is my ability to read and analyse sheet music, as currently I am unable to read sheet music. Although I can sight read quite well, I think it would benefit me as I will then be able to work faster and more efficiently. </w:t>
      </w:r>
    </w:p>
    <w:p w:rsidR="00000000" w:rsidDel="00000000" w:rsidP="00000000" w:rsidRDefault="00000000" w:rsidRPr="00000000" w14:paraId="00000019">
      <w:pPr>
        <w:rPr>
          <w:b w:val="1"/>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25">
      <w:pPr>
        <w:rPr>
          <w:b w:val="1"/>
          <w:sz w:val="24"/>
          <w:szCs w:val="24"/>
        </w:rPr>
      </w:pPr>
      <w:r w:rsidDel="00000000" w:rsidR="00000000" w:rsidRPr="00000000">
        <w:rPr>
          <w:rtl w:val="0"/>
        </w:rPr>
      </w:r>
    </w:p>
    <w:p w:rsidR="00000000" w:rsidDel="00000000" w:rsidP="00000000" w:rsidRDefault="00000000" w:rsidRPr="00000000" w14:paraId="00000026">
      <w:pPr>
        <w:numPr>
          <w:ilvl w:val="0"/>
          <w:numId w:val="1"/>
        </w:numPr>
        <w:spacing w:after="0" w:afterAutospacing="0" w:before="240" w:lineRule="auto"/>
        <w:ind w:left="720" w:hanging="360"/>
        <w:rPr>
          <w:sz w:val="24"/>
          <w:szCs w:val="24"/>
        </w:rPr>
      </w:pPr>
      <w:r w:rsidDel="00000000" w:rsidR="00000000" w:rsidRPr="00000000">
        <w:rPr>
          <w:i w:val="1"/>
          <w:sz w:val="24"/>
          <w:szCs w:val="24"/>
          <w:rtl w:val="0"/>
        </w:rPr>
        <w:t xml:space="preserve">Doin’ it in style: legit, mix and belt</w:t>
      </w:r>
      <w:r w:rsidDel="00000000" w:rsidR="00000000" w:rsidRPr="00000000">
        <w:rPr>
          <w:sz w:val="24"/>
          <w:szCs w:val="24"/>
          <w:rtl w:val="0"/>
        </w:rPr>
        <w:t xml:space="preserve"> (2017). Available at: </w:t>
      </w:r>
      <w:hyperlink r:id="rId6">
        <w:r w:rsidDel="00000000" w:rsidR="00000000" w:rsidRPr="00000000">
          <w:rPr>
            <w:color w:val="1155cc"/>
            <w:sz w:val="24"/>
            <w:szCs w:val="24"/>
            <w:u w:val="single"/>
            <w:rtl w:val="0"/>
          </w:rPr>
          <w:t xml:space="preserve">https://www.isingmag.com/doin-it-in-style-legit-mix-and-belt/</w:t>
        </w:r>
      </w:hyperlink>
      <w:r w:rsidDel="00000000" w:rsidR="00000000" w:rsidRPr="00000000">
        <w:rPr>
          <w:sz w:val="24"/>
          <w:szCs w:val="24"/>
          <w:rtl w:val="0"/>
        </w:rPr>
        <w:t xml:space="preserve">  </w:t>
      </w:r>
    </w:p>
    <w:p w:rsidR="00000000" w:rsidDel="00000000" w:rsidP="00000000" w:rsidRDefault="00000000" w:rsidRPr="00000000" w14:paraId="00000027">
      <w:pPr>
        <w:numPr>
          <w:ilvl w:val="0"/>
          <w:numId w:val="1"/>
        </w:numPr>
        <w:spacing w:after="0" w:afterAutospacing="0" w:before="0" w:beforeAutospacing="0" w:lineRule="auto"/>
        <w:ind w:left="720" w:hanging="360"/>
        <w:rPr>
          <w:sz w:val="24"/>
          <w:szCs w:val="24"/>
        </w:rPr>
      </w:pPr>
      <w:r w:rsidDel="00000000" w:rsidR="00000000" w:rsidRPr="00000000">
        <w:rPr>
          <w:i w:val="1"/>
          <w:sz w:val="24"/>
          <w:szCs w:val="24"/>
          <w:rtl w:val="0"/>
        </w:rPr>
        <w:t xml:space="preserve">What is Gospel Music</w:t>
      </w:r>
      <w:r w:rsidDel="00000000" w:rsidR="00000000" w:rsidRPr="00000000">
        <w:rPr>
          <w:sz w:val="24"/>
          <w:szCs w:val="24"/>
          <w:rtl w:val="0"/>
        </w:rPr>
        <w:t xml:space="preserve"> (no date) </w:t>
      </w:r>
      <w:r w:rsidDel="00000000" w:rsidR="00000000" w:rsidRPr="00000000">
        <w:rPr>
          <w:i w:val="1"/>
          <w:sz w:val="24"/>
          <w:szCs w:val="24"/>
          <w:rtl w:val="0"/>
        </w:rPr>
        <w:t xml:space="preserve">Twinkl.co.uk</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https://www.twinkl.co.uk/teaching-wiki/gospel-music</w:t>
        </w:r>
      </w:hyperlink>
      <w:r w:rsidDel="00000000" w:rsidR="00000000" w:rsidRPr="00000000">
        <w:rPr>
          <w:sz w:val="24"/>
          <w:szCs w:val="24"/>
          <w:rtl w:val="0"/>
        </w:rPr>
        <w:t xml:space="preserve"> </w:t>
      </w:r>
    </w:p>
    <w:p w:rsidR="00000000" w:rsidDel="00000000" w:rsidP="00000000" w:rsidRDefault="00000000" w:rsidRPr="00000000" w14:paraId="00000028">
      <w:pPr>
        <w:numPr>
          <w:ilvl w:val="0"/>
          <w:numId w:val="1"/>
        </w:numPr>
        <w:spacing w:after="0" w:afterAutospacing="0" w:before="0" w:beforeAutospacing="0" w:lineRule="auto"/>
        <w:ind w:left="720" w:hanging="360"/>
        <w:rPr>
          <w:sz w:val="24"/>
          <w:szCs w:val="24"/>
        </w:rPr>
      </w:pPr>
      <w:r w:rsidDel="00000000" w:rsidR="00000000" w:rsidRPr="00000000">
        <w:rPr>
          <w:i w:val="1"/>
          <w:sz w:val="24"/>
          <w:szCs w:val="24"/>
          <w:rtl w:val="0"/>
        </w:rPr>
        <w:t xml:space="preserve">Stage Door Unlocked's MUSICAL THEATRE STYLE BREAKDOWNS</w:t>
      </w:r>
      <w:r w:rsidDel="00000000" w:rsidR="00000000" w:rsidRPr="00000000">
        <w:rPr>
          <w:sz w:val="24"/>
          <w:szCs w:val="24"/>
          <w:rtl w:val="0"/>
        </w:rPr>
        <w:t xml:space="preserve"> (no date) </w:t>
      </w:r>
      <w:r w:rsidDel="00000000" w:rsidR="00000000" w:rsidRPr="00000000">
        <w:rPr>
          <w:i w:val="1"/>
          <w:sz w:val="24"/>
          <w:szCs w:val="24"/>
          <w:rtl w:val="0"/>
        </w:rPr>
        <w:t xml:space="preserve">Coaching course notebook - wsmamusic.org</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https://wsmamusic.org/files/2020/11/Stage-Door-Unlocked-Musical-Theater-Style-Breakdowns-20_21.pdf</w:t>
        </w:r>
      </w:hyperlink>
      <w:r w:rsidDel="00000000" w:rsidR="00000000" w:rsidRPr="00000000">
        <w:rPr>
          <w:sz w:val="24"/>
          <w:szCs w:val="24"/>
          <w:rtl w:val="0"/>
        </w:rPr>
        <w:t xml:space="preserve"> </w:t>
      </w:r>
    </w:p>
    <w:p w:rsidR="00000000" w:rsidDel="00000000" w:rsidP="00000000" w:rsidRDefault="00000000" w:rsidRPr="00000000" w14:paraId="00000029">
      <w:pPr>
        <w:numPr>
          <w:ilvl w:val="0"/>
          <w:numId w:val="1"/>
        </w:numPr>
        <w:spacing w:after="0" w:afterAutospacing="0" w:before="0" w:beforeAutospacing="0" w:lineRule="auto"/>
        <w:ind w:left="720" w:hanging="360"/>
        <w:rPr>
          <w:sz w:val="24"/>
          <w:szCs w:val="24"/>
        </w:rPr>
      </w:pPr>
      <w:r w:rsidDel="00000000" w:rsidR="00000000" w:rsidRPr="00000000">
        <w:rPr>
          <w:sz w:val="24"/>
          <w:szCs w:val="24"/>
          <w:rtl w:val="0"/>
        </w:rPr>
        <w:t xml:space="preserve">Purin, P.C.L. (2011) </w:t>
      </w:r>
      <w:r w:rsidDel="00000000" w:rsidR="00000000" w:rsidRPr="00000000">
        <w:rPr>
          <w:i w:val="1"/>
          <w:sz w:val="24"/>
          <w:szCs w:val="24"/>
          <w:rtl w:val="0"/>
        </w:rPr>
        <w:t xml:space="preserve">"I've a voice, I've a voice": Determining Stephen Sondheim's compositional style through a music-theoretic analysis of his theater works</w:t>
      </w:r>
      <w:r w:rsidDel="00000000" w:rsidR="00000000" w:rsidRPr="00000000">
        <w:rPr>
          <w:sz w:val="24"/>
          <w:szCs w:val="24"/>
          <w:rtl w:val="0"/>
        </w:rPr>
        <w:t xml:space="preserve">, </w:t>
      </w:r>
      <w:r w:rsidDel="00000000" w:rsidR="00000000" w:rsidRPr="00000000">
        <w:rPr>
          <w:i w:val="1"/>
          <w:sz w:val="24"/>
          <w:szCs w:val="24"/>
          <w:rtl w:val="0"/>
        </w:rPr>
        <w:t xml:space="preserve">KU ScholarWorks</w:t>
      </w:r>
      <w:r w:rsidDel="00000000" w:rsidR="00000000" w:rsidRPr="00000000">
        <w:rPr>
          <w:sz w:val="24"/>
          <w:szCs w:val="24"/>
          <w:rtl w:val="0"/>
        </w:rPr>
        <w:t xml:space="preserve">. University of Kansas. Available at: </w:t>
      </w:r>
      <w:hyperlink r:id="rId9">
        <w:r w:rsidDel="00000000" w:rsidR="00000000" w:rsidRPr="00000000">
          <w:rPr>
            <w:color w:val="1155cc"/>
            <w:sz w:val="24"/>
            <w:szCs w:val="24"/>
            <w:u w:val="single"/>
            <w:rtl w:val="0"/>
          </w:rPr>
          <w:t xml:space="preserve">https://kuscholarworks.ku.edu/handle/1808/9764?show=full#:~:text=Sondheim%20shows%20his%20harmonic%20voice,of%20chromaticism%20and%20pedal%20points</w:t>
        </w:r>
      </w:hyperlink>
      <w:r w:rsidDel="00000000" w:rsidR="00000000" w:rsidRPr="00000000">
        <w:rPr>
          <w:sz w:val="24"/>
          <w:szCs w:val="24"/>
          <w:rtl w:val="0"/>
        </w:rPr>
        <w:t xml:space="preserve">. </w:t>
      </w:r>
    </w:p>
    <w:p w:rsidR="00000000" w:rsidDel="00000000" w:rsidP="00000000" w:rsidRDefault="00000000" w:rsidRPr="00000000" w14:paraId="0000002A">
      <w:pPr>
        <w:numPr>
          <w:ilvl w:val="0"/>
          <w:numId w:val="1"/>
        </w:numPr>
        <w:spacing w:after="0" w:afterAutospacing="0" w:before="0" w:beforeAutospacing="0" w:lineRule="auto"/>
        <w:ind w:left="720" w:hanging="360"/>
        <w:rPr>
          <w:sz w:val="24"/>
          <w:szCs w:val="24"/>
        </w:rPr>
      </w:pPr>
      <w:r w:rsidDel="00000000" w:rsidR="00000000" w:rsidRPr="00000000">
        <w:rPr>
          <w:sz w:val="24"/>
          <w:szCs w:val="24"/>
          <w:rtl w:val="0"/>
        </w:rPr>
        <w:t xml:space="preserve">Swayne, S. (no date) </w:t>
      </w:r>
      <w:r w:rsidDel="00000000" w:rsidR="00000000" w:rsidRPr="00000000">
        <w:rPr>
          <w:i w:val="1"/>
          <w:sz w:val="24"/>
          <w:szCs w:val="24"/>
          <w:rtl w:val="0"/>
        </w:rPr>
        <w:t xml:space="preserve">How Sondheim found his sound</w:t>
      </w:r>
      <w:r w:rsidDel="00000000" w:rsidR="00000000" w:rsidRPr="00000000">
        <w:rPr>
          <w:sz w:val="24"/>
          <w:szCs w:val="24"/>
          <w:rtl w:val="0"/>
        </w:rPr>
        <w:t xml:space="preserve">, </w:t>
      </w:r>
      <w:r w:rsidDel="00000000" w:rsidR="00000000" w:rsidRPr="00000000">
        <w:rPr>
          <w:i w:val="1"/>
          <w:sz w:val="24"/>
          <w:szCs w:val="24"/>
          <w:rtl w:val="0"/>
        </w:rPr>
        <w:t xml:space="preserve">University of Michigan Press</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https://www.press.umich.edu/99247/how_sondheim_found_his_sound</w:t>
        </w:r>
      </w:hyperlink>
      <w:r w:rsidDel="00000000" w:rsidR="00000000" w:rsidRPr="00000000">
        <w:rPr>
          <w:sz w:val="24"/>
          <w:szCs w:val="24"/>
          <w:rtl w:val="0"/>
        </w:rPr>
        <w:t xml:space="preserve"> </w:t>
      </w:r>
    </w:p>
    <w:p w:rsidR="00000000" w:rsidDel="00000000" w:rsidP="00000000" w:rsidRDefault="00000000" w:rsidRPr="00000000" w14:paraId="0000002B">
      <w:pPr>
        <w:numPr>
          <w:ilvl w:val="0"/>
          <w:numId w:val="1"/>
        </w:numPr>
        <w:spacing w:after="240" w:before="0" w:beforeAutospacing="0" w:lineRule="auto"/>
        <w:ind w:left="720" w:hanging="360"/>
        <w:rPr>
          <w:sz w:val="24"/>
          <w:szCs w:val="24"/>
        </w:rPr>
      </w:pPr>
      <w:r w:rsidDel="00000000" w:rsidR="00000000" w:rsidRPr="00000000">
        <w:rPr>
          <w:sz w:val="24"/>
          <w:szCs w:val="24"/>
          <w:rtl w:val="0"/>
        </w:rPr>
        <w:t xml:space="preserve">Deer, J. and Vera, R.D. (2021) </w:t>
      </w:r>
      <w:r w:rsidDel="00000000" w:rsidR="00000000" w:rsidRPr="00000000">
        <w:rPr>
          <w:i w:val="1"/>
          <w:sz w:val="24"/>
          <w:szCs w:val="24"/>
          <w:rtl w:val="0"/>
        </w:rPr>
        <w:t xml:space="preserve">Acting in musical theatre: A comprehensive guide</w:t>
      </w:r>
      <w:r w:rsidDel="00000000" w:rsidR="00000000" w:rsidRPr="00000000">
        <w:rPr>
          <w:sz w:val="24"/>
          <w:szCs w:val="24"/>
          <w:rtl w:val="0"/>
        </w:rPr>
        <w:t xml:space="preserve">. Abingdon, Oxon: Routledge an imprint of Taylor &amp; Francis. </w:t>
      </w:r>
    </w:p>
    <w:p w:rsidR="00000000" w:rsidDel="00000000" w:rsidP="00000000" w:rsidRDefault="00000000" w:rsidRPr="00000000" w14:paraId="0000002C">
      <w:pPr>
        <w:rPr>
          <w:b w:val="1"/>
          <w:sz w:val="24"/>
          <w:szCs w:val="24"/>
        </w:rPr>
      </w:pPr>
      <w:r w:rsidDel="00000000" w:rsidR="00000000" w:rsidRPr="00000000">
        <w:rPr>
          <w:rtl w:val="0"/>
        </w:rPr>
      </w:r>
    </w:p>
    <w:p w:rsidR="00000000" w:rsidDel="00000000" w:rsidP="00000000" w:rsidRDefault="00000000" w:rsidRPr="00000000" w14:paraId="0000002D">
      <w:pPr>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2E">
      <w:pPr>
        <w:numPr>
          <w:ilvl w:val="0"/>
          <w:numId w:val="2"/>
        </w:numPr>
        <w:spacing w:after="240" w:before="240" w:lineRule="auto"/>
        <w:ind w:left="720" w:hanging="360"/>
        <w:rPr>
          <w:sz w:val="24"/>
          <w:szCs w:val="24"/>
        </w:rPr>
      </w:pPr>
      <w:r w:rsidDel="00000000" w:rsidR="00000000" w:rsidRPr="00000000">
        <w:rPr>
          <w:sz w:val="24"/>
          <w:szCs w:val="24"/>
          <w:rtl w:val="0"/>
        </w:rPr>
        <w:t xml:space="preserve">Deer, J. and Vera, R.D. (2021) “Theatricality,” in </w:t>
      </w:r>
      <w:r w:rsidDel="00000000" w:rsidR="00000000" w:rsidRPr="00000000">
        <w:rPr>
          <w:i w:val="1"/>
          <w:sz w:val="24"/>
          <w:szCs w:val="24"/>
          <w:rtl w:val="0"/>
        </w:rPr>
        <w:t xml:space="preserve">Acting in musical theatre: A comprehensive guide</w:t>
      </w:r>
      <w:r w:rsidDel="00000000" w:rsidR="00000000" w:rsidRPr="00000000">
        <w:rPr>
          <w:sz w:val="24"/>
          <w:szCs w:val="24"/>
          <w:rtl w:val="0"/>
        </w:rPr>
        <w:t xml:space="preserve">. Abingdon, Oxon: Routledge an imprint of Taylor &amp; Francis, p. 15. </w:t>
      </w:r>
    </w:p>
    <w:p w:rsidR="00000000" w:rsidDel="00000000" w:rsidP="00000000" w:rsidRDefault="00000000" w:rsidRPr="00000000" w14:paraId="0000002F">
      <w:pPr>
        <w:ind w:left="0" w:firstLine="0"/>
        <w:rPr>
          <w:sz w:val="24"/>
          <w:szCs w:val="24"/>
        </w:rPr>
      </w:pPr>
      <w:r w:rsidDel="00000000" w:rsidR="00000000" w:rsidRPr="00000000">
        <w:rPr>
          <w:rtl w:val="0"/>
        </w:rPr>
      </w:r>
    </w:p>
    <w:p w:rsidR="00000000" w:rsidDel="00000000" w:rsidP="00000000" w:rsidRDefault="00000000" w:rsidRPr="00000000" w14:paraId="00000030">
      <w:pPr>
        <w:rPr>
          <w:b w:val="1"/>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b w:val="1"/>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press.umich.edu/99247/how_sondheim_found_his_sound" TargetMode="External"/><Relationship Id="rId9" Type="http://schemas.openxmlformats.org/officeDocument/2006/relationships/hyperlink" Target="https://kuscholarworks.ku.edu/handle/1808/9764?show=full#:~:text=Sondheim%20shows%20his%20harmonic%20voice,of%20chromaticism%20and%20pedal%20points" TargetMode="External"/><Relationship Id="rId5" Type="http://schemas.openxmlformats.org/officeDocument/2006/relationships/styles" Target="styles.xml"/><Relationship Id="rId6" Type="http://schemas.openxmlformats.org/officeDocument/2006/relationships/hyperlink" Target="https://www.isingmag.com/doin-it-in-style-legit-mix-and-belt/" TargetMode="External"/><Relationship Id="rId7" Type="http://schemas.openxmlformats.org/officeDocument/2006/relationships/hyperlink" Target="https://www.twinkl.co.uk/teaching-wiki/gospel-music" TargetMode="External"/><Relationship Id="rId8" Type="http://schemas.openxmlformats.org/officeDocument/2006/relationships/hyperlink" Target="https://wsmamusic.org/files/2020/11/Stage-Door-Unlocked-Musical-Theater-Style-Breakdowns-20_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